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8515D3C" w14:textId="712BBE9A" w:rsidR="00A4778B" w:rsidRPr="0087789B" w:rsidRDefault="00A04668" w:rsidP="00913295">
      <w:pPr>
        <w:spacing w:line="240" w:lineRule="auto"/>
        <w:rPr>
          <w:szCs w:val="24"/>
        </w:rPr>
      </w:pPr>
      <w:sdt>
        <w:sdtPr>
          <w:rPr>
            <w:rFonts w:eastAsia="Times New Roman" w:cs="Times New Roman"/>
            <w:szCs w:val="24"/>
            <w:lang w:val="es-CR" w:eastAsia="es-CR"/>
          </w:rPr>
          <w:alias w:val="Fecha"/>
          <w:tag w:val="Fecha"/>
          <w:id w:val="-306548534"/>
          <w:lock w:val="sdtLocked"/>
          <w:placeholder>
            <w:docPart w:val="24987A313F724139B2CC8D8561F6D154"/>
          </w:placeholder>
          <w:date w:fullDate="2020-11-02T00:00:00Z">
            <w:dateFormat w:val="d' de 'MMMM' de 'yyyy"/>
            <w:lid w:val="es-ES"/>
            <w:storeMappedDataAs w:val="date"/>
            <w:calendar w:val="gregorian"/>
          </w:date>
        </w:sdtPr>
        <w:sdtEndPr/>
        <w:sdtContent>
          <w:r w:rsidR="00827982">
            <w:rPr>
              <w:rFonts w:eastAsia="Times New Roman" w:cs="Times New Roman"/>
              <w:szCs w:val="24"/>
              <w:lang w:eastAsia="es-CR"/>
            </w:rPr>
            <w:t>2 de noviembre de 2020</w:t>
          </w:r>
        </w:sdtContent>
      </w:sdt>
    </w:p>
    <w:p w14:paraId="34726FB5" w14:textId="2E57B149" w:rsidR="00A4778B" w:rsidRPr="0087789B" w:rsidRDefault="00A04668" w:rsidP="00913295">
      <w:pPr>
        <w:pStyle w:val="SupenEncabezado"/>
        <w:spacing w:line="240" w:lineRule="auto"/>
        <w:rPr>
          <w:rStyle w:val="SupenEncabezadoCar"/>
          <w:szCs w:val="24"/>
        </w:rPr>
      </w:pPr>
      <w:sdt>
        <w:sdtPr>
          <w:rPr>
            <w:rStyle w:val="Textodelmarcadordeposicin"/>
            <w:b/>
            <w:i/>
            <w:color w:val="auto"/>
            <w:szCs w:val="24"/>
          </w:rPr>
          <w:alias w:val="Código"/>
          <w:tag w:val="A"/>
          <w:id w:val="1991359848"/>
          <w:lock w:val="sdtLocked"/>
          <w:placeholder>
            <w:docPart w:val="AA4782D3713E48BAA24D9403A9FE3E2E"/>
          </w:placeholder>
          <w:text/>
        </w:sdtPr>
        <w:sdtEndPr>
          <w:rPr>
            <w:rStyle w:val="Textodelmarcadordeposicin"/>
          </w:rPr>
        </w:sdtEndPr>
        <w:sdtContent>
          <w:r w:rsidR="008F1233" w:rsidRPr="008F1233">
            <w:rPr>
              <w:rStyle w:val="Textodelmarcadordeposicin"/>
              <w:b/>
              <w:i/>
              <w:color w:val="auto"/>
              <w:szCs w:val="24"/>
            </w:rPr>
            <w:t>PJD-21-2020</w:t>
          </w:r>
        </w:sdtContent>
      </w:sdt>
    </w:p>
    <w:p w14:paraId="25345357" w14:textId="77777777" w:rsidR="003262D5" w:rsidRDefault="003262D5" w:rsidP="00913295">
      <w:pPr>
        <w:spacing w:line="240" w:lineRule="auto"/>
        <w:rPr>
          <w:szCs w:val="24"/>
        </w:rPr>
      </w:pPr>
    </w:p>
    <w:p w14:paraId="636DE940" w14:textId="77777777" w:rsidR="00DE615E" w:rsidRPr="00913295" w:rsidRDefault="00DE615E" w:rsidP="00913295">
      <w:pPr>
        <w:spacing w:line="240" w:lineRule="auto"/>
        <w:rPr>
          <w:szCs w:val="24"/>
        </w:rPr>
      </w:pPr>
    </w:p>
    <w:p w14:paraId="0A9A2261" w14:textId="77777777" w:rsidR="00DE615E" w:rsidRPr="00913295" w:rsidRDefault="00DE615E" w:rsidP="00913295">
      <w:pPr>
        <w:spacing w:line="240" w:lineRule="auto"/>
      </w:pPr>
      <w:r w:rsidRPr="00913295">
        <w:t>Señor</w:t>
      </w:r>
    </w:p>
    <w:p w14:paraId="39437A4B" w14:textId="77777777" w:rsidR="008F1233" w:rsidRDefault="00913295" w:rsidP="00913295">
      <w:pPr>
        <w:spacing w:line="240" w:lineRule="auto"/>
      </w:pPr>
      <w:r w:rsidRPr="00913295">
        <w:t>Jose Arias González</w:t>
      </w:r>
      <w:r w:rsidR="008F1233">
        <w:t>, j</w:t>
      </w:r>
      <w:r w:rsidRPr="00913295">
        <w:t xml:space="preserve">efe </w:t>
      </w:r>
    </w:p>
    <w:p w14:paraId="7E63B5FF" w14:textId="024F5A2F" w:rsidR="00DE615E" w:rsidRPr="00913295" w:rsidRDefault="00913295" w:rsidP="00913295">
      <w:pPr>
        <w:spacing w:line="240" w:lineRule="auto"/>
      </w:pPr>
      <w:r w:rsidRPr="00913295">
        <w:t>Área de Comunicación y Servicios</w:t>
      </w:r>
    </w:p>
    <w:p w14:paraId="524A034D" w14:textId="77777777" w:rsidR="00DE615E" w:rsidRPr="00913295" w:rsidRDefault="00913295" w:rsidP="00913295">
      <w:pPr>
        <w:spacing w:line="240" w:lineRule="auto"/>
        <w:rPr>
          <w:b/>
          <w:bCs/>
        </w:rPr>
      </w:pPr>
      <w:r w:rsidRPr="00913295">
        <w:rPr>
          <w:b/>
          <w:bCs/>
        </w:rPr>
        <w:t>Superintendencia de Pensiones</w:t>
      </w:r>
    </w:p>
    <w:p w14:paraId="7C6D90FD" w14:textId="77777777" w:rsidR="00DE615E" w:rsidRDefault="00DE615E" w:rsidP="00913295">
      <w:pPr>
        <w:spacing w:line="240" w:lineRule="auto"/>
      </w:pPr>
    </w:p>
    <w:p w14:paraId="126028F5" w14:textId="77777777" w:rsidR="00DE615E" w:rsidRPr="00677905" w:rsidRDefault="00DE615E" w:rsidP="00913295">
      <w:pPr>
        <w:spacing w:line="240" w:lineRule="auto"/>
      </w:pPr>
      <w:r w:rsidRPr="00677905">
        <w:t>Estimado señor:</w:t>
      </w:r>
    </w:p>
    <w:p w14:paraId="0E0FF9FA" w14:textId="77777777" w:rsidR="00DE615E" w:rsidRDefault="00DE615E" w:rsidP="00913295">
      <w:pPr>
        <w:spacing w:line="240" w:lineRule="auto"/>
      </w:pPr>
    </w:p>
    <w:p w14:paraId="15F59D6D" w14:textId="3786DB3A" w:rsidR="00913295" w:rsidRDefault="00913295" w:rsidP="00913295">
      <w:pPr>
        <w:spacing w:line="240" w:lineRule="auto"/>
        <w:jc w:val="both"/>
      </w:pPr>
      <w:r w:rsidRPr="00783204">
        <w:rPr>
          <w:color w:val="000000"/>
        </w:rPr>
        <w:t>Mediante tare</w:t>
      </w:r>
      <w:r>
        <w:rPr>
          <w:color w:val="000000"/>
        </w:rPr>
        <w:t>a</w:t>
      </w:r>
      <w:r w:rsidRPr="00783204">
        <w:rPr>
          <w:color w:val="000000"/>
        </w:rPr>
        <w:t xml:space="preserve"> que consta en el </w:t>
      </w:r>
      <w:r>
        <w:rPr>
          <w:color w:val="000000"/>
        </w:rPr>
        <w:t>S</w:t>
      </w:r>
      <w:r w:rsidRPr="00783204">
        <w:rPr>
          <w:color w:val="000000"/>
        </w:rPr>
        <w:t xml:space="preserve">istema de </w:t>
      </w:r>
      <w:r>
        <w:rPr>
          <w:color w:val="000000"/>
        </w:rPr>
        <w:t>T</w:t>
      </w:r>
      <w:r w:rsidRPr="00783204">
        <w:rPr>
          <w:color w:val="000000"/>
        </w:rPr>
        <w:t>rámites</w:t>
      </w:r>
      <w:r w:rsidR="007D11F6">
        <w:rPr>
          <w:color w:val="000000"/>
        </w:rPr>
        <w:t>,</w:t>
      </w:r>
      <w:r w:rsidR="00C13BC1">
        <w:rPr>
          <w:color w:val="000000"/>
        </w:rPr>
        <w:t xml:space="preserve"> </w:t>
      </w:r>
      <w:r w:rsidR="00F81790">
        <w:rPr>
          <w:color w:val="000000"/>
        </w:rPr>
        <w:t xml:space="preserve">el área de Comunicación y Servicios </w:t>
      </w:r>
      <w:r w:rsidR="0053500C">
        <w:rPr>
          <w:color w:val="000000"/>
        </w:rPr>
        <w:t xml:space="preserve">de la Superintendencia de Pensiones </w:t>
      </w:r>
      <w:r w:rsidR="00F81790">
        <w:rPr>
          <w:color w:val="000000"/>
        </w:rPr>
        <w:t xml:space="preserve">le solicitó a esta División Jurídica </w:t>
      </w:r>
      <w:r w:rsidR="00CA299D">
        <w:rPr>
          <w:color w:val="000000"/>
        </w:rPr>
        <w:t xml:space="preserve">un </w:t>
      </w:r>
      <w:r>
        <w:rPr>
          <w:color w:val="000000"/>
        </w:rPr>
        <w:t xml:space="preserve">criterio </w:t>
      </w:r>
      <w:r>
        <w:t xml:space="preserve">que analice </w:t>
      </w:r>
      <w:r w:rsidR="00BA42AD">
        <w:t xml:space="preserve">si existe una </w:t>
      </w:r>
      <w:r>
        <w:t xml:space="preserve">doble imposición </w:t>
      </w:r>
      <w:r w:rsidR="00485EF7">
        <w:t xml:space="preserve">en el cobro que por concepto de supervisión se aplica </w:t>
      </w:r>
      <w:r w:rsidR="00F7759E">
        <w:t xml:space="preserve">a los fondos complementarios especiales que son administrados por operadoras de pensiones. </w:t>
      </w:r>
      <w:r w:rsidR="005F464A">
        <w:t>Est</w:t>
      </w:r>
      <w:r w:rsidR="004409DF">
        <w:t>e</w:t>
      </w:r>
      <w:r w:rsidR="005F464A">
        <w:t xml:space="preserve"> cobro se realiza de conformidad con lo dispuesto en los artículo</w:t>
      </w:r>
      <w:r w:rsidR="001D643C">
        <w:t>s</w:t>
      </w:r>
      <w:r w:rsidR="005F464A">
        <w:t xml:space="preserve"> 174 y 175 de la Ley Reguladora del Mercado de Valores y en el </w:t>
      </w:r>
      <w:r w:rsidR="00B22174" w:rsidRPr="00C0742B">
        <w:rPr>
          <w:rFonts w:cs="Times New Roman"/>
          <w:i/>
          <w:iCs/>
          <w:noProof/>
          <w:szCs w:val="24"/>
        </w:rPr>
        <w:t xml:space="preserve">Reglamento para regular la participación de los sujetos fiscalizados en el financiamiento del presupuesto de </w:t>
      </w:r>
      <w:r w:rsidR="00046964">
        <w:rPr>
          <w:rFonts w:cs="Times New Roman"/>
          <w:i/>
          <w:iCs/>
          <w:noProof/>
          <w:szCs w:val="24"/>
        </w:rPr>
        <w:t>l</w:t>
      </w:r>
      <w:r w:rsidR="00B22174" w:rsidRPr="00C0742B">
        <w:rPr>
          <w:rFonts w:cs="Times New Roman"/>
          <w:i/>
          <w:iCs/>
          <w:noProof/>
          <w:szCs w:val="24"/>
        </w:rPr>
        <w:t>as Superintendencias</w:t>
      </w:r>
      <w:r w:rsidR="00DA6CC9">
        <w:rPr>
          <w:rStyle w:val="Refdenotaalpie"/>
          <w:rFonts w:cs="Times New Roman"/>
          <w:i/>
          <w:iCs/>
          <w:noProof/>
          <w:szCs w:val="24"/>
        </w:rPr>
        <w:footnoteReference w:id="1"/>
      </w:r>
      <w:r w:rsidR="005F464A">
        <w:t xml:space="preserve">.  </w:t>
      </w:r>
    </w:p>
    <w:p w14:paraId="0AA51B85" w14:textId="77777777" w:rsidR="00913295" w:rsidRDefault="00913295" w:rsidP="00913295">
      <w:pPr>
        <w:spacing w:line="240" w:lineRule="auto"/>
        <w:jc w:val="both"/>
        <w:rPr>
          <w:color w:val="000000"/>
        </w:rPr>
      </w:pPr>
    </w:p>
    <w:p w14:paraId="7B1D6447" w14:textId="77777777" w:rsidR="00913295" w:rsidRPr="00783204" w:rsidRDefault="00913295" w:rsidP="00913295">
      <w:pPr>
        <w:spacing w:line="240" w:lineRule="auto"/>
        <w:jc w:val="both"/>
        <w:rPr>
          <w:color w:val="000000"/>
        </w:rPr>
      </w:pPr>
      <w:r>
        <w:rPr>
          <w:color w:val="000000"/>
        </w:rPr>
        <w:t>Con el fin de atender esta solicitud, se emite el siguiente criterio jurídico</w:t>
      </w:r>
      <w:r w:rsidRPr="00783204">
        <w:rPr>
          <w:color w:val="000000"/>
        </w:rPr>
        <w:t>:</w:t>
      </w:r>
    </w:p>
    <w:p w14:paraId="319CE304" w14:textId="77777777" w:rsidR="00913295" w:rsidRDefault="00913295" w:rsidP="00913295">
      <w:pPr>
        <w:spacing w:line="240" w:lineRule="auto"/>
        <w:jc w:val="both"/>
      </w:pPr>
    </w:p>
    <w:p w14:paraId="6ABDE798" w14:textId="77777777" w:rsidR="00913295" w:rsidRDefault="00913295" w:rsidP="00913295">
      <w:pPr>
        <w:pStyle w:val="Prrafodelista"/>
        <w:numPr>
          <w:ilvl w:val="0"/>
          <w:numId w:val="12"/>
        </w:numPr>
        <w:spacing w:after="0" w:line="240" w:lineRule="auto"/>
        <w:ind w:left="142" w:firstLine="0"/>
        <w:jc w:val="both"/>
        <w:rPr>
          <w:rFonts w:ascii="Times New Roman" w:hAnsi="Times New Roman" w:cs="Times New Roman"/>
          <w:b/>
          <w:sz w:val="24"/>
          <w:szCs w:val="24"/>
        </w:rPr>
      </w:pPr>
      <w:r w:rsidRPr="001429E7">
        <w:rPr>
          <w:rFonts w:ascii="Times New Roman" w:hAnsi="Times New Roman" w:cs="Times New Roman"/>
          <w:b/>
          <w:sz w:val="24"/>
          <w:szCs w:val="24"/>
        </w:rPr>
        <w:t>Antecedentes</w:t>
      </w:r>
    </w:p>
    <w:p w14:paraId="126A9594" w14:textId="77777777" w:rsidR="00913295" w:rsidRPr="001429E7" w:rsidRDefault="00913295" w:rsidP="00913295">
      <w:pPr>
        <w:pStyle w:val="Prrafodelista"/>
        <w:spacing w:after="0" w:line="240" w:lineRule="auto"/>
        <w:ind w:left="142"/>
        <w:jc w:val="both"/>
        <w:rPr>
          <w:rFonts w:ascii="Times New Roman" w:hAnsi="Times New Roman" w:cs="Times New Roman"/>
          <w:b/>
          <w:sz w:val="24"/>
          <w:szCs w:val="24"/>
        </w:rPr>
      </w:pPr>
    </w:p>
    <w:p w14:paraId="1DF8FCB3" w14:textId="2D283443" w:rsidR="00913295" w:rsidRDefault="00913295" w:rsidP="00913295">
      <w:pPr>
        <w:shd w:val="clear" w:color="auto" w:fill="FFFFFF"/>
        <w:spacing w:line="240" w:lineRule="auto"/>
        <w:jc w:val="both"/>
      </w:pPr>
      <w:r>
        <w:t xml:space="preserve">Por medio del </w:t>
      </w:r>
      <w:r w:rsidR="00B22174">
        <w:t>Sistema de Trámites</w:t>
      </w:r>
      <w:r w:rsidR="004409DF">
        <w:t xml:space="preserve">, </w:t>
      </w:r>
      <w:r w:rsidR="004409DF" w:rsidRPr="004409DF">
        <w:t>el área de Comunicación y Servicios</w:t>
      </w:r>
      <w:r w:rsidR="00B22174">
        <w:t xml:space="preserve"> </w:t>
      </w:r>
      <w:r w:rsidR="003067EB">
        <w:t>realizó la siguiente consulta a esta División</w:t>
      </w:r>
      <w:r>
        <w:t xml:space="preserve">: </w:t>
      </w:r>
    </w:p>
    <w:p w14:paraId="74031FC3" w14:textId="77777777" w:rsidR="00913295" w:rsidRDefault="00913295" w:rsidP="00913295">
      <w:pPr>
        <w:shd w:val="clear" w:color="auto" w:fill="FFFFFF"/>
        <w:spacing w:line="240" w:lineRule="auto"/>
        <w:jc w:val="both"/>
      </w:pPr>
    </w:p>
    <w:p w14:paraId="36E679A5" w14:textId="2088B554" w:rsidR="005840EB" w:rsidRPr="002D5092" w:rsidRDefault="005840EB" w:rsidP="005840EB">
      <w:pPr>
        <w:shd w:val="clear" w:color="auto" w:fill="FFFFFF"/>
        <w:spacing w:line="240" w:lineRule="auto"/>
        <w:ind w:left="284"/>
        <w:jc w:val="both"/>
        <w:rPr>
          <w:i/>
          <w:color w:val="000000"/>
          <w:szCs w:val="24"/>
        </w:rPr>
      </w:pPr>
      <w:r w:rsidRPr="002D5092">
        <w:rPr>
          <w:i/>
          <w:color w:val="000000"/>
          <w:szCs w:val="24"/>
        </w:rPr>
        <w:t xml:space="preserve">La Auditoría Interna del Conassif está realizando un estudio de cobro por servicios de supervisión, específicamente el correspondiente al 2019. </w:t>
      </w:r>
    </w:p>
    <w:p w14:paraId="14CAB3E2" w14:textId="77777777" w:rsidR="005840EB" w:rsidRPr="002D5092" w:rsidRDefault="005840EB" w:rsidP="005840EB">
      <w:pPr>
        <w:shd w:val="clear" w:color="auto" w:fill="FFFFFF"/>
        <w:spacing w:line="240" w:lineRule="auto"/>
        <w:ind w:left="284"/>
        <w:jc w:val="both"/>
        <w:rPr>
          <w:i/>
          <w:color w:val="000000"/>
          <w:szCs w:val="24"/>
        </w:rPr>
      </w:pPr>
      <w:r w:rsidRPr="002D5092">
        <w:rPr>
          <w:i/>
          <w:color w:val="000000"/>
          <w:szCs w:val="24"/>
        </w:rPr>
        <w:t xml:space="preserve">Al respecto, el auditor solicita un criterio legal donde se analice que, a los fondos especiales, administrados por una OPC, no se les impone un doble cobro. A continuación, le cito lo requerido: </w:t>
      </w:r>
    </w:p>
    <w:p w14:paraId="6C796512" w14:textId="792BCA96" w:rsidR="005840EB" w:rsidRPr="002D5092" w:rsidRDefault="006D7508" w:rsidP="005840EB">
      <w:pPr>
        <w:shd w:val="clear" w:color="auto" w:fill="FFFFFF"/>
        <w:spacing w:line="240" w:lineRule="auto"/>
        <w:ind w:left="284"/>
        <w:jc w:val="both"/>
        <w:rPr>
          <w:i/>
          <w:color w:val="000000"/>
          <w:szCs w:val="24"/>
        </w:rPr>
      </w:pPr>
      <w:r w:rsidRPr="002D5092">
        <w:rPr>
          <w:i/>
          <w:color w:val="000000"/>
          <w:szCs w:val="24"/>
        </w:rPr>
        <w:t>´ (</w:t>
      </w:r>
      <w:r w:rsidR="005840EB" w:rsidRPr="002D5092">
        <w:rPr>
          <w:i/>
          <w:color w:val="000000"/>
          <w:szCs w:val="24"/>
        </w:rPr>
        <w:t>…) tenemos claro lo establecido en el artículo 11 que establece:</w:t>
      </w:r>
    </w:p>
    <w:p w14:paraId="68A3535B" w14:textId="77777777" w:rsidR="005840EB" w:rsidRPr="002D5092" w:rsidRDefault="005840EB" w:rsidP="005840EB">
      <w:pPr>
        <w:shd w:val="clear" w:color="auto" w:fill="FFFFFF"/>
        <w:spacing w:line="240" w:lineRule="auto"/>
        <w:ind w:left="284"/>
        <w:jc w:val="both"/>
        <w:rPr>
          <w:i/>
          <w:color w:val="000000"/>
          <w:szCs w:val="24"/>
        </w:rPr>
      </w:pPr>
      <w:r w:rsidRPr="002D5092">
        <w:rPr>
          <w:i/>
          <w:color w:val="000000"/>
          <w:szCs w:val="24"/>
        </w:rPr>
        <w:t xml:space="preserve">Artículo 11.-Cálculo de la contribución a cargo de los fondos creados por leyes especiales o convenciones colectivas. Tratándose de fondos creados por leyes especiales o convenciones colectivas cuyos administradores no perciban retribución alguna por su administración, se tomará como base de cálculo de la contribución los gastos anuales, directos e indirectos, en que se haya incurrido con motivo de la administración de los fondos. </w:t>
      </w:r>
    </w:p>
    <w:p w14:paraId="10346CA1" w14:textId="77777777" w:rsidR="005840EB" w:rsidRPr="002D5092" w:rsidRDefault="005840EB" w:rsidP="005840EB">
      <w:pPr>
        <w:shd w:val="clear" w:color="auto" w:fill="FFFFFF"/>
        <w:spacing w:line="240" w:lineRule="auto"/>
        <w:ind w:left="284"/>
        <w:jc w:val="both"/>
        <w:rPr>
          <w:i/>
          <w:color w:val="000000"/>
          <w:szCs w:val="24"/>
        </w:rPr>
      </w:pPr>
      <w:r w:rsidRPr="002D5092">
        <w:rPr>
          <w:i/>
          <w:color w:val="000000"/>
          <w:szCs w:val="24"/>
        </w:rPr>
        <w:t xml:space="preserve">Para los fondos creados por leyes especiales o convenciones colectivas cuyos administradores perciban una retribución por su gestión, se tomará como base de cálculo de la contribución, los ingresos anuales que haya recibido la entidad administradora con motivo de la administración de los fondos. </w:t>
      </w:r>
    </w:p>
    <w:p w14:paraId="70841FFE" w14:textId="77777777" w:rsidR="005840EB" w:rsidRPr="002D5092" w:rsidRDefault="005840EB" w:rsidP="005840EB">
      <w:pPr>
        <w:shd w:val="clear" w:color="auto" w:fill="FFFFFF"/>
        <w:spacing w:line="240" w:lineRule="auto"/>
        <w:ind w:left="284"/>
        <w:jc w:val="both"/>
        <w:rPr>
          <w:i/>
          <w:color w:val="000000"/>
          <w:szCs w:val="24"/>
        </w:rPr>
      </w:pPr>
      <w:r w:rsidRPr="002D5092">
        <w:rPr>
          <w:i/>
          <w:color w:val="000000"/>
          <w:szCs w:val="24"/>
        </w:rPr>
        <w:t>Los gastos e ingresos a que se refieren los párrafos anteriores de este artículo, para los efectos de este reglamento, se reputarán como los ingresos brutos de la entidad administradora.</w:t>
      </w:r>
    </w:p>
    <w:p w14:paraId="14B3E0C2" w14:textId="77777777" w:rsidR="005840EB" w:rsidRPr="002D5092" w:rsidRDefault="005840EB" w:rsidP="005840EB">
      <w:pPr>
        <w:shd w:val="clear" w:color="auto" w:fill="FFFFFF"/>
        <w:spacing w:line="240" w:lineRule="auto"/>
        <w:ind w:left="284"/>
        <w:jc w:val="both"/>
        <w:rPr>
          <w:i/>
          <w:color w:val="000000"/>
          <w:szCs w:val="24"/>
        </w:rPr>
      </w:pPr>
      <w:r w:rsidRPr="002D5092">
        <w:rPr>
          <w:i/>
          <w:color w:val="000000"/>
          <w:szCs w:val="24"/>
        </w:rPr>
        <w:t>Sobre los artículos 2 y 3 mencionados, no establecen lineamientos o diferenciaciones sobre la forma de cálculo, las cuales se efectúan en los artículos 1 y 11</w:t>
      </w:r>
    </w:p>
    <w:p w14:paraId="5A61F15F" w14:textId="77777777" w:rsidR="005840EB" w:rsidRPr="002D5092" w:rsidRDefault="005840EB" w:rsidP="005840EB">
      <w:pPr>
        <w:shd w:val="clear" w:color="auto" w:fill="FFFFFF"/>
        <w:spacing w:line="240" w:lineRule="auto"/>
        <w:ind w:left="284"/>
        <w:jc w:val="both"/>
        <w:rPr>
          <w:i/>
          <w:color w:val="000000"/>
          <w:szCs w:val="24"/>
        </w:rPr>
      </w:pPr>
      <w:r w:rsidRPr="002D5092">
        <w:rPr>
          <w:i/>
          <w:color w:val="000000"/>
          <w:szCs w:val="24"/>
        </w:rPr>
        <w:t>Donde el último párrafo del artículo 1 establece:</w:t>
      </w:r>
    </w:p>
    <w:p w14:paraId="10334C69" w14:textId="77777777" w:rsidR="005840EB" w:rsidRPr="002D5092" w:rsidRDefault="005840EB" w:rsidP="005840EB">
      <w:pPr>
        <w:shd w:val="clear" w:color="auto" w:fill="FFFFFF"/>
        <w:spacing w:line="240" w:lineRule="auto"/>
        <w:ind w:left="284"/>
        <w:jc w:val="both"/>
        <w:rPr>
          <w:i/>
          <w:color w:val="000000"/>
          <w:szCs w:val="24"/>
        </w:rPr>
      </w:pPr>
      <w:r w:rsidRPr="002D5092">
        <w:rPr>
          <w:i/>
          <w:color w:val="000000"/>
          <w:szCs w:val="24"/>
        </w:rPr>
        <w:t>En el caso de los fondos de inversión, los fondos de pensiones administrados por las operadoras de pensiones, así como los creados por leyes especiales o convenciones colectivas, el pago de la contribución estará a cargo, exclusivamente, de las sociedades administradoras, las operadoras y las entidades que los administran, respectivamente.</w:t>
      </w:r>
    </w:p>
    <w:p w14:paraId="79D1135C" w14:textId="38498673" w:rsidR="00913295" w:rsidRPr="002D5092" w:rsidRDefault="005840EB" w:rsidP="005840EB">
      <w:pPr>
        <w:shd w:val="clear" w:color="auto" w:fill="FFFFFF"/>
        <w:spacing w:line="240" w:lineRule="auto"/>
        <w:ind w:left="284"/>
        <w:jc w:val="both"/>
        <w:rPr>
          <w:i/>
          <w:szCs w:val="24"/>
        </w:rPr>
      </w:pPr>
      <w:bookmarkStart w:id="1" w:name="_Hlk52552502"/>
      <w:r w:rsidRPr="002D5092">
        <w:rPr>
          <w:i/>
          <w:color w:val="000000"/>
          <w:szCs w:val="24"/>
        </w:rPr>
        <w:lastRenderedPageBreak/>
        <w:t>Lo que implica que hay fondos creados por leyes especiales o convenciones colectivas administrados por una entidad independiente y otros  cuya administración fue contratada a una Operadora de Pensiones; por lo que  podría tenerse que diferenciar entre fondos que disponen de una entidad que los administran como el de Vendedores de Lotería y los que cedieron la administración a una Operadora como los fondos del ICT y BCR; por lo que nuevamente le agradezco me regale el criterio legal en el que se estableció que no existiría una doble imposición por la dinámica actual de cobro</w:t>
      </w:r>
      <w:bookmarkEnd w:id="1"/>
      <w:r w:rsidR="002D5092" w:rsidRPr="002D5092">
        <w:rPr>
          <w:i/>
          <w:color w:val="000000"/>
          <w:szCs w:val="24"/>
        </w:rPr>
        <w:t>´</w:t>
      </w:r>
      <w:r w:rsidRPr="002D5092">
        <w:rPr>
          <w:i/>
          <w:color w:val="000000"/>
          <w:szCs w:val="24"/>
        </w:rPr>
        <w:t>.</w:t>
      </w:r>
    </w:p>
    <w:p w14:paraId="64E0A947" w14:textId="77777777" w:rsidR="00913295" w:rsidRPr="006E63BF" w:rsidRDefault="00913295" w:rsidP="00913295">
      <w:pPr>
        <w:spacing w:line="240" w:lineRule="auto"/>
        <w:ind w:left="357"/>
        <w:rPr>
          <w:i/>
          <w:sz w:val="22"/>
        </w:rPr>
      </w:pPr>
    </w:p>
    <w:p w14:paraId="19CB088C" w14:textId="77777777" w:rsidR="00913295" w:rsidRPr="001F16E2" w:rsidRDefault="00913295" w:rsidP="00913295">
      <w:pPr>
        <w:spacing w:line="240" w:lineRule="auto"/>
        <w:jc w:val="both"/>
        <w:rPr>
          <w:b/>
        </w:rPr>
      </w:pPr>
      <w:r w:rsidRPr="001F16E2">
        <w:rPr>
          <w:b/>
        </w:rPr>
        <w:t>II. Análisis de fondo</w:t>
      </w:r>
    </w:p>
    <w:p w14:paraId="1D13B116" w14:textId="77777777" w:rsidR="00913295" w:rsidRPr="006819C0" w:rsidRDefault="00913295" w:rsidP="00913295">
      <w:pPr>
        <w:autoSpaceDE w:val="0"/>
        <w:autoSpaceDN w:val="0"/>
        <w:adjustRightInd w:val="0"/>
        <w:spacing w:line="240" w:lineRule="auto"/>
        <w:jc w:val="both"/>
      </w:pPr>
    </w:p>
    <w:p w14:paraId="177D64BF" w14:textId="6A27FA27" w:rsidR="00913295" w:rsidRPr="005B4093" w:rsidRDefault="00CA3130" w:rsidP="005B4093">
      <w:pPr>
        <w:pStyle w:val="Prrafodelista"/>
        <w:numPr>
          <w:ilvl w:val="0"/>
          <w:numId w:val="23"/>
        </w:numPr>
        <w:tabs>
          <w:tab w:val="left" w:pos="1056"/>
        </w:tabs>
        <w:spacing w:line="240" w:lineRule="auto"/>
        <w:jc w:val="both"/>
        <w:rPr>
          <w:rFonts w:ascii="Times New Roman" w:hAnsi="Times New Roman" w:cs="Times New Roman"/>
          <w:b/>
          <w:bCs/>
          <w:szCs w:val="24"/>
        </w:rPr>
      </w:pPr>
      <w:r w:rsidRPr="005B4093">
        <w:rPr>
          <w:rFonts w:ascii="Times New Roman" w:hAnsi="Times New Roman" w:cs="Times New Roman"/>
          <w:b/>
          <w:bCs/>
          <w:szCs w:val="24"/>
        </w:rPr>
        <w:t xml:space="preserve">Cálculo de cobro por supervisión según las disposiciones del </w:t>
      </w:r>
      <w:r w:rsidR="00DB7C45" w:rsidRPr="005B4093">
        <w:rPr>
          <w:rFonts w:ascii="Times New Roman" w:hAnsi="Times New Roman" w:cs="Times New Roman"/>
          <w:b/>
          <w:bCs/>
          <w:szCs w:val="24"/>
        </w:rPr>
        <w:t xml:space="preserve">Reglamento para regular la participación de los sujetos fiscalizados en el financiamiento del presupuesto de las Superintendencias  </w:t>
      </w:r>
      <w:r w:rsidR="00913295" w:rsidRPr="005B4093">
        <w:rPr>
          <w:rFonts w:ascii="Times New Roman" w:hAnsi="Times New Roman" w:cs="Times New Roman"/>
          <w:b/>
          <w:bCs/>
          <w:szCs w:val="24"/>
        </w:rPr>
        <w:t xml:space="preserve"> </w:t>
      </w:r>
    </w:p>
    <w:p w14:paraId="25F49839" w14:textId="5537978D" w:rsidR="00263963" w:rsidRDefault="003D75AA" w:rsidP="00913295">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En lo que respect</w:t>
      </w:r>
      <w:r w:rsidR="006368D2">
        <w:rPr>
          <w:rFonts w:ascii="Times New Roman" w:eastAsia="Times New Roman" w:hAnsi="Times New Roman" w:cs="Times New Roman"/>
          <w:color w:val="000000"/>
          <w:lang w:val="es-CR" w:eastAsia="es-CR"/>
        </w:rPr>
        <w:t>a</w:t>
      </w:r>
      <w:r>
        <w:rPr>
          <w:rFonts w:ascii="Times New Roman" w:eastAsia="Times New Roman" w:hAnsi="Times New Roman" w:cs="Times New Roman"/>
          <w:color w:val="000000"/>
          <w:lang w:val="es-CR" w:eastAsia="es-CR"/>
        </w:rPr>
        <w:t xml:space="preserve"> a los sujetos fiscalizados por la Superintendencia de Pe</w:t>
      </w:r>
      <w:r w:rsidR="006368D2">
        <w:rPr>
          <w:rFonts w:ascii="Times New Roman" w:eastAsia="Times New Roman" w:hAnsi="Times New Roman" w:cs="Times New Roman"/>
          <w:color w:val="000000"/>
          <w:lang w:val="es-CR" w:eastAsia="es-CR"/>
        </w:rPr>
        <w:t>nsiones</w:t>
      </w:r>
      <w:r w:rsidR="00263963">
        <w:rPr>
          <w:rFonts w:ascii="Times New Roman" w:eastAsia="Times New Roman" w:hAnsi="Times New Roman" w:cs="Times New Roman"/>
          <w:color w:val="000000"/>
          <w:lang w:val="es-CR" w:eastAsia="es-CR"/>
        </w:rPr>
        <w:t>,</w:t>
      </w:r>
      <w:r w:rsidR="006368D2">
        <w:rPr>
          <w:rFonts w:ascii="Times New Roman" w:eastAsia="Times New Roman" w:hAnsi="Times New Roman" w:cs="Times New Roman"/>
          <w:color w:val="000000"/>
          <w:lang w:val="es-CR" w:eastAsia="es-CR"/>
        </w:rPr>
        <w:t xml:space="preserve"> el </w:t>
      </w:r>
      <w:r w:rsidR="006368D2" w:rsidRPr="00A53735">
        <w:rPr>
          <w:rFonts w:ascii="Times New Roman" w:eastAsia="Times New Roman" w:hAnsi="Times New Roman" w:cs="Times New Roman"/>
          <w:i/>
          <w:iCs/>
          <w:color w:val="000000"/>
          <w:lang w:val="es-CR" w:eastAsia="es-CR"/>
        </w:rPr>
        <w:t>Reglamento para regular la participación de los sujetos fiscalizados en el financiamiento del presupuesto de las Superintendencias</w:t>
      </w:r>
      <w:r w:rsidR="00124AAB" w:rsidRPr="00124AAB">
        <w:rPr>
          <w:rStyle w:val="Refdenotaalpie"/>
          <w:rFonts w:cs="Times New Roman"/>
        </w:rPr>
        <w:footnoteReference w:id="2"/>
      </w:r>
      <w:r w:rsidR="006368D2">
        <w:rPr>
          <w:rFonts w:ascii="Times New Roman" w:eastAsia="Times New Roman" w:hAnsi="Times New Roman" w:cs="Times New Roman"/>
          <w:color w:val="000000"/>
          <w:lang w:val="es-CR" w:eastAsia="es-CR"/>
        </w:rPr>
        <w:t xml:space="preserve"> establece dos modalidad</w:t>
      </w:r>
      <w:r w:rsidR="009D7F90">
        <w:rPr>
          <w:rFonts w:ascii="Times New Roman" w:eastAsia="Times New Roman" w:hAnsi="Times New Roman" w:cs="Times New Roman"/>
          <w:color w:val="000000"/>
          <w:lang w:val="es-CR" w:eastAsia="es-CR"/>
        </w:rPr>
        <w:t>es</w:t>
      </w:r>
      <w:r w:rsidR="006368D2">
        <w:rPr>
          <w:rFonts w:ascii="Times New Roman" w:eastAsia="Times New Roman" w:hAnsi="Times New Roman" w:cs="Times New Roman"/>
          <w:color w:val="000000"/>
          <w:lang w:val="es-CR" w:eastAsia="es-CR"/>
        </w:rPr>
        <w:t xml:space="preserve"> de cálculo. Una modalidad genérica</w:t>
      </w:r>
      <w:r w:rsidR="009B5837">
        <w:rPr>
          <w:rFonts w:ascii="Times New Roman" w:eastAsia="Times New Roman" w:hAnsi="Times New Roman" w:cs="Times New Roman"/>
          <w:color w:val="000000"/>
          <w:lang w:val="es-CR" w:eastAsia="es-CR"/>
        </w:rPr>
        <w:t xml:space="preserve">, </w:t>
      </w:r>
      <w:r w:rsidR="00A47590">
        <w:rPr>
          <w:rFonts w:ascii="Times New Roman" w:eastAsia="Times New Roman" w:hAnsi="Times New Roman" w:cs="Times New Roman"/>
          <w:color w:val="000000"/>
          <w:lang w:val="es-CR" w:eastAsia="es-CR"/>
        </w:rPr>
        <w:t xml:space="preserve">establecida en el artículo 2 y </w:t>
      </w:r>
      <w:r w:rsidR="009B5837">
        <w:rPr>
          <w:rFonts w:ascii="Times New Roman" w:eastAsia="Times New Roman" w:hAnsi="Times New Roman" w:cs="Times New Roman"/>
          <w:color w:val="000000"/>
          <w:lang w:val="es-CR" w:eastAsia="es-CR"/>
        </w:rPr>
        <w:t>aplicable, entre otros, a las operadoras de pensiones complementarias</w:t>
      </w:r>
      <w:r w:rsidR="00263963" w:rsidRPr="00263963">
        <w:rPr>
          <w:rFonts w:ascii="Times New Roman" w:eastAsia="Times New Roman" w:hAnsi="Times New Roman" w:cs="Times New Roman"/>
          <w:color w:val="000000"/>
          <w:lang w:val="es-CR" w:eastAsia="es-CR"/>
        </w:rPr>
        <w:t>,</w:t>
      </w:r>
      <w:r w:rsidR="00263963">
        <w:rPr>
          <w:rFonts w:ascii="Times New Roman" w:eastAsia="Times New Roman" w:hAnsi="Times New Roman" w:cs="Times New Roman"/>
          <w:color w:val="000000"/>
          <w:lang w:val="es-CR" w:eastAsia="es-CR"/>
        </w:rPr>
        <w:t xml:space="preserve"> </w:t>
      </w:r>
      <w:r w:rsidR="006368D2">
        <w:rPr>
          <w:rFonts w:ascii="Times New Roman" w:eastAsia="Times New Roman" w:hAnsi="Times New Roman" w:cs="Times New Roman"/>
          <w:color w:val="000000"/>
          <w:lang w:val="es-CR" w:eastAsia="es-CR"/>
        </w:rPr>
        <w:t>y una modalidad específica</w:t>
      </w:r>
      <w:r w:rsidR="00A47590">
        <w:rPr>
          <w:rFonts w:ascii="Times New Roman" w:eastAsia="Times New Roman" w:hAnsi="Times New Roman" w:cs="Times New Roman"/>
          <w:color w:val="000000"/>
          <w:lang w:val="es-CR" w:eastAsia="es-CR"/>
        </w:rPr>
        <w:t>, recogida en los artículos 11 y 12,</w:t>
      </w:r>
      <w:r w:rsidR="006368D2">
        <w:rPr>
          <w:rFonts w:ascii="Times New Roman" w:eastAsia="Times New Roman" w:hAnsi="Times New Roman" w:cs="Times New Roman"/>
          <w:color w:val="000000"/>
          <w:lang w:val="es-CR" w:eastAsia="es-CR"/>
        </w:rPr>
        <w:t xml:space="preserve"> establecida para el caso de los fondos creados por leyes especiales o convenciones colectivas</w:t>
      </w:r>
      <w:r w:rsidR="001E3A2F">
        <w:rPr>
          <w:rFonts w:ascii="Times New Roman" w:eastAsia="Times New Roman" w:hAnsi="Times New Roman" w:cs="Times New Roman"/>
          <w:color w:val="000000"/>
          <w:lang w:val="es-CR" w:eastAsia="es-CR"/>
        </w:rPr>
        <w:t>. Al respecto</w:t>
      </w:r>
      <w:r w:rsidR="00F314BB">
        <w:rPr>
          <w:rFonts w:ascii="Times New Roman" w:eastAsia="Times New Roman" w:hAnsi="Times New Roman" w:cs="Times New Roman"/>
          <w:color w:val="000000"/>
          <w:lang w:val="es-CR" w:eastAsia="es-CR"/>
        </w:rPr>
        <w:t>,</w:t>
      </w:r>
      <w:r w:rsidR="001E3A2F">
        <w:rPr>
          <w:rFonts w:ascii="Times New Roman" w:eastAsia="Times New Roman" w:hAnsi="Times New Roman" w:cs="Times New Roman"/>
          <w:color w:val="000000"/>
          <w:lang w:val="es-CR" w:eastAsia="es-CR"/>
        </w:rPr>
        <w:t xml:space="preserve"> indican esas normas lo siguiente</w:t>
      </w:r>
      <w:r w:rsidR="006970F5">
        <w:rPr>
          <w:rFonts w:ascii="Times New Roman" w:eastAsia="Times New Roman" w:hAnsi="Times New Roman" w:cs="Times New Roman"/>
          <w:color w:val="000000"/>
          <w:lang w:val="es-CR" w:eastAsia="es-CR"/>
        </w:rPr>
        <w:t>:</w:t>
      </w:r>
    </w:p>
    <w:p w14:paraId="33808DCA" w14:textId="77777777" w:rsidR="006970F5" w:rsidRDefault="006970F5" w:rsidP="00913295">
      <w:pPr>
        <w:pStyle w:val="Textoindependiente"/>
        <w:ind w:right="49"/>
        <w:jc w:val="both"/>
        <w:rPr>
          <w:rFonts w:ascii="Times New Roman" w:eastAsia="Times New Roman" w:hAnsi="Times New Roman" w:cs="Times New Roman"/>
          <w:color w:val="000000"/>
          <w:lang w:val="es-CR" w:eastAsia="es-CR"/>
        </w:rPr>
      </w:pPr>
    </w:p>
    <w:p w14:paraId="65CC4902" w14:textId="45ABA012" w:rsidR="006970F5" w:rsidRPr="009F23E5" w:rsidRDefault="006970F5" w:rsidP="009F23E5">
      <w:pPr>
        <w:pStyle w:val="Textoindependiente"/>
        <w:ind w:left="284" w:right="49"/>
        <w:jc w:val="both"/>
        <w:rPr>
          <w:rFonts w:ascii="Times New Roman" w:eastAsia="Times New Roman" w:hAnsi="Times New Roman" w:cs="Times New Roman"/>
          <w:i/>
          <w:iCs/>
          <w:color w:val="000000"/>
          <w:lang w:val="es-CR" w:eastAsia="es-CR"/>
        </w:rPr>
      </w:pPr>
      <w:r w:rsidRPr="009F23E5">
        <w:rPr>
          <w:rFonts w:ascii="Times New Roman" w:eastAsia="Times New Roman" w:hAnsi="Times New Roman" w:cs="Times New Roman"/>
          <w:i/>
          <w:iCs/>
          <w:color w:val="000000"/>
          <w:lang w:val="es-CR" w:eastAsia="es-CR"/>
        </w:rPr>
        <w:t xml:space="preserve">Artículo 2º-Cobros parciales. Se realizarán cobros parciales mensuales a los sujetos fiscalizados de enero a noviembre, inclusive. Dichos cobros se determinarán de la siguiente forma: </w:t>
      </w:r>
    </w:p>
    <w:p w14:paraId="1E18EED3" w14:textId="77777777" w:rsidR="006970F5" w:rsidRPr="009F23E5" w:rsidRDefault="006970F5" w:rsidP="009F23E5">
      <w:pPr>
        <w:pStyle w:val="Textoindependiente"/>
        <w:ind w:left="284" w:right="49"/>
        <w:jc w:val="both"/>
        <w:rPr>
          <w:rFonts w:ascii="Times New Roman" w:eastAsia="Times New Roman" w:hAnsi="Times New Roman" w:cs="Times New Roman"/>
          <w:i/>
          <w:iCs/>
          <w:color w:val="000000"/>
          <w:lang w:val="es-CR" w:eastAsia="es-CR"/>
        </w:rPr>
      </w:pPr>
      <w:r w:rsidRPr="009F23E5">
        <w:rPr>
          <w:rFonts w:ascii="Times New Roman" w:eastAsia="Times New Roman" w:hAnsi="Times New Roman" w:cs="Times New Roman"/>
          <w:i/>
          <w:iCs/>
          <w:color w:val="000000"/>
          <w:lang w:val="es-CR" w:eastAsia="es-CR"/>
        </w:rPr>
        <w:t xml:space="preserve">a) Cálculo de la proporción de la contribución de cada sujeto fiscalizado: </w:t>
      </w:r>
    </w:p>
    <w:p w14:paraId="2DBC7C54" w14:textId="77777777" w:rsidR="006970F5" w:rsidRPr="009F23E5" w:rsidRDefault="006970F5" w:rsidP="009F23E5">
      <w:pPr>
        <w:pStyle w:val="Textoindependiente"/>
        <w:ind w:left="284" w:right="49"/>
        <w:jc w:val="both"/>
        <w:rPr>
          <w:rFonts w:ascii="Times New Roman" w:eastAsia="Times New Roman" w:hAnsi="Times New Roman" w:cs="Times New Roman"/>
          <w:i/>
          <w:iCs/>
          <w:color w:val="000000"/>
          <w:lang w:val="es-CR" w:eastAsia="es-CR"/>
        </w:rPr>
      </w:pPr>
      <w:r w:rsidRPr="009F23E5">
        <w:rPr>
          <w:rFonts w:ascii="Times New Roman" w:eastAsia="Times New Roman" w:hAnsi="Times New Roman" w:cs="Times New Roman"/>
          <w:i/>
          <w:iCs/>
          <w:color w:val="000000"/>
          <w:lang w:val="es-CR" w:eastAsia="es-CR"/>
        </w:rPr>
        <w:t>La proporción de la contribución de cada sujeto fiscalizado se determinará con base en la proporción que representan los ingresos brutos anuales del sujeto fiscalizado al 31 de diciembre del año anterior, en relación con la suma de los ingresos brutos anuales de todos los sujetos fiscalizados, con base en la información contable disponible que éstos remitan a la correspondiente Superintendencia, a esa misma fecha de corte:</w:t>
      </w:r>
    </w:p>
    <w:p w14:paraId="4C9E9675" w14:textId="77777777" w:rsidR="006970F5" w:rsidRPr="009F23E5" w:rsidRDefault="006970F5" w:rsidP="009F23E5">
      <w:pPr>
        <w:pStyle w:val="Textoindependiente"/>
        <w:ind w:left="284" w:right="49"/>
        <w:jc w:val="both"/>
        <w:rPr>
          <w:rFonts w:ascii="Times New Roman" w:eastAsia="Times New Roman" w:hAnsi="Times New Roman" w:cs="Times New Roman"/>
          <w:i/>
          <w:iCs/>
          <w:color w:val="000000"/>
          <w:lang w:val="es-CR" w:eastAsia="es-CR"/>
        </w:rPr>
      </w:pPr>
      <w:r w:rsidRPr="009F23E5">
        <w:rPr>
          <w:i/>
          <w:iCs/>
          <w:noProof/>
        </w:rPr>
        <w:drawing>
          <wp:inline distT="0" distB="0" distL="0" distR="0" wp14:anchorId="31C5D305" wp14:editId="02C0B4E1">
            <wp:extent cx="1638300" cy="6286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38300" cy="628650"/>
                    </a:xfrm>
                    <a:prstGeom prst="rect">
                      <a:avLst/>
                    </a:prstGeom>
                  </pic:spPr>
                </pic:pic>
              </a:graphicData>
            </a:graphic>
          </wp:inline>
        </w:drawing>
      </w:r>
    </w:p>
    <w:p w14:paraId="7AFEE1B0" w14:textId="77777777" w:rsidR="006970F5" w:rsidRPr="009F23E5" w:rsidRDefault="006970F5" w:rsidP="009F23E5">
      <w:pPr>
        <w:pStyle w:val="Textoindependiente"/>
        <w:ind w:left="284" w:right="49"/>
        <w:jc w:val="both"/>
        <w:rPr>
          <w:rFonts w:ascii="Times New Roman" w:eastAsia="Times New Roman" w:hAnsi="Times New Roman" w:cs="Times New Roman"/>
          <w:i/>
          <w:iCs/>
          <w:color w:val="000000"/>
          <w:lang w:val="es-CR" w:eastAsia="es-CR"/>
        </w:rPr>
      </w:pPr>
      <w:r w:rsidRPr="009F23E5">
        <w:rPr>
          <w:rFonts w:ascii="Times New Roman" w:eastAsia="Times New Roman" w:hAnsi="Times New Roman" w:cs="Times New Roman"/>
          <w:i/>
          <w:iCs/>
          <w:color w:val="000000"/>
          <w:lang w:val="es-CR" w:eastAsia="es-CR"/>
        </w:rPr>
        <w:t xml:space="preserve">Donde: </w:t>
      </w:r>
    </w:p>
    <w:p w14:paraId="1F251F51" w14:textId="77777777" w:rsidR="006970F5" w:rsidRPr="009F23E5" w:rsidRDefault="006970F5" w:rsidP="009F23E5">
      <w:pPr>
        <w:pStyle w:val="Textoindependiente"/>
        <w:ind w:left="284" w:right="49"/>
        <w:jc w:val="both"/>
        <w:rPr>
          <w:rFonts w:ascii="Times New Roman" w:eastAsia="Times New Roman" w:hAnsi="Times New Roman" w:cs="Times New Roman"/>
          <w:i/>
          <w:iCs/>
          <w:color w:val="000000"/>
          <w:lang w:val="es-CR" w:eastAsia="es-CR"/>
        </w:rPr>
      </w:pPr>
      <w:r w:rsidRPr="009F23E5">
        <w:rPr>
          <w:rFonts w:ascii="Times New Roman" w:eastAsia="Times New Roman" w:hAnsi="Times New Roman" w:cs="Times New Roman"/>
          <w:i/>
          <w:iCs/>
          <w:color w:val="000000"/>
          <w:lang w:val="es-CR" w:eastAsia="es-CR"/>
        </w:rPr>
        <w:t xml:space="preserve">Pi = Proporción a contribuir del sujeto fiscalizado i. </w:t>
      </w:r>
    </w:p>
    <w:p w14:paraId="6E2F1BFF" w14:textId="77777777" w:rsidR="006970F5" w:rsidRPr="009F23E5" w:rsidRDefault="006970F5" w:rsidP="009F23E5">
      <w:pPr>
        <w:pStyle w:val="Textoindependiente"/>
        <w:ind w:left="284" w:right="49"/>
        <w:jc w:val="both"/>
        <w:rPr>
          <w:rFonts w:ascii="Times New Roman" w:eastAsia="Times New Roman" w:hAnsi="Times New Roman" w:cs="Times New Roman"/>
          <w:i/>
          <w:iCs/>
          <w:color w:val="000000"/>
          <w:lang w:val="es-CR" w:eastAsia="es-CR"/>
        </w:rPr>
      </w:pPr>
      <w:r w:rsidRPr="009F23E5">
        <w:rPr>
          <w:rFonts w:ascii="Times New Roman" w:eastAsia="Times New Roman" w:hAnsi="Times New Roman" w:cs="Times New Roman"/>
          <w:i/>
          <w:iCs/>
          <w:color w:val="000000"/>
          <w:lang w:val="es-CR" w:eastAsia="es-CR"/>
        </w:rPr>
        <w:t>Ii = Ingresos brutos del sujeto fiscalizado i al 31 de diciembre del año anterior según información contable remitida a la Superintendencia.</w:t>
      </w:r>
    </w:p>
    <w:p w14:paraId="205200F9" w14:textId="4C422666" w:rsidR="006970F5" w:rsidRPr="009F23E5" w:rsidRDefault="006970F5" w:rsidP="009F23E5">
      <w:pPr>
        <w:pStyle w:val="Textoindependiente"/>
        <w:ind w:left="284" w:right="49"/>
        <w:jc w:val="both"/>
        <w:rPr>
          <w:rFonts w:ascii="Times New Roman" w:eastAsia="Times New Roman" w:hAnsi="Times New Roman" w:cs="Times New Roman"/>
          <w:i/>
          <w:iCs/>
          <w:color w:val="000000"/>
          <w:lang w:val="es-CR" w:eastAsia="es-CR"/>
        </w:rPr>
      </w:pPr>
      <w:r w:rsidRPr="009F23E5">
        <w:rPr>
          <w:rFonts w:ascii="Times New Roman" w:eastAsia="Times New Roman" w:hAnsi="Times New Roman" w:cs="Times New Roman"/>
          <w:i/>
          <w:iCs/>
          <w:color w:val="000000"/>
          <w:lang w:val="es-CR" w:eastAsia="es-CR"/>
        </w:rPr>
        <w:t>i. = Sujeto fiscalizado.</w:t>
      </w:r>
    </w:p>
    <w:p w14:paraId="04FC0356" w14:textId="77777777" w:rsidR="00263963" w:rsidRPr="009F23E5" w:rsidRDefault="00263963" w:rsidP="009F23E5">
      <w:pPr>
        <w:pStyle w:val="Textoindependiente"/>
        <w:ind w:left="284" w:right="49"/>
        <w:jc w:val="both"/>
        <w:rPr>
          <w:rFonts w:ascii="Times New Roman" w:eastAsia="Times New Roman" w:hAnsi="Times New Roman" w:cs="Times New Roman"/>
          <w:i/>
          <w:iCs/>
          <w:color w:val="000000"/>
          <w:lang w:val="es-CR" w:eastAsia="es-CR"/>
        </w:rPr>
      </w:pPr>
    </w:p>
    <w:p w14:paraId="5318BA88" w14:textId="7DE6C3A6" w:rsidR="006970F5" w:rsidRPr="00E046CC" w:rsidRDefault="006970F5" w:rsidP="009F23E5">
      <w:pPr>
        <w:pStyle w:val="Textoindependiente"/>
        <w:ind w:left="284" w:right="49"/>
        <w:jc w:val="both"/>
        <w:rPr>
          <w:rFonts w:ascii="Times New Roman" w:eastAsia="Times New Roman" w:hAnsi="Times New Roman" w:cs="Times New Roman"/>
          <w:i/>
          <w:iCs/>
          <w:color w:val="000000"/>
          <w:lang w:val="es-CR" w:eastAsia="es-CR"/>
        </w:rPr>
      </w:pPr>
      <w:r w:rsidRPr="00E046CC">
        <w:rPr>
          <w:rFonts w:ascii="Times New Roman" w:eastAsia="Times New Roman" w:hAnsi="Times New Roman" w:cs="Times New Roman"/>
          <w:i/>
          <w:iCs/>
          <w:color w:val="000000"/>
          <w:lang w:val="es-CR" w:eastAsia="es-CR"/>
        </w:rPr>
        <w:t>Artículo 11.-Cálculo de la contribución a cargo de los fondos creados por leyes especiales o convenciones colectivas</w:t>
      </w:r>
    </w:p>
    <w:p w14:paraId="29C685A6" w14:textId="77777777" w:rsidR="006970F5" w:rsidRPr="009F23E5" w:rsidRDefault="006970F5" w:rsidP="009F23E5">
      <w:pPr>
        <w:pStyle w:val="Textoindependiente"/>
        <w:ind w:left="284" w:right="49"/>
        <w:jc w:val="both"/>
        <w:rPr>
          <w:rFonts w:ascii="Times New Roman" w:eastAsia="Times New Roman" w:hAnsi="Times New Roman" w:cs="Times New Roman"/>
          <w:i/>
          <w:iCs/>
          <w:color w:val="000000"/>
          <w:lang w:val="es-CR" w:eastAsia="es-CR"/>
        </w:rPr>
      </w:pPr>
      <w:r w:rsidRPr="009F23E5">
        <w:rPr>
          <w:rFonts w:ascii="Times New Roman" w:eastAsia="Times New Roman" w:hAnsi="Times New Roman" w:cs="Times New Roman"/>
          <w:i/>
          <w:iCs/>
          <w:color w:val="000000"/>
          <w:lang w:val="es-CR" w:eastAsia="es-CR"/>
        </w:rPr>
        <w:t xml:space="preserve">Tratándose de fondos creados por leyes especiales o convenciones colectivas cuyos administradores no perciban retribución alguna por su administración, se tomará como base de cálculo de la contribución los gastos anuales, directos e indirectos, en que se haya incurrido con motivo de la administración de los fondos. </w:t>
      </w:r>
    </w:p>
    <w:p w14:paraId="25CF0604" w14:textId="77777777" w:rsidR="006970F5" w:rsidRPr="009F23E5" w:rsidRDefault="006970F5" w:rsidP="009F23E5">
      <w:pPr>
        <w:pStyle w:val="Textoindependiente"/>
        <w:ind w:left="284" w:right="49"/>
        <w:jc w:val="both"/>
        <w:rPr>
          <w:rFonts w:ascii="Times New Roman" w:eastAsia="Times New Roman" w:hAnsi="Times New Roman" w:cs="Times New Roman"/>
          <w:i/>
          <w:iCs/>
          <w:color w:val="000000"/>
          <w:lang w:val="es-CR" w:eastAsia="es-CR"/>
        </w:rPr>
      </w:pPr>
      <w:r w:rsidRPr="009F23E5">
        <w:rPr>
          <w:rFonts w:ascii="Times New Roman" w:eastAsia="Times New Roman" w:hAnsi="Times New Roman" w:cs="Times New Roman"/>
          <w:i/>
          <w:iCs/>
          <w:color w:val="000000"/>
          <w:lang w:val="es-CR" w:eastAsia="es-CR"/>
        </w:rPr>
        <w:t xml:space="preserve">Para los fondos creados por leyes especiales o convenciones colectivas cuyos administradores perciban una retribución por su gestión, se tomará como base de cálculo de la contribución, los ingresos anuales que haya recibido la entidad administradora con motivo de la administración de los fondos. </w:t>
      </w:r>
    </w:p>
    <w:p w14:paraId="6DD5D9A0" w14:textId="46A77344" w:rsidR="00EC1CEE" w:rsidRDefault="006970F5" w:rsidP="009F23E5">
      <w:pPr>
        <w:pStyle w:val="Textoindependiente"/>
        <w:ind w:left="284" w:right="49"/>
        <w:jc w:val="both"/>
        <w:rPr>
          <w:rFonts w:ascii="Times New Roman" w:eastAsia="Times New Roman" w:hAnsi="Times New Roman" w:cs="Times New Roman"/>
          <w:i/>
          <w:iCs/>
          <w:color w:val="000000"/>
          <w:lang w:val="es-CR" w:eastAsia="es-CR"/>
        </w:rPr>
      </w:pPr>
      <w:r w:rsidRPr="009F23E5">
        <w:rPr>
          <w:rFonts w:ascii="Times New Roman" w:eastAsia="Times New Roman" w:hAnsi="Times New Roman" w:cs="Times New Roman"/>
          <w:i/>
          <w:iCs/>
          <w:color w:val="000000"/>
          <w:lang w:val="es-CR" w:eastAsia="es-CR"/>
        </w:rPr>
        <w:t>Los gastos e ingresos a que se refieren los párrafos anteriores de este artículo, para los efectos de este reglamento, se reputarán como los ingresos brutos de la entidad administradora.</w:t>
      </w:r>
    </w:p>
    <w:p w14:paraId="20FDC901" w14:textId="0B2E2ABF" w:rsidR="00126FE4" w:rsidRDefault="00126FE4" w:rsidP="009F23E5">
      <w:pPr>
        <w:pStyle w:val="Textoindependiente"/>
        <w:ind w:left="284" w:right="49"/>
        <w:jc w:val="both"/>
        <w:rPr>
          <w:rFonts w:ascii="Times New Roman" w:eastAsia="Times New Roman" w:hAnsi="Times New Roman" w:cs="Times New Roman"/>
          <w:i/>
          <w:iCs/>
          <w:color w:val="000000"/>
          <w:lang w:val="es-CR" w:eastAsia="es-CR"/>
        </w:rPr>
      </w:pPr>
    </w:p>
    <w:p w14:paraId="2246822F" w14:textId="77777777" w:rsidR="00126FE4" w:rsidRPr="00126FE4" w:rsidRDefault="00126FE4" w:rsidP="00126FE4">
      <w:pPr>
        <w:pStyle w:val="Textoindependiente"/>
        <w:ind w:left="284" w:right="49"/>
        <w:jc w:val="both"/>
        <w:rPr>
          <w:rFonts w:ascii="Times New Roman" w:eastAsia="Times New Roman" w:hAnsi="Times New Roman" w:cs="Times New Roman"/>
          <w:i/>
          <w:iCs/>
          <w:color w:val="000000"/>
          <w:lang w:val="es-CR" w:eastAsia="es-CR"/>
        </w:rPr>
      </w:pPr>
      <w:r w:rsidRPr="00126FE4">
        <w:rPr>
          <w:rFonts w:ascii="Times New Roman" w:eastAsia="Times New Roman" w:hAnsi="Times New Roman" w:cs="Times New Roman"/>
          <w:i/>
          <w:iCs/>
          <w:color w:val="000000"/>
          <w:lang w:val="es-CR" w:eastAsia="es-CR"/>
        </w:rPr>
        <w:t xml:space="preserve">Artículo 12.-Remisión de información para el cálculo. Los gastos e ingresos a que se refiere el artículo anterior deberán ser suministrados por el Órgano de Administración del Fondo a la Superintendencia de Pensiones con corte al 31 de diciembre de cada año. El documento que contenga la información de los gastos o ingresos antes referidos deberá ser suscrito por el Presidente del Órgano de Dirección. </w:t>
      </w:r>
    </w:p>
    <w:p w14:paraId="1C0B80DD" w14:textId="77777777" w:rsidR="00126FE4" w:rsidRPr="00126FE4" w:rsidRDefault="00126FE4" w:rsidP="00126FE4">
      <w:pPr>
        <w:pStyle w:val="Textoindependiente"/>
        <w:ind w:left="284" w:right="49"/>
        <w:jc w:val="both"/>
        <w:rPr>
          <w:rFonts w:ascii="Times New Roman" w:eastAsia="Times New Roman" w:hAnsi="Times New Roman" w:cs="Times New Roman"/>
          <w:i/>
          <w:iCs/>
          <w:color w:val="000000"/>
          <w:lang w:val="es-CR" w:eastAsia="es-CR"/>
        </w:rPr>
      </w:pPr>
      <w:r w:rsidRPr="00126FE4">
        <w:rPr>
          <w:rFonts w:ascii="Times New Roman" w:eastAsia="Times New Roman" w:hAnsi="Times New Roman" w:cs="Times New Roman"/>
          <w:i/>
          <w:iCs/>
          <w:color w:val="000000"/>
          <w:lang w:val="es-CR" w:eastAsia="es-CR"/>
        </w:rPr>
        <w:t>Para el cálculo de los cobros parciales la información deberá ser remitida a la Superintendencia de Pensiones dentro de los primeros diez días hábiles de cada mes de enero para la realización del cálculo de la contribución a que se refiere el artículo 2 del presente reglamento.</w:t>
      </w:r>
    </w:p>
    <w:p w14:paraId="7DBBC643" w14:textId="77777777" w:rsidR="00126FE4" w:rsidRPr="00126FE4" w:rsidRDefault="00126FE4" w:rsidP="00126FE4">
      <w:pPr>
        <w:pStyle w:val="Textoindependiente"/>
        <w:ind w:left="284" w:right="49"/>
        <w:jc w:val="both"/>
        <w:rPr>
          <w:rFonts w:ascii="Times New Roman" w:eastAsia="Times New Roman" w:hAnsi="Times New Roman" w:cs="Times New Roman"/>
          <w:i/>
          <w:iCs/>
          <w:color w:val="000000"/>
          <w:lang w:val="es-CR" w:eastAsia="es-CR"/>
        </w:rPr>
      </w:pPr>
      <w:r w:rsidRPr="00126FE4">
        <w:rPr>
          <w:rFonts w:ascii="Times New Roman" w:eastAsia="Times New Roman" w:hAnsi="Times New Roman" w:cs="Times New Roman"/>
          <w:i/>
          <w:iCs/>
          <w:color w:val="000000"/>
          <w:lang w:val="es-CR" w:eastAsia="es-CR"/>
        </w:rPr>
        <w:t xml:space="preserve">El pago final se ajustará según el procedimiento y plazos establecidos en el artículo 3 del presente reglamento, con base en la información indicada en el párrafo primero de este artículo. Las cuentas de ingresos o gastos utilizadas para el cálculo de la liquidación final del cobro por servicios de supervisión, deberán ser certificadas por un auditor externo. </w:t>
      </w:r>
    </w:p>
    <w:p w14:paraId="052A8D4C" w14:textId="29E5E81A" w:rsidR="00126FE4" w:rsidRPr="009F23E5" w:rsidRDefault="00126FE4" w:rsidP="00126FE4">
      <w:pPr>
        <w:pStyle w:val="Textoindependiente"/>
        <w:ind w:left="284" w:right="49"/>
        <w:jc w:val="both"/>
        <w:rPr>
          <w:rFonts w:ascii="Times New Roman" w:eastAsia="Times New Roman" w:hAnsi="Times New Roman" w:cs="Times New Roman"/>
          <w:i/>
          <w:iCs/>
          <w:color w:val="000000"/>
          <w:lang w:val="es-CR" w:eastAsia="es-CR"/>
        </w:rPr>
      </w:pPr>
      <w:r w:rsidRPr="00126FE4">
        <w:rPr>
          <w:rFonts w:ascii="Times New Roman" w:eastAsia="Times New Roman" w:hAnsi="Times New Roman" w:cs="Times New Roman"/>
          <w:i/>
          <w:iCs/>
          <w:color w:val="000000"/>
          <w:lang w:val="es-CR" w:eastAsia="es-CR"/>
        </w:rPr>
        <w:t>Dicha certificación deberá de presentarse en la misma fecha en que se remita el informe que contiene la opinión de razonabilidad de los estados financieros auditados.</w:t>
      </w:r>
    </w:p>
    <w:p w14:paraId="400AB75A" w14:textId="77777777" w:rsidR="006368D2" w:rsidRDefault="006368D2" w:rsidP="00913295">
      <w:pPr>
        <w:pStyle w:val="Textoindependiente"/>
        <w:ind w:right="49"/>
        <w:jc w:val="both"/>
        <w:rPr>
          <w:rFonts w:ascii="Times New Roman" w:eastAsia="Times New Roman" w:hAnsi="Times New Roman" w:cs="Times New Roman"/>
          <w:color w:val="000000"/>
          <w:lang w:val="es-CR" w:eastAsia="es-CR"/>
        </w:rPr>
      </w:pPr>
    </w:p>
    <w:p w14:paraId="2D9F11BD" w14:textId="69C0E4B5" w:rsidR="00B43B4E" w:rsidRDefault="00380393" w:rsidP="00913295">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E</w:t>
      </w:r>
      <w:r w:rsidR="006970F5">
        <w:rPr>
          <w:rFonts w:ascii="Times New Roman" w:eastAsia="Times New Roman" w:hAnsi="Times New Roman" w:cs="Times New Roman"/>
          <w:color w:val="000000"/>
          <w:lang w:val="es-CR" w:eastAsia="es-CR"/>
        </w:rPr>
        <w:t xml:space="preserve">l artículo </w:t>
      </w:r>
      <w:r w:rsidR="00E43C8D">
        <w:rPr>
          <w:rFonts w:ascii="Times New Roman" w:eastAsia="Times New Roman" w:hAnsi="Times New Roman" w:cs="Times New Roman"/>
          <w:color w:val="000000"/>
          <w:lang w:val="es-CR" w:eastAsia="es-CR"/>
        </w:rPr>
        <w:t>2</w:t>
      </w:r>
      <w:r w:rsidR="007611EA">
        <w:rPr>
          <w:rFonts w:ascii="Times New Roman" w:eastAsia="Times New Roman" w:hAnsi="Times New Roman" w:cs="Times New Roman"/>
          <w:color w:val="000000"/>
          <w:lang w:val="es-CR" w:eastAsia="es-CR"/>
        </w:rPr>
        <w:t xml:space="preserve"> del reglamento</w:t>
      </w:r>
      <w:r w:rsidR="006970F5">
        <w:rPr>
          <w:rFonts w:ascii="Times New Roman" w:eastAsia="Times New Roman" w:hAnsi="Times New Roman" w:cs="Times New Roman"/>
          <w:color w:val="000000"/>
          <w:lang w:val="es-CR" w:eastAsia="es-CR"/>
        </w:rPr>
        <w:t xml:space="preserve"> establece en general una modalidad de cálculo para el pago de la contribución que toma como referencia </w:t>
      </w:r>
      <w:r w:rsidR="006970F5" w:rsidRPr="008F1233">
        <w:rPr>
          <w:rFonts w:ascii="Times New Roman" w:eastAsia="Times New Roman" w:hAnsi="Times New Roman" w:cs="Times New Roman"/>
          <w:b/>
          <w:bCs/>
          <w:color w:val="000000"/>
          <w:lang w:val="es-CR" w:eastAsia="es-CR"/>
        </w:rPr>
        <w:t>los ingresos brutos anu</w:t>
      </w:r>
      <w:r w:rsidR="007611EA" w:rsidRPr="008F1233">
        <w:rPr>
          <w:rFonts w:ascii="Times New Roman" w:eastAsia="Times New Roman" w:hAnsi="Times New Roman" w:cs="Times New Roman"/>
          <w:b/>
          <w:bCs/>
          <w:color w:val="000000"/>
          <w:lang w:val="es-CR" w:eastAsia="es-CR"/>
        </w:rPr>
        <w:t>a</w:t>
      </w:r>
      <w:r w:rsidR="006970F5" w:rsidRPr="008F1233">
        <w:rPr>
          <w:rFonts w:ascii="Times New Roman" w:eastAsia="Times New Roman" w:hAnsi="Times New Roman" w:cs="Times New Roman"/>
          <w:b/>
          <w:bCs/>
          <w:color w:val="000000"/>
          <w:lang w:val="es-CR" w:eastAsia="es-CR"/>
        </w:rPr>
        <w:t>les</w:t>
      </w:r>
      <w:r w:rsidR="006970F5" w:rsidRPr="006970F5">
        <w:rPr>
          <w:rFonts w:ascii="Times New Roman" w:eastAsia="Times New Roman" w:hAnsi="Times New Roman" w:cs="Times New Roman"/>
          <w:color w:val="000000"/>
          <w:lang w:val="es-CR" w:eastAsia="es-CR"/>
        </w:rPr>
        <w:t xml:space="preserve"> del sujeto fiscalizado al 31 de diciembre del año anterior</w:t>
      </w:r>
      <w:r w:rsidR="006970F5">
        <w:rPr>
          <w:rFonts w:ascii="Times New Roman" w:eastAsia="Times New Roman" w:hAnsi="Times New Roman" w:cs="Times New Roman"/>
          <w:color w:val="000000"/>
          <w:lang w:val="es-CR" w:eastAsia="es-CR"/>
        </w:rPr>
        <w:t xml:space="preserve">, mientras que el artículo </w:t>
      </w:r>
      <w:r w:rsidR="00E43C8D">
        <w:rPr>
          <w:rFonts w:ascii="Times New Roman" w:eastAsia="Times New Roman" w:hAnsi="Times New Roman" w:cs="Times New Roman"/>
          <w:color w:val="000000"/>
          <w:lang w:val="es-CR" w:eastAsia="es-CR"/>
        </w:rPr>
        <w:t>11</w:t>
      </w:r>
      <w:r w:rsidR="00AD07A3">
        <w:rPr>
          <w:rFonts w:ascii="Times New Roman" w:eastAsia="Times New Roman" w:hAnsi="Times New Roman" w:cs="Times New Roman"/>
          <w:color w:val="000000"/>
          <w:lang w:val="es-CR" w:eastAsia="es-CR"/>
        </w:rPr>
        <w:t>,</w:t>
      </w:r>
      <w:r w:rsidR="006970F5">
        <w:rPr>
          <w:rFonts w:ascii="Times New Roman" w:eastAsia="Times New Roman" w:hAnsi="Times New Roman" w:cs="Times New Roman"/>
          <w:color w:val="000000"/>
          <w:lang w:val="es-CR" w:eastAsia="es-CR"/>
        </w:rPr>
        <w:t xml:space="preserve"> aplicable para los </w:t>
      </w:r>
      <w:r w:rsidR="006970F5" w:rsidRPr="006970F5">
        <w:rPr>
          <w:rFonts w:ascii="Times New Roman" w:eastAsia="Times New Roman" w:hAnsi="Times New Roman" w:cs="Times New Roman"/>
          <w:color w:val="000000"/>
          <w:lang w:val="es-CR" w:eastAsia="es-CR"/>
        </w:rPr>
        <w:t>fondos creados por leyes especiales o convenciones colectivas</w:t>
      </w:r>
      <w:r w:rsidR="006970F5">
        <w:rPr>
          <w:rFonts w:ascii="Times New Roman" w:eastAsia="Times New Roman" w:hAnsi="Times New Roman" w:cs="Times New Roman"/>
          <w:color w:val="000000"/>
          <w:lang w:val="es-CR" w:eastAsia="es-CR"/>
        </w:rPr>
        <w:t>, establece un</w:t>
      </w:r>
      <w:r w:rsidR="007611EA">
        <w:rPr>
          <w:rFonts w:ascii="Times New Roman" w:eastAsia="Times New Roman" w:hAnsi="Times New Roman" w:cs="Times New Roman"/>
          <w:color w:val="000000"/>
          <w:lang w:val="es-CR" w:eastAsia="es-CR"/>
        </w:rPr>
        <w:t>a</w:t>
      </w:r>
      <w:r w:rsidR="006970F5">
        <w:rPr>
          <w:rFonts w:ascii="Times New Roman" w:eastAsia="Times New Roman" w:hAnsi="Times New Roman" w:cs="Times New Roman"/>
          <w:color w:val="000000"/>
          <w:lang w:val="es-CR" w:eastAsia="es-CR"/>
        </w:rPr>
        <w:t xml:space="preserve"> modalidad </w:t>
      </w:r>
      <w:r w:rsidR="007611EA">
        <w:rPr>
          <w:rFonts w:ascii="Times New Roman" w:eastAsia="Times New Roman" w:hAnsi="Times New Roman" w:cs="Times New Roman"/>
          <w:color w:val="000000"/>
          <w:lang w:val="es-CR" w:eastAsia="es-CR"/>
        </w:rPr>
        <w:t>que toma como referencia</w:t>
      </w:r>
      <w:r w:rsidR="002320CD">
        <w:rPr>
          <w:rFonts w:ascii="Times New Roman" w:eastAsia="Times New Roman" w:hAnsi="Times New Roman" w:cs="Times New Roman"/>
          <w:color w:val="000000"/>
          <w:lang w:val="es-CR" w:eastAsia="es-CR"/>
        </w:rPr>
        <w:t xml:space="preserve"> los siguientes aspectos</w:t>
      </w:r>
      <w:r w:rsidR="007611EA">
        <w:rPr>
          <w:rFonts w:ascii="Times New Roman" w:eastAsia="Times New Roman" w:hAnsi="Times New Roman" w:cs="Times New Roman"/>
          <w:color w:val="000000"/>
          <w:lang w:val="es-CR" w:eastAsia="es-CR"/>
        </w:rPr>
        <w:t xml:space="preserve">: </w:t>
      </w:r>
    </w:p>
    <w:p w14:paraId="11E08D95" w14:textId="77777777" w:rsidR="007A27E5" w:rsidRDefault="007A27E5" w:rsidP="00913295">
      <w:pPr>
        <w:pStyle w:val="Textoindependiente"/>
        <w:ind w:right="49"/>
        <w:jc w:val="both"/>
        <w:rPr>
          <w:rFonts w:ascii="Times New Roman" w:eastAsia="Times New Roman" w:hAnsi="Times New Roman" w:cs="Times New Roman"/>
          <w:color w:val="000000"/>
          <w:lang w:val="es-CR" w:eastAsia="es-CR"/>
        </w:rPr>
      </w:pPr>
    </w:p>
    <w:p w14:paraId="543CF643" w14:textId="17A4DA88" w:rsidR="00B43B4E" w:rsidRDefault="00E43C8D" w:rsidP="008F1233">
      <w:pPr>
        <w:pStyle w:val="Textoindependiente"/>
        <w:numPr>
          <w:ilvl w:val="0"/>
          <w:numId w:val="21"/>
        </w:numPr>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l</w:t>
      </w:r>
      <w:r w:rsidR="006970F5">
        <w:rPr>
          <w:rFonts w:ascii="Times New Roman" w:eastAsia="Times New Roman" w:hAnsi="Times New Roman" w:cs="Times New Roman"/>
          <w:color w:val="000000"/>
          <w:lang w:val="es-CR" w:eastAsia="es-CR"/>
        </w:rPr>
        <w:t xml:space="preserve">os </w:t>
      </w:r>
      <w:r w:rsidR="006970F5" w:rsidRPr="006970F5">
        <w:rPr>
          <w:rFonts w:ascii="Times New Roman" w:eastAsia="Times New Roman" w:hAnsi="Times New Roman" w:cs="Times New Roman"/>
          <w:color w:val="000000"/>
          <w:lang w:val="es-CR" w:eastAsia="es-CR"/>
        </w:rPr>
        <w:t>gastos anuales, directos e indirectos, en que haya incurrido</w:t>
      </w:r>
      <w:r w:rsidR="007611EA">
        <w:rPr>
          <w:rFonts w:ascii="Times New Roman" w:eastAsia="Times New Roman" w:hAnsi="Times New Roman" w:cs="Times New Roman"/>
          <w:color w:val="000000"/>
          <w:lang w:val="es-CR" w:eastAsia="es-CR"/>
        </w:rPr>
        <w:t xml:space="preserve"> la entidad administradora</w:t>
      </w:r>
      <w:r w:rsidR="006970F5" w:rsidRPr="006970F5">
        <w:rPr>
          <w:rFonts w:ascii="Times New Roman" w:eastAsia="Times New Roman" w:hAnsi="Times New Roman" w:cs="Times New Roman"/>
          <w:color w:val="000000"/>
          <w:lang w:val="es-CR" w:eastAsia="es-CR"/>
        </w:rPr>
        <w:t xml:space="preserve"> con motivo de la administración de los fondos</w:t>
      </w:r>
      <w:r w:rsidR="007611EA">
        <w:rPr>
          <w:rFonts w:ascii="Times New Roman" w:eastAsia="Times New Roman" w:hAnsi="Times New Roman" w:cs="Times New Roman"/>
          <w:color w:val="000000"/>
          <w:lang w:val="es-CR" w:eastAsia="es-CR"/>
        </w:rPr>
        <w:t xml:space="preserve"> (en el caso de </w:t>
      </w:r>
      <w:r w:rsidR="00983629">
        <w:rPr>
          <w:rFonts w:ascii="Times New Roman" w:eastAsia="Times New Roman" w:hAnsi="Times New Roman" w:cs="Times New Roman"/>
          <w:color w:val="000000"/>
          <w:lang w:val="es-CR" w:eastAsia="es-CR"/>
        </w:rPr>
        <w:t xml:space="preserve">las </w:t>
      </w:r>
      <w:r w:rsidR="007611EA">
        <w:rPr>
          <w:rFonts w:ascii="Times New Roman" w:eastAsia="Times New Roman" w:hAnsi="Times New Roman" w:cs="Times New Roman"/>
          <w:color w:val="000000"/>
          <w:lang w:val="es-CR" w:eastAsia="es-CR"/>
        </w:rPr>
        <w:t xml:space="preserve">entidades administradoras que no reciben remuneración por la administración), </w:t>
      </w:r>
      <w:r w:rsidR="00983629">
        <w:rPr>
          <w:rFonts w:ascii="Times New Roman" w:eastAsia="Times New Roman" w:hAnsi="Times New Roman" w:cs="Times New Roman"/>
          <w:color w:val="000000"/>
          <w:lang w:val="es-CR" w:eastAsia="es-CR"/>
        </w:rPr>
        <w:t>o</w:t>
      </w:r>
    </w:p>
    <w:p w14:paraId="2A60544C" w14:textId="77777777" w:rsidR="009348B3" w:rsidRDefault="009348B3" w:rsidP="009348B3">
      <w:pPr>
        <w:pStyle w:val="Textoindependiente"/>
        <w:ind w:left="720" w:right="49"/>
        <w:jc w:val="both"/>
        <w:rPr>
          <w:rFonts w:ascii="Times New Roman" w:eastAsia="Times New Roman" w:hAnsi="Times New Roman" w:cs="Times New Roman"/>
          <w:color w:val="000000"/>
          <w:lang w:val="es-CR" w:eastAsia="es-CR"/>
        </w:rPr>
      </w:pPr>
    </w:p>
    <w:p w14:paraId="7628C4A5" w14:textId="32B105C9" w:rsidR="007611EA" w:rsidRDefault="00E43C8D" w:rsidP="008F1233">
      <w:pPr>
        <w:pStyle w:val="Textoindependiente"/>
        <w:numPr>
          <w:ilvl w:val="0"/>
          <w:numId w:val="21"/>
        </w:numPr>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lastRenderedPageBreak/>
        <w:t>l</w:t>
      </w:r>
      <w:r w:rsidR="007611EA" w:rsidRPr="007611EA">
        <w:rPr>
          <w:rFonts w:ascii="Times New Roman" w:eastAsia="Times New Roman" w:hAnsi="Times New Roman" w:cs="Times New Roman"/>
          <w:color w:val="000000"/>
          <w:lang w:val="es-CR" w:eastAsia="es-CR"/>
        </w:rPr>
        <w:t>os ingresos anuales que haya recibido la entidad administradora con motivo de la administración de los fondos</w:t>
      </w:r>
      <w:r w:rsidR="007611EA">
        <w:rPr>
          <w:rFonts w:ascii="Times New Roman" w:eastAsia="Times New Roman" w:hAnsi="Times New Roman" w:cs="Times New Roman"/>
          <w:color w:val="000000"/>
          <w:lang w:val="es-CR" w:eastAsia="es-CR"/>
        </w:rPr>
        <w:t xml:space="preserve"> (en el caso de </w:t>
      </w:r>
      <w:r w:rsidR="00983629">
        <w:rPr>
          <w:rFonts w:ascii="Times New Roman" w:eastAsia="Times New Roman" w:hAnsi="Times New Roman" w:cs="Times New Roman"/>
          <w:color w:val="000000"/>
          <w:lang w:val="es-CR" w:eastAsia="es-CR"/>
        </w:rPr>
        <w:t xml:space="preserve">las </w:t>
      </w:r>
      <w:r w:rsidR="007611EA">
        <w:rPr>
          <w:rFonts w:ascii="Times New Roman" w:eastAsia="Times New Roman" w:hAnsi="Times New Roman" w:cs="Times New Roman"/>
          <w:color w:val="000000"/>
          <w:lang w:val="es-CR" w:eastAsia="es-CR"/>
        </w:rPr>
        <w:t>entidades administradoras que s</w:t>
      </w:r>
      <w:r w:rsidR="003A1115">
        <w:rPr>
          <w:rFonts w:ascii="Times New Roman" w:eastAsia="Times New Roman" w:hAnsi="Times New Roman" w:cs="Times New Roman"/>
          <w:color w:val="000000"/>
          <w:lang w:val="es-CR" w:eastAsia="es-CR"/>
        </w:rPr>
        <w:t xml:space="preserve">í </w:t>
      </w:r>
      <w:r w:rsidR="007611EA">
        <w:rPr>
          <w:rFonts w:ascii="Times New Roman" w:eastAsia="Times New Roman" w:hAnsi="Times New Roman" w:cs="Times New Roman"/>
          <w:color w:val="000000"/>
          <w:lang w:val="es-CR" w:eastAsia="es-CR"/>
        </w:rPr>
        <w:t>reciben remuneración por la administración).</w:t>
      </w:r>
    </w:p>
    <w:p w14:paraId="150CDCB0" w14:textId="77777777" w:rsidR="00B9025E" w:rsidRDefault="00B9025E" w:rsidP="00913295">
      <w:pPr>
        <w:pStyle w:val="Textoindependiente"/>
        <w:ind w:right="49"/>
        <w:jc w:val="both"/>
        <w:rPr>
          <w:rFonts w:ascii="Times New Roman" w:eastAsia="Times New Roman" w:hAnsi="Times New Roman" w:cs="Times New Roman"/>
          <w:color w:val="000000"/>
          <w:lang w:val="es-CR" w:eastAsia="es-CR"/>
        </w:rPr>
      </w:pPr>
    </w:p>
    <w:p w14:paraId="13D27046" w14:textId="77777777" w:rsidR="005A2468" w:rsidRDefault="00C017AC" w:rsidP="00913295">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 xml:space="preserve">Ahora bien, la consulta de </w:t>
      </w:r>
      <w:r w:rsidR="00103A63">
        <w:rPr>
          <w:rFonts w:ascii="Times New Roman" w:eastAsia="Times New Roman" w:hAnsi="Times New Roman" w:cs="Times New Roman"/>
          <w:color w:val="000000"/>
          <w:lang w:val="es-CR" w:eastAsia="es-CR"/>
        </w:rPr>
        <w:t xml:space="preserve">la Auditoría Interna se encuentra referida a dos fondos complementarios especiales que son administrados por </w:t>
      </w:r>
      <w:r w:rsidR="005A2468">
        <w:rPr>
          <w:rFonts w:ascii="Times New Roman" w:eastAsia="Times New Roman" w:hAnsi="Times New Roman" w:cs="Times New Roman"/>
          <w:color w:val="000000"/>
          <w:lang w:val="es-CR" w:eastAsia="es-CR"/>
        </w:rPr>
        <w:t xml:space="preserve">operadoras de pensiones. Estos son: </w:t>
      </w:r>
    </w:p>
    <w:p w14:paraId="3FFFB8B4" w14:textId="77777777" w:rsidR="005A2468" w:rsidRDefault="005A2468" w:rsidP="00913295">
      <w:pPr>
        <w:pStyle w:val="Textoindependiente"/>
        <w:ind w:right="49"/>
        <w:jc w:val="both"/>
        <w:rPr>
          <w:rFonts w:ascii="Times New Roman" w:eastAsia="Times New Roman" w:hAnsi="Times New Roman" w:cs="Times New Roman"/>
          <w:color w:val="000000"/>
          <w:lang w:val="es-CR" w:eastAsia="es-CR"/>
        </w:rPr>
      </w:pPr>
    </w:p>
    <w:p w14:paraId="046064F4" w14:textId="3AF938D3" w:rsidR="005A2468" w:rsidRDefault="00031B04" w:rsidP="005A2468">
      <w:pPr>
        <w:pStyle w:val="Textoindependiente"/>
        <w:numPr>
          <w:ilvl w:val="0"/>
          <w:numId w:val="22"/>
        </w:numPr>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 xml:space="preserve">Fondo </w:t>
      </w:r>
      <w:r w:rsidR="00871834">
        <w:rPr>
          <w:rFonts w:ascii="Times New Roman" w:eastAsia="Times New Roman" w:hAnsi="Times New Roman" w:cs="Times New Roman"/>
          <w:color w:val="000000"/>
          <w:lang w:val="es-CR" w:eastAsia="es-CR"/>
        </w:rPr>
        <w:t>de jubilaciones de los empleados del Banco de Costa Rica</w:t>
      </w:r>
      <w:r w:rsidR="00215FC6">
        <w:rPr>
          <w:rFonts w:ascii="Times New Roman" w:eastAsia="Times New Roman" w:hAnsi="Times New Roman" w:cs="Times New Roman"/>
          <w:color w:val="000000"/>
          <w:lang w:val="es-CR" w:eastAsia="es-CR"/>
        </w:rPr>
        <w:t xml:space="preserve"> (FJ</w:t>
      </w:r>
      <w:r w:rsidR="004D5952">
        <w:rPr>
          <w:rFonts w:ascii="Times New Roman" w:eastAsia="Times New Roman" w:hAnsi="Times New Roman" w:cs="Times New Roman"/>
          <w:color w:val="000000"/>
          <w:lang w:val="es-CR" w:eastAsia="es-CR"/>
        </w:rPr>
        <w:t>EBCR)</w:t>
      </w:r>
      <w:r w:rsidR="00503730">
        <w:rPr>
          <w:rFonts w:ascii="Times New Roman" w:eastAsia="Times New Roman" w:hAnsi="Times New Roman" w:cs="Times New Roman"/>
          <w:color w:val="000000"/>
          <w:lang w:val="es-CR" w:eastAsia="es-CR"/>
        </w:rPr>
        <w:t xml:space="preserve">, administrado por BCR Pensiones OPC. </w:t>
      </w:r>
    </w:p>
    <w:p w14:paraId="3A33F00B" w14:textId="77777777" w:rsidR="00081F18" w:rsidRDefault="00081F18" w:rsidP="00081F18">
      <w:pPr>
        <w:pStyle w:val="Textoindependiente"/>
        <w:ind w:left="780" w:right="49"/>
        <w:jc w:val="both"/>
        <w:rPr>
          <w:rFonts w:ascii="Times New Roman" w:eastAsia="Times New Roman" w:hAnsi="Times New Roman" w:cs="Times New Roman"/>
          <w:color w:val="000000"/>
          <w:lang w:val="es-CR" w:eastAsia="es-CR"/>
        </w:rPr>
      </w:pPr>
    </w:p>
    <w:p w14:paraId="7B9886B7" w14:textId="5249A413" w:rsidR="00871834" w:rsidRDefault="00E11B07" w:rsidP="005A2468">
      <w:pPr>
        <w:pStyle w:val="Textoindependiente"/>
        <w:numPr>
          <w:ilvl w:val="0"/>
          <w:numId w:val="22"/>
        </w:numPr>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Fondo de Jubilaciones de los funcionarios y empleados del Instituto Costarricense de Turismo</w:t>
      </w:r>
      <w:r w:rsidR="004D5952">
        <w:rPr>
          <w:rFonts w:ascii="Times New Roman" w:eastAsia="Times New Roman" w:hAnsi="Times New Roman" w:cs="Times New Roman"/>
          <w:color w:val="000000"/>
          <w:lang w:val="es-CR" w:eastAsia="es-CR"/>
        </w:rPr>
        <w:t xml:space="preserve"> (FJFEICT)</w:t>
      </w:r>
      <w:r w:rsidR="00503730">
        <w:rPr>
          <w:rFonts w:ascii="Times New Roman" w:eastAsia="Times New Roman" w:hAnsi="Times New Roman" w:cs="Times New Roman"/>
          <w:color w:val="000000"/>
          <w:lang w:val="es-CR" w:eastAsia="es-CR"/>
        </w:rPr>
        <w:t xml:space="preserve">, administrado por la Operadora de Pensiones Complementarias del Banco Popular y de Desarrollo Comunal </w:t>
      </w:r>
      <w:r w:rsidR="00F71C51">
        <w:rPr>
          <w:rFonts w:ascii="Times New Roman" w:eastAsia="Times New Roman" w:hAnsi="Times New Roman" w:cs="Times New Roman"/>
          <w:color w:val="000000"/>
          <w:lang w:val="es-CR" w:eastAsia="es-CR"/>
        </w:rPr>
        <w:t xml:space="preserve">(Popular Pensiones OPC). </w:t>
      </w:r>
    </w:p>
    <w:p w14:paraId="7FA259B7" w14:textId="77777777" w:rsidR="005A2468" w:rsidRDefault="005A2468" w:rsidP="00913295">
      <w:pPr>
        <w:pStyle w:val="Textoindependiente"/>
        <w:ind w:right="49"/>
        <w:jc w:val="both"/>
        <w:rPr>
          <w:rFonts w:ascii="Times New Roman" w:eastAsia="Times New Roman" w:hAnsi="Times New Roman" w:cs="Times New Roman"/>
          <w:color w:val="000000"/>
          <w:lang w:val="es-CR" w:eastAsia="es-CR"/>
        </w:rPr>
      </w:pPr>
    </w:p>
    <w:p w14:paraId="702AB1C7" w14:textId="07A93026" w:rsidR="00431A4F" w:rsidRDefault="00431A4F" w:rsidP="00913295">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 xml:space="preserve">En ambos casos </w:t>
      </w:r>
      <w:r w:rsidR="009102FF">
        <w:rPr>
          <w:rFonts w:ascii="Times New Roman" w:eastAsia="Times New Roman" w:hAnsi="Times New Roman" w:cs="Times New Roman"/>
          <w:color w:val="000000"/>
          <w:lang w:val="es-CR" w:eastAsia="es-CR"/>
        </w:rPr>
        <w:t>la</w:t>
      </w:r>
      <w:r w:rsidR="00B94FDF">
        <w:rPr>
          <w:rFonts w:ascii="Times New Roman" w:eastAsia="Times New Roman" w:hAnsi="Times New Roman" w:cs="Times New Roman"/>
          <w:color w:val="000000"/>
          <w:lang w:val="es-CR" w:eastAsia="es-CR"/>
        </w:rPr>
        <w:t xml:space="preserve"> </w:t>
      </w:r>
      <w:r w:rsidR="00341E36">
        <w:rPr>
          <w:rFonts w:ascii="Times New Roman" w:eastAsia="Times New Roman" w:hAnsi="Times New Roman" w:cs="Times New Roman"/>
          <w:color w:val="000000"/>
          <w:lang w:val="es-CR" w:eastAsia="es-CR"/>
        </w:rPr>
        <w:t xml:space="preserve">operadora </w:t>
      </w:r>
      <w:r w:rsidR="009102FF">
        <w:rPr>
          <w:rFonts w:ascii="Times New Roman" w:eastAsia="Times New Roman" w:hAnsi="Times New Roman" w:cs="Times New Roman"/>
          <w:color w:val="000000"/>
          <w:lang w:val="es-CR" w:eastAsia="es-CR"/>
        </w:rPr>
        <w:t xml:space="preserve">recibe una </w:t>
      </w:r>
      <w:r w:rsidR="00341E36" w:rsidRPr="00341E36">
        <w:rPr>
          <w:rFonts w:ascii="Times New Roman" w:eastAsia="Times New Roman" w:hAnsi="Times New Roman" w:cs="Times New Roman"/>
          <w:color w:val="000000"/>
          <w:lang w:val="es-CR" w:eastAsia="es-CR"/>
        </w:rPr>
        <w:t xml:space="preserve">comisión por </w:t>
      </w:r>
      <w:r w:rsidR="00341E36">
        <w:rPr>
          <w:rFonts w:ascii="Times New Roman" w:eastAsia="Times New Roman" w:hAnsi="Times New Roman" w:cs="Times New Roman"/>
          <w:color w:val="000000"/>
          <w:lang w:val="es-CR" w:eastAsia="es-CR"/>
        </w:rPr>
        <w:t xml:space="preserve">concepto de </w:t>
      </w:r>
      <w:r w:rsidR="00341E36" w:rsidRPr="00341E36">
        <w:rPr>
          <w:rFonts w:ascii="Times New Roman" w:eastAsia="Times New Roman" w:hAnsi="Times New Roman" w:cs="Times New Roman"/>
          <w:color w:val="000000"/>
          <w:lang w:val="es-CR" w:eastAsia="es-CR"/>
        </w:rPr>
        <w:t xml:space="preserve">administración del </w:t>
      </w:r>
      <w:r w:rsidR="009102FF">
        <w:rPr>
          <w:rFonts w:ascii="Times New Roman" w:eastAsia="Times New Roman" w:hAnsi="Times New Roman" w:cs="Times New Roman"/>
          <w:color w:val="000000"/>
          <w:lang w:val="es-CR" w:eastAsia="es-CR"/>
        </w:rPr>
        <w:t>f</w:t>
      </w:r>
      <w:r w:rsidR="00341E36" w:rsidRPr="00341E36">
        <w:rPr>
          <w:rFonts w:ascii="Times New Roman" w:eastAsia="Times New Roman" w:hAnsi="Times New Roman" w:cs="Times New Roman"/>
          <w:color w:val="000000"/>
          <w:lang w:val="es-CR" w:eastAsia="es-CR"/>
        </w:rPr>
        <w:t>ondo</w:t>
      </w:r>
      <w:r w:rsidR="009102FF">
        <w:rPr>
          <w:rFonts w:ascii="Times New Roman" w:eastAsia="Times New Roman" w:hAnsi="Times New Roman" w:cs="Times New Roman"/>
          <w:color w:val="000000"/>
          <w:lang w:val="es-CR" w:eastAsia="es-CR"/>
        </w:rPr>
        <w:t xml:space="preserve">. </w:t>
      </w:r>
    </w:p>
    <w:p w14:paraId="695E43CC" w14:textId="77777777" w:rsidR="00431A4F" w:rsidRDefault="00431A4F" w:rsidP="00913295">
      <w:pPr>
        <w:pStyle w:val="Textoindependiente"/>
        <w:ind w:right="49"/>
        <w:jc w:val="both"/>
        <w:rPr>
          <w:rFonts w:ascii="Times New Roman" w:eastAsia="Times New Roman" w:hAnsi="Times New Roman" w:cs="Times New Roman"/>
          <w:color w:val="000000"/>
          <w:lang w:val="es-CR" w:eastAsia="es-CR"/>
        </w:rPr>
      </w:pPr>
    </w:p>
    <w:p w14:paraId="40D6D4ED" w14:textId="20539A86" w:rsidR="00B51949" w:rsidRDefault="00B51949" w:rsidP="00913295">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La duda de la Auditoría Inte</w:t>
      </w:r>
      <w:r w:rsidR="0004405B">
        <w:rPr>
          <w:rFonts w:ascii="Times New Roman" w:eastAsia="Times New Roman" w:hAnsi="Times New Roman" w:cs="Times New Roman"/>
          <w:color w:val="000000"/>
          <w:lang w:val="es-CR" w:eastAsia="es-CR"/>
        </w:rPr>
        <w:t>rna surge porque el artículo 1 del Reglamento en mención dispone</w:t>
      </w:r>
      <w:r w:rsidR="00EF26D0">
        <w:rPr>
          <w:rFonts w:ascii="Times New Roman" w:eastAsia="Times New Roman" w:hAnsi="Times New Roman" w:cs="Times New Roman"/>
          <w:color w:val="000000"/>
          <w:lang w:val="es-CR" w:eastAsia="es-CR"/>
        </w:rPr>
        <w:t xml:space="preserve"> que</w:t>
      </w:r>
      <w:r w:rsidR="0004405B">
        <w:rPr>
          <w:rFonts w:ascii="Times New Roman" w:eastAsia="Times New Roman" w:hAnsi="Times New Roman" w:cs="Times New Roman"/>
          <w:color w:val="000000"/>
          <w:lang w:val="es-CR" w:eastAsia="es-CR"/>
        </w:rPr>
        <w:t xml:space="preserve">: </w:t>
      </w:r>
    </w:p>
    <w:p w14:paraId="06B41E65" w14:textId="79128638" w:rsidR="0004405B" w:rsidRDefault="0004405B" w:rsidP="00913295">
      <w:pPr>
        <w:pStyle w:val="Textoindependiente"/>
        <w:ind w:right="49"/>
        <w:jc w:val="both"/>
        <w:rPr>
          <w:rFonts w:ascii="Times New Roman" w:eastAsia="Times New Roman" w:hAnsi="Times New Roman" w:cs="Times New Roman"/>
          <w:color w:val="000000"/>
          <w:lang w:val="es-CR" w:eastAsia="es-CR"/>
        </w:rPr>
      </w:pPr>
    </w:p>
    <w:p w14:paraId="431F387D" w14:textId="77777777" w:rsidR="0004405B" w:rsidRPr="00B94B46" w:rsidRDefault="0004405B" w:rsidP="0004405B">
      <w:pPr>
        <w:pStyle w:val="Textoindependiente"/>
        <w:ind w:left="284" w:right="49"/>
        <w:jc w:val="both"/>
        <w:rPr>
          <w:rFonts w:ascii="Times New Roman" w:eastAsia="Times New Roman" w:hAnsi="Times New Roman" w:cs="Times New Roman"/>
          <w:i/>
          <w:iCs/>
          <w:color w:val="000000"/>
          <w:lang w:val="es-CR" w:eastAsia="es-CR"/>
        </w:rPr>
      </w:pPr>
      <w:r w:rsidRPr="00B94B46">
        <w:rPr>
          <w:rFonts w:ascii="Times New Roman" w:eastAsia="Times New Roman" w:hAnsi="Times New Roman" w:cs="Times New Roman"/>
          <w:i/>
          <w:iCs/>
          <w:color w:val="000000"/>
          <w:lang w:val="es-CR" w:eastAsia="es-CR"/>
        </w:rPr>
        <w:t xml:space="preserve">Artículo 1º-Contribución de los sujetos fiscalizados al presupuesto de las Superintendencias. De conformidad con lo que establecen los artículos 174 y 175 de la Ley Nº7732, Ley Reguladora del Mercado de Valores, los sujetos fiscalizados estarán obligados a contribuir con el 20% del presupuesto de la Superintendencia a cuya supervisión se encuentren sujetos, hasta un máximo del dos por ciento (2%) de sus ingresos brutos anuales o del cero coma uno por ciento (0,1%) anual sobre el monto de la emisión, en el caso de emisores no financieros. </w:t>
      </w:r>
    </w:p>
    <w:p w14:paraId="1FC6F44B" w14:textId="77777777" w:rsidR="0004405B" w:rsidRPr="00B94B46" w:rsidRDefault="0004405B" w:rsidP="0004405B">
      <w:pPr>
        <w:pStyle w:val="Textoindependiente"/>
        <w:ind w:left="284" w:right="49"/>
        <w:jc w:val="both"/>
        <w:rPr>
          <w:rFonts w:ascii="Times New Roman" w:eastAsia="Times New Roman" w:hAnsi="Times New Roman" w:cs="Times New Roman"/>
          <w:i/>
          <w:iCs/>
          <w:color w:val="000000"/>
          <w:lang w:val="es-CR" w:eastAsia="es-CR"/>
        </w:rPr>
      </w:pPr>
      <w:r w:rsidRPr="00B94B46">
        <w:rPr>
          <w:rFonts w:ascii="Times New Roman" w:eastAsia="Times New Roman" w:hAnsi="Times New Roman" w:cs="Times New Roman"/>
          <w:i/>
          <w:iCs/>
          <w:color w:val="000000"/>
          <w:lang w:val="es-CR" w:eastAsia="es-CR"/>
        </w:rPr>
        <w:t xml:space="preserve">[…] </w:t>
      </w:r>
    </w:p>
    <w:p w14:paraId="2E96B5C4" w14:textId="77777777" w:rsidR="0004405B" w:rsidRPr="00622555" w:rsidRDefault="0004405B" w:rsidP="0004405B">
      <w:pPr>
        <w:pStyle w:val="Textoindependiente"/>
        <w:ind w:left="284" w:right="49"/>
        <w:jc w:val="both"/>
        <w:rPr>
          <w:rFonts w:ascii="Times New Roman" w:eastAsia="Times New Roman" w:hAnsi="Times New Roman" w:cs="Times New Roman"/>
          <w:color w:val="000000"/>
          <w:lang w:val="es-CR" w:eastAsia="es-CR"/>
        </w:rPr>
      </w:pPr>
      <w:r w:rsidRPr="00B94B46">
        <w:rPr>
          <w:rFonts w:ascii="Times New Roman" w:eastAsia="Times New Roman" w:hAnsi="Times New Roman" w:cs="Times New Roman"/>
          <w:i/>
          <w:iCs/>
          <w:color w:val="000000"/>
          <w:lang w:val="es-CR" w:eastAsia="es-CR"/>
        </w:rPr>
        <w:t xml:space="preserve">En el caso de los fondos de inversión, los fondos de pensiones administrados por las operadoras de pensiones, así como los creados por leyes especiales o convenciones colectivas, </w:t>
      </w:r>
      <w:r w:rsidRPr="008A0704">
        <w:rPr>
          <w:rFonts w:ascii="Times New Roman" w:eastAsia="Times New Roman" w:hAnsi="Times New Roman" w:cs="Times New Roman"/>
          <w:b/>
          <w:bCs/>
          <w:i/>
          <w:iCs/>
          <w:color w:val="000000"/>
          <w:lang w:val="es-CR" w:eastAsia="es-CR"/>
        </w:rPr>
        <w:t>el pago de la contribución estará a cargo, exclusivamente, de las sociedades administradoras, las operadoras y las entidades que los administran, respectivamente</w:t>
      </w:r>
      <w:r w:rsidRPr="008A0704">
        <w:rPr>
          <w:rFonts w:ascii="Times New Roman" w:eastAsia="Times New Roman" w:hAnsi="Times New Roman" w:cs="Times New Roman"/>
          <w:i/>
          <w:iCs/>
          <w:color w:val="000000"/>
          <w:lang w:val="es-CR" w:eastAsia="es-CR"/>
        </w:rPr>
        <w:t>.</w:t>
      </w:r>
      <w:r>
        <w:rPr>
          <w:rFonts w:ascii="Times New Roman" w:eastAsia="Times New Roman" w:hAnsi="Times New Roman" w:cs="Times New Roman"/>
          <w:i/>
          <w:iCs/>
          <w:color w:val="000000"/>
          <w:lang w:val="es-CR" w:eastAsia="es-CR"/>
        </w:rPr>
        <w:t xml:space="preserve"> </w:t>
      </w:r>
      <w:r>
        <w:rPr>
          <w:rFonts w:ascii="Times New Roman" w:eastAsia="Times New Roman" w:hAnsi="Times New Roman" w:cs="Times New Roman"/>
          <w:color w:val="000000"/>
          <w:lang w:val="es-CR" w:eastAsia="es-CR"/>
        </w:rPr>
        <w:t xml:space="preserve">[Lo resaltado no es del original]. </w:t>
      </w:r>
    </w:p>
    <w:p w14:paraId="6B31CE56" w14:textId="77777777" w:rsidR="00B51949" w:rsidRDefault="00B51949" w:rsidP="00913295">
      <w:pPr>
        <w:pStyle w:val="Textoindependiente"/>
        <w:ind w:right="49"/>
        <w:jc w:val="both"/>
        <w:rPr>
          <w:rFonts w:ascii="Times New Roman" w:eastAsia="Times New Roman" w:hAnsi="Times New Roman" w:cs="Times New Roman"/>
          <w:color w:val="000000"/>
          <w:lang w:val="es-CR" w:eastAsia="es-CR"/>
        </w:rPr>
      </w:pPr>
    </w:p>
    <w:p w14:paraId="2BC7512B" w14:textId="0DB45080" w:rsidR="00B71946" w:rsidRPr="001E14E7" w:rsidRDefault="002A63F1" w:rsidP="00913295">
      <w:pPr>
        <w:pStyle w:val="Textoindependiente"/>
        <w:ind w:right="49"/>
        <w:jc w:val="both"/>
        <w:rPr>
          <w:rFonts w:ascii="Times New Roman" w:eastAsia="Times New Roman" w:hAnsi="Times New Roman" w:cs="Times New Roman"/>
          <w:i/>
          <w:iCs/>
          <w:color w:val="000000"/>
          <w:lang w:val="es-CR" w:eastAsia="es-CR"/>
        </w:rPr>
      </w:pPr>
      <w:r>
        <w:rPr>
          <w:rFonts w:ascii="Times New Roman" w:eastAsia="Times New Roman" w:hAnsi="Times New Roman" w:cs="Times New Roman"/>
          <w:color w:val="000000"/>
          <w:lang w:val="es-CR" w:eastAsia="es-CR"/>
        </w:rPr>
        <w:t xml:space="preserve">De acuerdo con la </w:t>
      </w:r>
      <w:r w:rsidR="001E14E7">
        <w:rPr>
          <w:rFonts w:ascii="Times New Roman" w:eastAsia="Times New Roman" w:hAnsi="Times New Roman" w:cs="Times New Roman"/>
          <w:color w:val="000000"/>
          <w:lang w:val="es-CR" w:eastAsia="es-CR"/>
        </w:rPr>
        <w:t>Auditoría</w:t>
      </w:r>
      <w:r>
        <w:rPr>
          <w:rFonts w:ascii="Times New Roman" w:eastAsia="Times New Roman" w:hAnsi="Times New Roman" w:cs="Times New Roman"/>
          <w:color w:val="000000"/>
          <w:lang w:val="es-CR" w:eastAsia="es-CR"/>
        </w:rPr>
        <w:t xml:space="preserve"> Interna, </w:t>
      </w:r>
      <w:r w:rsidRPr="001E14E7">
        <w:rPr>
          <w:rFonts w:ascii="Times New Roman" w:eastAsia="Times New Roman" w:hAnsi="Times New Roman" w:cs="Times New Roman"/>
          <w:i/>
          <w:iCs/>
          <w:color w:val="000000"/>
          <w:lang w:val="es-CR" w:eastAsia="es-CR"/>
        </w:rPr>
        <w:t>“… hay fondos creados por leyes especiales o convenciones colectivas administrados por una entidad independiente y otros  cuya administración fue contratada a una Operadora de Pensiones; por lo que  podría tenerse que diferenciar entre fondos que disponen de una entidad que los administran como el de Vendedores de Lotería y los que cedieron la administración a una Operadora como los fondos del ICT y BCR; por lo que nuevamente le agradezco me regale el criterio legal en el que se estableció que no existiría una doble imposición por la dinámica actual de cobro</w:t>
      </w:r>
      <w:r w:rsidR="001E14E7" w:rsidRPr="001E14E7">
        <w:rPr>
          <w:rFonts w:ascii="Times New Roman" w:eastAsia="Times New Roman" w:hAnsi="Times New Roman" w:cs="Times New Roman"/>
          <w:i/>
          <w:iCs/>
          <w:color w:val="000000"/>
          <w:lang w:val="es-CR" w:eastAsia="es-CR"/>
        </w:rPr>
        <w:t xml:space="preserve">”. </w:t>
      </w:r>
    </w:p>
    <w:p w14:paraId="5D014D9C" w14:textId="77777777" w:rsidR="00B71946" w:rsidRDefault="00B71946" w:rsidP="00913295">
      <w:pPr>
        <w:pStyle w:val="Textoindependiente"/>
        <w:ind w:right="49"/>
        <w:jc w:val="both"/>
        <w:rPr>
          <w:rFonts w:ascii="Times New Roman" w:eastAsia="Times New Roman" w:hAnsi="Times New Roman" w:cs="Times New Roman"/>
          <w:color w:val="000000"/>
          <w:lang w:val="es-CR" w:eastAsia="es-CR"/>
        </w:rPr>
      </w:pPr>
    </w:p>
    <w:p w14:paraId="5E1D777C" w14:textId="258F88A0" w:rsidR="00E51DF9" w:rsidRDefault="00E51DF9" w:rsidP="00913295">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 xml:space="preserve">Al respecto, considera esta asesoría que una lectura del párrafo final del artículo 1 del Decreto Ejecutivo N°. </w:t>
      </w:r>
      <w:r w:rsidR="00E233B7" w:rsidRPr="00E233B7">
        <w:rPr>
          <w:rFonts w:ascii="Times New Roman" w:eastAsia="Times New Roman" w:hAnsi="Times New Roman" w:cs="Times New Roman"/>
          <w:color w:val="000000"/>
          <w:lang w:val="es-CR" w:eastAsia="es-CR"/>
        </w:rPr>
        <w:t>38292-H</w:t>
      </w:r>
      <w:r w:rsidR="00E233B7">
        <w:rPr>
          <w:rFonts w:ascii="Times New Roman" w:eastAsia="Times New Roman" w:hAnsi="Times New Roman" w:cs="Times New Roman"/>
          <w:color w:val="000000"/>
          <w:lang w:val="es-CR" w:eastAsia="es-CR"/>
        </w:rPr>
        <w:t xml:space="preserve"> permite concluir que </w:t>
      </w:r>
      <w:r w:rsidR="000812B2">
        <w:rPr>
          <w:rFonts w:ascii="Times New Roman" w:eastAsia="Times New Roman" w:hAnsi="Times New Roman" w:cs="Times New Roman"/>
          <w:color w:val="000000"/>
          <w:lang w:val="es-CR" w:eastAsia="es-CR"/>
        </w:rPr>
        <w:t xml:space="preserve">cuando el artículo se refiere a los fondos administrados por las operadoras de pensiones </w:t>
      </w:r>
      <w:r w:rsidR="00CB2EE7">
        <w:rPr>
          <w:rFonts w:ascii="Times New Roman" w:eastAsia="Times New Roman" w:hAnsi="Times New Roman" w:cs="Times New Roman"/>
          <w:color w:val="000000"/>
          <w:lang w:val="es-CR" w:eastAsia="es-CR"/>
        </w:rPr>
        <w:t xml:space="preserve">se refiere a aquellos </w:t>
      </w:r>
      <w:r w:rsidR="006E1B3F">
        <w:rPr>
          <w:rFonts w:ascii="Times New Roman" w:eastAsia="Times New Roman" w:hAnsi="Times New Roman" w:cs="Times New Roman"/>
          <w:color w:val="000000"/>
          <w:lang w:val="es-CR" w:eastAsia="es-CR"/>
        </w:rPr>
        <w:t>establecidos por la Ley de Protección al Trabajador, a saber: Fondo de Capitalización Laboral, Régimen Obligatorio de Pensiones y Régimen Voluntario de Pensiones Complementarias, esto es así porque inmediatamente después la norma aclara</w:t>
      </w:r>
      <w:r w:rsidR="00996CA8">
        <w:rPr>
          <w:rFonts w:ascii="Times New Roman" w:eastAsia="Times New Roman" w:hAnsi="Times New Roman" w:cs="Times New Roman"/>
          <w:color w:val="000000"/>
          <w:lang w:val="es-CR" w:eastAsia="es-CR"/>
        </w:rPr>
        <w:t xml:space="preserve"> </w:t>
      </w:r>
      <w:r w:rsidR="006E1B3F">
        <w:rPr>
          <w:rFonts w:ascii="Times New Roman" w:eastAsia="Times New Roman" w:hAnsi="Times New Roman" w:cs="Times New Roman"/>
          <w:color w:val="000000"/>
          <w:lang w:val="es-CR" w:eastAsia="es-CR"/>
        </w:rPr>
        <w:t xml:space="preserve">que </w:t>
      </w:r>
      <w:r w:rsidR="003758B4">
        <w:rPr>
          <w:rFonts w:ascii="Times New Roman" w:eastAsia="Times New Roman" w:hAnsi="Times New Roman" w:cs="Times New Roman"/>
          <w:color w:val="000000"/>
          <w:lang w:val="es-CR" w:eastAsia="es-CR"/>
        </w:rPr>
        <w:t xml:space="preserve">en el caso de los </w:t>
      </w:r>
      <w:r w:rsidR="00513364">
        <w:rPr>
          <w:rFonts w:ascii="Times New Roman" w:eastAsia="Times New Roman" w:hAnsi="Times New Roman" w:cs="Times New Roman"/>
          <w:color w:val="000000"/>
          <w:lang w:val="es-CR" w:eastAsia="es-CR"/>
        </w:rPr>
        <w:t xml:space="preserve">fondos de pensiones </w:t>
      </w:r>
      <w:r w:rsidR="003758B4" w:rsidRPr="003758B4">
        <w:rPr>
          <w:rFonts w:ascii="Times New Roman" w:eastAsia="Times New Roman" w:hAnsi="Times New Roman" w:cs="Times New Roman"/>
          <w:color w:val="000000"/>
          <w:lang w:val="es-CR" w:eastAsia="es-CR"/>
        </w:rPr>
        <w:t xml:space="preserve">creados por leyes especiales o convenciones colectivas el pago de la contribución estará a cargo, exclusivamente, </w:t>
      </w:r>
      <w:r w:rsidR="00513364">
        <w:rPr>
          <w:rFonts w:ascii="Times New Roman" w:eastAsia="Times New Roman" w:hAnsi="Times New Roman" w:cs="Times New Roman"/>
          <w:color w:val="000000"/>
          <w:lang w:val="es-CR" w:eastAsia="es-CR"/>
        </w:rPr>
        <w:t>de</w:t>
      </w:r>
      <w:r w:rsidR="003758B4" w:rsidRPr="003758B4">
        <w:rPr>
          <w:rFonts w:ascii="Times New Roman" w:eastAsia="Times New Roman" w:hAnsi="Times New Roman" w:cs="Times New Roman"/>
          <w:color w:val="000000"/>
          <w:lang w:val="es-CR" w:eastAsia="es-CR"/>
        </w:rPr>
        <w:t xml:space="preserve"> las entidades que lo administran, </w:t>
      </w:r>
      <w:r w:rsidR="00513364">
        <w:rPr>
          <w:rFonts w:ascii="Times New Roman" w:eastAsia="Times New Roman" w:hAnsi="Times New Roman" w:cs="Times New Roman"/>
          <w:color w:val="000000"/>
          <w:lang w:val="es-CR" w:eastAsia="es-CR"/>
        </w:rPr>
        <w:t>entendidas estas como la junta administradora respectiva</w:t>
      </w:r>
      <w:r w:rsidR="003758B4" w:rsidRPr="003758B4">
        <w:rPr>
          <w:rFonts w:ascii="Times New Roman" w:eastAsia="Times New Roman" w:hAnsi="Times New Roman" w:cs="Times New Roman"/>
          <w:color w:val="000000"/>
          <w:lang w:val="es-CR" w:eastAsia="es-CR"/>
        </w:rPr>
        <w:t>.</w:t>
      </w:r>
    </w:p>
    <w:p w14:paraId="3B631581" w14:textId="77777777" w:rsidR="00E51DF9" w:rsidRDefault="00E51DF9" w:rsidP="00913295">
      <w:pPr>
        <w:pStyle w:val="Textoindependiente"/>
        <w:ind w:right="49"/>
        <w:jc w:val="both"/>
        <w:rPr>
          <w:rFonts w:ascii="Times New Roman" w:eastAsia="Times New Roman" w:hAnsi="Times New Roman" w:cs="Times New Roman"/>
          <w:color w:val="000000"/>
          <w:lang w:val="es-CR" w:eastAsia="es-CR"/>
        </w:rPr>
      </w:pPr>
    </w:p>
    <w:p w14:paraId="392E8EDF" w14:textId="2BA8ED1E" w:rsidR="008209C4" w:rsidRDefault="00513364" w:rsidP="00913295">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Una interpretación distinta implicaría desconocer que</w:t>
      </w:r>
      <w:r w:rsidR="00EB614A">
        <w:rPr>
          <w:rFonts w:ascii="Times New Roman" w:eastAsia="Times New Roman" w:hAnsi="Times New Roman" w:cs="Times New Roman"/>
          <w:color w:val="000000"/>
          <w:lang w:val="es-CR" w:eastAsia="es-CR"/>
        </w:rPr>
        <w:t xml:space="preserve"> la verdadera responsable de la administración de estos fondos es la respectiva junta, la cual no pierde esa condición por el hecho de que se contrate una operadora de pensiones que</w:t>
      </w:r>
      <w:r w:rsidR="005A0A67">
        <w:rPr>
          <w:rFonts w:ascii="Times New Roman" w:eastAsia="Times New Roman" w:hAnsi="Times New Roman" w:cs="Times New Roman"/>
          <w:color w:val="000000"/>
          <w:lang w:val="es-CR" w:eastAsia="es-CR"/>
        </w:rPr>
        <w:t xml:space="preserve"> invierta los recursos, etc. </w:t>
      </w:r>
      <w:r w:rsidR="007A6A99">
        <w:rPr>
          <w:rFonts w:ascii="Times New Roman" w:eastAsia="Times New Roman" w:hAnsi="Times New Roman" w:cs="Times New Roman"/>
          <w:color w:val="000000"/>
          <w:lang w:val="es-CR" w:eastAsia="es-CR"/>
        </w:rPr>
        <w:t xml:space="preserve">La junta administradora, en su condición de órgano de dirección del fondo, tiene funciones propias que se encuentran previstas en </w:t>
      </w:r>
      <w:r w:rsidR="00AE63B1">
        <w:rPr>
          <w:rFonts w:ascii="Times New Roman" w:eastAsia="Times New Roman" w:hAnsi="Times New Roman" w:cs="Times New Roman"/>
          <w:color w:val="000000"/>
          <w:lang w:val="es-CR" w:eastAsia="es-CR"/>
        </w:rPr>
        <w:t xml:space="preserve">el artículo 7 del Reglamento </w:t>
      </w:r>
      <w:r w:rsidR="005028C8">
        <w:rPr>
          <w:rFonts w:ascii="Times New Roman" w:eastAsia="Times New Roman" w:hAnsi="Times New Roman" w:cs="Times New Roman"/>
          <w:color w:val="000000"/>
          <w:lang w:val="es-CR" w:eastAsia="es-CR"/>
        </w:rPr>
        <w:t xml:space="preserve">sobre </w:t>
      </w:r>
      <w:r w:rsidR="00AE63B1">
        <w:rPr>
          <w:rFonts w:ascii="Times New Roman" w:eastAsia="Times New Roman" w:hAnsi="Times New Roman" w:cs="Times New Roman"/>
          <w:color w:val="000000"/>
          <w:lang w:val="es-CR" w:eastAsia="es-CR"/>
        </w:rPr>
        <w:t>Gobierno Corporativo (órgano equivalente a Junta Directiva)</w:t>
      </w:r>
      <w:r w:rsidR="005028C8">
        <w:rPr>
          <w:rFonts w:ascii="Times New Roman" w:eastAsia="Times New Roman" w:hAnsi="Times New Roman" w:cs="Times New Roman"/>
          <w:color w:val="000000"/>
          <w:lang w:val="es-CR" w:eastAsia="es-CR"/>
        </w:rPr>
        <w:t xml:space="preserve">, </w:t>
      </w:r>
      <w:r w:rsidR="00AE63B1">
        <w:rPr>
          <w:rFonts w:ascii="Times New Roman" w:eastAsia="Times New Roman" w:hAnsi="Times New Roman" w:cs="Times New Roman"/>
          <w:color w:val="000000"/>
          <w:lang w:val="es-CR" w:eastAsia="es-CR"/>
        </w:rPr>
        <w:t xml:space="preserve">por lo que los gastos a reportar </w:t>
      </w:r>
      <w:r w:rsidR="005028C8">
        <w:rPr>
          <w:rFonts w:ascii="Times New Roman" w:eastAsia="Times New Roman" w:hAnsi="Times New Roman" w:cs="Times New Roman"/>
          <w:color w:val="000000"/>
          <w:lang w:val="es-CR" w:eastAsia="es-CR"/>
        </w:rPr>
        <w:t xml:space="preserve">para efectos de cobro por supervisión deben </w:t>
      </w:r>
      <w:r w:rsidR="00AE63B1">
        <w:rPr>
          <w:rFonts w:ascii="Times New Roman" w:eastAsia="Times New Roman" w:hAnsi="Times New Roman" w:cs="Times New Roman"/>
          <w:color w:val="000000"/>
          <w:lang w:val="es-CR" w:eastAsia="es-CR"/>
        </w:rPr>
        <w:t xml:space="preserve">guardar relación con </w:t>
      </w:r>
      <w:r w:rsidR="005028C8">
        <w:rPr>
          <w:rFonts w:ascii="Times New Roman" w:eastAsia="Times New Roman" w:hAnsi="Times New Roman" w:cs="Times New Roman"/>
          <w:color w:val="000000"/>
          <w:lang w:val="es-CR" w:eastAsia="es-CR"/>
        </w:rPr>
        <w:t xml:space="preserve">dichas funciones.  </w:t>
      </w:r>
    </w:p>
    <w:p w14:paraId="4A2BCC04" w14:textId="77777777" w:rsidR="00EE01FF" w:rsidRDefault="00EE01FF" w:rsidP="00913295">
      <w:pPr>
        <w:pStyle w:val="Textoindependiente"/>
        <w:ind w:right="49"/>
        <w:jc w:val="both"/>
        <w:rPr>
          <w:rFonts w:ascii="Times New Roman" w:eastAsia="Times New Roman" w:hAnsi="Times New Roman" w:cs="Times New Roman"/>
          <w:color w:val="000000"/>
          <w:lang w:val="es-CR" w:eastAsia="es-CR"/>
        </w:rPr>
      </w:pPr>
    </w:p>
    <w:p w14:paraId="6E65E57B" w14:textId="4C9E8496" w:rsidR="008A4937" w:rsidRDefault="00600A68" w:rsidP="008A4937">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 xml:space="preserve">Ahora, considerando que </w:t>
      </w:r>
      <w:r w:rsidR="00AF766D">
        <w:rPr>
          <w:rFonts w:ascii="Times New Roman" w:eastAsia="Times New Roman" w:hAnsi="Times New Roman" w:cs="Times New Roman"/>
          <w:color w:val="000000"/>
          <w:lang w:val="es-CR" w:eastAsia="es-CR"/>
        </w:rPr>
        <w:t xml:space="preserve">los fondos que motivan </w:t>
      </w:r>
      <w:r w:rsidR="009F4E1B">
        <w:rPr>
          <w:rFonts w:ascii="Times New Roman" w:eastAsia="Times New Roman" w:hAnsi="Times New Roman" w:cs="Times New Roman"/>
          <w:color w:val="000000"/>
          <w:lang w:val="es-CR" w:eastAsia="es-CR"/>
        </w:rPr>
        <w:t>la consulta de la Auditoría Interna</w:t>
      </w:r>
      <w:r>
        <w:rPr>
          <w:rFonts w:ascii="Times New Roman" w:eastAsia="Times New Roman" w:hAnsi="Times New Roman" w:cs="Times New Roman"/>
          <w:color w:val="000000"/>
          <w:lang w:val="es-CR" w:eastAsia="es-CR"/>
        </w:rPr>
        <w:t xml:space="preserve"> se encuentran a cargo de una </w:t>
      </w:r>
      <w:r w:rsidR="008A4937">
        <w:rPr>
          <w:rFonts w:ascii="Times New Roman" w:eastAsia="Times New Roman" w:hAnsi="Times New Roman" w:cs="Times New Roman"/>
          <w:color w:val="000000"/>
          <w:lang w:val="es-CR" w:eastAsia="es-CR"/>
        </w:rPr>
        <w:t xml:space="preserve">junta que no percibe ingresos por su administración, en ambos casos el cobro por supervisión se debe calcular sobre los </w:t>
      </w:r>
      <w:r w:rsidR="008A4937" w:rsidRPr="006B2923">
        <w:rPr>
          <w:rFonts w:ascii="Times New Roman" w:eastAsia="Times New Roman" w:hAnsi="Times New Roman" w:cs="Times New Roman"/>
          <w:color w:val="000000"/>
          <w:lang w:val="es-CR" w:eastAsia="es-CR"/>
        </w:rPr>
        <w:t>gastos anuales, directos e indirectos, en que haya incurrido la entidad administradora con motivo de la administración de</w:t>
      </w:r>
      <w:r w:rsidR="008A4937">
        <w:rPr>
          <w:rFonts w:ascii="Times New Roman" w:eastAsia="Times New Roman" w:hAnsi="Times New Roman" w:cs="Times New Roman"/>
          <w:color w:val="000000"/>
          <w:lang w:val="es-CR" w:eastAsia="es-CR"/>
        </w:rPr>
        <w:t>l</w:t>
      </w:r>
      <w:r w:rsidR="008A4937" w:rsidRPr="006B2923">
        <w:rPr>
          <w:rFonts w:ascii="Times New Roman" w:eastAsia="Times New Roman" w:hAnsi="Times New Roman" w:cs="Times New Roman"/>
          <w:color w:val="000000"/>
          <w:lang w:val="es-CR" w:eastAsia="es-CR"/>
        </w:rPr>
        <w:t xml:space="preserve"> fondo</w:t>
      </w:r>
      <w:r w:rsidR="008A4937">
        <w:rPr>
          <w:rFonts w:ascii="Times New Roman" w:eastAsia="Times New Roman" w:hAnsi="Times New Roman" w:cs="Times New Roman"/>
          <w:color w:val="000000"/>
          <w:lang w:val="es-CR" w:eastAsia="es-CR"/>
        </w:rPr>
        <w:t xml:space="preserve">. </w:t>
      </w:r>
    </w:p>
    <w:p w14:paraId="02E3DB94" w14:textId="2DE66CD7" w:rsidR="00CD17E8" w:rsidRDefault="00CD17E8" w:rsidP="008A4937">
      <w:pPr>
        <w:pStyle w:val="Textoindependiente"/>
        <w:ind w:right="49"/>
        <w:jc w:val="both"/>
        <w:rPr>
          <w:rFonts w:ascii="Times New Roman" w:eastAsia="Times New Roman" w:hAnsi="Times New Roman" w:cs="Times New Roman"/>
          <w:color w:val="000000"/>
          <w:lang w:val="es-CR" w:eastAsia="es-CR"/>
        </w:rPr>
      </w:pPr>
    </w:p>
    <w:p w14:paraId="7BEA2E65" w14:textId="6695C0AD" w:rsidR="00CD17E8" w:rsidRDefault="00CD17E8" w:rsidP="008A4937">
      <w:pPr>
        <w:pStyle w:val="Textoindependiente"/>
        <w:ind w:right="49"/>
        <w:jc w:val="both"/>
        <w:rPr>
          <w:rFonts w:ascii="Times New Roman" w:eastAsia="Times New Roman" w:hAnsi="Times New Roman" w:cs="Times New Roman"/>
          <w:i/>
          <w:iCs/>
          <w:color w:val="000000"/>
          <w:lang w:val="es-CR" w:eastAsia="es-CR"/>
        </w:rPr>
      </w:pPr>
      <w:r>
        <w:rPr>
          <w:rFonts w:ascii="Times New Roman" w:eastAsia="Times New Roman" w:hAnsi="Times New Roman" w:cs="Times New Roman"/>
          <w:color w:val="000000"/>
          <w:lang w:val="es-CR" w:eastAsia="es-CR"/>
        </w:rPr>
        <w:t xml:space="preserve">Es importante aclarar </w:t>
      </w:r>
      <w:r w:rsidR="00AF454E">
        <w:rPr>
          <w:rFonts w:ascii="Times New Roman" w:eastAsia="Times New Roman" w:hAnsi="Times New Roman" w:cs="Times New Roman"/>
          <w:color w:val="000000"/>
          <w:lang w:val="es-CR" w:eastAsia="es-CR"/>
        </w:rPr>
        <w:t>que</w:t>
      </w:r>
      <w:r w:rsidR="00827982">
        <w:rPr>
          <w:rFonts w:ascii="Times New Roman" w:eastAsia="Times New Roman" w:hAnsi="Times New Roman" w:cs="Times New Roman"/>
          <w:color w:val="000000"/>
          <w:lang w:val="es-CR" w:eastAsia="es-CR"/>
        </w:rPr>
        <w:t>,</w:t>
      </w:r>
      <w:r w:rsidR="00AF454E">
        <w:rPr>
          <w:rFonts w:ascii="Times New Roman" w:eastAsia="Times New Roman" w:hAnsi="Times New Roman" w:cs="Times New Roman"/>
          <w:color w:val="000000"/>
          <w:lang w:val="es-CR" w:eastAsia="es-CR"/>
        </w:rPr>
        <w:t xml:space="preserve"> de conformidad con el artículo 12 del Reglamento</w:t>
      </w:r>
      <w:r w:rsidR="00827982">
        <w:rPr>
          <w:rFonts w:ascii="Times New Roman" w:eastAsia="Times New Roman" w:hAnsi="Times New Roman" w:cs="Times New Roman"/>
          <w:color w:val="000000"/>
          <w:lang w:val="es-CR" w:eastAsia="es-CR"/>
        </w:rPr>
        <w:t>,</w:t>
      </w:r>
      <w:r w:rsidR="00AF454E">
        <w:rPr>
          <w:rFonts w:ascii="Times New Roman" w:eastAsia="Times New Roman" w:hAnsi="Times New Roman" w:cs="Times New Roman"/>
          <w:color w:val="000000"/>
          <w:lang w:val="es-CR" w:eastAsia="es-CR"/>
        </w:rPr>
        <w:t xml:space="preserve"> “… </w:t>
      </w:r>
      <w:r w:rsidR="00AF454E">
        <w:rPr>
          <w:rFonts w:ascii="Times New Roman" w:eastAsia="Times New Roman" w:hAnsi="Times New Roman" w:cs="Times New Roman"/>
          <w:i/>
          <w:iCs/>
          <w:color w:val="000000"/>
          <w:lang w:val="es-CR" w:eastAsia="es-CR"/>
        </w:rPr>
        <w:t>l</w:t>
      </w:r>
      <w:r w:rsidR="00AF454E" w:rsidRPr="00AF454E">
        <w:rPr>
          <w:rFonts w:ascii="Times New Roman" w:eastAsia="Times New Roman" w:hAnsi="Times New Roman" w:cs="Times New Roman"/>
          <w:i/>
          <w:iCs/>
          <w:color w:val="000000"/>
          <w:lang w:val="es-CR" w:eastAsia="es-CR"/>
        </w:rPr>
        <w:t>as cuentas de ingresos o gastos utilizadas para el cálculo de la liquidación final del cobro por servicios de supervisión, deberán ser certificadas por un auditor externo</w:t>
      </w:r>
      <w:r w:rsidR="00551C9F">
        <w:rPr>
          <w:rFonts w:ascii="Times New Roman" w:eastAsia="Times New Roman" w:hAnsi="Times New Roman" w:cs="Times New Roman"/>
          <w:i/>
          <w:iCs/>
          <w:color w:val="000000"/>
          <w:lang w:val="es-CR" w:eastAsia="es-CR"/>
        </w:rPr>
        <w:t xml:space="preserve">”. </w:t>
      </w:r>
    </w:p>
    <w:p w14:paraId="0D6960D1" w14:textId="4DFDABAF" w:rsidR="00551C9F" w:rsidRDefault="00551C9F" w:rsidP="008A4937">
      <w:pPr>
        <w:pStyle w:val="Textoindependiente"/>
        <w:ind w:right="49"/>
        <w:jc w:val="both"/>
        <w:rPr>
          <w:rFonts w:ascii="Times New Roman" w:eastAsia="Times New Roman" w:hAnsi="Times New Roman" w:cs="Times New Roman"/>
          <w:i/>
          <w:iCs/>
          <w:color w:val="000000"/>
          <w:lang w:val="es-CR" w:eastAsia="es-CR"/>
        </w:rPr>
      </w:pPr>
    </w:p>
    <w:p w14:paraId="5F1BC3B7" w14:textId="597F98CE" w:rsidR="008E6087" w:rsidRDefault="00551C9F" w:rsidP="006B4EB9">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 xml:space="preserve">En este sentido, </w:t>
      </w:r>
      <w:r w:rsidRPr="00551C9F">
        <w:rPr>
          <w:rFonts w:ascii="Times New Roman" w:eastAsia="Times New Roman" w:hAnsi="Times New Roman" w:cs="Times New Roman"/>
          <w:color w:val="000000"/>
          <w:lang w:val="es-CR" w:eastAsia="es-CR"/>
        </w:rPr>
        <w:t>tal y como consta en el documento denominado “</w:t>
      </w:r>
      <w:r w:rsidRPr="00551C9F">
        <w:rPr>
          <w:rFonts w:ascii="Times New Roman" w:eastAsia="Times New Roman" w:hAnsi="Times New Roman" w:cs="Times New Roman"/>
          <w:i/>
          <w:iCs/>
          <w:color w:val="000000"/>
          <w:lang w:val="es-CR" w:eastAsia="es-CR"/>
        </w:rPr>
        <w:t>Revisión de la participación de los sujetos fiscalizados en el financiamiento del presupuesto de la Superintendencia</w:t>
      </w:r>
      <w:r w:rsidRPr="00551C9F">
        <w:rPr>
          <w:rFonts w:ascii="Times New Roman" w:eastAsia="Times New Roman" w:hAnsi="Times New Roman" w:cs="Times New Roman"/>
          <w:color w:val="000000"/>
          <w:lang w:val="es-CR" w:eastAsia="es-CR"/>
        </w:rPr>
        <w:t>”, elaborado por la División de Supervisión de Regímenes de Capitalización Individual</w:t>
      </w:r>
      <w:r w:rsidR="00F249B4">
        <w:rPr>
          <w:rFonts w:ascii="Times New Roman" w:eastAsia="Times New Roman" w:hAnsi="Times New Roman" w:cs="Times New Roman"/>
          <w:color w:val="000000"/>
          <w:lang w:val="es-CR" w:eastAsia="es-CR"/>
        </w:rPr>
        <w:t xml:space="preserve"> y que </w:t>
      </w:r>
      <w:r w:rsidR="002378E8">
        <w:rPr>
          <w:rFonts w:ascii="Times New Roman" w:eastAsia="Times New Roman" w:hAnsi="Times New Roman" w:cs="Times New Roman"/>
          <w:color w:val="000000"/>
          <w:lang w:val="es-CR" w:eastAsia="es-CR"/>
        </w:rPr>
        <w:t>fue remitido a esta División al momento de formularse la consulta</w:t>
      </w:r>
      <w:r w:rsidR="008E6087">
        <w:rPr>
          <w:rFonts w:ascii="Times New Roman" w:eastAsia="Times New Roman" w:hAnsi="Times New Roman" w:cs="Times New Roman"/>
          <w:color w:val="000000"/>
          <w:lang w:val="es-CR" w:eastAsia="es-CR"/>
        </w:rPr>
        <w:t xml:space="preserve">: </w:t>
      </w:r>
    </w:p>
    <w:p w14:paraId="65512C9E" w14:textId="77777777" w:rsidR="008E6087" w:rsidRDefault="008E6087" w:rsidP="006B4EB9">
      <w:pPr>
        <w:pStyle w:val="Textoindependiente"/>
        <w:ind w:right="49"/>
        <w:jc w:val="both"/>
        <w:rPr>
          <w:rFonts w:ascii="Times New Roman" w:eastAsia="Times New Roman" w:hAnsi="Times New Roman" w:cs="Times New Roman"/>
          <w:color w:val="000000"/>
          <w:lang w:val="es-CR" w:eastAsia="es-CR"/>
        </w:rPr>
      </w:pPr>
    </w:p>
    <w:p w14:paraId="2329BAC5" w14:textId="4804D86C" w:rsidR="006B4EB9" w:rsidRDefault="008E6087" w:rsidP="008E6087">
      <w:pPr>
        <w:pStyle w:val="Textoindependiente"/>
        <w:ind w:left="284"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i/>
          <w:iCs/>
          <w:color w:val="000000"/>
          <w:lang w:val="es-CR" w:eastAsia="es-CR"/>
        </w:rPr>
        <w:t>[</w:t>
      </w:r>
      <w:r w:rsidRPr="008E6087">
        <w:rPr>
          <w:rFonts w:ascii="Times New Roman" w:eastAsia="Times New Roman" w:hAnsi="Times New Roman" w:cs="Times New Roman"/>
          <w:i/>
          <w:iCs/>
          <w:color w:val="000000"/>
          <w:lang w:val="es-CR" w:eastAsia="es-CR"/>
        </w:rPr>
        <w:t>…</w:t>
      </w:r>
      <w:r>
        <w:rPr>
          <w:rFonts w:ascii="Times New Roman" w:eastAsia="Times New Roman" w:hAnsi="Times New Roman" w:cs="Times New Roman"/>
          <w:i/>
          <w:iCs/>
          <w:color w:val="000000"/>
          <w:lang w:val="es-CR" w:eastAsia="es-CR"/>
        </w:rPr>
        <w:t>]</w:t>
      </w:r>
      <w:r w:rsidRPr="008E6087">
        <w:rPr>
          <w:rFonts w:ascii="Times New Roman" w:eastAsia="Times New Roman" w:hAnsi="Times New Roman" w:cs="Times New Roman"/>
          <w:i/>
          <w:iCs/>
          <w:color w:val="000000"/>
          <w:lang w:val="es-CR" w:eastAsia="es-CR"/>
        </w:rPr>
        <w:t xml:space="preserve"> </w:t>
      </w:r>
      <w:r w:rsidR="006B4EB9" w:rsidRPr="008E6087">
        <w:rPr>
          <w:rFonts w:ascii="Times New Roman" w:eastAsia="Times New Roman" w:hAnsi="Times New Roman" w:cs="Times New Roman"/>
          <w:i/>
          <w:iCs/>
          <w:color w:val="000000"/>
          <w:lang w:val="es-CR" w:eastAsia="es-CR"/>
        </w:rPr>
        <w:t>la Junta Administradora del Fondo de jubilaciones de los empleados del Banco de Costa Rica y la Junta Administradora del Fondo de Jubilación de los empleados del ICT, remitieron las certificaciones hecha por los contadores públicos contratados para realizar el pago correspondiente a la contribución de la supervisión</w:t>
      </w:r>
      <w:r w:rsidR="006B4EB9" w:rsidRPr="006B4EB9">
        <w:rPr>
          <w:rFonts w:ascii="Times New Roman" w:eastAsia="Times New Roman" w:hAnsi="Times New Roman" w:cs="Times New Roman"/>
          <w:color w:val="000000"/>
          <w:lang w:val="es-CR" w:eastAsia="es-CR"/>
        </w:rPr>
        <w:t xml:space="preserve">. </w:t>
      </w:r>
    </w:p>
    <w:p w14:paraId="17B0436D" w14:textId="3253FC05" w:rsidR="00551C9F" w:rsidRDefault="006B4EB9" w:rsidP="008E6087">
      <w:pPr>
        <w:pStyle w:val="Textoindependiente"/>
        <w:ind w:left="284" w:right="49"/>
        <w:jc w:val="both"/>
        <w:rPr>
          <w:rFonts w:ascii="Times New Roman" w:eastAsia="Times New Roman" w:hAnsi="Times New Roman" w:cs="Times New Roman"/>
          <w:b/>
          <w:bCs/>
          <w:i/>
          <w:iCs/>
          <w:color w:val="000000"/>
          <w:lang w:val="es-CR" w:eastAsia="es-CR"/>
        </w:rPr>
      </w:pPr>
      <w:r w:rsidRPr="008E6087">
        <w:rPr>
          <w:rFonts w:ascii="Times New Roman" w:eastAsia="Times New Roman" w:hAnsi="Times New Roman" w:cs="Times New Roman"/>
          <w:i/>
          <w:iCs/>
          <w:color w:val="000000"/>
          <w:lang w:val="es-CR" w:eastAsia="es-CR"/>
        </w:rPr>
        <w:t xml:space="preserve">En dichas certificaciones se incluyen los gastos relacionados con la participación de directores en las sesiones, tanto de las Juntas Directivas como en la participación de comités de inversiones y riesgos, así como el gasto por concepto de pago por alquiler de salas para sesionar en el caso específico de la Junta Administradora del FJEBCR. </w:t>
      </w:r>
      <w:r w:rsidRPr="00344B12">
        <w:rPr>
          <w:rFonts w:ascii="Times New Roman" w:eastAsia="Times New Roman" w:hAnsi="Times New Roman" w:cs="Times New Roman"/>
          <w:b/>
          <w:bCs/>
          <w:i/>
          <w:iCs/>
          <w:color w:val="000000"/>
          <w:lang w:val="es-CR" w:eastAsia="es-CR"/>
        </w:rPr>
        <w:t xml:space="preserve">No se </w:t>
      </w:r>
      <w:r w:rsidRPr="00344B12">
        <w:rPr>
          <w:rFonts w:ascii="Times New Roman" w:eastAsia="Times New Roman" w:hAnsi="Times New Roman" w:cs="Times New Roman"/>
          <w:b/>
          <w:bCs/>
          <w:i/>
          <w:iCs/>
          <w:color w:val="000000"/>
          <w:lang w:val="es-CR" w:eastAsia="es-CR"/>
        </w:rPr>
        <w:lastRenderedPageBreak/>
        <w:t xml:space="preserve">toman en cuanta </w:t>
      </w:r>
      <w:r w:rsidR="00A0152A" w:rsidRPr="00A0152A">
        <w:rPr>
          <w:rFonts w:ascii="Times New Roman" w:eastAsia="Times New Roman" w:hAnsi="Times New Roman" w:cs="Times New Roman"/>
          <w:color w:val="000000"/>
          <w:lang w:val="es-CR" w:eastAsia="es-CR"/>
        </w:rPr>
        <w:t xml:space="preserve">[Sic] </w:t>
      </w:r>
      <w:r w:rsidRPr="00344B12">
        <w:rPr>
          <w:rFonts w:ascii="Times New Roman" w:eastAsia="Times New Roman" w:hAnsi="Times New Roman" w:cs="Times New Roman"/>
          <w:b/>
          <w:bCs/>
          <w:i/>
          <w:iCs/>
          <w:color w:val="000000"/>
          <w:lang w:val="es-CR" w:eastAsia="es-CR"/>
        </w:rPr>
        <w:t>para este cálculo el pago realizado a la operadora por concepto de comisión por administración del Fondo, de acuerdo con lo indicado por el artículo 11 del capítulo III supracitado, por lo tanto, el cobro efectuado a las Juntas Administradoras no estarían duplicados</w:t>
      </w:r>
      <w:r w:rsidR="00344B12">
        <w:rPr>
          <w:rFonts w:ascii="Times New Roman" w:eastAsia="Times New Roman" w:hAnsi="Times New Roman" w:cs="Times New Roman"/>
          <w:b/>
          <w:bCs/>
          <w:i/>
          <w:iCs/>
          <w:color w:val="000000"/>
          <w:lang w:val="es-CR" w:eastAsia="es-CR"/>
        </w:rPr>
        <w:t xml:space="preserve"> </w:t>
      </w:r>
      <w:r w:rsidR="00344B12" w:rsidRPr="00344B12">
        <w:rPr>
          <w:rFonts w:ascii="Times New Roman" w:eastAsia="Times New Roman" w:hAnsi="Times New Roman" w:cs="Times New Roman"/>
          <w:b/>
          <w:bCs/>
          <w:i/>
          <w:iCs/>
          <w:color w:val="000000"/>
          <w:lang w:val="es-CR" w:eastAsia="es-CR"/>
        </w:rPr>
        <w:t xml:space="preserve">[…] </w:t>
      </w:r>
    </w:p>
    <w:p w14:paraId="5F8E8797" w14:textId="0B185A6A" w:rsidR="00A0152A" w:rsidRDefault="00A0152A" w:rsidP="00A0152A">
      <w:pPr>
        <w:pStyle w:val="Textoindependiente"/>
        <w:ind w:right="49"/>
        <w:jc w:val="both"/>
        <w:rPr>
          <w:rFonts w:ascii="Times New Roman" w:eastAsia="Times New Roman" w:hAnsi="Times New Roman" w:cs="Times New Roman"/>
          <w:i/>
          <w:iCs/>
          <w:color w:val="000000"/>
          <w:lang w:val="es-CR" w:eastAsia="es-CR"/>
        </w:rPr>
      </w:pPr>
    </w:p>
    <w:p w14:paraId="40514CC7" w14:textId="487715EA" w:rsidR="00A0152A" w:rsidRPr="00A0152A" w:rsidRDefault="00A0152A" w:rsidP="00A0152A">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 xml:space="preserve">Desde este punto de vista, </w:t>
      </w:r>
      <w:r w:rsidR="006A4BAE" w:rsidRPr="006A4BAE">
        <w:rPr>
          <w:rFonts w:ascii="Times New Roman" w:eastAsia="Times New Roman" w:hAnsi="Times New Roman" w:cs="Times New Roman"/>
          <w:color w:val="000000"/>
          <w:lang w:val="es-CR" w:eastAsia="es-CR"/>
        </w:rPr>
        <w:t>las cuentas de ingresos o gastos utilizadas para el cálculo de la liquidación final del cobro por servicios de supervisión</w:t>
      </w:r>
      <w:r w:rsidR="00384F97">
        <w:rPr>
          <w:rFonts w:ascii="Times New Roman" w:eastAsia="Times New Roman" w:hAnsi="Times New Roman" w:cs="Times New Roman"/>
          <w:color w:val="000000"/>
          <w:lang w:val="es-CR" w:eastAsia="es-CR"/>
        </w:rPr>
        <w:t xml:space="preserve"> en el caso de</w:t>
      </w:r>
      <w:r w:rsidR="00EA2507">
        <w:rPr>
          <w:rFonts w:ascii="Times New Roman" w:eastAsia="Times New Roman" w:hAnsi="Times New Roman" w:cs="Times New Roman"/>
          <w:color w:val="000000"/>
          <w:lang w:val="es-CR" w:eastAsia="es-CR"/>
        </w:rPr>
        <w:t xml:space="preserve">l </w:t>
      </w:r>
      <w:r w:rsidR="00EA2507" w:rsidRPr="00EA2507">
        <w:rPr>
          <w:rFonts w:ascii="Times New Roman" w:eastAsia="Times New Roman" w:hAnsi="Times New Roman" w:cs="Times New Roman"/>
          <w:color w:val="000000"/>
          <w:lang w:val="es-CR" w:eastAsia="es-CR"/>
        </w:rPr>
        <w:t xml:space="preserve">Fondo de jubilaciones de los empleados del </w:t>
      </w:r>
      <w:r w:rsidR="00EA2507">
        <w:rPr>
          <w:rFonts w:ascii="Times New Roman" w:eastAsia="Times New Roman" w:hAnsi="Times New Roman" w:cs="Times New Roman"/>
          <w:color w:val="000000"/>
          <w:lang w:val="es-CR" w:eastAsia="es-CR"/>
        </w:rPr>
        <w:t xml:space="preserve">BCR y del </w:t>
      </w:r>
      <w:r w:rsidR="00EA2507" w:rsidRPr="00EA2507">
        <w:rPr>
          <w:rFonts w:ascii="Times New Roman" w:eastAsia="Times New Roman" w:hAnsi="Times New Roman" w:cs="Times New Roman"/>
          <w:color w:val="000000"/>
          <w:lang w:val="es-CR" w:eastAsia="es-CR"/>
        </w:rPr>
        <w:t xml:space="preserve">Fondo de Jubilaciones de los funcionarios y empleados del </w:t>
      </w:r>
      <w:r w:rsidR="00EA2507">
        <w:rPr>
          <w:rFonts w:ascii="Times New Roman" w:eastAsia="Times New Roman" w:hAnsi="Times New Roman" w:cs="Times New Roman"/>
          <w:color w:val="000000"/>
          <w:lang w:val="es-CR" w:eastAsia="es-CR"/>
        </w:rPr>
        <w:t>ICT</w:t>
      </w:r>
      <w:r w:rsidR="00B50039">
        <w:rPr>
          <w:rFonts w:ascii="Times New Roman" w:eastAsia="Times New Roman" w:hAnsi="Times New Roman" w:cs="Times New Roman"/>
          <w:color w:val="000000"/>
          <w:lang w:val="es-CR" w:eastAsia="es-CR"/>
        </w:rPr>
        <w:t>,</w:t>
      </w:r>
      <w:r w:rsidR="00EA2507" w:rsidRPr="00EA2507">
        <w:rPr>
          <w:rFonts w:ascii="Times New Roman" w:eastAsia="Times New Roman" w:hAnsi="Times New Roman" w:cs="Times New Roman"/>
          <w:color w:val="000000"/>
          <w:lang w:val="es-CR" w:eastAsia="es-CR"/>
        </w:rPr>
        <w:t xml:space="preserve"> </w:t>
      </w:r>
      <w:r w:rsidR="00384F97">
        <w:rPr>
          <w:rFonts w:ascii="Times New Roman" w:eastAsia="Times New Roman" w:hAnsi="Times New Roman" w:cs="Times New Roman"/>
          <w:color w:val="000000"/>
          <w:lang w:val="es-CR" w:eastAsia="es-CR"/>
        </w:rPr>
        <w:t>no toma</w:t>
      </w:r>
      <w:r w:rsidR="00B50039">
        <w:rPr>
          <w:rFonts w:ascii="Times New Roman" w:eastAsia="Times New Roman" w:hAnsi="Times New Roman" w:cs="Times New Roman"/>
          <w:color w:val="000000"/>
          <w:lang w:val="es-CR" w:eastAsia="es-CR"/>
        </w:rPr>
        <w:t>n</w:t>
      </w:r>
      <w:r w:rsidR="00384F97">
        <w:rPr>
          <w:rFonts w:ascii="Times New Roman" w:eastAsia="Times New Roman" w:hAnsi="Times New Roman" w:cs="Times New Roman"/>
          <w:color w:val="000000"/>
          <w:lang w:val="es-CR" w:eastAsia="es-CR"/>
        </w:rPr>
        <w:t xml:space="preserve"> en cuenta el pago realizado a la operadora por concepto de comisión por administración de</w:t>
      </w:r>
      <w:r w:rsidR="00B50039">
        <w:rPr>
          <w:rFonts w:ascii="Times New Roman" w:eastAsia="Times New Roman" w:hAnsi="Times New Roman" w:cs="Times New Roman"/>
          <w:color w:val="000000"/>
          <w:lang w:val="es-CR" w:eastAsia="es-CR"/>
        </w:rPr>
        <w:t xml:space="preserve"> dichos </w:t>
      </w:r>
      <w:r w:rsidR="00384F97">
        <w:rPr>
          <w:rFonts w:ascii="Times New Roman" w:eastAsia="Times New Roman" w:hAnsi="Times New Roman" w:cs="Times New Roman"/>
          <w:color w:val="000000"/>
          <w:lang w:val="es-CR" w:eastAsia="es-CR"/>
        </w:rPr>
        <w:t>fondo</w:t>
      </w:r>
      <w:r w:rsidR="00B50039">
        <w:rPr>
          <w:rFonts w:ascii="Times New Roman" w:eastAsia="Times New Roman" w:hAnsi="Times New Roman" w:cs="Times New Roman"/>
          <w:color w:val="000000"/>
          <w:lang w:val="es-CR" w:eastAsia="es-CR"/>
        </w:rPr>
        <w:t>s</w:t>
      </w:r>
      <w:r w:rsidR="00384F97">
        <w:rPr>
          <w:rFonts w:ascii="Times New Roman" w:eastAsia="Times New Roman" w:hAnsi="Times New Roman" w:cs="Times New Roman"/>
          <w:color w:val="000000"/>
          <w:lang w:val="es-CR" w:eastAsia="es-CR"/>
        </w:rPr>
        <w:t xml:space="preserve">. </w:t>
      </w:r>
    </w:p>
    <w:p w14:paraId="56219B3D" w14:textId="77777777" w:rsidR="008A4937" w:rsidRDefault="008A4937" w:rsidP="008A4937">
      <w:pPr>
        <w:pStyle w:val="Textoindependiente"/>
        <w:ind w:right="49"/>
        <w:jc w:val="both"/>
        <w:rPr>
          <w:rFonts w:ascii="Times New Roman" w:eastAsia="Times New Roman" w:hAnsi="Times New Roman" w:cs="Times New Roman"/>
          <w:color w:val="000000"/>
          <w:lang w:val="es-CR" w:eastAsia="es-CR"/>
        </w:rPr>
      </w:pPr>
    </w:p>
    <w:p w14:paraId="107065BB" w14:textId="75F4653E" w:rsidR="00FC6527" w:rsidRDefault="00912877" w:rsidP="005B4093">
      <w:pPr>
        <w:pStyle w:val="Textoindependiente"/>
        <w:numPr>
          <w:ilvl w:val="0"/>
          <w:numId w:val="23"/>
        </w:numPr>
        <w:ind w:right="49"/>
        <w:jc w:val="both"/>
        <w:rPr>
          <w:rFonts w:ascii="Times New Roman" w:eastAsia="Times New Roman" w:hAnsi="Times New Roman" w:cs="Times New Roman"/>
          <w:b/>
          <w:bCs/>
          <w:color w:val="000000"/>
          <w:lang w:val="es-CR" w:eastAsia="es-CR"/>
        </w:rPr>
      </w:pPr>
      <w:r w:rsidRPr="005B4093">
        <w:rPr>
          <w:rFonts w:ascii="Times New Roman" w:eastAsia="Times New Roman" w:hAnsi="Times New Roman" w:cs="Times New Roman"/>
          <w:b/>
          <w:bCs/>
          <w:color w:val="000000"/>
          <w:lang w:val="es-CR" w:eastAsia="es-CR"/>
        </w:rPr>
        <w:t xml:space="preserve">Sobre la existencia de una doble imposición </w:t>
      </w:r>
    </w:p>
    <w:p w14:paraId="570566D0" w14:textId="77777777" w:rsidR="00FC6527" w:rsidRDefault="00FC6527" w:rsidP="00913295">
      <w:pPr>
        <w:pStyle w:val="Textoindependiente"/>
        <w:ind w:right="49"/>
        <w:jc w:val="both"/>
        <w:rPr>
          <w:rFonts w:ascii="Times New Roman" w:eastAsia="Times New Roman" w:hAnsi="Times New Roman" w:cs="Times New Roman"/>
          <w:color w:val="000000"/>
          <w:lang w:val="es-CR" w:eastAsia="es-CR"/>
        </w:rPr>
      </w:pPr>
    </w:p>
    <w:p w14:paraId="0D3E887A" w14:textId="2960427B" w:rsidR="00EE01FF" w:rsidRDefault="00EF1B1A" w:rsidP="00913295">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 xml:space="preserve">Ahora bien, </w:t>
      </w:r>
      <w:r w:rsidR="007F0BE0">
        <w:rPr>
          <w:rFonts w:ascii="Times New Roman" w:eastAsia="Times New Roman" w:hAnsi="Times New Roman" w:cs="Times New Roman"/>
          <w:color w:val="000000"/>
          <w:lang w:val="es-CR" w:eastAsia="es-CR"/>
        </w:rPr>
        <w:t xml:space="preserve">para efectos de este dictamen interesa determinar si, </w:t>
      </w:r>
      <w:r w:rsidR="00551FDE">
        <w:rPr>
          <w:rFonts w:ascii="Times New Roman" w:eastAsia="Times New Roman" w:hAnsi="Times New Roman" w:cs="Times New Roman"/>
          <w:color w:val="000000"/>
          <w:lang w:val="es-CR" w:eastAsia="es-CR"/>
        </w:rPr>
        <w:t>aun</w:t>
      </w:r>
      <w:r w:rsidR="007F0BE0">
        <w:rPr>
          <w:rFonts w:ascii="Times New Roman" w:eastAsia="Times New Roman" w:hAnsi="Times New Roman" w:cs="Times New Roman"/>
          <w:color w:val="000000"/>
          <w:lang w:val="es-CR" w:eastAsia="es-CR"/>
        </w:rPr>
        <w:t xml:space="preserve"> </w:t>
      </w:r>
      <w:r>
        <w:rPr>
          <w:rFonts w:ascii="Times New Roman" w:eastAsia="Times New Roman" w:hAnsi="Times New Roman" w:cs="Times New Roman"/>
          <w:color w:val="000000"/>
          <w:lang w:val="es-CR" w:eastAsia="es-CR"/>
        </w:rPr>
        <w:t xml:space="preserve">partiendo del supuesto de que </w:t>
      </w:r>
      <w:r w:rsidR="009C159C">
        <w:rPr>
          <w:rFonts w:ascii="Times New Roman" w:eastAsia="Times New Roman" w:hAnsi="Times New Roman" w:cs="Times New Roman"/>
          <w:color w:val="000000"/>
          <w:lang w:val="es-CR" w:eastAsia="es-CR"/>
        </w:rPr>
        <w:t>entre las cuentas de gastos reportadas por</w:t>
      </w:r>
      <w:r w:rsidR="00215FC6">
        <w:rPr>
          <w:rFonts w:ascii="Times New Roman" w:eastAsia="Times New Roman" w:hAnsi="Times New Roman" w:cs="Times New Roman"/>
          <w:color w:val="000000"/>
          <w:lang w:val="es-CR" w:eastAsia="es-CR"/>
        </w:rPr>
        <w:t xml:space="preserve"> </w:t>
      </w:r>
      <w:r w:rsidR="00A3678E">
        <w:rPr>
          <w:rFonts w:ascii="Times New Roman" w:eastAsia="Times New Roman" w:hAnsi="Times New Roman" w:cs="Times New Roman"/>
          <w:color w:val="000000"/>
          <w:lang w:val="es-CR" w:eastAsia="es-CR"/>
        </w:rPr>
        <w:t>la</w:t>
      </w:r>
      <w:r w:rsidR="004330AA">
        <w:rPr>
          <w:rFonts w:ascii="Times New Roman" w:eastAsia="Times New Roman" w:hAnsi="Times New Roman" w:cs="Times New Roman"/>
          <w:color w:val="000000"/>
          <w:lang w:val="es-CR" w:eastAsia="es-CR"/>
        </w:rPr>
        <w:t>s</w:t>
      </w:r>
      <w:r w:rsidR="00A3678E">
        <w:rPr>
          <w:rFonts w:ascii="Times New Roman" w:eastAsia="Times New Roman" w:hAnsi="Times New Roman" w:cs="Times New Roman"/>
          <w:color w:val="000000"/>
          <w:lang w:val="es-CR" w:eastAsia="es-CR"/>
        </w:rPr>
        <w:t xml:space="preserve"> junta</w:t>
      </w:r>
      <w:r w:rsidR="004330AA">
        <w:rPr>
          <w:rFonts w:ascii="Times New Roman" w:eastAsia="Times New Roman" w:hAnsi="Times New Roman" w:cs="Times New Roman"/>
          <w:color w:val="000000"/>
          <w:lang w:val="es-CR" w:eastAsia="es-CR"/>
        </w:rPr>
        <w:t>s</w:t>
      </w:r>
      <w:r w:rsidR="00A3678E">
        <w:rPr>
          <w:rFonts w:ascii="Times New Roman" w:eastAsia="Times New Roman" w:hAnsi="Times New Roman" w:cs="Times New Roman"/>
          <w:color w:val="000000"/>
          <w:lang w:val="es-CR" w:eastAsia="es-CR"/>
        </w:rPr>
        <w:t xml:space="preserve"> administradora</w:t>
      </w:r>
      <w:r w:rsidR="004330AA">
        <w:rPr>
          <w:rFonts w:ascii="Times New Roman" w:eastAsia="Times New Roman" w:hAnsi="Times New Roman" w:cs="Times New Roman"/>
          <w:color w:val="000000"/>
          <w:lang w:val="es-CR" w:eastAsia="es-CR"/>
        </w:rPr>
        <w:t>s</w:t>
      </w:r>
      <w:r w:rsidR="00A3678E">
        <w:rPr>
          <w:rFonts w:ascii="Times New Roman" w:eastAsia="Times New Roman" w:hAnsi="Times New Roman" w:cs="Times New Roman"/>
          <w:color w:val="000000"/>
          <w:lang w:val="es-CR" w:eastAsia="es-CR"/>
        </w:rPr>
        <w:t xml:space="preserve"> del F</w:t>
      </w:r>
      <w:r w:rsidR="004330AA">
        <w:rPr>
          <w:rFonts w:ascii="Times New Roman" w:eastAsia="Times New Roman" w:hAnsi="Times New Roman" w:cs="Times New Roman"/>
          <w:color w:val="000000"/>
          <w:lang w:val="es-CR" w:eastAsia="es-CR"/>
        </w:rPr>
        <w:t xml:space="preserve">JEBCR y del </w:t>
      </w:r>
      <w:r w:rsidR="004330AA" w:rsidRPr="004330AA">
        <w:rPr>
          <w:rFonts w:ascii="Times New Roman" w:eastAsia="Times New Roman" w:hAnsi="Times New Roman" w:cs="Times New Roman"/>
          <w:color w:val="000000"/>
          <w:lang w:val="es-CR" w:eastAsia="es-CR"/>
        </w:rPr>
        <w:t>FJFEICT</w:t>
      </w:r>
      <w:r w:rsidR="00FB4386">
        <w:rPr>
          <w:rFonts w:ascii="Times New Roman" w:eastAsia="Times New Roman" w:hAnsi="Times New Roman" w:cs="Times New Roman"/>
          <w:color w:val="000000"/>
          <w:lang w:val="es-CR" w:eastAsia="es-CR"/>
        </w:rPr>
        <w:t xml:space="preserve"> </w:t>
      </w:r>
      <w:r>
        <w:rPr>
          <w:rFonts w:ascii="Times New Roman" w:eastAsia="Times New Roman" w:hAnsi="Times New Roman" w:cs="Times New Roman"/>
          <w:color w:val="000000"/>
          <w:lang w:val="es-CR" w:eastAsia="es-CR"/>
        </w:rPr>
        <w:t xml:space="preserve">se hubiera reportado la comisión por administración pagada a la operadora, esto </w:t>
      </w:r>
      <w:r w:rsidR="00783DB6">
        <w:rPr>
          <w:rFonts w:ascii="Times New Roman" w:eastAsia="Times New Roman" w:hAnsi="Times New Roman" w:cs="Times New Roman"/>
          <w:color w:val="000000"/>
          <w:lang w:val="es-CR" w:eastAsia="es-CR"/>
        </w:rPr>
        <w:t>podría</w:t>
      </w:r>
      <w:r>
        <w:rPr>
          <w:rFonts w:ascii="Times New Roman" w:eastAsia="Times New Roman" w:hAnsi="Times New Roman" w:cs="Times New Roman"/>
          <w:color w:val="000000"/>
          <w:lang w:val="es-CR" w:eastAsia="es-CR"/>
        </w:rPr>
        <w:t xml:space="preserve"> considerarse una doble imposición. </w:t>
      </w:r>
    </w:p>
    <w:p w14:paraId="33066DB0" w14:textId="77777777" w:rsidR="00AE63B1" w:rsidRDefault="00AE63B1" w:rsidP="00913295">
      <w:pPr>
        <w:pStyle w:val="Textoindependiente"/>
        <w:ind w:right="49"/>
        <w:jc w:val="both"/>
        <w:rPr>
          <w:rFonts w:ascii="Times New Roman" w:eastAsia="Times New Roman" w:hAnsi="Times New Roman" w:cs="Times New Roman"/>
          <w:color w:val="000000"/>
          <w:lang w:val="es-CR" w:eastAsia="es-CR"/>
        </w:rPr>
      </w:pPr>
    </w:p>
    <w:p w14:paraId="52E80809" w14:textId="08EBC67C" w:rsidR="001A44A1" w:rsidRDefault="00EF1B1A" w:rsidP="007818C8">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En este sentido, l</w:t>
      </w:r>
      <w:r w:rsidR="007818C8">
        <w:rPr>
          <w:rFonts w:ascii="Times New Roman" w:eastAsia="Times New Roman" w:hAnsi="Times New Roman" w:cs="Times New Roman"/>
          <w:color w:val="000000"/>
          <w:lang w:val="es-CR" w:eastAsia="es-CR"/>
        </w:rPr>
        <w:t xml:space="preserve">a doctrina define la doble imposición </w:t>
      </w:r>
      <w:r w:rsidR="0029080A">
        <w:rPr>
          <w:rFonts w:ascii="Times New Roman" w:eastAsia="Times New Roman" w:hAnsi="Times New Roman" w:cs="Times New Roman"/>
          <w:color w:val="000000"/>
          <w:lang w:val="es-CR" w:eastAsia="es-CR"/>
        </w:rPr>
        <w:t>como</w:t>
      </w:r>
      <w:r w:rsidR="001A44A1">
        <w:rPr>
          <w:rFonts w:ascii="Times New Roman" w:eastAsia="Times New Roman" w:hAnsi="Times New Roman" w:cs="Times New Roman"/>
          <w:color w:val="000000"/>
          <w:lang w:val="es-CR" w:eastAsia="es-CR"/>
        </w:rPr>
        <w:t>:</w:t>
      </w:r>
    </w:p>
    <w:p w14:paraId="56294B9E" w14:textId="1D07E4FA" w:rsidR="001A44A1" w:rsidRDefault="0029080A" w:rsidP="007818C8">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 xml:space="preserve"> </w:t>
      </w:r>
    </w:p>
    <w:p w14:paraId="18AAC9B7" w14:textId="12515664" w:rsidR="00AE63B1" w:rsidRPr="00E80774" w:rsidRDefault="001A44A1" w:rsidP="003F1B87">
      <w:pPr>
        <w:pStyle w:val="Textoindependiente"/>
        <w:ind w:left="284" w:right="49"/>
        <w:jc w:val="both"/>
        <w:rPr>
          <w:rFonts w:ascii="Times New Roman" w:eastAsia="Times New Roman" w:hAnsi="Times New Roman" w:cs="Times New Roman"/>
          <w:color w:val="000000"/>
          <w:lang w:val="es-CR" w:eastAsia="es-CR"/>
        </w:rPr>
      </w:pPr>
      <w:r w:rsidRPr="003F1B87">
        <w:rPr>
          <w:rFonts w:ascii="Times New Roman" w:eastAsia="Times New Roman" w:hAnsi="Times New Roman" w:cs="Times New Roman"/>
          <w:i/>
          <w:iCs/>
          <w:color w:val="000000"/>
          <w:lang w:val="es-CR" w:eastAsia="es-CR"/>
        </w:rPr>
        <w:t xml:space="preserve">[…] </w:t>
      </w:r>
      <w:r w:rsidR="007818C8" w:rsidRPr="003F1B87">
        <w:rPr>
          <w:rFonts w:ascii="Times New Roman" w:eastAsia="Times New Roman" w:hAnsi="Times New Roman" w:cs="Times New Roman"/>
          <w:i/>
          <w:iCs/>
          <w:color w:val="000000"/>
          <w:lang w:val="es-CR" w:eastAsia="es-CR"/>
        </w:rPr>
        <w:t xml:space="preserve">aquella situación caracterizada por la existencia de un supuesto gravable que determina el nacimiento de diversas obligaciones tributarias </w:t>
      </w:r>
      <w:r w:rsidR="007818C8" w:rsidRPr="00FC075D">
        <w:rPr>
          <w:rFonts w:ascii="Times New Roman" w:eastAsia="Times New Roman" w:hAnsi="Times New Roman" w:cs="Times New Roman"/>
          <w:b/>
          <w:bCs/>
          <w:i/>
          <w:iCs/>
          <w:color w:val="000000"/>
          <w:lang w:val="es-CR" w:eastAsia="es-CR"/>
        </w:rPr>
        <w:t>por el mismo, o análogo concepto, y por el mismo período</w:t>
      </w:r>
      <w:r w:rsidR="007818C8" w:rsidRPr="003F1B87">
        <w:rPr>
          <w:rFonts w:ascii="Times New Roman" w:eastAsia="Times New Roman" w:hAnsi="Times New Roman" w:cs="Times New Roman"/>
          <w:i/>
          <w:iCs/>
          <w:color w:val="000000"/>
          <w:lang w:val="es-CR" w:eastAsia="es-CR"/>
        </w:rPr>
        <w:t>. En líneas generales, la atención se ha centrado en la diferenciación entre dos</w:t>
      </w:r>
      <w:r w:rsidR="005726E5" w:rsidRPr="003F1B87">
        <w:rPr>
          <w:rFonts w:ascii="Times New Roman" w:eastAsia="Times New Roman" w:hAnsi="Times New Roman" w:cs="Times New Roman"/>
          <w:i/>
          <w:iCs/>
          <w:color w:val="000000"/>
          <w:lang w:val="es-CR" w:eastAsia="es-CR"/>
        </w:rPr>
        <w:t xml:space="preserve"> </w:t>
      </w:r>
      <w:r w:rsidR="007818C8" w:rsidRPr="003F1B87">
        <w:rPr>
          <w:rFonts w:ascii="Times New Roman" w:eastAsia="Times New Roman" w:hAnsi="Times New Roman" w:cs="Times New Roman"/>
          <w:i/>
          <w:iCs/>
          <w:color w:val="000000"/>
          <w:lang w:val="es-CR" w:eastAsia="es-CR"/>
        </w:rPr>
        <w:t>tipos básicos de doble imposición: la jurídica (cuando es una misma persona la que resulta</w:t>
      </w:r>
      <w:r w:rsidR="005726E5" w:rsidRPr="003F1B87">
        <w:rPr>
          <w:rFonts w:ascii="Times New Roman" w:eastAsia="Times New Roman" w:hAnsi="Times New Roman" w:cs="Times New Roman"/>
          <w:i/>
          <w:iCs/>
          <w:color w:val="000000"/>
          <w:lang w:val="es-CR" w:eastAsia="es-CR"/>
        </w:rPr>
        <w:t xml:space="preserve"> </w:t>
      </w:r>
      <w:r w:rsidR="007818C8" w:rsidRPr="003F1B87">
        <w:rPr>
          <w:rFonts w:ascii="Times New Roman" w:eastAsia="Times New Roman" w:hAnsi="Times New Roman" w:cs="Times New Roman"/>
          <w:i/>
          <w:iCs/>
          <w:color w:val="000000"/>
          <w:lang w:val="es-CR" w:eastAsia="es-CR"/>
        </w:rPr>
        <w:t xml:space="preserve">gravada más de una vez por el mismo concepto y período) </w:t>
      </w:r>
      <w:r w:rsidR="007818C8" w:rsidRPr="00E80774">
        <w:rPr>
          <w:rFonts w:ascii="Times New Roman" w:eastAsia="Times New Roman" w:hAnsi="Times New Roman" w:cs="Times New Roman"/>
          <w:b/>
          <w:bCs/>
          <w:i/>
          <w:iCs/>
          <w:color w:val="000000"/>
          <w:lang w:val="es-CR" w:eastAsia="es-CR"/>
        </w:rPr>
        <w:t>y la económica (si la doble</w:t>
      </w:r>
      <w:r w:rsidR="005726E5" w:rsidRPr="00E80774">
        <w:rPr>
          <w:rFonts w:ascii="Times New Roman" w:eastAsia="Times New Roman" w:hAnsi="Times New Roman" w:cs="Times New Roman"/>
          <w:b/>
          <w:bCs/>
          <w:i/>
          <w:iCs/>
          <w:color w:val="000000"/>
          <w:lang w:val="es-CR" w:eastAsia="es-CR"/>
        </w:rPr>
        <w:t xml:space="preserve"> </w:t>
      </w:r>
      <w:r w:rsidR="007818C8" w:rsidRPr="00E80774">
        <w:rPr>
          <w:rFonts w:ascii="Times New Roman" w:eastAsia="Times New Roman" w:hAnsi="Times New Roman" w:cs="Times New Roman"/>
          <w:b/>
          <w:bCs/>
          <w:i/>
          <w:iCs/>
          <w:color w:val="000000"/>
          <w:lang w:val="es-CR" w:eastAsia="es-CR"/>
        </w:rPr>
        <w:t>imposición afecta a dos personas diferentes por la misma renta o patrimonio</w:t>
      </w:r>
      <w:r w:rsidR="007818C8" w:rsidRPr="003F1B87">
        <w:rPr>
          <w:rFonts w:ascii="Times New Roman" w:eastAsia="Times New Roman" w:hAnsi="Times New Roman" w:cs="Times New Roman"/>
          <w:i/>
          <w:iCs/>
          <w:color w:val="000000"/>
          <w:lang w:val="es-CR" w:eastAsia="es-CR"/>
        </w:rPr>
        <w:t>.)</w:t>
      </w:r>
      <w:r w:rsidR="005726E5">
        <w:rPr>
          <w:rStyle w:val="Refdenotaalpie"/>
          <w:rFonts w:ascii="Times New Roman" w:eastAsia="Times New Roman" w:hAnsi="Times New Roman" w:cs="Times New Roman"/>
          <w:i/>
          <w:iCs/>
          <w:color w:val="000000"/>
          <w:lang w:val="es-CR" w:eastAsia="es-CR"/>
        </w:rPr>
        <w:footnoteReference w:id="3"/>
      </w:r>
      <w:r w:rsidR="00E80774">
        <w:rPr>
          <w:rFonts w:ascii="Times New Roman" w:eastAsia="Times New Roman" w:hAnsi="Times New Roman" w:cs="Times New Roman"/>
          <w:i/>
          <w:iCs/>
          <w:color w:val="000000"/>
          <w:lang w:val="es-CR" w:eastAsia="es-CR"/>
        </w:rPr>
        <w:t xml:space="preserve"> </w:t>
      </w:r>
      <w:r w:rsidR="00E80774">
        <w:rPr>
          <w:rFonts w:ascii="Times New Roman" w:eastAsia="Times New Roman" w:hAnsi="Times New Roman" w:cs="Times New Roman"/>
          <w:color w:val="000000"/>
          <w:lang w:val="es-CR" w:eastAsia="es-CR"/>
        </w:rPr>
        <w:t xml:space="preserve">[Lo resaltado o es del original]. </w:t>
      </w:r>
    </w:p>
    <w:p w14:paraId="57C1E959" w14:textId="77777777" w:rsidR="005726E5" w:rsidRDefault="005726E5" w:rsidP="00913295">
      <w:pPr>
        <w:pStyle w:val="Textoindependiente"/>
        <w:ind w:right="49"/>
        <w:jc w:val="both"/>
        <w:rPr>
          <w:rFonts w:ascii="Times New Roman" w:eastAsia="Times New Roman" w:hAnsi="Times New Roman" w:cs="Times New Roman"/>
          <w:color w:val="000000"/>
          <w:lang w:val="es-CR" w:eastAsia="es-CR"/>
        </w:rPr>
      </w:pPr>
    </w:p>
    <w:p w14:paraId="4521E8F4" w14:textId="15336E5B" w:rsidR="005726E5" w:rsidRPr="005726E5" w:rsidRDefault="005726E5" w:rsidP="00913295">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En varias resoluciones</w:t>
      </w:r>
      <w:r w:rsidR="00507086">
        <w:rPr>
          <w:rFonts w:ascii="Times New Roman" w:eastAsia="Times New Roman" w:hAnsi="Times New Roman" w:cs="Times New Roman"/>
          <w:color w:val="000000"/>
          <w:lang w:val="es-CR" w:eastAsia="es-CR"/>
        </w:rPr>
        <w:t>,</w:t>
      </w:r>
      <w:r>
        <w:rPr>
          <w:rFonts w:ascii="Times New Roman" w:eastAsia="Times New Roman" w:hAnsi="Times New Roman" w:cs="Times New Roman"/>
          <w:color w:val="000000"/>
          <w:lang w:val="es-CR" w:eastAsia="es-CR"/>
        </w:rPr>
        <w:t xml:space="preserve"> la Sala Constitucional ha caracterizado el concepto de la siguiente manera: </w:t>
      </w:r>
      <w:r w:rsidRPr="003F1B87">
        <w:rPr>
          <w:rFonts w:ascii="Times New Roman" w:eastAsia="Times New Roman" w:hAnsi="Times New Roman" w:cs="Times New Roman"/>
          <w:i/>
          <w:iCs/>
          <w:color w:val="000000"/>
          <w:lang w:val="es-CR" w:eastAsia="es-CR"/>
        </w:rPr>
        <w:t>“Téngase presente que la doble imposición se da cuando el impuesto recae sobre las mismas personas o bienes, dos o más veces, por el mismo concepto</w:t>
      </w:r>
      <w:r w:rsidR="003F1B87" w:rsidRPr="003F1B87">
        <w:rPr>
          <w:rFonts w:ascii="Times New Roman" w:eastAsia="Times New Roman" w:hAnsi="Times New Roman" w:cs="Times New Roman"/>
          <w:i/>
          <w:iCs/>
          <w:color w:val="000000"/>
          <w:lang w:val="es-CR" w:eastAsia="es-CR"/>
        </w:rPr>
        <w:t>”.</w:t>
      </w:r>
      <w:r w:rsidR="003F1B87">
        <w:rPr>
          <w:rFonts w:ascii="Times New Roman" w:eastAsia="Times New Roman" w:hAnsi="Times New Roman" w:cs="Times New Roman"/>
          <w:i/>
          <w:iCs/>
          <w:color w:val="000000"/>
          <w:sz w:val="22"/>
          <w:szCs w:val="22"/>
          <w:lang w:val="es-CR" w:eastAsia="es-CR"/>
        </w:rPr>
        <w:t xml:space="preserve"> </w:t>
      </w:r>
      <w:r>
        <w:rPr>
          <w:rStyle w:val="Refdenotaalpie"/>
          <w:rFonts w:ascii="Times New Roman" w:eastAsia="Times New Roman" w:hAnsi="Times New Roman" w:cs="Times New Roman"/>
          <w:i/>
          <w:iCs/>
          <w:color w:val="000000"/>
          <w:sz w:val="22"/>
          <w:szCs w:val="22"/>
          <w:lang w:val="es-CR" w:eastAsia="es-CR"/>
        </w:rPr>
        <w:footnoteReference w:id="4"/>
      </w:r>
      <w:r w:rsidRPr="005726E5">
        <w:rPr>
          <w:rFonts w:ascii="Times New Roman" w:eastAsia="Times New Roman" w:hAnsi="Times New Roman" w:cs="Times New Roman"/>
          <w:i/>
          <w:iCs/>
          <w:color w:val="000000"/>
          <w:sz w:val="22"/>
          <w:szCs w:val="22"/>
          <w:lang w:val="es-CR" w:eastAsia="es-CR"/>
        </w:rPr>
        <w:t xml:space="preserve"> </w:t>
      </w:r>
    </w:p>
    <w:p w14:paraId="38379B8E" w14:textId="22B3845B" w:rsidR="005726E5" w:rsidRDefault="005726E5" w:rsidP="00913295">
      <w:pPr>
        <w:pStyle w:val="Textoindependiente"/>
        <w:ind w:right="49"/>
        <w:jc w:val="both"/>
        <w:rPr>
          <w:rFonts w:ascii="Times New Roman" w:eastAsia="Times New Roman" w:hAnsi="Times New Roman" w:cs="Times New Roman"/>
          <w:color w:val="000000"/>
          <w:lang w:val="es-CR" w:eastAsia="es-CR"/>
        </w:rPr>
      </w:pPr>
    </w:p>
    <w:p w14:paraId="526D6D0C" w14:textId="68E955B1" w:rsidR="004E2D63" w:rsidRDefault="00C21128" w:rsidP="00913295">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 xml:space="preserve">En el presente caso, </w:t>
      </w:r>
      <w:r w:rsidR="00797327">
        <w:rPr>
          <w:rFonts w:ascii="Times New Roman" w:eastAsia="Times New Roman" w:hAnsi="Times New Roman" w:cs="Times New Roman"/>
          <w:color w:val="000000"/>
          <w:lang w:val="es-CR" w:eastAsia="es-CR"/>
        </w:rPr>
        <w:t>el hecho generador de la obligación es ser supervisado por esta Superintendencia.  Al respecto, la Pro</w:t>
      </w:r>
      <w:r w:rsidR="004E2D63">
        <w:rPr>
          <w:rFonts w:ascii="Times New Roman" w:eastAsia="Times New Roman" w:hAnsi="Times New Roman" w:cs="Times New Roman"/>
          <w:color w:val="000000"/>
          <w:lang w:val="es-CR" w:eastAsia="es-CR"/>
        </w:rPr>
        <w:t xml:space="preserve">curaduría General de la República ha indicado lo siguiente:  </w:t>
      </w:r>
    </w:p>
    <w:p w14:paraId="05271250" w14:textId="77777777" w:rsidR="004E2D63" w:rsidRDefault="004E2D63" w:rsidP="00913295">
      <w:pPr>
        <w:pStyle w:val="Textoindependiente"/>
        <w:ind w:right="49"/>
        <w:jc w:val="both"/>
        <w:rPr>
          <w:rFonts w:ascii="Times New Roman" w:eastAsia="Times New Roman" w:hAnsi="Times New Roman" w:cs="Times New Roman"/>
          <w:color w:val="000000"/>
          <w:lang w:val="es-CR" w:eastAsia="es-CR"/>
        </w:rPr>
      </w:pPr>
    </w:p>
    <w:p w14:paraId="5BE94DAE" w14:textId="278184C4" w:rsidR="00797327" w:rsidRDefault="004E2D63" w:rsidP="00CA420C">
      <w:pPr>
        <w:pStyle w:val="Textoindependiente"/>
        <w:ind w:left="284" w:right="49"/>
        <w:jc w:val="both"/>
        <w:rPr>
          <w:rFonts w:ascii="Times New Roman" w:eastAsia="Times New Roman" w:hAnsi="Times New Roman" w:cs="Times New Roman"/>
          <w:color w:val="000000"/>
          <w:lang w:val="es-CR" w:eastAsia="es-CR"/>
        </w:rPr>
      </w:pPr>
      <w:r w:rsidRPr="008F1233">
        <w:rPr>
          <w:rFonts w:ascii="Times New Roman" w:eastAsia="Times New Roman" w:hAnsi="Times New Roman" w:cs="Times New Roman"/>
          <w:i/>
          <w:iCs/>
          <w:color w:val="000000"/>
          <w:lang w:val="es-CR" w:eastAsia="es-CR"/>
        </w:rPr>
        <w:t xml:space="preserve">Del primer párrafo del artículo 175 se desprende el deber de cada entidad fiscalizada de </w:t>
      </w:r>
      <w:r w:rsidRPr="008F1233">
        <w:rPr>
          <w:rFonts w:ascii="Times New Roman" w:eastAsia="Times New Roman" w:hAnsi="Times New Roman" w:cs="Times New Roman"/>
          <w:i/>
          <w:iCs/>
          <w:color w:val="000000"/>
          <w:lang w:val="es-CR" w:eastAsia="es-CR"/>
        </w:rPr>
        <w:lastRenderedPageBreak/>
        <w:t>financiar al respectivo órgano fiscalizador, para lo cual se establece que el aporte podrá alcanzar hasta un dos por ciento de los ingresos brutos anuales de la entidad fiscalizada. Ese deber de contribuir tiene naturaleza tributaria: es una contribución especial. En efecto, se trata de un tributo cuyo hecho generador es la obtención de beneficios derivados de la realización de actividades estatales y "cuyo producto no debe tener un destino ajeno a la financiación de las obras o de las actividades que constituyen la razón de ser de la obligación" (artículo 4° del Código Tributario). En este caso, contribución especial derivada de la obtención de los servicios de regulación y fiscalización por parte de la Superintendencia correspondiente. La actividad de regulación y fiscalización satisface simultáneamente intereses públicos y proporciona ventajas a los entes fiscalizados, de allí que éstos deban contribuir, obligatoriamente, con ese financiamiento.</w:t>
      </w:r>
      <w:r>
        <w:rPr>
          <w:rFonts w:ascii="Times New Roman" w:eastAsia="Times New Roman" w:hAnsi="Times New Roman" w:cs="Times New Roman"/>
          <w:color w:val="000000"/>
          <w:lang w:val="es-CR" w:eastAsia="es-CR"/>
        </w:rPr>
        <w:t xml:space="preserve"> (C-073-2004</w:t>
      </w:r>
      <w:r w:rsidR="00DC1641">
        <w:rPr>
          <w:rFonts w:ascii="Times New Roman" w:eastAsia="Times New Roman" w:hAnsi="Times New Roman" w:cs="Times New Roman"/>
          <w:color w:val="000000"/>
          <w:lang w:val="es-CR" w:eastAsia="es-CR"/>
        </w:rPr>
        <w:t>.</w:t>
      </w:r>
      <w:r>
        <w:rPr>
          <w:rFonts w:ascii="Times New Roman" w:eastAsia="Times New Roman" w:hAnsi="Times New Roman" w:cs="Times New Roman"/>
          <w:color w:val="000000"/>
          <w:lang w:val="es-CR" w:eastAsia="es-CR"/>
        </w:rPr>
        <w:t xml:space="preserve">) </w:t>
      </w:r>
    </w:p>
    <w:p w14:paraId="10AF8CE6" w14:textId="77777777" w:rsidR="00EA6DA5" w:rsidRDefault="00EA6DA5" w:rsidP="00913295">
      <w:pPr>
        <w:pStyle w:val="Textoindependiente"/>
        <w:ind w:right="49"/>
        <w:jc w:val="both"/>
        <w:rPr>
          <w:rFonts w:ascii="Times New Roman" w:eastAsia="Times New Roman" w:hAnsi="Times New Roman" w:cs="Times New Roman"/>
          <w:color w:val="000000"/>
          <w:lang w:val="es-CR" w:eastAsia="es-CR"/>
        </w:rPr>
      </w:pPr>
    </w:p>
    <w:p w14:paraId="00A991CB" w14:textId="4BB764F4" w:rsidR="005726E5" w:rsidRDefault="00EA6DA5" w:rsidP="00DA2879">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 xml:space="preserve">A partir de lo anterior, es el criterio de esta </w:t>
      </w:r>
      <w:r w:rsidRPr="00EA6DA5">
        <w:rPr>
          <w:rFonts w:ascii="Times New Roman" w:eastAsia="Times New Roman" w:hAnsi="Times New Roman" w:cs="Times New Roman"/>
          <w:color w:val="000000"/>
          <w:lang w:val="es-CR" w:eastAsia="es-CR"/>
        </w:rPr>
        <w:t xml:space="preserve">División </w:t>
      </w:r>
      <w:r>
        <w:rPr>
          <w:rFonts w:ascii="Times New Roman" w:eastAsia="Times New Roman" w:hAnsi="Times New Roman" w:cs="Times New Roman"/>
          <w:color w:val="000000"/>
          <w:lang w:val="es-CR" w:eastAsia="es-CR"/>
        </w:rPr>
        <w:t xml:space="preserve">que </w:t>
      </w:r>
      <w:r w:rsidR="00DC60A5">
        <w:rPr>
          <w:rFonts w:ascii="Times New Roman" w:eastAsia="Times New Roman" w:hAnsi="Times New Roman" w:cs="Times New Roman"/>
          <w:color w:val="000000"/>
          <w:lang w:val="es-CR" w:eastAsia="es-CR"/>
        </w:rPr>
        <w:t xml:space="preserve">aún en el caso de que se hubiera reportado como un gasto el pago de la comisión por administración pagada a la operadora </w:t>
      </w:r>
      <w:r w:rsidR="0012544B">
        <w:rPr>
          <w:rFonts w:ascii="Times New Roman" w:eastAsia="Times New Roman" w:hAnsi="Times New Roman" w:cs="Times New Roman"/>
          <w:color w:val="000000"/>
          <w:lang w:val="es-CR" w:eastAsia="es-CR"/>
        </w:rPr>
        <w:t xml:space="preserve">no </w:t>
      </w:r>
      <w:r w:rsidR="00DC60A5">
        <w:rPr>
          <w:rFonts w:ascii="Times New Roman" w:eastAsia="Times New Roman" w:hAnsi="Times New Roman" w:cs="Times New Roman"/>
          <w:color w:val="000000"/>
          <w:lang w:val="es-CR" w:eastAsia="es-CR"/>
        </w:rPr>
        <w:t xml:space="preserve">existiría doble imposición. </w:t>
      </w:r>
      <w:r w:rsidR="00DA2879">
        <w:rPr>
          <w:rFonts w:ascii="Times New Roman" w:eastAsia="Times New Roman" w:hAnsi="Times New Roman" w:cs="Times New Roman"/>
          <w:color w:val="000000"/>
          <w:lang w:val="es-CR" w:eastAsia="es-CR"/>
        </w:rPr>
        <w:t>Nótese que</w:t>
      </w:r>
      <w:r w:rsidR="00AA5F00">
        <w:rPr>
          <w:rFonts w:ascii="Times New Roman" w:eastAsia="Times New Roman" w:hAnsi="Times New Roman" w:cs="Times New Roman"/>
          <w:color w:val="000000"/>
          <w:lang w:val="es-CR" w:eastAsia="es-CR"/>
        </w:rPr>
        <w:t>,</w:t>
      </w:r>
      <w:r w:rsidR="00DA2879">
        <w:rPr>
          <w:rFonts w:ascii="Times New Roman" w:eastAsia="Times New Roman" w:hAnsi="Times New Roman" w:cs="Times New Roman"/>
          <w:color w:val="000000"/>
          <w:lang w:val="es-CR" w:eastAsia="es-CR"/>
        </w:rPr>
        <w:t xml:space="preserve"> si bien </w:t>
      </w:r>
      <w:r w:rsidR="00AA5F00">
        <w:rPr>
          <w:rFonts w:ascii="Times New Roman" w:eastAsia="Times New Roman" w:hAnsi="Times New Roman" w:cs="Times New Roman"/>
          <w:color w:val="000000"/>
          <w:lang w:val="es-CR" w:eastAsia="es-CR"/>
        </w:rPr>
        <w:t>estamos</w:t>
      </w:r>
      <w:r w:rsidR="00DA2879">
        <w:rPr>
          <w:rFonts w:ascii="Times New Roman" w:eastAsia="Times New Roman" w:hAnsi="Times New Roman" w:cs="Times New Roman"/>
          <w:color w:val="000000"/>
          <w:lang w:val="es-CR" w:eastAsia="es-CR"/>
        </w:rPr>
        <w:t xml:space="preserve"> frente a un cobro de naturaleza tributaria, </w:t>
      </w:r>
      <w:r w:rsidR="00CB6CCB">
        <w:rPr>
          <w:rFonts w:ascii="Times New Roman" w:eastAsia="Times New Roman" w:hAnsi="Times New Roman" w:cs="Times New Roman"/>
          <w:color w:val="000000"/>
          <w:lang w:val="es-CR" w:eastAsia="es-CR"/>
        </w:rPr>
        <w:t>el pago sería realizado por dos sujetos activos distintos</w:t>
      </w:r>
      <w:r w:rsidR="00DB22E0">
        <w:rPr>
          <w:rFonts w:ascii="Times New Roman" w:eastAsia="Times New Roman" w:hAnsi="Times New Roman" w:cs="Times New Roman"/>
          <w:color w:val="000000"/>
          <w:lang w:val="es-CR" w:eastAsia="es-CR"/>
        </w:rPr>
        <w:t>, ambos obligados por su condición de sujetos supervisados</w:t>
      </w:r>
      <w:r w:rsidR="002405C4">
        <w:rPr>
          <w:rFonts w:ascii="Times New Roman" w:eastAsia="Times New Roman" w:hAnsi="Times New Roman" w:cs="Times New Roman"/>
          <w:color w:val="000000"/>
          <w:lang w:val="es-CR" w:eastAsia="es-CR"/>
        </w:rPr>
        <w:t xml:space="preserve">. </w:t>
      </w:r>
      <w:r w:rsidR="00B427E7">
        <w:rPr>
          <w:rFonts w:ascii="Times New Roman" w:eastAsia="Times New Roman" w:hAnsi="Times New Roman" w:cs="Times New Roman"/>
          <w:color w:val="000000"/>
          <w:lang w:val="es-CR" w:eastAsia="es-CR"/>
        </w:rPr>
        <w:t xml:space="preserve">Nótese, además, que en el caso de la operadora </w:t>
      </w:r>
      <w:r w:rsidR="00CC6B42">
        <w:rPr>
          <w:rFonts w:ascii="Times New Roman" w:eastAsia="Times New Roman" w:hAnsi="Times New Roman" w:cs="Times New Roman"/>
          <w:color w:val="000000"/>
          <w:lang w:val="es-CR" w:eastAsia="es-CR"/>
        </w:rPr>
        <w:t xml:space="preserve">dicho pago sería considerado como un ingreso, de conformidad con el artículo 2 del </w:t>
      </w:r>
      <w:r w:rsidR="009953F4" w:rsidRPr="009953F4">
        <w:rPr>
          <w:rFonts w:ascii="Times New Roman" w:eastAsia="Times New Roman" w:hAnsi="Times New Roman" w:cs="Times New Roman"/>
          <w:color w:val="000000"/>
          <w:lang w:val="es-CR" w:eastAsia="es-CR"/>
        </w:rPr>
        <w:t>Decreto Ejecutivo N°. 38292-H</w:t>
      </w:r>
      <w:r w:rsidR="009953F4">
        <w:rPr>
          <w:rFonts w:ascii="Times New Roman" w:eastAsia="Times New Roman" w:hAnsi="Times New Roman" w:cs="Times New Roman"/>
          <w:color w:val="000000"/>
          <w:lang w:val="es-CR" w:eastAsia="es-CR"/>
        </w:rPr>
        <w:t>, mientras que</w:t>
      </w:r>
      <w:r w:rsidR="00947E0A">
        <w:rPr>
          <w:rFonts w:ascii="Times New Roman" w:eastAsia="Times New Roman" w:hAnsi="Times New Roman" w:cs="Times New Roman"/>
          <w:color w:val="000000"/>
          <w:lang w:val="es-CR" w:eastAsia="es-CR"/>
        </w:rPr>
        <w:t>,</w:t>
      </w:r>
      <w:r w:rsidR="009953F4">
        <w:rPr>
          <w:rFonts w:ascii="Times New Roman" w:eastAsia="Times New Roman" w:hAnsi="Times New Roman" w:cs="Times New Roman"/>
          <w:color w:val="000000"/>
          <w:lang w:val="es-CR" w:eastAsia="es-CR"/>
        </w:rPr>
        <w:t xml:space="preserve"> en el caso de </w:t>
      </w:r>
      <w:r w:rsidR="00A43094">
        <w:rPr>
          <w:rFonts w:ascii="Times New Roman" w:eastAsia="Times New Roman" w:hAnsi="Times New Roman" w:cs="Times New Roman"/>
          <w:color w:val="000000"/>
          <w:lang w:val="es-CR" w:eastAsia="es-CR"/>
        </w:rPr>
        <w:t>las</w:t>
      </w:r>
      <w:r w:rsidR="0090168D">
        <w:rPr>
          <w:rFonts w:ascii="Times New Roman" w:eastAsia="Times New Roman" w:hAnsi="Times New Roman" w:cs="Times New Roman"/>
          <w:color w:val="000000"/>
          <w:lang w:val="es-CR" w:eastAsia="es-CR"/>
        </w:rPr>
        <w:t xml:space="preserve"> junta</w:t>
      </w:r>
      <w:r w:rsidR="00A43094">
        <w:rPr>
          <w:rFonts w:ascii="Times New Roman" w:eastAsia="Times New Roman" w:hAnsi="Times New Roman" w:cs="Times New Roman"/>
          <w:color w:val="000000"/>
          <w:lang w:val="es-CR" w:eastAsia="es-CR"/>
        </w:rPr>
        <w:t>s</w:t>
      </w:r>
      <w:r w:rsidR="0090168D">
        <w:rPr>
          <w:rFonts w:ascii="Times New Roman" w:eastAsia="Times New Roman" w:hAnsi="Times New Roman" w:cs="Times New Roman"/>
          <w:color w:val="000000"/>
          <w:lang w:val="es-CR" w:eastAsia="es-CR"/>
        </w:rPr>
        <w:t xml:space="preserve"> administradora</w:t>
      </w:r>
      <w:r w:rsidR="00A43094">
        <w:rPr>
          <w:rFonts w:ascii="Times New Roman" w:eastAsia="Times New Roman" w:hAnsi="Times New Roman" w:cs="Times New Roman"/>
          <w:color w:val="000000"/>
          <w:lang w:val="es-CR" w:eastAsia="es-CR"/>
        </w:rPr>
        <w:t>s</w:t>
      </w:r>
      <w:r w:rsidR="0090168D">
        <w:rPr>
          <w:rFonts w:ascii="Times New Roman" w:eastAsia="Times New Roman" w:hAnsi="Times New Roman" w:cs="Times New Roman"/>
          <w:color w:val="000000"/>
          <w:lang w:val="es-CR" w:eastAsia="es-CR"/>
        </w:rPr>
        <w:t xml:space="preserve">, sería un gasto </w:t>
      </w:r>
      <w:r w:rsidR="008F4287">
        <w:rPr>
          <w:rFonts w:ascii="Times New Roman" w:eastAsia="Times New Roman" w:hAnsi="Times New Roman" w:cs="Times New Roman"/>
          <w:color w:val="000000"/>
          <w:lang w:val="es-CR" w:eastAsia="es-CR"/>
        </w:rPr>
        <w:t xml:space="preserve">que guarda relación </w:t>
      </w:r>
      <w:r w:rsidR="008F4287" w:rsidRPr="008F4287">
        <w:rPr>
          <w:rFonts w:ascii="Times New Roman" w:eastAsia="Times New Roman" w:hAnsi="Times New Roman" w:cs="Times New Roman"/>
          <w:color w:val="000000"/>
          <w:lang w:val="es-CR" w:eastAsia="es-CR"/>
        </w:rPr>
        <w:t xml:space="preserve">con las funciones establecidas para estos órganos en el artículo 7 del Reglamento </w:t>
      </w:r>
      <w:r w:rsidR="008F4287">
        <w:rPr>
          <w:rFonts w:ascii="Times New Roman" w:eastAsia="Times New Roman" w:hAnsi="Times New Roman" w:cs="Times New Roman"/>
          <w:color w:val="000000"/>
          <w:lang w:val="es-CR" w:eastAsia="es-CR"/>
        </w:rPr>
        <w:t>sobre</w:t>
      </w:r>
      <w:r w:rsidR="008F4287" w:rsidRPr="008F4287">
        <w:rPr>
          <w:rFonts w:ascii="Times New Roman" w:eastAsia="Times New Roman" w:hAnsi="Times New Roman" w:cs="Times New Roman"/>
          <w:color w:val="000000"/>
          <w:lang w:val="es-CR" w:eastAsia="es-CR"/>
        </w:rPr>
        <w:t xml:space="preserve"> Gobierno Corporativo</w:t>
      </w:r>
      <w:r w:rsidR="00947E0A">
        <w:rPr>
          <w:rFonts w:ascii="Times New Roman" w:eastAsia="Times New Roman" w:hAnsi="Times New Roman" w:cs="Times New Roman"/>
          <w:color w:val="000000"/>
          <w:lang w:val="es-CR" w:eastAsia="es-CR"/>
        </w:rPr>
        <w:t xml:space="preserve">. </w:t>
      </w:r>
    </w:p>
    <w:p w14:paraId="044ACF99" w14:textId="77777777" w:rsidR="005726E5" w:rsidRDefault="005726E5" w:rsidP="00913295">
      <w:pPr>
        <w:pStyle w:val="Textoindependiente"/>
        <w:ind w:right="49"/>
        <w:jc w:val="both"/>
        <w:rPr>
          <w:rFonts w:ascii="Times New Roman" w:eastAsia="Times New Roman" w:hAnsi="Times New Roman" w:cs="Times New Roman"/>
          <w:color w:val="000000"/>
          <w:lang w:val="es-CR" w:eastAsia="es-CR"/>
        </w:rPr>
      </w:pPr>
    </w:p>
    <w:p w14:paraId="3ACFF7EB" w14:textId="77777777" w:rsidR="00913295" w:rsidRPr="00C33E1F" w:rsidRDefault="00913295" w:rsidP="00913295">
      <w:pPr>
        <w:tabs>
          <w:tab w:val="left" w:pos="1056"/>
        </w:tabs>
        <w:spacing w:line="240" w:lineRule="auto"/>
        <w:ind w:left="708" w:right="758"/>
        <w:jc w:val="both"/>
        <w:rPr>
          <w:b/>
        </w:rPr>
      </w:pPr>
      <w:r w:rsidRPr="00C33E1F">
        <w:rPr>
          <w:b/>
        </w:rPr>
        <w:t>III. Conclusiones</w:t>
      </w:r>
    </w:p>
    <w:p w14:paraId="5766BF52" w14:textId="77777777" w:rsidR="00913295" w:rsidRDefault="00913295" w:rsidP="00913295">
      <w:pPr>
        <w:pStyle w:val="NormalWeb"/>
        <w:spacing w:before="0" w:beforeAutospacing="0" w:after="0" w:afterAutospacing="0"/>
        <w:jc w:val="both"/>
        <w:rPr>
          <w:sz w:val="24"/>
          <w:szCs w:val="24"/>
        </w:rPr>
      </w:pPr>
    </w:p>
    <w:p w14:paraId="1BC69B89" w14:textId="77777777" w:rsidR="00913295" w:rsidRDefault="00913295" w:rsidP="00913295">
      <w:pPr>
        <w:pStyle w:val="NormalWeb"/>
        <w:spacing w:before="0" w:beforeAutospacing="0" w:after="0" w:afterAutospacing="0"/>
        <w:jc w:val="both"/>
        <w:rPr>
          <w:sz w:val="24"/>
          <w:szCs w:val="24"/>
        </w:rPr>
      </w:pPr>
      <w:r w:rsidRPr="006F61E7">
        <w:rPr>
          <w:sz w:val="24"/>
          <w:szCs w:val="24"/>
        </w:rPr>
        <w:t xml:space="preserve">En virtud de lo expuesto, se concluye que:  </w:t>
      </w:r>
    </w:p>
    <w:p w14:paraId="2D499C14" w14:textId="77777777" w:rsidR="00913295" w:rsidRPr="006F61E7" w:rsidRDefault="00913295" w:rsidP="00913295">
      <w:pPr>
        <w:pStyle w:val="NormalWeb"/>
        <w:spacing w:before="0" w:beforeAutospacing="0" w:after="0" w:afterAutospacing="0"/>
        <w:jc w:val="both"/>
        <w:rPr>
          <w:sz w:val="24"/>
          <w:szCs w:val="24"/>
        </w:rPr>
      </w:pPr>
    </w:p>
    <w:p w14:paraId="7BF585C7" w14:textId="2F24B19C" w:rsidR="00615880" w:rsidRDefault="009A1655" w:rsidP="009D7F90">
      <w:pPr>
        <w:pStyle w:val="Textoindependiente"/>
        <w:numPr>
          <w:ilvl w:val="0"/>
          <w:numId w:val="20"/>
        </w:numPr>
        <w:ind w:right="49"/>
        <w:jc w:val="both"/>
        <w:rPr>
          <w:rFonts w:ascii="Times New Roman" w:eastAsia="Times New Roman" w:hAnsi="Times New Roman" w:cs="Times New Roman"/>
          <w:color w:val="000000"/>
          <w:lang w:val="es-CR" w:eastAsia="es-CR"/>
        </w:rPr>
      </w:pPr>
      <w:r>
        <w:rPr>
          <w:rFonts w:ascii="Times New Roman" w:hAnsi="Times New Roman" w:cs="Times New Roman"/>
          <w:lang w:val="es-CR"/>
        </w:rPr>
        <w:t>E</w:t>
      </w:r>
      <w:r w:rsidR="00615880">
        <w:rPr>
          <w:rFonts w:ascii="Times New Roman" w:eastAsia="Times New Roman" w:hAnsi="Times New Roman" w:cs="Times New Roman"/>
          <w:color w:val="000000"/>
          <w:lang w:val="es-CR" w:eastAsia="es-CR"/>
        </w:rPr>
        <w:t xml:space="preserve">l Reglamento </w:t>
      </w:r>
      <w:r w:rsidR="00615880" w:rsidRPr="006368D2">
        <w:rPr>
          <w:rFonts w:ascii="Times New Roman" w:eastAsia="Times New Roman" w:hAnsi="Times New Roman" w:cs="Times New Roman"/>
          <w:color w:val="000000"/>
          <w:lang w:val="es-CR" w:eastAsia="es-CR"/>
        </w:rPr>
        <w:t>para regular la participación de los sujetos fiscalizados en el financiamiento del presupuesto de las Superintendencias</w:t>
      </w:r>
      <w:r w:rsidR="00615880">
        <w:rPr>
          <w:rFonts w:ascii="Times New Roman" w:eastAsia="Times New Roman" w:hAnsi="Times New Roman" w:cs="Times New Roman"/>
          <w:color w:val="000000"/>
          <w:lang w:val="es-CR" w:eastAsia="es-CR"/>
        </w:rPr>
        <w:t xml:space="preserve"> establece dos modalidades de cálculo para el cobro. Una modalidad para los</w:t>
      </w:r>
      <w:r w:rsidR="00615880" w:rsidRPr="00263963">
        <w:rPr>
          <w:rFonts w:ascii="Times New Roman" w:eastAsia="Times New Roman" w:hAnsi="Times New Roman" w:cs="Times New Roman"/>
          <w:color w:val="000000"/>
          <w:lang w:val="es-CR" w:eastAsia="es-CR"/>
        </w:rPr>
        <w:t xml:space="preserve"> sujeto</w:t>
      </w:r>
      <w:r w:rsidR="00615880">
        <w:rPr>
          <w:rFonts w:ascii="Times New Roman" w:eastAsia="Times New Roman" w:hAnsi="Times New Roman" w:cs="Times New Roman"/>
          <w:color w:val="000000"/>
          <w:lang w:val="es-CR" w:eastAsia="es-CR"/>
        </w:rPr>
        <w:t>s</w:t>
      </w:r>
      <w:r w:rsidR="00615880" w:rsidRPr="00263963">
        <w:rPr>
          <w:rFonts w:ascii="Times New Roman" w:eastAsia="Times New Roman" w:hAnsi="Times New Roman" w:cs="Times New Roman"/>
          <w:color w:val="000000"/>
          <w:lang w:val="es-CR" w:eastAsia="es-CR"/>
        </w:rPr>
        <w:t xml:space="preserve"> fiscalizado</w:t>
      </w:r>
      <w:r w:rsidR="00615880">
        <w:rPr>
          <w:rFonts w:ascii="Times New Roman" w:eastAsia="Times New Roman" w:hAnsi="Times New Roman" w:cs="Times New Roman"/>
          <w:color w:val="000000"/>
          <w:lang w:val="es-CR" w:eastAsia="es-CR"/>
        </w:rPr>
        <w:t>s que utiliza como base impositiva los ingresos brutos del periodo</w:t>
      </w:r>
      <w:r w:rsidR="00615880" w:rsidRPr="00263963">
        <w:rPr>
          <w:rFonts w:ascii="Times New Roman" w:eastAsia="Times New Roman" w:hAnsi="Times New Roman" w:cs="Times New Roman"/>
          <w:color w:val="000000"/>
          <w:lang w:val="es-CR" w:eastAsia="es-CR"/>
        </w:rPr>
        <w:t>,</w:t>
      </w:r>
      <w:r w:rsidR="00615880">
        <w:rPr>
          <w:rFonts w:ascii="Times New Roman" w:eastAsia="Times New Roman" w:hAnsi="Times New Roman" w:cs="Times New Roman"/>
          <w:color w:val="000000"/>
          <w:lang w:val="es-CR" w:eastAsia="es-CR"/>
        </w:rPr>
        <w:t xml:space="preserve"> y una modalidad para el caso de los fondos creados por leyes especiales o convenciones colectivas</w:t>
      </w:r>
      <w:r w:rsidR="00C34329">
        <w:rPr>
          <w:rFonts w:ascii="Times New Roman" w:eastAsia="Times New Roman" w:hAnsi="Times New Roman" w:cs="Times New Roman"/>
          <w:color w:val="000000"/>
          <w:lang w:val="es-CR" w:eastAsia="es-CR"/>
        </w:rPr>
        <w:t>,</w:t>
      </w:r>
      <w:r w:rsidR="00615880">
        <w:rPr>
          <w:rFonts w:ascii="Times New Roman" w:eastAsia="Times New Roman" w:hAnsi="Times New Roman" w:cs="Times New Roman"/>
          <w:color w:val="000000"/>
          <w:lang w:val="es-CR" w:eastAsia="es-CR"/>
        </w:rPr>
        <w:t xml:space="preserve"> que utiliza como base impositiva los gastos directos e indirectos incurridos por administrar el fondo</w:t>
      </w:r>
      <w:r w:rsidR="005C7419">
        <w:rPr>
          <w:rFonts w:ascii="Times New Roman" w:eastAsia="Times New Roman" w:hAnsi="Times New Roman" w:cs="Times New Roman"/>
          <w:color w:val="000000"/>
          <w:lang w:val="es-CR" w:eastAsia="es-CR"/>
        </w:rPr>
        <w:t>,</w:t>
      </w:r>
      <w:r w:rsidR="00615880">
        <w:rPr>
          <w:rFonts w:ascii="Times New Roman" w:eastAsia="Times New Roman" w:hAnsi="Times New Roman" w:cs="Times New Roman"/>
          <w:color w:val="000000"/>
          <w:lang w:val="es-CR" w:eastAsia="es-CR"/>
        </w:rPr>
        <w:t xml:space="preserve"> o bien</w:t>
      </w:r>
      <w:r w:rsidR="005C7419">
        <w:rPr>
          <w:rFonts w:ascii="Times New Roman" w:eastAsia="Times New Roman" w:hAnsi="Times New Roman" w:cs="Times New Roman"/>
          <w:color w:val="000000"/>
          <w:lang w:val="es-CR" w:eastAsia="es-CR"/>
        </w:rPr>
        <w:t>,</w:t>
      </w:r>
      <w:r w:rsidR="00615880">
        <w:rPr>
          <w:rFonts w:ascii="Times New Roman" w:eastAsia="Times New Roman" w:hAnsi="Times New Roman" w:cs="Times New Roman"/>
          <w:color w:val="000000"/>
          <w:lang w:val="es-CR" w:eastAsia="es-CR"/>
        </w:rPr>
        <w:t xml:space="preserve"> </w:t>
      </w:r>
      <w:r w:rsidR="00CE6952">
        <w:rPr>
          <w:rFonts w:ascii="Times New Roman" w:eastAsia="Times New Roman" w:hAnsi="Times New Roman" w:cs="Times New Roman"/>
          <w:color w:val="000000"/>
          <w:lang w:val="es-CR" w:eastAsia="es-CR"/>
        </w:rPr>
        <w:t>los ingresos recibidos por la administración del fondo según la</w:t>
      </w:r>
      <w:r w:rsidR="00266B56">
        <w:rPr>
          <w:rFonts w:ascii="Times New Roman" w:eastAsia="Times New Roman" w:hAnsi="Times New Roman" w:cs="Times New Roman"/>
          <w:color w:val="000000"/>
          <w:lang w:val="es-CR" w:eastAsia="es-CR"/>
        </w:rPr>
        <w:t>s</w:t>
      </w:r>
      <w:r w:rsidR="00CE6952">
        <w:rPr>
          <w:rFonts w:ascii="Times New Roman" w:eastAsia="Times New Roman" w:hAnsi="Times New Roman" w:cs="Times New Roman"/>
          <w:color w:val="000000"/>
          <w:lang w:val="es-CR" w:eastAsia="es-CR"/>
        </w:rPr>
        <w:t xml:space="preserve"> entidad</w:t>
      </w:r>
      <w:r w:rsidR="00266B56">
        <w:rPr>
          <w:rFonts w:ascii="Times New Roman" w:eastAsia="Times New Roman" w:hAnsi="Times New Roman" w:cs="Times New Roman"/>
          <w:color w:val="000000"/>
          <w:lang w:val="es-CR" w:eastAsia="es-CR"/>
        </w:rPr>
        <w:t>es</w:t>
      </w:r>
      <w:r w:rsidR="00CE6952">
        <w:rPr>
          <w:rFonts w:ascii="Times New Roman" w:eastAsia="Times New Roman" w:hAnsi="Times New Roman" w:cs="Times New Roman"/>
          <w:color w:val="000000"/>
          <w:lang w:val="es-CR" w:eastAsia="es-CR"/>
        </w:rPr>
        <w:t xml:space="preserve"> administradora</w:t>
      </w:r>
      <w:r w:rsidR="00266B56">
        <w:rPr>
          <w:rFonts w:ascii="Times New Roman" w:eastAsia="Times New Roman" w:hAnsi="Times New Roman" w:cs="Times New Roman"/>
          <w:color w:val="000000"/>
          <w:lang w:val="es-CR" w:eastAsia="es-CR"/>
        </w:rPr>
        <w:t>s</w:t>
      </w:r>
      <w:r w:rsidR="00CE6952">
        <w:rPr>
          <w:rFonts w:ascii="Times New Roman" w:eastAsia="Times New Roman" w:hAnsi="Times New Roman" w:cs="Times New Roman"/>
          <w:color w:val="000000"/>
          <w:lang w:val="es-CR" w:eastAsia="es-CR"/>
        </w:rPr>
        <w:t xml:space="preserve"> reciban</w:t>
      </w:r>
      <w:r w:rsidR="00DE3DDD">
        <w:rPr>
          <w:rFonts w:ascii="Times New Roman" w:eastAsia="Times New Roman" w:hAnsi="Times New Roman" w:cs="Times New Roman"/>
          <w:color w:val="000000"/>
          <w:lang w:val="es-CR" w:eastAsia="es-CR"/>
        </w:rPr>
        <w:t xml:space="preserve"> </w:t>
      </w:r>
      <w:r w:rsidR="00BE6A21">
        <w:rPr>
          <w:rFonts w:ascii="Times New Roman" w:eastAsia="Times New Roman" w:hAnsi="Times New Roman" w:cs="Times New Roman"/>
          <w:color w:val="000000"/>
          <w:lang w:val="es-CR" w:eastAsia="es-CR"/>
        </w:rPr>
        <w:t>o no</w:t>
      </w:r>
      <w:r w:rsidR="00DE3DDD">
        <w:rPr>
          <w:rFonts w:ascii="Times New Roman" w:eastAsia="Times New Roman" w:hAnsi="Times New Roman" w:cs="Times New Roman"/>
          <w:color w:val="000000"/>
          <w:lang w:val="es-CR" w:eastAsia="es-CR"/>
        </w:rPr>
        <w:t xml:space="preserve"> una</w:t>
      </w:r>
      <w:r w:rsidR="00BE6A21">
        <w:rPr>
          <w:rFonts w:ascii="Times New Roman" w:eastAsia="Times New Roman" w:hAnsi="Times New Roman" w:cs="Times New Roman"/>
          <w:color w:val="000000"/>
          <w:lang w:val="es-CR" w:eastAsia="es-CR"/>
        </w:rPr>
        <w:t xml:space="preserve"> retribución por dicha actividad. </w:t>
      </w:r>
    </w:p>
    <w:p w14:paraId="151A0D52" w14:textId="77777777" w:rsidR="00BE6A21" w:rsidRDefault="00BE6A21" w:rsidP="00615880">
      <w:pPr>
        <w:pStyle w:val="Textoindependiente"/>
        <w:ind w:right="49"/>
        <w:jc w:val="both"/>
        <w:rPr>
          <w:rFonts w:ascii="Times New Roman" w:eastAsia="Times New Roman" w:hAnsi="Times New Roman" w:cs="Times New Roman"/>
          <w:color w:val="000000"/>
          <w:lang w:val="es-CR" w:eastAsia="es-CR"/>
        </w:rPr>
      </w:pPr>
    </w:p>
    <w:p w14:paraId="5F3DB3B7" w14:textId="77777777" w:rsidR="00D05444" w:rsidRDefault="00D05444" w:rsidP="00D05444">
      <w:pPr>
        <w:pStyle w:val="Textoindependiente"/>
        <w:numPr>
          <w:ilvl w:val="0"/>
          <w:numId w:val="20"/>
        </w:numPr>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Los gastos reportados por las juntas administradoras de fondos especiales que no reciben remuneración deben guardar relación con las funciones establecidas para estos órganos en el artículo 7 del Reglamento de Gobierno Corporativo.</w:t>
      </w:r>
    </w:p>
    <w:p w14:paraId="5F5DD98A" w14:textId="77777777" w:rsidR="00D05444" w:rsidRDefault="00D05444" w:rsidP="00D05444">
      <w:pPr>
        <w:pStyle w:val="Textoindependiente"/>
        <w:ind w:left="720" w:right="49"/>
        <w:jc w:val="both"/>
        <w:rPr>
          <w:rFonts w:ascii="Times New Roman" w:eastAsia="Times New Roman" w:hAnsi="Times New Roman" w:cs="Times New Roman"/>
          <w:color w:val="000000"/>
          <w:lang w:val="es-CR" w:eastAsia="es-CR"/>
        </w:rPr>
      </w:pPr>
    </w:p>
    <w:p w14:paraId="669B276F" w14:textId="66CEA5F7" w:rsidR="00FF361D" w:rsidRPr="00CE6952" w:rsidRDefault="001265F2" w:rsidP="004F35D0">
      <w:pPr>
        <w:pStyle w:val="Prrafodelista"/>
        <w:numPr>
          <w:ilvl w:val="0"/>
          <w:numId w:val="20"/>
        </w:numPr>
        <w:jc w:val="both"/>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lastRenderedPageBreak/>
        <w:t>L</w:t>
      </w:r>
      <w:r w:rsidRPr="001265F2">
        <w:rPr>
          <w:rFonts w:ascii="Times New Roman" w:eastAsia="Times New Roman" w:hAnsi="Times New Roman" w:cs="Times New Roman"/>
          <w:color w:val="000000"/>
          <w:sz w:val="24"/>
          <w:szCs w:val="24"/>
          <w:lang w:eastAsia="es-CR"/>
        </w:rPr>
        <w:t>as juntas administradoras del FJEBCR y del FJFEICT</w:t>
      </w:r>
      <w:r w:rsidR="00D768D8" w:rsidRPr="00CE6952">
        <w:rPr>
          <w:rFonts w:ascii="Times New Roman" w:eastAsia="Times New Roman" w:hAnsi="Times New Roman" w:cs="Times New Roman"/>
          <w:color w:val="000000"/>
          <w:sz w:val="24"/>
          <w:szCs w:val="24"/>
          <w:lang w:eastAsia="es-CR"/>
        </w:rPr>
        <w:t xml:space="preserve"> no reciben una retribución por</w:t>
      </w:r>
      <w:r w:rsidR="006B386C" w:rsidRPr="00CE6952">
        <w:rPr>
          <w:rFonts w:ascii="Times New Roman" w:eastAsia="Times New Roman" w:hAnsi="Times New Roman" w:cs="Times New Roman"/>
          <w:color w:val="000000"/>
          <w:sz w:val="24"/>
          <w:szCs w:val="24"/>
          <w:lang w:eastAsia="es-CR"/>
        </w:rPr>
        <w:t xml:space="preserve"> </w:t>
      </w:r>
      <w:r w:rsidR="00D768D8" w:rsidRPr="00CE6952">
        <w:rPr>
          <w:rFonts w:ascii="Times New Roman" w:eastAsia="Times New Roman" w:hAnsi="Times New Roman" w:cs="Times New Roman"/>
          <w:color w:val="000000"/>
          <w:sz w:val="24"/>
          <w:szCs w:val="24"/>
          <w:lang w:eastAsia="es-CR"/>
        </w:rPr>
        <w:t xml:space="preserve">administración. </w:t>
      </w:r>
      <w:r w:rsidR="006B386C" w:rsidRPr="00CE6952">
        <w:rPr>
          <w:rFonts w:ascii="Times New Roman" w:eastAsia="Times New Roman" w:hAnsi="Times New Roman" w:cs="Times New Roman"/>
          <w:color w:val="000000"/>
          <w:sz w:val="24"/>
          <w:szCs w:val="24"/>
          <w:lang w:eastAsia="es-CR"/>
        </w:rPr>
        <w:t>E</w:t>
      </w:r>
      <w:r w:rsidR="007440E5" w:rsidRPr="00CE6952">
        <w:rPr>
          <w:rFonts w:ascii="Times New Roman" w:eastAsia="Times New Roman" w:hAnsi="Times New Roman" w:cs="Times New Roman"/>
          <w:color w:val="000000"/>
          <w:sz w:val="24"/>
          <w:szCs w:val="24"/>
          <w:lang w:eastAsia="es-CR"/>
        </w:rPr>
        <w:t xml:space="preserve">n ambos casos </w:t>
      </w:r>
      <w:r w:rsidR="006B386C" w:rsidRPr="00CE6952">
        <w:rPr>
          <w:rFonts w:ascii="Times New Roman" w:eastAsia="Times New Roman" w:hAnsi="Times New Roman" w:cs="Times New Roman"/>
          <w:color w:val="000000"/>
          <w:sz w:val="24"/>
          <w:szCs w:val="24"/>
          <w:lang w:eastAsia="es-CR"/>
        </w:rPr>
        <w:t xml:space="preserve">las certificaciones hechas por los contadores públicos contratados para realizar el pago </w:t>
      </w:r>
      <w:r w:rsidR="007B48B9">
        <w:rPr>
          <w:rFonts w:ascii="Times New Roman" w:eastAsia="Times New Roman" w:hAnsi="Times New Roman" w:cs="Times New Roman"/>
          <w:color w:val="000000"/>
          <w:sz w:val="24"/>
          <w:szCs w:val="24"/>
          <w:lang w:eastAsia="es-CR"/>
        </w:rPr>
        <w:t>de</w:t>
      </w:r>
      <w:r w:rsidR="006B386C" w:rsidRPr="00CE6952">
        <w:rPr>
          <w:rFonts w:ascii="Times New Roman" w:eastAsia="Times New Roman" w:hAnsi="Times New Roman" w:cs="Times New Roman"/>
          <w:color w:val="000000"/>
          <w:sz w:val="24"/>
          <w:szCs w:val="24"/>
          <w:lang w:eastAsia="es-CR"/>
        </w:rPr>
        <w:t xml:space="preserve"> la contribución </w:t>
      </w:r>
      <w:r w:rsidR="005D3E7B" w:rsidRPr="00CE6952">
        <w:rPr>
          <w:rFonts w:ascii="Times New Roman" w:eastAsia="Times New Roman" w:hAnsi="Times New Roman" w:cs="Times New Roman"/>
          <w:color w:val="000000"/>
          <w:sz w:val="24"/>
          <w:szCs w:val="24"/>
          <w:lang w:eastAsia="es-CR"/>
        </w:rPr>
        <w:t>por</w:t>
      </w:r>
      <w:r w:rsidR="006B386C" w:rsidRPr="00CE6952">
        <w:rPr>
          <w:rFonts w:ascii="Times New Roman" w:eastAsia="Times New Roman" w:hAnsi="Times New Roman" w:cs="Times New Roman"/>
          <w:color w:val="000000"/>
          <w:sz w:val="24"/>
          <w:szCs w:val="24"/>
          <w:lang w:eastAsia="es-CR"/>
        </w:rPr>
        <w:t xml:space="preserve"> supervisión </w:t>
      </w:r>
      <w:r w:rsidR="005D3E7B" w:rsidRPr="00CE6952">
        <w:rPr>
          <w:rFonts w:ascii="Times New Roman" w:eastAsia="Times New Roman" w:hAnsi="Times New Roman" w:cs="Times New Roman"/>
          <w:color w:val="000000"/>
          <w:sz w:val="24"/>
          <w:szCs w:val="24"/>
          <w:lang w:eastAsia="es-CR"/>
        </w:rPr>
        <w:t xml:space="preserve">reportaron </w:t>
      </w:r>
      <w:r w:rsidR="009F61CD" w:rsidRPr="00CE6952">
        <w:rPr>
          <w:rFonts w:ascii="Times New Roman" w:eastAsia="Times New Roman" w:hAnsi="Times New Roman" w:cs="Times New Roman"/>
          <w:color w:val="000000"/>
          <w:sz w:val="24"/>
          <w:szCs w:val="24"/>
          <w:lang w:eastAsia="es-CR"/>
        </w:rPr>
        <w:t>los</w:t>
      </w:r>
      <w:r w:rsidR="009A7407" w:rsidRPr="00CE6952">
        <w:rPr>
          <w:rFonts w:ascii="Times New Roman" w:eastAsia="Times New Roman" w:hAnsi="Times New Roman" w:cs="Times New Roman"/>
          <w:color w:val="000000"/>
          <w:sz w:val="24"/>
          <w:szCs w:val="24"/>
          <w:lang w:eastAsia="es-CR"/>
        </w:rPr>
        <w:t xml:space="preserve"> gastos relacionados con la participación de directores en las sesiones, tanto de las </w:t>
      </w:r>
      <w:r w:rsidR="009F61CD" w:rsidRPr="00CE6952">
        <w:rPr>
          <w:rFonts w:ascii="Times New Roman" w:eastAsia="Times New Roman" w:hAnsi="Times New Roman" w:cs="Times New Roman"/>
          <w:color w:val="000000"/>
          <w:sz w:val="24"/>
          <w:szCs w:val="24"/>
          <w:lang w:eastAsia="es-CR"/>
        </w:rPr>
        <w:t>j</w:t>
      </w:r>
      <w:r w:rsidR="009A7407" w:rsidRPr="00CE6952">
        <w:rPr>
          <w:rFonts w:ascii="Times New Roman" w:eastAsia="Times New Roman" w:hAnsi="Times New Roman" w:cs="Times New Roman"/>
          <w:color w:val="000000"/>
          <w:sz w:val="24"/>
          <w:szCs w:val="24"/>
          <w:lang w:eastAsia="es-CR"/>
        </w:rPr>
        <w:t xml:space="preserve">untas </w:t>
      </w:r>
      <w:r w:rsidR="009F61CD" w:rsidRPr="00CE6952">
        <w:rPr>
          <w:rFonts w:ascii="Times New Roman" w:eastAsia="Times New Roman" w:hAnsi="Times New Roman" w:cs="Times New Roman"/>
          <w:color w:val="000000"/>
          <w:sz w:val="24"/>
          <w:szCs w:val="24"/>
          <w:lang w:eastAsia="es-CR"/>
        </w:rPr>
        <w:t>d</w:t>
      </w:r>
      <w:r w:rsidR="009A7407" w:rsidRPr="00CE6952">
        <w:rPr>
          <w:rFonts w:ascii="Times New Roman" w:eastAsia="Times New Roman" w:hAnsi="Times New Roman" w:cs="Times New Roman"/>
          <w:color w:val="000000"/>
          <w:sz w:val="24"/>
          <w:szCs w:val="24"/>
          <w:lang w:eastAsia="es-CR"/>
        </w:rPr>
        <w:t xml:space="preserve">irectivas como en la participación de comités de inversiones y riesgos, así como el gasto por concepto de pago por alquiler de salas para sesionar en el caso específico de la Junta Administradora del FJEBCR. </w:t>
      </w:r>
      <w:r w:rsidR="00121ECB" w:rsidRPr="00CE6952">
        <w:rPr>
          <w:rFonts w:ascii="Times New Roman" w:eastAsia="Times New Roman" w:hAnsi="Times New Roman" w:cs="Times New Roman"/>
          <w:color w:val="000000"/>
          <w:sz w:val="24"/>
          <w:szCs w:val="24"/>
          <w:lang w:eastAsia="es-CR"/>
        </w:rPr>
        <w:t>En estas certificaciones n</w:t>
      </w:r>
      <w:r w:rsidR="009A7407" w:rsidRPr="00CE6952">
        <w:rPr>
          <w:rFonts w:ascii="Times New Roman" w:eastAsia="Times New Roman" w:hAnsi="Times New Roman" w:cs="Times New Roman"/>
          <w:color w:val="000000"/>
          <w:sz w:val="24"/>
          <w:szCs w:val="24"/>
          <w:lang w:eastAsia="es-CR"/>
        </w:rPr>
        <w:t xml:space="preserve">o se </w:t>
      </w:r>
      <w:r w:rsidR="00962743" w:rsidRPr="00CE6952">
        <w:rPr>
          <w:rFonts w:ascii="Times New Roman" w:eastAsia="Times New Roman" w:hAnsi="Times New Roman" w:cs="Times New Roman"/>
          <w:color w:val="000000"/>
          <w:sz w:val="24"/>
          <w:szCs w:val="24"/>
          <w:lang w:eastAsia="es-CR"/>
        </w:rPr>
        <w:t>incluyó para el</w:t>
      </w:r>
      <w:r w:rsidR="009A7407" w:rsidRPr="00CE6952">
        <w:rPr>
          <w:rFonts w:ascii="Times New Roman" w:eastAsia="Times New Roman" w:hAnsi="Times New Roman" w:cs="Times New Roman"/>
          <w:color w:val="000000"/>
          <w:sz w:val="24"/>
          <w:szCs w:val="24"/>
          <w:lang w:eastAsia="es-CR"/>
        </w:rPr>
        <w:t xml:space="preserve"> cálculo</w:t>
      </w:r>
      <w:r w:rsidR="00962743" w:rsidRPr="00CE6952">
        <w:rPr>
          <w:rFonts w:ascii="Times New Roman" w:eastAsia="Times New Roman" w:hAnsi="Times New Roman" w:cs="Times New Roman"/>
          <w:color w:val="000000"/>
          <w:sz w:val="24"/>
          <w:szCs w:val="24"/>
          <w:lang w:eastAsia="es-CR"/>
        </w:rPr>
        <w:t>,</w:t>
      </w:r>
      <w:r w:rsidR="009A7407" w:rsidRPr="00CE6952">
        <w:rPr>
          <w:rFonts w:ascii="Times New Roman" w:eastAsia="Times New Roman" w:hAnsi="Times New Roman" w:cs="Times New Roman"/>
          <w:color w:val="000000"/>
          <w:sz w:val="24"/>
          <w:szCs w:val="24"/>
          <w:lang w:eastAsia="es-CR"/>
        </w:rPr>
        <w:t xml:space="preserve"> el pago realizado a la operadora por concepto de comisión por administración del Fondo</w:t>
      </w:r>
      <w:r w:rsidR="00482C25">
        <w:rPr>
          <w:rFonts w:ascii="Times New Roman" w:eastAsia="Times New Roman" w:hAnsi="Times New Roman" w:cs="Times New Roman"/>
          <w:color w:val="000000"/>
          <w:sz w:val="24"/>
          <w:szCs w:val="24"/>
          <w:lang w:eastAsia="es-CR"/>
        </w:rPr>
        <w:t>, razón por la cual no puede considerarse que exista una doble imposición</w:t>
      </w:r>
      <w:r w:rsidR="004F35D0" w:rsidRPr="00CE6952">
        <w:rPr>
          <w:rFonts w:ascii="Times New Roman" w:eastAsia="Times New Roman" w:hAnsi="Times New Roman" w:cs="Times New Roman"/>
          <w:color w:val="000000"/>
          <w:sz w:val="24"/>
          <w:szCs w:val="24"/>
          <w:lang w:eastAsia="es-CR"/>
        </w:rPr>
        <w:t xml:space="preserve">. </w:t>
      </w:r>
    </w:p>
    <w:p w14:paraId="193B3810" w14:textId="6AB67D17" w:rsidR="00BE6A21" w:rsidRPr="00A50561" w:rsidRDefault="009D7F90" w:rsidP="00101510">
      <w:pPr>
        <w:pStyle w:val="Textoindependiente"/>
        <w:numPr>
          <w:ilvl w:val="0"/>
          <w:numId w:val="20"/>
        </w:numPr>
        <w:ind w:right="49"/>
        <w:jc w:val="both"/>
        <w:rPr>
          <w:rFonts w:ascii="Times New Roman" w:eastAsia="Times New Roman" w:hAnsi="Times New Roman" w:cs="Times New Roman"/>
          <w:color w:val="000000"/>
          <w:lang w:val="es-CR" w:eastAsia="es-CR"/>
        </w:rPr>
      </w:pPr>
      <w:r w:rsidRPr="00A50561">
        <w:rPr>
          <w:rFonts w:ascii="Times New Roman" w:eastAsia="Times New Roman" w:hAnsi="Times New Roman" w:cs="Times New Roman"/>
          <w:color w:val="000000"/>
          <w:lang w:val="es-CR" w:eastAsia="es-CR"/>
        </w:rPr>
        <w:t xml:space="preserve">No se verifica una doble imposición </w:t>
      </w:r>
      <w:r w:rsidR="00A50561" w:rsidRPr="00A50561">
        <w:rPr>
          <w:rFonts w:ascii="Times New Roman" w:eastAsia="Times New Roman" w:hAnsi="Times New Roman" w:cs="Times New Roman"/>
          <w:color w:val="000000"/>
          <w:lang w:val="es-CR" w:eastAsia="es-CR"/>
        </w:rPr>
        <w:t>aún en el caso de que se hubiera reportado como un gasto el pago de la comisión por administración pagada a la operador</w:t>
      </w:r>
      <w:r w:rsidR="00493360">
        <w:rPr>
          <w:rFonts w:ascii="Times New Roman" w:eastAsia="Times New Roman" w:hAnsi="Times New Roman" w:cs="Times New Roman"/>
          <w:color w:val="000000"/>
          <w:lang w:val="es-CR" w:eastAsia="es-CR"/>
        </w:rPr>
        <w:t xml:space="preserve">a, dado que </w:t>
      </w:r>
      <w:r w:rsidR="00A50561" w:rsidRPr="00A50561">
        <w:rPr>
          <w:rFonts w:ascii="Times New Roman" w:eastAsia="Times New Roman" w:hAnsi="Times New Roman" w:cs="Times New Roman"/>
          <w:color w:val="000000"/>
          <w:lang w:val="es-CR" w:eastAsia="es-CR"/>
        </w:rPr>
        <w:t>el pago</w:t>
      </w:r>
      <w:r w:rsidR="00493360">
        <w:rPr>
          <w:rFonts w:ascii="Times New Roman" w:eastAsia="Times New Roman" w:hAnsi="Times New Roman" w:cs="Times New Roman"/>
          <w:color w:val="000000"/>
          <w:lang w:val="es-CR" w:eastAsia="es-CR"/>
        </w:rPr>
        <w:t xml:space="preserve"> de esta obligación de naturaleza tributaria </w:t>
      </w:r>
      <w:r w:rsidR="00A50561" w:rsidRPr="00A50561">
        <w:rPr>
          <w:rFonts w:ascii="Times New Roman" w:eastAsia="Times New Roman" w:hAnsi="Times New Roman" w:cs="Times New Roman"/>
          <w:color w:val="000000"/>
          <w:lang w:val="es-CR" w:eastAsia="es-CR"/>
        </w:rPr>
        <w:t xml:space="preserve">sería realizado por dos sujetos activos distintos, ambos obligados por su condición de sujetos supervisados. </w:t>
      </w:r>
      <w:r w:rsidR="00B429A7">
        <w:rPr>
          <w:rFonts w:ascii="Times New Roman" w:eastAsia="Times New Roman" w:hAnsi="Times New Roman" w:cs="Times New Roman"/>
          <w:color w:val="000000"/>
          <w:lang w:val="es-CR" w:eastAsia="es-CR"/>
        </w:rPr>
        <w:t>E</w:t>
      </w:r>
      <w:r w:rsidR="00A50561" w:rsidRPr="00A50561">
        <w:rPr>
          <w:rFonts w:ascii="Times New Roman" w:eastAsia="Times New Roman" w:hAnsi="Times New Roman" w:cs="Times New Roman"/>
          <w:color w:val="000000"/>
          <w:lang w:val="es-CR" w:eastAsia="es-CR"/>
        </w:rPr>
        <w:t>n el caso de la operadora dicho pago sería considerado como un ingreso, de conformidad con el artículo 2 del Decreto Ejecutivo N°. 38292-H, mientras que, en el caso de las juntas administradoras, sería un gasto que guarda relación con las funciones establecidas para estos órganos en el artículo 7 del Reglamento sobre Gobierno Corporativo.</w:t>
      </w:r>
    </w:p>
    <w:p w14:paraId="69FDC4CC" w14:textId="77777777" w:rsidR="00BE6A21" w:rsidRDefault="00BE6A21" w:rsidP="00615880">
      <w:pPr>
        <w:pStyle w:val="Textoindependiente"/>
        <w:ind w:right="49"/>
        <w:jc w:val="both"/>
        <w:rPr>
          <w:rFonts w:ascii="Times New Roman" w:eastAsia="Times New Roman" w:hAnsi="Times New Roman" w:cs="Times New Roman"/>
          <w:color w:val="000000"/>
          <w:lang w:val="es-CR" w:eastAsia="es-CR"/>
        </w:rPr>
      </w:pPr>
    </w:p>
    <w:p w14:paraId="4773C6FD" w14:textId="77777777" w:rsidR="00913295" w:rsidRDefault="00913295" w:rsidP="00913295">
      <w:pPr>
        <w:pStyle w:val="NormalWeb"/>
        <w:spacing w:before="0" w:beforeAutospacing="0" w:after="0" w:afterAutospacing="0"/>
        <w:jc w:val="both"/>
        <w:rPr>
          <w:sz w:val="24"/>
          <w:szCs w:val="24"/>
        </w:rPr>
      </w:pPr>
      <w:r w:rsidRPr="00B5372B">
        <w:rPr>
          <w:sz w:val="24"/>
          <w:szCs w:val="24"/>
        </w:rPr>
        <w:t>Atentamente,</w:t>
      </w:r>
    </w:p>
    <w:p w14:paraId="6812B642" w14:textId="7A24E34C" w:rsidR="00913295" w:rsidRPr="00783204" w:rsidRDefault="00913295" w:rsidP="00913295">
      <w:pPr>
        <w:tabs>
          <w:tab w:val="left" w:pos="3686"/>
        </w:tabs>
        <w:spacing w:line="240" w:lineRule="auto"/>
        <w:ind w:right="22"/>
        <w:jc w:val="both"/>
      </w:pPr>
      <w:r>
        <w:t>R</w:t>
      </w:r>
      <w:r w:rsidRPr="00783204">
        <w:t xml:space="preserve">ealizado por:  </w:t>
      </w:r>
      <w:r w:rsidR="00615880">
        <w:t>Jorge E. Muñoz García</w:t>
      </w:r>
      <w:r>
        <w:rPr>
          <w:noProof/>
        </w:rPr>
        <w:t xml:space="preserve"> </w:t>
      </w:r>
      <w:r w:rsidR="004E79BD">
        <w:rPr>
          <w:noProof/>
        </w:rPr>
        <w:drawing>
          <wp:inline distT="0" distB="0" distL="0" distR="0" wp14:anchorId="7430D843" wp14:editId="72967871">
            <wp:extent cx="1387911" cy="796290"/>
            <wp:effectExtent l="0" t="0" r="3175" b="3810"/>
            <wp:docPr id="4" name="Imagen 4"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ma Jorge Muñoz.jpg"/>
                    <pic:cNvPicPr/>
                  </pic:nvPicPr>
                  <pic:blipFill>
                    <a:blip r:embed="rId12"/>
                    <a:stretch>
                      <a:fillRect/>
                    </a:stretch>
                  </pic:blipFill>
                  <pic:spPr>
                    <a:xfrm>
                      <a:off x="0" y="0"/>
                      <a:ext cx="1389625" cy="797273"/>
                    </a:xfrm>
                    <a:prstGeom prst="rect">
                      <a:avLst/>
                    </a:prstGeom>
                  </pic:spPr>
                </pic:pic>
              </a:graphicData>
            </a:graphic>
          </wp:inline>
        </w:drawing>
      </w:r>
    </w:p>
    <w:p w14:paraId="25465EAF" w14:textId="2344202B" w:rsidR="00913295" w:rsidRPr="00783204" w:rsidRDefault="00913295" w:rsidP="00913295">
      <w:pPr>
        <w:tabs>
          <w:tab w:val="left" w:pos="3686"/>
        </w:tabs>
        <w:spacing w:line="240" w:lineRule="auto"/>
        <w:ind w:right="22"/>
        <w:jc w:val="both"/>
      </w:pPr>
      <w:r w:rsidRPr="00783204">
        <w:t>Revisado por</w:t>
      </w:r>
      <w:r>
        <w:t>:</w:t>
      </w:r>
      <w:r w:rsidRPr="00783204">
        <w:t xml:space="preserve"> Jenory Díaz Molina</w:t>
      </w:r>
      <w:r>
        <w:t xml:space="preserve"> </w:t>
      </w:r>
      <w:r w:rsidR="004E79BD">
        <w:rPr>
          <w:noProof/>
        </w:rPr>
        <w:drawing>
          <wp:inline distT="0" distB="0" distL="0" distR="0" wp14:anchorId="0792D283" wp14:editId="51B412E5">
            <wp:extent cx="1262600" cy="1094740"/>
            <wp:effectExtent l="0" t="0" r="0" b="0"/>
            <wp:docPr id="5" name="Imagen 5" descr="Imagen que contiene objeto, gru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ma Jenory Díaz.png"/>
                    <pic:cNvPicPr/>
                  </pic:nvPicPr>
                  <pic:blipFill>
                    <a:blip r:embed="rId13"/>
                    <a:stretch>
                      <a:fillRect/>
                    </a:stretch>
                  </pic:blipFill>
                  <pic:spPr>
                    <a:xfrm>
                      <a:off x="0" y="0"/>
                      <a:ext cx="1265498" cy="1097252"/>
                    </a:xfrm>
                    <a:prstGeom prst="rect">
                      <a:avLst/>
                    </a:prstGeom>
                  </pic:spPr>
                </pic:pic>
              </a:graphicData>
            </a:graphic>
          </wp:inline>
        </w:drawing>
      </w:r>
    </w:p>
    <w:p w14:paraId="17AB2423" w14:textId="77777777" w:rsidR="00913295" w:rsidRDefault="00913295" w:rsidP="00913295">
      <w:pPr>
        <w:tabs>
          <w:tab w:val="left" w:pos="3686"/>
        </w:tabs>
        <w:spacing w:line="240" w:lineRule="auto"/>
        <w:ind w:right="22"/>
        <w:jc w:val="both"/>
      </w:pPr>
    </w:p>
    <w:p w14:paraId="1B960DE9" w14:textId="5FDA21D1" w:rsidR="00913295" w:rsidRPr="00783204" w:rsidRDefault="00913295" w:rsidP="00913295">
      <w:pPr>
        <w:tabs>
          <w:tab w:val="left" w:pos="3686"/>
        </w:tabs>
        <w:spacing w:line="240" w:lineRule="auto"/>
        <w:ind w:right="22"/>
        <w:jc w:val="both"/>
      </w:pPr>
      <w:r w:rsidRPr="00783204">
        <w:t>Aprobado por:  Nelly Vargas Hernández</w:t>
      </w:r>
      <w:r>
        <w:t xml:space="preserve"> </w:t>
      </w:r>
      <w:r w:rsidR="004E79BD">
        <w:rPr>
          <w:noProof/>
        </w:rPr>
        <w:drawing>
          <wp:inline distT="0" distB="0" distL="0" distR="0" wp14:anchorId="4E504636" wp14:editId="4A7F9132">
            <wp:extent cx="1133475" cy="714375"/>
            <wp:effectExtent l="0" t="0" r="9525" b="9525"/>
            <wp:docPr id="7" name="Imagen 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lly .jpg"/>
                    <pic:cNvPicPr/>
                  </pic:nvPicPr>
                  <pic:blipFill>
                    <a:blip r:embed="rId14"/>
                    <a:stretch>
                      <a:fillRect/>
                    </a:stretch>
                  </pic:blipFill>
                  <pic:spPr>
                    <a:xfrm>
                      <a:off x="0" y="0"/>
                      <a:ext cx="1133475" cy="714375"/>
                    </a:xfrm>
                    <a:prstGeom prst="rect">
                      <a:avLst/>
                    </a:prstGeom>
                  </pic:spPr>
                </pic:pic>
              </a:graphicData>
            </a:graphic>
          </wp:inline>
        </w:drawing>
      </w:r>
    </w:p>
    <w:p w14:paraId="66A06A26" w14:textId="77777777" w:rsidR="00913295" w:rsidRDefault="00913295" w:rsidP="00913295">
      <w:pPr>
        <w:spacing w:line="240" w:lineRule="auto"/>
      </w:pPr>
    </w:p>
    <w:p w14:paraId="33153116" w14:textId="77777777" w:rsidR="00913295" w:rsidRDefault="00913295" w:rsidP="00913295">
      <w:pPr>
        <w:spacing w:line="240" w:lineRule="auto"/>
      </w:pPr>
    </w:p>
    <w:p w14:paraId="23A3BAB6" w14:textId="3154A8AE" w:rsidR="00DE615E" w:rsidRDefault="00913295" w:rsidP="00A3332F">
      <w:pPr>
        <w:spacing w:line="240" w:lineRule="auto"/>
        <w:jc w:val="center"/>
      </w:pPr>
      <w:r w:rsidRPr="001C3857">
        <w:rPr>
          <w:b/>
          <w:i/>
        </w:rPr>
        <w:t xml:space="preserve">División Asesoría Jurídica </w:t>
      </w:r>
    </w:p>
    <w:sectPr w:rsidR="00DE615E" w:rsidSect="00D029E6">
      <w:headerReference w:type="even" r:id="rId15"/>
      <w:headerReference w:type="default" r:id="rId16"/>
      <w:footerReference w:type="even" r:id="rId17"/>
      <w:footerReference w:type="default" r:id="rId18"/>
      <w:headerReference w:type="first" r:id="rId19"/>
      <w:footerReference w:type="first" r:id="rId20"/>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C4712" w14:textId="77777777" w:rsidR="00CA4B0E" w:rsidRDefault="00CA4B0E" w:rsidP="00011FAB">
      <w:pPr>
        <w:spacing w:line="240" w:lineRule="auto"/>
      </w:pPr>
      <w:r>
        <w:separator/>
      </w:r>
    </w:p>
  </w:endnote>
  <w:endnote w:type="continuationSeparator" w:id="0">
    <w:p w14:paraId="0D9AB06D" w14:textId="77777777" w:rsidR="00CA4B0E" w:rsidRDefault="00CA4B0E"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80E6F" w14:textId="77777777" w:rsidR="009D7F90" w:rsidRDefault="009D7F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0887C" w14:textId="77777777" w:rsidR="009D7F90" w:rsidRDefault="009D7F90" w:rsidP="003621B6">
    <w:pPr>
      <w:pStyle w:val="Piedepgina"/>
      <w:pBdr>
        <w:top w:val="single" w:sz="4" w:space="1" w:color="auto"/>
      </w:pBdr>
      <w:rPr>
        <w:i/>
        <w:szCs w:val="24"/>
      </w:rPr>
    </w:pPr>
  </w:p>
  <w:p w14:paraId="20B0CFFF" w14:textId="77777777" w:rsidR="009D7F90" w:rsidRPr="00BE078A" w:rsidRDefault="009D7F90" w:rsidP="004E09A4">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BAD13" w14:textId="77777777" w:rsidR="009D7F90" w:rsidRDefault="009D7F90" w:rsidP="003621B6">
    <w:pPr>
      <w:pStyle w:val="Piedepgina"/>
      <w:pBdr>
        <w:top w:val="single" w:sz="4" w:space="1" w:color="auto"/>
      </w:pBdr>
      <w:rPr>
        <w:i/>
        <w:szCs w:val="24"/>
      </w:rPr>
    </w:pPr>
  </w:p>
  <w:p w14:paraId="2B6B8DC4" w14:textId="77777777" w:rsidR="009D7F90" w:rsidRDefault="009D7F90" w:rsidP="00CE6321">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p w14:paraId="582A6634" w14:textId="77777777" w:rsidR="009D7F90" w:rsidRPr="00BE078A" w:rsidRDefault="009D7F90" w:rsidP="00CE6321">
    <w:pPr>
      <w:pStyle w:val="Piedepgina"/>
      <w:pBdr>
        <w:top w:val="single" w:sz="4" w:space="1" w:color="auto"/>
      </w:pBd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F7804" w14:textId="77777777" w:rsidR="00CA4B0E" w:rsidRDefault="00CA4B0E" w:rsidP="00011FAB">
      <w:pPr>
        <w:spacing w:line="240" w:lineRule="auto"/>
      </w:pPr>
      <w:r>
        <w:separator/>
      </w:r>
    </w:p>
  </w:footnote>
  <w:footnote w:type="continuationSeparator" w:id="0">
    <w:p w14:paraId="14EF788B" w14:textId="77777777" w:rsidR="00CA4B0E" w:rsidRDefault="00CA4B0E" w:rsidP="00011FAB">
      <w:pPr>
        <w:spacing w:line="240" w:lineRule="auto"/>
      </w:pPr>
      <w:r>
        <w:continuationSeparator/>
      </w:r>
    </w:p>
  </w:footnote>
  <w:footnote w:id="1">
    <w:p w14:paraId="073C7AAE" w14:textId="4BF19D8F" w:rsidR="00BA78FE" w:rsidRPr="00B43316" w:rsidRDefault="00DA6CC9" w:rsidP="005F77AA">
      <w:pPr>
        <w:pStyle w:val="Textonotapie"/>
        <w:jc w:val="both"/>
        <w:rPr>
          <w:sz w:val="18"/>
          <w:szCs w:val="18"/>
        </w:rPr>
      </w:pPr>
      <w:r w:rsidRPr="00B43316">
        <w:rPr>
          <w:rStyle w:val="Refdenotaalpie"/>
          <w:sz w:val="18"/>
          <w:szCs w:val="18"/>
        </w:rPr>
        <w:footnoteRef/>
      </w:r>
      <w:r w:rsidRPr="00B43316">
        <w:rPr>
          <w:sz w:val="18"/>
          <w:szCs w:val="18"/>
        </w:rPr>
        <w:t xml:space="preserve"> </w:t>
      </w:r>
      <w:r w:rsidR="005F77AA" w:rsidRPr="00B43316">
        <w:rPr>
          <w:sz w:val="18"/>
          <w:szCs w:val="18"/>
        </w:rPr>
        <w:t>Los artículos 174 y 175 de la Ley N°.7732, Ley Reguladora del Mercado de Valores fue</w:t>
      </w:r>
      <w:r w:rsidR="00DA5D0C" w:rsidRPr="00B43316">
        <w:rPr>
          <w:sz w:val="18"/>
          <w:szCs w:val="18"/>
        </w:rPr>
        <w:t>ron</w:t>
      </w:r>
      <w:r w:rsidR="005F77AA" w:rsidRPr="00B43316">
        <w:rPr>
          <w:sz w:val="18"/>
          <w:szCs w:val="18"/>
        </w:rPr>
        <w:t xml:space="preserve"> reformados por la Ley N°.9746, Reforma a la Ley N°. 7732, Ley Reguladora del Mercado de Valores, de 17 de diciembre de 1997; Ley N°.3284, Código de Comercio, de 30 de abril de 1964; Ley N°.8653, Ley Reguladora del Mercado de Seguros, de 22 de julio de 2008; Ley N°.7558, Ley Orgánica del Banco Central de Costa Rica, de 3 de noviembre de 1995; Ley N°.7333, Ley Orgánica del Poder Judicial, de 5 de mayo de 1993; Ley N°.7523-1, Régimen Privado de Pensiones Complementarias, de 7 de julio de 1995; y de la Ley N°.4573, Código Penal, de 4 de mayo de 1970. </w:t>
      </w:r>
    </w:p>
    <w:p w14:paraId="66CA688C" w14:textId="77777777" w:rsidR="00777449" w:rsidRDefault="00777449" w:rsidP="000D18E1">
      <w:pPr>
        <w:pStyle w:val="Textonotapie"/>
        <w:jc w:val="both"/>
        <w:rPr>
          <w:sz w:val="18"/>
          <w:szCs w:val="18"/>
        </w:rPr>
      </w:pPr>
    </w:p>
    <w:p w14:paraId="40EE4AA5" w14:textId="7064D19D" w:rsidR="000D18E1" w:rsidRPr="00B43316" w:rsidRDefault="00BA78FE" w:rsidP="000D18E1">
      <w:pPr>
        <w:pStyle w:val="Textonotapie"/>
        <w:jc w:val="both"/>
        <w:rPr>
          <w:sz w:val="18"/>
          <w:szCs w:val="18"/>
        </w:rPr>
      </w:pPr>
      <w:r w:rsidRPr="00B43316">
        <w:rPr>
          <w:sz w:val="18"/>
          <w:szCs w:val="18"/>
        </w:rPr>
        <w:t xml:space="preserve">No obstante, </w:t>
      </w:r>
      <w:r w:rsidR="000D18E1" w:rsidRPr="00B43316">
        <w:rPr>
          <w:sz w:val="18"/>
          <w:szCs w:val="18"/>
        </w:rPr>
        <w:t xml:space="preserve">la Ley N°.9746 también tiene un Transitorio II que dispone:  </w:t>
      </w:r>
    </w:p>
    <w:p w14:paraId="10B26620" w14:textId="77777777" w:rsidR="000D18E1" w:rsidRPr="00B43316" w:rsidRDefault="000D18E1" w:rsidP="000D18E1">
      <w:pPr>
        <w:pStyle w:val="Textonotapie"/>
        <w:jc w:val="both"/>
        <w:rPr>
          <w:sz w:val="18"/>
          <w:szCs w:val="18"/>
        </w:rPr>
      </w:pPr>
    </w:p>
    <w:p w14:paraId="2704865C" w14:textId="77777777" w:rsidR="000D18E1" w:rsidRPr="00B43316" w:rsidRDefault="000D18E1" w:rsidP="00777449">
      <w:pPr>
        <w:pStyle w:val="Textonotapie"/>
        <w:ind w:left="142"/>
        <w:jc w:val="both"/>
        <w:rPr>
          <w:i/>
          <w:iCs/>
          <w:sz w:val="18"/>
          <w:szCs w:val="18"/>
        </w:rPr>
      </w:pPr>
      <w:r w:rsidRPr="00B43316">
        <w:rPr>
          <w:i/>
          <w:iCs/>
          <w:sz w:val="18"/>
          <w:szCs w:val="18"/>
        </w:rPr>
        <w:t>TRANSITORIO II- Plazo para alcanzar el aporte al financiamiento de las entidades supervisadas por la Superintendencia General de Entidades Financieras (Sugef), la Superintendencia General de Valores (Sugeval) y la Superintendencia de Pensiones (Supén).</w:t>
      </w:r>
    </w:p>
    <w:p w14:paraId="73A33BC1" w14:textId="77777777" w:rsidR="000D18E1" w:rsidRPr="00B43316" w:rsidRDefault="000D18E1" w:rsidP="00777449">
      <w:pPr>
        <w:pStyle w:val="Textonotapie"/>
        <w:ind w:left="142"/>
        <w:jc w:val="both"/>
        <w:rPr>
          <w:i/>
          <w:iCs/>
          <w:sz w:val="18"/>
          <w:szCs w:val="18"/>
        </w:rPr>
      </w:pPr>
      <w:r w:rsidRPr="00B43316">
        <w:rPr>
          <w:i/>
          <w:iCs/>
          <w:sz w:val="18"/>
          <w:szCs w:val="18"/>
        </w:rPr>
        <w:t>El incremento en el porcentaje de contribución de las entidades supervisadas por la Supén, la Sugef y la Sugeval, conforme a lo dispuesto en los artículos 174 y 175 de la Ley N.º 7732, Ley Reguladora del Mercado de Valores, de 17 de diciembre de 1997, se alcanzará a razón de un incremento del siete coma cinco (7, 5) puntos porcentuales por año, a partir del presupuesto correspondiente al quinto año inmediatamente siguiente a la entrada en vigencia de esta ley y hasta completar el cincuenta por ciento (50%) dispuesto en los citados artículos; de forma tal que durante los cuatro años siguientes a la entrada en vigencia de esta ley se aplicarán los porcentajes, la metodología y los procedimientos vigentes antes de esta modificación.</w:t>
      </w:r>
    </w:p>
    <w:p w14:paraId="58384E21" w14:textId="77777777" w:rsidR="000D18E1" w:rsidRPr="00B43316" w:rsidRDefault="000D18E1" w:rsidP="00777449">
      <w:pPr>
        <w:pStyle w:val="Textonotapie"/>
        <w:ind w:left="142"/>
        <w:jc w:val="both"/>
        <w:rPr>
          <w:sz w:val="18"/>
          <w:szCs w:val="18"/>
        </w:rPr>
      </w:pPr>
      <w:r w:rsidRPr="00B43316">
        <w:rPr>
          <w:i/>
          <w:iCs/>
          <w:sz w:val="18"/>
          <w:szCs w:val="18"/>
        </w:rPr>
        <w:t>Durante la vigencia de este transitorio, el Banco Central de Costa Rica continuará sufragando la diferencia del monto de los gastos para garantizar el correcto y eficiente funcionamiento de las superintendencias.</w:t>
      </w:r>
      <w:r w:rsidRPr="00B43316">
        <w:rPr>
          <w:sz w:val="18"/>
          <w:szCs w:val="18"/>
        </w:rPr>
        <w:t xml:space="preserve"> [Lo resaltado no es del original].</w:t>
      </w:r>
    </w:p>
    <w:p w14:paraId="031A1AF0" w14:textId="77777777" w:rsidR="000D18E1" w:rsidRPr="00B43316" w:rsidRDefault="000D18E1" w:rsidP="000D18E1">
      <w:pPr>
        <w:pStyle w:val="Textonotapie"/>
        <w:jc w:val="both"/>
        <w:rPr>
          <w:sz w:val="18"/>
          <w:szCs w:val="18"/>
        </w:rPr>
      </w:pPr>
    </w:p>
    <w:p w14:paraId="2415D517" w14:textId="1B881F97" w:rsidR="00BA78FE" w:rsidRPr="00B43316" w:rsidRDefault="000D18E1" w:rsidP="000D18E1">
      <w:pPr>
        <w:pStyle w:val="Textonotapie"/>
        <w:jc w:val="both"/>
        <w:rPr>
          <w:sz w:val="18"/>
          <w:szCs w:val="18"/>
        </w:rPr>
      </w:pPr>
      <w:r w:rsidRPr="00B43316">
        <w:rPr>
          <w:sz w:val="18"/>
          <w:szCs w:val="18"/>
        </w:rPr>
        <w:t xml:space="preserve">De esta forma, el párrafo segundo del Transitorio II de la Ley N°.9746 difiere la entrada en vigor de las reformas a los artículos 174 y 175 como sigue: para el aumento en el porcentaje de contribución, dispone que este </w:t>
      </w:r>
      <w:r w:rsidRPr="00B43316">
        <w:rPr>
          <w:i/>
          <w:iCs/>
          <w:sz w:val="18"/>
          <w:szCs w:val="18"/>
        </w:rPr>
        <w:t>“… se alcanzará a razón de un incremento del siete coma cinco (7,5) puntos porcentuales por año, a partir del presupuesto correspondiente al quinto año inmediatamente siguiente a la entrada en vigencia de esta ley  y hasta completar el cincuenta por ciento (50%) …”</w:t>
      </w:r>
      <w:r w:rsidRPr="00B43316">
        <w:rPr>
          <w:sz w:val="18"/>
          <w:szCs w:val="18"/>
        </w:rPr>
        <w:t xml:space="preserve">; en lo que toca al cambio en la base imponible, la misma norma señala </w:t>
      </w:r>
      <w:r w:rsidRPr="00B43316">
        <w:rPr>
          <w:i/>
          <w:iCs/>
          <w:sz w:val="18"/>
          <w:szCs w:val="18"/>
        </w:rPr>
        <w:t>“… que durante los cuatro años siguientes a la entrada en vigencia de esta ley se aplicarán los porcentajes, la metodología y los procedimientos vigentes antes de esta modificación ”</w:t>
      </w:r>
      <w:r w:rsidRPr="00B43316">
        <w:rPr>
          <w:sz w:val="18"/>
          <w:szCs w:val="18"/>
        </w:rPr>
        <w:t xml:space="preserve">.  </w:t>
      </w:r>
    </w:p>
    <w:p w14:paraId="5C2A9F29" w14:textId="09F36CD8" w:rsidR="00DA6CC9" w:rsidRPr="00B43316" w:rsidRDefault="00DA5D0C" w:rsidP="005F77AA">
      <w:pPr>
        <w:pStyle w:val="Textonotapie"/>
        <w:jc w:val="both"/>
        <w:rPr>
          <w:sz w:val="18"/>
          <w:szCs w:val="18"/>
        </w:rPr>
      </w:pPr>
      <w:r w:rsidRPr="00B43316">
        <w:rPr>
          <w:sz w:val="18"/>
          <w:szCs w:val="18"/>
        </w:rPr>
        <w:t xml:space="preserve">En vista de lo anterior, para efectos de esta consulta interesa tener en consideración el texto de los </w:t>
      </w:r>
      <w:r w:rsidR="00B43316" w:rsidRPr="00B43316">
        <w:rPr>
          <w:sz w:val="18"/>
          <w:szCs w:val="18"/>
        </w:rPr>
        <w:t xml:space="preserve">artículos 174 y 175 </w:t>
      </w:r>
      <w:r w:rsidR="00DA6CC9" w:rsidRPr="00B43316">
        <w:rPr>
          <w:sz w:val="18"/>
          <w:szCs w:val="18"/>
        </w:rPr>
        <w:t>antes de la reforma</w:t>
      </w:r>
      <w:r w:rsidR="00B43316" w:rsidRPr="00B43316">
        <w:rPr>
          <w:sz w:val="18"/>
          <w:szCs w:val="18"/>
        </w:rPr>
        <w:t xml:space="preserve">, que </w:t>
      </w:r>
      <w:r w:rsidR="00DA6CC9" w:rsidRPr="00B43316">
        <w:rPr>
          <w:sz w:val="18"/>
          <w:szCs w:val="18"/>
        </w:rPr>
        <w:t>en lo que interesa</w:t>
      </w:r>
      <w:r w:rsidR="00B43316" w:rsidRPr="00B43316">
        <w:rPr>
          <w:sz w:val="18"/>
          <w:szCs w:val="18"/>
        </w:rPr>
        <w:t xml:space="preserve"> disponían</w:t>
      </w:r>
      <w:r w:rsidR="00DA6CC9" w:rsidRPr="00B43316">
        <w:rPr>
          <w:sz w:val="18"/>
          <w:szCs w:val="18"/>
        </w:rPr>
        <w:t xml:space="preserve">: </w:t>
      </w:r>
    </w:p>
    <w:p w14:paraId="6A28BF55" w14:textId="77777777" w:rsidR="00DA6CC9" w:rsidRPr="00B43316" w:rsidRDefault="00DA6CC9" w:rsidP="00DA6CC9">
      <w:pPr>
        <w:pStyle w:val="Textonotapie"/>
        <w:rPr>
          <w:sz w:val="18"/>
          <w:szCs w:val="18"/>
        </w:rPr>
      </w:pPr>
    </w:p>
    <w:p w14:paraId="38411F1C" w14:textId="77777777" w:rsidR="00DA6CC9" w:rsidRPr="00B43316" w:rsidRDefault="00DA6CC9" w:rsidP="00F31705">
      <w:pPr>
        <w:pStyle w:val="Textonotapie"/>
        <w:ind w:left="284"/>
        <w:jc w:val="both"/>
        <w:rPr>
          <w:i/>
          <w:iCs/>
          <w:sz w:val="18"/>
          <w:szCs w:val="18"/>
        </w:rPr>
      </w:pPr>
      <w:r w:rsidRPr="00B43316">
        <w:rPr>
          <w:i/>
          <w:iCs/>
          <w:sz w:val="18"/>
          <w:szCs w:val="18"/>
        </w:rPr>
        <w:t>ARTÍCULO 174.- Financiamiento. El presupuesto de las superintendencias será financiado en un ochenta por ciento (80%) con recursos provenientes del Banco Central de Costa Rica y en un veinte por ciento (20%) de los gastos efectivamente incurridos, mediante contribuciones obligatorias de los sujetos fiscalizados.</w:t>
      </w:r>
    </w:p>
    <w:p w14:paraId="522E5B5A" w14:textId="77777777" w:rsidR="00DA6CC9" w:rsidRPr="00B43316" w:rsidRDefault="00DA6CC9" w:rsidP="00F31705">
      <w:pPr>
        <w:pStyle w:val="Textonotapie"/>
        <w:ind w:left="284"/>
        <w:jc w:val="both"/>
        <w:rPr>
          <w:i/>
          <w:iCs/>
          <w:sz w:val="18"/>
          <w:szCs w:val="18"/>
        </w:rPr>
      </w:pPr>
    </w:p>
    <w:p w14:paraId="4B950E72" w14:textId="4CBB8D73" w:rsidR="00DA6CC9" w:rsidRPr="00B43316" w:rsidRDefault="00DA6CC9" w:rsidP="00F31705">
      <w:pPr>
        <w:pStyle w:val="Textonotapie"/>
        <w:ind w:left="284"/>
        <w:jc w:val="both"/>
        <w:rPr>
          <w:i/>
          <w:iCs/>
        </w:rPr>
      </w:pPr>
      <w:r w:rsidRPr="00B43316">
        <w:rPr>
          <w:i/>
          <w:iCs/>
          <w:sz w:val="18"/>
          <w:szCs w:val="18"/>
        </w:rPr>
        <w:t>ARTÍCULO 175.- Aparte de cada superintendencia al financiamiento de sus gastos. Cada sujeto fiscalizado por la Superintendencia General de Entidades Financieras, la Superintendencia General de Valores y la Superintendencia de Pensiones contribuirán, hasta con un máximo del dos por ciento (2%) de sus ingresos brutos anuales, al financiamiento de los gastos efectivos de la respectiva Superintendencia. […]</w:t>
      </w:r>
    </w:p>
  </w:footnote>
  <w:footnote w:id="2">
    <w:p w14:paraId="02A126C2" w14:textId="77777777" w:rsidR="00124AAB" w:rsidRPr="007A27E5" w:rsidRDefault="00124AAB" w:rsidP="007A27E5">
      <w:pPr>
        <w:pStyle w:val="Textonotapie"/>
        <w:jc w:val="both"/>
        <w:rPr>
          <w:sz w:val="18"/>
          <w:szCs w:val="18"/>
        </w:rPr>
      </w:pPr>
      <w:r w:rsidRPr="007A27E5">
        <w:rPr>
          <w:rStyle w:val="Refdenotaalpie"/>
          <w:sz w:val="18"/>
          <w:szCs w:val="18"/>
        </w:rPr>
        <w:footnoteRef/>
      </w:r>
      <w:r w:rsidRPr="007A27E5">
        <w:rPr>
          <w:sz w:val="18"/>
          <w:szCs w:val="18"/>
        </w:rPr>
        <w:t xml:space="preserve"> Decreto Ejecutivo Nº.38292-H del 20 de diciembre de 2013, publicado en el Diario Oficial La Gaceta No. 79 del 25 de abril de 2014. </w:t>
      </w:r>
    </w:p>
  </w:footnote>
  <w:footnote w:id="3">
    <w:p w14:paraId="54D5D31E" w14:textId="0EA9A85D" w:rsidR="009D7F90" w:rsidRPr="00603B17" w:rsidRDefault="009D7F90" w:rsidP="00603B17">
      <w:pPr>
        <w:pStyle w:val="Textonotapie"/>
        <w:jc w:val="both"/>
        <w:rPr>
          <w:sz w:val="18"/>
          <w:szCs w:val="18"/>
        </w:rPr>
      </w:pPr>
      <w:r w:rsidRPr="00603B17">
        <w:rPr>
          <w:rStyle w:val="Refdenotaalpie"/>
          <w:sz w:val="18"/>
          <w:szCs w:val="18"/>
        </w:rPr>
        <w:footnoteRef/>
      </w:r>
      <w:r w:rsidRPr="00603B17">
        <w:rPr>
          <w:sz w:val="18"/>
          <w:szCs w:val="18"/>
        </w:rPr>
        <w:t xml:space="preserve"> Rubio, Guerrero, Juan José. “Los principios básicos de la fiscalidad internacional y la doble imposición</w:t>
      </w:r>
      <w:r w:rsidR="00603B17">
        <w:rPr>
          <w:sz w:val="18"/>
          <w:szCs w:val="18"/>
        </w:rPr>
        <w:t xml:space="preserve"> </w:t>
      </w:r>
      <w:r w:rsidRPr="00603B17">
        <w:rPr>
          <w:sz w:val="18"/>
          <w:szCs w:val="18"/>
        </w:rPr>
        <w:t xml:space="preserve">internacional” En: </w:t>
      </w:r>
      <w:r w:rsidRPr="00603B17">
        <w:rPr>
          <w:sz w:val="18"/>
          <w:szCs w:val="18"/>
          <w:u w:val="single"/>
        </w:rPr>
        <w:t>Manual de Fiscalidad Internacional</w:t>
      </w:r>
      <w:r w:rsidRPr="00603B17">
        <w:rPr>
          <w:sz w:val="18"/>
          <w:szCs w:val="18"/>
        </w:rPr>
        <w:t>. Madrid, España. Instituto de Estudios Fiscales</w:t>
      </w:r>
      <w:r w:rsidR="00603B17">
        <w:rPr>
          <w:sz w:val="18"/>
          <w:szCs w:val="18"/>
        </w:rPr>
        <w:t xml:space="preserve"> </w:t>
      </w:r>
      <w:r w:rsidRPr="00603B17">
        <w:rPr>
          <w:sz w:val="18"/>
          <w:szCs w:val="18"/>
        </w:rPr>
        <w:t>Manuales de la Escuela de la Hacienda Pública. Diciembre 2001. Pg. 44.</w:t>
      </w:r>
    </w:p>
  </w:footnote>
  <w:footnote w:id="4">
    <w:p w14:paraId="2A110AD4" w14:textId="77777777" w:rsidR="009D7F90" w:rsidRDefault="009D7F90" w:rsidP="00603B17">
      <w:pPr>
        <w:pStyle w:val="Textonotapie"/>
        <w:jc w:val="both"/>
      </w:pPr>
      <w:r w:rsidRPr="00603B17">
        <w:rPr>
          <w:rStyle w:val="Refdenotaalpie"/>
          <w:sz w:val="18"/>
          <w:szCs w:val="18"/>
        </w:rPr>
        <w:footnoteRef/>
      </w:r>
      <w:r w:rsidRPr="00603B17">
        <w:rPr>
          <w:sz w:val="18"/>
          <w:szCs w:val="18"/>
        </w:rPr>
        <w:t>Sala Constitucional de la Corte Suprema de Justicia. Resolución No. 2359-94 de las quince horas tres minutos del diecisiete de mayo de mil novecientos noventa y cuatro.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C1DDD" w14:textId="77777777" w:rsidR="009D7F90" w:rsidRDefault="009D7F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31C3" w14:textId="77777777" w:rsidR="009D7F90" w:rsidRDefault="009D7F90" w:rsidP="004E09A4">
    <w:pPr>
      <w:pStyle w:val="Encabezado"/>
      <w:jc w:val="both"/>
    </w:pPr>
    <w:r>
      <w:rPr>
        <w:noProof/>
      </w:rPr>
      <w:drawing>
        <wp:anchor distT="0" distB="0" distL="114300" distR="114300" simplePos="0" relativeHeight="251663360" behindDoc="0" locked="0" layoutInCell="1" allowOverlap="1" wp14:anchorId="51C7D2A0" wp14:editId="79E81A5D">
          <wp:simplePos x="0" y="0"/>
          <wp:positionH relativeFrom="margin">
            <wp:align>right</wp:align>
          </wp:positionH>
          <wp:positionV relativeFrom="paragraph">
            <wp:posOffset>-164694</wp:posOffset>
          </wp:positionV>
          <wp:extent cx="950595" cy="615315"/>
          <wp:effectExtent l="0" t="0" r="190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14:anchorId="5848649C" wp14:editId="6C489434">
          <wp:simplePos x="0" y="0"/>
          <wp:positionH relativeFrom="page">
            <wp:posOffset>812165</wp:posOffset>
          </wp:positionH>
          <wp:positionV relativeFrom="page">
            <wp:posOffset>184150</wp:posOffset>
          </wp:positionV>
          <wp:extent cx="1945005" cy="89979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p w14:paraId="5527DBC8" w14:textId="552B5B2A" w:rsidR="009D7F90" w:rsidRPr="00092B79" w:rsidRDefault="009D7F90"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A04668">
      <w:rPr>
        <w:b/>
        <w:i/>
        <w:noProof/>
        <w:szCs w:val="24"/>
      </w:rPr>
      <w:t>PJD-21-2020</w:t>
    </w:r>
    <w:r w:rsidRPr="00092B79">
      <w:rPr>
        <w:b/>
        <w:i/>
        <w:noProof/>
        <w:szCs w:val="24"/>
      </w:rPr>
      <w:fldChar w:fldCharType="end"/>
    </w:r>
  </w:p>
  <w:p w14:paraId="75276E9B" w14:textId="77777777" w:rsidR="009D7F90" w:rsidRDefault="009D7F90" w:rsidP="006B6689">
    <w:pPr>
      <w:pStyle w:val="Encabezado"/>
      <w:rPr>
        <w:i/>
        <w:szCs w:val="24"/>
      </w:rPr>
    </w:pPr>
    <w:r w:rsidRPr="00DC38D9">
      <w:rPr>
        <w:i/>
        <w:szCs w:val="24"/>
        <w:lang w:val="es-MX"/>
      </w:rPr>
      <w:t xml:space="preserve">Página </w:t>
    </w:r>
    <w:r w:rsidRPr="00DC38D9">
      <w:rPr>
        <w:i/>
        <w:szCs w:val="24"/>
      </w:rPr>
      <w:fldChar w:fldCharType="begin"/>
    </w:r>
    <w:r w:rsidRPr="00DC38D9">
      <w:rPr>
        <w:i/>
        <w:szCs w:val="24"/>
      </w:rPr>
      <w:instrText>PAGE   \* MERGEFORMAT</w:instrText>
    </w:r>
    <w:r w:rsidRPr="00DC38D9">
      <w:rPr>
        <w:i/>
        <w:szCs w:val="24"/>
      </w:rPr>
      <w:fldChar w:fldCharType="separate"/>
    </w:r>
    <w:r>
      <w:rPr>
        <w:i/>
        <w:noProof/>
        <w:szCs w:val="24"/>
      </w:rPr>
      <w:t>2</w:t>
    </w:r>
    <w:r w:rsidRPr="00DC38D9">
      <w:rPr>
        <w:i/>
        <w:szCs w:val="24"/>
      </w:rPr>
      <w:fldChar w:fldCharType="end"/>
    </w:r>
  </w:p>
  <w:p w14:paraId="04CB202E" w14:textId="77777777" w:rsidR="009D7F90" w:rsidRPr="00DC38D9" w:rsidRDefault="009D7F90" w:rsidP="006B6689">
    <w:pPr>
      <w:pStyle w:val="Encabezado"/>
      <w:rPr>
        <w:i/>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CE2A" w14:textId="77777777" w:rsidR="009D7F90" w:rsidRDefault="009D7F90" w:rsidP="005D2EEB">
    <w:pPr>
      <w:pStyle w:val="Encabezado"/>
      <w:jc w:val="both"/>
    </w:pPr>
    <w:r>
      <w:rPr>
        <w:noProof/>
      </w:rPr>
      <w:drawing>
        <wp:anchor distT="0" distB="0" distL="114300" distR="114300" simplePos="0" relativeHeight="251660288" behindDoc="0" locked="0" layoutInCell="1" allowOverlap="1" wp14:anchorId="670AFE5E" wp14:editId="2BCD47D2">
          <wp:simplePos x="0" y="0"/>
          <wp:positionH relativeFrom="margin">
            <wp:align>right</wp:align>
          </wp:positionH>
          <wp:positionV relativeFrom="paragraph">
            <wp:posOffset>-164694</wp:posOffset>
          </wp:positionV>
          <wp:extent cx="950595" cy="615315"/>
          <wp:effectExtent l="0" t="0" r="190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9264" behindDoc="1" locked="0" layoutInCell="1" allowOverlap="1" wp14:anchorId="7D491DCD" wp14:editId="79092B7E">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0F8"/>
    <w:multiLevelType w:val="hybridMultilevel"/>
    <w:tmpl w:val="09AEA292"/>
    <w:lvl w:ilvl="0" w:tplc="31B8DB4E">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731A5D"/>
    <w:multiLevelType w:val="hybridMultilevel"/>
    <w:tmpl w:val="70D4F342"/>
    <w:lvl w:ilvl="0" w:tplc="140A000F">
      <w:start w:val="1"/>
      <w:numFmt w:val="decimal"/>
      <w:lvlText w:val="%1."/>
      <w:lvlJc w:val="left"/>
      <w:pPr>
        <w:ind w:left="1353" w:hanging="360"/>
      </w:pPr>
    </w:lvl>
    <w:lvl w:ilvl="1" w:tplc="140A0001">
      <w:start w:val="1"/>
      <w:numFmt w:val="bullet"/>
      <w:lvlText w:val=""/>
      <w:lvlJc w:val="left"/>
      <w:pPr>
        <w:ind w:left="2073" w:hanging="360"/>
      </w:pPr>
      <w:rPr>
        <w:rFonts w:ascii="Symbol" w:hAnsi="Symbol" w:hint="default"/>
      </w:rPr>
    </w:lvl>
    <w:lvl w:ilvl="2" w:tplc="140A0001">
      <w:start w:val="1"/>
      <w:numFmt w:val="bullet"/>
      <w:lvlText w:val=""/>
      <w:lvlJc w:val="left"/>
      <w:pPr>
        <w:ind w:left="2793" w:hanging="180"/>
      </w:pPr>
      <w:rPr>
        <w:rFonts w:ascii="Symbol" w:hAnsi="Symbol" w:hint="default"/>
      </w:rPr>
    </w:lvl>
    <w:lvl w:ilvl="3" w:tplc="140A000F" w:tentative="1">
      <w:start w:val="1"/>
      <w:numFmt w:val="decimal"/>
      <w:lvlText w:val="%4."/>
      <w:lvlJc w:val="left"/>
      <w:pPr>
        <w:ind w:left="3513" w:hanging="360"/>
      </w:pPr>
    </w:lvl>
    <w:lvl w:ilvl="4" w:tplc="140A0019" w:tentative="1">
      <w:start w:val="1"/>
      <w:numFmt w:val="lowerLetter"/>
      <w:lvlText w:val="%5."/>
      <w:lvlJc w:val="left"/>
      <w:pPr>
        <w:ind w:left="4233" w:hanging="360"/>
      </w:pPr>
    </w:lvl>
    <w:lvl w:ilvl="5" w:tplc="140A001B" w:tentative="1">
      <w:start w:val="1"/>
      <w:numFmt w:val="lowerRoman"/>
      <w:lvlText w:val="%6."/>
      <w:lvlJc w:val="right"/>
      <w:pPr>
        <w:ind w:left="4953" w:hanging="180"/>
      </w:pPr>
    </w:lvl>
    <w:lvl w:ilvl="6" w:tplc="140A000F" w:tentative="1">
      <w:start w:val="1"/>
      <w:numFmt w:val="decimal"/>
      <w:lvlText w:val="%7."/>
      <w:lvlJc w:val="left"/>
      <w:pPr>
        <w:ind w:left="5673" w:hanging="360"/>
      </w:pPr>
    </w:lvl>
    <w:lvl w:ilvl="7" w:tplc="140A0019" w:tentative="1">
      <w:start w:val="1"/>
      <w:numFmt w:val="lowerLetter"/>
      <w:lvlText w:val="%8."/>
      <w:lvlJc w:val="left"/>
      <w:pPr>
        <w:ind w:left="6393" w:hanging="360"/>
      </w:pPr>
    </w:lvl>
    <w:lvl w:ilvl="8" w:tplc="140A001B" w:tentative="1">
      <w:start w:val="1"/>
      <w:numFmt w:val="lowerRoman"/>
      <w:lvlText w:val="%9."/>
      <w:lvlJc w:val="right"/>
      <w:pPr>
        <w:ind w:left="7113" w:hanging="180"/>
      </w:pPr>
    </w:lvl>
  </w:abstractNum>
  <w:abstractNum w:abstractNumId="2" w15:restartNumberingAfterBreak="0">
    <w:nsid w:val="14AE0A2B"/>
    <w:multiLevelType w:val="hybridMultilevel"/>
    <w:tmpl w:val="1370188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62F3BF3"/>
    <w:multiLevelType w:val="hybridMultilevel"/>
    <w:tmpl w:val="3A927588"/>
    <w:lvl w:ilvl="0" w:tplc="4DBC9F28">
      <w:start w:val="1"/>
      <w:numFmt w:val="decimal"/>
      <w:lvlText w:val="%1."/>
      <w:lvlJc w:val="left"/>
      <w:pPr>
        <w:ind w:left="-300" w:hanging="360"/>
      </w:pPr>
      <w:rPr>
        <w:rFonts w:ascii="Times New Roman" w:hAnsi="Times New Roman" w:cs="Times New Roman" w:hint="default"/>
        <w:b/>
        <w:sz w:val="24"/>
        <w:szCs w:val="24"/>
      </w:rPr>
    </w:lvl>
    <w:lvl w:ilvl="1" w:tplc="140A000F">
      <w:start w:val="1"/>
      <w:numFmt w:val="decimal"/>
      <w:lvlText w:val="%2."/>
      <w:lvlJc w:val="left"/>
      <w:pPr>
        <w:ind w:left="420" w:hanging="360"/>
      </w:pPr>
      <w:rPr>
        <w:rFonts w:hint="default"/>
      </w:rPr>
    </w:lvl>
    <w:lvl w:ilvl="2" w:tplc="140A000B">
      <w:start w:val="1"/>
      <w:numFmt w:val="bullet"/>
      <w:lvlText w:val=""/>
      <w:lvlJc w:val="left"/>
      <w:pPr>
        <w:ind w:left="1140" w:hanging="180"/>
      </w:pPr>
      <w:rPr>
        <w:rFonts w:ascii="Wingdings" w:hAnsi="Wingdings" w:hint="default"/>
      </w:rPr>
    </w:lvl>
    <w:lvl w:ilvl="3" w:tplc="140A000F" w:tentative="1">
      <w:start w:val="1"/>
      <w:numFmt w:val="decimal"/>
      <w:lvlText w:val="%4."/>
      <w:lvlJc w:val="left"/>
      <w:pPr>
        <w:ind w:left="1860" w:hanging="360"/>
      </w:pPr>
    </w:lvl>
    <w:lvl w:ilvl="4" w:tplc="140A0019" w:tentative="1">
      <w:start w:val="1"/>
      <w:numFmt w:val="lowerLetter"/>
      <w:lvlText w:val="%5."/>
      <w:lvlJc w:val="left"/>
      <w:pPr>
        <w:ind w:left="2580" w:hanging="360"/>
      </w:pPr>
    </w:lvl>
    <w:lvl w:ilvl="5" w:tplc="140A001B" w:tentative="1">
      <w:start w:val="1"/>
      <w:numFmt w:val="lowerRoman"/>
      <w:lvlText w:val="%6."/>
      <w:lvlJc w:val="right"/>
      <w:pPr>
        <w:ind w:left="3300" w:hanging="180"/>
      </w:pPr>
    </w:lvl>
    <w:lvl w:ilvl="6" w:tplc="140A000F" w:tentative="1">
      <w:start w:val="1"/>
      <w:numFmt w:val="decimal"/>
      <w:lvlText w:val="%7."/>
      <w:lvlJc w:val="left"/>
      <w:pPr>
        <w:ind w:left="4020" w:hanging="360"/>
      </w:pPr>
    </w:lvl>
    <w:lvl w:ilvl="7" w:tplc="140A0019" w:tentative="1">
      <w:start w:val="1"/>
      <w:numFmt w:val="lowerLetter"/>
      <w:lvlText w:val="%8."/>
      <w:lvlJc w:val="left"/>
      <w:pPr>
        <w:ind w:left="4740" w:hanging="360"/>
      </w:pPr>
    </w:lvl>
    <w:lvl w:ilvl="8" w:tplc="140A001B" w:tentative="1">
      <w:start w:val="1"/>
      <w:numFmt w:val="lowerRoman"/>
      <w:lvlText w:val="%9."/>
      <w:lvlJc w:val="right"/>
      <w:pPr>
        <w:ind w:left="5460" w:hanging="180"/>
      </w:pPr>
    </w:lvl>
  </w:abstractNum>
  <w:abstractNum w:abstractNumId="4" w15:restartNumberingAfterBreak="0">
    <w:nsid w:val="18A52DC4"/>
    <w:multiLevelType w:val="hybridMultilevel"/>
    <w:tmpl w:val="01DEDB58"/>
    <w:lvl w:ilvl="0" w:tplc="5A2485F2">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AB41AD1"/>
    <w:multiLevelType w:val="hybridMultilevel"/>
    <w:tmpl w:val="3EBABF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3B457F4"/>
    <w:multiLevelType w:val="hybridMultilevel"/>
    <w:tmpl w:val="CE80BEBC"/>
    <w:lvl w:ilvl="0" w:tplc="140A0001">
      <w:start w:val="1"/>
      <w:numFmt w:val="bullet"/>
      <w:lvlText w:val=""/>
      <w:lvlJc w:val="left"/>
      <w:pPr>
        <w:ind w:left="742" w:hanging="360"/>
      </w:pPr>
      <w:rPr>
        <w:rFonts w:ascii="Symbol" w:hAnsi="Symbol" w:hint="default"/>
      </w:rPr>
    </w:lvl>
    <w:lvl w:ilvl="1" w:tplc="140A0003" w:tentative="1">
      <w:start w:val="1"/>
      <w:numFmt w:val="bullet"/>
      <w:lvlText w:val="o"/>
      <w:lvlJc w:val="left"/>
      <w:pPr>
        <w:ind w:left="1462" w:hanging="360"/>
      </w:pPr>
      <w:rPr>
        <w:rFonts w:ascii="Courier New" w:hAnsi="Courier New" w:cs="Courier New" w:hint="default"/>
      </w:rPr>
    </w:lvl>
    <w:lvl w:ilvl="2" w:tplc="140A0005" w:tentative="1">
      <w:start w:val="1"/>
      <w:numFmt w:val="bullet"/>
      <w:lvlText w:val=""/>
      <w:lvlJc w:val="left"/>
      <w:pPr>
        <w:ind w:left="2182" w:hanging="360"/>
      </w:pPr>
      <w:rPr>
        <w:rFonts w:ascii="Wingdings" w:hAnsi="Wingdings" w:hint="default"/>
      </w:rPr>
    </w:lvl>
    <w:lvl w:ilvl="3" w:tplc="140A0001" w:tentative="1">
      <w:start w:val="1"/>
      <w:numFmt w:val="bullet"/>
      <w:lvlText w:val=""/>
      <w:lvlJc w:val="left"/>
      <w:pPr>
        <w:ind w:left="2902" w:hanging="360"/>
      </w:pPr>
      <w:rPr>
        <w:rFonts w:ascii="Symbol" w:hAnsi="Symbol" w:hint="default"/>
      </w:rPr>
    </w:lvl>
    <w:lvl w:ilvl="4" w:tplc="140A0003" w:tentative="1">
      <w:start w:val="1"/>
      <w:numFmt w:val="bullet"/>
      <w:lvlText w:val="o"/>
      <w:lvlJc w:val="left"/>
      <w:pPr>
        <w:ind w:left="3622" w:hanging="360"/>
      </w:pPr>
      <w:rPr>
        <w:rFonts w:ascii="Courier New" w:hAnsi="Courier New" w:cs="Courier New" w:hint="default"/>
      </w:rPr>
    </w:lvl>
    <w:lvl w:ilvl="5" w:tplc="140A0005" w:tentative="1">
      <w:start w:val="1"/>
      <w:numFmt w:val="bullet"/>
      <w:lvlText w:val=""/>
      <w:lvlJc w:val="left"/>
      <w:pPr>
        <w:ind w:left="4342" w:hanging="360"/>
      </w:pPr>
      <w:rPr>
        <w:rFonts w:ascii="Wingdings" w:hAnsi="Wingdings" w:hint="default"/>
      </w:rPr>
    </w:lvl>
    <w:lvl w:ilvl="6" w:tplc="140A0001" w:tentative="1">
      <w:start w:val="1"/>
      <w:numFmt w:val="bullet"/>
      <w:lvlText w:val=""/>
      <w:lvlJc w:val="left"/>
      <w:pPr>
        <w:ind w:left="5062" w:hanging="360"/>
      </w:pPr>
      <w:rPr>
        <w:rFonts w:ascii="Symbol" w:hAnsi="Symbol" w:hint="default"/>
      </w:rPr>
    </w:lvl>
    <w:lvl w:ilvl="7" w:tplc="140A0003" w:tentative="1">
      <w:start w:val="1"/>
      <w:numFmt w:val="bullet"/>
      <w:lvlText w:val="o"/>
      <w:lvlJc w:val="left"/>
      <w:pPr>
        <w:ind w:left="5782" w:hanging="360"/>
      </w:pPr>
      <w:rPr>
        <w:rFonts w:ascii="Courier New" w:hAnsi="Courier New" w:cs="Courier New" w:hint="default"/>
      </w:rPr>
    </w:lvl>
    <w:lvl w:ilvl="8" w:tplc="140A0005" w:tentative="1">
      <w:start w:val="1"/>
      <w:numFmt w:val="bullet"/>
      <w:lvlText w:val=""/>
      <w:lvlJc w:val="left"/>
      <w:pPr>
        <w:ind w:left="6502" w:hanging="360"/>
      </w:pPr>
      <w:rPr>
        <w:rFonts w:ascii="Wingdings" w:hAnsi="Wingdings" w:hint="default"/>
      </w:rPr>
    </w:lvl>
  </w:abstractNum>
  <w:abstractNum w:abstractNumId="7" w15:restartNumberingAfterBreak="0">
    <w:nsid w:val="250F7484"/>
    <w:multiLevelType w:val="hybridMultilevel"/>
    <w:tmpl w:val="9A2E3D6E"/>
    <w:lvl w:ilvl="0" w:tplc="140A0001">
      <w:start w:val="1"/>
      <w:numFmt w:val="bullet"/>
      <w:lvlText w:val=""/>
      <w:lvlJc w:val="left"/>
      <w:pPr>
        <w:ind w:left="578" w:hanging="360"/>
      </w:pPr>
      <w:rPr>
        <w:rFonts w:ascii="Symbol" w:hAnsi="Symbol" w:hint="default"/>
      </w:rPr>
    </w:lvl>
    <w:lvl w:ilvl="1" w:tplc="140A0003" w:tentative="1">
      <w:start w:val="1"/>
      <w:numFmt w:val="bullet"/>
      <w:lvlText w:val="o"/>
      <w:lvlJc w:val="left"/>
      <w:pPr>
        <w:ind w:left="1298" w:hanging="360"/>
      </w:pPr>
      <w:rPr>
        <w:rFonts w:ascii="Courier New" w:hAnsi="Courier New" w:cs="Courier New" w:hint="default"/>
      </w:rPr>
    </w:lvl>
    <w:lvl w:ilvl="2" w:tplc="140A0005" w:tentative="1">
      <w:start w:val="1"/>
      <w:numFmt w:val="bullet"/>
      <w:lvlText w:val=""/>
      <w:lvlJc w:val="left"/>
      <w:pPr>
        <w:ind w:left="2018" w:hanging="360"/>
      </w:pPr>
      <w:rPr>
        <w:rFonts w:ascii="Wingdings" w:hAnsi="Wingdings" w:hint="default"/>
      </w:rPr>
    </w:lvl>
    <w:lvl w:ilvl="3" w:tplc="140A0001" w:tentative="1">
      <w:start w:val="1"/>
      <w:numFmt w:val="bullet"/>
      <w:lvlText w:val=""/>
      <w:lvlJc w:val="left"/>
      <w:pPr>
        <w:ind w:left="2738" w:hanging="360"/>
      </w:pPr>
      <w:rPr>
        <w:rFonts w:ascii="Symbol" w:hAnsi="Symbol" w:hint="default"/>
      </w:rPr>
    </w:lvl>
    <w:lvl w:ilvl="4" w:tplc="140A0003" w:tentative="1">
      <w:start w:val="1"/>
      <w:numFmt w:val="bullet"/>
      <w:lvlText w:val="o"/>
      <w:lvlJc w:val="left"/>
      <w:pPr>
        <w:ind w:left="3458" w:hanging="360"/>
      </w:pPr>
      <w:rPr>
        <w:rFonts w:ascii="Courier New" w:hAnsi="Courier New" w:cs="Courier New" w:hint="default"/>
      </w:rPr>
    </w:lvl>
    <w:lvl w:ilvl="5" w:tplc="140A0005" w:tentative="1">
      <w:start w:val="1"/>
      <w:numFmt w:val="bullet"/>
      <w:lvlText w:val=""/>
      <w:lvlJc w:val="left"/>
      <w:pPr>
        <w:ind w:left="4178" w:hanging="360"/>
      </w:pPr>
      <w:rPr>
        <w:rFonts w:ascii="Wingdings" w:hAnsi="Wingdings" w:hint="default"/>
      </w:rPr>
    </w:lvl>
    <w:lvl w:ilvl="6" w:tplc="140A0001" w:tentative="1">
      <w:start w:val="1"/>
      <w:numFmt w:val="bullet"/>
      <w:lvlText w:val=""/>
      <w:lvlJc w:val="left"/>
      <w:pPr>
        <w:ind w:left="4898" w:hanging="360"/>
      </w:pPr>
      <w:rPr>
        <w:rFonts w:ascii="Symbol" w:hAnsi="Symbol" w:hint="default"/>
      </w:rPr>
    </w:lvl>
    <w:lvl w:ilvl="7" w:tplc="140A0003" w:tentative="1">
      <w:start w:val="1"/>
      <w:numFmt w:val="bullet"/>
      <w:lvlText w:val="o"/>
      <w:lvlJc w:val="left"/>
      <w:pPr>
        <w:ind w:left="5618" w:hanging="360"/>
      </w:pPr>
      <w:rPr>
        <w:rFonts w:ascii="Courier New" w:hAnsi="Courier New" w:cs="Courier New" w:hint="default"/>
      </w:rPr>
    </w:lvl>
    <w:lvl w:ilvl="8" w:tplc="140A0005" w:tentative="1">
      <w:start w:val="1"/>
      <w:numFmt w:val="bullet"/>
      <w:lvlText w:val=""/>
      <w:lvlJc w:val="left"/>
      <w:pPr>
        <w:ind w:left="6338" w:hanging="360"/>
      </w:pPr>
      <w:rPr>
        <w:rFonts w:ascii="Wingdings" w:hAnsi="Wingdings" w:hint="default"/>
      </w:rPr>
    </w:lvl>
  </w:abstractNum>
  <w:abstractNum w:abstractNumId="8" w15:restartNumberingAfterBreak="0">
    <w:nsid w:val="387D4D8F"/>
    <w:multiLevelType w:val="hybridMultilevel"/>
    <w:tmpl w:val="A7AC1786"/>
    <w:lvl w:ilvl="0" w:tplc="8A405434">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ABC0590"/>
    <w:multiLevelType w:val="hybridMultilevel"/>
    <w:tmpl w:val="34C284E6"/>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D563E14"/>
    <w:multiLevelType w:val="hybridMultilevel"/>
    <w:tmpl w:val="83340236"/>
    <w:lvl w:ilvl="0" w:tplc="140A0001">
      <w:start w:val="1"/>
      <w:numFmt w:val="bullet"/>
      <w:lvlText w:val=""/>
      <w:lvlJc w:val="left"/>
      <w:pPr>
        <w:ind w:left="722" w:hanging="360"/>
      </w:pPr>
      <w:rPr>
        <w:rFonts w:ascii="Symbol" w:hAnsi="Symbol" w:hint="default"/>
      </w:rPr>
    </w:lvl>
    <w:lvl w:ilvl="1" w:tplc="140A0003" w:tentative="1">
      <w:start w:val="1"/>
      <w:numFmt w:val="bullet"/>
      <w:lvlText w:val="o"/>
      <w:lvlJc w:val="left"/>
      <w:pPr>
        <w:ind w:left="1442" w:hanging="360"/>
      </w:pPr>
      <w:rPr>
        <w:rFonts w:ascii="Courier New" w:hAnsi="Courier New" w:cs="Courier New" w:hint="default"/>
      </w:rPr>
    </w:lvl>
    <w:lvl w:ilvl="2" w:tplc="140A0005" w:tentative="1">
      <w:start w:val="1"/>
      <w:numFmt w:val="bullet"/>
      <w:lvlText w:val=""/>
      <w:lvlJc w:val="left"/>
      <w:pPr>
        <w:ind w:left="2162" w:hanging="360"/>
      </w:pPr>
      <w:rPr>
        <w:rFonts w:ascii="Wingdings" w:hAnsi="Wingdings" w:hint="default"/>
      </w:rPr>
    </w:lvl>
    <w:lvl w:ilvl="3" w:tplc="140A0001" w:tentative="1">
      <w:start w:val="1"/>
      <w:numFmt w:val="bullet"/>
      <w:lvlText w:val=""/>
      <w:lvlJc w:val="left"/>
      <w:pPr>
        <w:ind w:left="2882" w:hanging="360"/>
      </w:pPr>
      <w:rPr>
        <w:rFonts w:ascii="Symbol" w:hAnsi="Symbol" w:hint="default"/>
      </w:rPr>
    </w:lvl>
    <w:lvl w:ilvl="4" w:tplc="140A0003" w:tentative="1">
      <w:start w:val="1"/>
      <w:numFmt w:val="bullet"/>
      <w:lvlText w:val="o"/>
      <w:lvlJc w:val="left"/>
      <w:pPr>
        <w:ind w:left="3602" w:hanging="360"/>
      </w:pPr>
      <w:rPr>
        <w:rFonts w:ascii="Courier New" w:hAnsi="Courier New" w:cs="Courier New" w:hint="default"/>
      </w:rPr>
    </w:lvl>
    <w:lvl w:ilvl="5" w:tplc="140A0005" w:tentative="1">
      <w:start w:val="1"/>
      <w:numFmt w:val="bullet"/>
      <w:lvlText w:val=""/>
      <w:lvlJc w:val="left"/>
      <w:pPr>
        <w:ind w:left="4322" w:hanging="360"/>
      </w:pPr>
      <w:rPr>
        <w:rFonts w:ascii="Wingdings" w:hAnsi="Wingdings" w:hint="default"/>
      </w:rPr>
    </w:lvl>
    <w:lvl w:ilvl="6" w:tplc="140A0001" w:tentative="1">
      <w:start w:val="1"/>
      <w:numFmt w:val="bullet"/>
      <w:lvlText w:val=""/>
      <w:lvlJc w:val="left"/>
      <w:pPr>
        <w:ind w:left="5042" w:hanging="360"/>
      </w:pPr>
      <w:rPr>
        <w:rFonts w:ascii="Symbol" w:hAnsi="Symbol" w:hint="default"/>
      </w:rPr>
    </w:lvl>
    <w:lvl w:ilvl="7" w:tplc="140A0003" w:tentative="1">
      <w:start w:val="1"/>
      <w:numFmt w:val="bullet"/>
      <w:lvlText w:val="o"/>
      <w:lvlJc w:val="left"/>
      <w:pPr>
        <w:ind w:left="5762" w:hanging="360"/>
      </w:pPr>
      <w:rPr>
        <w:rFonts w:ascii="Courier New" w:hAnsi="Courier New" w:cs="Courier New" w:hint="default"/>
      </w:rPr>
    </w:lvl>
    <w:lvl w:ilvl="8" w:tplc="140A0005" w:tentative="1">
      <w:start w:val="1"/>
      <w:numFmt w:val="bullet"/>
      <w:lvlText w:val=""/>
      <w:lvlJc w:val="left"/>
      <w:pPr>
        <w:ind w:left="6482" w:hanging="360"/>
      </w:pPr>
      <w:rPr>
        <w:rFonts w:ascii="Wingdings" w:hAnsi="Wingdings" w:hint="default"/>
      </w:rPr>
    </w:lvl>
  </w:abstractNum>
  <w:abstractNum w:abstractNumId="11" w15:restartNumberingAfterBreak="0">
    <w:nsid w:val="3E9C2F9B"/>
    <w:multiLevelType w:val="hybridMultilevel"/>
    <w:tmpl w:val="515EE8FE"/>
    <w:lvl w:ilvl="0" w:tplc="87A66B0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F4A4109"/>
    <w:multiLevelType w:val="hybridMultilevel"/>
    <w:tmpl w:val="7D78052A"/>
    <w:lvl w:ilvl="0" w:tplc="140A000F">
      <w:start w:val="1"/>
      <w:numFmt w:val="decimal"/>
      <w:lvlText w:val="%1."/>
      <w:lvlJc w:val="left"/>
      <w:pPr>
        <w:ind w:left="720" w:hanging="360"/>
      </w:pPr>
      <w:rPr>
        <w:rFonts w:hint="default"/>
      </w:rPr>
    </w:lvl>
    <w:lvl w:ilvl="1" w:tplc="9F40C1C0">
      <w:start w:val="1"/>
      <w:numFmt w:val="lowerLetter"/>
      <w:lvlText w:val="%2)"/>
      <w:lvlJc w:val="left"/>
      <w:pPr>
        <w:ind w:left="1440" w:hanging="36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1BC7917"/>
    <w:multiLevelType w:val="hybridMultilevel"/>
    <w:tmpl w:val="0AB89740"/>
    <w:lvl w:ilvl="0" w:tplc="2182B94A">
      <w:start w:val="1"/>
      <w:numFmt w:val="decimal"/>
      <w:lvlText w:val="%1."/>
      <w:lvlJc w:val="left"/>
      <w:pPr>
        <w:ind w:left="720" w:hanging="360"/>
      </w:pPr>
      <w:rPr>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4B50E6B"/>
    <w:multiLevelType w:val="hybridMultilevel"/>
    <w:tmpl w:val="C26ADE92"/>
    <w:lvl w:ilvl="0" w:tplc="140A0001">
      <w:start w:val="1"/>
      <w:numFmt w:val="bullet"/>
      <w:lvlText w:val=""/>
      <w:lvlJc w:val="left"/>
      <w:pPr>
        <w:ind w:left="1680" w:hanging="360"/>
      </w:pPr>
      <w:rPr>
        <w:rFonts w:ascii="Symbol" w:hAnsi="Symbol" w:hint="default"/>
      </w:rPr>
    </w:lvl>
    <w:lvl w:ilvl="1" w:tplc="140A0003" w:tentative="1">
      <w:start w:val="1"/>
      <w:numFmt w:val="bullet"/>
      <w:lvlText w:val="o"/>
      <w:lvlJc w:val="left"/>
      <w:pPr>
        <w:ind w:left="2400" w:hanging="360"/>
      </w:pPr>
      <w:rPr>
        <w:rFonts w:ascii="Courier New" w:hAnsi="Courier New" w:cs="Courier New" w:hint="default"/>
      </w:rPr>
    </w:lvl>
    <w:lvl w:ilvl="2" w:tplc="140A0005" w:tentative="1">
      <w:start w:val="1"/>
      <w:numFmt w:val="bullet"/>
      <w:lvlText w:val=""/>
      <w:lvlJc w:val="left"/>
      <w:pPr>
        <w:ind w:left="3120" w:hanging="360"/>
      </w:pPr>
      <w:rPr>
        <w:rFonts w:ascii="Wingdings" w:hAnsi="Wingdings" w:hint="default"/>
      </w:rPr>
    </w:lvl>
    <w:lvl w:ilvl="3" w:tplc="140A0001" w:tentative="1">
      <w:start w:val="1"/>
      <w:numFmt w:val="bullet"/>
      <w:lvlText w:val=""/>
      <w:lvlJc w:val="left"/>
      <w:pPr>
        <w:ind w:left="3840" w:hanging="360"/>
      </w:pPr>
      <w:rPr>
        <w:rFonts w:ascii="Symbol" w:hAnsi="Symbol" w:hint="default"/>
      </w:rPr>
    </w:lvl>
    <w:lvl w:ilvl="4" w:tplc="140A0003" w:tentative="1">
      <w:start w:val="1"/>
      <w:numFmt w:val="bullet"/>
      <w:lvlText w:val="o"/>
      <w:lvlJc w:val="left"/>
      <w:pPr>
        <w:ind w:left="4560" w:hanging="360"/>
      </w:pPr>
      <w:rPr>
        <w:rFonts w:ascii="Courier New" w:hAnsi="Courier New" w:cs="Courier New" w:hint="default"/>
      </w:rPr>
    </w:lvl>
    <w:lvl w:ilvl="5" w:tplc="140A0005" w:tentative="1">
      <w:start w:val="1"/>
      <w:numFmt w:val="bullet"/>
      <w:lvlText w:val=""/>
      <w:lvlJc w:val="left"/>
      <w:pPr>
        <w:ind w:left="5280" w:hanging="360"/>
      </w:pPr>
      <w:rPr>
        <w:rFonts w:ascii="Wingdings" w:hAnsi="Wingdings" w:hint="default"/>
      </w:rPr>
    </w:lvl>
    <w:lvl w:ilvl="6" w:tplc="140A0001" w:tentative="1">
      <w:start w:val="1"/>
      <w:numFmt w:val="bullet"/>
      <w:lvlText w:val=""/>
      <w:lvlJc w:val="left"/>
      <w:pPr>
        <w:ind w:left="6000" w:hanging="360"/>
      </w:pPr>
      <w:rPr>
        <w:rFonts w:ascii="Symbol" w:hAnsi="Symbol" w:hint="default"/>
      </w:rPr>
    </w:lvl>
    <w:lvl w:ilvl="7" w:tplc="140A0003" w:tentative="1">
      <w:start w:val="1"/>
      <w:numFmt w:val="bullet"/>
      <w:lvlText w:val="o"/>
      <w:lvlJc w:val="left"/>
      <w:pPr>
        <w:ind w:left="6720" w:hanging="360"/>
      </w:pPr>
      <w:rPr>
        <w:rFonts w:ascii="Courier New" w:hAnsi="Courier New" w:cs="Courier New" w:hint="default"/>
      </w:rPr>
    </w:lvl>
    <w:lvl w:ilvl="8" w:tplc="140A0005" w:tentative="1">
      <w:start w:val="1"/>
      <w:numFmt w:val="bullet"/>
      <w:lvlText w:val=""/>
      <w:lvlJc w:val="left"/>
      <w:pPr>
        <w:ind w:left="7440" w:hanging="360"/>
      </w:pPr>
      <w:rPr>
        <w:rFonts w:ascii="Wingdings" w:hAnsi="Wingdings" w:hint="default"/>
      </w:rPr>
    </w:lvl>
  </w:abstractNum>
  <w:abstractNum w:abstractNumId="15" w15:restartNumberingAfterBreak="0">
    <w:nsid w:val="4A362ECA"/>
    <w:multiLevelType w:val="hybridMultilevel"/>
    <w:tmpl w:val="09AEA292"/>
    <w:lvl w:ilvl="0" w:tplc="31B8DB4E">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38D147A"/>
    <w:multiLevelType w:val="hybridMultilevel"/>
    <w:tmpl w:val="4D3C4B00"/>
    <w:lvl w:ilvl="0" w:tplc="93FCAA8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70C0022"/>
    <w:multiLevelType w:val="hybridMultilevel"/>
    <w:tmpl w:val="9308FD7A"/>
    <w:lvl w:ilvl="0" w:tplc="140A0017">
      <w:start w:val="1"/>
      <w:numFmt w:val="lowerLetter"/>
      <w:lvlText w:val="%1)"/>
      <w:lvlJc w:val="left"/>
      <w:pPr>
        <w:ind w:left="644" w:hanging="360"/>
      </w:pPr>
    </w:lvl>
    <w:lvl w:ilvl="1" w:tplc="140A0019">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8" w15:restartNumberingAfterBreak="0">
    <w:nsid w:val="69AC30E6"/>
    <w:multiLevelType w:val="hybridMultilevel"/>
    <w:tmpl w:val="2A8A58F4"/>
    <w:lvl w:ilvl="0" w:tplc="E2546540">
      <w:start w:val="1"/>
      <w:numFmt w:val="decimal"/>
      <w:lvlText w:val="%1."/>
      <w:lvlJc w:val="left"/>
      <w:pPr>
        <w:ind w:left="720" w:hanging="360"/>
      </w:pPr>
      <w:rPr>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C012782"/>
    <w:multiLevelType w:val="hybridMultilevel"/>
    <w:tmpl w:val="9C446F90"/>
    <w:lvl w:ilvl="0" w:tplc="140A0017">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 w15:restartNumberingAfterBreak="0">
    <w:nsid w:val="768B755D"/>
    <w:multiLevelType w:val="hybridMultilevel"/>
    <w:tmpl w:val="92B00FF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8A769F3"/>
    <w:multiLevelType w:val="hybridMultilevel"/>
    <w:tmpl w:val="9CCE20EC"/>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2" w15:restartNumberingAfterBreak="0">
    <w:nsid w:val="79917359"/>
    <w:multiLevelType w:val="hybridMultilevel"/>
    <w:tmpl w:val="D3D402B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
  </w:num>
  <w:num w:numId="3">
    <w:abstractNumId w:val="14"/>
  </w:num>
  <w:num w:numId="4">
    <w:abstractNumId w:val="11"/>
  </w:num>
  <w:num w:numId="5">
    <w:abstractNumId w:val="10"/>
  </w:num>
  <w:num w:numId="6">
    <w:abstractNumId w:val="7"/>
  </w:num>
  <w:num w:numId="7">
    <w:abstractNumId w:val="6"/>
  </w:num>
  <w:num w:numId="8">
    <w:abstractNumId w:val="0"/>
  </w:num>
  <w:num w:numId="9">
    <w:abstractNumId w:val="2"/>
  </w:num>
  <w:num w:numId="10">
    <w:abstractNumId w:val="13"/>
  </w:num>
  <w:num w:numId="11">
    <w:abstractNumId w:val="8"/>
  </w:num>
  <w:num w:numId="12">
    <w:abstractNumId w:val="16"/>
  </w:num>
  <w:num w:numId="13">
    <w:abstractNumId w:val="18"/>
  </w:num>
  <w:num w:numId="14">
    <w:abstractNumId w:val="9"/>
  </w:num>
  <w:num w:numId="15">
    <w:abstractNumId w:val="12"/>
  </w:num>
  <w:num w:numId="16">
    <w:abstractNumId w:val="19"/>
  </w:num>
  <w:num w:numId="17">
    <w:abstractNumId w:val="20"/>
  </w:num>
  <w:num w:numId="18">
    <w:abstractNumId w:val="17"/>
  </w:num>
  <w:num w:numId="19">
    <w:abstractNumId w:val="15"/>
  </w:num>
  <w:num w:numId="20">
    <w:abstractNumId w:val="22"/>
  </w:num>
  <w:num w:numId="21">
    <w:abstractNumId w:val="4"/>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1" w:cryptProviderType="rsaAES" w:cryptAlgorithmClass="hash" w:cryptAlgorithmType="typeAny" w:cryptAlgorithmSid="14" w:cryptSpinCount="100000" w:hash="Jj1I6ofA+c/zsCPrsyVuGE6pWN8U4FK7rYEIQ4VWZFQKyAQb5XJULZG+QJ50uNZuRWChzIQxGkFbT5ufBhFG+w==" w:salt="qYkswDRNNB/DDWwEiZMqgw=="/>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95"/>
    <w:rsid w:val="00002041"/>
    <w:rsid w:val="00007FF3"/>
    <w:rsid w:val="00011FAB"/>
    <w:rsid w:val="00021ADD"/>
    <w:rsid w:val="00031B04"/>
    <w:rsid w:val="00034D70"/>
    <w:rsid w:val="000421CB"/>
    <w:rsid w:val="0004405B"/>
    <w:rsid w:val="00046964"/>
    <w:rsid w:val="0006650E"/>
    <w:rsid w:val="000812B2"/>
    <w:rsid w:val="00081F18"/>
    <w:rsid w:val="00092B79"/>
    <w:rsid w:val="00095A2B"/>
    <w:rsid w:val="000D18E1"/>
    <w:rsid w:val="000E0C81"/>
    <w:rsid w:val="000F20BC"/>
    <w:rsid w:val="00103A63"/>
    <w:rsid w:val="00113C30"/>
    <w:rsid w:val="00121ECB"/>
    <w:rsid w:val="00122C56"/>
    <w:rsid w:val="00124AAB"/>
    <w:rsid w:val="0012544B"/>
    <w:rsid w:val="001265F2"/>
    <w:rsid w:val="00126FE4"/>
    <w:rsid w:val="00142EA6"/>
    <w:rsid w:val="001658E1"/>
    <w:rsid w:val="001905EE"/>
    <w:rsid w:val="001A44A1"/>
    <w:rsid w:val="001A4B75"/>
    <w:rsid w:val="001A5F7F"/>
    <w:rsid w:val="001B67E6"/>
    <w:rsid w:val="001C7910"/>
    <w:rsid w:val="001D18BF"/>
    <w:rsid w:val="001D3394"/>
    <w:rsid w:val="001D643C"/>
    <w:rsid w:val="001E14E7"/>
    <w:rsid w:val="001E3A2F"/>
    <w:rsid w:val="00201CDA"/>
    <w:rsid w:val="002073B7"/>
    <w:rsid w:val="00215FC6"/>
    <w:rsid w:val="00230A6B"/>
    <w:rsid w:val="002320CD"/>
    <w:rsid w:val="002378E8"/>
    <w:rsid w:val="002405C4"/>
    <w:rsid w:val="00261F6E"/>
    <w:rsid w:val="00263963"/>
    <w:rsid w:val="00266B56"/>
    <w:rsid w:val="00277C51"/>
    <w:rsid w:val="0029080A"/>
    <w:rsid w:val="00294116"/>
    <w:rsid w:val="00295482"/>
    <w:rsid w:val="00295ADD"/>
    <w:rsid w:val="002A63F1"/>
    <w:rsid w:val="002C1B33"/>
    <w:rsid w:val="002C2B0D"/>
    <w:rsid w:val="002D3538"/>
    <w:rsid w:val="002D5092"/>
    <w:rsid w:val="002D7D44"/>
    <w:rsid w:val="002F0201"/>
    <w:rsid w:val="002F0826"/>
    <w:rsid w:val="00305EDC"/>
    <w:rsid w:val="003067EB"/>
    <w:rsid w:val="003155C5"/>
    <w:rsid w:val="003262D5"/>
    <w:rsid w:val="00327E46"/>
    <w:rsid w:val="00341E36"/>
    <w:rsid w:val="00344B12"/>
    <w:rsid w:val="00347408"/>
    <w:rsid w:val="00347829"/>
    <w:rsid w:val="003621B6"/>
    <w:rsid w:val="00364C08"/>
    <w:rsid w:val="003758B4"/>
    <w:rsid w:val="00377CEE"/>
    <w:rsid w:val="00380393"/>
    <w:rsid w:val="00384F97"/>
    <w:rsid w:val="00387CD6"/>
    <w:rsid w:val="003A06F4"/>
    <w:rsid w:val="003A1115"/>
    <w:rsid w:val="003A73AE"/>
    <w:rsid w:val="003B667F"/>
    <w:rsid w:val="003C7C9C"/>
    <w:rsid w:val="003D35CA"/>
    <w:rsid w:val="003D421F"/>
    <w:rsid w:val="003D4B4B"/>
    <w:rsid w:val="003D75AA"/>
    <w:rsid w:val="003E34DC"/>
    <w:rsid w:val="003F1B87"/>
    <w:rsid w:val="00413B95"/>
    <w:rsid w:val="00431A4F"/>
    <w:rsid w:val="00432490"/>
    <w:rsid w:val="004330AA"/>
    <w:rsid w:val="004409DF"/>
    <w:rsid w:val="004424EA"/>
    <w:rsid w:val="00446409"/>
    <w:rsid w:val="004565B1"/>
    <w:rsid w:val="00457249"/>
    <w:rsid w:val="00457AFD"/>
    <w:rsid w:val="00464393"/>
    <w:rsid w:val="00482C25"/>
    <w:rsid w:val="00484927"/>
    <w:rsid w:val="00485EF7"/>
    <w:rsid w:val="00493360"/>
    <w:rsid w:val="004A2C15"/>
    <w:rsid w:val="004D5952"/>
    <w:rsid w:val="004E09A4"/>
    <w:rsid w:val="004E2D63"/>
    <w:rsid w:val="004E79BD"/>
    <w:rsid w:val="004F21B2"/>
    <w:rsid w:val="004F35D0"/>
    <w:rsid w:val="004F6669"/>
    <w:rsid w:val="005028C8"/>
    <w:rsid w:val="00503730"/>
    <w:rsid w:val="005041D2"/>
    <w:rsid w:val="00507086"/>
    <w:rsid w:val="00513364"/>
    <w:rsid w:val="00525E7F"/>
    <w:rsid w:val="0053500C"/>
    <w:rsid w:val="00551C9F"/>
    <w:rsid w:val="00551FDE"/>
    <w:rsid w:val="005630D6"/>
    <w:rsid w:val="0057249E"/>
    <w:rsid w:val="005726E5"/>
    <w:rsid w:val="0058107F"/>
    <w:rsid w:val="005839DE"/>
    <w:rsid w:val="005840EB"/>
    <w:rsid w:val="0059081B"/>
    <w:rsid w:val="005A0A67"/>
    <w:rsid w:val="005A2468"/>
    <w:rsid w:val="005B4093"/>
    <w:rsid w:val="005C7419"/>
    <w:rsid w:val="005D2EEB"/>
    <w:rsid w:val="005D3E7B"/>
    <w:rsid w:val="005D5D27"/>
    <w:rsid w:val="005D74C0"/>
    <w:rsid w:val="005E4A8B"/>
    <w:rsid w:val="005F464A"/>
    <w:rsid w:val="005F77AA"/>
    <w:rsid w:val="00600A68"/>
    <w:rsid w:val="00603B17"/>
    <w:rsid w:val="00615880"/>
    <w:rsid w:val="0062116D"/>
    <w:rsid w:val="00621251"/>
    <w:rsid w:val="00622555"/>
    <w:rsid w:val="00630614"/>
    <w:rsid w:val="00630F9D"/>
    <w:rsid w:val="006368D2"/>
    <w:rsid w:val="00647480"/>
    <w:rsid w:val="0065096E"/>
    <w:rsid w:val="00656ABB"/>
    <w:rsid w:val="00671FD9"/>
    <w:rsid w:val="00684556"/>
    <w:rsid w:val="006929B2"/>
    <w:rsid w:val="006970F5"/>
    <w:rsid w:val="006A4BAE"/>
    <w:rsid w:val="006B2923"/>
    <w:rsid w:val="006B386C"/>
    <w:rsid w:val="006B4EB9"/>
    <w:rsid w:val="006B6689"/>
    <w:rsid w:val="006C15F5"/>
    <w:rsid w:val="006C5791"/>
    <w:rsid w:val="006D020F"/>
    <w:rsid w:val="006D5B49"/>
    <w:rsid w:val="006D6C45"/>
    <w:rsid w:val="006D7508"/>
    <w:rsid w:val="006E1B3F"/>
    <w:rsid w:val="006F5308"/>
    <w:rsid w:val="00704209"/>
    <w:rsid w:val="0071186B"/>
    <w:rsid w:val="007160F8"/>
    <w:rsid w:val="00722522"/>
    <w:rsid w:val="00725FBB"/>
    <w:rsid w:val="007440E5"/>
    <w:rsid w:val="00752E5A"/>
    <w:rsid w:val="007611EA"/>
    <w:rsid w:val="00763296"/>
    <w:rsid w:val="00777449"/>
    <w:rsid w:val="007818C8"/>
    <w:rsid w:val="00783DB6"/>
    <w:rsid w:val="0079478E"/>
    <w:rsid w:val="00797327"/>
    <w:rsid w:val="007A27E5"/>
    <w:rsid w:val="007A6A99"/>
    <w:rsid w:val="007B48B9"/>
    <w:rsid w:val="007B5C89"/>
    <w:rsid w:val="007D11F6"/>
    <w:rsid w:val="007D711F"/>
    <w:rsid w:val="007E7168"/>
    <w:rsid w:val="007F0BE0"/>
    <w:rsid w:val="007F16DB"/>
    <w:rsid w:val="008051AB"/>
    <w:rsid w:val="00807CC0"/>
    <w:rsid w:val="008209C4"/>
    <w:rsid w:val="008228C5"/>
    <w:rsid w:val="00826EC1"/>
    <w:rsid w:val="00827982"/>
    <w:rsid w:val="008308B4"/>
    <w:rsid w:val="00832137"/>
    <w:rsid w:val="00832382"/>
    <w:rsid w:val="00836925"/>
    <w:rsid w:val="00841E75"/>
    <w:rsid w:val="00856375"/>
    <w:rsid w:val="00865025"/>
    <w:rsid w:val="00871834"/>
    <w:rsid w:val="00875F8B"/>
    <w:rsid w:val="0087789B"/>
    <w:rsid w:val="008A0704"/>
    <w:rsid w:val="008A098B"/>
    <w:rsid w:val="008A186B"/>
    <w:rsid w:val="008A4490"/>
    <w:rsid w:val="008A4937"/>
    <w:rsid w:val="008A4AF9"/>
    <w:rsid w:val="008A5B85"/>
    <w:rsid w:val="008B5B15"/>
    <w:rsid w:val="008B7715"/>
    <w:rsid w:val="008D39C8"/>
    <w:rsid w:val="008D56E3"/>
    <w:rsid w:val="008D6EEA"/>
    <w:rsid w:val="008E43FC"/>
    <w:rsid w:val="008E6087"/>
    <w:rsid w:val="008E748D"/>
    <w:rsid w:val="008F1233"/>
    <w:rsid w:val="008F4287"/>
    <w:rsid w:val="0090168D"/>
    <w:rsid w:val="009102FF"/>
    <w:rsid w:val="00912877"/>
    <w:rsid w:val="00913295"/>
    <w:rsid w:val="00915496"/>
    <w:rsid w:val="0093119B"/>
    <w:rsid w:val="009348B3"/>
    <w:rsid w:val="0093627E"/>
    <w:rsid w:val="00946745"/>
    <w:rsid w:val="00947E0A"/>
    <w:rsid w:val="0095725E"/>
    <w:rsid w:val="00962743"/>
    <w:rsid w:val="0096720D"/>
    <w:rsid w:val="00967B19"/>
    <w:rsid w:val="00983629"/>
    <w:rsid w:val="009913CA"/>
    <w:rsid w:val="009953F4"/>
    <w:rsid w:val="0099625C"/>
    <w:rsid w:val="00996CA8"/>
    <w:rsid w:val="009A1655"/>
    <w:rsid w:val="009A7407"/>
    <w:rsid w:val="009B3671"/>
    <w:rsid w:val="009B475A"/>
    <w:rsid w:val="009B5837"/>
    <w:rsid w:val="009B63D3"/>
    <w:rsid w:val="009C10F9"/>
    <w:rsid w:val="009C159C"/>
    <w:rsid w:val="009C223C"/>
    <w:rsid w:val="009D4680"/>
    <w:rsid w:val="009D7F90"/>
    <w:rsid w:val="009E5AD4"/>
    <w:rsid w:val="009E6DB2"/>
    <w:rsid w:val="009F23E5"/>
    <w:rsid w:val="009F4E1B"/>
    <w:rsid w:val="009F61CD"/>
    <w:rsid w:val="009F7C79"/>
    <w:rsid w:val="00A0152A"/>
    <w:rsid w:val="00A01F65"/>
    <w:rsid w:val="00A04668"/>
    <w:rsid w:val="00A0745D"/>
    <w:rsid w:val="00A241E6"/>
    <w:rsid w:val="00A2550B"/>
    <w:rsid w:val="00A3332F"/>
    <w:rsid w:val="00A3678E"/>
    <w:rsid w:val="00A43094"/>
    <w:rsid w:val="00A47569"/>
    <w:rsid w:val="00A47590"/>
    <w:rsid w:val="00A4778B"/>
    <w:rsid w:val="00A50561"/>
    <w:rsid w:val="00A53735"/>
    <w:rsid w:val="00A60740"/>
    <w:rsid w:val="00A73794"/>
    <w:rsid w:val="00A93B06"/>
    <w:rsid w:val="00A978CF"/>
    <w:rsid w:val="00AA5F00"/>
    <w:rsid w:val="00AA69D8"/>
    <w:rsid w:val="00AB116C"/>
    <w:rsid w:val="00AD07A3"/>
    <w:rsid w:val="00AD10D3"/>
    <w:rsid w:val="00AE63B1"/>
    <w:rsid w:val="00AF3B9B"/>
    <w:rsid w:val="00AF454E"/>
    <w:rsid w:val="00AF766D"/>
    <w:rsid w:val="00B04987"/>
    <w:rsid w:val="00B20060"/>
    <w:rsid w:val="00B22174"/>
    <w:rsid w:val="00B24783"/>
    <w:rsid w:val="00B427E7"/>
    <w:rsid w:val="00B429A7"/>
    <w:rsid w:val="00B43316"/>
    <w:rsid w:val="00B43B4E"/>
    <w:rsid w:val="00B50039"/>
    <w:rsid w:val="00B504A1"/>
    <w:rsid w:val="00B51949"/>
    <w:rsid w:val="00B60DBF"/>
    <w:rsid w:val="00B71946"/>
    <w:rsid w:val="00B72F7C"/>
    <w:rsid w:val="00B9025E"/>
    <w:rsid w:val="00B94B46"/>
    <w:rsid w:val="00B94FDF"/>
    <w:rsid w:val="00BA0902"/>
    <w:rsid w:val="00BA42AD"/>
    <w:rsid w:val="00BA78FE"/>
    <w:rsid w:val="00BB04AF"/>
    <w:rsid w:val="00BB5EB5"/>
    <w:rsid w:val="00BD5F5A"/>
    <w:rsid w:val="00BE078A"/>
    <w:rsid w:val="00BE6A21"/>
    <w:rsid w:val="00BF17E6"/>
    <w:rsid w:val="00C0148B"/>
    <w:rsid w:val="00C015B1"/>
    <w:rsid w:val="00C017AC"/>
    <w:rsid w:val="00C13BC1"/>
    <w:rsid w:val="00C21128"/>
    <w:rsid w:val="00C34329"/>
    <w:rsid w:val="00C42C8B"/>
    <w:rsid w:val="00C4542E"/>
    <w:rsid w:val="00C45BEC"/>
    <w:rsid w:val="00C462EF"/>
    <w:rsid w:val="00C503E8"/>
    <w:rsid w:val="00C62702"/>
    <w:rsid w:val="00CA16C2"/>
    <w:rsid w:val="00CA299D"/>
    <w:rsid w:val="00CA3130"/>
    <w:rsid w:val="00CA420C"/>
    <w:rsid w:val="00CA4B0E"/>
    <w:rsid w:val="00CA692E"/>
    <w:rsid w:val="00CB2EE7"/>
    <w:rsid w:val="00CB4626"/>
    <w:rsid w:val="00CB55E3"/>
    <w:rsid w:val="00CB6CCB"/>
    <w:rsid w:val="00CC0335"/>
    <w:rsid w:val="00CC24BF"/>
    <w:rsid w:val="00CC6B42"/>
    <w:rsid w:val="00CD17E8"/>
    <w:rsid w:val="00CD2A48"/>
    <w:rsid w:val="00CD37EF"/>
    <w:rsid w:val="00CD4A2D"/>
    <w:rsid w:val="00CD5928"/>
    <w:rsid w:val="00CE6321"/>
    <w:rsid w:val="00CE6952"/>
    <w:rsid w:val="00D029E6"/>
    <w:rsid w:val="00D05444"/>
    <w:rsid w:val="00D0661A"/>
    <w:rsid w:val="00D212FE"/>
    <w:rsid w:val="00D279EA"/>
    <w:rsid w:val="00D350B3"/>
    <w:rsid w:val="00D440C1"/>
    <w:rsid w:val="00D52284"/>
    <w:rsid w:val="00D6783B"/>
    <w:rsid w:val="00D745BA"/>
    <w:rsid w:val="00D768D8"/>
    <w:rsid w:val="00D86CC1"/>
    <w:rsid w:val="00DA0E6B"/>
    <w:rsid w:val="00DA2879"/>
    <w:rsid w:val="00DA5D0C"/>
    <w:rsid w:val="00DA5F5C"/>
    <w:rsid w:val="00DA6CC9"/>
    <w:rsid w:val="00DB2188"/>
    <w:rsid w:val="00DB22E0"/>
    <w:rsid w:val="00DB7C45"/>
    <w:rsid w:val="00DC01EB"/>
    <w:rsid w:val="00DC1641"/>
    <w:rsid w:val="00DC38D9"/>
    <w:rsid w:val="00DC60A5"/>
    <w:rsid w:val="00DC7C5A"/>
    <w:rsid w:val="00DD60E3"/>
    <w:rsid w:val="00DD729A"/>
    <w:rsid w:val="00DE3DDD"/>
    <w:rsid w:val="00DE615E"/>
    <w:rsid w:val="00DF3E14"/>
    <w:rsid w:val="00E046CC"/>
    <w:rsid w:val="00E11B07"/>
    <w:rsid w:val="00E14B84"/>
    <w:rsid w:val="00E175E2"/>
    <w:rsid w:val="00E233B7"/>
    <w:rsid w:val="00E42EFF"/>
    <w:rsid w:val="00E43C8D"/>
    <w:rsid w:val="00E51DF9"/>
    <w:rsid w:val="00E52F74"/>
    <w:rsid w:val="00E55B6B"/>
    <w:rsid w:val="00E63473"/>
    <w:rsid w:val="00E80774"/>
    <w:rsid w:val="00E95D96"/>
    <w:rsid w:val="00EA0753"/>
    <w:rsid w:val="00EA2507"/>
    <w:rsid w:val="00EA6DA5"/>
    <w:rsid w:val="00EB614A"/>
    <w:rsid w:val="00EC1B04"/>
    <w:rsid w:val="00EC1CEE"/>
    <w:rsid w:val="00EE01FF"/>
    <w:rsid w:val="00EE58B8"/>
    <w:rsid w:val="00EF04B3"/>
    <w:rsid w:val="00EF1B1A"/>
    <w:rsid w:val="00EF26D0"/>
    <w:rsid w:val="00F175CF"/>
    <w:rsid w:val="00F2238B"/>
    <w:rsid w:val="00F249B4"/>
    <w:rsid w:val="00F314BB"/>
    <w:rsid w:val="00F31705"/>
    <w:rsid w:val="00F35F78"/>
    <w:rsid w:val="00F432E8"/>
    <w:rsid w:val="00F44087"/>
    <w:rsid w:val="00F45755"/>
    <w:rsid w:val="00F464F3"/>
    <w:rsid w:val="00F560CF"/>
    <w:rsid w:val="00F57041"/>
    <w:rsid w:val="00F71C51"/>
    <w:rsid w:val="00F75C14"/>
    <w:rsid w:val="00F7759E"/>
    <w:rsid w:val="00F81790"/>
    <w:rsid w:val="00FA5EC2"/>
    <w:rsid w:val="00FB3201"/>
    <w:rsid w:val="00FB4386"/>
    <w:rsid w:val="00FB5FFC"/>
    <w:rsid w:val="00FB7F45"/>
    <w:rsid w:val="00FC075D"/>
    <w:rsid w:val="00FC6527"/>
    <w:rsid w:val="00FC68C2"/>
    <w:rsid w:val="00FF361D"/>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8A87C54"/>
  <w15:docId w15:val="{6297A497-3EBA-4D40-B9EF-FFA231E1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3262D5"/>
    <w:pPr>
      <w:spacing w:after="0" w:line="360" w:lineRule="auto"/>
    </w:pPr>
    <w:rPr>
      <w:rFonts w:ascii="Times New Roman" w:hAnsi="Times New Roman"/>
      <w:sz w:val="24"/>
    </w:rPr>
  </w:style>
  <w:style w:type="character" w:customStyle="1" w:styleId="SupenEncabezadoCar">
    <w:name w:val="Supen_Encabezado Car"/>
    <w:basedOn w:val="Fuentedeprrafopredeter"/>
    <w:link w:val="SupenEncabezado"/>
    <w:rsid w:val="003262D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D5D27"/>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D5D27"/>
    <w:rPr>
      <w:rFonts w:ascii="Lucida Grande" w:hAnsi="Lucida Grande"/>
      <w:sz w:val="18"/>
      <w:szCs w:val="18"/>
    </w:rPr>
  </w:style>
  <w:style w:type="paragraph" w:styleId="Prrafodelista">
    <w:name w:val="List Paragraph"/>
    <w:aliases w:val="Informe"/>
    <w:basedOn w:val="Normal"/>
    <w:link w:val="PrrafodelistaCar"/>
    <w:uiPriority w:val="34"/>
    <w:qFormat/>
    <w:rsid w:val="00913295"/>
    <w:pPr>
      <w:spacing w:after="160" w:line="259" w:lineRule="auto"/>
      <w:ind w:left="720"/>
      <w:contextualSpacing/>
    </w:pPr>
    <w:rPr>
      <w:rFonts w:asciiTheme="minorHAnsi" w:hAnsiTheme="minorHAnsi"/>
      <w:sz w:val="22"/>
      <w:lang w:val="es-CR"/>
    </w:rPr>
  </w:style>
  <w:style w:type="paragraph" w:styleId="Textocomentario">
    <w:name w:val="annotation text"/>
    <w:basedOn w:val="Normal"/>
    <w:link w:val="TextocomentarioCar"/>
    <w:uiPriority w:val="99"/>
    <w:unhideWhenUsed/>
    <w:rsid w:val="00913295"/>
    <w:pPr>
      <w:spacing w:line="240" w:lineRule="auto"/>
      <w:jc w:val="both"/>
    </w:pPr>
    <w:rPr>
      <w:rFonts w:ascii="Franklin Gothic Book" w:eastAsia="Times New Roman" w:hAnsi="Franklin Gothic Book" w:cs="Times New Roman"/>
      <w:sz w:val="20"/>
      <w:szCs w:val="20"/>
    </w:rPr>
  </w:style>
  <w:style w:type="character" w:customStyle="1" w:styleId="TextocomentarioCar">
    <w:name w:val="Texto comentario Car"/>
    <w:basedOn w:val="Fuentedeprrafopredeter"/>
    <w:link w:val="Textocomentario"/>
    <w:uiPriority w:val="99"/>
    <w:rsid w:val="00913295"/>
    <w:rPr>
      <w:rFonts w:ascii="Franklin Gothic Book" w:eastAsia="Times New Roman" w:hAnsi="Franklin Gothic Book" w:cs="Times New Roman"/>
      <w:sz w:val="20"/>
      <w:szCs w:val="20"/>
    </w:rPr>
  </w:style>
  <w:style w:type="character" w:styleId="Refdecomentario">
    <w:name w:val="annotation reference"/>
    <w:basedOn w:val="Fuentedeprrafopredeter"/>
    <w:uiPriority w:val="99"/>
    <w:semiHidden/>
    <w:unhideWhenUsed/>
    <w:rsid w:val="00913295"/>
    <w:rPr>
      <w:sz w:val="16"/>
      <w:szCs w:val="16"/>
    </w:rPr>
  </w:style>
  <w:style w:type="character" w:styleId="Refdenotaalpie">
    <w:name w:val="footnote reference"/>
    <w:uiPriority w:val="99"/>
    <w:semiHidden/>
    <w:unhideWhenUsed/>
    <w:rsid w:val="00913295"/>
    <w:rPr>
      <w:vertAlign w:val="superscript"/>
    </w:rPr>
  </w:style>
  <w:style w:type="paragraph" w:styleId="Textonotapie">
    <w:name w:val="footnote text"/>
    <w:basedOn w:val="Normal"/>
    <w:link w:val="TextonotapieCar"/>
    <w:uiPriority w:val="99"/>
    <w:rsid w:val="00913295"/>
    <w:pPr>
      <w:spacing w:line="240" w:lineRule="auto"/>
    </w:pPr>
    <w:rPr>
      <w:rFonts w:eastAsia="Times New Roman" w:cs="Times New Roman"/>
      <w:sz w:val="20"/>
      <w:szCs w:val="24"/>
      <w:lang w:val="es-CR" w:eastAsia="x-none"/>
    </w:rPr>
  </w:style>
  <w:style w:type="character" w:customStyle="1" w:styleId="TextonotapieCar">
    <w:name w:val="Texto nota pie Car"/>
    <w:basedOn w:val="Fuentedeprrafopredeter"/>
    <w:link w:val="Textonotapie"/>
    <w:uiPriority w:val="99"/>
    <w:rsid w:val="00913295"/>
    <w:rPr>
      <w:rFonts w:ascii="Times New Roman" w:eastAsia="Times New Roman" w:hAnsi="Times New Roman" w:cs="Times New Roman"/>
      <w:sz w:val="20"/>
      <w:szCs w:val="24"/>
      <w:lang w:val="es-CR" w:eastAsia="x-none"/>
    </w:rPr>
  </w:style>
  <w:style w:type="table" w:customStyle="1" w:styleId="Correspondencia1">
    <w:name w:val="Correspondencia1"/>
    <w:basedOn w:val="Tablanormal"/>
    <w:uiPriority w:val="99"/>
    <w:qFormat/>
    <w:locked/>
    <w:rsid w:val="00913295"/>
    <w:pPr>
      <w:spacing w:before="20" w:after="20" w:line="240" w:lineRule="auto"/>
    </w:pPr>
    <w:rPr>
      <w:rFonts w:ascii="Franklin Gothic Book" w:eastAsia="Calibri" w:hAnsi="Franklin Gothic Book" w:cs="Times New Roman"/>
      <w:sz w:val="20"/>
      <w:szCs w:val="20"/>
      <w:lang w:val="es-CR" w:eastAsia="es-C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right w:val="nil"/>
          <w:insideH w:val="nil"/>
          <w:insideV w:val="nil"/>
          <w:tl2br w:val="nil"/>
          <w:tr2bl w:val="nil"/>
        </w:tcBorders>
        <w:shd w:val="clear" w:color="auto" w:fill="95B3D7"/>
      </w:tcPr>
    </w:tblStylePr>
    <w:tblStylePr w:type="lastRow">
      <w:rPr>
        <w:rFonts w:ascii="Franklin Gothic Book" w:hAnsi="Franklin Gothic Book"/>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tblStylePr w:type="band1Horz">
      <w:rPr>
        <w:rFonts w:ascii="Franklin Gothic Book" w:hAnsi="Franklin Gothic Book"/>
        <w:color w:val="auto"/>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tcPr>
    </w:tblStylePr>
    <w:tblStylePr w:type="band2Horz">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style>
  <w:style w:type="paragraph" w:styleId="NormalWeb">
    <w:name w:val="Normal (Web)"/>
    <w:basedOn w:val="Normal"/>
    <w:uiPriority w:val="99"/>
    <w:rsid w:val="00913295"/>
    <w:pPr>
      <w:spacing w:before="100" w:beforeAutospacing="1" w:after="100" w:afterAutospacing="1" w:line="240" w:lineRule="auto"/>
    </w:pPr>
    <w:rPr>
      <w:rFonts w:eastAsia="Times New Roman" w:cs="Times New Roman"/>
      <w:sz w:val="20"/>
      <w:szCs w:val="20"/>
      <w:lang w:val="es-CR" w:eastAsia="es-ES"/>
    </w:rPr>
  </w:style>
  <w:style w:type="paragraph" w:styleId="Textoindependiente">
    <w:name w:val="Body Text"/>
    <w:basedOn w:val="Normal"/>
    <w:link w:val="TextoindependienteCar"/>
    <w:uiPriority w:val="1"/>
    <w:qFormat/>
    <w:rsid w:val="00913295"/>
    <w:pPr>
      <w:widowControl w:val="0"/>
      <w:autoSpaceDE w:val="0"/>
      <w:autoSpaceDN w:val="0"/>
      <w:spacing w:line="240" w:lineRule="auto"/>
    </w:pPr>
    <w:rPr>
      <w:rFonts w:ascii="Arial" w:eastAsia="Arial" w:hAnsi="Arial" w:cs="Arial"/>
      <w:szCs w:val="24"/>
      <w:lang w:val="en-US"/>
    </w:rPr>
  </w:style>
  <w:style w:type="character" w:customStyle="1" w:styleId="TextoindependienteCar">
    <w:name w:val="Texto independiente Car"/>
    <w:basedOn w:val="Fuentedeprrafopredeter"/>
    <w:link w:val="Textoindependiente"/>
    <w:uiPriority w:val="1"/>
    <w:rsid w:val="00913295"/>
    <w:rPr>
      <w:rFonts w:ascii="Arial" w:eastAsia="Arial" w:hAnsi="Arial" w:cs="Arial"/>
      <w:sz w:val="24"/>
      <w:szCs w:val="24"/>
      <w:lang w:val="en-US"/>
    </w:rPr>
  </w:style>
  <w:style w:type="character" w:styleId="nfasis">
    <w:name w:val="Emphasis"/>
    <w:basedOn w:val="Fuentedeprrafopredeter"/>
    <w:uiPriority w:val="20"/>
    <w:qFormat/>
    <w:rsid w:val="00913295"/>
    <w:rPr>
      <w:i/>
      <w:iCs/>
    </w:rPr>
  </w:style>
  <w:style w:type="paragraph" w:styleId="Asuntodelcomentario">
    <w:name w:val="annotation subject"/>
    <w:basedOn w:val="Textocomentario"/>
    <w:next w:val="Textocomentario"/>
    <w:link w:val="AsuntodelcomentarioCar"/>
    <w:uiPriority w:val="99"/>
    <w:semiHidden/>
    <w:unhideWhenUsed/>
    <w:rsid w:val="00913295"/>
    <w:pPr>
      <w:jc w:val="left"/>
    </w:pPr>
    <w:rPr>
      <w:rFonts w:ascii="Times New Roman" w:eastAsiaTheme="minorHAnsi" w:hAnsi="Times New Roman" w:cstheme="minorBidi"/>
      <w:b/>
      <w:bCs/>
    </w:rPr>
  </w:style>
  <w:style w:type="character" w:customStyle="1" w:styleId="AsuntodelcomentarioCar">
    <w:name w:val="Asunto del comentario Car"/>
    <w:basedOn w:val="TextocomentarioCar"/>
    <w:link w:val="Asuntodelcomentario"/>
    <w:uiPriority w:val="99"/>
    <w:semiHidden/>
    <w:rsid w:val="00913295"/>
    <w:rPr>
      <w:rFonts w:ascii="Times New Roman" w:eastAsia="Times New Roman" w:hAnsi="Times New Roman" w:cs="Times New Roman"/>
      <w:b/>
      <w:bCs/>
      <w:sz w:val="20"/>
      <w:szCs w:val="20"/>
    </w:rPr>
  </w:style>
  <w:style w:type="character" w:customStyle="1" w:styleId="PrrafodelistaCar">
    <w:name w:val="Párrafo de lista Car"/>
    <w:aliases w:val="Informe Car"/>
    <w:link w:val="Prrafodelista"/>
    <w:uiPriority w:val="34"/>
    <w:locked/>
    <w:rsid w:val="00913295"/>
    <w:rPr>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01843">
      <w:bodyDiv w:val="1"/>
      <w:marLeft w:val="0"/>
      <w:marRight w:val="0"/>
      <w:marTop w:val="0"/>
      <w:marBottom w:val="0"/>
      <w:divBdr>
        <w:top w:val="none" w:sz="0" w:space="0" w:color="auto"/>
        <w:left w:val="none" w:sz="0" w:space="0" w:color="auto"/>
        <w:bottom w:val="none" w:sz="0" w:space="0" w:color="auto"/>
        <w:right w:val="none" w:sz="0" w:space="0" w:color="auto"/>
      </w:divBdr>
    </w:div>
    <w:div w:id="471288759">
      <w:bodyDiv w:val="1"/>
      <w:marLeft w:val="0"/>
      <w:marRight w:val="0"/>
      <w:marTop w:val="0"/>
      <w:marBottom w:val="0"/>
      <w:divBdr>
        <w:top w:val="none" w:sz="0" w:space="0" w:color="auto"/>
        <w:left w:val="none" w:sz="0" w:space="0" w:color="auto"/>
        <w:bottom w:val="none" w:sz="0" w:space="0" w:color="auto"/>
        <w:right w:val="none" w:sz="0" w:space="0" w:color="auto"/>
      </w:divBdr>
    </w:div>
    <w:div w:id="548537340">
      <w:bodyDiv w:val="1"/>
      <w:marLeft w:val="0"/>
      <w:marRight w:val="0"/>
      <w:marTop w:val="0"/>
      <w:marBottom w:val="0"/>
      <w:divBdr>
        <w:top w:val="none" w:sz="0" w:space="0" w:color="auto"/>
        <w:left w:val="none" w:sz="0" w:space="0" w:color="auto"/>
        <w:bottom w:val="none" w:sz="0" w:space="0" w:color="auto"/>
        <w:right w:val="none" w:sz="0" w:space="0" w:color="auto"/>
      </w:divBdr>
      <w:divsChild>
        <w:div w:id="1686446130">
          <w:marLeft w:val="0"/>
          <w:marRight w:val="0"/>
          <w:marTop w:val="0"/>
          <w:marBottom w:val="0"/>
          <w:divBdr>
            <w:top w:val="none" w:sz="0" w:space="0" w:color="auto"/>
            <w:left w:val="none" w:sz="0" w:space="0" w:color="auto"/>
            <w:bottom w:val="none" w:sz="0" w:space="0" w:color="auto"/>
            <w:right w:val="none" w:sz="0" w:space="0" w:color="auto"/>
          </w:divBdr>
          <w:divsChild>
            <w:div w:id="1678000020">
              <w:marLeft w:val="0"/>
              <w:marRight w:val="0"/>
              <w:marTop w:val="0"/>
              <w:marBottom w:val="0"/>
              <w:divBdr>
                <w:top w:val="none" w:sz="0" w:space="0" w:color="auto"/>
                <w:left w:val="none" w:sz="0" w:space="0" w:color="auto"/>
                <w:bottom w:val="none" w:sz="0" w:space="0" w:color="auto"/>
                <w:right w:val="none" w:sz="0" w:space="0" w:color="auto"/>
              </w:divBdr>
              <w:divsChild>
                <w:div w:id="10683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74368">
      <w:bodyDiv w:val="1"/>
      <w:marLeft w:val="0"/>
      <w:marRight w:val="0"/>
      <w:marTop w:val="0"/>
      <w:marBottom w:val="0"/>
      <w:divBdr>
        <w:top w:val="none" w:sz="0" w:space="0" w:color="auto"/>
        <w:left w:val="none" w:sz="0" w:space="0" w:color="auto"/>
        <w:bottom w:val="none" w:sz="0" w:space="0" w:color="auto"/>
        <w:right w:val="none" w:sz="0" w:space="0" w:color="auto"/>
      </w:divBdr>
    </w:div>
    <w:div w:id="838348889">
      <w:bodyDiv w:val="1"/>
      <w:marLeft w:val="0"/>
      <w:marRight w:val="0"/>
      <w:marTop w:val="0"/>
      <w:marBottom w:val="0"/>
      <w:divBdr>
        <w:top w:val="none" w:sz="0" w:space="0" w:color="auto"/>
        <w:left w:val="none" w:sz="0" w:space="0" w:color="auto"/>
        <w:bottom w:val="none" w:sz="0" w:space="0" w:color="auto"/>
        <w:right w:val="none" w:sz="0" w:space="0" w:color="auto"/>
      </w:divBdr>
    </w:div>
    <w:div w:id="1567646566">
      <w:bodyDiv w:val="1"/>
      <w:marLeft w:val="0"/>
      <w:marRight w:val="0"/>
      <w:marTop w:val="0"/>
      <w:marBottom w:val="0"/>
      <w:divBdr>
        <w:top w:val="none" w:sz="0" w:space="0" w:color="auto"/>
        <w:left w:val="none" w:sz="0" w:space="0" w:color="auto"/>
        <w:bottom w:val="none" w:sz="0" w:space="0" w:color="auto"/>
        <w:right w:val="none" w:sz="0" w:space="0" w:color="auto"/>
      </w:divBdr>
    </w:div>
    <w:div w:id="1822231939">
      <w:bodyDiv w:val="1"/>
      <w:marLeft w:val="0"/>
      <w:marRight w:val="0"/>
      <w:marTop w:val="0"/>
      <w:marBottom w:val="0"/>
      <w:divBdr>
        <w:top w:val="none" w:sz="0" w:space="0" w:color="auto"/>
        <w:left w:val="none" w:sz="0" w:space="0" w:color="auto"/>
        <w:bottom w:val="none" w:sz="0" w:space="0" w:color="auto"/>
        <w:right w:val="none" w:sz="0" w:space="0" w:color="auto"/>
      </w:divBdr>
      <w:divsChild>
        <w:div w:id="324864238">
          <w:marLeft w:val="0"/>
          <w:marRight w:val="0"/>
          <w:marTop w:val="0"/>
          <w:marBottom w:val="0"/>
          <w:divBdr>
            <w:top w:val="none" w:sz="0" w:space="0" w:color="auto"/>
            <w:left w:val="none" w:sz="0" w:space="0" w:color="auto"/>
            <w:bottom w:val="none" w:sz="0" w:space="0" w:color="auto"/>
            <w:right w:val="none" w:sz="0" w:space="0" w:color="auto"/>
          </w:divBdr>
        </w:div>
        <w:div w:id="582760918">
          <w:marLeft w:val="0"/>
          <w:marRight w:val="0"/>
          <w:marTop w:val="0"/>
          <w:marBottom w:val="0"/>
          <w:divBdr>
            <w:top w:val="none" w:sz="0" w:space="0" w:color="auto"/>
            <w:left w:val="none" w:sz="0" w:space="0" w:color="auto"/>
            <w:bottom w:val="none" w:sz="0" w:space="0" w:color="auto"/>
            <w:right w:val="none" w:sz="0" w:space="0" w:color="auto"/>
          </w:divBdr>
        </w:div>
      </w:divsChild>
    </w:div>
    <w:div w:id="2005937463">
      <w:bodyDiv w:val="1"/>
      <w:marLeft w:val="0"/>
      <w:marRight w:val="0"/>
      <w:marTop w:val="0"/>
      <w:marBottom w:val="0"/>
      <w:divBdr>
        <w:top w:val="none" w:sz="0" w:space="0" w:color="auto"/>
        <w:left w:val="none" w:sz="0" w:space="0" w:color="auto"/>
        <w:bottom w:val="none" w:sz="0" w:space="0" w:color="auto"/>
        <w:right w:val="none" w:sz="0" w:space="0" w:color="auto"/>
      </w:divBdr>
    </w:div>
    <w:div w:id="206722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gashn\AppData\Roaming\Microsoft\Templates\Machote%20S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987A313F724139B2CC8D8561F6D154"/>
        <w:category>
          <w:name w:val="General"/>
          <w:gallery w:val="placeholder"/>
        </w:category>
        <w:types>
          <w:type w:val="bbPlcHdr"/>
        </w:types>
        <w:behaviors>
          <w:behavior w:val="content"/>
        </w:behaviors>
        <w:guid w:val="{0B9D54DD-5BFD-40B7-AE3E-43CD5B4454D7}"/>
      </w:docPartPr>
      <w:docPartBody>
        <w:p w:rsidR="00AD1F75" w:rsidRDefault="00AD1F75">
          <w:pPr>
            <w:pStyle w:val="24987A313F724139B2CC8D8561F6D154"/>
          </w:pPr>
          <w:r w:rsidRPr="0087789B">
            <w:rPr>
              <w:rStyle w:val="Textodelmarcadordeposicin"/>
              <w:szCs w:val="24"/>
            </w:rPr>
            <w:t>Ingrese la fecha aquí.</w:t>
          </w:r>
        </w:p>
      </w:docPartBody>
    </w:docPart>
    <w:docPart>
      <w:docPartPr>
        <w:name w:val="AA4782D3713E48BAA24D9403A9FE3E2E"/>
        <w:category>
          <w:name w:val="General"/>
          <w:gallery w:val="placeholder"/>
        </w:category>
        <w:types>
          <w:type w:val="bbPlcHdr"/>
        </w:types>
        <w:behaviors>
          <w:behavior w:val="content"/>
        </w:behaviors>
        <w:guid w:val="{0ACF0F60-B955-4428-8371-9607BDDB0B97}"/>
      </w:docPartPr>
      <w:docPartBody>
        <w:p w:rsidR="00AD1F75" w:rsidRDefault="00AD1F75">
          <w:pPr>
            <w:pStyle w:val="AA4782D3713E48BAA24D9403A9FE3E2E"/>
          </w:pPr>
          <w:r w:rsidRPr="0087789B">
            <w:rPr>
              <w:rStyle w:val="Textodelmarcadordeposicin"/>
              <w:szCs w:val="24"/>
            </w:rPr>
            <w:t>Ingrese aquí el SP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75"/>
    <w:rsid w:val="00545DFB"/>
    <w:rsid w:val="00630866"/>
    <w:rsid w:val="00AD1F75"/>
    <w:rsid w:val="00ED298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D1F75"/>
    <w:rPr>
      <w:color w:val="808080"/>
    </w:rPr>
  </w:style>
  <w:style w:type="paragraph" w:customStyle="1" w:styleId="24987A313F724139B2CC8D8561F6D154">
    <w:name w:val="24987A313F724139B2CC8D8561F6D154"/>
  </w:style>
  <w:style w:type="paragraph" w:customStyle="1" w:styleId="AA4782D3713E48BAA24D9403A9FE3E2E">
    <w:name w:val="AA4782D3713E48BAA24D9403A9FE3E2E"/>
  </w:style>
  <w:style w:type="paragraph" w:customStyle="1" w:styleId="73CF0DC12EC54DE6BDDD6B8DEC8E7D3F">
    <w:name w:val="73CF0DC12EC54DE6BDDD6B8DEC8E7D3F"/>
    <w:rsid w:val="00AD1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B413239FFFCB244ABB1D73B715BD916" ma:contentTypeVersion="13" ma:contentTypeDescription="Crear nuevo documento." ma:contentTypeScope="" ma:versionID="777766ff9bfaca8975028afefa260673">
  <xsd:schema xmlns:xsd="http://www.w3.org/2001/XMLSchema" xmlns:xs="http://www.w3.org/2001/XMLSchema" xmlns:p="http://schemas.microsoft.com/office/2006/metadata/properties" xmlns:ns3="33e30181-6c35-4bb2-95f8-43bba6f38756" xmlns:ns4="9a5afbdb-4bc0-4cd4-bd24-cc812ecc3ea5" targetNamespace="http://schemas.microsoft.com/office/2006/metadata/properties" ma:root="true" ma:fieldsID="adbea78b18dd43423de45b0cf9496a3f" ns3:_="" ns4:_="">
    <xsd:import namespace="33e30181-6c35-4bb2-95f8-43bba6f38756"/>
    <xsd:import namespace="9a5afbdb-4bc0-4cd4-bd24-cc812ecc3e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30181-6c35-4bb2-95f8-43bba6f387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afbdb-4bc0-4cd4-bd24-cc812ecc3ea5"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4265-9611-4717-9919-210EAE0D58EE}">
  <ds:schemaRefs>
    <ds:schemaRef ds:uri="http://purl.org/dc/terms/"/>
    <ds:schemaRef ds:uri="33e30181-6c35-4bb2-95f8-43bba6f38756"/>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a5afbdb-4bc0-4cd4-bd24-cc812ecc3ea5"/>
    <ds:schemaRef ds:uri="http://www.w3.org/XML/1998/namespace"/>
    <ds:schemaRef ds:uri="http://purl.org/dc/dcmitype/"/>
  </ds:schemaRefs>
</ds:datastoreItem>
</file>

<file path=customXml/itemProps2.xml><?xml version="1.0" encoding="utf-8"?>
<ds:datastoreItem xmlns:ds="http://schemas.openxmlformats.org/officeDocument/2006/customXml" ds:itemID="{E9299D99-3DEA-4202-BD79-83B2A4D57E31}">
  <ds:schemaRefs>
    <ds:schemaRef ds:uri="http://schemas.microsoft.com/sharepoint/v3/contenttype/forms"/>
  </ds:schemaRefs>
</ds:datastoreItem>
</file>

<file path=customXml/itemProps3.xml><?xml version="1.0" encoding="utf-8"?>
<ds:datastoreItem xmlns:ds="http://schemas.openxmlformats.org/officeDocument/2006/customXml" ds:itemID="{4F99D206-24C7-4C2B-8879-F4A9DDF39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30181-6c35-4bb2-95f8-43bba6f38756"/>
    <ds:schemaRef ds:uri="9a5afbdb-4bc0-4cd4-bd24-cc812ecc3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5B75A-7278-4F22-BD41-1412BC01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Template>
  <TotalTime>0</TotalTime>
  <Pages>9</Pages>
  <Words>3065</Words>
  <Characters>16858</Characters>
  <Application>Microsoft Office Word</Application>
  <DocSecurity>8</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PJD-XXX-2020 (Duda de A.I. y C&amp;S).docx</dc:title>
  <dc:subject/>
  <dc:creator>MUNOZ GARCIA JORGE ENRIQUE</dc:creator>
  <cp:keywords/>
  <dc:description/>
  <cp:lastModifiedBy>VARGAS HERNANDEZ NELLY MARIA</cp:lastModifiedBy>
  <cp:revision>2</cp:revision>
  <dcterms:created xsi:type="dcterms:W3CDTF">2020-12-17T17:10:00Z</dcterms:created>
  <dcterms:modified xsi:type="dcterms:W3CDTF">2020-12-17T17:10:00Z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0x0101000B413239FFFCB244ABB1D73B715BD916</vt:lpwstr>
  </property>
  <property fmtid="{D5CDD505-2E9C-101B-9397-08002B2CF9AE}" pid="3" name="IsMyDocuments">
    <vt:bool>true</vt:bool>
  </property>
</Properties>
</file>