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18EB94" w14:textId="7DDB8F75" w:rsidR="00A4778B" w:rsidRPr="0087789B" w:rsidRDefault="009143FE" w:rsidP="00AC05D7">
      <w:pPr>
        <w:spacing w:line="240" w:lineRule="auto"/>
        <w:rPr>
          <w:szCs w:val="24"/>
        </w:rPr>
      </w:pPr>
      <w:sdt>
        <w:sdtPr>
          <w:rPr>
            <w:szCs w:val="24"/>
          </w:rPr>
          <w:alias w:val="Fecha"/>
          <w:tag w:val="Fecha"/>
          <w:id w:val="-306548534"/>
          <w:lock w:val="sdtLocked"/>
          <w:placeholder>
            <w:docPart w:val="0D9787639A4E43B6B19FD2BD02D103A0"/>
          </w:placeholder>
          <w:date w:fullDate="2020-09-21T00:00:00Z">
            <w:dateFormat w:val="d' de 'MMMM' de 'yyyy"/>
            <w:lid w:val="es-ES"/>
            <w:storeMappedDataAs w:val="date"/>
            <w:calendar w:val="gregorian"/>
          </w:date>
        </w:sdtPr>
        <w:sdtEndPr/>
        <w:sdtContent>
          <w:r w:rsidR="00693D84">
            <w:rPr>
              <w:szCs w:val="24"/>
            </w:rPr>
            <w:t>21 de septiembre de 2020</w:t>
          </w:r>
        </w:sdtContent>
      </w:sdt>
    </w:p>
    <w:p w14:paraId="6E12312E" w14:textId="2C609979" w:rsidR="00A4778B" w:rsidRPr="00F536FF" w:rsidRDefault="009143FE" w:rsidP="00AC05D7">
      <w:pPr>
        <w:pStyle w:val="SupenEncabezado"/>
        <w:spacing w:line="240" w:lineRule="auto"/>
        <w:rPr>
          <w:rStyle w:val="SupenEncabezadoCar"/>
          <w:b/>
          <w:bCs/>
          <w:szCs w:val="24"/>
        </w:rPr>
      </w:pPr>
      <w:sdt>
        <w:sdtPr>
          <w:rPr>
            <w:rStyle w:val="SupenEncabezadoCar"/>
            <w:b/>
            <w:bCs/>
            <w:szCs w:val="24"/>
          </w:rPr>
          <w:alias w:val="Código"/>
          <w:tag w:val="A"/>
          <w:id w:val="1991359848"/>
          <w:lock w:val="sdtLocked"/>
          <w:placeholder>
            <w:docPart w:val="76F3929F9D66424F9A33FB2298926D7A"/>
          </w:placeholder>
          <w:text/>
        </w:sdtPr>
        <w:sdtEndPr>
          <w:rPr>
            <w:rStyle w:val="SupenEncabezadoCar"/>
          </w:rPr>
        </w:sdtEndPr>
        <w:sdtContent>
          <w:r w:rsidR="000C6ED9" w:rsidRPr="00F536FF">
            <w:rPr>
              <w:rStyle w:val="SupenEncabezadoCar"/>
              <w:b/>
              <w:bCs/>
              <w:szCs w:val="24"/>
            </w:rPr>
            <w:t>PJD-18-2020</w:t>
          </w:r>
        </w:sdtContent>
      </w:sdt>
    </w:p>
    <w:p w14:paraId="4AF59631" w14:textId="77777777" w:rsidR="003262D5" w:rsidRDefault="003262D5" w:rsidP="00AC05D7">
      <w:pPr>
        <w:spacing w:line="240" w:lineRule="auto"/>
        <w:rPr>
          <w:szCs w:val="24"/>
        </w:rPr>
      </w:pPr>
    </w:p>
    <w:p w14:paraId="0813A301" w14:textId="77777777" w:rsidR="00AC05D7" w:rsidRDefault="00AC05D7" w:rsidP="00AC05D7">
      <w:pPr>
        <w:spacing w:line="240" w:lineRule="auto"/>
      </w:pPr>
    </w:p>
    <w:p w14:paraId="065A6C5B" w14:textId="7DE65339" w:rsidR="00DE615E" w:rsidRPr="007839A9" w:rsidRDefault="007839A9" w:rsidP="00AC05D7">
      <w:pPr>
        <w:spacing w:line="240" w:lineRule="auto"/>
      </w:pPr>
      <w:r w:rsidRPr="007839A9">
        <w:t>Rocío Aguilar M.</w:t>
      </w:r>
    </w:p>
    <w:p w14:paraId="6C239DFF" w14:textId="77777777" w:rsidR="00F536FF" w:rsidRDefault="007839A9" w:rsidP="00AC05D7">
      <w:pPr>
        <w:spacing w:line="240" w:lineRule="auto"/>
      </w:pPr>
      <w:r w:rsidRPr="007839A9">
        <w:t xml:space="preserve">Superintendente </w:t>
      </w:r>
    </w:p>
    <w:p w14:paraId="55FB9694" w14:textId="11205374" w:rsidR="00DE615E" w:rsidRPr="007839A9" w:rsidRDefault="00F536FF" w:rsidP="00AC05D7">
      <w:pPr>
        <w:spacing w:line="240" w:lineRule="auto"/>
      </w:pPr>
      <w:r>
        <w:t>Super</w:t>
      </w:r>
      <w:r w:rsidR="00DC6AB1">
        <w:t>inten</w:t>
      </w:r>
      <w:r>
        <w:t>dencia de P</w:t>
      </w:r>
      <w:r w:rsidR="007839A9" w:rsidRPr="007839A9">
        <w:t>ensiones</w:t>
      </w:r>
    </w:p>
    <w:p w14:paraId="73960B39" w14:textId="77777777" w:rsidR="00DE615E" w:rsidRDefault="00DE615E" w:rsidP="00AC05D7">
      <w:pPr>
        <w:spacing w:line="240" w:lineRule="auto"/>
      </w:pPr>
    </w:p>
    <w:p w14:paraId="5E397D78" w14:textId="77777777" w:rsidR="00DE615E" w:rsidRPr="00677905" w:rsidRDefault="00DE615E" w:rsidP="00AC05D7">
      <w:pPr>
        <w:spacing w:line="240" w:lineRule="auto"/>
      </w:pPr>
      <w:r w:rsidRPr="00677905">
        <w:t>Estimad</w:t>
      </w:r>
      <w:r w:rsidR="007839A9">
        <w:t>a</w:t>
      </w:r>
      <w:r w:rsidRPr="00677905">
        <w:t xml:space="preserve"> señor</w:t>
      </w:r>
      <w:r w:rsidR="007839A9">
        <w:t>a</w:t>
      </w:r>
      <w:r w:rsidRPr="00677905">
        <w:t>:</w:t>
      </w:r>
    </w:p>
    <w:p w14:paraId="5E8F56DC" w14:textId="364AE81E" w:rsidR="00DE615E" w:rsidRDefault="00DE615E" w:rsidP="00AC05D7">
      <w:pPr>
        <w:spacing w:line="240" w:lineRule="auto"/>
      </w:pPr>
    </w:p>
    <w:p w14:paraId="72B79053" w14:textId="1E11A94B" w:rsidR="00693D84" w:rsidRDefault="00693D84" w:rsidP="00D6378B">
      <w:pPr>
        <w:spacing w:line="240" w:lineRule="auto"/>
        <w:jc w:val="both"/>
      </w:pPr>
      <w:r>
        <w:t xml:space="preserve">Por medio de correo electrónico recibido el </w:t>
      </w:r>
      <w:r w:rsidR="00672C08">
        <w:t xml:space="preserve">19 de agosto de 2020, el afiliado </w:t>
      </w:r>
      <w:r w:rsidR="00B94C09">
        <w:t>XXX</w:t>
      </w:r>
      <w:r w:rsidR="00D6378B">
        <w:t xml:space="preserve"> planteó la siguiente consulta: </w:t>
      </w:r>
    </w:p>
    <w:p w14:paraId="0FFD3D65" w14:textId="22044C1D" w:rsidR="00D6378B" w:rsidRDefault="00D6378B" w:rsidP="00AC05D7">
      <w:pPr>
        <w:spacing w:line="240" w:lineRule="auto"/>
      </w:pPr>
    </w:p>
    <w:p w14:paraId="3D7F2E91" w14:textId="0D3FD23E" w:rsidR="00D6378B" w:rsidRPr="0028743F" w:rsidRDefault="00D6378B" w:rsidP="0028743F">
      <w:pPr>
        <w:spacing w:line="240" w:lineRule="auto"/>
        <w:ind w:left="284"/>
        <w:jc w:val="both"/>
        <w:rPr>
          <w:i/>
          <w:iCs/>
          <w:sz w:val="22"/>
        </w:rPr>
      </w:pPr>
      <w:r w:rsidRPr="0028743F">
        <w:rPr>
          <w:i/>
          <w:iCs/>
          <w:sz w:val="22"/>
        </w:rPr>
        <w:t xml:space="preserve">… les comento que solicite a Popular Pensiones la política de inversiones y la </w:t>
      </w:r>
      <w:r w:rsidR="0028743F">
        <w:rPr>
          <w:i/>
          <w:iCs/>
          <w:sz w:val="22"/>
        </w:rPr>
        <w:t xml:space="preserve">política </w:t>
      </w:r>
      <w:r w:rsidR="0028743F" w:rsidRPr="0028743F">
        <w:rPr>
          <w:szCs w:val="24"/>
        </w:rPr>
        <w:t>[Sic]</w:t>
      </w:r>
      <w:r w:rsidR="0028743F" w:rsidRPr="0028743F">
        <w:rPr>
          <w:i/>
          <w:iCs/>
          <w:sz w:val="22"/>
        </w:rPr>
        <w:t xml:space="preserve"> </w:t>
      </w:r>
      <w:r w:rsidRPr="0028743F">
        <w:rPr>
          <w:i/>
          <w:iCs/>
          <w:sz w:val="22"/>
        </w:rPr>
        <w:t>de riesgo, según la información que continua, esta información se muestra en el estado de cuenta; pero me indican que es confidencial, agradezco su amabilida</w:t>
      </w:r>
      <w:r w:rsidR="0028743F">
        <w:rPr>
          <w:i/>
          <w:iCs/>
          <w:sz w:val="22"/>
        </w:rPr>
        <w:t xml:space="preserve"> </w:t>
      </w:r>
      <w:r w:rsidR="0028743F" w:rsidRPr="0028743F">
        <w:rPr>
          <w:szCs w:val="24"/>
        </w:rPr>
        <w:t>[Sic]</w:t>
      </w:r>
      <w:r w:rsidRPr="0028743F">
        <w:rPr>
          <w:i/>
          <w:iCs/>
          <w:sz w:val="22"/>
        </w:rPr>
        <w:t xml:space="preserve"> para indicarme si las mismas son confidenciales o yo como afiliado tengo el derecho de conocerlas, dado que en la página web de ellos no esta</w:t>
      </w:r>
      <w:r w:rsidR="004551C1">
        <w:rPr>
          <w:i/>
          <w:iCs/>
          <w:sz w:val="22"/>
        </w:rPr>
        <w:t xml:space="preserve"> </w:t>
      </w:r>
      <w:r w:rsidR="004551C1" w:rsidRPr="004551C1">
        <w:rPr>
          <w:szCs w:val="24"/>
        </w:rPr>
        <w:t>[Sic]</w:t>
      </w:r>
      <w:r w:rsidRPr="0028743F">
        <w:rPr>
          <w:i/>
          <w:iCs/>
          <w:sz w:val="22"/>
        </w:rPr>
        <w:t xml:space="preserve"> ninguna informaci</w:t>
      </w:r>
      <w:bookmarkStart w:id="0" w:name="_GoBack"/>
      <w:bookmarkEnd w:id="0"/>
      <w:r w:rsidRPr="0028743F">
        <w:rPr>
          <w:i/>
          <w:iCs/>
          <w:sz w:val="22"/>
        </w:rPr>
        <w:t>ón al respecto disponible.</w:t>
      </w:r>
    </w:p>
    <w:p w14:paraId="234440DE" w14:textId="77777777" w:rsidR="00693D84" w:rsidRDefault="00693D84" w:rsidP="00AC05D7">
      <w:pPr>
        <w:spacing w:line="240" w:lineRule="auto"/>
        <w:jc w:val="both"/>
        <w:rPr>
          <w:rFonts w:eastAsia="Calibri" w:cs="Times New Roman"/>
        </w:rPr>
      </w:pPr>
    </w:p>
    <w:p w14:paraId="72A028B8" w14:textId="026E8E57" w:rsidR="004056AA" w:rsidRDefault="0028743F" w:rsidP="00AC05D7">
      <w:pPr>
        <w:spacing w:line="240" w:lineRule="auto"/>
        <w:jc w:val="both"/>
        <w:rPr>
          <w:rFonts w:eastAsia="Calibri" w:cs="Times New Roman"/>
        </w:rPr>
      </w:pPr>
      <w:r>
        <w:rPr>
          <w:rFonts w:eastAsia="Calibri" w:cs="Times New Roman"/>
        </w:rPr>
        <w:t xml:space="preserve">Para atender esta consulta, la </w:t>
      </w:r>
      <w:r w:rsidR="00360281">
        <w:rPr>
          <w:rFonts w:eastAsia="Calibri" w:cs="Times New Roman"/>
        </w:rPr>
        <w:t xml:space="preserve">División </w:t>
      </w:r>
      <w:r>
        <w:rPr>
          <w:rFonts w:eastAsia="Calibri" w:cs="Times New Roman"/>
        </w:rPr>
        <w:t xml:space="preserve">de Asesoría </w:t>
      </w:r>
      <w:r w:rsidR="00360281">
        <w:rPr>
          <w:rFonts w:eastAsia="Calibri" w:cs="Times New Roman"/>
        </w:rPr>
        <w:t>Jurídica</w:t>
      </w:r>
      <w:r w:rsidR="006B5FFF">
        <w:rPr>
          <w:rFonts w:eastAsia="Calibri" w:cs="Times New Roman"/>
        </w:rPr>
        <w:t xml:space="preserve"> </w:t>
      </w:r>
      <w:r>
        <w:rPr>
          <w:rFonts w:eastAsia="Calibri" w:cs="Times New Roman"/>
        </w:rPr>
        <w:t xml:space="preserve">elaboró el siguiente criterio jurídico: </w:t>
      </w:r>
      <w:r w:rsidR="00AC03C3">
        <w:rPr>
          <w:rFonts w:eastAsia="Calibri" w:cs="Times New Roman"/>
        </w:rPr>
        <w:t xml:space="preserve"> </w:t>
      </w:r>
    </w:p>
    <w:p w14:paraId="02E05D63" w14:textId="34CE8A66" w:rsidR="007839A9" w:rsidRPr="007839A9" w:rsidRDefault="006B5FFF" w:rsidP="00AC05D7">
      <w:pPr>
        <w:spacing w:line="240" w:lineRule="auto"/>
        <w:jc w:val="both"/>
        <w:rPr>
          <w:rFonts w:eastAsia="Calibri" w:cs="Times New Roman"/>
        </w:rPr>
      </w:pPr>
      <w:r>
        <w:rPr>
          <w:rFonts w:eastAsia="Calibri" w:cs="Times New Roman"/>
        </w:rPr>
        <w:t xml:space="preserve"> </w:t>
      </w:r>
    </w:p>
    <w:p w14:paraId="6BEA1070" w14:textId="4CBCD62B" w:rsidR="00AB4275" w:rsidRPr="00564927" w:rsidRDefault="00AB4275" w:rsidP="00AC05D7">
      <w:pPr>
        <w:pStyle w:val="Prrafodelista"/>
        <w:numPr>
          <w:ilvl w:val="0"/>
          <w:numId w:val="2"/>
        </w:numPr>
        <w:spacing w:line="240" w:lineRule="auto"/>
        <w:jc w:val="both"/>
        <w:rPr>
          <w:rFonts w:eastAsia="Calibri" w:cs="Times New Roman"/>
          <w:b/>
          <w:bCs/>
        </w:rPr>
      </w:pPr>
      <w:r w:rsidRPr="00564927">
        <w:rPr>
          <w:rFonts w:eastAsia="Calibri" w:cs="Times New Roman"/>
          <w:b/>
          <w:bCs/>
        </w:rPr>
        <w:t>Naturaleza jurídica de las operadoras de pensiones</w:t>
      </w:r>
    </w:p>
    <w:p w14:paraId="037100D9" w14:textId="77777777" w:rsidR="00AB4275" w:rsidRDefault="00AB4275" w:rsidP="00AC05D7">
      <w:pPr>
        <w:spacing w:line="240" w:lineRule="auto"/>
        <w:jc w:val="both"/>
        <w:rPr>
          <w:rFonts w:eastAsia="Calibri" w:cs="Times New Roman"/>
        </w:rPr>
      </w:pPr>
    </w:p>
    <w:p w14:paraId="22DBBEE1" w14:textId="42E72E59" w:rsidR="007839A9" w:rsidRPr="007839A9" w:rsidRDefault="007839A9" w:rsidP="00AC05D7">
      <w:pPr>
        <w:spacing w:line="240" w:lineRule="auto"/>
        <w:jc w:val="both"/>
        <w:rPr>
          <w:rFonts w:eastAsia="Calibri" w:cs="Times New Roman"/>
        </w:rPr>
      </w:pPr>
      <w:r w:rsidRPr="007839A9">
        <w:rPr>
          <w:rFonts w:eastAsia="Calibri" w:cs="Times New Roman"/>
        </w:rPr>
        <w:t>De conformidad con la Ley de Protección al Trabajador</w:t>
      </w:r>
      <w:r w:rsidR="007C2006">
        <w:rPr>
          <w:rFonts w:eastAsia="Calibri" w:cs="Times New Roman"/>
        </w:rPr>
        <w:t>,</w:t>
      </w:r>
      <w:r w:rsidRPr="007839A9">
        <w:rPr>
          <w:rFonts w:eastAsia="Calibri" w:cs="Times New Roman"/>
        </w:rPr>
        <w:t xml:space="preserve"> las operadoras de pensiones están constituidas como sociedades anónimas, es decir, </w:t>
      </w:r>
      <w:r w:rsidR="001212A1">
        <w:rPr>
          <w:rFonts w:eastAsia="Calibri" w:cs="Times New Roman"/>
        </w:rPr>
        <w:t xml:space="preserve">estas </w:t>
      </w:r>
      <w:r w:rsidRPr="007839A9">
        <w:rPr>
          <w:rFonts w:eastAsia="Calibri" w:cs="Times New Roman"/>
        </w:rPr>
        <w:t>empresas se rigen principalmente por el derecho privado.  El artículo 30 dice expresamente:</w:t>
      </w:r>
    </w:p>
    <w:p w14:paraId="633680A6" w14:textId="77777777" w:rsidR="007839A9" w:rsidRPr="007839A9" w:rsidRDefault="007839A9" w:rsidP="00AC05D7">
      <w:pPr>
        <w:spacing w:line="240" w:lineRule="auto"/>
        <w:jc w:val="both"/>
        <w:rPr>
          <w:rFonts w:eastAsia="Calibri" w:cs="Times New Roman"/>
        </w:rPr>
      </w:pPr>
    </w:p>
    <w:p w14:paraId="3CF24203" w14:textId="77777777" w:rsidR="007839A9" w:rsidRPr="0092671A" w:rsidRDefault="007839A9" w:rsidP="0092671A">
      <w:pPr>
        <w:spacing w:line="240" w:lineRule="auto"/>
        <w:ind w:left="284"/>
        <w:jc w:val="both"/>
        <w:rPr>
          <w:rFonts w:eastAsia="Calibri" w:cs="Times New Roman"/>
          <w:i/>
          <w:iCs/>
          <w:sz w:val="22"/>
        </w:rPr>
      </w:pPr>
      <w:r w:rsidRPr="0092671A">
        <w:rPr>
          <w:rFonts w:eastAsia="Calibri" w:cs="Times New Roman"/>
          <w:i/>
          <w:iCs/>
          <w:sz w:val="22"/>
        </w:rPr>
        <w:t xml:space="preserve">Artículo 30.- Exclusividad y naturaleza jurídica. Los fondos de pensiones, los planes respectivos y los fondos de capitalización laboral, serán administrados exclusivamente por operadoras. Estas son personas jurídicas de Derecho Privado o de capital público constituidas para el efecto como </w:t>
      </w:r>
      <w:r w:rsidRPr="0092671A">
        <w:rPr>
          <w:rFonts w:eastAsia="Calibri" w:cs="Times New Roman"/>
          <w:b/>
          <w:bCs/>
          <w:i/>
          <w:iCs/>
          <w:sz w:val="22"/>
        </w:rPr>
        <w:t>sociedades anónimas</w:t>
      </w:r>
      <w:r w:rsidRPr="0092671A">
        <w:rPr>
          <w:rFonts w:eastAsia="Calibri" w:cs="Times New Roman"/>
          <w:i/>
          <w:iCs/>
          <w:sz w:val="22"/>
        </w:rPr>
        <w:t>, que estarán sujetas a los requisitos, las normas y los controles previstos en la presente ley y sus reglamentos. La Superintendencia deberá autorizar el funcionamiento de las operadoras y dispondrá los requisitos adicionales que deberán cumplir estas entidades, con el propósito de proteger los ahorros de los trabajadores y la eficiencia del sistema.</w:t>
      </w:r>
    </w:p>
    <w:p w14:paraId="5A6DF371" w14:textId="77777777" w:rsidR="007839A9" w:rsidRPr="007839A9" w:rsidRDefault="007839A9" w:rsidP="0092671A">
      <w:pPr>
        <w:spacing w:line="240" w:lineRule="auto"/>
        <w:ind w:left="284"/>
        <w:jc w:val="both"/>
        <w:rPr>
          <w:rFonts w:eastAsia="Calibri" w:cs="Times New Roman"/>
        </w:rPr>
      </w:pPr>
      <w:r w:rsidRPr="0092671A">
        <w:rPr>
          <w:rFonts w:eastAsia="Calibri" w:cs="Times New Roman"/>
          <w:sz w:val="22"/>
        </w:rPr>
        <w:t>[…]</w:t>
      </w:r>
      <w:r w:rsidRPr="007839A9">
        <w:rPr>
          <w:rFonts w:eastAsia="Calibri" w:cs="Times New Roman"/>
        </w:rPr>
        <w:t xml:space="preserve"> [Énfasis propio.]</w:t>
      </w:r>
    </w:p>
    <w:p w14:paraId="47212B9D" w14:textId="77777777" w:rsidR="007839A9" w:rsidRPr="007839A9" w:rsidRDefault="007839A9" w:rsidP="00AC05D7">
      <w:pPr>
        <w:spacing w:line="240" w:lineRule="auto"/>
        <w:jc w:val="both"/>
        <w:rPr>
          <w:rFonts w:eastAsia="Calibri" w:cs="Times New Roman"/>
        </w:rPr>
      </w:pPr>
    </w:p>
    <w:p w14:paraId="2C8940D6" w14:textId="0C3C4D98" w:rsidR="00416CA0" w:rsidRDefault="00AD06BD" w:rsidP="00AC05D7">
      <w:pPr>
        <w:spacing w:line="240" w:lineRule="auto"/>
        <w:jc w:val="both"/>
        <w:rPr>
          <w:rFonts w:eastAsia="Calibri" w:cs="Times New Roman"/>
        </w:rPr>
      </w:pPr>
      <w:r>
        <w:rPr>
          <w:rFonts w:eastAsia="Calibri" w:cs="Times New Roman"/>
        </w:rPr>
        <w:t>No obstante</w:t>
      </w:r>
      <w:r w:rsidR="00100D02">
        <w:rPr>
          <w:rFonts w:eastAsia="Calibri" w:cs="Times New Roman"/>
        </w:rPr>
        <w:t>,</w:t>
      </w:r>
      <w:r>
        <w:rPr>
          <w:rFonts w:eastAsia="Calibri" w:cs="Times New Roman"/>
        </w:rPr>
        <w:t xml:space="preserve"> </w:t>
      </w:r>
      <w:r w:rsidR="00813438">
        <w:rPr>
          <w:rFonts w:eastAsia="Calibri" w:cs="Times New Roman"/>
        </w:rPr>
        <w:t xml:space="preserve">tanto </w:t>
      </w:r>
      <w:r w:rsidR="00136D9F" w:rsidRPr="00136D9F">
        <w:rPr>
          <w:rFonts w:eastAsia="Calibri" w:cs="Times New Roman"/>
        </w:rPr>
        <w:t xml:space="preserve">las operadoras de capital público (las llamadas empresas estatales) </w:t>
      </w:r>
      <w:r w:rsidR="00813438">
        <w:rPr>
          <w:rFonts w:eastAsia="Calibri" w:cs="Times New Roman"/>
        </w:rPr>
        <w:t xml:space="preserve">como las de </w:t>
      </w:r>
      <w:r w:rsidR="00136D9F" w:rsidRPr="00136D9F">
        <w:rPr>
          <w:rFonts w:eastAsia="Calibri" w:cs="Times New Roman"/>
        </w:rPr>
        <w:t xml:space="preserve">capital privado, se encuentran altamente reguladas, lo que significa que están sometidas a una serie de normas a las que no se encuentran sometidas otras sociedades anónimas, precisamente por la finalidad previsional de los recursos que administran: para la vejez, para el desempleo, etc.  Por ejemplo, deben ser autorizadas previamente para poder operar, los productos que ofrecen requieren previa autorización, la publicidad que realizan está sometida a ciertas limitaciones, deben tener una estructura de funcionamiento mínima, </w:t>
      </w:r>
      <w:r w:rsidR="00A00CA2">
        <w:rPr>
          <w:rFonts w:eastAsia="Calibri" w:cs="Times New Roman"/>
        </w:rPr>
        <w:t xml:space="preserve">deben </w:t>
      </w:r>
      <w:r w:rsidR="00136D9F" w:rsidRPr="00136D9F">
        <w:rPr>
          <w:rFonts w:eastAsia="Calibri" w:cs="Times New Roman"/>
        </w:rPr>
        <w:t xml:space="preserve">remitir estados de cuenta a los afiliados, tener un capital mínimo de constitución, etc. </w:t>
      </w:r>
    </w:p>
    <w:p w14:paraId="1CBFA4F1" w14:textId="77777777" w:rsidR="00416CA0" w:rsidRDefault="00416CA0" w:rsidP="00AC05D7">
      <w:pPr>
        <w:spacing w:line="240" w:lineRule="auto"/>
        <w:jc w:val="both"/>
        <w:rPr>
          <w:rFonts w:eastAsia="Calibri" w:cs="Times New Roman"/>
        </w:rPr>
      </w:pPr>
    </w:p>
    <w:p w14:paraId="0DF7C1B6" w14:textId="56EF9406" w:rsidR="00416CA0" w:rsidRPr="00F93E22" w:rsidRDefault="00416CA0" w:rsidP="00AC05D7">
      <w:pPr>
        <w:pStyle w:val="Prrafodelista"/>
        <w:numPr>
          <w:ilvl w:val="0"/>
          <w:numId w:val="2"/>
        </w:numPr>
        <w:spacing w:line="240" w:lineRule="auto"/>
        <w:jc w:val="both"/>
        <w:rPr>
          <w:rFonts w:eastAsia="Calibri" w:cs="Times New Roman"/>
          <w:b/>
          <w:bCs/>
        </w:rPr>
      </w:pPr>
      <w:r w:rsidRPr="00F93E22">
        <w:rPr>
          <w:rFonts w:eastAsia="Calibri" w:cs="Times New Roman"/>
          <w:b/>
          <w:bCs/>
        </w:rPr>
        <w:t xml:space="preserve">Las operadoras de pensiones </w:t>
      </w:r>
      <w:r w:rsidR="00F93E22" w:rsidRPr="00F93E22">
        <w:rPr>
          <w:rFonts w:eastAsia="Calibri" w:cs="Times New Roman"/>
          <w:b/>
          <w:bCs/>
        </w:rPr>
        <w:t>se encuentran en un m</w:t>
      </w:r>
      <w:r w:rsidRPr="00F93E22">
        <w:rPr>
          <w:rFonts w:eastAsia="Calibri" w:cs="Times New Roman"/>
          <w:b/>
          <w:bCs/>
        </w:rPr>
        <w:t>ercado en competencia</w:t>
      </w:r>
    </w:p>
    <w:p w14:paraId="2641B6E4" w14:textId="77777777" w:rsidR="00416CA0" w:rsidRDefault="00416CA0" w:rsidP="00AC05D7">
      <w:pPr>
        <w:spacing w:line="240" w:lineRule="auto"/>
        <w:jc w:val="both"/>
        <w:rPr>
          <w:rFonts w:eastAsia="Calibri" w:cs="Times New Roman"/>
        </w:rPr>
      </w:pPr>
    </w:p>
    <w:p w14:paraId="5E92FFA6" w14:textId="174A5F0F" w:rsidR="007839A9" w:rsidRPr="007839A9" w:rsidRDefault="00525077" w:rsidP="00AC05D7">
      <w:pPr>
        <w:spacing w:line="240" w:lineRule="auto"/>
        <w:jc w:val="both"/>
        <w:rPr>
          <w:rFonts w:eastAsia="Calibri" w:cs="Times New Roman"/>
        </w:rPr>
      </w:pPr>
      <w:r>
        <w:rPr>
          <w:rFonts w:eastAsia="Calibri" w:cs="Times New Roman"/>
        </w:rPr>
        <w:t>E</w:t>
      </w:r>
      <w:r w:rsidR="007839A9" w:rsidRPr="007839A9">
        <w:rPr>
          <w:rFonts w:eastAsia="Calibri" w:cs="Times New Roman"/>
        </w:rPr>
        <w:t xml:space="preserve">l numeral 10 </w:t>
      </w:r>
      <w:r w:rsidR="00F93E22">
        <w:rPr>
          <w:rFonts w:eastAsia="Calibri" w:cs="Times New Roman"/>
        </w:rPr>
        <w:t xml:space="preserve">de la Ley de Protección al Trabajador </w:t>
      </w:r>
      <w:r w:rsidR="007839A9" w:rsidRPr="007839A9">
        <w:rPr>
          <w:rFonts w:eastAsia="Calibri" w:cs="Times New Roman"/>
        </w:rPr>
        <w:t>establece:</w:t>
      </w:r>
    </w:p>
    <w:p w14:paraId="2B116CDD" w14:textId="77777777" w:rsidR="00100D02" w:rsidRDefault="00100D02" w:rsidP="0092671A">
      <w:pPr>
        <w:spacing w:line="240" w:lineRule="auto"/>
        <w:ind w:left="284"/>
        <w:jc w:val="both"/>
        <w:rPr>
          <w:rFonts w:eastAsia="Calibri" w:cs="Times New Roman"/>
          <w:i/>
          <w:iCs/>
          <w:sz w:val="22"/>
        </w:rPr>
      </w:pPr>
    </w:p>
    <w:p w14:paraId="1B749614" w14:textId="368BC500" w:rsidR="007839A9" w:rsidRPr="0092671A" w:rsidRDefault="007839A9" w:rsidP="0092671A">
      <w:pPr>
        <w:spacing w:line="240" w:lineRule="auto"/>
        <w:ind w:left="284"/>
        <w:jc w:val="both"/>
        <w:rPr>
          <w:rFonts w:eastAsia="Calibri" w:cs="Times New Roman"/>
          <w:i/>
          <w:iCs/>
          <w:sz w:val="22"/>
        </w:rPr>
      </w:pPr>
      <w:r w:rsidRPr="0092671A">
        <w:rPr>
          <w:rFonts w:eastAsia="Calibri" w:cs="Times New Roman"/>
          <w:i/>
          <w:iCs/>
          <w:sz w:val="22"/>
        </w:rPr>
        <w:t>Artículo 10. Transferencia entre operadoras</w:t>
      </w:r>
    </w:p>
    <w:p w14:paraId="5367CE77" w14:textId="77777777" w:rsidR="007839A9" w:rsidRPr="0092671A" w:rsidRDefault="007839A9" w:rsidP="0092671A">
      <w:pPr>
        <w:spacing w:line="240" w:lineRule="auto"/>
        <w:ind w:left="284"/>
        <w:jc w:val="both"/>
        <w:rPr>
          <w:rFonts w:eastAsia="Calibri" w:cs="Times New Roman"/>
          <w:sz w:val="22"/>
        </w:rPr>
      </w:pPr>
      <w:r w:rsidRPr="0092671A">
        <w:rPr>
          <w:rFonts w:eastAsia="Calibri" w:cs="Times New Roman"/>
          <w:i/>
          <w:iCs/>
          <w:sz w:val="22"/>
        </w:rPr>
        <w:t xml:space="preserve">Los trabajadores tendrán </w:t>
      </w:r>
      <w:r w:rsidRPr="0092671A">
        <w:rPr>
          <w:rFonts w:eastAsia="Calibri" w:cs="Times New Roman"/>
          <w:b/>
          <w:bCs/>
          <w:i/>
          <w:iCs/>
          <w:sz w:val="22"/>
        </w:rPr>
        <w:t>libertad para afiliarse a la operadora de su elección</w:t>
      </w:r>
      <w:r w:rsidRPr="0092671A">
        <w:rPr>
          <w:rFonts w:eastAsia="Calibri" w:cs="Times New Roman"/>
          <w:i/>
          <w:iCs/>
          <w:sz w:val="22"/>
        </w:rPr>
        <w:t>.  El afiliado podrá transferir el saldo de su cuenta, sin costo alguno, entre operadoras.  Las transferencias deberán ser solicitadas personalmente y por escrito ante el sistema de centralizado de recaudación de la CCSS.  La Superintendencia establecerá, vía reglamento, el plazo y las condiciones en que se solicitarán y efectuarán las transferencias.</w:t>
      </w:r>
      <w:r w:rsidRPr="0092671A">
        <w:rPr>
          <w:rFonts w:eastAsia="Calibri" w:cs="Times New Roman"/>
          <w:sz w:val="22"/>
        </w:rPr>
        <w:t xml:space="preserve"> </w:t>
      </w:r>
    </w:p>
    <w:p w14:paraId="50688EA9" w14:textId="77777777" w:rsidR="007839A9" w:rsidRPr="007839A9" w:rsidRDefault="007839A9" w:rsidP="0092671A">
      <w:pPr>
        <w:spacing w:line="240" w:lineRule="auto"/>
        <w:ind w:left="284"/>
        <w:jc w:val="both"/>
        <w:rPr>
          <w:rFonts w:eastAsia="Calibri" w:cs="Times New Roman"/>
        </w:rPr>
      </w:pPr>
      <w:r w:rsidRPr="0092671A">
        <w:rPr>
          <w:rFonts w:eastAsia="Calibri" w:cs="Times New Roman"/>
          <w:sz w:val="22"/>
        </w:rPr>
        <w:t>[…]</w:t>
      </w:r>
      <w:r w:rsidRPr="007839A9">
        <w:rPr>
          <w:rFonts w:eastAsia="Calibri" w:cs="Times New Roman"/>
        </w:rPr>
        <w:t xml:space="preserve"> [Énfasis propio.]</w:t>
      </w:r>
    </w:p>
    <w:p w14:paraId="5635C4A8" w14:textId="77777777" w:rsidR="007839A9" w:rsidRPr="007839A9" w:rsidRDefault="007839A9" w:rsidP="00AC05D7">
      <w:pPr>
        <w:spacing w:line="240" w:lineRule="auto"/>
        <w:jc w:val="both"/>
        <w:rPr>
          <w:rFonts w:eastAsia="Calibri" w:cs="Times New Roman"/>
        </w:rPr>
      </w:pPr>
    </w:p>
    <w:p w14:paraId="1FD8B7E0" w14:textId="255D292C" w:rsidR="007A74AC" w:rsidRDefault="00533D41" w:rsidP="00AC05D7">
      <w:pPr>
        <w:spacing w:line="240" w:lineRule="auto"/>
        <w:jc w:val="both"/>
        <w:rPr>
          <w:rFonts w:eastAsia="Calibri" w:cs="Times New Roman"/>
        </w:rPr>
      </w:pPr>
      <w:r w:rsidRPr="007839A9">
        <w:rPr>
          <w:rFonts w:eastAsia="Calibri" w:cs="Times New Roman"/>
        </w:rPr>
        <w:t xml:space="preserve">Dada esa posibilidad de elección y traslado </w:t>
      </w:r>
      <w:r w:rsidR="00D93605">
        <w:rPr>
          <w:rFonts w:eastAsia="Calibri" w:cs="Times New Roman"/>
        </w:rPr>
        <w:t>entre</w:t>
      </w:r>
      <w:r w:rsidRPr="007839A9">
        <w:rPr>
          <w:rFonts w:eastAsia="Calibri" w:cs="Times New Roman"/>
        </w:rPr>
        <w:t xml:space="preserve"> operadoras, </w:t>
      </w:r>
      <w:r w:rsidR="00D4702D">
        <w:rPr>
          <w:rFonts w:eastAsia="Calibri" w:cs="Times New Roman"/>
        </w:rPr>
        <w:t xml:space="preserve">estas </w:t>
      </w:r>
      <w:r w:rsidR="000A6550">
        <w:rPr>
          <w:rFonts w:eastAsia="Calibri" w:cs="Times New Roman"/>
        </w:rPr>
        <w:t>entidades</w:t>
      </w:r>
      <w:r w:rsidR="000977AF">
        <w:rPr>
          <w:rFonts w:eastAsia="Calibri" w:cs="Times New Roman"/>
        </w:rPr>
        <w:t xml:space="preserve"> </w:t>
      </w:r>
      <w:r w:rsidR="00D4702D">
        <w:rPr>
          <w:rFonts w:eastAsia="Calibri" w:cs="Times New Roman"/>
        </w:rPr>
        <w:t xml:space="preserve">se caracterizan por tener un </w:t>
      </w:r>
      <w:r w:rsidR="00D4702D" w:rsidRPr="007839A9">
        <w:rPr>
          <w:rFonts w:eastAsia="Calibri" w:cs="Times New Roman"/>
        </w:rPr>
        <w:t>interés natural y sano de diferenciarse y ofrecer mejores servicios</w:t>
      </w:r>
      <w:r w:rsidR="000110BD">
        <w:rPr>
          <w:rFonts w:eastAsia="Calibri" w:cs="Times New Roman"/>
        </w:rPr>
        <w:t xml:space="preserve">; esto se traduce </w:t>
      </w:r>
      <w:r w:rsidR="005F630C">
        <w:rPr>
          <w:rFonts w:eastAsia="Calibri" w:cs="Times New Roman"/>
        </w:rPr>
        <w:t xml:space="preserve">en la definición de una </w:t>
      </w:r>
      <w:r w:rsidR="00846EF9">
        <w:rPr>
          <w:rFonts w:eastAsia="Calibri" w:cs="Times New Roman"/>
        </w:rPr>
        <w:t xml:space="preserve">estrategia comercial que les permita </w:t>
      </w:r>
      <w:r w:rsidRPr="007839A9">
        <w:rPr>
          <w:rFonts w:eastAsia="Calibri" w:cs="Times New Roman"/>
        </w:rPr>
        <w:t>mantener y atraer clientes</w:t>
      </w:r>
      <w:r w:rsidR="000110BD">
        <w:rPr>
          <w:rFonts w:eastAsia="Calibri" w:cs="Times New Roman"/>
        </w:rPr>
        <w:t xml:space="preserve">. </w:t>
      </w:r>
    </w:p>
    <w:p w14:paraId="2F9352F9" w14:textId="77777777" w:rsidR="000110BD" w:rsidRDefault="000110BD" w:rsidP="00AC05D7">
      <w:pPr>
        <w:spacing w:line="240" w:lineRule="auto"/>
        <w:jc w:val="both"/>
        <w:rPr>
          <w:rFonts w:eastAsia="Calibri" w:cs="Times New Roman"/>
        </w:rPr>
      </w:pPr>
    </w:p>
    <w:p w14:paraId="0EA40D6E" w14:textId="2BA56417" w:rsidR="00201FAE" w:rsidRPr="007839A9" w:rsidRDefault="00201FAE" w:rsidP="00AC05D7">
      <w:pPr>
        <w:spacing w:line="240" w:lineRule="auto"/>
        <w:jc w:val="both"/>
        <w:rPr>
          <w:rFonts w:eastAsia="Calibri" w:cs="Times New Roman"/>
        </w:rPr>
      </w:pPr>
      <w:r>
        <w:rPr>
          <w:rFonts w:eastAsia="Calibri" w:cs="Times New Roman"/>
        </w:rPr>
        <w:t>Respecto a</w:t>
      </w:r>
      <w:r w:rsidRPr="007839A9">
        <w:rPr>
          <w:rFonts w:eastAsia="Calibri" w:cs="Times New Roman"/>
        </w:rPr>
        <w:t xml:space="preserve"> las empresas en competencia, </w:t>
      </w:r>
      <w:r w:rsidR="00BD524C" w:rsidRPr="007839A9">
        <w:rPr>
          <w:rFonts w:eastAsia="Calibri" w:cs="Times New Roman"/>
        </w:rPr>
        <w:t xml:space="preserve">en el voto 10667-2018 </w:t>
      </w:r>
      <w:r w:rsidRPr="007839A9">
        <w:rPr>
          <w:rFonts w:eastAsia="Calibri" w:cs="Times New Roman"/>
        </w:rPr>
        <w:t>la Sala Constitucional señaló lo siguiente:</w:t>
      </w:r>
    </w:p>
    <w:p w14:paraId="46A3F852" w14:textId="77777777" w:rsidR="00201FAE" w:rsidRPr="007839A9" w:rsidRDefault="00201FAE" w:rsidP="00AC05D7">
      <w:pPr>
        <w:spacing w:line="240" w:lineRule="auto"/>
        <w:jc w:val="both"/>
        <w:rPr>
          <w:rFonts w:eastAsia="Calibri" w:cs="Times New Roman"/>
        </w:rPr>
      </w:pPr>
    </w:p>
    <w:p w14:paraId="1B7A46F2" w14:textId="77777777" w:rsidR="00201FAE" w:rsidRPr="007839A9" w:rsidRDefault="00201FAE" w:rsidP="0092671A">
      <w:pPr>
        <w:spacing w:line="240" w:lineRule="auto"/>
        <w:ind w:left="284"/>
        <w:jc w:val="both"/>
        <w:rPr>
          <w:rFonts w:eastAsia="Calibri" w:cs="Times New Roman"/>
        </w:rPr>
      </w:pPr>
      <w:r w:rsidRPr="0092671A">
        <w:rPr>
          <w:rFonts w:eastAsia="Calibri" w:cs="Times New Roman"/>
          <w:i/>
          <w:iCs/>
          <w:sz w:val="22"/>
        </w:rPr>
        <w:t xml:space="preserve">En la medida en que una empresa pública participe en un mercado competitivo guarda interés que su información comercial sea legalmente protegida y por ende, al igual que un empresario privado, </w:t>
      </w:r>
      <w:r w:rsidRPr="0092671A">
        <w:rPr>
          <w:rFonts w:eastAsia="Calibri" w:cs="Times New Roman"/>
          <w:b/>
          <w:bCs/>
          <w:i/>
          <w:iCs/>
          <w:sz w:val="22"/>
        </w:rPr>
        <w:t>tiene interés en que cierta información que se encuentre legítimamente bajo su control no sea divulgada a terceros</w:t>
      </w:r>
      <w:r w:rsidRPr="0092671A">
        <w:rPr>
          <w:rFonts w:eastAsia="Calibri" w:cs="Times New Roman"/>
          <w:i/>
          <w:iCs/>
          <w:sz w:val="22"/>
        </w:rPr>
        <w:t>, adquirida o utilizada sin su consentimiento, y de manera contraria a los usos comerciales leales.</w:t>
      </w:r>
      <w:r w:rsidRPr="007839A9">
        <w:rPr>
          <w:rFonts w:eastAsia="Calibri" w:cs="Times New Roman"/>
        </w:rPr>
        <w:t xml:space="preserve">  [Énfasis propio.]</w:t>
      </w:r>
    </w:p>
    <w:p w14:paraId="259212D5" w14:textId="77777777" w:rsidR="0052553D" w:rsidRPr="007839A9" w:rsidRDefault="0052553D" w:rsidP="00AC05D7">
      <w:pPr>
        <w:spacing w:line="240" w:lineRule="auto"/>
        <w:jc w:val="both"/>
        <w:rPr>
          <w:rFonts w:eastAsia="Calibri" w:cs="Times New Roman"/>
        </w:rPr>
      </w:pPr>
    </w:p>
    <w:p w14:paraId="5D6934E1" w14:textId="15FF475C" w:rsidR="00EF459E" w:rsidRPr="00EF459E" w:rsidRDefault="00EF459E" w:rsidP="00AC05D7">
      <w:pPr>
        <w:pStyle w:val="Prrafodelista"/>
        <w:numPr>
          <w:ilvl w:val="0"/>
          <w:numId w:val="2"/>
        </w:numPr>
        <w:spacing w:line="240" w:lineRule="auto"/>
        <w:jc w:val="both"/>
        <w:rPr>
          <w:rFonts w:eastAsia="Calibri" w:cs="Times New Roman"/>
          <w:b/>
          <w:bCs/>
        </w:rPr>
      </w:pPr>
      <w:r w:rsidRPr="00EF459E">
        <w:rPr>
          <w:rFonts w:eastAsia="Calibri" w:cs="Times New Roman"/>
          <w:b/>
          <w:bCs/>
        </w:rPr>
        <w:t>Inviolabilidad de los documentos privados y confidencialidad</w:t>
      </w:r>
    </w:p>
    <w:p w14:paraId="7D614E43" w14:textId="77777777" w:rsidR="00EF459E" w:rsidRDefault="00EF459E" w:rsidP="00AC05D7">
      <w:pPr>
        <w:spacing w:line="240" w:lineRule="auto"/>
        <w:jc w:val="both"/>
        <w:rPr>
          <w:rFonts w:eastAsia="Calibri" w:cs="Times New Roman"/>
        </w:rPr>
      </w:pPr>
    </w:p>
    <w:p w14:paraId="7EDEDF9F" w14:textId="72870B6B" w:rsidR="007839A9" w:rsidRPr="007839A9" w:rsidRDefault="007839A9" w:rsidP="00AC05D7">
      <w:pPr>
        <w:spacing w:line="240" w:lineRule="auto"/>
        <w:jc w:val="both"/>
        <w:rPr>
          <w:rFonts w:eastAsia="Calibri" w:cs="Times New Roman"/>
        </w:rPr>
      </w:pPr>
      <w:r w:rsidRPr="007839A9">
        <w:rPr>
          <w:rFonts w:eastAsia="Calibri" w:cs="Times New Roman"/>
        </w:rPr>
        <w:t>El principio general es que las sociedades anónimas son personas jurídicas que</w:t>
      </w:r>
      <w:r w:rsidR="00375F56">
        <w:rPr>
          <w:rFonts w:eastAsia="Calibri" w:cs="Times New Roman"/>
        </w:rPr>
        <w:t>,</w:t>
      </w:r>
      <w:r w:rsidR="006C46DA">
        <w:rPr>
          <w:rFonts w:eastAsia="Calibri" w:cs="Times New Roman"/>
        </w:rPr>
        <w:t xml:space="preserve"> </w:t>
      </w:r>
      <w:r w:rsidR="006D5A08">
        <w:rPr>
          <w:rFonts w:eastAsia="Calibri" w:cs="Times New Roman"/>
        </w:rPr>
        <w:t>al igual que las personas físicas</w:t>
      </w:r>
      <w:r w:rsidR="00375F56">
        <w:rPr>
          <w:rFonts w:eastAsia="Calibri" w:cs="Times New Roman"/>
        </w:rPr>
        <w:t>,</w:t>
      </w:r>
      <w:r w:rsidR="006D5A08">
        <w:rPr>
          <w:rFonts w:eastAsia="Calibri" w:cs="Times New Roman"/>
        </w:rPr>
        <w:t xml:space="preserve"> </w:t>
      </w:r>
      <w:r w:rsidRPr="007839A9">
        <w:rPr>
          <w:rFonts w:eastAsia="Calibri" w:cs="Times New Roman"/>
        </w:rPr>
        <w:t>se encuentran amparadas al numeral 24 de la Constitución Política</w:t>
      </w:r>
      <w:r w:rsidR="00A949D3">
        <w:rPr>
          <w:rFonts w:eastAsia="Calibri" w:cs="Times New Roman"/>
        </w:rPr>
        <w:t>,</w:t>
      </w:r>
      <w:r w:rsidRPr="007839A9">
        <w:rPr>
          <w:rFonts w:eastAsia="Calibri" w:cs="Times New Roman"/>
        </w:rPr>
        <w:t xml:space="preserve"> que </w:t>
      </w:r>
      <w:r w:rsidR="006D5A08">
        <w:rPr>
          <w:rFonts w:eastAsia="Calibri" w:cs="Times New Roman"/>
        </w:rPr>
        <w:t>ordena</w:t>
      </w:r>
      <w:r w:rsidRPr="007839A9">
        <w:rPr>
          <w:rFonts w:eastAsia="Calibri" w:cs="Times New Roman"/>
        </w:rPr>
        <w:t>:</w:t>
      </w:r>
    </w:p>
    <w:p w14:paraId="4735D2B1" w14:textId="77777777" w:rsidR="007839A9" w:rsidRPr="007839A9" w:rsidRDefault="007839A9" w:rsidP="00AC05D7">
      <w:pPr>
        <w:spacing w:line="240" w:lineRule="auto"/>
        <w:jc w:val="both"/>
        <w:rPr>
          <w:rFonts w:eastAsia="Calibri" w:cs="Times New Roman"/>
        </w:rPr>
      </w:pPr>
    </w:p>
    <w:p w14:paraId="76E0BAEC" w14:textId="77777777" w:rsidR="007839A9" w:rsidRPr="0092671A" w:rsidRDefault="007839A9" w:rsidP="0092671A">
      <w:pPr>
        <w:spacing w:line="240" w:lineRule="auto"/>
        <w:ind w:left="284"/>
        <w:jc w:val="both"/>
        <w:rPr>
          <w:rFonts w:eastAsia="Calibri" w:cs="Times New Roman"/>
          <w:i/>
          <w:iCs/>
          <w:sz w:val="22"/>
        </w:rPr>
      </w:pPr>
      <w:r w:rsidRPr="0092671A">
        <w:rPr>
          <w:rFonts w:eastAsia="Calibri" w:cs="Times New Roman"/>
          <w:i/>
          <w:iCs/>
          <w:sz w:val="22"/>
        </w:rPr>
        <w:t xml:space="preserve">Artículo 24.- Se garantiza el derecho a la intimidad, a la libertad y al secreto de las comunicaciones. </w:t>
      </w:r>
    </w:p>
    <w:p w14:paraId="2C4F5ECD" w14:textId="77777777" w:rsidR="007839A9" w:rsidRPr="0092671A" w:rsidRDefault="007839A9" w:rsidP="0092671A">
      <w:pPr>
        <w:spacing w:line="240" w:lineRule="auto"/>
        <w:ind w:left="284"/>
        <w:jc w:val="both"/>
        <w:rPr>
          <w:rFonts w:eastAsia="Calibri" w:cs="Times New Roman"/>
          <w:i/>
          <w:iCs/>
          <w:sz w:val="22"/>
        </w:rPr>
      </w:pPr>
      <w:r w:rsidRPr="0092671A">
        <w:rPr>
          <w:rFonts w:eastAsia="Calibri" w:cs="Times New Roman"/>
          <w:i/>
          <w:iCs/>
          <w:sz w:val="22"/>
        </w:rPr>
        <w:t xml:space="preserve">Son </w:t>
      </w:r>
      <w:r w:rsidRPr="0092671A">
        <w:rPr>
          <w:rFonts w:eastAsia="Calibri" w:cs="Times New Roman"/>
          <w:b/>
          <w:bCs/>
          <w:i/>
          <w:iCs/>
          <w:sz w:val="22"/>
        </w:rPr>
        <w:t>inviolables los documentos privados y las comunicaciones escritas</w:t>
      </w:r>
      <w:r w:rsidRPr="0092671A">
        <w:rPr>
          <w:rFonts w:eastAsia="Calibri" w:cs="Times New Roman"/>
          <w:i/>
          <w:iCs/>
          <w:sz w:val="22"/>
        </w:rPr>
        <w:t xml:space="preserve">, orales o de cualquier otro tipo de los habitantes de la República. Sin embargo, la ley, cuya aprobación y reforma requerirá los votos de dos tercios de los Diputados de la Asamblea Legislativa, fijará en qué casos podrán los Tribunales de Justicia ordenar el secuestro, registro o examen de los documentos privados, cuando sea absolutamente indispensable para esclarecer asuntos sometidos a su conocimiento. </w:t>
      </w:r>
    </w:p>
    <w:p w14:paraId="71FCF886" w14:textId="77777777" w:rsidR="007839A9" w:rsidRPr="0092671A" w:rsidRDefault="007839A9" w:rsidP="0092671A">
      <w:pPr>
        <w:spacing w:line="240" w:lineRule="auto"/>
        <w:ind w:left="284"/>
        <w:jc w:val="both"/>
        <w:rPr>
          <w:rFonts w:eastAsia="Calibri" w:cs="Times New Roman"/>
          <w:i/>
          <w:iCs/>
          <w:sz w:val="22"/>
        </w:rPr>
      </w:pPr>
      <w:r w:rsidRPr="0092671A">
        <w:rPr>
          <w:rFonts w:eastAsia="Calibri" w:cs="Times New Roman"/>
          <w:i/>
          <w:iCs/>
          <w:sz w:val="22"/>
        </w:rPr>
        <w:t xml:space="preserve">Igualmente, la ley determinará en cuáles casos podrán los Tribunales de Justicia ordenar que se intervenga cualquier tipo de comunicación e indicará los delitos en cuya investigación podrá autorizarse el uso de esta potestad excepcional y durante cuánto tiempo. Asimismo, señalará las </w:t>
      </w:r>
      <w:r w:rsidRPr="0092671A">
        <w:rPr>
          <w:rFonts w:eastAsia="Calibri" w:cs="Times New Roman"/>
          <w:i/>
          <w:iCs/>
          <w:sz w:val="22"/>
        </w:rPr>
        <w:lastRenderedPageBreak/>
        <w:t xml:space="preserve">responsabilidades y sanciones en que incurrirán los funcionarios que apliquen ilegalmente esta excepción. Las resoluciones judiciales amparadas a esta norma deberán ser razonadas y podrán ejecutarse de inmediato. Su aplicación y control serán responsabilidad indelegable de la autoridad judicial. </w:t>
      </w:r>
    </w:p>
    <w:p w14:paraId="14DBCFD6" w14:textId="69F37187" w:rsidR="006D5A08" w:rsidRPr="007839A9" w:rsidRDefault="00632319" w:rsidP="0092671A">
      <w:pPr>
        <w:spacing w:line="240" w:lineRule="auto"/>
        <w:ind w:left="284"/>
        <w:jc w:val="both"/>
        <w:rPr>
          <w:rFonts w:eastAsia="Calibri" w:cs="Times New Roman"/>
        </w:rPr>
      </w:pPr>
      <w:r w:rsidRPr="0092671A">
        <w:rPr>
          <w:rFonts w:eastAsia="Calibri" w:cs="Times New Roman"/>
          <w:i/>
          <w:iCs/>
          <w:sz w:val="22"/>
        </w:rPr>
        <w:t>[…]</w:t>
      </w:r>
      <w:r w:rsidR="0092671A">
        <w:rPr>
          <w:rFonts w:eastAsia="Calibri" w:cs="Times New Roman"/>
          <w:i/>
          <w:iCs/>
        </w:rPr>
        <w:t xml:space="preserve"> </w:t>
      </w:r>
      <w:r w:rsidR="006D5A08" w:rsidRPr="007839A9">
        <w:rPr>
          <w:rFonts w:eastAsia="Calibri" w:cs="Times New Roman"/>
        </w:rPr>
        <w:t>[Énfasis propio.]</w:t>
      </w:r>
    </w:p>
    <w:p w14:paraId="6E5AE6CB" w14:textId="4FC0F55F" w:rsidR="007839A9" w:rsidRPr="007839A9" w:rsidRDefault="007839A9" w:rsidP="00AC05D7">
      <w:pPr>
        <w:spacing w:line="240" w:lineRule="auto"/>
        <w:ind w:left="708"/>
        <w:jc w:val="both"/>
        <w:rPr>
          <w:rFonts w:eastAsia="Calibri" w:cs="Times New Roman"/>
        </w:rPr>
      </w:pPr>
    </w:p>
    <w:p w14:paraId="01A0896D" w14:textId="17C13FA6" w:rsidR="007839A9" w:rsidRPr="007839A9" w:rsidRDefault="007839A9" w:rsidP="00AC05D7">
      <w:pPr>
        <w:spacing w:line="240" w:lineRule="auto"/>
        <w:jc w:val="both"/>
        <w:rPr>
          <w:rFonts w:eastAsia="Calibri" w:cs="Times New Roman"/>
        </w:rPr>
      </w:pPr>
      <w:r w:rsidRPr="007839A9">
        <w:rPr>
          <w:rFonts w:eastAsia="Calibri" w:cs="Times New Roman"/>
        </w:rPr>
        <w:t>La Procuraduría</w:t>
      </w:r>
      <w:r w:rsidR="00E96DFC">
        <w:rPr>
          <w:rFonts w:eastAsia="Calibri" w:cs="Times New Roman"/>
        </w:rPr>
        <w:t xml:space="preserve"> General de la República,</w:t>
      </w:r>
      <w:r w:rsidRPr="007839A9">
        <w:rPr>
          <w:rFonts w:eastAsia="Calibri" w:cs="Times New Roman"/>
        </w:rPr>
        <w:t xml:space="preserve"> </w:t>
      </w:r>
      <w:r w:rsidR="00E96DFC">
        <w:rPr>
          <w:rFonts w:eastAsia="Calibri" w:cs="Times New Roman"/>
        </w:rPr>
        <w:t>en el d</w:t>
      </w:r>
      <w:r w:rsidR="00E96DFC" w:rsidRPr="007839A9">
        <w:rPr>
          <w:rFonts w:eastAsia="Calibri" w:cs="Times New Roman"/>
        </w:rPr>
        <w:t>ictamen C-130-93</w:t>
      </w:r>
      <w:r w:rsidR="00E96DFC">
        <w:rPr>
          <w:rFonts w:eastAsia="Calibri" w:cs="Times New Roman"/>
        </w:rPr>
        <w:t xml:space="preserve">, </w:t>
      </w:r>
      <w:r w:rsidRPr="007839A9">
        <w:rPr>
          <w:rFonts w:eastAsia="Calibri" w:cs="Times New Roman"/>
        </w:rPr>
        <w:t xml:space="preserve">se ha pronunciado respecto a </w:t>
      </w:r>
      <w:r w:rsidR="00410217">
        <w:rPr>
          <w:rFonts w:eastAsia="Calibri" w:cs="Times New Roman"/>
        </w:rPr>
        <w:t>esta</w:t>
      </w:r>
      <w:r w:rsidRPr="007839A9">
        <w:rPr>
          <w:rFonts w:eastAsia="Calibri" w:cs="Times New Roman"/>
        </w:rPr>
        <w:t xml:space="preserve"> </w:t>
      </w:r>
      <w:r w:rsidRPr="007839A9">
        <w:rPr>
          <w:rFonts w:eastAsia="Calibri" w:cs="Times New Roman"/>
          <w:i/>
          <w:iCs/>
        </w:rPr>
        <w:t>inviolabilidad</w:t>
      </w:r>
      <w:r w:rsidRPr="007839A9">
        <w:rPr>
          <w:rFonts w:eastAsia="Calibri" w:cs="Times New Roman"/>
        </w:rPr>
        <w:t xml:space="preserve"> de los documentos privados en los siguientes términos:</w:t>
      </w:r>
    </w:p>
    <w:p w14:paraId="06C4D2DF" w14:textId="77777777" w:rsidR="007839A9" w:rsidRPr="007839A9" w:rsidRDefault="007839A9" w:rsidP="00AC05D7">
      <w:pPr>
        <w:spacing w:line="240" w:lineRule="auto"/>
        <w:jc w:val="both"/>
        <w:rPr>
          <w:rFonts w:eastAsia="Calibri" w:cs="Times New Roman"/>
        </w:rPr>
      </w:pPr>
    </w:p>
    <w:p w14:paraId="44FDDE87" w14:textId="7E6F7D23" w:rsidR="00E96DFC" w:rsidRPr="007839A9" w:rsidRDefault="007839A9" w:rsidP="0092671A">
      <w:pPr>
        <w:spacing w:line="240" w:lineRule="auto"/>
        <w:ind w:left="284"/>
        <w:jc w:val="both"/>
        <w:rPr>
          <w:rFonts w:eastAsia="Calibri" w:cs="Times New Roman"/>
        </w:rPr>
      </w:pPr>
      <w:r w:rsidRPr="0092671A">
        <w:rPr>
          <w:rFonts w:eastAsia="Calibri" w:cs="Times New Roman"/>
          <w:i/>
          <w:iCs/>
          <w:sz w:val="22"/>
        </w:rPr>
        <w:t xml:space="preserve">En relación con los </w:t>
      </w:r>
      <w:r w:rsidRPr="0092671A">
        <w:rPr>
          <w:rFonts w:eastAsia="Calibri" w:cs="Times New Roman"/>
          <w:b/>
          <w:bCs/>
          <w:i/>
          <w:iCs/>
          <w:sz w:val="22"/>
        </w:rPr>
        <w:t>documentos privados, sabido es que la Constitución les atribuye carácter confidencial</w:t>
      </w:r>
      <w:r w:rsidRPr="0092671A">
        <w:rPr>
          <w:rFonts w:eastAsia="Calibri" w:cs="Times New Roman"/>
          <w:i/>
          <w:iCs/>
          <w:sz w:val="22"/>
        </w:rPr>
        <w:t xml:space="preserve">. Dicha confidencialidad significa, efectivamente, </w:t>
      </w:r>
      <w:r w:rsidRPr="0092671A">
        <w:rPr>
          <w:rFonts w:eastAsia="Calibri" w:cs="Times New Roman"/>
          <w:b/>
          <w:bCs/>
          <w:i/>
          <w:iCs/>
          <w:sz w:val="22"/>
        </w:rPr>
        <w:t>una prohibición de acceso a esos documentos</w:t>
      </w:r>
      <w:r w:rsidRPr="0092671A">
        <w:rPr>
          <w:rFonts w:eastAsia="Calibri" w:cs="Times New Roman"/>
          <w:i/>
          <w:iCs/>
          <w:sz w:val="22"/>
        </w:rPr>
        <w:t>, salvo los casos de excepción previstos en el texto constitucional, por una parte; así como un impedimento de suministrarlos o de suministrar los datos allí contenidos al público, de manera que terceros puedan identificar a quién corresponde la información, por otra parte. Lo que significa una salvaguarda de la esfera privada del particular; en especial, una defensa a su intimidad y al derecho a la vida privada... Lo que significa el derecho a mantener reserva sobre ciertas actividades u opiniones, sobre su vida privada y la de su familia. Así como a la confidencialidad de su correspondencia y la de los documentos privados […].</w:t>
      </w:r>
      <w:r w:rsidR="0092671A">
        <w:rPr>
          <w:rFonts w:eastAsia="Calibri" w:cs="Times New Roman"/>
        </w:rPr>
        <w:t xml:space="preserve"> </w:t>
      </w:r>
      <w:r w:rsidR="00E96DFC" w:rsidRPr="007839A9">
        <w:rPr>
          <w:rFonts w:eastAsia="Calibri" w:cs="Times New Roman"/>
        </w:rPr>
        <w:t>[Énfasis propio.]</w:t>
      </w:r>
    </w:p>
    <w:p w14:paraId="2345E54C" w14:textId="77777777" w:rsidR="007839A9" w:rsidRPr="007839A9" w:rsidRDefault="007839A9" w:rsidP="00AC05D7">
      <w:pPr>
        <w:spacing w:line="240" w:lineRule="auto"/>
        <w:jc w:val="both"/>
        <w:rPr>
          <w:rFonts w:eastAsia="Calibri" w:cs="Times New Roman"/>
        </w:rPr>
      </w:pPr>
    </w:p>
    <w:p w14:paraId="4B7A6322" w14:textId="0A69BA8F" w:rsidR="007839A9" w:rsidRDefault="003E00AC" w:rsidP="00AC05D7">
      <w:pPr>
        <w:spacing w:line="240" w:lineRule="auto"/>
        <w:jc w:val="both"/>
        <w:rPr>
          <w:rFonts w:eastAsia="Calibri" w:cs="Times New Roman"/>
        </w:rPr>
      </w:pPr>
      <w:r>
        <w:rPr>
          <w:rFonts w:eastAsia="Calibri" w:cs="Times New Roman"/>
        </w:rPr>
        <w:t>Hasta aquí</w:t>
      </w:r>
      <w:r w:rsidR="007F6C10">
        <w:rPr>
          <w:rFonts w:eastAsia="Calibri" w:cs="Times New Roman"/>
        </w:rPr>
        <w:t>,</w:t>
      </w:r>
      <w:r>
        <w:rPr>
          <w:rFonts w:eastAsia="Calibri" w:cs="Times New Roman"/>
        </w:rPr>
        <w:t xml:space="preserve"> es claro que los documentos de las operadoras de pensiones</w:t>
      </w:r>
      <w:r w:rsidR="005A3B40">
        <w:rPr>
          <w:rFonts w:eastAsia="Calibri" w:cs="Times New Roman"/>
        </w:rPr>
        <w:t xml:space="preserve"> son privados y</w:t>
      </w:r>
      <w:r w:rsidR="00823C29">
        <w:rPr>
          <w:rFonts w:eastAsia="Calibri" w:cs="Times New Roman"/>
        </w:rPr>
        <w:t>,</w:t>
      </w:r>
      <w:r w:rsidR="005A3B40">
        <w:rPr>
          <w:rFonts w:eastAsia="Calibri" w:cs="Times New Roman"/>
        </w:rPr>
        <w:t xml:space="preserve"> en consecuencia</w:t>
      </w:r>
      <w:r w:rsidR="00823C29">
        <w:rPr>
          <w:rFonts w:eastAsia="Calibri" w:cs="Times New Roman"/>
        </w:rPr>
        <w:t>,</w:t>
      </w:r>
      <w:r w:rsidR="005A3B40">
        <w:rPr>
          <w:rFonts w:eastAsia="Calibri" w:cs="Times New Roman"/>
        </w:rPr>
        <w:t xml:space="preserve"> </w:t>
      </w:r>
      <w:r w:rsidR="00E77FB4" w:rsidRPr="00823C29">
        <w:rPr>
          <w:rFonts w:eastAsia="Calibri" w:cs="Times New Roman"/>
          <w:b/>
          <w:bCs/>
        </w:rPr>
        <w:t>son confidenciales</w:t>
      </w:r>
      <w:r w:rsidR="00E77FB4">
        <w:rPr>
          <w:rFonts w:eastAsia="Calibri" w:cs="Times New Roman"/>
        </w:rPr>
        <w:t xml:space="preserve">. </w:t>
      </w:r>
      <w:r w:rsidR="007839A9" w:rsidRPr="007839A9">
        <w:rPr>
          <w:rFonts w:eastAsia="Calibri" w:cs="Times New Roman"/>
        </w:rPr>
        <w:t xml:space="preserve">Sin embargo, </w:t>
      </w:r>
      <w:r w:rsidR="00BA6F3D">
        <w:rPr>
          <w:rFonts w:eastAsia="Calibri" w:cs="Times New Roman"/>
        </w:rPr>
        <w:t>la Ley de Protección al Trabajador</w:t>
      </w:r>
      <w:r w:rsidR="00655E70">
        <w:rPr>
          <w:rFonts w:eastAsia="Calibri" w:cs="Times New Roman"/>
        </w:rPr>
        <w:t xml:space="preserve"> </w:t>
      </w:r>
      <w:r w:rsidR="007839A9" w:rsidRPr="007839A9">
        <w:rPr>
          <w:rFonts w:eastAsia="Calibri" w:cs="Times New Roman"/>
        </w:rPr>
        <w:t xml:space="preserve">establece </w:t>
      </w:r>
      <w:r w:rsidR="00756CBE">
        <w:rPr>
          <w:rFonts w:eastAsia="Calibri" w:cs="Times New Roman"/>
        </w:rPr>
        <w:t xml:space="preserve">en el </w:t>
      </w:r>
      <w:r w:rsidR="00756CBE" w:rsidRPr="007839A9">
        <w:rPr>
          <w:rFonts w:eastAsia="Calibri" w:cs="Times New Roman"/>
        </w:rPr>
        <w:t xml:space="preserve">artículo 42 </w:t>
      </w:r>
      <w:r w:rsidR="00BA6F3D">
        <w:rPr>
          <w:rFonts w:eastAsia="Calibri" w:cs="Times New Roman"/>
        </w:rPr>
        <w:t xml:space="preserve">que </w:t>
      </w:r>
      <w:r w:rsidR="007839A9" w:rsidRPr="007839A9">
        <w:rPr>
          <w:rFonts w:eastAsia="Calibri" w:cs="Times New Roman"/>
        </w:rPr>
        <w:t>las operadoras de pensiones deben revelar información en determinados casos</w:t>
      </w:r>
      <w:r w:rsidR="00AA05E9">
        <w:rPr>
          <w:rFonts w:eastAsia="Calibri" w:cs="Times New Roman"/>
        </w:rPr>
        <w:t>.</w:t>
      </w:r>
      <w:r w:rsidR="007839A9" w:rsidRPr="007839A9">
        <w:rPr>
          <w:rFonts w:eastAsia="Calibri" w:cs="Times New Roman"/>
        </w:rPr>
        <w:t xml:space="preserve"> </w:t>
      </w:r>
      <w:r w:rsidR="00AA05E9">
        <w:rPr>
          <w:rFonts w:eastAsia="Calibri" w:cs="Times New Roman"/>
        </w:rPr>
        <w:t xml:space="preserve">Es decir, </w:t>
      </w:r>
      <w:r w:rsidR="00AA05E9" w:rsidRPr="007839A9">
        <w:rPr>
          <w:rFonts w:eastAsia="Calibri" w:cs="Times New Roman"/>
        </w:rPr>
        <w:t xml:space="preserve">a diferencia de las otras empresas, las operadoras se encuentran obligadas a </w:t>
      </w:r>
      <w:r w:rsidR="00AA05E9" w:rsidRPr="00E91A7C">
        <w:rPr>
          <w:rFonts w:eastAsia="Calibri" w:cs="Times New Roman"/>
          <w:b/>
          <w:bCs/>
        </w:rPr>
        <w:t>remitir</w:t>
      </w:r>
      <w:r w:rsidR="00AA05E9">
        <w:rPr>
          <w:rFonts w:eastAsia="Calibri" w:cs="Times New Roman"/>
        </w:rPr>
        <w:t xml:space="preserve"> y </w:t>
      </w:r>
      <w:r w:rsidR="00AA05E9" w:rsidRPr="007839A9">
        <w:rPr>
          <w:rFonts w:eastAsia="Calibri" w:cs="Times New Roman"/>
          <w:b/>
          <w:bCs/>
        </w:rPr>
        <w:t>revelar información que otras empresas no tienen obligación de hacer</w:t>
      </w:r>
      <w:r w:rsidR="00AA05E9" w:rsidRPr="00AA05E9">
        <w:rPr>
          <w:rFonts w:eastAsia="Calibri" w:cs="Times New Roman"/>
        </w:rPr>
        <w:t>,</w:t>
      </w:r>
      <w:r w:rsidR="00AA05E9" w:rsidRPr="007839A9">
        <w:rPr>
          <w:rFonts w:eastAsia="Calibri" w:cs="Times New Roman"/>
        </w:rPr>
        <w:t xml:space="preserve"> </w:t>
      </w:r>
      <w:r w:rsidR="0081075D">
        <w:rPr>
          <w:rFonts w:eastAsia="Calibri" w:cs="Times New Roman"/>
        </w:rPr>
        <w:t xml:space="preserve">en lo que aquí interesa </w:t>
      </w:r>
      <w:r w:rsidR="007839A9" w:rsidRPr="007839A9">
        <w:rPr>
          <w:rFonts w:eastAsia="Calibri" w:cs="Times New Roman"/>
        </w:rPr>
        <w:t>merece</w:t>
      </w:r>
      <w:r w:rsidR="0081075D">
        <w:rPr>
          <w:rFonts w:eastAsia="Calibri" w:cs="Times New Roman"/>
        </w:rPr>
        <w:t>n</w:t>
      </w:r>
      <w:r w:rsidR="007839A9" w:rsidRPr="007839A9">
        <w:rPr>
          <w:rFonts w:eastAsia="Calibri" w:cs="Times New Roman"/>
        </w:rPr>
        <w:t xml:space="preserve"> destacarse </w:t>
      </w:r>
      <w:r w:rsidR="0081075D">
        <w:rPr>
          <w:rFonts w:eastAsia="Calibri" w:cs="Times New Roman"/>
        </w:rPr>
        <w:t>tres</w:t>
      </w:r>
      <w:r w:rsidR="007839A9" w:rsidRPr="007839A9">
        <w:rPr>
          <w:rFonts w:eastAsia="Calibri" w:cs="Times New Roman"/>
        </w:rPr>
        <w:t xml:space="preserve"> de </w:t>
      </w:r>
      <w:r w:rsidR="0081075D">
        <w:rPr>
          <w:rFonts w:eastAsia="Calibri" w:cs="Times New Roman"/>
        </w:rPr>
        <w:t>esas</w:t>
      </w:r>
      <w:r w:rsidR="007839A9" w:rsidRPr="007839A9">
        <w:rPr>
          <w:rFonts w:eastAsia="Calibri" w:cs="Times New Roman"/>
        </w:rPr>
        <w:t xml:space="preserve"> obligaciones:</w:t>
      </w:r>
    </w:p>
    <w:p w14:paraId="70F54560" w14:textId="77777777" w:rsidR="003C6DFA" w:rsidRPr="007839A9" w:rsidRDefault="003C6DFA" w:rsidP="00AC05D7">
      <w:pPr>
        <w:spacing w:line="240" w:lineRule="auto"/>
        <w:jc w:val="both"/>
        <w:rPr>
          <w:rFonts w:eastAsia="Calibri" w:cs="Times New Roman"/>
        </w:rPr>
      </w:pPr>
    </w:p>
    <w:p w14:paraId="5B3059F0" w14:textId="77777777" w:rsidR="0022757C" w:rsidRPr="0022757C" w:rsidRDefault="003C6DFA" w:rsidP="00734CBF">
      <w:pPr>
        <w:spacing w:line="240" w:lineRule="auto"/>
        <w:ind w:left="284"/>
        <w:jc w:val="both"/>
        <w:rPr>
          <w:rFonts w:eastAsia="Calibri" w:cs="Times New Roman"/>
          <w:i/>
          <w:iCs/>
          <w:sz w:val="22"/>
        </w:rPr>
      </w:pPr>
      <w:r w:rsidRPr="0022757C">
        <w:rPr>
          <w:rFonts w:eastAsia="Calibri" w:cs="Times New Roman"/>
          <w:i/>
          <w:iCs/>
          <w:sz w:val="22"/>
        </w:rPr>
        <w:t>d)</w:t>
      </w:r>
      <w:r w:rsidRPr="0022757C">
        <w:rPr>
          <w:rFonts w:eastAsia="Calibri" w:cs="Times New Roman"/>
          <w:i/>
          <w:iCs/>
          <w:sz w:val="22"/>
        </w:rPr>
        <w:tab/>
        <w:t xml:space="preserve">Enviar a los afiliados un estado de su cuenta individual. La Superintendencia establecerá reglamentariamente lo dispuesto en los incisos a), b), c) y d) de este Artículo. </w:t>
      </w:r>
    </w:p>
    <w:p w14:paraId="3139F6FB" w14:textId="062BD8FF" w:rsidR="007839A9" w:rsidRPr="0022757C" w:rsidRDefault="003C6DFA" w:rsidP="00734CBF">
      <w:pPr>
        <w:spacing w:line="240" w:lineRule="auto"/>
        <w:ind w:left="284"/>
        <w:jc w:val="both"/>
        <w:rPr>
          <w:rFonts w:eastAsia="Calibri" w:cs="Times New Roman"/>
          <w:i/>
          <w:iCs/>
          <w:sz w:val="22"/>
        </w:rPr>
      </w:pPr>
      <w:r w:rsidRPr="0022757C">
        <w:rPr>
          <w:rFonts w:eastAsia="Calibri" w:cs="Times New Roman"/>
          <w:i/>
          <w:iCs/>
          <w:sz w:val="22"/>
        </w:rPr>
        <w:t>[…]</w:t>
      </w:r>
    </w:p>
    <w:p w14:paraId="17C4B6AE" w14:textId="77777777" w:rsidR="007839A9" w:rsidRPr="0022757C" w:rsidRDefault="007839A9" w:rsidP="00734CBF">
      <w:pPr>
        <w:spacing w:line="240" w:lineRule="auto"/>
        <w:ind w:left="284"/>
        <w:jc w:val="both"/>
        <w:rPr>
          <w:rFonts w:eastAsia="Calibri" w:cs="Times New Roman"/>
          <w:i/>
          <w:iCs/>
          <w:sz w:val="22"/>
        </w:rPr>
      </w:pPr>
      <w:r w:rsidRPr="0022757C">
        <w:rPr>
          <w:rFonts w:eastAsia="Calibri" w:cs="Times New Roman"/>
          <w:sz w:val="22"/>
        </w:rPr>
        <w:t>g)</w:t>
      </w:r>
      <w:r w:rsidRPr="0022757C">
        <w:rPr>
          <w:rFonts w:eastAsia="Calibri" w:cs="Times New Roman"/>
          <w:sz w:val="22"/>
        </w:rPr>
        <w:tab/>
      </w:r>
      <w:r w:rsidRPr="0022757C">
        <w:rPr>
          <w:rFonts w:eastAsia="Calibri" w:cs="Times New Roman"/>
          <w:i/>
          <w:iCs/>
          <w:sz w:val="22"/>
        </w:rPr>
        <w:t>Suministrar oportunamente a la Superintendencia la información requerida, en el plazo y las condiciones dispuestos por ella.</w:t>
      </w:r>
    </w:p>
    <w:p w14:paraId="68B9B6DD" w14:textId="6273C1DF" w:rsidR="007839A9" w:rsidRPr="0022757C" w:rsidRDefault="007839A9" w:rsidP="00734CBF">
      <w:pPr>
        <w:spacing w:line="240" w:lineRule="auto"/>
        <w:ind w:left="284"/>
        <w:jc w:val="both"/>
        <w:rPr>
          <w:rFonts w:eastAsia="Calibri" w:cs="Times New Roman"/>
          <w:sz w:val="22"/>
        </w:rPr>
      </w:pPr>
      <w:r w:rsidRPr="0022757C">
        <w:rPr>
          <w:rFonts w:eastAsia="Calibri" w:cs="Times New Roman"/>
          <w:i/>
          <w:iCs/>
          <w:sz w:val="22"/>
        </w:rPr>
        <w:t>h)</w:t>
      </w:r>
      <w:r w:rsidRPr="0022757C">
        <w:rPr>
          <w:rFonts w:eastAsia="Calibri" w:cs="Times New Roman"/>
          <w:i/>
          <w:iCs/>
          <w:sz w:val="22"/>
        </w:rPr>
        <w:tab/>
        <w:t>Publicar oportunamente la información que la Superintendencia indique mediante resolución general.</w:t>
      </w:r>
      <w:r w:rsidRPr="0022757C">
        <w:rPr>
          <w:rFonts w:eastAsia="Calibri" w:cs="Times New Roman"/>
          <w:sz w:val="22"/>
        </w:rPr>
        <w:t xml:space="preserve">  </w:t>
      </w:r>
    </w:p>
    <w:p w14:paraId="37A93299" w14:textId="77777777" w:rsidR="007839A9" w:rsidRPr="007839A9" w:rsidRDefault="007839A9" w:rsidP="00AC05D7">
      <w:pPr>
        <w:spacing w:line="240" w:lineRule="auto"/>
        <w:jc w:val="both"/>
        <w:rPr>
          <w:rFonts w:eastAsia="Calibri" w:cs="Times New Roman"/>
        </w:rPr>
      </w:pPr>
    </w:p>
    <w:p w14:paraId="50802584" w14:textId="76EF858E" w:rsidR="00E52633" w:rsidRPr="00201FAE" w:rsidRDefault="00E52633" w:rsidP="00AC05D7">
      <w:pPr>
        <w:pStyle w:val="Prrafodelista"/>
        <w:numPr>
          <w:ilvl w:val="0"/>
          <w:numId w:val="2"/>
        </w:numPr>
        <w:spacing w:line="240" w:lineRule="auto"/>
        <w:jc w:val="both"/>
        <w:rPr>
          <w:rFonts w:eastAsia="Calibri" w:cs="Times New Roman"/>
          <w:b/>
          <w:bCs/>
        </w:rPr>
      </w:pPr>
      <w:r w:rsidRPr="00201FAE">
        <w:rPr>
          <w:rFonts w:eastAsia="Calibri" w:cs="Times New Roman"/>
          <w:b/>
          <w:bCs/>
        </w:rPr>
        <w:t xml:space="preserve">Obligaciones </w:t>
      </w:r>
      <w:r w:rsidR="0011643A" w:rsidRPr="00201FAE">
        <w:rPr>
          <w:rFonts w:eastAsia="Calibri" w:cs="Times New Roman"/>
          <w:b/>
          <w:bCs/>
        </w:rPr>
        <w:t>respecto a la información</w:t>
      </w:r>
    </w:p>
    <w:p w14:paraId="5DE38275" w14:textId="77777777" w:rsidR="0011643A" w:rsidRDefault="0011643A" w:rsidP="00AC05D7">
      <w:pPr>
        <w:spacing w:line="240" w:lineRule="auto"/>
        <w:jc w:val="both"/>
        <w:rPr>
          <w:rFonts w:eastAsia="Calibri" w:cs="Times New Roman"/>
        </w:rPr>
      </w:pPr>
    </w:p>
    <w:p w14:paraId="7106EA26" w14:textId="0229B43C" w:rsidR="007839A9" w:rsidRPr="007839A9" w:rsidRDefault="007839A9" w:rsidP="00AC05D7">
      <w:pPr>
        <w:spacing w:line="240" w:lineRule="auto"/>
        <w:jc w:val="both"/>
        <w:rPr>
          <w:rFonts w:eastAsia="Calibri" w:cs="Times New Roman"/>
        </w:rPr>
      </w:pPr>
      <w:r w:rsidRPr="007839A9">
        <w:rPr>
          <w:rFonts w:eastAsia="Calibri" w:cs="Times New Roman"/>
        </w:rPr>
        <w:t xml:space="preserve">En primer lugar, </w:t>
      </w:r>
      <w:r w:rsidR="00A4304D">
        <w:rPr>
          <w:rFonts w:eastAsia="Calibri" w:cs="Times New Roman"/>
        </w:rPr>
        <w:t xml:space="preserve">las operadoras de pensiones </w:t>
      </w:r>
      <w:r w:rsidRPr="007839A9">
        <w:rPr>
          <w:rFonts w:eastAsia="Calibri" w:cs="Times New Roman"/>
        </w:rPr>
        <w:t xml:space="preserve">deben de </w:t>
      </w:r>
      <w:r w:rsidRPr="007839A9">
        <w:rPr>
          <w:rFonts w:eastAsia="Calibri" w:cs="Times New Roman"/>
          <w:b/>
          <w:bCs/>
        </w:rPr>
        <w:t>remitir</w:t>
      </w:r>
      <w:r w:rsidRPr="007839A9">
        <w:rPr>
          <w:rFonts w:eastAsia="Calibri" w:cs="Times New Roman"/>
        </w:rPr>
        <w:t xml:space="preserve"> a la Superintendencia información que es considerada privada, </w:t>
      </w:r>
      <w:r w:rsidR="00F15FFB">
        <w:rPr>
          <w:rFonts w:eastAsia="Calibri" w:cs="Times New Roman"/>
        </w:rPr>
        <w:t xml:space="preserve">pero </w:t>
      </w:r>
      <w:r w:rsidRPr="007839A9">
        <w:rPr>
          <w:rFonts w:eastAsia="Calibri" w:cs="Times New Roman"/>
        </w:rPr>
        <w:t xml:space="preserve">exclusivamente para fines de supervisión y se mantiene custodiada en la superintendencia como </w:t>
      </w:r>
      <w:r w:rsidRPr="007839A9">
        <w:rPr>
          <w:rFonts w:eastAsia="Calibri" w:cs="Times New Roman"/>
          <w:b/>
          <w:bCs/>
        </w:rPr>
        <w:t>confidencial</w:t>
      </w:r>
      <w:r w:rsidRPr="007839A9">
        <w:rPr>
          <w:rFonts w:eastAsia="Calibri" w:cs="Times New Roman"/>
        </w:rPr>
        <w:t xml:space="preserve">.  </w:t>
      </w:r>
    </w:p>
    <w:p w14:paraId="3151BA74" w14:textId="77777777" w:rsidR="007839A9" w:rsidRPr="007839A9" w:rsidRDefault="007839A9" w:rsidP="00AC05D7">
      <w:pPr>
        <w:spacing w:line="240" w:lineRule="auto"/>
        <w:jc w:val="both"/>
        <w:rPr>
          <w:rFonts w:eastAsia="Calibri" w:cs="Times New Roman"/>
        </w:rPr>
      </w:pPr>
    </w:p>
    <w:p w14:paraId="276AB75A" w14:textId="77777777" w:rsidR="007839A9" w:rsidRPr="007839A9" w:rsidRDefault="007839A9" w:rsidP="00AC05D7">
      <w:pPr>
        <w:spacing w:line="240" w:lineRule="auto"/>
        <w:jc w:val="both"/>
        <w:rPr>
          <w:rFonts w:eastAsia="Calibri" w:cs="Times New Roman"/>
        </w:rPr>
      </w:pPr>
      <w:r w:rsidRPr="007839A9">
        <w:rPr>
          <w:rFonts w:eastAsia="Calibri" w:cs="Times New Roman"/>
        </w:rPr>
        <w:t xml:space="preserve">En relación con este punto, los supervisores de fondos de pensiones de capitalización individual se orientan, además, por las directrices de la Organización Internacional de </w:t>
      </w:r>
      <w:r w:rsidRPr="007839A9">
        <w:rPr>
          <w:rFonts w:eastAsia="Calibri" w:cs="Times New Roman"/>
        </w:rPr>
        <w:lastRenderedPageBreak/>
        <w:t>Supervisores de Fondos de Pensiones (IOPS), que sobre la información contienen pautas como la siguiente</w:t>
      </w:r>
      <w:r w:rsidRPr="007839A9">
        <w:rPr>
          <w:rFonts w:eastAsia="Calibri" w:cs="Times New Roman"/>
          <w:vertAlign w:val="superscript"/>
        </w:rPr>
        <w:footnoteReference w:id="1"/>
      </w:r>
      <w:r w:rsidRPr="007839A9">
        <w:rPr>
          <w:rFonts w:eastAsia="Calibri" w:cs="Times New Roman"/>
        </w:rPr>
        <w:t xml:space="preserve">: </w:t>
      </w:r>
    </w:p>
    <w:p w14:paraId="4408CEE9" w14:textId="77777777" w:rsidR="007839A9" w:rsidRPr="007839A9" w:rsidRDefault="007839A9" w:rsidP="00AC05D7">
      <w:pPr>
        <w:spacing w:line="240" w:lineRule="auto"/>
        <w:jc w:val="both"/>
        <w:rPr>
          <w:rFonts w:eastAsia="Calibri" w:cs="Times New Roman"/>
        </w:rPr>
      </w:pPr>
    </w:p>
    <w:p w14:paraId="20F6AAF8" w14:textId="77777777" w:rsidR="007839A9" w:rsidRPr="00734CBF" w:rsidRDefault="007839A9" w:rsidP="00734CBF">
      <w:pPr>
        <w:spacing w:line="240" w:lineRule="auto"/>
        <w:ind w:left="284"/>
        <w:jc w:val="both"/>
        <w:rPr>
          <w:rFonts w:eastAsia="Calibri" w:cs="Times New Roman"/>
          <w:i/>
          <w:iCs/>
          <w:sz w:val="22"/>
        </w:rPr>
      </w:pPr>
      <w:r w:rsidRPr="00734CBF">
        <w:rPr>
          <w:rFonts w:eastAsia="Calibri" w:cs="Times New Roman"/>
          <w:i/>
          <w:iCs/>
          <w:sz w:val="22"/>
        </w:rPr>
        <w:t>Directriz 1: Recopilación e Intercambio de Información</w:t>
      </w:r>
    </w:p>
    <w:p w14:paraId="3209BC45" w14:textId="77777777" w:rsidR="007839A9" w:rsidRPr="00734CBF" w:rsidRDefault="007839A9" w:rsidP="00734CBF">
      <w:pPr>
        <w:spacing w:line="240" w:lineRule="auto"/>
        <w:ind w:left="284"/>
        <w:jc w:val="both"/>
        <w:rPr>
          <w:rFonts w:eastAsia="Calibri" w:cs="Times New Roman"/>
          <w:i/>
          <w:iCs/>
          <w:sz w:val="22"/>
        </w:rPr>
      </w:pPr>
      <w:r w:rsidRPr="00734CBF">
        <w:rPr>
          <w:rFonts w:eastAsia="Calibri" w:cs="Times New Roman"/>
          <w:i/>
          <w:iCs/>
          <w:sz w:val="22"/>
        </w:rPr>
        <w:t xml:space="preserve">La autoridad de supervisión de pensiones debe recibir la información necesaria para realizar una evaluación efectiva y evaluar los riesgos en los fondos de pensiones individuales, así como el mercado en su totalidad, aunque se debe mantener una política para </w:t>
      </w:r>
      <w:r w:rsidRPr="00734CBF">
        <w:rPr>
          <w:rFonts w:eastAsia="Calibri" w:cs="Times New Roman"/>
          <w:b/>
          <w:bCs/>
          <w:i/>
          <w:iCs/>
          <w:sz w:val="22"/>
        </w:rPr>
        <w:t>proteger la información confidencial</w:t>
      </w:r>
      <w:r w:rsidRPr="00734CBF">
        <w:rPr>
          <w:rFonts w:eastAsia="Calibri" w:cs="Times New Roman"/>
          <w:i/>
          <w:iCs/>
          <w:sz w:val="22"/>
        </w:rPr>
        <w:t>.</w:t>
      </w:r>
    </w:p>
    <w:p w14:paraId="3A88642E" w14:textId="77777777" w:rsidR="007839A9" w:rsidRPr="007839A9" w:rsidRDefault="007839A9" w:rsidP="00734CBF">
      <w:pPr>
        <w:spacing w:line="240" w:lineRule="auto"/>
        <w:ind w:left="284"/>
        <w:jc w:val="both"/>
        <w:rPr>
          <w:rFonts w:eastAsia="Calibri" w:cs="Times New Roman"/>
        </w:rPr>
      </w:pPr>
      <w:r w:rsidRPr="00734CBF">
        <w:rPr>
          <w:rFonts w:eastAsia="Calibri" w:cs="Times New Roman"/>
          <w:i/>
          <w:iCs/>
          <w:sz w:val="22"/>
        </w:rPr>
        <w:t>Cuando la información es de importancia material a nivel internacional, debe ser compartida con otras autoridades de supervisión de pensiones, sujeta a los requisitos de secreto o confidencialidad y basadas, en principio, en acuerdos formales.</w:t>
      </w:r>
      <w:r w:rsidRPr="007839A9">
        <w:rPr>
          <w:rFonts w:eastAsia="Calibri" w:cs="Times New Roman"/>
        </w:rPr>
        <w:t xml:space="preserve"> [Énfasis propio.]</w:t>
      </w:r>
    </w:p>
    <w:p w14:paraId="1D780CA2" w14:textId="77777777" w:rsidR="007839A9" w:rsidRPr="007839A9" w:rsidRDefault="007839A9" w:rsidP="00AC05D7">
      <w:pPr>
        <w:spacing w:line="240" w:lineRule="auto"/>
        <w:jc w:val="both"/>
        <w:rPr>
          <w:rFonts w:eastAsia="Calibri" w:cs="Times New Roman"/>
        </w:rPr>
      </w:pPr>
    </w:p>
    <w:p w14:paraId="2189671D" w14:textId="14A691F7" w:rsidR="007839A9" w:rsidRPr="007839A9" w:rsidRDefault="007839A9" w:rsidP="00AC05D7">
      <w:pPr>
        <w:spacing w:line="240" w:lineRule="auto"/>
        <w:jc w:val="both"/>
        <w:rPr>
          <w:rFonts w:eastAsia="Calibri" w:cs="Times New Roman"/>
        </w:rPr>
      </w:pPr>
      <w:r w:rsidRPr="007839A9">
        <w:rPr>
          <w:rFonts w:eastAsia="Calibri" w:cs="Times New Roman"/>
        </w:rPr>
        <w:t xml:space="preserve">En segundo lugar, </w:t>
      </w:r>
      <w:r w:rsidR="00C11FD5">
        <w:rPr>
          <w:rFonts w:eastAsia="Calibri" w:cs="Times New Roman"/>
        </w:rPr>
        <w:t xml:space="preserve">las operadoras de pensiones </w:t>
      </w:r>
      <w:r w:rsidR="00BE3AC4">
        <w:rPr>
          <w:rFonts w:eastAsia="Calibri" w:cs="Times New Roman"/>
        </w:rPr>
        <w:t>debe</w:t>
      </w:r>
      <w:r w:rsidR="00824BD1">
        <w:rPr>
          <w:rFonts w:eastAsia="Calibri" w:cs="Times New Roman"/>
        </w:rPr>
        <w:t>n</w:t>
      </w:r>
      <w:r w:rsidRPr="007839A9">
        <w:rPr>
          <w:rFonts w:eastAsia="Calibri" w:cs="Times New Roman"/>
        </w:rPr>
        <w:t xml:space="preserve"> </w:t>
      </w:r>
      <w:r w:rsidRPr="007839A9">
        <w:rPr>
          <w:rFonts w:eastAsia="Calibri" w:cs="Times New Roman"/>
          <w:b/>
          <w:bCs/>
        </w:rPr>
        <w:t>revelar al público</w:t>
      </w:r>
      <w:r w:rsidRPr="007839A9">
        <w:rPr>
          <w:rFonts w:eastAsia="Calibri" w:cs="Times New Roman"/>
        </w:rPr>
        <w:t xml:space="preserve"> en general información que el supervisor considere importante de ser conocida por los afiliados.  </w:t>
      </w:r>
    </w:p>
    <w:p w14:paraId="2F458938" w14:textId="77777777" w:rsidR="007839A9" w:rsidRPr="007839A9" w:rsidRDefault="007839A9" w:rsidP="00AC05D7">
      <w:pPr>
        <w:spacing w:line="240" w:lineRule="auto"/>
        <w:jc w:val="both"/>
        <w:rPr>
          <w:rFonts w:eastAsia="Calibri" w:cs="Times New Roman"/>
        </w:rPr>
      </w:pPr>
    </w:p>
    <w:p w14:paraId="19AE0057" w14:textId="77777777" w:rsidR="007839A9" w:rsidRPr="007839A9" w:rsidRDefault="007839A9" w:rsidP="00AC05D7">
      <w:pPr>
        <w:spacing w:line="240" w:lineRule="auto"/>
        <w:jc w:val="both"/>
        <w:rPr>
          <w:rFonts w:eastAsia="Calibri" w:cs="Times New Roman"/>
        </w:rPr>
      </w:pPr>
      <w:r w:rsidRPr="007839A9">
        <w:rPr>
          <w:rFonts w:eastAsia="Calibri" w:cs="Times New Roman"/>
        </w:rPr>
        <w:t>Al respecto el artículo 43 de la citada ley señala:</w:t>
      </w:r>
    </w:p>
    <w:p w14:paraId="434FB8A9" w14:textId="77777777" w:rsidR="007839A9" w:rsidRPr="007839A9" w:rsidRDefault="007839A9" w:rsidP="00AC05D7">
      <w:pPr>
        <w:spacing w:line="240" w:lineRule="auto"/>
        <w:jc w:val="both"/>
        <w:rPr>
          <w:rFonts w:eastAsia="Calibri" w:cs="Times New Roman"/>
        </w:rPr>
      </w:pPr>
    </w:p>
    <w:p w14:paraId="646C07EE" w14:textId="77777777" w:rsidR="007839A9" w:rsidRPr="00734CBF" w:rsidRDefault="007839A9" w:rsidP="00734CBF">
      <w:pPr>
        <w:spacing w:line="240" w:lineRule="auto"/>
        <w:ind w:left="284"/>
        <w:jc w:val="both"/>
        <w:rPr>
          <w:rFonts w:eastAsia="Calibri" w:cs="Times New Roman"/>
          <w:i/>
          <w:iCs/>
          <w:sz w:val="22"/>
        </w:rPr>
      </w:pPr>
      <w:r w:rsidRPr="00734CBF">
        <w:rPr>
          <w:rFonts w:eastAsia="Calibri" w:cs="Times New Roman"/>
          <w:i/>
          <w:iCs/>
          <w:sz w:val="22"/>
        </w:rPr>
        <w:t>Artículo 43. Suministro de información</w:t>
      </w:r>
    </w:p>
    <w:p w14:paraId="042CD90D" w14:textId="77777777" w:rsidR="007839A9" w:rsidRPr="007839A9" w:rsidRDefault="007839A9" w:rsidP="00734CBF">
      <w:pPr>
        <w:spacing w:line="240" w:lineRule="auto"/>
        <w:ind w:left="284"/>
        <w:jc w:val="both"/>
        <w:rPr>
          <w:rFonts w:eastAsia="Calibri" w:cs="Times New Roman"/>
        </w:rPr>
      </w:pPr>
      <w:r w:rsidRPr="00734CBF">
        <w:rPr>
          <w:rFonts w:eastAsia="Calibri" w:cs="Times New Roman"/>
          <w:i/>
          <w:iCs/>
          <w:sz w:val="22"/>
        </w:rPr>
        <w:t xml:space="preserve">Las Operadoras y las organizaciones sociales autorizadas deberán comunicar, oportunamente y por los medios que indique el Superintendente, cualquier hecho o información </w:t>
      </w:r>
      <w:r w:rsidRPr="00734CBF">
        <w:rPr>
          <w:rFonts w:eastAsia="Calibri" w:cs="Times New Roman"/>
          <w:b/>
          <w:bCs/>
          <w:i/>
          <w:iCs/>
          <w:sz w:val="22"/>
        </w:rPr>
        <w:t>que, a su criterio o a criterio de la Superintendencia, sea necesario poner en conocimiento del afiliado y el público en general o cuya difusión se requiera para garantizar la transparencia y claridad de las operaciones</w:t>
      </w:r>
      <w:r w:rsidRPr="00734CBF">
        <w:rPr>
          <w:rFonts w:eastAsia="Calibri" w:cs="Times New Roman"/>
          <w:i/>
          <w:iCs/>
          <w:sz w:val="22"/>
        </w:rPr>
        <w:t>.  Si alguna entidad, injustificadamente se niega a divulgar la información solicitada, la Superintendencia podrá divulgarla directamente por cuenta de aquella, y podrá certificar, con carácter de título ejecutivo, el costo de las publicaciones, para proceder a su recuperación; lo anterior, sin perjuicio de las sanciones correspondientes al infractor, en la vía administrativa o la judicial.</w:t>
      </w:r>
      <w:r w:rsidRPr="007839A9">
        <w:rPr>
          <w:rFonts w:eastAsia="Calibri" w:cs="Times New Roman"/>
        </w:rPr>
        <w:t xml:space="preserve"> [Énfasis propio.]</w:t>
      </w:r>
    </w:p>
    <w:p w14:paraId="478F7D12" w14:textId="77777777" w:rsidR="007839A9" w:rsidRPr="007839A9" w:rsidRDefault="007839A9" w:rsidP="00AC05D7">
      <w:pPr>
        <w:spacing w:line="240" w:lineRule="auto"/>
        <w:jc w:val="both"/>
        <w:rPr>
          <w:rFonts w:eastAsia="Calibri" w:cs="Times New Roman"/>
        </w:rPr>
      </w:pPr>
    </w:p>
    <w:p w14:paraId="66BE01F7" w14:textId="6E9D7AA9" w:rsidR="007839A9" w:rsidRPr="007839A9" w:rsidRDefault="007839A9" w:rsidP="00AC05D7">
      <w:pPr>
        <w:spacing w:line="240" w:lineRule="auto"/>
        <w:jc w:val="both"/>
        <w:rPr>
          <w:rFonts w:eastAsia="Calibri" w:cs="Times New Roman"/>
        </w:rPr>
      </w:pPr>
      <w:r w:rsidRPr="007839A9">
        <w:rPr>
          <w:rFonts w:eastAsia="Calibri" w:cs="Times New Roman"/>
        </w:rPr>
        <w:t xml:space="preserve">En relación con este </w:t>
      </w:r>
      <w:r w:rsidRPr="007839A9">
        <w:rPr>
          <w:rFonts w:eastAsia="Calibri" w:cs="Times New Roman"/>
          <w:i/>
          <w:iCs/>
        </w:rPr>
        <w:t>principio de transparencia</w:t>
      </w:r>
      <w:r w:rsidRPr="007839A9">
        <w:rPr>
          <w:rFonts w:eastAsia="Calibri" w:cs="Times New Roman"/>
        </w:rPr>
        <w:t>, que es propio de los mercados financiero</w:t>
      </w:r>
      <w:r w:rsidR="00737157">
        <w:rPr>
          <w:rFonts w:eastAsia="Calibri" w:cs="Times New Roman"/>
        </w:rPr>
        <w:t>s</w:t>
      </w:r>
      <w:r w:rsidRPr="007839A9">
        <w:rPr>
          <w:rFonts w:eastAsia="Calibri" w:cs="Times New Roman"/>
        </w:rPr>
        <w:t>, se ha indicado que se debe valorar su alcance en cada caso y según el mercado del que se trate.</w:t>
      </w:r>
      <w:r w:rsidR="00282780">
        <w:rPr>
          <w:rFonts w:eastAsia="Calibri" w:cs="Times New Roman"/>
        </w:rPr>
        <w:t xml:space="preserve"> Así: </w:t>
      </w:r>
    </w:p>
    <w:p w14:paraId="225E462F" w14:textId="77777777" w:rsidR="007839A9" w:rsidRPr="007839A9" w:rsidRDefault="007839A9" w:rsidP="00AC05D7">
      <w:pPr>
        <w:spacing w:line="240" w:lineRule="auto"/>
        <w:jc w:val="both"/>
        <w:rPr>
          <w:rFonts w:eastAsia="Calibri" w:cs="Times New Roman"/>
        </w:rPr>
      </w:pPr>
      <w:r w:rsidRPr="007839A9">
        <w:rPr>
          <w:rFonts w:eastAsia="Calibri" w:cs="Times New Roman"/>
        </w:rPr>
        <w:t xml:space="preserve">  </w:t>
      </w:r>
    </w:p>
    <w:p w14:paraId="15B750AB" w14:textId="77777777" w:rsidR="007839A9" w:rsidRPr="007839A9" w:rsidRDefault="007839A9" w:rsidP="00734CBF">
      <w:pPr>
        <w:spacing w:line="240" w:lineRule="auto"/>
        <w:ind w:left="284"/>
        <w:jc w:val="both"/>
        <w:rPr>
          <w:rFonts w:eastAsia="Calibri" w:cs="Times New Roman"/>
        </w:rPr>
      </w:pPr>
      <w:r w:rsidRPr="00734CBF">
        <w:rPr>
          <w:rFonts w:eastAsia="Calibri" w:cs="Times New Roman"/>
          <w:i/>
          <w:iCs/>
          <w:sz w:val="22"/>
        </w:rPr>
        <w:t xml:space="preserve">La transparencia es un concepto que la ciencia económica ha acuñado para designar el mayor o menor coste con que los agentes económicos pueden obtener de la información relevante en un determinado mercado.  Consecuentemente, el nivel de transparencia de un mercado consiste en su capacidad relativa para difundir información a quienes en él participan.  Dicho esto, es importante aclarar que el concepto de transparencia no es susceptible de ser aplicado a cualquier mercado sin más.  Es necesario adecuar su aplicación al mercado sobre el cual se la impone.  Así, </w:t>
      </w:r>
      <w:r w:rsidRPr="00734CBF">
        <w:rPr>
          <w:rFonts w:eastAsia="Calibri" w:cs="Times New Roman"/>
          <w:i/>
          <w:iCs/>
          <w:sz w:val="22"/>
        </w:rPr>
        <w:lastRenderedPageBreak/>
        <w:t>en cada caso es necesario analizar cuanta transparencia es necesaria, quién debe establecerla, etc</w:t>
      </w:r>
      <w:r w:rsidRPr="007839A9">
        <w:rPr>
          <w:rFonts w:eastAsia="Calibri" w:cs="Times New Roman"/>
          <w:i/>
          <w:iCs/>
        </w:rPr>
        <w:t>.</w:t>
      </w:r>
      <w:r w:rsidRPr="007839A9">
        <w:rPr>
          <w:rFonts w:eastAsia="Calibri" w:cs="Times New Roman"/>
          <w:vertAlign w:val="superscript"/>
        </w:rPr>
        <w:footnoteReference w:id="2"/>
      </w:r>
    </w:p>
    <w:p w14:paraId="349E708F" w14:textId="77777777" w:rsidR="007839A9" w:rsidRPr="007839A9" w:rsidRDefault="007839A9" w:rsidP="00AC05D7">
      <w:pPr>
        <w:spacing w:line="240" w:lineRule="auto"/>
        <w:jc w:val="both"/>
        <w:rPr>
          <w:rFonts w:eastAsia="Calibri" w:cs="Times New Roman"/>
        </w:rPr>
      </w:pPr>
    </w:p>
    <w:p w14:paraId="33A65E43" w14:textId="128ECE75" w:rsidR="004C3780" w:rsidRDefault="004C3780" w:rsidP="00AC05D7">
      <w:pPr>
        <w:spacing w:line="240" w:lineRule="auto"/>
        <w:jc w:val="both"/>
        <w:rPr>
          <w:rFonts w:eastAsia="Calibri" w:cs="Times New Roman"/>
        </w:rPr>
      </w:pPr>
      <w:r>
        <w:rPr>
          <w:rFonts w:eastAsia="Calibri" w:cs="Times New Roman"/>
        </w:rPr>
        <w:t>Finalmente, las operadoras deben remitir estados de cuenta a los afiliados en forma periódica.</w:t>
      </w:r>
    </w:p>
    <w:p w14:paraId="0B931D4C" w14:textId="77777777" w:rsidR="004C3780" w:rsidRDefault="004C3780" w:rsidP="00AC05D7">
      <w:pPr>
        <w:spacing w:line="240" w:lineRule="auto"/>
        <w:jc w:val="both"/>
        <w:rPr>
          <w:rFonts w:eastAsia="Calibri" w:cs="Times New Roman"/>
        </w:rPr>
      </w:pPr>
    </w:p>
    <w:p w14:paraId="150ADDEB" w14:textId="3099B600" w:rsidR="00376C6E" w:rsidRPr="00957AEC" w:rsidRDefault="00376C6E" w:rsidP="00AC05D7">
      <w:pPr>
        <w:pStyle w:val="Prrafodelista"/>
        <w:numPr>
          <w:ilvl w:val="0"/>
          <w:numId w:val="2"/>
        </w:numPr>
        <w:spacing w:line="240" w:lineRule="auto"/>
        <w:jc w:val="both"/>
        <w:rPr>
          <w:rFonts w:eastAsia="Calibri" w:cs="Times New Roman"/>
          <w:b/>
          <w:bCs/>
        </w:rPr>
      </w:pPr>
      <w:r w:rsidRPr="00957AEC">
        <w:rPr>
          <w:rFonts w:eastAsia="Calibri" w:cs="Times New Roman"/>
          <w:b/>
          <w:bCs/>
        </w:rPr>
        <w:t>Información relacionada con las inversiones</w:t>
      </w:r>
      <w:r w:rsidR="00F11EC3">
        <w:rPr>
          <w:rFonts w:eastAsia="Calibri" w:cs="Times New Roman"/>
          <w:b/>
          <w:bCs/>
        </w:rPr>
        <w:t xml:space="preserve"> y </w:t>
      </w:r>
      <w:r w:rsidR="00F11EC3" w:rsidRPr="00D85502">
        <w:rPr>
          <w:rFonts w:eastAsia="Calibri" w:cs="Times New Roman"/>
          <w:b/>
          <w:bCs/>
        </w:rPr>
        <w:t>los riesgos</w:t>
      </w:r>
    </w:p>
    <w:p w14:paraId="78D5E013" w14:textId="77777777" w:rsidR="00957AEC" w:rsidRDefault="00957AEC" w:rsidP="00AC05D7">
      <w:pPr>
        <w:spacing w:line="240" w:lineRule="auto"/>
        <w:jc w:val="both"/>
        <w:rPr>
          <w:rFonts w:eastAsia="Calibri" w:cs="Times New Roman"/>
        </w:rPr>
      </w:pPr>
    </w:p>
    <w:p w14:paraId="1EC7E88C" w14:textId="0A66CC3E" w:rsidR="007F2DDE" w:rsidRPr="007839A9" w:rsidRDefault="007F2DDE" w:rsidP="00AC05D7">
      <w:pPr>
        <w:spacing w:line="240" w:lineRule="auto"/>
        <w:jc w:val="both"/>
        <w:rPr>
          <w:rFonts w:eastAsia="Calibri" w:cs="Times New Roman"/>
        </w:rPr>
      </w:pPr>
      <w:r w:rsidRPr="007839A9">
        <w:rPr>
          <w:rFonts w:eastAsia="Calibri" w:cs="Times New Roman"/>
        </w:rPr>
        <w:t xml:space="preserve">En el caso del mercado de las administradoras </w:t>
      </w:r>
      <w:r w:rsidR="00FD500D">
        <w:rPr>
          <w:rFonts w:eastAsia="Calibri" w:cs="Times New Roman"/>
        </w:rPr>
        <w:t xml:space="preserve">de </w:t>
      </w:r>
      <w:r w:rsidRPr="007839A9">
        <w:rPr>
          <w:rFonts w:eastAsia="Calibri" w:cs="Times New Roman"/>
        </w:rPr>
        <w:t xml:space="preserve">fondos de pensiones, la legislación establece que se debe cumplir con normas de </w:t>
      </w:r>
      <w:r w:rsidRPr="007839A9">
        <w:rPr>
          <w:rFonts w:eastAsia="Calibri" w:cs="Times New Roman"/>
          <w:b/>
          <w:bCs/>
        </w:rPr>
        <w:t>revelación</w:t>
      </w:r>
      <w:r w:rsidRPr="007839A9">
        <w:rPr>
          <w:rFonts w:eastAsia="Calibri" w:cs="Times New Roman"/>
        </w:rPr>
        <w:t xml:space="preserve"> respecto a la administración de las inversiones, concretamente el Reglamento de Gestión de Activos dispone un marco normativo adecuado para que esa transparencia exista, pero procurando siempre mantener el equilibrio necesario de un mercado en competencia.</w:t>
      </w:r>
    </w:p>
    <w:p w14:paraId="1EA4179A" w14:textId="77777777" w:rsidR="007F2DDE" w:rsidRDefault="007F2DDE" w:rsidP="00AC05D7">
      <w:pPr>
        <w:spacing w:line="240" w:lineRule="auto"/>
        <w:jc w:val="both"/>
        <w:rPr>
          <w:rFonts w:eastAsia="Calibri" w:cs="Times New Roman"/>
        </w:rPr>
      </w:pPr>
    </w:p>
    <w:p w14:paraId="5036E7F6" w14:textId="1542E595" w:rsidR="00E2436E" w:rsidRDefault="007839A9" w:rsidP="00AC05D7">
      <w:pPr>
        <w:spacing w:line="240" w:lineRule="auto"/>
        <w:jc w:val="both"/>
        <w:rPr>
          <w:rFonts w:eastAsia="Calibri" w:cs="Times New Roman"/>
        </w:rPr>
      </w:pPr>
      <w:r w:rsidRPr="007839A9">
        <w:rPr>
          <w:rFonts w:eastAsia="Calibri" w:cs="Times New Roman"/>
        </w:rPr>
        <w:t>E</w:t>
      </w:r>
      <w:r w:rsidR="00957AEC">
        <w:rPr>
          <w:rFonts w:eastAsia="Calibri" w:cs="Times New Roman"/>
        </w:rPr>
        <w:t>l</w:t>
      </w:r>
      <w:r w:rsidRPr="007839A9">
        <w:rPr>
          <w:rFonts w:eastAsia="Calibri" w:cs="Times New Roman"/>
        </w:rPr>
        <w:t xml:space="preserve"> </w:t>
      </w:r>
      <w:r w:rsidR="00957AEC">
        <w:rPr>
          <w:rFonts w:eastAsia="Calibri" w:cs="Times New Roman"/>
        </w:rPr>
        <w:t>R</w:t>
      </w:r>
      <w:r w:rsidRPr="007839A9">
        <w:rPr>
          <w:rFonts w:eastAsia="Calibri" w:cs="Times New Roman"/>
        </w:rPr>
        <w:t xml:space="preserve">eglamento </w:t>
      </w:r>
      <w:r w:rsidR="00957AEC">
        <w:rPr>
          <w:rFonts w:eastAsia="Calibri" w:cs="Times New Roman"/>
        </w:rPr>
        <w:t xml:space="preserve">de Gestión de Activos </w:t>
      </w:r>
      <w:r w:rsidRPr="007839A9">
        <w:rPr>
          <w:rFonts w:eastAsia="Calibri" w:cs="Times New Roman"/>
        </w:rPr>
        <w:t xml:space="preserve">ordena que las entidades emitan una </w:t>
      </w:r>
      <w:r w:rsidRPr="007839A9">
        <w:rPr>
          <w:rFonts w:eastAsia="Calibri" w:cs="Times New Roman"/>
          <w:i/>
          <w:iCs/>
        </w:rPr>
        <w:t>política de inversiones</w:t>
      </w:r>
      <w:r w:rsidRPr="007839A9">
        <w:rPr>
          <w:rFonts w:eastAsia="Calibri" w:cs="Times New Roman"/>
        </w:rPr>
        <w:t>, documento que</w:t>
      </w:r>
      <w:r w:rsidR="00E36873">
        <w:rPr>
          <w:rFonts w:eastAsia="Calibri" w:cs="Times New Roman"/>
        </w:rPr>
        <w:t>,</w:t>
      </w:r>
      <w:r w:rsidRPr="007839A9">
        <w:rPr>
          <w:rFonts w:eastAsia="Calibri" w:cs="Times New Roman"/>
        </w:rPr>
        <w:t xml:space="preserve"> en el caso consultado, </w:t>
      </w:r>
      <w:r w:rsidR="00254EB2">
        <w:rPr>
          <w:rFonts w:eastAsia="Calibri" w:cs="Times New Roman"/>
        </w:rPr>
        <w:t xml:space="preserve">no le fue entregado a un afiliado, </w:t>
      </w:r>
      <w:r w:rsidR="00566FA3">
        <w:rPr>
          <w:rFonts w:eastAsia="Calibri" w:cs="Times New Roman"/>
        </w:rPr>
        <w:t xml:space="preserve">por ser de carácter confidencial. </w:t>
      </w:r>
      <w:r w:rsidR="00E2436E">
        <w:rPr>
          <w:rFonts w:eastAsia="Calibri" w:cs="Times New Roman"/>
        </w:rPr>
        <w:t xml:space="preserve">La política de inversiones es un requerimiento regulatorio, por el contrario, la política de riesgos no </w:t>
      </w:r>
      <w:r w:rsidR="00F057F9">
        <w:rPr>
          <w:rFonts w:eastAsia="Calibri" w:cs="Times New Roman"/>
        </w:rPr>
        <w:t>existe en la regulación</w:t>
      </w:r>
      <w:r w:rsidR="00E2436E">
        <w:rPr>
          <w:rFonts w:eastAsia="Calibri" w:cs="Times New Roman"/>
        </w:rPr>
        <w:t>.</w:t>
      </w:r>
    </w:p>
    <w:p w14:paraId="65E52852" w14:textId="77777777" w:rsidR="00E72295" w:rsidRDefault="00E72295" w:rsidP="00AC05D7">
      <w:pPr>
        <w:spacing w:line="240" w:lineRule="auto"/>
        <w:jc w:val="both"/>
        <w:rPr>
          <w:rFonts w:eastAsia="Calibri" w:cs="Times New Roman"/>
        </w:rPr>
      </w:pPr>
    </w:p>
    <w:p w14:paraId="12C26BA8" w14:textId="04CA7488" w:rsidR="007839A9" w:rsidRPr="007839A9" w:rsidRDefault="007839A9" w:rsidP="00AC05D7">
      <w:pPr>
        <w:spacing w:line="240" w:lineRule="auto"/>
        <w:jc w:val="both"/>
        <w:rPr>
          <w:rFonts w:eastAsia="Calibri" w:cs="Times New Roman"/>
        </w:rPr>
      </w:pPr>
      <w:r w:rsidRPr="007839A9">
        <w:rPr>
          <w:rFonts w:eastAsia="Calibri" w:cs="Times New Roman"/>
        </w:rPr>
        <w:t>En lo que aquí interesa, ese reglamento dispone lo siguiente:</w:t>
      </w:r>
    </w:p>
    <w:p w14:paraId="47A8CAAC" w14:textId="77777777" w:rsidR="007839A9" w:rsidRPr="007839A9" w:rsidRDefault="007839A9" w:rsidP="00AC05D7">
      <w:pPr>
        <w:spacing w:line="240" w:lineRule="auto"/>
        <w:jc w:val="both"/>
        <w:rPr>
          <w:rFonts w:eastAsia="Calibri" w:cs="Times New Roman"/>
        </w:rPr>
      </w:pPr>
    </w:p>
    <w:p w14:paraId="692D4166" w14:textId="77777777" w:rsidR="00D0337E" w:rsidRPr="00D0337E" w:rsidRDefault="00D0337E" w:rsidP="00D0337E">
      <w:pPr>
        <w:spacing w:line="240" w:lineRule="auto"/>
        <w:ind w:left="284"/>
        <w:jc w:val="both"/>
        <w:rPr>
          <w:rFonts w:eastAsia="Calibri" w:cs="Times New Roman"/>
          <w:i/>
          <w:iCs/>
          <w:sz w:val="22"/>
        </w:rPr>
      </w:pPr>
      <w:r w:rsidRPr="00D0337E">
        <w:rPr>
          <w:rFonts w:eastAsia="Calibri" w:cs="Times New Roman"/>
          <w:i/>
          <w:iCs/>
          <w:sz w:val="22"/>
        </w:rPr>
        <w:t>Artículo 6. Política de inversiones</w:t>
      </w:r>
    </w:p>
    <w:p w14:paraId="0832E609" w14:textId="77777777" w:rsidR="00D0337E" w:rsidRPr="00D0337E" w:rsidRDefault="00D0337E" w:rsidP="00D0337E">
      <w:pPr>
        <w:spacing w:line="240" w:lineRule="auto"/>
        <w:ind w:left="284"/>
        <w:jc w:val="both"/>
        <w:rPr>
          <w:rFonts w:eastAsia="Calibri" w:cs="Times New Roman"/>
          <w:i/>
          <w:iCs/>
          <w:sz w:val="22"/>
        </w:rPr>
      </w:pPr>
      <w:r w:rsidRPr="00D0337E">
        <w:rPr>
          <w:rFonts w:eastAsia="Calibri" w:cs="Times New Roman"/>
          <w:i/>
          <w:iCs/>
          <w:sz w:val="22"/>
        </w:rPr>
        <w:t>Las entidades supervisadas deben contar con una política de inversiones que incluya como mínimo:</w:t>
      </w:r>
    </w:p>
    <w:p w14:paraId="2434D306" w14:textId="77777777" w:rsidR="00D0337E" w:rsidRPr="00D0337E" w:rsidRDefault="00D0337E" w:rsidP="00D0337E">
      <w:pPr>
        <w:spacing w:line="240" w:lineRule="auto"/>
        <w:ind w:left="284"/>
        <w:jc w:val="both"/>
        <w:rPr>
          <w:rFonts w:eastAsia="Calibri" w:cs="Times New Roman"/>
          <w:i/>
          <w:iCs/>
          <w:sz w:val="22"/>
        </w:rPr>
      </w:pPr>
      <w:r w:rsidRPr="00D0337E">
        <w:rPr>
          <w:rFonts w:eastAsia="Calibri" w:cs="Times New Roman"/>
          <w:i/>
          <w:iCs/>
          <w:sz w:val="22"/>
        </w:rPr>
        <w:t>a. Los objetivos de rentabilidad para las inversiones de cada fondo administrado en concordancia con el marco de gestión de riesgos. En el caso de los fondos de beneficio definido, también deben establecerse en relación con los pasivos del fondo.</w:t>
      </w:r>
    </w:p>
    <w:p w14:paraId="19905A49" w14:textId="77777777" w:rsidR="00D0337E" w:rsidRPr="00D0337E" w:rsidRDefault="00D0337E" w:rsidP="00D0337E">
      <w:pPr>
        <w:spacing w:line="240" w:lineRule="auto"/>
        <w:ind w:left="284"/>
        <w:jc w:val="both"/>
        <w:rPr>
          <w:rFonts w:eastAsia="Calibri" w:cs="Times New Roman"/>
          <w:i/>
          <w:iCs/>
          <w:sz w:val="22"/>
        </w:rPr>
      </w:pPr>
      <w:r w:rsidRPr="00D0337E">
        <w:rPr>
          <w:rFonts w:eastAsia="Calibri" w:cs="Times New Roman"/>
          <w:i/>
          <w:iCs/>
          <w:sz w:val="22"/>
        </w:rPr>
        <w:t>b. Estar alineada a la asignación estratégica de activos.</w:t>
      </w:r>
    </w:p>
    <w:p w14:paraId="51E45279" w14:textId="77777777" w:rsidR="00D0337E" w:rsidRPr="00D0337E" w:rsidRDefault="00D0337E" w:rsidP="00D0337E">
      <w:pPr>
        <w:spacing w:line="240" w:lineRule="auto"/>
        <w:ind w:left="284"/>
        <w:jc w:val="both"/>
        <w:rPr>
          <w:rFonts w:eastAsia="Calibri" w:cs="Times New Roman"/>
          <w:i/>
          <w:iCs/>
          <w:sz w:val="22"/>
        </w:rPr>
      </w:pPr>
      <w:r w:rsidRPr="00D0337E">
        <w:rPr>
          <w:rFonts w:eastAsia="Calibri" w:cs="Times New Roman"/>
          <w:i/>
          <w:iCs/>
          <w:sz w:val="22"/>
        </w:rPr>
        <w:t>c. Definir los aspectos específicos para cada tipo de inversión que deben ser tomados en cuenta para la ejecución del proceso de inversiones, entre otros: porcentajes a invertir por: clase de activos, dentro de estas, por tipo de instrumento, plazos al vencimiento, monedas, tipo de emisor, montos de emisión y emisores, sectores, países, liquidez, calificaciones de riesgo y cualquier otra que sea relevante para la administración de los activos.</w:t>
      </w:r>
    </w:p>
    <w:p w14:paraId="3F3CCF63" w14:textId="77777777" w:rsidR="00D0337E" w:rsidRPr="00D0337E" w:rsidRDefault="00D0337E" w:rsidP="00D0337E">
      <w:pPr>
        <w:spacing w:line="240" w:lineRule="auto"/>
        <w:ind w:left="284"/>
        <w:jc w:val="both"/>
        <w:rPr>
          <w:rFonts w:eastAsia="Calibri" w:cs="Times New Roman"/>
          <w:i/>
          <w:iCs/>
          <w:sz w:val="22"/>
        </w:rPr>
      </w:pPr>
      <w:r w:rsidRPr="00D0337E">
        <w:rPr>
          <w:rFonts w:eastAsia="Calibri" w:cs="Times New Roman"/>
          <w:i/>
          <w:iCs/>
          <w:sz w:val="22"/>
        </w:rPr>
        <w:t>d. Indicar la metodología para el seguimiento del desempeño y logro de objetivos de la gestión de los fondos, la cual debe estar alineada con los objetivos estratégicos y el marco de gestión de riesgos del fondo, así como, considerar el comportamiento de los mercados en los que se negocian los instrumentos (nacional o extranjero).</w:t>
      </w:r>
    </w:p>
    <w:p w14:paraId="1AECE43B" w14:textId="77777777" w:rsidR="00D0337E" w:rsidRPr="00D0337E" w:rsidRDefault="00D0337E" w:rsidP="00D0337E">
      <w:pPr>
        <w:spacing w:line="240" w:lineRule="auto"/>
        <w:ind w:left="284"/>
        <w:jc w:val="both"/>
        <w:rPr>
          <w:rFonts w:eastAsia="Calibri" w:cs="Times New Roman"/>
          <w:i/>
          <w:iCs/>
          <w:sz w:val="22"/>
        </w:rPr>
      </w:pPr>
      <w:r w:rsidRPr="00D0337E">
        <w:rPr>
          <w:rFonts w:eastAsia="Calibri" w:cs="Times New Roman"/>
          <w:i/>
          <w:iCs/>
          <w:sz w:val="22"/>
        </w:rPr>
        <w:t>Para el caso de las inversiones internacionales deben utilizarse también índices financieros de referencia (benchmarks) que deben ser definidos con base en criterios técnicos de acuerdo con las características del fondo, la estructura de las inversiones, el plazo (corto o largo), los tipos de activo, monedas y mercados, entre otros.</w:t>
      </w:r>
    </w:p>
    <w:p w14:paraId="0CFC680E" w14:textId="77777777" w:rsidR="00D0337E" w:rsidRPr="00D0337E" w:rsidRDefault="00D0337E" w:rsidP="00D0337E">
      <w:pPr>
        <w:spacing w:line="240" w:lineRule="auto"/>
        <w:ind w:left="284"/>
        <w:jc w:val="both"/>
        <w:rPr>
          <w:rFonts w:eastAsia="Calibri" w:cs="Times New Roman"/>
          <w:i/>
          <w:iCs/>
          <w:sz w:val="22"/>
        </w:rPr>
      </w:pPr>
      <w:r w:rsidRPr="00D0337E">
        <w:rPr>
          <w:rFonts w:eastAsia="Calibri" w:cs="Times New Roman"/>
          <w:i/>
          <w:iCs/>
          <w:sz w:val="22"/>
        </w:rPr>
        <w:lastRenderedPageBreak/>
        <w:t>e. Detallar los criterios y los límites para el uso de instrumentos derivados para cobertura e incluir como mínimo lo siguiente:</w:t>
      </w:r>
    </w:p>
    <w:p w14:paraId="4A30928A" w14:textId="77777777" w:rsidR="00D0337E" w:rsidRPr="00D0337E" w:rsidRDefault="00D0337E" w:rsidP="00D0337E">
      <w:pPr>
        <w:spacing w:line="240" w:lineRule="auto"/>
        <w:ind w:left="284"/>
        <w:jc w:val="both"/>
        <w:rPr>
          <w:rFonts w:eastAsia="Calibri" w:cs="Times New Roman"/>
          <w:i/>
          <w:iCs/>
          <w:sz w:val="22"/>
        </w:rPr>
      </w:pPr>
      <w:r w:rsidRPr="00D0337E">
        <w:rPr>
          <w:rFonts w:eastAsia="Calibri" w:cs="Times New Roman"/>
          <w:i/>
          <w:iCs/>
          <w:sz w:val="22"/>
        </w:rPr>
        <w:t>i. Los tipos de contratos y cláusulas específicas requeridas.</w:t>
      </w:r>
    </w:p>
    <w:p w14:paraId="44728D7A" w14:textId="77777777" w:rsidR="00D0337E" w:rsidRPr="00D0337E" w:rsidRDefault="00D0337E" w:rsidP="00D0337E">
      <w:pPr>
        <w:spacing w:line="240" w:lineRule="auto"/>
        <w:ind w:left="284"/>
        <w:jc w:val="both"/>
        <w:rPr>
          <w:rFonts w:eastAsia="Calibri" w:cs="Times New Roman"/>
          <w:i/>
          <w:iCs/>
          <w:sz w:val="22"/>
        </w:rPr>
      </w:pPr>
      <w:r w:rsidRPr="00D0337E">
        <w:rPr>
          <w:rFonts w:eastAsia="Calibri" w:cs="Times New Roman"/>
          <w:i/>
          <w:iCs/>
          <w:sz w:val="22"/>
        </w:rPr>
        <w:t>ii. Lineamientos para la realización de coberturas en los fondos en los que se adquieran los instrumentos derivados, así como, los límites establecidos para dichas operaciones.</w:t>
      </w:r>
    </w:p>
    <w:p w14:paraId="79AA56E3" w14:textId="77777777" w:rsidR="00D0337E" w:rsidRPr="00D0337E" w:rsidRDefault="00D0337E" w:rsidP="00D0337E">
      <w:pPr>
        <w:spacing w:line="240" w:lineRule="auto"/>
        <w:ind w:left="284"/>
        <w:jc w:val="both"/>
        <w:rPr>
          <w:rFonts w:eastAsia="Calibri" w:cs="Times New Roman"/>
          <w:i/>
          <w:iCs/>
          <w:sz w:val="22"/>
        </w:rPr>
      </w:pPr>
      <w:r w:rsidRPr="00D0337E">
        <w:rPr>
          <w:rFonts w:eastAsia="Calibri" w:cs="Times New Roman"/>
          <w:i/>
          <w:iCs/>
          <w:sz w:val="22"/>
        </w:rPr>
        <w:t>iii. Disposiciones y procedimientos para la medición y administración del riesgo, relacionado con el uso de cada tipo de instrumento derivado utilizado para la cobertura.</w:t>
      </w:r>
    </w:p>
    <w:p w14:paraId="16D42CF1" w14:textId="77777777" w:rsidR="00D0337E" w:rsidRPr="00D0337E" w:rsidRDefault="00D0337E" w:rsidP="00D0337E">
      <w:pPr>
        <w:spacing w:line="240" w:lineRule="auto"/>
        <w:ind w:left="284"/>
        <w:jc w:val="both"/>
        <w:rPr>
          <w:rFonts w:eastAsia="Calibri" w:cs="Times New Roman"/>
          <w:i/>
          <w:iCs/>
          <w:sz w:val="22"/>
        </w:rPr>
      </w:pPr>
      <w:r w:rsidRPr="00D0337E">
        <w:rPr>
          <w:rFonts w:eastAsia="Calibri" w:cs="Times New Roman"/>
          <w:i/>
          <w:iCs/>
          <w:sz w:val="22"/>
        </w:rPr>
        <w:t>iv. Niveles de pérdidas potenciales máximas y límites de riesgo.</w:t>
      </w:r>
    </w:p>
    <w:p w14:paraId="0FD8E3C4" w14:textId="22091A2A" w:rsidR="007839A9" w:rsidRDefault="00D0337E" w:rsidP="00D0337E">
      <w:pPr>
        <w:spacing w:line="240" w:lineRule="auto"/>
        <w:ind w:left="284"/>
        <w:jc w:val="both"/>
        <w:rPr>
          <w:rFonts w:eastAsia="Calibri" w:cs="Times New Roman"/>
        </w:rPr>
      </w:pPr>
      <w:r w:rsidRPr="00D0337E">
        <w:rPr>
          <w:rFonts w:eastAsia="Calibri" w:cs="Times New Roman"/>
          <w:i/>
          <w:iCs/>
          <w:sz w:val="22"/>
        </w:rPr>
        <w:t xml:space="preserve">k. Incluir los niveles mínimos y máximos de recursos necesarios para gestionar el riesgo de liquidez, definidos en el marco de gestión de riesgo de liquidez existente, la cual debe obedecer a metodologías técnicamente sustentadas, que tomen en cuenta las características del fondo y las necesidades de flujos de efectivo en el corto, mediano y largo plazo, así como aspectos relacionados con su administración. […] </w:t>
      </w:r>
      <w:r w:rsidRPr="00D0337E">
        <w:rPr>
          <w:rFonts w:eastAsia="Calibri" w:cs="Times New Roman"/>
        </w:rPr>
        <w:t>[Énfasis propio.]</w:t>
      </w:r>
    </w:p>
    <w:p w14:paraId="523D92C0" w14:textId="77777777" w:rsidR="00D0337E" w:rsidRPr="007839A9" w:rsidRDefault="00D0337E" w:rsidP="00D0337E">
      <w:pPr>
        <w:spacing w:line="240" w:lineRule="auto"/>
        <w:jc w:val="both"/>
        <w:rPr>
          <w:rFonts w:eastAsia="Calibri" w:cs="Times New Roman"/>
        </w:rPr>
      </w:pPr>
    </w:p>
    <w:p w14:paraId="0EA68184" w14:textId="683AD0F0" w:rsidR="007839A9" w:rsidRPr="007839A9" w:rsidRDefault="007839A9" w:rsidP="00AC05D7">
      <w:pPr>
        <w:spacing w:line="240" w:lineRule="auto"/>
        <w:jc w:val="both"/>
        <w:rPr>
          <w:rFonts w:eastAsia="Calibri" w:cs="Times New Roman"/>
        </w:rPr>
      </w:pPr>
      <w:r w:rsidRPr="007839A9">
        <w:rPr>
          <w:rFonts w:eastAsia="Calibri" w:cs="Times New Roman"/>
        </w:rPr>
        <w:t xml:space="preserve">De la lectura de </w:t>
      </w:r>
      <w:r w:rsidR="00E72295">
        <w:rPr>
          <w:rFonts w:eastAsia="Calibri" w:cs="Times New Roman"/>
        </w:rPr>
        <w:t>este contenido mínimo que</w:t>
      </w:r>
      <w:r w:rsidRPr="007839A9">
        <w:rPr>
          <w:rFonts w:eastAsia="Calibri" w:cs="Times New Roman"/>
        </w:rPr>
        <w:t xml:space="preserve"> debe contemplar la política de inversiones</w:t>
      </w:r>
      <w:r w:rsidR="00E72295">
        <w:rPr>
          <w:rFonts w:eastAsia="Calibri" w:cs="Times New Roman"/>
        </w:rPr>
        <w:t xml:space="preserve"> de todas las operadoras</w:t>
      </w:r>
      <w:r w:rsidRPr="007839A9">
        <w:rPr>
          <w:rFonts w:eastAsia="Calibri" w:cs="Times New Roman"/>
        </w:rPr>
        <w:t xml:space="preserve">, merece destacarse que algunos </w:t>
      </w:r>
      <w:r w:rsidR="009A1705">
        <w:rPr>
          <w:rFonts w:eastAsia="Calibri" w:cs="Times New Roman"/>
        </w:rPr>
        <w:t>de los puntos</w:t>
      </w:r>
      <w:r w:rsidRPr="007839A9">
        <w:rPr>
          <w:rFonts w:eastAsia="Calibri" w:cs="Times New Roman"/>
        </w:rPr>
        <w:t xml:space="preserve"> tienen que ver con la estrategia de negocio y otros son información privilegiada que podría ser utilizada para anticiparse al movimiento del mercado de valores.  </w:t>
      </w:r>
    </w:p>
    <w:p w14:paraId="24C357FB" w14:textId="77777777" w:rsidR="007839A9" w:rsidRPr="007839A9" w:rsidRDefault="007839A9" w:rsidP="00AC05D7">
      <w:pPr>
        <w:spacing w:line="240" w:lineRule="auto"/>
        <w:jc w:val="both"/>
        <w:rPr>
          <w:rFonts w:eastAsia="Calibri" w:cs="Times New Roman"/>
        </w:rPr>
      </w:pPr>
    </w:p>
    <w:p w14:paraId="75130668" w14:textId="4B62CF02" w:rsidR="007839A9" w:rsidRPr="007839A9" w:rsidRDefault="007839A9" w:rsidP="00AC05D7">
      <w:pPr>
        <w:spacing w:line="240" w:lineRule="auto"/>
        <w:jc w:val="both"/>
        <w:rPr>
          <w:rFonts w:eastAsia="Calibri" w:cs="Times New Roman"/>
        </w:rPr>
      </w:pPr>
      <w:r w:rsidRPr="007839A9">
        <w:rPr>
          <w:rFonts w:eastAsia="Calibri" w:cs="Times New Roman"/>
        </w:rPr>
        <w:t xml:space="preserve">Respecto al primer aspecto, los incisos b), c) y e) </w:t>
      </w:r>
      <w:r w:rsidR="0007267F">
        <w:rPr>
          <w:rFonts w:eastAsia="Calibri" w:cs="Times New Roman"/>
        </w:rPr>
        <w:t xml:space="preserve">del numeral 6 citado </w:t>
      </w:r>
      <w:r w:rsidRPr="007839A9">
        <w:rPr>
          <w:rFonts w:eastAsia="Calibri" w:cs="Times New Roman"/>
        </w:rPr>
        <w:t xml:space="preserve">se refieren a decisiones estratégicas que han requerido un </w:t>
      </w:r>
      <w:r w:rsidR="006B19EE">
        <w:rPr>
          <w:rFonts w:eastAsia="Calibri" w:cs="Times New Roman"/>
        </w:rPr>
        <w:t xml:space="preserve">esfuerzo de </w:t>
      </w:r>
      <w:r w:rsidRPr="007839A9">
        <w:rPr>
          <w:rFonts w:eastAsia="Calibri" w:cs="Times New Roman"/>
        </w:rPr>
        <w:t xml:space="preserve">análisis y pericia por parte de la empresa, que le pertenecen y que no tiene obligación de compartir con un afiliado o interesado (a menos que voluntariamente quiera hacerlo) porque pueden llegar a ser conocidos </w:t>
      </w:r>
      <w:r w:rsidR="00F41BB6">
        <w:rPr>
          <w:rFonts w:eastAsia="Calibri" w:cs="Times New Roman"/>
        </w:rPr>
        <w:t xml:space="preserve">por </w:t>
      </w:r>
      <w:r w:rsidRPr="007839A9">
        <w:rPr>
          <w:rFonts w:eastAsia="Calibri" w:cs="Times New Roman"/>
        </w:rPr>
        <w:t xml:space="preserve">los competidores dándoles una ventaja </w:t>
      </w:r>
      <w:r w:rsidR="00F41BB6">
        <w:rPr>
          <w:rFonts w:eastAsia="Calibri" w:cs="Times New Roman"/>
        </w:rPr>
        <w:t xml:space="preserve">competitiva </w:t>
      </w:r>
      <w:r w:rsidRPr="007839A9">
        <w:rPr>
          <w:rFonts w:eastAsia="Calibri" w:cs="Times New Roman"/>
        </w:rPr>
        <w:t>injustificada.</w:t>
      </w:r>
    </w:p>
    <w:p w14:paraId="75E9B5E5" w14:textId="77777777" w:rsidR="007839A9" w:rsidRPr="007839A9" w:rsidRDefault="007839A9" w:rsidP="00AC05D7">
      <w:pPr>
        <w:spacing w:line="240" w:lineRule="auto"/>
        <w:jc w:val="both"/>
        <w:rPr>
          <w:rFonts w:eastAsia="Calibri" w:cs="Times New Roman"/>
        </w:rPr>
      </w:pPr>
    </w:p>
    <w:p w14:paraId="21F4049C" w14:textId="5238DD33" w:rsidR="007839A9" w:rsidRPr="007839A9" w:rsidRDefault="007839A9" w:rsidP="00AC05D7">
      <w:pPr>
        <w:spacing w:line="240" w:lineRule="auto"/>
        <w:jc w:val="both"/>
        <w:rPr>
          <w:rFonts w:eastAsia="Calibri" w:cs="Times New Roman"/>
        </w:rPr>
      </w:pPr>
      <w:r w:rsidRPr="007839A9">
        <w:rPr>
          <w:rFonts w:eastAsia="Calibri" w:cs="Times New Roman"/>
        </w:rPr>
        <w:t xml:space="preserve">En relación con el segundo punto, las operadoras de pensiones son inversionistas institucionales </w:t>
      </w:r>
      <w:r w:rsidR="00DC6281">
        <w:rPr>
          <w:rFonts w:eastAsia="Calibri" w:cs="Times New Roman"/>
        </w:rPr>
        <w:t xml:space="preserve">que mueven </w:t>
      </w:r>
      <w:r w:rsidRPr="007839A9">
        <w:rPr>
          <w:rFonts w:eastAsia="Calibri" w:cs="Times New Roman"/>
        </w:rPr>
        <w:t>grandes volúmenes de inversiones</w:t>
      </w:r>
      <w:r w:rsidR="00892545">
        <w:rPr>
          <w:rFonts w:eastAsia="Calibri" w:cs="Times New Roman"/>
        </w:rPr>
        <w:t xml:space="preserve"> </w:t>
      </w:r>
      <w:r w:rsidR="00DC6281">
        <w:rPr>
          <w:rFonts w:eastAsia="Calibri" w:cs="Times New Roman"/>
        </w:rPr>
        <w:t xml:space="preserve">en el mercado </w:t>
      </w:r>
      <w:r w:rsidR="00892545">
        <w:rPr>
          <w:rFonts w:eastAsia="Calibri" w:cs="Times New Roman"/>
        </w:rPr>
        <w:t>local</w:t>
      </w:r>
      <w:r w:rsidRPr="007839A9">
        <w:rPr>
          <w:rFonts w:eastAsia="Calibri" w:cs="Times New Roman"/>
        </w:rPr>
        <w:t xml:space="preserve">, cuyas decisiones </w:t>
      </w:r>
      <w:r w:rsidR="00D57A08">
        <w:rPr>
          <w:rFonts w:eastAsia="Calibri" w:cs="Times New Roman"/>
        </w:rPr>
        <w:t>de compra o venta pueden</w:t>
      </w:r>
      <w:r w:rsidRPr="007839A9">
        <w:rPr>
          <w:rFonts w:eastAsia="Calibri" w:cs="Times New Roman"/>
        </w:rPr>
        <w:t xml:space="preserve"> </w:t>
      </w:r>
      <w:r w:rsidR="0017536C">
        <w:rPr>
          <w:rFonts w:eastAsia="Calibri" w:cs="Times New Roman"/>
        </w:rPr>
        <w:t>incidir en</w:t>
      </w:r>
      <w:r w:rsidRPr="007839A9">
        <w:rPr>
          <w:rFonts w:eastAsia="Calibri" w:cs="Times New Roman"/>
        </w:rPr>
        <w:t xml:space="preserve"> </w:t>
      </w:r>
      <w:r w:rsidR="00D57A08">
        <w:rPr>
          <w:rFonts w:eastAsia="Calibri" w:cs="Times New Roman"/>
        </w:rPr>
        <w:t xml:space="preserve">la formación de precios en </w:t>
      </w:r>
      <w:r w:rsidRPr="007839A9">
        <w:rPr>
          <w:rFonts w:eastAsia="Calibri" w:cs="Times New Roman"/>
        </w:rPr>
        <w:t xml:space="preserve">el mercado de valores, por </w:t>
      </w:r>
      <w:r w:rsidR="00D57A08">
        <w:rPr>
          <w:rFonts w:eastAsia="Calibri" w:cs="Times New Roman"/>
        </w:rPr>
        <w:t>esta razón</w:t>
      </w:r>
      <w:r w:rsidR="00756857">
        <w:rPr>
          <w:rFonts w:eastAsia="Calibri" w:cs="Times New Roman"/>
        </w:rPr>
        <w:t>,</w:t>
      </w:r>
      <w:r w:rsidR="00D57A08">
        <w:rPr>
          <w:rFonts w:eastAsia="Calibri" w:cs="Times New Roman"/>
        </w:rPr>
        <w:t xml:space="preserve"> </w:t>
      </w:r>
      <w:r w:rsidRPr="007839A9">
        <w:rPr>
          <w:rFonts w:eastAsia="Calibri" w:cs="Times New Roman"/>
        </w:rPr>
        <w:t>este tipo de información estratégica no puede ser divulgada antes de que se realicen las transacciones</w:t>
      </w:r>
      <w:r w:rsidR="00D57A08">
        <w:rPr>
          <w:rFonts w:eastAsia="Calibri" w:cs="Times New Roman"/>
        </w:rPr>
        <w:t xml:space="preserve"> porque reflejaría hacia d</w:t>
      </w:r>
      <w:r w:rsidR="00756857">
        <w:rPr>
          <w:rFonts w:eastAsia="Calibri" w:cs="Times New Roman"/>
        </w:rPr>
        <w:t>ó</w:t>
      </w:r>
      <w:r w:rsidR="00D57A08">
        <w:rPr>
          <w:rFonts w:eastAsia="Calibri" w:cs="Times New Roman"/>
        </w:rPr>
        <w:t xml:space="preserve">nde </w:t>
      </w:r>
      <w:r w:rsidR="00ED6758">
        <w:rPr>
          <w:rFonts w:eastAsia="Calibri" w:cs="Times New Roman"/>
        </w:rPr>
        <w:t>van a ir las inversiones</w:t>
      </w:r>
      <w:r w:rsidRPr="007839A9">
        <w:rPr>
          <w:rFonts w:eastAsia="Calibri" w:cs="Times New Roman"/>
        </w:rPr>
        <w:t xml:space="preserve">.  </w:t>
      </w:r>
      <w:r w:rsidR="00950622">
        <w:rPr>
          <w:rFonts w:eastAsia="Calibri" w:cs="Times New Roman"/>
        </w:rPr>
        <w:t xml:space="preserve">Esta revelación a un particular podría dar lugar a una </w:t>
      </w:r>
      <w:r w:rsidR="000416AA">
        <w:rPr>
          <w:rFonts w:eastAsia="Calibri" w:cs="Times New Roman"/>
        </w:rPr>
        <w:t>a</w:t>
      </w:r>
      <w:r w:rsidR="00950622">
        <w:rPr>
          <w:rFonts w:eastAsia="Calibri" w:cs="Times New Roman"/>
        </w:rPr>
        <w:t>simetría del mercado</w:t>
      </w:r>
      <w:r w:rsidR="00756857">
        <w:rPr>
          <w:rFonts w:eastAsia="Calibri" w:cs="Times New Roman"/>
        </w:rPr>
        <w:t>, l</w:t>
      </w:r>
      <w:r w:rsidR="009670B2">
        <w:rPr>
          <w:rFonts w:eastAsia="Calibri" w:cs="Times New Roman"/>
        </w:rPr>
        <w:t>o cual</w:t>
      </w:r>
      <w:r w:rsidR="00756857">
        <w:rPr>
          <w:rFonts w:eastAsia="Calibri" w:cs="Times New Roman"/>
        </w:rPr>
        <w:t>,</w:t>
      </w:r>
      <w:r w:rsidR="009670B2">
        <w:rPr>
          <w:rFonts w:eastAsia="Calibri" w:cs="Times New Roman"/>
        </w:rPr>
        <w:t xml:space="preserve"> </w:t>
      </w:r>
      <w:r w:rsidR="00A201C2">
        <w:rPr>
          <w:rFonts w:eastAsia="Calibri" w:cs="Times New Roman"/>
        </w:rPr>
        <w:t>dependiendo del volumen que administre la operadora</w:t>
      </w:r>
      <w:r w:rsidR="00194B72">
        <w:rPr>
          <w:rFonts w:eastAsia="Calibri" w:cs="Times New Roman"/>
        </w:rPr>
        <w:t xml:space="preserve">, </w:t>
      </w:r>
      <w:r w:rsidR="00A201C2">
        <w:rPr>
          <w:rFonts w:eastAsia="Calibri" w:cs="Times New Roman"/>
        </w:rPr>
        <w:t xml:space="preserve">podría generar un efecto sistémico. </w:t>
      </w:r>
      <w:r w:rsidR="00950622">
        <w:rPr>
          <w:rFonts w:eastAsia="Calibri" w:cs="Times New Roman"/>
        </w:rPr>
        <w:t xml:space="preserve"> </w:t>
      </w:r>
      <w:r w:rsidRPr="007839A9">
        <w:rPr>
          <w:rFonts w:eastAsia="Calibri" w:cs="Times New Roman"/>
        </w:rPr>
        <w:t>En este sentido, el artículo 67 de la Ley de Protección al Trabajador indica:</w:t>
      </w:r>
    </w:p>
    <w:p w14:paraId="2961963C" w14:textId="77777777" w:rsidR="007839A9" w:rsidRPr="007839A9" w:rsidRDefault="007839A9" w:rsidP="00AC05D7">
      <w:pPr>
        <w:spacing w:line="240" w:lineRule="auto"/>
        <w:jc w:val="both"/>
        <w:rPr>
          <w:rFonts w:eastAsia="Calibri" w:cs="Times New Roman"/>
        </w:rPr>
      </w:pPr>
    </w:p>
    <w:p w14:paraId="1FCD532A" w14:textId="77777777" w:rsidR="007839A9" w:rsidRPr="00D0337E" w:rsidRDefault="007839A9" w:rsidP="00D0337E">
      <w:pPr>
        <w:spacing w:line="240" w:lineRule="auto"/>
        <w:ind w:left="284"/>
        <w:jc w:val="both"/>
        <w:rPr>
          <w:rFonts w:eastAsia="Calibri" w:cs="Times New Roman"/>
          <w:sz w:val="22"/>
        </w:rPr>
      </w:pPr>
      <w:r w:rsidRPr="00D0337E">
        <w:rPr>
          <w:rFonts w:eastAsia="Calibri" w:cs="Times New Roman"/>
          <w:i/>
          <w:iCs/>
          <w:sz w:val="22"/>
        </w:rPr>
        <w:t>Artículo 67.- Confidencialidad de la información. Deberán guardar estricta confidencialidad respecto de esa información las autoridades, los apoderados, gerentes, administradores y cualquier persona que, en razón de su labor en un ente regulado, acceda a información de las inversiones de los recursos de un fondo que aún no haya sido divulgada oficialmente en el mercado y que, por su naturaleza, sea capaz de influir en las cotizaciones de los valores de dichas inversiones. Quienes actúen en contravención de lo señalado, a solicitud de la Superintendencia, deberán ser destituidos, mediante la aplicación de la legislación laboral correspondiente; sin perjuicio de las sanciones penales que puedan aplicarse.</w:t>
      </w:r>
    </w:p>
    <w:p w14:paraId="42CF7A76" w14:textId="77777777" w:rsidR="007839A9" w:rsidRPr="00D0337E" w:rsidRDefault="007839A9" w:rsidP="00D0337E">
      <w:pPr>
        <w:spacing w:line="240" w:lineRule="auto"/>
        <w:ind w:left="284"/>
        <w:jc w:val="both"/>
        <w:rPr>
          <w:rFonts w:eastAsia="Calibri" w:cs="Times New Roman"/>
          <w:i/>
          <w:iCs/>
          <w:sz w:val="22"/>
        </w:rPr>
      </w:pPr>
      <w:r w:rsidRPr="00D0337E">
        <w:rPr>
          <w:rFonts w:eastAsia="Calibri" w:cs="Times New Roman"/>
          <w:i/>
          <w:iCs/>
          <w:sz w:val="22"/>
        </w:rPr>
        <w:lastRenderedPageBreak/>
        <w:t>Asimismo, se prohíbe a las personas mencionadas valerse, directa o indirectamente, de la información reservada con el fin de obtener, para sí o para otros, de los fondos administrados, ventajas mediante la compra o venta de valores.</w:t>
      </w:r>
    </w:p>
    <w:p w14:paraId="27900A99" w14:textId="77777777" w:rsidR="007839A9" w:rsidRPr="00D0337E" w:rsidRDefault="007839A9" w:rsidP="00D0337E">
      <w:pPr>
        <w:spacing w:line="240" w:lineRule="auto"/>
        <w:ind w:left="284"/>
        <w:jc w:val="both"/>
        <w:rPr>
          <w:rFonts w:eastAsia="Calibri" w:cs="Times New Roman"/>
          <w:i/>
          <w:iCs/>
          <w:sz w:val="22"/>
        </w:rPr>
      </w:pPr>
      <w:r w:rsidRPr="00D0337E">
        <w:rPr>
          <w:rFonts w:eastAsia="Calibri" w:cs="Times New Roman"/>
          <w:i/>
          <w:iCs/>
          <w:sz w:val="22"/>
        </w:rPr>
        <w:t>Ninguna información registrada en las cuentas individuales podrá ser suministrada a terceros, excepto en los casos previstos en esta ley.</w:t>
      </w:r>
    </w:p>
    <w:p w14:paraId="5BF350FE" w14:textId="77777777" w:rsidR="007839A9" w:rsidRPr="007839A9" w:rsidRDefault="007839A9" w:rsidP="00AC05D7">
      <w:pPr>
        <w:spacing w:line="240" w:lineRule="auto"/>
        <w:jc w:val="both"/>
        <w:rPr>
          <w:rFonts w:eastAsia="Calibri" w:cs="Times New Roman"/>
        </w:rPr>
      </w:pPr>
    </w:p>
    <w:p w14:paraId="5ED1D4FA" w14:textId="78575D12" w:rsidR="000B6C88" w:rsidRPr="00531ABF" w:rsidRDefault="000B6C88" w:rsidP="00AC05D7">
      <w:pPr>
        <w:pStyle w:val="Prrafodelista"/>
        <w:numPr>
          <w:ilvl w:val="0"/>
          <w:numId w:val="2"/>
        </w:numPr>
        <w:spacing w:line="240" w:lineRule="auto"/>
        <w:jc w:val="both"/>
        <w:rPr>
          <w:rFonts w:eastAsia="Calibri" w:cs="Times New Roman"/>
          <w:b/>
          <w:bCs/>
        </w:rPr>
      </w:pPr>
      <w:r w:rsidRPr="00531ABF">
        <w:rPr>
          <w:rFonts w:eastAsia="Calibri" w:cs="Times New Roman"/>
          <w:b/>
          <w:bCs/>
        </w:rPr>
        <w:t xml:space="preserve">Mecanismos de información periódica </w:t>
      </w:r>
      <w:r w:rsidR="00531ABF" w:rsidRPr="00531ABF">
        <w:rPr>
          <w:rFonts w:eastAsia="Calibri" w:cs="Times New Roman"/>
          <w:b/>
          <w:bCs/>
        </w:rPr>
        <w:t>sobre inversiones</w:t>
      </w:r>
    </w:p>
    <w:p w14:paraId="4A9A6FAD" w14:textId="77777777" w:rsidR="00531ABF" w:rsidRDefault="00531ABF" w:rsidP="00AC05D7">
      <w:pPr>
        <w:spacing w:line="240" w:lineRule="auto"/>
        <w:jc w:val="both"/>
        <w:rPr>
          <w:rFonts w:eastAsia="Calibri" w:cs="Times New Roman"/>
        </w:rPr>
      </w:pPr>
    </w:p>
    <w:p w14:paraId="643AB949" w14:textId="24865FC5" w:rsidR="00531ABF" w:rsidRDefault="007839A9" w:rsidP="00AC05D7">
      <w:pPr>
        <w:spacing w:line="240" w:lineRule="auto"/>
        <w:jc w:val="both"/>
        <w:rPr>
          <w:rFonts w:eastAsia="Calibri" w:cs="Times New Roman"/>
        </w:rPr>
      </w:pPr>
      <w:r w:rsidRPr="007839A9">
        <w:rPr>
          <w:rFonts w:eastAsia="Calibri" w:cs="Times New Roman"/>
        </w:rPr>
        <w:t>Esta protección</w:t>
      </w:r>
      <w:r w:rsidR="00DB491C">
        <w:rPr>
          <w:rFonts w:eastAsia="Calibri" w:cs="Times New Roman"/>
        </w:rPr>
        <w:t xml:space="preserve"> de </w:t>
      </w:r>
      <w:r w:rsidR="00194B72">
        <w:rPr>
          <w:rFonts w:eastAsia="Calibri" w:cs="Times New Roman"/>
        </w:rPr>
        <w:t>confidencialidad</w:t>
      </w:r>
      <w:r w:rsidRPr="007839A9">
        <w:rPr>
          <w:rFonts w:eastAsia="Calibri" w:cs="Times New Roman"/>
        </w:rPr>
        <w:t xml:space="preserve"> no va en detrimento de los </w:t>
      </w:r>
      <w:r w:rsidR="002301AB">
        <w:rPr>
          <w:rFonts w:eastAsia="Calibri" w:cs="Times New Roman"/>
        </w:rPr>
        <w:t xml:space="preserve">intereses de los </w:t>
      </w:r>
      <w:r w:rsidRPr="007839A9">
        <w:rPr>
          <w:rFonts w:eastAsia="Calibri" w:cs="Times New Roman"/>
        </w:rPr>
        <w:t xml:space="preserve">afiliados, porque la regulación ha previsto dos mecanismos periódicos de información al afiliado sobre el manejo de las inversiones: </w:t>
      </w:r>
      <w:r w:rsidR="00D23671">
        <w:rPr>
          <w:rFonts w:eastAsia="Calibri" w:cs="Times New Roman"/>
        </w:rPr>
        <w:t xml:space="preserve">1) </w:t>
      </w:r>
      <w:r w:rsidRPr="007839A9">
        <w:rPr>
          <w:rFonts w:eastAsia="Calibri" w:cs="Times New Roman"/>
        </w:rPr>
        <w:t xml:space="preserve">el estado de cuenta y </w:t>
      </w:r>
      <w:r w:rsidR="00D23671">
        <w:rPr>
          <w:rFonts w:eastAsia="Calibri" w:cs="Times New Roman"/>
        </w:rPr>
        <w:t xml:space="preserve">2) </w:t>
      </w:r>
      <w:r w:rsidRPr="007839A9">
        <w:rPr>
          <w:rFonts w:eastAsia="Calibri" w:cs="Times New Roman"/>
        </w:rPr>
        <w:t xml:space="preserve">el </w:t>
      </w:r>
      <w:r w:rsidRPr="007839A9">
        <w:rPr>
          <w:rFonts w:eastAsia="Calibri" w:cs="Times New Roman"/>
          <w:i/>
          <w:iCs/>
        </w:rPr>
        <w:t>folleto</w:t>
      </w:r>
      <w:r w:rsidRPr="007839A9">
        <w:rPr>
          <w:rFonts w:eastAsia="Calibri" w:cs="Times New Roman"/>
        </w:rPr>
        <w:t xml:space="preserve"> para el público en general.  </w:t>
      </w:r>
    </w:p>
    <w:p w14:paraId="007B27B1" w14:textId="77777777" w:rsidR="00531ABF" w:rsidRDefault="00531ABF" w:rsidP="00AC05D7">
      <w:pPr>
        <w:spacing w:line="240" w:lineRule="auto"/>
        <w:jc w:val="both"/>
        <w:rPr>
          <w:rFonts w:eastAsia="Calibri" w:cs="Times New Roman"/>
        </w:rPr>
      </w:pPr>
    </w:p>
    <w:p w14:paraId="05AD5D73" w14:textId="3D135F7C" w:rsidR="00D23671" w:rsidRPr="007573D4" w:rsidRDefault="007839A9" w:rsidP="00AC05D7">
      <w:pPr>
        <w:pStyle w:val="Prrafodelista"/>
        <w:numPr>
          <w:ilvl w:val="0"/>
          <w:numId w:val="1"/>
        </w:numPr>
        <w:spacing w:line="240" w:lineRule="auto"/>
        <w:jc w:val="both"/>
        <w:rPr>
          <w:rFonts w:eastAsia="Calibri" w:cs="Times New Roman"/>
        </w:rPr>
      </w:pPr>
      <w:r w:rsidRPr="007573D4">
        <w:rPr>
          <w:rFonts w:eastAsia="Calibri" w:cs="Times New Roman"/>
        </w:rPr>
        <w:t xml:space="preserve">El estado de </w:t>
      </w:r>
      <w:r w:rsidR="00D23671" w:rsidRPr="007573D4">
        <w:rPr>
          <w:rFonts w:eastAsia="Calibri" w:cs="Times New Roman"/>
        </w:rPr>
        <w:t>cuenta</w:t>
      </w:r>
      <w:r w:rsidRPr="007573D4">
        <w:rPr>
          <w:rFonts w:eastAsia="Calibri" w:cs="Times New Roman"/>
        </w:rPr>
        <w:t xml:space="preserve"> es</w:t>
      </w:r>
      <w:r w:rsidR="00BC31F0">
        <w:rPr>
          <w:rFonts w:eastAsia="Calibri" w:cs="Times New Roman"/>
        </w:rPr>
        <w:t xml:space="preserve"> un</w:t>
      </w:r>
      <w:r w:rsidRPr="007573D4">
        <w:rPr>
          <w:rFonts w:eastAsia="Calibri" w:cs="Times New Roman"/>
        </w:rPr>
        <w:t xml:space="preserve"> medio de información </w:t>
      </w:r>
      <w:r w:rsidR="007058C9" w:rsidRPr="007573D4">
        <w:rPr>
          <w:rFonts w:eastAsia="Calibri" w:cs="Times New Roman"/>
        </w:rPr>
        <w:t>tradicional</w:t>
      </w:r>
      <w:r w:rsidR="00BC31F0">
        <w:rPr>
          <w:rFonts w:eastAsia="Calibri" w:cs="Times New Roman"/>
        </w:rPr>
        <w:t xml:space="preserve">, </w:t>
      </w:r>
      <w:r w:rsidR="009A000A" w:rsidRPr="007573D4">
        <w:rPr>
          <w:rFonts w:eastAsia="Calibri" w:cs="Times New Roman"/>
        </w:rPr>
        <w:t>dirigid</w:t>
      </w:r>
      <w:r w:rsidR="00BC31F0">
        <w:rPr>
          <w:rFonts w:eastAsia="Calibri" w:cs="Times New Roman"/>
        </w:rPr>
        <w:t>o</w:t>
      </w:r>
      <w:r w:rsidR="009A000A" w:rsidRPr="007573D4">
        <w:rPr>
          <w:rFonts w:eastAsia="Calibri" w:cs="Times New Roman"/>
        </w:rPr>
        <w:t xml:space="preserve"> directamente al afiliado, </w:t>
      </w:r>
      <w:r w:rsidR="007058C9" w:rsidRPr="007573D4">
        <w:rPr>
          <w:rFonts w:eastAsia="Calibri" w:cs="Times New Roman"/>
        </w:rPr>
        <w:t>con una periodi</w:t>
      </w:r>
      <w:r w:rsidR="00844AA1" w:rsidRPr="007573D4">
        <w:rPr>
          <w:rFonts w:eastAsia="Calibri" w:cs="Times New Roman"/>
        </w:rPr>
        <w:t>ci</w:t>
      </w:r>
      <w:r w:rsidR="007058C9" w:rsidRPr="007573D4">
        <w:rPr>
          <w:rFonts w:eastAsia="Calibri" w:cs="Times New Roman"/>
        </w:rPr>
        <w:t>dad mínima semestral</w:t>
      </w:r>
      <w:r w:rsidR="009A000A" w:rsidRPr="007573D4">
        <w:rPr>
          <w:rFonts w:eastAsia="Calibri" w:cs="Times New Roman"/>
        </w:rPr>
        <w:t>,</w:t>
      </w:r>
      <w:r w:rsidR="007058C9" w:rsidRPr="007573D4">
        <w:rPr>
          <w:rFonts w:eastAsia="Calibri" w:cs="Times New Roman"/>
        </w:rPr>
        <w:t xml:space="preserve"> </w:t>
      </w:r>
      <w:r w:rsidRPr="007573D4">
        <w:rPr>
          <w:rFonts w:eastAsia="Calibri" w:cs="Times New Roman"/>
        </w:rPr>
        <w:t>que contiene</w:t>
      </w:r>
      <w:r w:rsidR="00FE19A3" w:rsidRPr="007573D4">
        <w:rPr>
          <w:rFonts w:eastAsia="Calibri" w:cs="Times New Roman"/>
        </w:rPr>
        <w:t xml:space="preserve">, además de los movimientos de </w:t>
      </w:r>
      <w:r w:rsidR="0098593E" w:rsidRPr="007573D4">
        <w:rPr>
          <w:rFonts w:eastAsia="Calibri" w:cs="Times New Roman"/>
        </w:rPr>
        <w:t>aportes y rendimientos,</w:t>
      </w:r>
      <w:r w:rsidRPr="007573D4">
        <w:rPr>
          <w:rFonts w:eastAsia="Calibri" w:cs="Times New Roman"/>
        </w:rPr>
        <w:t xml:space="preserve"> </w:t>
      </w:r>
      <w:r w:rsidR="008F0D22" w:rsidRPr="007573D4">
        <w:rPr>
          <w:rFonts w:eastAsia="Calibri" w:cs="Times New Roman"/>
        </w:rPr>
        <w:t xml:space="preserve">una sección con el </w:t>
      </w:r>
      <w:r w:rsidR="008F0D22" w:rsidRPr="002D214D">
        <w:rPr>
          <w:rFonts w:eastAsia="Calibri" w:cs="Times New Roman"/>
          <w:b/>
          <w:bCs/>
        </w:rPr>
        <w:t>resumen de la política de inversión de los fondos administrados</w:t>
      </w:r>
      <w:r w:rsidR="008F0D22" w:rsidRPr="007573D4">
        <w:rPr>
          <w:rFonts w:eastAsia="Calibri" w:cs="Times New Roman"/>
        </w:rPr>
        <w:t xml:space="preserve">, la cual deber estar escrita en un lenguaje comprensivo para el afiliado o pensionado. </w:t>
      </w:r>
      <w:r w:rsidRPr="007573D4">
        <w:rPr>
          <w:rFonts w:eastAsia="Calibri" w:cs="Times New Roman"/>
        </w:rPr>
        <w:t xml:space="preserve"> </w:t>
      </w:r>
      <w:r w:rsidR="009944F4">
        <w:rPr>
          <w:rFonts w:eastAsia="Calibri" w:cs="Times New Roman"/>
        </w:rPr>
        <w:t>(</w:t>
      </w:r>
      <w:r w:rsidR="003103B1">
        <w:rPr>
          <w:rFonts w:eastAsia="Calibri" w:cs="Times New Roman"/>
        </w:rPr>
        <w:t xml:space="preserve">Acuerdo del Superintendente de Pensiones </w:t>
      </w:r>
      <w:r w:rsidRPr="007573D4">
        <w:rPr>
          <w:rFonts w:eastAsia="Calibri" w:cs="Times New Roman"/>
        </w:rPr>
        <w:t>SP-A-</w:t>
      </w:r>
      <w:r w:rsidR="007573D4" w:rsidRPr="007573D4">
        <w:rPr>
          <w:rFonts w:eastAsia="Calibri" w:cs="Times New Roman"/>
        </w:rPr>
        <w:t>191-2017</w:t>
      </w:r>
      <w:r w:rsidRPr="007573D4">
        <w:rPr>
          <w:rFonts w:eastAsia="Calibri" w:cs="Times New Roman"/>
        </w:rPr>
        <w:t xml:space="preserve">). </w:t>
      </w:r>
    </w:p>
    <w:p w14:paraId="0AF27AEF" w14:textId="77777777" w:rsidR="00D23671" w:rsidRDefault="00D23671" w:rsidP="00AC05D7">
      <w:pPr>
        <w:spacing w:line="240" w:lineRule="auto"/>
        <w:ind w:left="708"/>
        <w:jc w:val="both"/>
        <w:rPr>
          <w:rFonts w:eastAsia="Calibri" w:cs="Times New Roman"/>
        </w:rPr>
      </w:pPr>
    </w:p>
    <w:p w14:paraId="20771012" w14:textId="2D53F40D" w:rsidR="007839A9" w:rsidRPr="003B1ACE" w:rsidRDefault="007839A9" w:rsidP="00AC05D7">
      <w:pPr>
        <w:pStyle w:val="Prrafodelista"/>
        <w:numPr>
          <w:ilvl w:val="0"/>
          <w:numId w:val="1"/>
        </w:numPr>
        <w:spacing w:line="240" w:lineRule="auto"/>
        <w:jc w:val="both"/>
        <w:rPr>
          <w:rFonts w:eastAsia="Calibri" w:cs="Times New Roman"/>
        </w:rPr>
      </w:pPr>
      <w:r w:rsidRPr="003B1ACE">
        <w:rPr>
          <w:rFonts w:eastAsia="Calibri" w:cs="Times New Roman"/>
        </w:rPr>
        <w:t>El folleto, por su parte, es un requerimiento reciente</w:t>
      </w:r>
      <w:r w:rsidR="009604C3">
        <w:rPr>
          <w:rFonts w:eastAsia="Calibri" w:cs="Times New Roman"/>
        </w:rPr>
        <w:t>mente</w:t>
      </w:r>
      <w:r w:rsidRPr="003B1ACE">
        <w:rPr>
          <w:rFonts w:eastAsia="Calibri" w:cs="Times New Roman"/>
        </w:rPr>
        <w:t xml:space="preserve"> </w:t>
      </w:r>
      <w:r w:rsidR="003B1ACE">
        <w:rPr>
          <w:rFonts w:eastAsia="Calibri" w:cs="Times New Roman"/>
        </w:rPr>
        <w:t xml:space="preserve">establecido en </w:t>
      </w:r>
      <w:r w:rsidRPr="003B1ACE">
        <w:rPr>
          <w:rFonts w:eastAsia="Calibri" w:cs="Times New Roman"/>
        </w:rPr>
        <w:t xml:space="preserve">el </w:t>
      </w:r>
      <w:r w:rsidR="00A46C14">
        <w:rPr>
          <w:rFonts w:eastAsia="Calibri" w:cs="Times New Roman"/>
        </w:rPr>
        <w:t xml:space="preserve">artículo 75 del </w:t>
      </w:r>
      <w:r w:rsidRPr="003B1ACE">
        <w:rPr>
          <w:rFonts w:eastAsia="Calibri" w:cs="Times New Roman"/>
        </w:rPr>
        <w:t>Reglamento de Gestión de Activos</w:t>
      </w:r>
      <w:r w:rsidR="00B37E7D">
        <w:rPr>
          <w:rFonts w:eastAsia="Calibri" w:cs="Times New Roman"/>
        </w:rPr>
        <w:t>,</w:t>
      </w:r>
      <w:r w:rsidR="009604C3">
        <w:rPr>
          <w:rFonts w:eastAsia="Calibri" w:cs="Times New Roman"/>
        </w:rPr>
        <w:t xml:space="preserve"> por medio del cual se</w:t>
      </w:r>
      <w:r w:rsidR="00B37E7D">
        <w:rPr>
          <w:rFonts w:eastAsia="Calibri" w:cs="Times New Roman"/>
        </w:rPr>
        <w:t xml:space="preserve"> </w:t>
      </w:r>
      <w:r w:rsidRPr="003B1ACE">
        <w:rPr>
          <w:rFonts w:eastAsia="Calibri" w:cs="Times New Roman"/>
        </w:rPr>
        <w:t xml:space="preserve">pretende informar </w:t>
      </w:r>
      <w:r w:rsidR="009F555B">
        <w:rPr>
          <w:rFonts w:eastAsia="Calibri" w:cs="Times New Roman"/>
        </w:rPr>
        <w:t xml:space="preserve">a los afiliados, </w:t>
      </w:r>
      <w:r w:rsidRPr="003B1ACE">
        <w:rPr>
          <w:rFonts w:eastAsia="Calibri" w:cs="Times New Roman"/>
        </w:rPr>
        <w:t>con más detalle</w:t>
      </w:r>
      <w:r w:rsidR="009F555B">
        <w:rPr>
          <w:rFonts w:eastAsia="Calibri" w:cs="Times New Roman"/>
        </w:rPr>
        <w:t>,</w:t>
      </w:r>
      <w:r w:rsidRPr="003B1ACE">
        <w:rPr>
          <w:rFonts w:eastAsia="Calibri" w:cs="Times New Roman"/>
        </w:rPr>
        <w:t xml:space="preserve"> aspectos de gobernanza del proceso de las inversiones y de los riesgos de los fondos administrados, con una periodicidad anual.  En este documento el afiliado y el público en general puede</w:t>
      </w:r>
      <w:r w:rsidR="009F555B">
        <w:rPr>
          <w:rFonts w:eastAsia="Calibri" w:cs="Times New Roman"/>
        </w:rPr>
        <w:t>n</w:t>
      </w:r>
      <w:r w:rsidRPr="003B1ACE">
        <w:rPr>
          <w:rFonts w:eastAsia="Calibri" w:cs="Times New Roman"/>
        </w:rPr>
        <w:t xml:space="preserve"> encontrar</w:t>
      </w:r>
      <w:r w:rsidR="0086468F">
        <w:rPr>
          <w:rFonts w:eastAsia="Calibri" w:cs="Times New Roman"/>
        </w:rPr>
        <w:t xml:space="preserve"> en forma resumida</w:t>
      </w:r>
      <w:r w:rsidRPr="003B1ACE">
        <w:rPr>
          <w:rFonts w:eastAsia="Calibri" w:cs="Times New Roman"/>
        </w:rPr>
        <w:t xml:space="preserve"> información útil para elegir su administradora</w:t>
      </w:r>
      <w:r w:rsidR="009F555B">
        <w:rPr>
          <w:rFonts w:eastAsia="Calibri" w:cs="Times New Roman"/>
        </w:rPr>
        <w:t>, s</w:t>
      </w:r>
      <w:r w:rsidRPr="003B1ACE">
        <w:rPr>
          <w:rFonts w:eastAsia="Calibri" w:cs="Times New Roman"/>
        </w:rPr>
        <w:t xml:space="preserve">in </w:t>
      </w:r>
      <w:r w:rsidR="006556A8">
        <w:rPr>
          <w:rFonts w:eastAsia="Calibri" w:cs="Times New Roman"/>
        </w:rPr>
        <w:t xml:space="preserve">embargo, no contiene </w:t>
      </w:r>
      <w:r w:rsidRPr="003B1ACE">
        <w:rPr>
          <w:rFonts w:eastAsia="Calibri" w:cs="Times New Roman"/>
        </w:rPr>
        <w:t xml:space="preserve">información comercial y estratégica </w:t>
      </w:r>
      <w:r w:rsidR="00941E28">
        <w:rPr>
          <w:rFonts w:eastAsia="Calibri" w:cs="Times New Roman"/>
        </w:rPr>
        <w:t>de</w:t>
      </w:r>
      <w:r w:rsidRPr="003B1ACE">
        <w:rPr>
          <w:rFonts w:eastAsia="Calibri" w:cs="Times New Roman"/>
        </w:rPr>
        <w:t xml:space="preserve"> cada </w:t>
      </w:r>
      <w:r w:rsidR="006556A8">
        <w:rPr>
          <w:rFonts w:eastAsia="Calibri" w:cs="Times New Roman"/>
        </w:rPr>
        <w:t>de cada operadora</w:t>
      </w:r>
      <w:r w:rsidRPr="003B1ACE">
        <w:rPr>
          <w:rFonts w:eastAsia="Calibri" w:cs="Times New Roman"/>
        </w:rPr>
        <w:t>.</w:t>
      </w:r>
      <w:r w:rsidR="00AE69F4">
        <w:rPr>
          <w:rFonts w:eastAsia="Calibri" w:cs="Times New Roman"/>
        </w:rPr>
        <w:t xml:space="preserve"> Este artículo señala: </w:t>
      </w:r>
    </w:p>
    <w:p w14:paraId="12B03651" w14:textId="0C649912" w:rsidR="007839A9" w:rsidRDefault="007839A9" w:rsidP="00AC05D7">
      <w:pPr>
        <w:spacing w:line="240" w:lineRule="auto"/>
        <w:jc w:val="both"/>
        <w:rPr>
          <w:rFonts w:eastAsia="Calibri" w:cs="Times New Roman"/>
        </w:rPr>
      </w:pPr>
    </w:p>
    <w:p w14:paraId="71A7E15B" w14:textId="77777777" w:rsidR="00D0337E" w:rsidRPr="007B675E" w:rsidRDefault="00D0337E" w:rsidP="007B675E">
      <w:pPr>
        <w:spacing w:line="240" w:lineRule="auto"/>
        <w:ind w:left="284"/>
        <w:jc w:val="both"/>
        <w:rPr>
          <w:rFonts w:eastAsia="Calibri" w:cs="Times New Roman"/>
          <w:i/>
          <w:iCs/>
          <w:sz w:val="22"/>
        </w:rPr>
      </w:pPr>
      <w:r w:rsidRPr="007B675E">
        <w:rPr>
          <w:rFonts w:eastAsia="Calibri" w:cs="Times New Roman"/>
          <w:i/>
          <w:iCs/>
          <w:sz w:val="22"/>
        </w:rPr>
        <w:t>Artículo 75. Folleto para el público en general</w:t>
      </w:r>
    </w:p>
    <w:p w14:paraId="73E007B9" w14:textId="77777777" w:rsidR="00D0337E" w:rsidRPr="007B675E" w:rsidRDefault="00D0337E" w:rsidP="007B675E">
      <w:pPr>
        <w:spacing w:line="240" w:lineRule="auto"/>
        <w:ind w:left="284"/>
        <w:jc w:val="both"/>
        <w:rPr>
          <w:rFonts w:eastAsia="Calibri" w:cs="Times New Roman"/>
          <w:i/>
          <w:iCs/>
          <w:sz w:val="22"/>
        </w:rPr>
      </w:pPr>
      <w:r w:rsidRPr="007B675E">
        <w:rPr>
          <w:rFonts w:eastAsia="Calibri" w:cs="Times New Roman"/>
          <w:i/>
          <w:iCs/>
          <w:sz w:val="22"/>
        </w:rPr>
        <w:t>La entidad regulada debe mantener en todo momento a disposición de los afiliados y pensionados un documento en el que se declaren aspectos básicos y relevantes para información y toma de decisiones de éstos. Este documento debe contener como mínimo, lo siguiente:</w:t>
      </w:r>
    </w:p>
    <w:p w14:paraId="74953E30" w14:textId="77777777" w:rsidR="00D0337E" w:rsidRPr="007B675E" w:rsidRDefault="00D0337E" w:rsidP="007B675E">
      <w:pPr>
        <w:spacing w:line="240" w:lineRule="auto"/>
        <w:ind w:left="284"/>
        <w:jc w:val="both"/>
        <w:rPr>
          <w:rFonts w:eastAsia="Calibri" w:cs="Times New Roman"/>
          <w:i/>
          <w:iCs/>
          <w:sz w:val="22"/>
        </w:rPr>
      </w:pPr>
      <w:r w:rsidRPr="007B675E">
        <w:rPr>
          <w:rFonts w:eastAsia="Calibri" w:cs="Times New Roman"/>
          <w:i/>
          <w:iCs/>
          <w:sz w:val="22"/>
        </w:rPr>
        <w:t>a. Miembros del Órgano de Dirección, de la Alta Gerencia y comités técnicos.</w:t>
      </w:r>
    </w:p>
    <w:p w14:paraId="1C7FAC8E" w14:textId="77777777" w:rsidR="00D0337E" w:rsidRPr="007B675E" w:rsidRDefault="00D0337E" w:rsidP="007B675E">
      <w:pPr>
        <w:spacing w:line="240" w:lineRule="auto"/>
        <w:ind w:left="284"/>
        <w:jc w:val="both"/>
        <w:rPr>
          <w:rFonts w:eastAsia="Calibri" w:cs="Times New Roman"/>
          <w:i/>
          <w:iCs/>
          <w:sz w:val="22"/>
        </w:rPr>
      </w:pPr>
      <w:r w:rsidRPr="007B675E">
        <w:rPr>
          <w:rFonts w:eastAsia="Calibri" w:cs="Times New Roman"/>
          <w:i/>
          <w:iCs/>
          <w:sz w:val="22"/>
        </w:rPr>
        <w:t>b. Resumen de la formación y experiencia de cada uno de los miembros de los órganos indicados en el literal a., que sustente su idoneidad para el desempeño de sus labores.</w:t>
      </w:r>
    </w:p>
    <w:p w14:paraId="690B7377" w14:textId="77777777" w:rsidR="00D0337E" w:rsidRPr="007B675E" w:rsidRDefault="00D0337E" w:rsidP="007B675E">
      <w:pPr>
        <w:spacing w:line="240" w:lineRule="auto"/>
        <w:ind w:left="284"/>
        <w:jc w:val="both"/>
        <w:rPr>
          <w:rFonts w:eastAsia="Calibri" w:cs="Times New Roman"/>
          <w:i/>
          <w:iCs/>
          <w:sz w:val="22"/>
        </w:rPr>
      </w:pPr>
      <w:r w:rsidRPr="007B675E">
        <w:rPr>
          <w:rFonts w:eastAsia="Calibri" w:cs="Times New Roman"/>
          <w:i/>
          <w:iCs/>
          <w:sz w:val="22"/>
        </w:rPr>
        <w:t>c. Declaración de los riesgos del portafolio y resumen del apetito de riesgo.</w:t>
      </w:r>
    </w:p>
    <w:p w14:paraId="775978B0" w14:textId="77777777" w:rsidR="00D0337E" w:rsidRPr="007B675E" w:rsidRDefault="00D0337E" w:rsidP="007B675E">
      <w:pPr>
        <w:spacing w:line="240" w:lineRule="auto"/>
        <w:ind w:left="284"/>
        <w:jc w:val="both"/>
        <w:rPr>
          <w:rFonts w:eastAsia="Calibri" w:cs="Times New Roman"/>
          <w:i/>
          <w:iCs/>
          <w:sz w:val="22"/>
        </w:rPr>
      </w:pPr>
      <w:r w:rsidRPr="007B675E">
        <w:rPr>
          <w:rFonts w:eastAsia="Calibri" w:cs="Times New Roman"/>
          <w:i/>
          <w:iCs/>
          <w:sz w:val="22"/>
        </w:rPr>
        <w:t>d. Información sobre los activos en los cuales pueden invertir y proporciones autorizadas, así como las inversiones en activos socialmente responsables y el beneficio que estos conllevan.</w:t>
      </w:r>
    </w:p>
    <w:p w14:paraId="3E77FDAF" w14:textId="77777777" w:rsidR="00D0337E" w:rsidRPr="007B675E" w:rsidRDefault="00D0337E" w:rsidP="007B675E">
      <w:pPr>
        <w:spacing w:line="240" w:lineRule="auto"/>
        <w:ind w:left="284"/>
        <w:jc w:val="both"/>
        <w:rPr>
          <w:rFonts w:eastAsia="Calibri" w:cs="Times New Roman"/>
          <w:i/>
          <w:iCs/>
          <w:sz w:val="22"/>
        </w:rPr>
      </w:pPr>
      <w:r w:rsidRPr="007B675E">
        <w:rPr>
          <w:rFonts w:eastAsia="Calibri" w:cs="Times New Roman"/>
          <w:i/>
          <w:iCs/>
          <w:sz w:val="22"/>
        </w:rPr>
        <w:t>e. Resumen de políticas ante excesos de inversiones y pérdida de requisitos.</w:t>
      </w:r>
    </w:p>
    <w:p w14:paraId="1C4C0542" w14:textId="77777777" w:rsidR="00D0337E" w:rsidRPr="007B675E" w:rsidRDefault="00D0337E" w:rsidP="007B675E">
      <w:pPr>
        <w:spacing w:line="240" w:lineRule="auto"/>
        <w:ind w:left="284"/>
        <w:jc w:val="both"/>
        <w:rPr>
          <w:rFonts w:eastAsia="Calibri" w:cs="Times New Roman"/>
          <w:i/>
          <w:iCs/>
          <w:sz w:val="22"/>
        </w:rPr>
      </w:pPr>
      <w:r w:rsidRPr="007B675E">
        <w:rPr>
          <w:rFonts w:eastAsia="Calibri" w:cs="Times New Roman"/>
          <w:i/>
          <w:iCs/>
          <w:sz w:val="22"/>
        </w:rPr>
        <w:t>f. Resumen del portafolio de inversiones local e internacional y su comparación con los límites establecidos.</w:t>
      </w:r>
    </w:p>
    <w:p w14:paraId="2B7270EC" w14:textId="77777777" w:rsidR="00D0337E" w:rsidRPr="007B675E" w:rsidRDefault="00D0337E" w:rsidP="007B675E">
      <w:pPr>
        <w:spacing w:line="240" w:lineRule="auto"/>
        <w:ind w:left="284"/>
        <w:jc w:val="both"/>
        <w:rPr>
          <w:rFonts w:eastAsia="Calibri" w:cs="Times New Roman"/>
          <w:i/>
          <w:iCs/>
          <w:sz w:val="22"/>
        </w:rPr>
      </w:pPr>
      <w:r w:rsidRPr="007B675E">
        <w:rPr>
          <w:rFonts w:eastAsia="Calibri" w:cs="Times New Roman"/>
          <w:i/>
          <w:iCs/>
          <w:sz w:val="22"/>
        </w:rPr>
        <w:t>g. Porcentaje de comisiones al afiliado y pensionado.</w:t>
      </w:r>
    </w:p>
    <w:p w14:paraId="6062CD32" w14:textId="77777777" w:rsidR="00D0337E" w:rsidRPr="007B675E" w:rsidRDefault="00D0337E" w:rsidP="007B675E">
      <w:pPr>
        <w:spacing w:line="240" w:lineRule="auto"/>
        <w:ind w:left="284"/>
        <w:jc w:val="both"/>
        <w:rPr>
          <w:rFonts w:eastAsia="Calibri" w:cs="Times New Roman"/>
          <w:i/>
          <w:iCs/>
          <w:sz w:val="22"/>
        </w:rPr>
      </w:pPr>
      <w:r w:rsidRPr="007B675E">
        <w:rPr>
          <w:rFonts w:eastAsia="Calibri" w:cs="Times New Roman"/>
          <w:i/>
          <w:iCs/>
          <w:sz w:val="22"/>
        </w:rPr>
        <w:t>h. Información sobre la rentabilidad de los fondos.</w:t>
      </w:r>
    </w:p>
    <w:p w14:paraId="4966F199" w14:textId="77777777" w:rsidR="00D0337E" w:rsidRPr="007B675E" w:rsidRDefault="00D0337E" w:rsidP="007B675E">
      <w:pPr>
        <w:spacing w:line="240" w:lineRule="auto"/>
        <w:ind w:left="284"/>
        <w:jc w:val="both"/>
        <w:rPr>
          <w:rFonts w:eastAsia="Calibri" w:cs="Times New Roman"/>
          <w:i/>
          <w:iCs/>
          <w:sz w:val="22"/>
        </w:rPr>
      </w:pPr>
      <w:r w:rsidRPr="007B675E">
        <w:rPr>
          <w:rFonts w:eastAsia="Calibri" w:cs="Times New Roman"/>
          <w:i/>
          <w:iCs/>
          <w:sz w:val="22"/>
        </w:rPr>
        <w:t>i. Datos de contacto para consultas.</w:t>
      </w:r>
    </w:p>
    <w:p w14:paraId="0D20889C" w14:textId="0960B856" w:rsidR="007839A9" w:rsidRPr="007839A9" w:rsidRDefault="00D0337E" w:rsidP="007B675E">
      <w:pPr>
        <w:spacing w:line="240" w:lineRule="auto"/>
        <w:ind w:left="284"/>
        <w:jc w:val="both"/>
        <w:rPr>
          <w:rFonts w:eastAsia="Calibri" w:cs="Times New Roman"/>
        </w:rPr>
      </w:pPr>
      <w:r w:rsidRPr="007B675E">
        <w:rPr>
          <w:rFonts w:eastAsia="Calibri" w:cs="Times New Roman"/>
          <w:i/>
          <w:iCs/>
          <w:sz w:val="22"/>
        </w:rPr>
        <w:lastRenderedPageBreak/>
        <w:t xml:space="preserve">Este documento debe ser actualizado al menos anualmente y estar disponible electrónicamente para los interesados y físicamente ante solicitud de los afiliados y pensionados. </w:t>
      </w:r>
      <w:r w:rsidRPr="00D0337E">
        <w:rPr>
          <w:rFonts w:eastAsia="Calibri" w:cs="Times New Roman"/>
        </w:rPr>
        <w:t xml:space="preserve"> [Énfasis propio.]</w:t>
      </w:r>
    </w:p>
    <w:p w14:paraId="5E1967A9" w14:textId="77777777" w:rsidR="007839A9" w:rsidRPr="007839A9" w:rsidRDefault="007839A9" w:rsidP="00AC05D7">
      <w:pPr>
        <w:spacing w:line="240" w:lineRule="auto"/>
        <w:jc w:val="both"/>
        <w:rPr>
          <w:rFonts w:eastAsia="Calibri" w:cs="Times New Roman"/>
        </w:rPr>
      </w:pPr>
    </w:p>
    <w:p w14:paraId="5A572083" w14:textId="775A1122" w:rsidR="00837064" w:rsidRDefault="00D6155B" w:rsidP="00AC05D7">
      <w:pPr>
        <w:spacing w:line="240" w:lineRule="auto"/>
        <w:jc w:val="both"/>
        <w:rPr>
          <w:rFonts w:eastAsia="Calibri" w:cs="Times New Roman"/>
        </w:rPr>
      </w:pPr>
      <w:r>
        <w:rPr>
          <w:rFonts w:eastAsia="Calibri" w:cs="Times New Roman"/>
        </w:rPr>
        <w:t>Respecto a la política de riesgos, no existe</w:t>
      </w:r>
      <w:r w:rsidR="00190149">
        <w:rPr>
          <w:rFonts w:eastAsia="Calibri" w:cs="Times New Roman"/>
        </w:rPr>
        <w:t xml:space="preserve"> en la normativa un documento con esa denominación, sin embargo, </w:t>
      </w:r>
      <w:r w:rsidR="000724BA">
        <w:rPr>
          <w:rFonts w:eastAsia="Calibri" w:cs="Times New Roman"/>
        </w:rPr>
        <w:t>por las razones señaladas</w:t>
      </w:r>
      <w:r w:rsidR="00AE69F4">
        <w:rPr>
          <w:rFonts w:eastAsia="Calibri" w:cs="Times New Roman"/>
        </w:rPr>
        <w:t>,</w:t>
      </w:r>
      <w:r w:rsidR="000724BA">
        <w:rPr>
          <w:rFonts w:eastAsia="Calibri" w:cs="Times New Roman"/>
        </w:rPr>
        <w:t xml:space="preserve"> </w:t>
      </w:r>
      <w:r w:rsidR="00190149">
        <w:rPr>
          <w:rFonts w:eastAsia="Calibri" w:cs="Times New Roman"/>
        </w:rPr>
        <w:t>la</w:t>
      </w:r>
      <w:r w:rsidR="00837064">
        <w:rPr>
          <w:rFonts w:eastAsia="Calibri" w:cs="Times New Roman"/>
        </w:rPr>
        <w:t>s</w:t>
      </w:r>
      <w:r w:rsidR="00190149">
        <w:rPr>
          <w:rFonts w:eastAsia="Calibri" w:cs="Times New Roman"/>
        </w:rPr>
        <w:t xml:space="preserve"> decisiones que la entidad tome respecto a los riesgos </w:t>
      </w:r>
      <w:r w:rsidR="00DC5670">
        <w:rPr>
          <w:rFonts w:eastAsia="Calibri" w:cs="Times New Roman"/>
        </w:rPr>
        <w:t>son</w:t>
      </w:r>
      <w:r w:rsidR="00190149">
        <w:rPr>
          <w:rFonts w:eastAsia="Calibri" w:cs="Times New Roman"/>
        </w:rPr>
        <w:t xml:space="preserve"> también estratégica</w:t>
      </w:r>
      <w:r w:rsidR="00DC5670">
        <w:rPr>
          <w:rFonts w:eastAsia="Calibri" w:cs="Times New Roman"/>
        </w:rPr>
        <w:t>s</w:t>
      </w:r>
      <w:r w:rsidR="00190149">
        <w:rPr>
          <w:rFonts w:eastAsia="Calibri" w:cs="Times New Roman"/>
        </w:rPr>
        <w:t xml:space="preserve"> y</w:t>
      </w:r>
      <w:r w:rsidR="0059631F">
        <w:rPr>
          <w:rFonts w:eastAsia="Calibri" w:cs="Times New Roman"/>
        </w:rPr>
        <w:t xml:space="preserve"> </w:t>
      </w:r>
      <w:r w:rsidR="00941E28">
        <w:rPr>
          <w:rFonts w:eastAsia="Calibri" w:cs="Times New Roman"/>
        </w:rPr>
        <w:t>confidencial</w:t>
      </w:r>
      <w:r w:rsidR="00DC5670">
        <w:rPr>
          <w:rFonts w:eastAsia="Calibri" w:cs="Times New Roman"/>
        </w:rPr>
        <w:t>es</w:t>
      </w:r>
      <w:r w:rsidR="0059631F">
        <w:rPr>
          <w:rFonts w:eastAsia="Calibri" w:cs="Times New Roman"/>
        </w:rPr>
        <w:t xml:space="preserve">.  Únicamente </w:t>
      </w:r>
      <w:r w:rsidR="00837064">
        <w:rPr>
          <w:rFonts w:eastAsia="Calibri" w:cs="Times New Roman"/>
        </w:rPr>
        <w:t>la superintendencia podría requerir esta información para efectos de supervisión.</w:t>
      </w:r>
    </w:p>
    <w:p w14:paraId="117AF773" w14:textId="0967488E" w:rsidR="00D6155B" w:rsidRDefault="00190149" w:rsidP="00AC05D7">
      <w:pPr>
        <w:spacing w:line="240" w:lineRule="auto"/>
        <w:jc w:val="both"/>
        <w:rPr>
          <w:rFonts w:eastAsia="Calibri" w:cs="Times New Roman"/>
        </w:rPr>
      </w:pPr>
      <w:r>
        <w:rPr>
          <w:rFonts w:eastAsia="Calibri" w:cs="Times New Roman"/>
        </w:rPr>
        <w:t xml:space="preserve">  </w:t>
      </w:r>
    </w:p>
    <w:p w14:paraId="0FAAB456" w14:textId="2F949615" w:rsidR="007839A9" w:rsidRPr="007839A9" w:rsidRDefault="007839A9" w:rsidP="00AC05D7">
      <w:pPr>
        <w:spacing w:line="240" w:lineRule="auto"/>
        <w:jc w:val="both"/>
        <w:rPr>
          <w:rFonts w:eastAsia="Calibri" w:cs="Times New Roman"/>
        </w:rPr>
      </w:pPr>
      <w:r w:rsidRPr="007839A9">
        <w:rPr>
          <w:rFonts w:eastAsia="Calibri" w:cs="Times New Roman"/>
        </w:rPr>
        <w:t xml:space="preserve">De manera que </w:t>
      </w:r>
      <w:r w:rsidR="004D3BC2">
        <w:rPr>
          <w:rFonts w:eastAsia="Calibri" w:cs="Times New Roman"/>
        </w:rPr>
        <w:t xml:space="preserve">existe una </w:t>
      </w:r>
      <w:r w:rsidRPr="007839A9">
        <w:rPr>
          <w:rFonts w:eastAsia="Calibri" w:cs="Times New Roman"/>
        </w:rPr>
        <w:t xml:space="preserve">protección constitucional de la información privada de las operadoras de pensiones, incluyendo la política de inversiones </w:t>
      </w:r>
      <w:r w:rsidR="00837064">
        <w:rPr>
          <w:rFonts w:eastAsia="Calibri" w:cs="Times New Roman"/>
        </w:rPr>
        <w:t>y las decisiones relacionadas con los riesgos</w:t>
      </w:r>
      <w:r w:rsidRPr="007839A9">
        <w:rPr>
          <w:rFonts w:eastAsia="Calibri" w:cs="Times New Roman"/>
        </w:rPr>
        <w:t xml:space="preserve">, </w:t>
      </w:r>
      <w:r w:rsidR="00CE26C8">
        <w:rPr>
          <w:rFonts w:eastAsia="Calibri" w:cs="Times New Roman"/>
        </w:rPr>
        <w:t xml:space="preserve">en consecuencia, es confidencial.  Lo anterior, </w:t>
      </w:r>
      <w:r w:rsidRPr="007839A9">
        <w:rPr>
          <w:rFonts w:eastAsia="Calibri" w:cs="Times New Roman"/>
        </w:rPr>
        <w:t>sin menoscabo de las obligaciones de transparencia e información al público que se ven atendidas por la remisión periódica del estado de cuenta y la publicación del folleto para el público en general.</w:t>
      </w:r>
    </w:p>
    <w:p w14:paraId="22D4F6F9" w14:textId="77777777" w:rsidR="007839A9" w:rsidRPr="007839A9" w:rsidRDefault="007839A9" w:rsidP="00AC05D7">
      <w:pPr>
        <w:spacing w:line="240" w:lineRule="auto"/>
        <w:jc w:val="both"/>
        <w:rPr>
          <w:rFonts w:eastAsia="Calibri" w:cs="Times New Roman"/>
        </w:rPr>
      </w:pPr>
    </w:p>
    <w:p w14:paraId="5477AF17" w14:textId="00A2405D" w:rsidR="007839A9" w:rsidRPr="00912D39" w:rsidRDefault="002E4968" w:rsidP="00AC05D7">
      <w:pPr>
        <w:pStyle w:val="Prrafodelista"/>
        <w:numPr>
          <w:ilvl w:val="0"/>
          <w:numId w:val="2"/>
        </w:numPr>
        <w:spacing w:line="240" w:lineRule="auto"/>
        <w:jc w:val="both"/>
        <w:rPr>
          <w:rFonts w:eastAsia="Calibri" w:cs="Times New Roman"/>
          <w:b/>
          <w:bCs/>
        </w:rPr>
      </w:pPr>
      <w:r w:rsidRPr="00912D39">
        <w:rPr>
          <w:rFonts w:eastAsia="Calibri" w:cs="Times New Roman"/>
          <w:b/>
          <w:bCs/>
        </w:rPr>
        <w:t>Conclusión</w:t>
      </w:r>
    </w:p>
    <w:p w14:paraId="6B8BF0BF" w14:textId="040E055C" w:rsidR="002E4968" w:rsidRDefault="002E4968" w:rsidP="00AC05D7">
      <w:pPr>
        <w:spacing w:line="240" w:lineRule="auto"/>
        <w:jc w:val="both"/>
        <w:rPr>
          <w:rFonts w:eastAsia="Calibri" w:cs="Times New Roman"/>
        </w:rPr>
      </w:pPr>
    </w:p>
    <w:p w14:paraId="28F05CF6" w14:textId="05BEBC3A" w:rsidR="002E4968" w:rsidRPr="00160687" w:rsidRDefault="002E4968" w:rsidP="00AF415F">
      <w:pPr>
        <w:pStyle w:val="Prrafodelista"/>
        <w:numPr>
          <w:ilvl w:val="0"/>
          <w:numId w:val="3"/>
        </w:numPr>
        <w:spacing w:line="240" w:lineRule="auto"/>
        <w:ind w:left="360"/>
        <w:jc w:val="both"/>
        <w:rPr>
          <w:rFonts w:eastAsia="Calibri" w:cs="Times New Roman"/>
        </w:rPr>
      </w:pPr>
      <w:r w:rsidRPr="00160687">
        <w:rPr>
          <w:rFonts w:eastAsia="Calibri" w:cs="Times New Roman"/>
        </w:rPr>
        <w:t>Las operadoras de pensiones son sociedades anónimas</w:t>
      </w:r>
      <w:r w:rsidR="000F4FC6" w:rsidRPr="00160687">
        <w:rPr>
          <w:rFonts w:eastAsia="Calibri" w:cs="Times New Roman"/>
        </w:rPr>
        <w:t xml:space="preserve"> que</w:t>
      </w:r>
      <w:r w:rsidR="003E07BE">
        <w:rPr>
          <w:rFonts w:eastAsia="Calibri" w:cs="Times New Roman"/>
        </w:rPr>
        <w:t>, a pesar de que se</w:t>
      </w:r>
      <w:r w:rsidR="000F4FC6" w:rsidRPr="00160687">
        <w:rPr>
          <w:rFonts w:eastAsia="Calibri" w:cs="Times New Roman"/>
        </w:rPr>
        <w:t xml:space="preserve"> rigen por el derecho privado, </w:t>
      </w:r>
      <w:r w:rsidR="003E07BE">
        <w:rPr>
          <w:rFonts w:eastAsia="Calibri" w:cs="Times New Roman"/>
        </w:rPr>
        <w:t xml:space="preserve">están </w:t>
      </w:r>
      <w:r w:rsidR="000F4FC6" w:rsidRPr="00160687">
        <w:rPr>
          <w:rFonts w:eastAsia="Calibri" w:cs="Times New Roman"/>
        </w:rPr>
        <w:t xml:space="preserve">altamente reguladas debido a la </w:t>
      </w:r>
      <w:r w:rsidR="00B60DC0" w:rsidRPr="00160687">
        <w:rPr>
          <w:rFonts w:eastAsia="Calibri" w:cs="Times New Roman"/>
        </w:rPr>
        <w:t>importancia que tienen los recursos que administran.</w:t>
      </w:r>
    </w:p>
    <w:p w14:paraId="009A37BA" w14:textId="6EDE04C2" w:rsidR="00B60DC0" w:rsidRDefault="00B60DC0" w:rsidP="00AF415F">
      <w:pPr>
        <w:spacing w:line="240" w:lineRule="auto"/>
        <w:jc w:val="both"/>
        <w:rPr>
          <w:rFonts w:eastAsia="Calibri" w:cs="Times New Roman"/>
        </w:rPr>
      </w:pPr>
    </w:p>
    <w:p w14:paraId="56696C87" w14:textId="5B669347" w:rsidR="00B60DC0" w:rsidRPr="00160687" w:rsidRDefault="00B60DC0" w:rsidP="00AF415F">
      <w:pPr>
        <w:pStyle w:val="Prrafodelista"/>
        <w:numPr>
          <w:ilvl w:val="0"/>
          <w:numId w:val="3"/>
        </w:numPr>
        <w:spacing w:line="240" w:lineRule="auto"/>
        <w:ind w:left="360"/>
        <w:jc w:val="both"/>
        <w:rPr>
          <w:rFonts w:eastAsia="Calibri" w:cs="Times New Roman"/>
        </w:rPr>
      </w:pPr>
      <w:r w:rsidRPr="00160687">
        <w:rPr>
          <w:rFonts w:eastAsia="Calibri" w:cs="Times New Roman"/>
        </w:rPr>
        <w:t xml:space="preserve">Como </w:t>
      </w:r>
      <w:r w:rsidR="00422B1F" w:rsidRPr="00160687">
        <w:rPr>
          <w:rFonts w:eastAsia="Calibri" w:cs="Times New Roman"/>
        </w:rPr>
        <w:t>personas jurídicas</w:t>
      </w:r>
      <w:r w:rsidRPr="00160687">
        <w:rPr>
          <w:rFonts w:eastAsia="Calibri" w:cs="Times New Roman"/>
        </w:rPr>
        <w:t xml:space="preserve"> en </w:t>
      </w:r>
      <w:r w:rsidR="00422B1F" w:rsidRPr="00160687">
        <w:rPr>
          <w:rFonts w:eastAsia="Calibri" w:cs="Times New Roman"/>
        </w:rPr>
        <w:t xml:space="preserve">un mercado en </w:t>
      </w:r>
      <w:r w:rsidRPr="00160687">
        <w:rPr>
          <w:rFonts w:eastAsia="Calibri" w:cs="Times New Roman"/>
        </w:rPr>
        <w:t>competencia</w:t>
      </w:r>
      <w:r w:rsidR="00FC000F">
        <w:rPr>
          <w:rFonts w:eastAsia="Calibri" w:cs="Times New Roman"/>
        </w:rPr>
        <w:t>,</w:t>
      </w:r>
      <w:r w:rsidR="00422B1F" w:rsidRPr="00160687">
        <w:rPr>
          <w:rFonts w:eastAsia="Calibri" w:cs="Times New Roman"/>
        </w:rPr>
        <w:t xml:space="preserve"> </w:t>
      </w:r>
      <w:r w:rsidR="008C728C" w:rsidRPr="00160687">
        <w:rPr>
          <w:rFonts w:eastAsia="Calibri" w:cs="Times New Roman"/>
        </w:rPr>
        <w:t>los</w:t>
      </w:r>
      <w:r w:rsidR="00422B1F" w:rsidRPr="00160687">
        <w:rPr>
          <w:rFonts w:eastAsia="Calibri" w:cs="Times New Roman"/>
        </w:rPr>
        <w:t xml:space="preserve"> documentos</w:t>
      </w:r>
      <w:r w:rsidR="008C728C" w:rsidRPr="00160687">
        <w:rPr>
          <w:rFonts w:eastAsia="Calibri" w:cs="Times New Roman"/>
        </w:rPr>
        <w:t xml:space="preserve"> de las operadoras de pensiones</w:t>
      </w:r>
      <w:r w:rsidR="00B54C75" w:rsidRPr="00160687">
        <w:rPr>
          <w:rFonts w:eastAsia="Calibri" w:cs="Times New Roman"/>
        </w:rPr>
        <w:t>,</w:t>
      </w:r>
      <w:r w:rsidR="002C2A97" w:rsidRPr="00160687">
        <w:rPr>
          <w:rFonts w:eastAsia="Calibri" w:cs="Times New Roman"/>
        </w:rPr>
        <w:t xml:space="preserve"> incluida la política de inversiones</w:t>
      </w:r>
      <w:r w:rsidR="00EE3499">
        <w:rPr>
          <w:rFonts w:eastAsia="Calibri" w:cs="Times New Roman"/>
        </w:rPr>
        <w:t xml:space="preserve"> y las decisiones sobre riesgos</w:t>
      </w:r>
      <w:r w:rsidR="002C2A97" w:rsidRPr="00160687">
        <w:rPr>
          <w:rFonts w:eastAsia="Calibri" w:cs="Times New Roman"/>
        </w:rPr>
        <w:t>, son privados y confidenciales.</w:t>
      </w:r>
    </w:p>
    <w:p w14:paraId="465AE806" w14:textId="7FB8395D" w:rsidR="002C2A97" w:rsidRDefault="002C2A97" w:rsidP="00AF415F">
      <w:pPr>
        <w:spacing w:line="240" w:lineRule="auto"/>
        <w:jc w:val="both"/>
        <w:rPr>
          <w:rFonts w:eastAsia="Calibri" w:cs="Times New Roman"/>
        </w:rPr>
      </w:pPr>
    </w:p>
    <w:p w14:paraId="5050920D" w14:textId="515B1B04" w:rsidR="00870BC6" w:rsidRPr="00A6064F" w:rsidRDefault="008F2EDD" w:rsidP="00AF415F">
      <w:pPr>
        <w:pStyle w:val="Prrafodelista"/>
        <w:numPr>
          <w:ilvl w:val="0"/>
          <w:numId w:val="3"/>
        </w:numPr>
        <w:spacing w:line="240" w:lineRule="auto"/>
        <w:ind w:left="360"/>
        <w:jc w:val="both"/>
        <w:rPr>
          <w:rFonts w:eastAsia="Calibri" w:cs="Times New Roman"/>
        </w:rPr>
      </w:pPr>
      <w:r w:rsidRPr="00A6064F">
        <w:rPr>
          <w:rFonts w:eastAsia="Calibri" w:cs="Times New Roman"/>
        </w:rPr>
        <w:t>P</w:t>
      </w:r>
      <w:r w:rsidR="008F13E2" w:rsidRPr="00A6064F">
        <w:rPr>
          <w:rFonts w:eastAsia="Calibri" w:cs="Times New Roman"/>
        </w:rPr>
        <w:t xml:space="preserve">or ser </w:t>
      </w:r>
      <w:r w:rsidR="00AB1698" w:rsidRPr="00A6064F">
        <w:rPr>
          <w:rFonts w:eastAsia="Calibri" w:cs="Times New Roman"/>
        </w:rPr>
        <w:t>el</w:t>
      </w:r>
      <w:r w:rsidR="008F13E2" w:rsidRPr="00A6064F">
        <w:rPr>
          <w:rFonts w:eastAsia="Calibri" w:cs="Times New Roman"/>
        </w:rPr>
        <w:t xml:space="preserve"> mercado </w:t>
      </w:r>
      <w:r w:rsidR="00AB1698" w:rsidRPr="00A6064F">
        <w:rPr>
          <w:rFonts w:eastAsia="Calibri" w:cs="Times New Roman"/>
        </w:rPr>
        <w:t xml:space="preserve">de las operadoras de pensiones </w:t>
      </w:r>
      <w:r w:rsidR="008F13E2" w:rsidRPr="00A6064F">
        <w:rPr>
          <w:rFonts w:eastAsia="Calibri" w:cs="Times New Roman"/>
        </w:rPr>
        <w:t xml:space="preserve">altamente regulado, </w:t>
      </w:r>
      <w:r w:rsidR="00870BC6" w:rsidRPr="00A6064F">
        <w:rPr>
          <w:rFonts w:eastAsia="Calibri" w:cs="Times New Roman"/>
        </w:rPr>
        <w:t xml:space="preserve">también </w:t>
      </w:r>
      <w:r w:rsidR="009D087A" w:rsidRPr="00A6064F">
        <w:rPr>
          <w:rFonts w:eastAsia="Calibri" w:cs="Times New Roman"/>
        </w:rPr>
        <w:t>existen</w:t>
      </w:r>
      <w:r w:rsidR="008F13E2" w:rsidRPr="00A6064F">
        <w:rPr>
          <w:rFonts w:eastAsia="Calibri" w:cs="Times New Roman"/>
        </w:rPr>
        <w:t xml:space="preserve"> obligaciones de remitir información a la Superintendencia de Pensiones</w:t>
      </w:r>
      <w:r w:rsidR="00FC000F">
        <w:rPr>
          <w:rFonts w:eastAsia="Calibri" w:cs="Times New Roman"/>
        </w:rPr>
        <w:t>,</w:t>
      </w:r>
      <w:r w:rsidR="00934788">
        <w:rPr>
          <w:rFonts w:eastAsia="Calibri" w:cs="Times New Roman"/>
        </w:rPr>
        <w:t xml:space="preserve"> exclusivamente para efectos de supervisión</w:t>
      </w:r>
      <w:r w:rsidR="00FC000F">
        <w:rPr>
          <w:rFonts w:eastAsia="Calibri" w:cs="Times New Roman"/>
        </w:rPr>
        <w:t>,</w:t>
      </w:r>
      <w:r w:rsidR="008F13E2" w:rsidRPr="00A6064F">
        <w:rPr>
          <w:rFonts w:eastAsia="Calibri" w:cs="Times New Roman"/>
        </w:rPr>
        <w:t xml:space="preserve"> </w:t>
      </w:r>
      <w:r w:rsidR="00A6064F" w:rsidRPr="00A6064F">
        <w:rPr>
          <w:rFonts w:eastAsia="Calibri" w:cs="Times New Roman"/>
        </w:rPr>
        <w:t xml:space="preserve">así como </w:t>
      </w:r>
      <w:r w:rsidR="002A4CCF">
        <w:rPr>
          <w:rFonts w:eastAsia="Calibri" w:cs="Times New Roman"/>
        </w:rPr>
        <w:t xml:space="preserve">directamente </w:t>
      </w:r>
      <w:r w:rsidR="008F13E2" w:rsidRPr="00A6064F">
        <w:rPr>
          <w:rFonts w:eastAsia="Calibri" w:cs="Times New Roman"/>
        </w:rPr>
        <w:t xml:space="preserve">al afiliado </w:t>
      </w:r>
      <w:r w:rsidR="00AE59CD" w:rsidRPr="00A6064F">
        <w:rPr>
          <w:rFonts w:eastAsia="Calibri" w:cs="Times New Roman"/>
        </w:rPr>
        <w:t xml:space="preserve">por medio del estado de cuenta </w:t>
      </w:r>
      <w:r w:rsidR="008F13E2" w:rsidRPr="00A6064F">
        <w:rPr>
          <w:rFonts w:eastAsia="Calibri" w:cs="Times New Roman"/>
        </w:rPr>
        <w:t xml:space="preserve">y </w:t>
      </w:r>
      <w:r w:rsidR="002A4CCF">
        <w:rPr>
          <w:rFonts w:eastAsia="Calibri" w:cs="Times New Roman"/>
        </w:rPr>
        <w:t>de revela</w:t>
      </w:r>
      <w:r w:rsidR="00AE59CD">
        <w:rPr>
          <w:rFonts w:eastAsia="Calibri" w:cs="Times New Roman"/>
        </w:rPr>
        <w:t>ción</w:t>
      </w:r>
      <w:r w:rsidR="008F13E2" w:rsidRPr="00A6064F">
        <w:rPr>
          <w:rFonts w:eastAsia="Calibri" w:cs="Times New Roman"/>
        </w:rPr>
        <w:t xml:space="preserve"> público en general</w:t>
      </w:r>
      <w:r w:rsidR="00401C0F" w:rsidRPr="00A6064F">
        <w:rPr>
          <w:rFonts w:eastAsia="Calibri" w:cs="Times New Roman"/>
        </w:rPr>
        <w:t xml:space="preserve"> </w:t>
      </w:r>
      <w:r w:rsidR="001A76A8">
        <w:rPr>
          <w:rFonts w:eastAsia="Calibri" w:cs="Times New Roman"/>
        </w:rPr>
        <w:t xml:space="preserve">a </w:t>
      </w:r>
      <w:r w:rsidR="00C20F09">
        <w:rPr>
          <w:rFonts w:eastAsia="Calibri" w:cs="Times New Roman"/>
        </w:rPr>
        <w:t xml:space="preserve">través </w:t>
      </w:r>
      <w:r w:rsidR="00C20F09" w:rsidRPr="00A6064F">
        <w:rPr>
          <w:rFonts w:eastAsia="Calibri" w:cs="Times New Roman"/>
        </w:rPr>
        <w:t>del</w:t>
      </w:r>
      <w:r w:rsidR="001A76A8">
        <w:rPr>
          <w:rFonts w:eastAsia="Calibri" w:cs="Times New Roman"/>
        </w:rPr>
        <w:t xml:space="preserve"> denominado</w:t>
      </w:r>
      <w:r w:rsidR="00A32F88" w:rsidRPr="00A6064F">
        <w:rPr>
          <w:rFonts w:eastAsia="Calibri" w:cs="Times New Roman"/>
        </w:rPr>
        <w:t xml:space="preserve"> </w:t>
      </w:r>
      <w:r w:rsidR="00A32F88" w:rsidRPr="001A76A8">
        <w:rPr>
          <w:rFonts w:eastAsia="Calibri" w:cs="Times New Roman"/>
          <w:i/>
          <w:iCs/>
        </w:rPr>
        <w:t>folleto</w:t>
      </w:r>
      <w:r w:rsidR="001D335C">
        <w:rPr>
          <w:rFonts w:eastAsia="Calibri" w:cs="Times New Roman"/>
          <w:i/>
          <w:iCs/>
        </w:rPr>
        <w:t xml:space="preserve"> para el público en general</w:t>
      </w:r>
      <w:r w:rsidR="00A32F88" w:rsidRPr="00A6064F">
        <w:rPr>
          <w:rFonts w:eastAsia="Calibri" w:cs="Times New Roman"/>
        </w:rPr>
        <w:t>.</w:t>
      </w:r>
    </w:p>
    <w:p w14:paraId="66788D25" w14:textId="77777777" w:rsidR="00401C0F" w:rsidRPr="007839A9" w:rsidRDefault="00401C0F" w:rsidP="00AC05D7">
      <w:pPr>
        <w:spacing w:line="240" w:lineRule="auto"/>
        <w:jc w:val="both"/>
        <w:rPr>
          <w:rFonts w:eastAsia="Calibri" w:cs="Times New Roman"/>
        </w:rPr>
      </w:pPr>
    </w:p>
    <w:p w14:paraId="40A4E9AA" w14:textId="39B299C7" w:rsidR="008D7B94" w:rsidRDefault="008D7B94" w:rsidP="00AF415F">
      <w:pPr>
        <w:spacing w:line="240" w:lineRule="auto"/>
        <w:ind w:firstLine="708"/>
      </w:pPr>
      <w:r>
        <w:t xml:space="preserve">Realizado por:   </w:t>
      </w:r>
      <w:r w:rsidR="000634F8">
        <w:rPr>
          <w:noProof/>
        </w:rPr>
        <w:drawing>
          <wp:inline distT="0" distB="0" distL="0" distR="0" wp14:anchorId="20DCB475" wp14:editId="31034E0D">
            <wp:extent cx="889093" cy="770890"/>
            <wp:effectExtent l="0" t="0" r="6350" b="0"/>
            <wp:docPr id="4" name="Imagen 4" descr="Imagen que contiene objeto, gru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rma Jenory Díaz.png"/>
                    <pic:cNvPicPr/>
                  </pic:nvPicPr>
                  <pic:blipFill>
                    <a:blip r:embed="rId11"/>
                    <a:stretch>
                      <a:fillRect/>
                    </a:stretch>
                  </pic:blipFill>
                  <pic:spPr>
                    <a:xfrm>
                      <a:off x="0" y="0"/>
                      <a:ext cx="900988" cy="781204"/>
                    </a:xfrm>
                    <a:prstGeom prst="rect">
                      <a:avLst/>
                    </a:prstGeom>
                  </pic:spPr>
                </pic:pic>
              </a:graphicData>
            </a:graphic>
          </wp:inline>
        </w:drawing>
      </w:r>
      <w:r>
        <w:t xml:space="preserve">                 Aprobado por:</w:t>
      </w:r>
      <w:r w:rsidR="000634F8">
        <w:rPr>
          <w:noProof/>
        </w:rPr>
        <w:drawing>
          <wp:inline distT="0" distB="0" distL="0" distR="0" wp14:anchorId="13C243FB" wp14:editId="73011762">
            <wp:extent cx="1133475" cy="714375"/>
            <wp:effectExtent l="0" t="0" r="9525" b="9525"/>
            <wp:docPr id="5" name="Imagen 5"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lly .jpg"/>
                    <pic:cNvPicPr/>
                  </pic:nvPicPr>
                  <pic:blipFill>
                    <a:blip r:embed="rId12"/>
                    <a:stretch>
                      <a:fillRect/>
                    </a:stretch>
                  </pic:blipFill>
                  <pic:spPr>
                    <a:xfrm>
                      <a:off x="0" y="0"/>
                      <a:ext cx="1133475" cy="714375"/>
                    </a:xfrm>
                    <a:prstGeom prst="rect">
                      <a:avLst/>
                    </a:prstGeom>
                  </pic:spPr>
                </pic:pic>
              </a:graphicData>
            </a:graphic>
          </wp:inline>
        </w:drawing>
      </w:r>
    </w:p>
    <w:p w14:paraId="11A4F082" w14:textId="770DFED3" w:rsidR="008D7B94" w:rsidRDefault="008D7B94" w:rsidP="00AF415F">
      <w:pPr>
        <w:spacing w:line="240" w:lineRule="auto"/>
        <w:ind w:firstLine="708"/>
      </w:pPr>
      <w:r>
        <w:t xml:space="preserve">Jenory Díaz Molina, coordinadora            Nelly Vargas Hernández, directora  </w:t>
      </w:r>
    </w:p>
    <w:p w14:paraId="6EF5E6CD" w14:textId="26ABF631" w:rsidR="000634F8" w:rsidRDefault="000634F8" w:rsidP="00AF415F">
      <w:pPr>
        <w:spacing w:line="240" w:lineRule="auto"/>
        <w:ind w:firstLine="708"/>
      </w:pPr>
    </w:p>
    <w:p w14:paraId="2E107C03" w14:textId="0164D7F2" w:rsidR="000634F8" w:rsidRPr="000634F8" w:rsidRDefault="000634F8" w:rsidP="000634F8">
      <w:pPr>
        <w:spacing w:line="240" w:lineRule="auto"/>
        <w:ind w:firstLine="708"/>
        <w:jc w:val="center"/>
        <w:rPr>
          <w:b/>
          <w:bCs/>
        </w:rPr>
      </w:pPr>
      <w:r>
        <w:rPr>
          <w:b/>
          <w:bCs/>
        </w:rPr>
        <w:t xml:space="preserve">División Asesoría Jurídica </w:t>
      </w:r>
    </w:p>
    <w:sectPr w:rsidR="000634F8" w:rsidRPr="000634F8" w:rsidSect="00D029E6">
      <w:headerReference w:type="default" r:id="rId13"/>
      <w:footerReference w:type="default" r:id="rId14"/>
      <w:headerReference w:type="first" r:id="rId15"/>
      <w:footerReference w:type="first" r:id="rId16"/>
      <w:pgSz w:w="12240" w:h="15840" w:code="1"/>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16CEAD" w14:textId="77777777" w:rsidR="007839A9" w:rsidRDefault="007839A9" w:rsidP="00011FAB">
      <w:pPr>
        <w:spacing w:line="240" w:lineRule="auto"/>
      </w:pPr>
      <w:r>
        <w:separator/>
      </w:r>
    </w:p>
  </w:endnote>
  <w:endnote w:type="continuationSeparator" w:id="0">
    <w:p w14:paraId="5CB09F5D" w14:textId="77777777" w:rsidR="007839A9" w:rsidRDefault="007839A9" w:rsidP="00011F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8A211" w14:textId="77777777" w:rsidR="003621B6" w:rsidRDefault="003621B6" w:rsidP="003621B6">
    <w:pPr>
      <w:pStyle w:val="Piedepgina"/>
      <w:pBdr>
        <w:top w:val="single" w:sz="4" w:space="1" w:color="auto"/>
      </w:pBdr>
      <w:rPr>
        <w:i/>
        <w:szCs w:val="24"/>
      </w:rPr>
    </w:pPr>
  </w:p>
  <w:p w14:paraId="752E5D75" w14:textId="77777777" w:rsidR="009B3671" w:rsidRPr="00BE078A" w:rsidRDefault="004E09A4" w:rsidP="004E09A4">
    <w:pPr>
      <w:pStyle w:val="Piedepgina"/>
      <w:pBdr>
        <w:top w:val="single" w:sz="4" w:space="1" w:color="auto"/>
      </w:pBdr>
      <w:rPr>
        <w:szCs w:val="24"/>
      </w:rPr>
    </w:pPr>
    <w:r>
      <w:rPr>
        <w:i/>
        <w:szCs w:val="24"/>
      </w:rPr>
      <w:t>Teléfono 2243-4400</w:t>
    </w:r>
    <w:r>
      <w:rPr>
        <w:i/>
        <w:szCs w:val="24"/>
      </w:rPr>
      <w:tab/>
      <w:t>Fax 2243-4444</w:t>
    </w:r>
    <w:r>
      <w:rPr>
        <w:i/>
        <w:szCs w:val="24"/>
      </w:rPr>
      <w:tab/>
    </w:r>
    <w:hyperlink r:id="rId1" w:history="1">
      <w:r>
        <w:rPr>
          <w:rStyle w:val="Hipervnculo"/>
          <w:i/>
          <w:szCs w:val="24"/>
        </w:rPr>
        <w:t>supen@supen.fi.cr</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8214481"/>
      <w:docPartObj>
        <w:docPartGallery w:val="Page Numbers (Bottom of Page)"/>
        <w:docPartUnique/>
      </w:docPartObj>
    </w:sdtPr>
    <w:sdtEndPr/>
    <w:sdtContent>
      <w:p w14:paraId="2457BB81" w14:textId="0C7B5826" w:rsidR="009B69DC" w:rsidRDefault="009B69DC">
        <w:pPr>
          <w:pStyle w:val="Piedepgina"/>
          <w:jc w:val="right"/>
        </w:pPr>
        <w:r>
          <w:fldChar w:fldCharType="begin"/>
        </w:r>
        <w:r>
          <w:instrText>PAGE   \* MERGEFORMAT</w:instrText>
        </w:r>
        <w:r>
          <w:fldChar w:fldCharType="separate"/>
        </w:r>
        <w:r>
          <w:t>2</w:t>
        </w:r>
        <w:r>
          <w:fldChar w:fldCharType="end"/>
        </w:r>
      </w:p>
    </w:sdtContent>
  </w:sdt>
  <w:p w14:paraId="1CEA5CB6" w14:textId="77777777" w:rsidR="009B3671" w:rsidRPr="00BE078A" w:rsidRDefault="009B3671" w:rsidP="00CE6321">
    <w:pPr>
      <w:pStyle w:val="Piedepgina"/>
      <w:pBdr>
        <w:top w:val="single" w:sz="4" w:space="1" w:color="auto"/>
      </w:pBd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801ACD" w14:textId="77777777" w:rsidR="007839A9" w:rsidRDefault="007839A9" w:rsidP="00011FAB">
      <w:pPr>
        <w:spacing w:line="240" w:lineRule="auto"/>
      </w:pPr>
      <w:r>
        <w:separator/>
      </w:r>
    </w:p>
  </w:footnote>
  <w:footnote w:type="continuationSeparator" w:id="0">
    <w:p w14:paraId="4A9382F0" w14:textId="77777777" w:rsidR="007839A9" w:rsidRDefault="007839A9" w:rsidP="00011FAB">
      <w:pPr>
        <w:spacing w:line="240" w:lineRule="auto"/>
      </w:pPr>
      <w:r>
        <w:continuationSeparator/>
      </w:r>
    </w:p>
  </w:footnote>
  <w:footnote w:id="1">
    <w:p w14:paraId="2FEFC4FE" w14:textId="77777777" w:rsidR="007839A9" w:rsidRPr="00734CBF" w:rsidRDefault="007839A9" w:rsidP="00121135">
      <w:pPr>
        <w:pStyle w:val="Textonotapie"/>
        <w:jc w:val="both"/>
        <w:rPr>
          <w:rFonts w:ascii="Times New Roman" w:hAnsi="Times New Roman" w:cs="Times New Roman"/>
          <w:sz w:val="18"/>
          <w:szCs w:val="18"/>
          <w:lang w:val="es-CR"/>
        </w:rPr>
      </w:pPr>
      <w:r w:rsidRPr="00734CBF">
        <w:rPr>
          <w:rStyle w:val="Refdenotaalpie"/>
          <w:rFonts w:ascii="Times New Roman" w:hAnsi="Times New Roman" w:cs="Times New Roman"/>
          <w:sz w:val="18"/>
          <w:szCs w:val="18"/>
        </w:rPr>
        <w:footnoteRef/>
      </w:r>
      <w:r w:rsidRPr="00734CBF">
        <w:rPr>
          <w:rFonts w:ascii="Times New Roman" w:hAnsi="Times New Roman" w:cs="Times New Roman"/>
          <w:sz w:val="18"/>
          <w:szCs w:val="18"/>
        </w:rPr>
        <w:t xml:space="preserve"> IOPS, </w:t>
      </w:r>
      <w:r w:rsidRPr="00734CBF">
        <w:rPr>
          <w:rFonts w:ascii="Times New Roman" w:hAnsi="Times New Roman" w:cs="Times New Roman"/>
          <w:sz w:val="18"/>
          <w:szCs w:val="18"/>
          <w:lang w:val="es-CR"/>
        </w:rPr>
        <w:t>Directrices para la evaluación y supervisión de fondos de pensiones, 2008</w:t>
      </w:r>
    </w:p>
    <w:p w14:paraId="1C65058A" w14:textId="77777777" w:rsidR="007839A9" w:rsidRPr="00734CBF" w:rsidRDefault="009143FE" w:rsidP="00121135">
      <w:pPr>
        <w:pStyle w:val="Textonotapie"/>
        <w:jc w:val="both"/>
        <w:rPr>
          <w:rFonts w:ascii="Times New Roman" w:hAnsi="Times New Roman" w:cs="Times New Roman"/>
          <w:sz w:val="18"/>
          <w:szCs w:val="18"/>
          <w:lang w:val="es-CR"/>
        </w:rPr>
      </w:pPr>
      <w:hyperlink r:id="rId1" w:history="1">
        <w:r w:rsidR="007839A9" w:rsidRPr="00734CBF">
          <w:rPr>
            <w:rStyle w:val="Hipervnculo"/>
            <w:rFonts w:ascii="Times New Roman" w:hAnsi="Times New Roman" w:cs="Times New Roman"/>
            <w:sz w:val="18"/>
            <w:szCs w:val="18"/>
            <w:lang w:val="es-CR"/>
          </w:rPr>
          <w:t>http://www.aiosfp.org/documentos/4-directrices-para-la-evaluacion-y-supervision-de-fondos-de-pensiones/file.html</w:t>
        </w:r>
      </w:hyperlink>
    </w:p>
    <w:p w14:paraId="6A923AA0" w14:textId="77777777" w:rsidR="007839A9" w:rsidRPr="00D579F9" w:rsidRDefault="007839A9" w:rsidP="007839A9">
      <w:pPr>
        <w:pStyle w:val="Textonotapie"/>
        <w:rPr>
          <w:lang w:val="es-CR"/>
        </w:rPr>
      </w:pPr>
      <w:r>
        <w:rPr>
          <w:lang w:val="es-CR"/>
        </w:rPr>
        <w:t xml:space="preserve"> </w:t>
      </w:r>
    </w:p>
  </w:footnote>
  <w:footnote w:id="2">
    <w:p w14:paraId="06DFEE82" w14:textId="77777777" w:rsidR="007839A9" w:rsidRPr="00FE4447" w:rsidRDefault="007839A9" w:rsidP="00877AE9">
      <w:pPr>
        <w:pStyle w:val="Textonotapie"/>
        <w:jc w:val="both"/>
        <w:rPr>
          <w:lang w:val="es-CR"/>
        </w:rPr>
      </w:pPr>
      <w:r>
        <w:rPr>
          <w:rStyle w:val="Refdenotaalpie"/>
        </w:rPr>
        <w:footnoteRef/>
      </w:r>
      <w:r>
        <w:t xml:space="preserve"> </w:t>
      </w:r>
      <w:r w:rsidRPr="00D0337E">
        <w:rPr>
          <w:rFonts w:ascii="Times New Roman" w:hAnsi="Times New Roman" w:cs="Times New Roman"/>
          <w:sz w:val="18"/>
          <w:szCs w:val="18"/>
          <w:lang w:val="es-CR"/>
        </w:rPr>
        <w:t xml:space="preserve">Carbajales, Mariano, </w:t>
      </w:r>
      <w:r w:rsidRPr="00D0337E">
        <w:rPr>
          <w:rFonts w:ascii="Times New Roman" w:hAnsi="Times New Roman" w:cs="Times New Roman"/>
          <w:sz w:val="18"/>
          <w:szCs w:val="18"/>
          <w:u w:val="single"/>
          <w:lang w:val="es-CR"/>
        </w:rPr>
        <w:t>La regulación del mercado financiero. Hacia la autorregulación del mercado de valores</w:t>
      </w:r>
      <w:r w:rsidRPr="00D0337E">
        <w:rPr>
          <w:rFonts w:ascii="Times New Roman" w:hAnsi="Times New Roman" w:cs="Times New Roman"/>
          <w:sz w:val="18"/>
          <w:szCs w:val="18"/>
          <w:lang w:val="es-CR"/>
        </w:rPr>
        <w:t>, Editorial Marcial Pons, Madrid, 2006, pág. 36.</w:t>
      </w:r>
      <w:r>
        <w:rPr>
          <w:lang w:val="es-C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9C988" w14:textId="77777777" w:rsidR="004E09A4" w:rsidRDefault="004E09A4" w:rsidP="004E09A4">
    <w:pPr>
      <w:pStyle w:val="Encabezado"/>
      <w:jc w:val="both"/>
    </w:pPr>
    <w:r>
      <w:rPr>
        <w:noProof/>
      </w:rPr>
      <w:drawing>
        <wp:anchor distT="0" distB="0" distL="114300" distR="114300" simplePos="0" relativeHeight="251663360" behindDoc="0" locked="0" layoutInCell="1" allowOverlap="1" wp14:anchorId="48A4F447" wp14:editId="7B3C31E3">
          <wp:simplePos x="0" y="0"/>
          <wp:positionH relativeFrom="margin">
            <wp:align>right</wp:align>
          </wp:positionH>
          <wp:positionV relativeFrom="paragraph">
            <wp:posOffset>-164694</wp:posOffset>
          </wp:positionV>
          <wp:extent cx="950595" cy="615315"/>
          <wp:effectExtent l="0" t="0" r="1905"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50595" cy="615315"/>
                  </a:xfrm>
                  <a:prstGeom prst="rect">
                    <a:avLst/>
                  </a:prstGeom>
                </pic:spPr>
              </pic:pic>
            </a:graphicData>
          </a:graphic>
        </wp:anchor>
      </w:drawing>
    </w:r>
    <w:r>
      <w:rPr>
        <w:noProof/>
        <w:lang w:eastAsia="es-ES"/>
      </w:rPr>
      <w:drawing>
        <wp:anchor distT="0" distB="0" distL="114300" distR="114300" simplePos="0" relativeHeight="251662336" behindDoc="1" locked="0" layoutInCell="1" allowOverlap="1" wp14:anchorId="4F52D976" wp14:editId="386D516B">
          <wp:simplePos x="0" y="0"/>
          <wp:positionH relativeFrom="page">
            <wp:posOffset>812165</wp:posOffset>
          </wp:positionH>
          <wp:positionV relativeFrom="page">
            <wp:posOffset>184150</wp:posOffset>
          </wp:positionV>
          <wp:extent cx="1945005" cy="899795"/>
          <wp:effectExtent l="0" t="0" r="0" b="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5005" cy="899795"/>
                  </a:xfrm>
                  <a:prstGeom prst="rect">
                    <a:avLst/>
                  </a:prstGeom>
                  <a:noFill/>
                </pic:spPr>
              </pic:pic>
            </a:graphicData>
          </a:graphic>
          <wp14:sizeRelH relativeFrom="margin">
            <wp14:pctWidth>0</wp14:pctWidth>
          </wp14:sizeRelH>
          <wp14:sizeRelV relativeFrom="margin">
            <wp14:pctHeight>0</wp14:pctHeight>
          </wp14:sizeRelV>
        </wp:anchor>
      </w:drawing>
    </w:r>
  </w:p>
  <w:p w14:paraId="49D56F26" w14:textId="6B8F4549" w:rsidR="006B6689" w:rsidRPr="00092B79" w:rsidRDefault="00621251" w:rsidP="006B6689">
    <w:pPr>
      <w:pStyle w:val="Encabezado"/>
      <w:rPr>
        <w:b/>
        <w:i/>
        <w:noProof/>
        <w:szCs w:val="24"/>
      </w:rPr>
    </w:pPr>
    <w:r w:rsidRPr="00092B79">
      <w:rPr>
        <w:b/>
        <w:i/>
        <w:szCs w:val="24"/>
      </w:rPr>
      <w:fldChar w:fldCharType="begin"/>
    </w:r>
    <w:r w:rsidRPr="00092B79">
      <w:rPr>
        <w:b/>
        <w:i/>
        <w:szCs w:val="24"/>
      </w:rPr>
      <w:instrText xml:space="preserve"> STYLEREF  Supen_Encabezado  \* MERGEFORMAT </w:instrText>
    </w:r>
    <w:r w:rsidRPr="00092B79">
      <w:rPr>
        <w:b/>
        <w:i/>
        <w:szCs w:val="24"/>
      </w:rPr>
      <w:fldChar w:fldCharType="separate"/>
    </w:r>
    <w:r w:rsidR="009143FE">
      <w:rPr>
        <w:b/>
        <w:i/>
        <w:noProof/>
        <w:szCs w:val="24"/>
      </w:rPr>
      <w:t>PJD-18-2020</w:t>
    </w:r>
    <w:r w:rsidRPr="00092B79">
      <w:rPr>
        <w:b/>
        <w:i/>
        <w:noProof/>
        <w:szCs w:val="24"/>
      </w:rPr>
      <w:fldChar w:fldCharType="end"/>
    </w:r>
  </w:p>
  <w:p w14:paraId="1C15F1AE" w14:textId="77777777" w:rsidR="00DC38D9" w:rsidRDefault="00DC38D9" w:rsidP="006B6689">
    <w:pPr>
      <w:pStyle w:val="Encabezado"/>
      <w:rPr>
        <w:i/>
        <w:szCs w:val="24"/>
      </w:rPr>
    </w:pPr>
    <w:r w:rsidRPr="00DC38D9">
      <w:rPr>
        <w:i/>
        <w:szCs w:val="24"/>
        <w:lang w:val="es-MX"/>
      </w:rPr>
      <w:t xml:space="preserve">Página </w:t>
    </w:r>
    <w:r w:rsidRPr="00DC38D9">
      <w:rPr>
        <w:i/>
        <w:szCs w:val="24"/>
      </w:rPr>
      <w:fldChar w:fldCharType="begin"/>
    </w:r>
    <w:r w:rsidRPr="00DC38D9">
      <w:rPr>
        <w:i/>
        <w:szCs w:val="24"/>
      </w:rPr>
      <w:instrText>PAGE   \* MERGEFORMAT</w:instrText>
    </w:r>
    <w:r w:rsidRPr="00DC38D9">
      <w:rPr>
        <w:i/>
        <w:szCs w:val="24"/>
      </w:rPr>
      <w:fldChar w:fldCharType="separate"/>
    </w:r>
    <w:r w:rsidR="00647480">
      <w:rPr>
        <w:i/>
        <w:noProof/>
        <w:szCs w:val="24"/>
      </w:rPr>
      <w:t>2</w:t>
    </w:r>
    <w:r w:rsidRPr="00DC38D9">
      <w:rPr>
        <w:i/>
        <w:szCs w:val="24"/>
      </w:rPr>
      <w:fldChar w:fldCharType="end"/>
    </w:r>
  </w:p>
  <w:p w14:paraId="10E550C5" w14:textId="77777777" w:rsidR="00722522" w:rsidRPr="00DC38D9" w:rsidRDefault="00722522" w:rsidP="006B6689">
    <w:pPr>
      <w:pStyle w:val="Encabezado"/>
      <w:rPr>
        <w:i/>
        <w:szCs w:val="24"/>
        <w:lang w:val="es-MX"/>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C531F" w14:textId="77777777" w:rsidR="005D2EEB" w:rsidRDefault="005D2EEB" w:rsidP="005D2EEB">
    <w:pPr>
      <w:pStyle w:val="Encabezado"/>
      <w:jc w:val="both"/>
    </w:pPr>
    <w:r>
      <w:rPr>
        <w:noProof/>
      </w:rPr>
      <w:drawing>
        <wp:anchor distT="0" distB="0" distL="114300" distR="114300" simplePos="0" relativeHeight="251660288" behindDoc="0" locked="0" layoutInCell="1" allowOverlap="1" wp14:anchorId="54D94FA2" wp14:editId="2FD0EAEB">
          <wp:simplePos x="0" y="0"/>
          <wp:positionH relativeFrom="margin">
            <wp:align>right</wp:align>
          </wp:positionH>
          <wp:positionV relativeFrom="paragraph">
            <wp:posOffset>-164694</wp:posOffset>
          </wp:positionV>
          <wp:extent cx="950595" cy="615315"/>
          <wp:effectExtent l="0" t="0" r="1905"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50595" cy="615315"/>
                  </a:xfrm>
                  <a:prstGeom prst="rect">
                    <a:avLst/>
                  </a:prstGeom>
                </pic:spPr>
              </pic:pic>
            </a:graphicData>
          </a:graphic>
        </wp:anchor>
      </w:drawing>
    </w:r>
    <w:r>
      <w:rPr>
        <w:noProof/>
        <w:lang w:eastAsia="es-ES"/>
      </w:rPr>
      <w:drawing>
        <wp:anchor distT="0" distB="0" distL="114300" distR="114300" simplePos="0" relativeHeight="251659264" behindDoc="1" locked="0" layoutInCell="1" allowOverlap="1" wp14:anchorId="7CD116E1" wp14:editId="7C67A9F3">
          <wp:simplePos x="0" y="0"/>
          <wp:positionH relativeFrom="page">
            <wp:posOffset>812165</wp:posOffset>
          </wp:positionH>
          <wp:positionV relativeFrom="page">
            <wp:posOffset>184150</wp:posOffset>
          </wp:positionV>
          <wp:extent cx="1945005" cy="899795"/>
          <wp:effectExtent l="0" t="0" r="0" b="0"/>
          <wp:wrapTopAndBottom/>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5005" cy="89979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DC0E3D"/>
    <w:multiLevelType w:val="hybridMultilevel"/>
    <w:tmpl w:val="E10055F6"/>
    <w:lvl w:ilvl="0" w:tplc="140A0013">
      <w:start w:val="1"/>
      <w:numFmt w:val="upp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2FCA2000"/>
    <w:multiLevelType w:val="hybridMultilevel"/>
    <w:tmpl w:val="B830B246"/>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4871527D"/>
    <w:multiLevelType w:val="hybridMultilevel"/>
    <w:tmpl w:val="AB6E302A"/>
    <w:lvl w:ilvl="0" w:tplc="140A000F">
      <w:start w:val="1"/>
      <w:numFmt w:val="decimal"/>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readOnly" w:enforcement="1" w:cryptProviderType="rsaAES" w:cryptAlgorithmClass="hash" w:cryptAlgorithmType="typeAny" w:cryptAlgorithmSid="14" w:cryptSpinCount="100000" w:hash="mCIN9gJ2hUrwR+oDafxXr9zpjXeRQ9KwWxBVLrifak+FMa0sqnIcnOpJZ0R9ChyiKV6I/IPljsLTR5pXqh/S3A==" w:salt="yfNGrEBTpkxoKBaRjfhkqQ=="/>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9A9"/>
    <w:rsid w:val="00002041"/>
    <w:rsid w:val="00007FF3"/>
    <w:rsid w:val="000110BD"/>
    <w:rsid w:val="00011FAB"/>
    <w:rsid w:val="000165A0"/>
    <w:rsid w:val="00021ADD"/>
    <w:rsid w:val="00025387"/>
    <w:rsid w:val="000416AA"/>
    <w:rsid w:val="000421CB"/>
    <w:rsid w:val="00056FD7"/>
    <w:rsid w:val="000634F8"/>
    <w:rsid w:val="0006650E"/>
    <w:rsid w:val="000724BA"/>
    <w:rsid w:val="0007267F"/>
    <w:rsid w:val="00073787"/>
    <w:rsid w:val="0007461F"/>
    <w:rsid w:val="000760CD"/>
    <w:rsid w:val="00092B79"/>
    <w:rsid w:val="00095A2B"/>
    <w:rsid w:val="000977AF"/>
    <w:rsid w:val="000A6550"/>
    <w:rsid w:val="000A728F"/>
    <w:rsid w:val="000B4E27"/>
    <w:rsid w:val="000B6C88"/>
    <w:rsid w:val="000C6ED9"/>
    <w:rsid w:val="000F20BC"/>
    <w:rsid w:val="000F4FC6"/>
    <w:rsid w:val="00100D02"/>
    <w:rsid w:val="0011643A"/>
    <w:rsid w:val="00121135"/>
    <w:rsid w:val="001212A1"/>
    <w:rsid w:val="0012247C"/>
    <w:rsid w:val="00136D9F"/>
    <w:rsid w:val="001471F4"/>
    <w:rsid w:val="00160687"/>
    <w:rsid w:val="00171865"/>
    <w:rsid w:val="0017536C"/>
    <w:rsid w:val="001819A4"/>
    <w:rsid w:val="00190149"/>
    <w:rsid w:val="00194B72"/>
    <w:rsid w:val="001A4B75"/>
    <w:rsid w:val="001A76A8"/>
    <w:rsid w:val="001B67E6"/>
    <w:rsid w:val="001C7910"/>
    <w:rsid w:val="001D18BF"/>
    <w:rsid w:val="001D335C"/>
    <w:rsid w:val="001D3394"/>
    <w:rsid w:val="001F0345"/>
    <w:rsid w:val="00201FAE"/>
    <w:rsid w:val="002073B7"/>
    <w:rsid w:val="0022757C"/>
    <w:rsid w:val="002301AB"/>
    <w:rsid w:val="00254EB2"/>
    <w:rsid w:val="00261F6E"/>
    <w:rsid w:val="002764E5"/>
    <w:rsid w:val="00277C51"/>
    <w:rsid w:val="00282780"/>
    <w:rsid w:val="0028743F"/>
    <w:rsid w:val="00295482"/>
    <w:rsid w:val="002A4CCF"/>
    <w:rsid w:val="002C1B33"/>
    <w:rsid w:val="002C2A97"/>
    <w:rsid w:val="002D214D"/>
    <w:rsid w:val="002E4968"/>
    <w:rsid w:val="002F0201"/>
    <w:rsid w:val="00301817"/>
    <w:rsid w:val="00305EDC"/>
    <w:rsid w:val="003103B1"/>
    <w:rsid w:val="003155C5"/>
    <w:rsid w:val="003262D5"/>
    <w:rsid w:val="00347408"/>
    <w:rsid w:val="00347829"/>
    <w:rsid w:val="00360281"/>
    <w:rsid w:val="003621B6"/>
    <w:rsid w:val="00364C08"/>
    <w:rsid w:val="00374353"/>
    <w:rsid w:val="00375F56"/>
    <w:rsid w:val="00376C6E"/>
    <w:rsid w:val="00377CEE"/>
    <w:rsid w:val="00387CD6"/>
    <w:rsid w:val="003A06F4"/>
    <w:rsid w:val="003B1499"/>
    <w:rsid w:val="003B1ACE"/>
    <w:rsid w:val="003B667F"/>
    <w:rsid w:val="003C6DFA"/>
    <w:rsid w:val="003D35CA"/>
    <w:rsid w:val="003D4B4B"/>
    <w:rsid w:val="003E00AC"/>
    <w:rsid w:val="003E07BE"/>
    <w:rsid w:val="003E34DC"/>
    <w:rsid w:val="003E753C"/>
    <w:rsid w:val="00401C0F"/>
    <w:rsid w:val="004056AA"/>
    <w:rsid w:val="00410217"/>
    <w:rsid w:val="00413609"/>
    <w:rsid w:val="00413B95"/>
    <w:rsid w:val="00416CA0"/>
    <w:rsid w:val="00422B1F"/>
    <w:rsid w:val="00432490"/>
    <w:rsid w:val="004551C1"/>
    <w:rsid w:val="004565B1"/>
    <w:rsid w:val="00464393"/>
    <w:rsid w:val="00484927"/>
    <w:rsid w:val="00495EB4"/>
    <w:rsid w:val="004A2C15"/>
    <w:rsid w:val="004C3780"/>
    <w:rsid w:val="004D3BC2"/>
    <w:rsid w:val="004E09A4"/>
    <w:rsid w:val="004E0AD5"/>
    <w:rsid w:val="004F21B2"/>
    <w:rsid w:val="00503E21"/>
    <w:rsid w:val="0051039C"/>
    <w:rsid w:val="00525077"/>
    <w:rsid w:val="0052553D"/>
    <w:rsid w:val="00531ABF"/>
    <w:rsid w:val="00533D41"/>
    <w:rsid w:val="0055399B"/>
    <w:rsid w:val="00564927"/>
    <w:rsid w:val="00566FA3"/>
    <w:rsid w:val="00573EF2"/>
    <w:rsid w:val="0058107F"/>
    <w:rsid w:val="0059081B"/>
    <w:rsid w:val="0059631F"/>
    <w:rsid w:val="005A3B40"/>
    <w:rsid w:val="005C587A"/>
    <w:rsid w:val="005D2EEB"/>
    <w:rsid w:val="005D5D27"/>
    <w:rsid w:val="005D74C0"/>
    <w:rsid w:val="005E4A8B"/>
    <w:rsid w:val="005F630C"/>
    <w:rsid w:val="00621251"/>
    <w:rsid w:val="00630614"/>
    <w:rsid w:val="00632319"/>
    <w:rsid w:val="00647480"/>
    <w:rsid w:val="006507D3"/>
    <w:rsid w:val="00654243"/>
    <w:rsid w:val="006556A8"/>
    <w:rsid w:val="00655E70"/>
    <w:rsid w:val="0065637B"/>
    <w:rsid w:val="00672C08"/>
    <w:rsid w:val="00691329"/>
    <w:rsid w:val="00693D84"/>
    <w:rsid w:val="006B19EE"/>
    <w:rsid w:val="006B5FFF"/>
    <w:rsid w:val="006B6689"/>
    <w:rsid w:val="006C15F5"/>
    <w:rsid w:val="006C2977"/>
    <w:rsid w:val="006C46DA"/>
    <w:rsid w:val="006C5791"/>
    <w:rsid w:val="006D5A08"/>
    <w:rsid w:val="006D5B49"/>
    <w:rsid w:val="006D6C45"/>
    <w:rsid w:val="006F5308"/>
    <w:rsid w:val="007058C9"/>
    <w:rsid w:val="00722522"/>
    <w:rsid w:val="00734CBF"/>
    <w:rsid w:val="00737157"/>
    <w:rsid w:val="00756857"/>
    <w:rsid w:val="00756CBE"/>
    <w:rsid w:val="007573D4"/>
    <w:rsid w:val="00763296"/>
    <w:rsid w:val="007839A9"/>
    <w:rsid w:val="0079478E"/>
    <w:rsid w:val="007A74AC"/>
    <w:rsid w:val="007B5C89"/>
    <w:rsid w:val="007B675E"/>
    <w:rsid w:val="007C2006"/>
    <w:rsid w:val="007D711F"/>
    <w:rsid w:val="007E7168"/>
    <w:rsid w:val="007F16DB"/>
    <w:rsid w:val="007F2DDE"/>
    <w:rsid w:val="007F6C10"/>
    <w:rsid w:val="008051AB"/>
    <w:rsid w:val="0081075D"/>
    <w:rsid w:val="00813438"/>
    <w:rsid w:val="00823C29"/>
    <w:rsid w:val="00824BD1"/>
    <w:rsid w:val="00826EC1"/>
    <w:rsid w:val="008308B4"/>
    <w:rsid w:val="00832137"/>
    <w:rsid w:val="00832382"/>
    <w:rsid w:val="00837064"/>
    <w:rsid w:val="00841E75"/>
    <w:rsid w:val="00844AA1"/>
    <w:rsid w:val="00846EF9"/>
    <w:rsid w:val="0086468F"/>
    <w:rsid w:val="00870BC6"/>
    <w:rsid w:val="0087789B"/>
    <w:rsid w:val="00877AE9"/>
    <w:rsid w:val="00892545"/>
    <w:rsid w:val="008A098B"/>
    <w:rsid w:val="008A4005"/>
    <w:rsid w:val="008A4AF9"/>
    <w:rsid w:val="008B44FE"/>
    <w:rsid w:val="008B7715"/>
    <w:rsid w:val="008C728C"/>
    <w:rsid w:val="008D39C8"/>
    <w:rsid w:val="008D7B94"/>
    <w:rsid w:val="008F0D22"/>
    <w:rsid w:val="008F13E2"/>
    <w:rsid w:val="008F2EDD"/>
    <w:rsid w:val="00912D39"/>
    <w:rsid w:val="009143FE"/>
    <w:rsid w:val="00920FC7"/>
    <w:rsid w:val="0092671A"/>
    <w:rsid w:val="009339D2"/>
    <w:rsid w:val="00934788"/>
    <w:rsid w:val="00940CBB"/>
    <w:rsid w:val="00941E28"/>
    <w:rsid w:val="00950622"/>
    <w:rsid w:val="0095725E"/>
    <w:rsid w:val="00957AEC"/>
    <w:rsid w:val="009604C3"/>
    <w:rsid w:val="009670B2"/>
    <w:rsid w:val="0096720D"/>
    <w:rsid w:val="00967B19"/>
    <w:rsid w:val="00970401"/>
    <w:rsid w:val="0098593E"/>
    <w:rsid w:val="00990A74"/>
    <w:rsid w:val="009913CA"/>
    <w:rsid w:val="009944F4"/>
    <w:rsid w:val="009A000A"/>
    <w:rsid w:val="009A1705"/>
    <w:rsid w:val="009A677E"/>
    <w:rsid w:val="009B3671"/>
    <w:rsid w:val="009B475A"/>
    <w:rsid w:val="009B69DC"/>
    <w:rsid w:val="009C7105"/>
    <w:rsid w:val="009D087A"/>
    <w:rsid w:val="009E035C"/>
    <w:rsid w:val="009E18F9"/>
    <w:rsid w:val="009E35AF"/>
    <w:rsid w:val="009E6DB2"/>
    <w:rsid w:val="009F555B"/>
    <w:rsid w:val="009F7C79"/>
    <w:rsid w:val="00A00CA2"/>
    <w:rsid w:val="00A201C2"/>
    <w:rsid w:val="00A207B0"/>
    <w:rsid w:val="00A241E6"/>
    <w:rsid w:val="00A32F88"/>
    <w:rsid w:val="00A4304D"/>
    <w:rsid w:val="00A46A88"/>
    <w:rsid w:val="00A46C14"/>
    <w:rsid w:val="00A47569"/>
    <w:rsid w:val="00A4778B"/>
    <w:rsid w:val="00A55D82"/>
    <w:rsid w:val="00A6064F"/>
    <w:rsid w:val="00A60740"/>
    <w:rsid w:val="00A63BA2"/>
    <w:rsid w:val="00A73794"/>
    <w:rsid w:val="00A85FBC"/>
    <w:rsid w:val="00A949D3"/>
    <w:rsid w:val="00AA05E9"/>
    <w:rsid w:val="00AB116C"/>
    <w:rsid w:val="00AB1698"/>
    <w:rsid w:val="00AB34DC"/>
    <w:rsid w:val="00AB4275"/>
    <w:rsid w:val="00AC03C3"/>
    <w:rsid w:val="00AC05D7"/>
    <w:rsid w:val="00AD06BD"/>
    <w:rsid w:val="00AD10D3"/>
    <w:rsid w:val="00AE59CD"/>
    <w:rsid w:val="00AE69F4"/>
    <w:rsid w:val="00AF3B9B"/>
    <w:rsid w:val="00AF415F"/>
    <w:rsid w:val="00B20060"/>
    <w:rsid w:val="00B37E7D"/>
    <w:rsid w:val="00B446A5"/>
    <w:rsid w:val="00B54C75"/>
    <w:rsid w:val="00B60DC0"/>
    <w:rsid w:val="00B65351"/>
    <w:rsid w:val="00B67BDA"/>
    <w:rsid w:val="00B73093"/>
    <w:rsid w:val="00B807EA"/>
    <w:rsid w:val="00B82A60"/>
    <w:rsid w:val="00B94C09"/>
    <w:rsid w:val="00BA6166"/>
    <w:rsid w:val="00BA6F3D"/>
    <w:rsid w:val="00BB79C8"/>
    <w:rsid w:val="00BC31F0"/>
    <w:rsid w:val="00BD524C"/>
    <w:rsid w:val="00BD5F5A"/>
    <w:rsid w:val="00BE078A"/>
    <w:rsid w:val="00BE3AC4"/>
    <w:rsid w:val="00BF17E6"/>
    <w:rsid w:val="00BF1857"/>
    <w:rsid w:val="00C0148B"/>
    <w:rsid w:val="00C015B1"/>
    <w:rsid w:val="00C11FD5"/>
    <w:rsid w:val="00C12F09"/>
    <w:rsid w:val="00C20F09"/>
    <w:rsid w:val="00C42F1A"/>
    <w:rsid w:val="00C44BFF"/>
    <w:rsid w:val="00C4542E"/>
    <w:rsid w:val="00C462EF"/>
    <w:rsid w:val="00C837CD"/>
    <w:rsid w:val="00C84E70"/>
    <w:rsid w:val="00CA16C2"/>
    <w:rsid w:val="00CA54F7"/>
    <w:rsid w:val="00CB7E0B"/>
    <w:rsid w:val="00CC0335"/>
    <w:rsid w:val="00CC24BF"/>
    <w:rsid w:val="00CD5928"/>
    <w:rsid w:val="00CE26C8"/>
    <w:rsid w:val="00CE6321"/>
    <w:rsid w:val="00D029E6"/>
    <w:rsid w:val="00D0337E"/>
    <w:rsid w:val="00D0661A"/>
    <w:rsid w:val="00D1240B"/>
    <w:rsid w:val="00D23671"/>
    <w:rsid w:val="00D2795F"/>
    <w:rsid w:val="00D350B3"/>
    <w:rsid w:val="00D440C1"/>
    <w:rsid w:val="00D4702D"/>
    <w:rsid w:val="00D57A08"/>
    <w:rsid w:val="00D6155B"/>
    <w:rsid w:val="00D632AF"/>
    <w:rsid w:val="00D6378B"/>
    <w:rsid w:val="00D6783B"/>
    <w:rsid w:val="00D85502"/>
    <w:rsid w:val="00D86CC1"/>
    <w:rsid w:val="00D90AEB"/>
    <w:rsid w:val="00D93605"/>
    <w:rsid w:val="00DA5F5C"/>
    <w:rsid w:val="00DB2188"/>
    <w:rsid w:val="00DB491C"/>
    <w:rsid w:val="00DC38D9"/>
    <w:rsid w:val="00DC5670"/>
    <w:rsid w:val="00DC6281"/>
    <w:rsid w:val="00DC6AB1"/>
    <w:rsid w:val="00DD729A"/>
    <w:rsid w:val="00DE615E"/>
    <w:rsid w:val="00E00628"/>
    <w:rsid w:val="00E202DC"/>
    <w:rsid w:val="00E2436E"/>
    <w:rsid w:val="00E33A07"/>
    <w:rsid w:val="00E34899"/>
    <w:rsid w:val="00E36873"/>
    <w:rsid w:val="00E42EFF"/>
    <w:rsid w:val="00E52633"/>
    <w:rsid w:val="00E72295"/>
    <w:rsid w:val="00E77FB4"/>
    <w:rsid w:val="00E91A7C"/>
    <w:rsid w:val="00E95D96"/>
    <w:rsid w:val="00E96DFC"/>
    <w:rsid w:val="00EA0753"/>
    <w:rsid w:val="00EC1B04"/>
    <w:rsid w:val="00ED6758"/>
    <w:rsid w:val="00EE3499"/>
    <w:rsid w:val="00EE58B8"/>
    <w:rsid w:val="00EF04B3"/>
    <w:rsid w:val="00EF459E"/>
    <w:rsid w:val="00EF5D27"/>
    <w:rsid w:val="00F057F9"/>
    <w:rsid w:val="00F11EC3"/>
    <w:rsid w:val="00F15FFB"/>
    <w:rsid w:val="00F2613C"/>
    <w:rsid w:val="00F41BB6"/>
    <w:rsid w:val="00F42D8E"/>
    <w:rsid w:val="00F432E8"/>
    <w:rsid w:val="00F44087"/>
    <w:rsid w:val="00F45755"/>
    <w:rsid w:val="00F536FF"/>
    <w:rsid w:val="00F560CF"/>
    <w:rsid w:val="00F57041"/>
    <w:rsid w:val="00F84BA9"/>
    <w:rsid w:val="00F93E22"/>
    <w:rsid w:val="00FB0781"/>
    <w:rsid w:val="00FB7F45"/>
    <w:rsid w:val="00FC000F"/>
    <w:rsid w:val="00FD500D"/>
    <w:rsid w:val="00FE19A3"/>
    <w:rsid w:val="00FE2ACF"/>
    <w:rsid w:val="00FF32F6"/>
    <w:rsid w:val="00FF7142"/>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77A7B3BD"/>
  <w15:docId w15:val="{7B6CE92A-279D-4B84-B9EB-E27CB42EB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2D5"/>
    <w:pPr>
      <w:spacing w:after="0" w:line="360" w:lineRule="auto"/>
    </w:pPr>
    <w:rPr>
      <w:rFonts w:ascii="Times New Roman" w:hAnsi="Times New Roman"/>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11FAB"/>
    <w:rPr>
      <w:color w:val="808080"/>
    </w:rPr>
  </w:style>
  <w:style w:type="paragraph" w:styleId="Encabezado">
    <w:name w:val="header"/>
    <w:basedOn w:val="Normal"/>
    <w:link w:val="EncabezadoCar"/>
    <w:unhideWhenUsed/>
    <w:rsid w:val="00011FAB"/>
    <w:pPr>
      <w:tabs>
        <w:tab w:val="center" w:pos="4252"/>
        <w:tab w:val="right" w:pos="8504"/>
      </w:tabs>
      <w:spacing w:line="240" w:lineRule="auto"/>
    </w:pPr>
  </w:style>
  <w:style w:type="character" w:customStyle="1" w:styleId="EncabezadoCar">
    <w:name w:val="Encabezado Car"/>
    <w:basedOn w:val="Fuentedeprrafopredeter"/>
    <w:link w:val="Encabezado"/>
    <w:rsid w:val="00011FAB"/>
  </w:style>
  <w:style w:type="paragraph" w:styleId="Piedepgina">
    <w:name w:val="footer"/>
    <w:basedOn w:val="Normal"/>
    <w:link w:val="PiedepginaCar"/>
    <w:uiPriority w:val="99"/>
    <w:unhideWhenUsed/>
    <w:rsid w:val="00011FAB"/>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011FAB"/>
  </w:style>
  <w:style w:type="paragraph" w:customStyle="1" w:styleId="SupenEncabezado">
    <w:name w:val="Supen_Encabezado"/>
    <w:next w:val="Normal"/>
    <w:link w:val="SupenEncabezadoCar"/>
    <w:autoRedefine/>
    <w:qFormat/>
    <w:rsid w:val="003262D5"/>
    <w:pPr>
      <w:spacing w:after="0" w:line="360" w:lineRule="auto"/>
    </w:pPr>
    <w:rPr>
      <w:rFonts w:ascii="Times New Roman" w:hAnsi="Times New Roman"/>
      <w:sz w:val="24"/>
    </w:rPr>
  </w:style>
  <w:style w:type="character" w:customStyle="1" w:styleId="SupenEncabezadoCar">
    <w:name w:val="Supen_Encabezado Car"/>
    <w:basedOn w:val="Fuentedeprrafopredeter"/>
    <w:link w:val="SupenEncabezado"/>
    <w:rsid w:val="003262D5"/>
    <w:rPr>
      <w:rFonts w:ascii="Times New Roman" w:hAnsi="Times New Roman"/>
      <w:sz w:val="24"/>
    </w:rPr>
  </w:style>
  <w:style w:type="paragraph" w:styleId="Sinespaciado">
    <w:name w:val="No Spacing"/>
    <w:uiPriority w:val="1"/>
    <w:qFormat/>
    <w:rsid w:val="00AD10D3"/>
    <w:pPr>
      <w:spacing w:after="0" w:line="240" w:lineRule="auto"/>
    </w:pPr>
  </w:style>
  <w:style w:type="character" w:styleId="Hipervnculo">
    <w:name w:val="Hyperlink"/>
    <w:basedOn w:val="Fuentedeprrafopredeter"/>
    <w:rsid w:val="00DC38D9"/>
    <w:rPr>
      <w:color w:val="0000FF"/>
      <w:u w:val="single"/>
    </w:rPr>
  </w:style>
  <w:style w:type="paragraph" w:styleId="Textodeglobo">
    <w:name w:val="Balloon Text"/>
    <w:basedOn w:val="Normal"/>
    <w:link w:val="TextodegloboCar"/>
    <w:uiPriority w:val="99"/>
    <w:semiHidden/>
    <w:unhideWhenUsed/>
    <w:rsid w:val="005D5D27"/>
    <w:pPr>
      <w:spacing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5D5D27"/>
    <w:rPr>
      <w:rFonts w:ascii="Lucida Grande" w:hAnsi="Lucida Grande"/>
      <w:sz w:val="18"/>
      <w:szCs w:val="18"/>
    </w:rPr>
  </w:style>
  <w:style w:type="paragraph" w:styleId="Textonotapie">
    <w:name w:val="footnote text"/>
    <w:basedOn w:val="Normal"/>
    <w:link w:val="TextonotapieCar"/>
    <w:uiPriority w:val="99"/>
    <w:semiHidden/>
    <w:unhideWhenUsed/>
    <w:rsid w:val="007839A9"/>
    <w:pPr>
      <w:spacing w:line="240" w:lineRule="auto"/>
    </w:pPr>
    <w:rPr>
      <w:rFonts w:ascii="Calibri" w:hAnsi="Calibri"/>
      <w:sz w:val="20"/>
      <w:szCs w:val="20"/>
    </w:rPr>
  </w:style>
  <w:style w:type="character" w:customStyle="1" w:styleId="TextonotapieCar">
    <w:name w:val="Texto nota pie Car"/>
    <w:basedOn w:val="Fuentedeprrafopredeter"/>
    <w:link w:val="Textonotapie"/>
    <w:uiPriority w:val="99"/>
    <w:semiHidden/>
    <w:rsid w:val="007839A9"/>
    <w:rPr>
      <w:rFonts w:ascii="Calibri" w:hAnsi="Calibri"/>
      <w:sz w:val="20"/>
      <w:szCs w:val="20"/>
    </w:rPr>
  </w:style>
  <w:style w:type="character" w:styleId="Refdenotaalpie">
    <w:name w:val="footnote reference"/>
    <w:basedOn w:val="Fuentedeprrafopredeter"/>
    <w:uiPriority w:val="99"/>
    <w:semiHidden/>
    <w:unhideWhenUsed/>
    <w:rsid w:val="007839A9"/>
    <w:rPr>
      <w:vertAlign w:val="superscript"/>
    </w:rPr>
  </w:style>
  <w:style w:type="table" w:customStyle="1" w:styleId="Tablaconcuadrcula1clara-nfasis11">
    <w:name w:val="Tabla con cuadrícula 1 clara - Énfasis 11"/>
    <w:basedOn w:val="Tablanormal"/>
    <w:next w:val="Tablaconcuadrcula1clara-nfasis1"/>
    <w:uiPriority w:val="46"/>
    <w:rsid w:val="007839A9"/>
    <w:pPr>
      <w:spacing w:after="0" w:line="240" w:lineRule="auto"/>
    </w:pPr>
    <w:rPr>
      <w:lang w:val="es-CR"/>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7839A9"/>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Prrafodelista">
    <w:name w:val="List Paragraph"/>
    <w:basedOn w:val="Normal"/>
    <w:uiPriority w:val="34"/>
    <w:qFormat/>
    <w:rsid w:val="003B1A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3474368">
      <w:bodyDiv w:val="1"/>
      <w:marLeft w:val="0"/>
      <w:marRight w:val="0"/>
      <w:marTop w:val="0"/>
      <w:marBottom w:val="0"/>
      <w:divBdr>
        <w:top w:val="none" w:sz="0" w:space="0" w:color="auto"/>
        <w:left w:val="none" w:sz="0" w:space="0" w:color="auto"/>
        <w:bottom w:val="none" w:sz="0" w:space="0" w:color="auto"/>
        <w:right w:val="none" w:sz="0" w:space="0" w:color="auto"/>
      </w:divBdr>
    </w:div>
    <w:div w:id="838348889">
      <w:bodyDiv w:val="1"/>
      <w:marLeft w:val="0"/>
      <w:marRight w:val="0"/>
      <w:marTop w:val="0"/>
      <w:marBottom w:val="0"/>
      <w:divBdr>
        <w:top w:val="none" w:sz="0" w:space="0" w:color="auto"/>
        <w:left w:val="none" w:sz="0" w:space="0" w:color="auto"/>
        <w:bottom w:val="none" w:sz="0" w:space="0" w:color="auto"/>
        <w:right w:val="none" w:sz="0" w:space="0" w:color="auto"/>
      </w:divBdr>
    </w:div>
    <w:div w:id="156764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upen@supen.fi.c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aiosfp.org/documentos/4-directrices-para-la-evaluacion-y-supervision-de-fondos-de-pensiones/file.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rgashn\AppData\Roaming\Microsoft\Templates\Machote%20SP.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D9787639A4E43B6B19FD2BD02D103A0"/>
        <w:category>
          <w:name w:val="General"/>
          <w:gallery w:val="placeholder"/>
        </w:category>
        <w:types>
          <w:type w:val="bbPlcHdr"/>
        </w:types>
        <w:behaviors>
          <w:behavior w:val="content"/>
        </w:behaviors>
        <w:guid w:val="{8BCD8915-EDA7-46CC-9D75-7CE22A40D878}"/>
      </w:docPartPr>
      <w:docPartBody>
        <w:p w:rsidR="00ED4DD1" w:rsidRDefault="00ED4DD1">
          <w:pPr>
            <w:pStyle w:val="0D9787639A4E43B6B19FD2BD02D103A0"/>
          </w:pPr>
          <w:r w:rsidRPr="0087789B">
            <w:rPr>
              <w:rStyle w:val="Textodelmarcadordeposicin"/>
              <w:szCs w:val="24"/>
            </w:rPr>
            <w:t>Ingrese la fecha aquí.</w:t>
          </w:r>
        </w:p>
      </w:docPartBody>
    </w:docPart>
    <w:docPart>
      <w:docPartPr>
        <w:name w:val="76F3929F9D66424F9A33FB2298926D7A"/>
        <w:category>
          <w:name w:val="General"/>
          <w:gallery w:val="placeholder"/>
        </w:category>
        <w:types>
          <w:type w:val="bbPlcHdr"/>
        </w:types>
        <w:behaviors>
          <w:behavior w:val="content"/>
        </w:behaviors>
        <w:guid w:val="{7317FD37-9F1B-4D89-B1A1-99664211BB81}"/>
      </w:docPartPr>
      <w:docPartBody>
        <w:p w:rsidR="00ED4DD1" w:rsidRDefault="00ED4DD1">
          <w:pPr>
            <w:pStyle w:val="76F3929F9D66424F9A33FB2298926D7A"/>
          </w:pPr>
          <w:r w:rsidRPr="0087789B">
            <w:rPr>
              <w:rStyle w:val="Textodelmarcadordeposicin"/>
              <w:szCs w:val="24"/>
            </w:rPr>
            <w:t>Ingrese aquí el SP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DD1"/>
    <w:rsid w:val="00ED4DD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Pr>
      <w:color w:val="808080"/>
    </w:rPr>
  </w:style>
  <w:style w:type="paragraph" w:customStyle="1" w:styleId="0D9787639A4E43B6B19FD2BD02D103A0">
    <w:name w:val="0D9787639A4E43B6B19FD2BD02D103A0"/>
  </w:style>
  <w:style w:type="paragraph" w:customStyle="1" w:styleId="76F3929F9D66424F9A33FB2298926D7A">
    <w:name w:val="76F3929F9D66424F9A33FB2298926D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vento xmlns="3e8ee11b-6e51-46c9-875c-58450c2b6e96">
      <Url>https://si.supen.fi.cr/Tramites/Tram_Detalle_Evento.aspx?evento=2020071372&amp;op=3</Url>
      <Description>2020071372</Description>
    </Evento>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3B51454CB09D141A9F5043149C570C9" ma:contentTypeVersion="12" ma:contentTypeDescription="Crear nuevo documento." ma:contentTypeScope="" ma:versionID="45953feb570181fca0ff17ec001969a3">
  <xsd:schema xmlns:xsd="http://www.w3.org/2001/XMLSchema" xmlns:xs="http://www.w3.org/2001/XMLSchema" xmlns:p="http://schemas.microsoft.com/office/2006/metadata/properties" xmlns:ns2="59edb153-39ed-4056-b12b-5a6ee259c2e4" xmlns:ns3="3e8ee11b-6e51-46c9-875c-58450c2b6e96" xmlns:ns4="c5fc0137-61f5-4cbd-9925-5c3ad788c200" targetNamespace="http://schemas.microsoft.com/office/2006/metadata/properties" ma:root="true" ma:fieldsID="9953c8730b4079004d0c35200c2994d1" ns2:_="" ns3:_="" ns4:_="">
    <xsd:import namespace="59edb153-39ed-4056-b12b-5a6ee259c2e4"/>
    <xsd:import namespace="3e8ee11b-6e51-46c9-875c-58450c2b6e96"/>
    <xsd:import namespace="c5fc0137-61f5-4cbd-9925-5c3ad788c200"/>
    <xsd:element name="properties">
      <xsd:complexType>
        <xsd:sequence>
          <xsd:element name="documentManagement">
            <xsd:complexType>
              <xsd:all>
                <xsd:element ref="ns2:SharedWithUsers" minOccurs="0"/>
                <xsd:element ref="ns2:SharedWithDetails" minOccurs="0"/>
                <xsd:element ref="ns3:Evento"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db153-39ed-4056-b12b-5a6ee259c2e4"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8ee11b-6e51-46c9-875c-58450c2b6e96" elementFormDefault="qualified">
    <xsd:import namespace="http://schemas.microsoft.com/office/2006/documentManagement/types"/>
    <xsd:import namespace="http://schemas.microsoft.com/office/infopath/2007/PartnerControls"/>
    <xsd:element name="Evento" ma:index="10" nillable="true" ma:displayName="Evento" ma:format="Hyperlink" ma:internalName="Evento">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fc0137-61f5-4cbd-9925-5c3ad788c20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99D99-3DEA-4202-BD79-83B2A4D57E31}">
  <ds:schemaRefs>
    <ds:schemaRef ds:uri="http://schemas.microsoft.com/sharepoint/v3/contenttype/forms"/>
  </ds:schemaRefs>
</ds:datastoreItem>
</file>

<file path=customXml/itemProps2.xml><?xml version="1.0" encoding="utf-8"?>
<ds:datastoreItem xmlns:ds="http://schemas.openxmlformats.org/officeDocument/2006/customXml" ds:itemID="{B3A54265-9611-4717-9919-210EAE0D58EE}">
  <ds:schemaRefs>
    <ds:schemaRef ds:uri="http://www.w3.org/XML/1998/namespace"/>
    <ds:schemaRef ds:uri="http://purl.org/dc/terms/"/>
    <ds:schemaRef ds:uri="http://schemas.microsoft.com/office/2006/documentManagement/types"/>
    <ds:schemaRef ds:uri="59edb153-39ed-4056-b12b-5a6ee259c2e4"/>
    <ds:schemaRef ds:uri="http://schemas.openxmlformats.org/package/2006/metadata/core-properties"/>
    <ds:schemaRef ds:uri="http://purl.org/dc/elements/1.1/"/>
    <ds:schemaRef ds:uri="http://schemas.microsoft.com/office/infopath/2007/PartnerControls"/>
    <ds:schemaRef ds:uri="c5fc0137-61f5-4cbd-9925-5c3ad788c200"/>
    <ds:schemaRef ds:uri="3e8ee11b-6e51-46c9-875c-58450c2b6e96"/>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BC0CDB82-7394-44DC-887F-30DC228AD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edb153-39ed-4056-b12b-5a6ee259c2e4"/>
    <ds:schemaRef ds:uri="3e8ee11b-6e51-46c9-875c-58450c2b6e96"/>
    <ds:schemaRef ds:uri="c5fc0137-61f5-4cbd-9925-5c3ad788c2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EEAF2C-9447-4D16-8914-98E0D7A78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Machote SP</Template>
  <TotalTime>56</TotalTime>
  <Pages>8</Pages>
  <Words>3222</Words>
  <Characters>17721</Characters>
  <Application>Microsoft Office Word</Application>
  <DocSecurity>8</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PJD-18-2020.docx</dc:title>
  <dc:subject/>
  <dc:creator>DIAZ MOLINA JENORY</dc:creator>
  <cp:keywords/>
  <dc:description/>
  <cp:lastModifiedBy>VARGAS HERNANDEZ NELLY MARIA</cp:lastModifiedBy>
  <cp:revision>61</cp:revision>
  <dcterms:created xsi:type="dcterms:W3CDTF">2020-09-09T18:23:00Z</dcterms:created>
  <dcterms:modified xsi:type="dcterms:W3CDTF">2020-12-17T19:42:00Z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0x010100E3B51454CB09D141A9F5043149C570C9</vt:lpwstr>
  </property>
  <property fmtid="{D5CDD505-2E9C-101B-9397-08002B2CF9AE}" pid="3" name="IsMyDocuments">
    <vt:bool>true</vt:bool>
  </property>
</Properties>
</file>