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823F" w14:textId="77777777" w:rsidR="006D6C45" w:rsidRDefault="006D6C45" w:rsidP="005D2EEB">
      <w:pPr>
        <w:pStyle w:val="Encabezado"/>
        <w:rPr>
          <w:i/>
        </w:rPr>
      </w:pPr>
    </w:p>
    <w:p w14:paraId="3C06A219" w14:textId="4325C05D" w:rsidR="00A4778B" w:rsidRPr="0087789B" w:rsidRDefault="00902302" w:rsidP="003D4B4B">
      <w:pPr>
        <w:spacing w:line="276" w:lineRule="auto"/>
        <w:rPr>
          <w:szCs w:val="24"/>
        </w:rPr>
      </w:pPr>
      <w:sdt>
        <w:sdtPr>
          <w:rPr>
            <w:szCs w:val="24"/>
          </w:rPr>
          <w:alias w:val="Fecha"/>
          <w:tag w:val="Fecha"/>
          <w:id w:val="-306548534"/>
          <w:lock w:val="sdtLocked"/>
          <w:placeholder>
            <w:docPart w:val="AF3E120E25C74EDD9A6A0E96E580B549"/>
          </w:placeholder>
          <w:date w:fullDate="2020-05-29T00:00:00Z">
            <w:dateFormat w:val="d' de 'MMMM' de 'yyyy"/>
            <w:lid w:val="es-ES"/>
            <w:storeMappedDataAs w:val="date"/>
            <w:calendar w:val="gregorian"/>
          </w:date>
        </w:sdtPr>
        <w:sdtEndPr/>
        <w:sdtContent>
          <w:r w:rsidR="007D245C">
            <w:rPr>
              <w:szCs w:val="24"/>
            </w:rPr>
            <w:t>29 de mayo de 2020</w:t>
          </w:r>
        </w:sdtContent>
      </w:sdt>
    </w:p>
    <w:p w14:paraId="6585728B" w14:textId="79B7D9D3" w:rsidR="00A4778B" w:rsidRPr="0087789B" w:rsidRDefault="00902302" w:rsidP="003D4B4B">
      <w:pPr>
        <w:pStyle w:val="SupenEncabezado"/>
        <w:spacing w:line="276" w:lineRule="auto"/>
        <w:rPr>
          <w:rStyle w:val="SupenEncabezadoCar"/>
          <w:szCs w:val="24"/>
        </w:rPr>
      </w:pPr>
      <w:sdt>
        <w:sdtPr>
          <w:rPr>
            <w:rStyle w:val="SupenEncabezadoCar"/>
            <w:szCs w:val="24"/>
          </w:rPr>
          <w:alias w:val="Código"/>
          <w:tag w:val="A"/>
          <w:id w:val="1991359848"/>
          <w:lock w:val="sdtLocked"/>
          <w:placeholder>
            <w:docPart w:val="0BA864B3A22640D5AB5E78F39C121820"/>
          </w:placeholder>
          <w:text/>
        </w:sdtPr>
        <w:sdtEndPr>
          <w:rPr>
            <w:rStyle w:val="SupenEncabezadoCar"/>
          </w:rPr>
        </w:sdtEndPr>
        <w:sdtContent>
          <w:r w:rsidR="00C066D7">
            <w:rPr>
              <w:rStyle w:val="SupenEncabezadoCar"/>
              <w:szCs w:val="24"/>
            </w:rPr>
            <w:t>P</w:t>
          </w:r>
          <w:r w:rsidR="00E33644">
            <w:rPr>
              <w:rStyle w:val="SupenEncabezadoCar"/>
              <w:szCs w:val="24"/>
            </w:rPr>
            <w:t>JD</w:t>
          </w:r>
          <w:r w:rsidR="00C066D7">
            <w:rPr>
              <w:rStyle w:val="SupenEncabezadoCar"/>
              <w:szCs w:val="24"/>
            </w:rPr>
            <w:t>-13-2020</w:t>
          </w:r>
        </w:sdtContent>
      </w:sdt>
    </w:p>
    <w:p w14:paraId="4B883A0D" w14:textId="77777777" w:rsidR="003262D5" w:rsidRDefault="003262D5" w:rsidP="005D2EEB">
      <w:pPr>
        <w:spacing w:line="276" w:lineRule="auto"/>
        <w:rPr>
          <w:szCs w:val="24"/>
        </w:rPr>
      </w:pPr>
    </w:p>
    <w:p w14:paraId="4427F2B8" w14:textId="77777777" w:rsidR="003B37B2" w:rsidRDefault="003B37B2" w:rsidP="003B37B2">
      <w:pPr>
        <w:spacing w:line="240" w:lineRule="auto"/>
        <w:jc w:val="both"/>
        <w:rPr>
          <w:rFonts w:cs="Times New Roman"/>
        </w:rPr>
      </w:pPr>
      <w:r>
        <w:rPr>
          <w:rFonts w:cs="Times New Roman"/>
        </w:rPr>
        <w:t>Patricia Abarca Rodríguez</w:t>
      </w:r>
    </w:p>
    <w:p w14:paraId="4B974932" w14:textId="77777777" w:rsidR="003B37B2" w:rsidRDefault="003B37B2" w:rsidP="003B37B2">
      <w:pPr>
        <w:spacing w:line="240" w:lineRule="auto"/>
        <w:jc w:val="both"/>
        <w:rPr>
          <w:rFonts w:cs="Times New Roman"/>
        </w:rPr>
      </w:pPr>
      <w:r>
        <w:rPr>
          <w:rFonts w:cs="Times New Roman"/>
        </w:rPr>
        <w:t>Directora</w:t>
      </w:r>
    </w:p>
    <w:p w14:paraId="05DFE087" w14:textId="77777777" w:rsidR="003B37B2" w:rsidRDefault="003B37B2" w:rsidP="003B37B2">
      <w:pPr>
        <w:spacing w:line="240" w:lineRule="auto"/>
        <w:jc w:val="both"/>
        <w:rPr>
          <w:rFonts w:cs="Times New Roman"/>
        </w:rPr>
      </w:pPr>
      <w:r>
        <w:rPr>
          <w:rFonts w:cs="Times New Roman"/>
        </w:rPr>
        <w:t>División de regímenes de capitalización individual</w:t>
      </w:r>
    </w:p>
    <w:p w14:paraId="78B55AF4" w14:textId="77777777" w:rsidR="003B37B2" w:rsidRDefault="003B37B2" w:rsidP="003B37B2">
      <w:pPr>
        <w:spacing w:line="240" w:lineRule="auto"/>
        <w:jc w:val="both"/>
        <w:rPr>
          <w:rFonts w:cs="Times New Roman"/>
        </w:rPr>
      </w:pPr>
    </w:p>
    <w:p w14:paraId="606F4085" w14:textId="77777777" w:rsidR="003B37B2" w:rsidRDefault="003B37B2" w:rsidP="003B37B2">
      <w:pPr>
        <w:spacing w:line="240" w:lineRule="auto"/>
        <w:jc w:val="both"/>
        <w:rPr>
          <w:rFonts w:cs="Times New Roman"/>
        </w:rPr>
      </w:pPr>
    </w:p>
    <w:p w14:paraId="270B0E27" w14:textId="77777777" w:rsidR="003B37B2" w:rsidRDefault="003B37B2" w:rsidP="003B37B2">
      <w:pPr>
        <w:spacing w:line="240" w:lineRule="auto"/>
        <w:jc w:val="both"/>
        <w:rPr>
          <w:rFonts w:cs="Times New Roman"/>
        </w:rPr>
      </w:pPr>
      <w:r>
        <w:rPr>
          <w:rFonts w:cs="Times New Roman"/>
        </w:rPr>
        <w:t>Estimada señora:</w:t>
      </w:r>
    </w:p>
    <w:p w14:paraId="6E2AADDB" w14:textId="77777777" w:rsidR="003B37B2" w:rsidRDefault="003B37B2" w:rsidP="003B37B2">
      <w:pPr>
        <w:spacing w:line="240" w:lineRule="auto"/>
        <w:jc w:val="both"/>
        <w:rPr>
          <w:rFonts w:cs="Times New Roman"/>
        </w:rPr>
      </w:pPr>
    </w:p>
    <w:p w14:paraId="765C9388" w14:textId="19486D12" w:rsidR="003B37B2" w:rsidRDefault="007D245C" w:rsidP="003B37B2">
      <w:pPr>
        <w:spacing w:line="240" w:lineRule="auto"/>
        <w:jc w:val="both"/>
        <w:rPr>
          <w:rFonts w:cs="Times New Roman"/>
        </w:rPr>
      </w:pPr>
      <w:r>
        <w:rPr>
          <w:rFonts w:cs="Times New Roman"/>
        </w:rPr>
        <w:t xml:space="preserve">El pasado </w:t>
      </w:r>
      <w:r w:rsidR="003B37B2">
        <w:rPr>
          <w:rFonts w:cs="Times New Roman"/>
        </w:rPr>
        <w:t>8 de mayo</w:t>
      </w:r>
      <w:r>
        <w:rPr>
          <w:rFonts w:cs="Times New Roman"/>
        </w:rPr>
        <w:t xml:space="preserve"> se formuló una consulta a esta División de Asesoría Jurídica, </w:t>
      </w:r>
      <w:r w:rsidR="00FF10A3">
        <w:rPr>
          <w:rFonts w:cs="Times New Roman"/>
        </w:rPr>
        <w:t xml:space="preserve">con el fin de determinar </w:t>
      </w:r>
      <w:r>
        <w:rPr>
          <w:rFonts w:cs="Times New Roman"/>
        </w:rPr>
        <w:t xml:space="preserve">en cuál de las categorías previstas en el artículo 3 de la </w:t>
      </w:r>
      <w:r w:rsidRPr="007D245C">
        <w:rPr>
          <w:rFonts w:cs="Times New Roman"/>
        </w:rPr>
        <w:t>Ley de Protección de la persona frente al tratamiento de sus datos personales</w:t>
      </w:r>
      <w:r w:rsidR="007F1800">
        <w:rPr>
          <w:rFonts w:cs="Times New Roman"/>
        </w:rPr>
        <w:t>, N°.</w:t>
      </w:r>
      <w:r w:rsidR="008B7C27">
        <w:rPr>
          <w:rFonts w:cs="Times New Roman"/>
        </w:rPr>
        <w:t>8968</w:t>
      </w:r>
      <w:r>
        <w:rPr>
          <w:rFonts w:cs="Times New Roman"/>
        </w:rPr>
        <w:t>, se clasifica la información sobre la</w:t>
      </w:r>
      <w:r w:rsidR="003B37B2">
        <w:rPr>
          <w:rFonts w:cs="Times New Roman"/>
        </w:rPr>
        <w:t xml:space="preserve"> afiliación a una operadora de pensiones</w:t>
      </w:r>
      <w:r>
        <w:rPr>
          <w:rFonts w:cs="Times New Roman"/>
        </w:rPr>
        <w:t xml:space="preserve"> (datos personales de acceso irrestricto, datos personales de acceso restringido o datos sensibles). Para atender esta consulta esta Asesoría emite</w:t>
      </w:r>
      <w:r w:rsidR="003B37B2">
        <w:rPr>
          <w:rFonts w:cs="Times New Roman"/>
        </w:rPr>
        <w:t xml:space="preserve"> el siguiente criterio</w:t>
      </w:r>
      <w:r>
        <w:rPr>
          <w:rFonts w:cs="Times New Roman"/>
        </w:rPr>
        <w:t xml:space="preserve">: </w:t>
      </w:r>
    </w:p>
    <w:p w14:paraId="71687021" w14:textId="7781E6D0" w:rsidR="007D245C" w:rsidRDefault="007D245C" w:rsidP="003B37B2">
      <w:pPr>
        <w:spacing w:line="240" w:lineRule="auto"/>
        <w:jc w:val="both"/>
        <w:rPr>
          <w:rFonts w:cs="Times New Roman"/>
        </w:rPr>
      </w:pPr>
    </w:p>
    <w:p w14:paraId="5BE43CD1" w14:textId="77777777" w:rsidR="003B37B2" w:rsidRPr="003371F2" w:rsidRDefault="003B37B2" w:rsidP="003B37B2">
      <w:pPr>
        <w:pStyle w:val="Prrafodelista"/>
        <w:numPr>
          <w:ilvl w:val="0"/>
          <w:numId w:val="1"/>
        </w:numPr>
        <w:spacing w:after="0" w:line="240" w:lineRule="auto"/>
        <w:jc w:val="both"/>
        <w:rPr>
          <w:rFonts w:ascii="Times New Roman" w:hAnsi="Times New Roman" w:cs="Times New Roman"/>
          <w:b/>
          <w:bCs/>
          <w:sz w:val="24"/>
        </w:rPr>
      </w:pPr>
      <w:r w:rsidRPr="003371F2">
        <w:rPr>
          <w:rFonts w:ascii="Times New Roman" w:hAnsi="Times New Roman" w:cs="Times New Roman"/>
          <w:b/>
          <w:bCs/>
          <w:sz w:val="24"/>
        </w:rPr>
        <w:t>Consulta</w:t>
      </w:r>
    </w:p>
    <w:p w14:paraId="5DFE1450" w14:textId="77777777" w:rsidR="003B37B2" w:rsidRDefault="003B37B2" w:rsidP="003B37B2">
      <w:pPr>
        <w:spacing w:line="240" w:lineRule="auto"/>
        <w:jc w:val="both"/>
        <w:rPr>
          <w:rFonts w:cs="Times New Roman"/>
        </w:rPr>
      </w:pPr>
    </w:p>
    <w:p w14:paraId="775E1A99" w14:textId="6B841C79" w:rsidR="003B37B2" w:rsidRDefault="003B37B2" w:rsidP="003B37B2">
      <w:pPr>
        <w:spacing w:line="240" w:lineRule="auto"/>
        <w:jc w:val="both"/>
        <w:rPr>
          <w:rFonts w:cs="Times New Roman"/>
        </w:rPr>
      </w:pPr>
      <w:r>
        <w:rPr>
          <w:rFonts w:cs="Times New Roman"/>
        </w:rPr>
        <w:t xml:space="preserve">La solicitud </w:t>
      </w:r>
      <w:r w:rsidR="007D245C">
        <w:rPr>
          <w:rFonts w:cs="Times New Roman"/>
        </w:rPr>
        <w:t xml:space="preserve">se origina en una correo electrónico remitido a esta Superintendencia </w:t>
      </w:r>
      <w:r w:rsidR="00D57E5B">
        <w:rPr>
          <w:rFonts w:cs="Times New Roman"/>
        </w:rPr>
        <w:t xml:space="preserve">de Pensiones (SUPEN) </w:t>
      </w:r>
      <w:r w:rsidR="001F56EE">
        <w:rPr>
          <w:rFonts w:cs="Times New Roman"/>
        </w:rPr>
        <w:t>el</w:t>
      </w:r>
      <w:r w:rsidR="007D245C">
        <w:rPr>
          <w:rFonts w:cs="Times New Roman"/>
        </w:rPr>
        <w:t xml:space="preserve"> 7 de mayo</w:t>
      </w:r>
      <w:r w:rsidR="001F56EE">
        <w:rPr>
          <w:rFonts w:cs="Times New Roman"/>
        </w:rPr>
        <w:t xml:space="preserve"> de 2020 </w:t>
      </w:r>
      <w:r w:rsidR="007D245C">
        <w:rPr>
          <w:rFonts w:cs="Times New Roman"/>
        </w:rPr>
        <w:t xml:space="preserve">por el </w:t>
      </w:r>
      <w:r>
        <w:rPr>
          <w:rFonts w:cs="Times New Roman"/>
        </w:rPr>
        <w:t>Sistema Centralizado de Recaudación (SICERE)</w:t>
      </w:r>
      <w:r w:rsidR="007D245C">
        <w:rPr>
          <w:rFonts w:cs="Times New Roman"/>
        </w:rPr>
        <w:t xml:space="preserve"> de la Caja Costarricense de Seguro Social, </w:t>
      </w:r>
      <w:r>
        <w:rPr>
          <w:rFonts w:cs="Times New Roman"/>
        </w:rPr>
        <w:t xml:space="preserve">en el </w:t>
      </w:r>
      <w:r w:rsidR="007D245C">
        <w:rPr>
          <w:rFonts w:cs="Times New Roman"/>
        </w:rPr>
        <w:t>que se indica</w:t>
      </w:r>
      <w:r>
        <w:rPr>
          <w:rFonts w:cs="Times New Roman"/>
        </w:rPr>
        <w:t>:</w:t>
      </w:r>
    </w:p>
    <w:p w14:paraId="702F621B" w14:textId="77777777" w:rsidR="003B37B2" w:rsidRDefault="003B37B2" w:rsidP="003B37B2">
      <w:pPr>
        <w:spacing w:line="240" w:lineRule="auto"/>
        <w:jc w:val="both"/>
        <w:rPr>
          <w:rFonts w:cs="Times New Roman"/>
        </w:rPr>
      </w:pPr>
      <w:r>
        <w:rPr>
          <w:rFonts w:cs="Times New Roman"/>
        </w:rPr>
        <w:t xml:space="preserve"> </w:t>
      </w:r>
    </w:p>
    <w:p w14:paraId="64D38FD5" w14:textId="77777777" w:rsidR="003B37B2" w:rsidRPr="007D245C" w:rsidRDefault="003B37B2" w:rsidP="007D245C">
      <w:pPr>
        <w:spacing w:line="240" w:lineRule="auto"/>
        <w:ind w:left="284"/>
        <w:jc w:val="both"/>
        <w:rPr>
          <w:rFonts w:cs="Times New Roman"/>
          <w:i/>
          <w:iCs/>
          <w:sz w:val="22"/>
        </w:rPr>
      </w:pPr>
      <w:r w:rsidRPr="007D245C">
        <w:rPr>
          <w:rFonts w:cs="Times New Roman"/>
          <w:sz w:val="22"/>
        </w:rPr>
        <w:t>…</w:t>
      </w:r>
      <w:r w:rsidRPr="007D245C">
        <w:rPr>
          <w:rFonts w:cs="Times New Roman"/>
          <w:i/>
          <w:iCs/>
          <w:sz w:val="22"/>
        </w:rPr>
        <w:t>quisiéramos conocer si SUPEN ha realizado una valoración diferente al tipo de dato relacionado con la operadora de pensiones donde está afiliada la persona.</w:t>
      </w:r>
    </w:p>
    <w:p w14:paraId="2B678C77" w14:textId="77777777" w:rsidR="003B37B2" w:rsidRPr="007D245C" w:rsidRDefault="003B37B2" w:rsidP="007D245C">
      <w:pPr>
        <w:spacing w:line="240" w:lineRule="auto"/>
        <w:ind w:left="284"/>
        <w:jc w:val="both"/>
        <w:rPr>
          <w:rFonts w:cs="Times New Roman"/>
          <w:sz w:val="22"/>
        </w:rPr>
      </w:pPr>
      <w:r w:rsidRPr="007D245C">
        <w:rPr>
          <w:rFonts w:cs="Times New Roman"/>
          <w:i/>
          <w:iCs/>
          <w:sz w:val="22"/>
        </w:rPr>
        <w:t xml:space="preserve">Lo anterior por cuanto hace algunos días la SUPEN dispuso en su página </w:t>
      </w:r>
      <w:bookmarkStart w:id="0" w:name="_GoBack"/>
      <w:r w:rsidRPr="007D245C">
        <w:rPr>
          <w:rFonts w:cs="Times New Roman"/>
          <w:i/>
          <w:iCs/>
          <w:sz w:val="22"/>
        </w:rPr>
        <w:t xml:space="preserve">una consulta pública para facilitar a las personas conocer la operadora de pensiones del FCL donde están afiliados </w:t>
      </w:r>
      <w:bookmarkEnd w:id="0"/>
      <w:r w:rsidRPr="007D245C">
        <w:rPr>
          <w:rFonts w:cs="Times New Roman"/>
          <w:i/>
          <w:iCs/>
          <w:sz w:val="22"/>
        </w:rPr>
        <w:t>y el resultado de la búsqueda se muestra en pantalla.</w:t>
      </w:r>
    </w:p>
    <w:p w14:paraId="3E847F88" w14:textId="77777777" w:rsidR="003B37B2" w:rsidRDefault="003B37B2" w:rsidP="003B37B2">
      <w:pPr>
        <w:spacing w:line="240" w:lineRule="auto"/>
        <w:jc w:val="both"/>
        <w:rPr>
          <w:rFonts w:cs="Times New Roman"/>
        </w:rPr>
      </w:pPr>
    </w:p>
    <w:p w14:paraId="7C1D5720" w14:textId="77777777" w:rsidR="003B37B2" w:rsidRPr="00116985" w:rsidRDefault="003B37B2" w:rsidP="003B37B2">
      <w:pPr>
        <w:spacing w:line="240" w:lineRule="auto"/>
        <w:jc w:val="both"/>
        <w:rPr>
          <w:rFonts w:ascii="Calibri" w:eastAsia="Times New Roman" w:hAnsi="Calibri" w:cs="Calibri"/>
          <w:lang w:val="es-CR"/>
        </w:rPr>
      </w:pPr>
      <w:r w:rsidRPr="00116985">
        <w:rPr>
          <w:rFonts w:ascii="Calibri" w:eastAsia="Times New Roman" w:hAnsi="Calibri" w:cs="Calibri"/>
          <w:noProof/>
          <w:lang w:val="es-CR"/>
        </w:rPr>
        <w:drawing>
          <wp:inline distT="0" distB="0" distL="0" distR="0" wp14:anchorId="4520880C" wp14:editId="0C10079C">
            <wp:extent cx="5612130" cy="2301875"/>
            <wp:effectExtent l="0" t="0" r="762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12130" cy="2301875"/>
                    </a:xfrm>
                    <a:prstGeom prst="rect">
                      <a:avLst/>
                    </a:prstGeom>
                    <a:noFill/>
                    <a:ln>
                      <a:noFill/>
                    </a:ln>
                  </pic:spPr>
                </pic:pic>
              </a:graphicData>
            </a:graphic>
          </wp:inline>
        </w:drawing>
      </w:r>
    </w:p>
    <w:p w14:paraId="0CA454D9" w14:textId="77777777" w:rsidR="003B37B2" w:rsidRPr="00116985" w:rsidRDefault="003B37B2" w:rsidP="003B37B2">
      <w:pPr>
        <w:spacing w:line="240" w:lineRule="auto"/>
        <w:jc w:val="both"/>
        <w:rPr>
          <w:rFonts w:cs="Times New Roman"/>
        </w:rPr>
      </w:pPr>
    </w:p>
    <w:p w14:paraId="1757C3CE" w14:textId="77777777" w:rsidR="003B37B2" w:rsidRDefault="003B37B2" w:rsidP="003B37B2">
      <w:pPr>
        <w:spacing w:line="240" w:lineRule="auto"/>
        <w:jc w:val="both"/>
        <w:rPr>
          <w:rFonts w:cs="Times New Roman"/>
        </w:rPr>
      </w:pPr>
    </w:p>
    <w:p w14:paraId="1CFF6771" w14:textId="77777777" w:rsidR="003B37B2" w:rsidRPr="007D245C" w:rsidRDefault="003B37B2" w:rsidP="007D245C">
      <w:pPr>
        <w:spacing w:line="240" w:lineRule="auto"/>
        <w:ind w:left="284"/>
        <w:jc w:val="both"/>
        <w:rPr>
          <w:rFonts w:cs="Times New Roman"/>
          <w:i/>
          <w:iCs/>
          <w:sz w:val="22"/>
        </w:rPr>
      </w:pPr>
      <w:r w:rsidRPr="007D245C">
        <w:rPr>
          <w:rFonts w:cs="Times New Roman"/>
          <w:i/>
          <w:iCs/>
          <w:sz w:val="22"/>
        </w:rPr>
        <w:t>Sin embargo, es nuestro interés conocer si hubo una valoración diferente, ya que históricamente nosotros lo tenemos catalogado como un dato de acceso restringido.</w:t>
      </w:r>
    </w:p>
    <w:p w14:paraId="08EDF56C" w14:textId="5CC550DF" w:rsidR="003B37B2" w:rsidRPr="007D245C" w:rsidRDefault="003B37B2" w:rsidP="007D245C">
      <w:pPr>
        <w:spacing w:line="240" w:lineRule="auto"/>
        <w:ind w:left="284"/>
        <w:jc w:val="both"/>
        <w:rPr>
          <w:rFonts w:cs="Times New Roman"/>
          <w:i/>
          <w:iCs/>
          <w:sz w:val="22"/>
        </w:rPr>
      </w:pPr>
      <w:r w:rsidRPr="007D245C">
        <w:rPr>
          <w:rFonts w:cs="Times New Roman"/>
          <w:i/>
          <w:iCs/>
          <w:sz w:val="22"/>
        </w:rPr>
        <w:t xml:space="preserve">Como es de su conocimiento SICERE, con motivo de la emergencia que vive el país y las reformas aprobadas para que las personas afectadas pueda </w:t>
      </w:r>
      <w:r w:rsidR="007723FD" w:rsidRPr="007723FD">
        <w:rPr>
          <w:rFonts w:cs="Times New Roman"/>
          <w:szCs w:val="24"/>
        </w:rPr>
        <w:t xml:space="preserve">[Sic] </w:t>
      </w:r>
      <w:r w:rsidRPr="007D245C">
        <w:rPr>
          <w:rFonts w:cs="Times New Roman"/>
          <w:i/>
          <w:iCs/>
          <w:sz w:val="22"/>
        </w:rPr>
        <w:t xml:space="preserve">retirar el FCL, también dispuso una consulta similar; sin embargo, para efectos de seguridad el dato no se muestra públicamente, sino que se remite al correo electrónico o por mensaje de texto, a los datos de contacto previamente registrados para la persona, o bien en caso de no tener datos registrados los puede registrar para efectos de esta consulta. </w:t>
      </w:r>
    </w:p>
    <w:p w14:paraId="3C8370C9" w14:textId="77777777" w:rsidR="003B37B2" w:rsidRPr="007D245C" w:rsidRDefault="003B37B2" w:rsidP="007D245C">
      <w:pPr>
        <w:spacing w:line="240" w:lineRule="auto"/>
        <w:ind w:left="284"/>
        <w:jc w:val="both"/>
        <w:rPr>
          <w:rFonts w:cs="Times New Roman"/>
          <w:i/>
          <w:iCs/>
          <w:sz w:val="22"/>
        </w:rPr>
      </w:pPr>
      <w:r w:rsidRPr="007D245C">
        <w:rPr>
          <w:rFonts w:cs="Times New Roman"/>
          <w:i/>
          <w:iCs/>
          <w:sz w:val="22"/>
        </w:rPr>
        <w:t>Le agradezco si nos pueden ampliar para efectos de conocer si debemos revalorar la forma en cómo tenemos catalogado ese dato.</w:t>
      </w:r>
    </w:p>
    <w:p w14:paraId="198AAB69" w14:textId="77777777" w:rsidR="003B37B2" w:rsidRDefault="003B37B2" w:rsidP="003B37B2">
      <w:pPr>
        <w:spacing w:line="240" w:lineRule="auto"/>
        <w:jc w:val="both"/>
        <w:rPr>
          <w:rFonts w:cs="Times New Roman"/>
        </w:rPr>
      </w:pPr>
    </w:p>
    <w:p w14:paraId="77DE8D32" w14:textId="77777777" w:rsidR="003B37B2" w:rsidRPr="007723FD" w:rsidRDefault="003B37B2" w:rsidP="003B37B2">
      <w:pPr>
        <w:pStyle w:val="Prrafodelista"/>
        <w:numPr>
          <w:ilvl w:val="0"/>
          <w:numId w:val="1"/>
        </w:numPr>
        <w:spacing w:after="0" w:line="240" w:lineRule="auto"/>
        <w:jc w:val="both"/>
        <w:rPr>
          <w:rFonts w:ascii="Times New Roman" w:hAnsi="Times New Roman" w:cs="Times New Roman"/>
          <w:b/>
          <w:bCs/>
          <w:sz w:val="24"/>
        </w:rPr>
      </w:pPr>
      <w:r w:rsidRPr="007723FD">
        <w:rPr>
          <w:rFonts w:ascii="Times New Roman" w:hAnsi="Times New Roman" w:cs="Times New Roman"/>
          <w:b/>
          <w:bCs/>
          <w:sz w:val="24"/>
        </w:rPr>
        <w:t>Normativa aplicable</w:t>
      </w:r>
    </w:p>
    <w:p w14:paraId="2FDB9DE4" w14:textId="77777777" w:rsidR="003B37B2" w:rsidRDefault="003B37B2" w:rsidP="003B37B2">
      <w:pPr>
        <w:spacing w:line="240" w:lineRule="auto"/>
        <w:jc w:val="both"/>
        <w:rPr>
          <w:rFonts w:cs="Times New Roman"/>
        </w:rPr>
      </w:pPr>
    </w:p>
    <w:p w14:paraId="17450EDE" w14:textId="77777777" w:rsidR="003B37B2" w:rsidRPr="005C3380" w:rsidRDefault="003B37B2" w:rsidP="003B37B2">
      <w:pPr>
        <w:pStyle w:val="Prrafodelista"/>
        <w:numPr>
          <w:ilvl w:val="0"/>
          <w:numId w:val="2"/>
        </w:numPr>
        <w:spacing w:after="0" w:line="240" w:lineRule="auto"/>
        <w:jc w:val="both"/>
        <w:rPr>
          <w:rFonts w:ascii="Times New Roman" w:hAnsi="Times New Roman" w:cs="Times New Roman"/>
          <w:sz w:val="24"/>
        </w:rPr>
      </w:pPr>
      <w:r w:rsidRPr="005C3380">
        <w:rPr>
          <w:rFonts w:ascii="Times New Roman" w:hAnsi="Times New Roman" w:cs="Times New Roman"/>
          <w:sz w:val="24"/>
        </w:rPr>
        <w:t>Ley de Protección al Trabajador</w:t>
      </w:r>
    </w:p>
    <w:p w14:paraId="4F5828B9" w14:textId="77777777" w:rsidR="003B37B2" w:rsidRDefault="003B37B2" w:rsidP="003B37B2">
      <w:pPr>
        <w:spacing w:line="240" w:lineRule="auto"/>
        <w:jc w:val="both"/>
        <w:rPr>
          <w:rFonts w:cs="Times New Roman"/>
        </w:rPr>
      </w:pPr>
    </w:p>
    <w:p w14:paraId="041F2564"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Artículo 11. Afiliación del trabajador al régimen obligatorio de pensiones complementarias</w:t>
      </w:r>
    </w:p>
    <w:p w14:paraId="6521BA35" w14:textId="77777777" w:rsidR="003B37B2" w:rsidRPr="007723FD" w:rsidRDefault="003B37B2" w:rsidP="007723FD">
      <w:pPr>
        <w:spacing w:line="240" w:lineRule="auto"/>
        <w:ind w:left="284"/>
        <w:jc w:val="both"/>
        <w:rPr>
          <w:rFonts w:cs="Times New Roman"/>
          <w:sz w:val="22"/>
        </w:rPr>
      </w:pPr>
      <w:r w:rsidRPr="007723FD">
        <w:rPr>
          <w:rFonts w:cs="Times New Roman"/>
          <w:i/>
          <w:iCs/>
          <w:sz w:val="22"/>
        </w:rPr>
        <w:t xml:space="preserve">Al contratar a un nuevo trabajador, el patrono deberá comunicar a la CCSS la operadora de pensiones elegida por el trabajador y </w:t>
      </w:r>
      <w:r w:rsidRPr="007723FD">
        <w:rPr>
          <w:rFonts w:cs="Times New Roman"/>
          <w:b/>
          <w:bCs/>
          <w:i/>
          <w:iCs/>
          <w:sz w:val="22"/>
        </w:rPr>
        <w:t>toda la información necesaria para el funcionamiento adecuado del Sistema Centralizado de Recaudación</w:t>
      </w:r>
      <w:r w:rsidRPr="007723FD">
        <w:rPr>
          <w:rFonts w:cs="Times New Roman"/>
          <w:i/>
          <w:iCs/>
          <w:sz w:val="22"/>
        </w:rPr>
        <w:t>, dentro del plazo que fije la Superintendencia.  Asimismo, deberá comunicar a la CCSS los retiros de trabajadores de su empresa.</w:t>
      </w:r>
      <w:r w:rsidRPr="007723FD">
        <w:rPr>
          <w:rFonts w:cs="Times New Roman"/>
          <w:sz w:val="22"/>
        </w:rPr>
        <w:t xml:space="preserve"> </w:t>
      </w:r>
    </w:p>
    <w:p w14:paraId="59F15ED1" w14:textId="2844B6D9" w:rsidR="003B37B2" w:rsidRDefault="003B37B2" w:rsidP="007723FD">
      <w:pPr>
        <w:spacing w:line="240" w:lineRule="auto"/>
        <w:ind w:left="284"/>
        <w:jc w:val="both"/>
        <w:rPr>
          <w:rFonts w:cs="Times New Roman"/>
        </w:rPr>
      </w:pPr>
      <w:r w:rsidRPr="007723FD">
        <w:rPr>
          <w:rFonts w:cs="Times New Roman"/>
          <w:i/>
          <w:iCs/>
          <w:sz w:val="22"/>
        </w:rPr>
        <w:t>En caso de que el trabajador no elija la operadora, será afiliado en forma automática a la operadora del Banco Popular y de Desarrollo Comunal.  Cuando se trate de los trabajadores afiliados al Sistema de Pensiones del Magisterio, serán afiliados a la operadora autorizada del Magisterio Nacional.  En ambos casos la Superintendencia publicará en un periódico de circulación nacional una lista de los trabajadores que hayan sido afiliados en esta condición.</w:t>
      </w:r>
      <w:r w:rsidRPr="00B21208">
        <w:rPr>
          <w:rFonts w:cs="Times New Roman"/>
          <w:i/>
          <w:iCs/>
        </w:rPr>
        <w:t xml:space="preserve"> </w:t>
      </w:r>
      <w:bookmarkStart w:id="1" w:name="_Hlk41650122"/>
      <w:r w:rsidR="007723FD">
        <w:rPr>
          <w:rFonts w:cs="Times New Roman"/>
        </w:rPr>
        <w:t xml:space="preserve">[Lo resaltado no es del original]. </w:t>
      </w:r>
    </w:p>
    <w:bookmarkEnd w:id="1"/>
    <w:p w14:paraId="1BCF506B" w14:textId="77777777" w:rsidR="003B37B2" w:rsidRDefault="003B37B2" w:rsidP="003B37B2">
      <w:pPr>
        <w:spacing w:line="240" w:lineRule="auto"/>
        <w:ind w:left="360"/>
        <w:jc w:val="both"/>
        <w:rPr>
          <w:rFonts w:cs="Times New Roman"/>
        </w:rPr>
      </w:pPr>
    </w:p>
    <w:p w14:paraId="7B4CE033"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 xml:space="preserve">ARTÍCULO 39. Escogimiento de entidad autorizada </w:t>
      </w:r>
    </w:p>
    <w:p w14:paraId="324950DB"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El trabajador elegirá una única operadora que le administrará los recursos.  Las operadoras no podrán negarse a afiliar a ningún trabajador, siempre que cumpla todos los requisitos determinados para este efecto.</w:t>
      </w:r>
    </w:p>
    <w:p w14:paraId="0AA44D09"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Las operadoras están obligadas a abrir para cada trabajador afiliado una cuenta individual a su nombre.  Esta cuenta, a la vez, puede tener varias subcuentas para el ahorro obligatorio, el ahorro voluntario, los ahorros extraordinarios y otras que se creen por otras leyes o con la autorización del Superintendente.</w:t>
      </w:r>
    </w:p>
    <w:p w14:paraId="21B40D3D"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Para el caso de la administración del fondo de capitalización laboral, el trabajador sólo podrá escoger una única operadora de fondos de capitalización laboral, a la vez entre las organizaciones sociales indicadas en el Artículo 30 de la presente Ley.  De no hacer el comunicado correspondiente, se aplicarán las siguientes reglas:</w:t>
      </w:r>
    </w:p>
    <w:p w14:paraId="4AF200FA"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w:t>
      </w:r>
      <w:r w:rsidRPr="007723FD">
        <w:rPr>
          <w:rFonts w:cs="Times New Roman"/>
          <w:i/>
          <w:iCs/>
          <w:sz w:val="22"/>
        </w:rPr>
        <w:tab/>
        <w:t>Si el trabajador se encuentra afiliado a una organización social autorizada, se presumirá que los aportes deben ser depositados en esa entidad.</w:t>
      </w:r>
    </w:p>
    <w:p w14:paraId="75779EC3" w14:textId="29ABC41C" w:rsidR="003B37B2" w:rsidRPr="007723FD" w:rsidRDefault="003B37B2" w:rsidP="007723FD">
      <w:pPr>
        <w:spacing w:line="240" w:lineRule="auto"/>
        <w:ind w:left="284"/>
        <w:jc w:val="both"/>
        <w:rPr>
          <w:rFonts w:cs="Times New Roman"/>
          <w:i/>
          <w:iCs/>
          <w:sz w:val="22"/>
        </w:rPr>
      </w:pPr>
      <w:r w:rsidRPr="007723FD">
        <w:rPr>
          <w:rFonts w:cs="Times New Roman"/>
          <w:i/>
          <w:iCs/>
          <w:sz w:val="22"/>
        </w:rPr>
        <w:lastRenderedPageBreak/>
        <w:t>b)</w:t>
      </w:r>
      <w:r w:rsidRPr="007723FD">
        <w:rPr>
          <w:rFonts w:cs="Times New Roman"/>
          <w:i/>
          <w:iCs/>
          <w:sz w:val="22"/>
        </w:rPr>
        <w:tab/>
        <w:t>Si el trabajador está afiliado al Sistema de Pensiones del Magisterio Nacional, se presumirá que los aportes deben ser depositados en la entidad autorizada del Magisterio.</w:t>
      </w:r>
    </w:p>
    <w:p w14:paraId="2AAE57D8"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c)</w:t>
      </w:r>
      <w:r w:rsidRPr="007723FD">
        <w:rPr>
          <w:rFonts w:cs="Times New Roman"/>
          <w:i/>
          <w:iCs/>
          <w:sz w:val="22"/>
        </w:rPr>
        <w:tab/>
        <w:t xml:space="preserve">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CCSS que deberá depositarlos en una cuenta individual a nombre del trabajador en la operadora de Pensiones de la Caja Costarricense de Seguro Social.  </w:t>
      </w:r>
    </w:p>
    <w:p w14:paraId="5243F742" w14:textId="1D723910" w:rsidR="003B37B2" w:rsidRDefault="003B37B2" w:rsidP="007723FD">
      <w:pPr>
        <w:spacing w:line="240" w:lineRule="auto"/>
        <w:ind w:left="284"/>
        <w:jc w:val="both"/>
        <w:rPr>
          <w:rFonts w:cs="Times New Roman"/>
          <w:i/>
          <w:iCs/>
          <w:sz w:val="22"/>
        </w:rPr>
      </w:pPr>
      <w:r w:rsidRPr="007723FD">
        <w:rPr>
          <w:rFonts w:cs="Times New Roman"/>
          <w:i/>
          <w:iCs/>
          <w:sz w:val="22"/>
        </w:rPr>
        <w:t>La Superintendencia publicará en un periódico de circulación nacional, una lista de los trabajadores que hayan sido afiliados en esta condición.</w:t>
      </w:r>
    </w:p>
    <w:p w14:paraId="4203EC1C" w14:textId="1E3D843B" w:rsidR="0033561F" w:rsidRDefault="0033561F" w:rsidP="007723FD">
      <w:pPr>
        <w:spacing w:line="240" w:lineRule="auto"/>
        <w:ind w:left="284"/>
        <w:jc w:val="both"/>
        <w:rPr>
          <w:rFonts w:cs="Times New Roman"/>
          <w:i/>
          <w:iCs/>
          <w:sz w:val="22"/>
        </w:rPr>
      </w:pPr>
    </w:p>
    <w:p w14:paraId="39068A4D" w14:textId="0BA115BA" w:rsidR="0033561F" w:rsidRPr="007723FD" w:rsidRDefault="0010265C" w:rsidP="007723FD">
      <w:pPr>
        <w:spacing w:line="240" w:lineRule="auto"/>
        <w:ind w:left="284"/>
        <w:jc w:val="both"/>
        <w:rPr>
          <w:rFonts w:cs="Times New Roman"/>
          <w:i/>
          <w:iCs/>
          <w:sz w:val="22"/>
        </w:rPr>
      </w:pPr>
      <w:r w:rsidRPr="0010265C">
        <w:rPr>
          <w:rFonts w:cs="Times New Roman"/>
          <w:i/>
          <w:iCs/>
          <w:sz w:val="22"/>
        </w:rPr>
        <w:t>ARTÍCULO 58.- Sistema Centralizado de Recaudación de pensiones. El Sistema Centralizado de Recaudación llevará el registro de los afiliados. Ejercerá el control de los aportes al Régimen de Invalidez, Vejez y Muerte, de Pensiones Complementarias, de Enfermedad y Maternidad; a los fondos de capitalización laboral; a las cargas sociales cuya recaudación haya sido encargada a la CCSS y cualquier otra que la ley establezca, de conformidad con el artículo 31 de la Ley Orgánica de la Caja Costarricense de Seguro Social.</w:t>
      </w:r>
    </w:p>
    <w:p w14:paraId="14718DA6" w14:textId="77777777" w:rsidR="003B37B2" w:rsidRPr="00AD139F" w:rsidRDefault="003B37B2" w:rsidP="003B37B2">
      <w:pPr>
        <w:spacing w:line="240" w:lineRule="auto"/>
        <w:jc w:val="both"/>
        <w:rPr>
          <w:rFonts w:cs="Times New Roman"/>
        </w:rPr>
      </w:pPr>
    </w:p>
    <w:p w14:paraId="6353D7A5" w14:textId="77777777" w:rsidR="003B37B2" w:rsidRDefault="003B37B2" w:rsidP="003B37B2">
      <w:pPr>
        <w:pStyle w:val="Prrafodelista"/>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Ley </w:t>
      </w:r>
      <w:r w:rsidRPr="00717833">
        <w:rPr>
          <w:rFonts w:ascii="Times New Roman" w:hAnsi="Times New Roman" w:cs="Times New Roman"/>
          <w:sz w:val="24"/>
        </w:rPr>
        <w:t>Orgánica de la Caja Costarricense de Seguro Social</w:t>
      </w:r>
    </w:p>
    <w:p w14:paraId="2284B394" w14:textId="77777777" w:rsidR="003B37B2" w:rsidRDefault="003B37B2" w:rsidP="003B37B2">
      <w:pPr>
        <w:spacing w:line="240" w:lineRule="auto"/>
        <w:jc w:val="both"/>
        <w:rPr>
          <w:rFonts w:cs="Times New Roman"/>
        </w:rPr>
      </w:pPr>
    </w:p>
    <w:p w14:paraId="57E9F80D"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Artículo 31</w:t>
      </w:r>
    </w:p>
    <w:p w14:paraId="45DDE8E8"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w:t>
      </w:r>
    </w:p>
    <w:p w14:paraId="6D3CF27B" w14:textId="1FF08181" w:rsidR="003B37B2" w:rsidRPr="000C0DB3" w:rsidRDefault="003B37B2" w:rsidP="007723FD">
      <w:pPr>
        <w:spacing w:line="240" w:lineRule="auto"/>
        <w:ind w:left="284"/>
        <w:jc w:val="both"/>
        <w:rPr>
          <w:rFonts w:cs="Times New Roman"/>
        </w:rPr>
      </w:pPr>
      <w:r w:rsidRPr="007723FD">
        <w:rPr>
          <w:rFonts w:cs="Times New Roman"/>
          <w:i/>
          <w:iCs/>
          <w:sz w:val="22"/>
        </w:rPr>
        <w:t xml:space="preserve">Créase el Sistema Centralizado de Recaudación, para </w:t>
      </w:r>
      <w:r w:rsidRPr="007723FD">
        <w:rPr>
          <w:rFonts w:cs="Times New Roman"/>
          <w:b/>
          <w:bCs/>
          <w:i/>
          <w:iCs/>
          <w:sz w:val="22"/>
        </w:rPr>
        <w:t>llevar el registro de los afiliados, ejercer el control</w:t>
      </w:r>
      <w:r w:rsidRPr="007723FD">
        <w:rPr>
          <w:rFonts w:cs="Times New Roman"/>
          <w:i/>
          <w:iCs/>
          <w:sz w:val="22"/>
        </w:rPr>
        <w:t xml:space="preserve"> de los aportes al Régimen de Invalidez, Vejez y Muerte, de Pensiones Complementarias, de Enfermedad y Maternidad; a los Fondos de Capitalización Laboral; además de las cargas sociales cuya recaudación ha sido encargada a la CCSS y cualquier otra que la ley establezca.</w:t>
      </w:r>
      <w:r w:rsidRPr="000C0DB3">
        <w:rPr>
          <w:rFonts w:cs="Times New Roman"/>
        </w:rPr>
        <w:t xml:space="preserve"> </w:t>
      </w:r>
      <w:r w:rsidR="007723FD" w:rsidRPr="007723FD">
        <w:rPr>
          <w:rFonts w:cs="Times New Roman"/>
        </w:rPr>
        <w:t>[Lo resaltado no es del original].</w:t>
      </w:r>
    </w:p>
    <w:p w14:paraId="700D5E3F" w14:textId="77777777" w:rsidR="003B37B2" w:rsidRDefault="003B37B2" w:rsidP="003B37B2">
      <w:pPr>
        <w:spacing w:line="240" w:lineRule="auto"/>
        <w:jc w:val="both"/>
        <w:rPr>
          <w:rFonts w:cs="Times New Roman"/>
        </w:rPr>
      </w:pPr>
    </w:p>
    <w:p w14:paraId="4BE58388" w14:textId="77777777" w:rsidR="003B37B2" w:rsidRDefault="003B37B2" w:rsidP="003B37B2">
      <w:pPr>
        <w:pStyle w:val="Prrafodelista"/>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Ley</w:t>
      </w:r>
      <w:r w:rsidRPr="005C3380">
        <w:rPr>
          <w:rFonts w:ascii="Times New Roman" w:hAnsi="Times New Roman" w:cs="Times New Roman"/>
          <w:sz w:val="24"/>
        </w:rPr>
        <w:t xml:space="preserve"> de </w:t>
      </w:r>
      <w:r w:rsidRPr="00735CE6">
        <w:rPr>
          <w:rFonts w:ascii="Times New Roman" w:hAnsi="Times New Roman" w:cs="Times New Roman"/>
          <w:sz w:val="24"/>
        </w:rPr>
        <w:t>P</w:t>
      </w:r>
      <w:r w:rsidRPr="00AD5AF8">
        <w:rPr>
          <w:rFonts w:ascii="Times New Roman" w:hAnsi="Times New Roman" w:cs="Times New Roman"/>
          <w:sz w:val="24"/>
        </w:rPr>
        <w:t>rotección de la persona frente</w:t>
      </w:r>
      <w:r>
        <w:rPr>
          <w:rFonts w:ascii="Times New Roman" w:hAnsi="Times New Roman" w:cs="Times New Roman"/>
          <w:sz w:val="24"/>
        </w:rPr>
        <w:t xml:space="preserve"> </w:t>
      </w:r>
      <w:r w:rsidRPr="00AD5AF8">
        <w:rPr>
          <w:rFonts w:ascii="Times New Roman" w:hAnsi="Times New Roman" w:cs="Times New Roman"/>
          <w:sz w:val="24"/>
        </w:rPr>
        <w:t>al</w:t>
      </w:r>
      <w:r>
        <w:rPr>
          <w:rFonts w:ascii="Times New Roman" w:hAnsi="Times New Roman" w:cs="Times New Roman"/>
          <w:sz w:val="24"/>
        </w:rPr>
        <w:t xml:space="preserve"> </w:t>
      </w:r>
      <w:r w:rsidRPr="00AD5AF8">
        <w:rPr>
          <w:rFonts w:ascii="Times New Roman" w:hAnsi="Times New Roman" w:cs="Times New Roman"/>
          <w:sz w:val="24"/>
        </w:rPr>
        <w:t>tratamiento de sus datos personales</w:t>
      </w:r>
    </w:p>
    <w:p w14:paraId="3EF3E0EE" w14:textId="77777777" w:rsidR="003B37B2" w:rsidRDefault="003B37B2" w:rsidP="003B37B2">
      <w:pPr>
        <w:spacing w:line="240" w:lineRule="auto"/>
        <w:jc w:val="both"/>
        <w:rPr>
          <w:rFonts w:cs="Times New Roman"/>
        </w:rPr>
      </w:pPr>
    </w:p>
    <w:p w14:paraId="2D08F336" w14:textId="77777777" w:rsidR="003B37B2" w:rsidRPr="00FB6FE1" w:rsidRDefault="003B37B2" w:rsidP="007723FD">
      <w:pPr>
        <w:spacing w:line="240" w:lineRule="auto"/>
        <w:ind w:left="284"/>
        <w:jc w:val="both"/>
        <w:rPr>
          <w:rFonts w:cs="Times New Roman"/>
          <w:i/>
          <w:iCs/>
          <w:sz w:val="22"/>
        </w:rPr>
      </w:pPr>
      <w:r w:rsidRPr="00FB6FE1">
        <w:rPr>
          <w:rFonts w:cs="Times New Roman"/>
          <w:i/>
          <w:iCs/>
          <w:sz w:val="22"/>
        </w:rPr>
        <w:t>Artículo 2.- Ámbito de aplicación</w:t>
      </w:r>
    </w:p>
    <w:p w14:paraId="518BF692" w14:textId="77777777" w:rsidR="003B37B2" w:rsidRPr="00FB6FE1" w:rsidRDefault="003B37B2" w:rsidP="007723FD">
      <w:pPr>
        <w:spacing w:line="240" w:lineRule="auto"/>
        <w:ind w:left="284"/>
        <w:jc w:val="both"/>
        <w:rPr>
          <w:rFonts w:cs="Times New Roman"/>
          <w:i/>
          <w:iCs/>
          <w:sz w:val="22"/>
        </w:rPr>
      </w:pPr>
      <w:r w:rsidRPr="00FB6FE1">
        <w:rPr>
          <w:rFonts w:cs="Times New Roman"/>
          <w:i/>
          <w:iCs/>
          <w:sz w:val="22"/>
        </w:rPr>
        <w:t>Esta ley será de aplicación a los datos personales que figuren en bases de datos automatizadas o manuales, de organismos públicos o privados, y a toda modalidad de uso posterior de estos datos.</w:t>
      </w:r>
    </w:p>
    <w:p w14:paraId="079916FF" w14:textId="77777777" w:rsidR="003B37B2" w:rsidRPr="00FB6FE1" w:rsidRDefault="003B37B2" w:rsidP="007723FD">
      <w:pPr>
        <w:spacing w:line="240" w:lineRule="auto"/>
        <w:ind w:left="284"/>
        <w:jc w:val="both"/>
        <w:rPr>
          <w:rFonts w:cs="Times New Roman"/>
          <w:i/>
          <w:iCs/>
          <w:sz w:val="22"/>
        </w:rPr>
      </w:pPr>
      <w:r w:rsidRPr="00FB6FE1">
        <w:rPr>
          <w:rFonts w:cs="Times New Roman"/>
          <w:i/>
          <w:iCs/>
          <w:sz w:val="22"/>
        </w:rPr>
        <w:t>El régimen de protección de los datos de carácter personal que se establece en esta ley no será de aplicación a las bases de datos mantenidas por personas físicas o jurídicas con fines exclusivamente internos, personales o domésticos, siempre y cuando estas no sean vendidas o de cualquier otra manera comercializadas.</w:t>
      </w:r>
    </w:p>
    <w:p w14:paraId="1713DEAD" w14:textId="77777777" w:rsidR="003B37B2" w:rsidRPr="005C3380" w:rsidRDefault="003B37B2" w:rsidP="003B37B2">
      <w:pPr>
        <w:spacing w:line="240" w:lineRule="auto"/>
        <w:ind w:left="360"/>
        <w:jc w:val="both"/>
        <w:rPr>
          <w:rFonts w:cs="Times New Roman"/>
          <w:i/>
          <w:iCs/>
        </w:rPr>
      </w:pPr>
    </w:p>
    <w:p w14:paraId="70524E00"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Artículo 3.- Definiciones</w:t>
      </w:r>
    </w:p>
    <w:p w14:paraId="027770F4"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Para los efectos de la presente ley se define lo siguiente:</w:t>
      </w:r>
    </w:p>
    <w:p w14:paraId="767AF79E"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w:t>
      </w:r>
    </w:p>
    <w:p w14:paraId="7F51019B"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b) Datos personales: cualquier dato relativo a una persona física identificada o identificable.</w:t>
      </w:r>
    </w:p>
    <w:p w14:paraId="5995C145"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c) Datos personales de acceso irrestricto: los contenidos en bases de datos públicas de acceso general, según dispongan leyes especiales y de conformidad con la finalidad para la cual estos datos fueron recabados.</w:t>
      </w:r>
    </w:p>
    <w:p w14:paraId="4D487B5A"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lastRenderedPageBreak/>
        <w:t xml:space="preserve">d) </w:t>
      </w:r>
      <w:r w:rsidRPr="007723FD">
        <w:rPr>
          <w:rFonts w:cs="Times New Roman"/>
          <w:b/>
          <w:bCs/>
          <w:i/>
          <w:iCs/>
          <w:sz w:val="22"/>
        </w:rPr>
        <w:t>Datos personales de acceso restringido: los que, aun formando parte de registros de acceso al público, no son de acceso irrestricto por ser de interés solo para su titular o para la Administración Pública</w:t>
      </w:r>
      <w:r w:rsidRPr="007723FD">
        <w:rPr>
          <w:rFonts w:cs="Times New Roman"/>
          <w:i/>
          <w:iCs/>
          <w:sz w:val="22"/>
        </w:rPr>
        <w:t>.</w:t>
      </w:r>
    </w:p>
    <w:p w14:paraId="52E90209"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e) Datos sensibles: información relativa al fuero íntimo de la persona, como por ejemplo los que revelen origen racial, opiniones políticas, convicciones religiosas o espirituales, condición socioeconómica, información biomédica o genética, vida y orientación sexual, entre otros.</w:t>
      </w:r>
    </w:p>
    <w:p w14:paraId="28439C54"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 xml:space="preserve">f) Deber de confidencialidad: obligación de los responsables de bases de datos, personal a su cargo y del personal de la Agencia de Protección de Datos de los Habitantes (Prodhab), de </w:t>
      </w:r>
      <w:r w:rsidRPr="007723FD">
        <w:rPr>
          <w:rFonts w:cs="Times New Roman"/>
          <w:b/>
          <w:bCs/>
          <w:i/>
          <w:iCs/>
          <w:sz w:val="22"/>
        </w:rPr>
        <w:t>guardar la confidencialidad</w:t>
      </w:r>
      <w:r w:rsidRPr="007723FD">
        <w:rPr>
          <w:rFonts w:cs="Times New Roman"/>
          <w:i/>
          <w:iCs/>
          <w:sz w:val="22"/>
        </w:rPr>
        <w:t xml:space="preserve"> con ocasión del ejercicio de las facultades dadas por esta ley, principalmente cuando se acceda a información sobre datos personales y sensibles. Esta obligación perdurará aun después de finalizada la relación con la base de datos.</w:t>
      </w:r>
    </w:p>
    <w:p w14:paraId="607CD889" w14:textId="77777777" w:rsidR="007723FD" w:rsidRDefault="003B37B2" w:rsidP="007723FD">
      <w:pPr>
        <w:spacing w:line="240" w:lineRule="auto"/>
        <w:ind w:left="284"/>
        <w:jc w:val="both"/>
        <w:rPr>
          <w:rFonts w:cs="Times New Roman"/>
        </w:rPr>
      </w:pPr>
      <w:r w:rsidRPr="007723FD">
        <w:rPr>
          <w:rFonts w:cs="Times New Roman"/>
          <w:i/>
          <w:iCs/>
          <w:sz w:val="22"/>
        </w:rPr>
        <w:t>[…]</w:t>
      </w:r>
      <w:r w:rsidR="007723FD">
        <w:rPr>
          <w:rFonts w:cs="Times New Roman"/>
          <w:i/>
          <w:iCs/>
        </w:rPr>
        <w:t xml:space="preserve"> </w:t>
      </w:r>
      <w:r w:rsidR="007723FD">
        <w:rPr>
          <w:rFonts w:cs="Times New Roman"/>
        </w:rPr>
        <w:t xml:space="preserve">[Lo resaltado no es del original]. </w:t>
      </w:r>
    </w:p>
    <w:p w14:paraId="22AFFDF6" w14:textId="573B19D2" w:rsidR="003B37B2" w:rsidRPr="005C3380" w:rsidRDefault="003B37B2" w:rsidP="003B37B2">
      <w:pPr>
        <w:spacing w:line="240" w:lineRule="auto"/>
        <w:ind w:left="360"/>
        <w:jc w:val="both"/>
        <w:rPr>
          <w:rFonts w:cs="Times New Roman"/>
          <w:i/>
          <w:iCs/>
        </w:rPr>
      </w:pPr>
    </w:p>
    <w:p w14:paraId="460C138D"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Artículo 4.- Autodeterminación informativa</w:t>
      </w:r>
    </w:p>
    <w:p w14:paraId="1A58F866"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Toda persona tiene derecho a la autodeterminación informativa, la cual abarca el conjunto de principios y garantías relativas al legítimo tratamiento de sus datos personales reconocidos en esta sección.</w:t>
      </w:r>
    </w:p>
    <w:p w14:paraId="3598EC5D" w14:textId="46B07ECE" w:rsidR="007723FD" w:rsidRPr="007723FD" w:rsidRDefault="003B37B2" w:rsidP="007723FD">
      <w:pPr>
        <w:spacing w:line="240" w:lineRule="auto"/>
        <w:ind w:left="284"/>
        <w:jc w:val="both"/>
        <w:rPr>
          <w:rFonts w:cs="Times New Roman"/>
          <w:szCs w:val="24"/>
        </w:rPr>
      </w:pPr>
      <w:r w:rsidRPr="007723FD">
        <w:rPr>
          <w:rFonts w:cs="Times New Roman"/>
          <w:i/>
          <w:iCs/>
          <w:sz w:val="22"/>
        </w:rPr>
        <w:t xml:space="preserve">Se reconoce también la autodeterminación informativa como un derecho fundamental, con el objeto de </w:t>
      </w:r>
      <w:r w:rsidRPr="007723FD">
        <w:rPr>
          <w:rFonts w:cs="Times New Roman"/>
          <w:b/>
          <w:bCs/>
          <w:i/>
          <w:iCs/>
          <w:sz w:val="22"/>
        </w:rPr>
        <w:t>controlar el flujo de informaciones que conciernen a cada persona, derivado del derecho a la privacidad</w:t>
      </w:r>
      <w:r w:rsidRPr="007723FD">
        <w:rPr>
          <w:rFonts w:cs="Times New Roman"/>
          <w:i/>
          <w:iCs/>
          <w:sz w:val="22"/>
        </w:rPr>
        <w:t>, evitando que se propicien acciones discriminatorias.</w:t>
      </w:r>
      <w:r w:rsidR="007723FD" w:rsidRPr="007723FD">
        <w:rPr>
          <w:rFonts w:cs="Times New Roman"/>
          <w:sz w:val="22"/>
        </w:rPr>
        <w:t xml:space="preserve"> </w:t>
      </w:r>
      <w:r w:rsidR="007723FD" w:rsidRPr="007723FD">
        <w:rPr>
          <w:rFonts w:cs="Times New Roman"/>
          <w:szCs w:val="24"/>
        </w:rPr>
        <w:t xml:space="preserve">[Lo resaltado no es del original]. </w:t>
      </w:r>
    </w:p>
    <w:p w14:paraId="041A8359" w14:textId="77777777" w:rsidR="003B37B2" w:rsidRPr="007723FD" w:rsidRDefault="003B37B2" w:rsidP="007723FD">
      <w:pPr>
        <w:spacing w:line="240" w:lineRule="auto"/>
        <w:ind w:left="284"/>
        <w:jc w:val="both"/>
        <w:rPr>
          <w:rFonts w:cs="Times New Roman"/>
          <w:i/>
          <w:iCs/>
          <w:sz w:val="22"/>
        </w:rPr>
      </w:pPr>
    </w:p>
    <w:p w14:paraId="082DB1AC"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 xml:space="preserve">Artículo 8.- </w:t>
      </w:r>
      <w:r w:rsidRPr="007723FD">
        <w:rPr>
          <w:rFonts w:cs="Times New Roman"/>
          <w:b/>
          <w:bCs/>
          <w:i/>
          <w:iCs/>
          <w:sz w:val="22"/>
        </w:rPr>
        <w:t>Excepciones</w:t>
      </w:r>
      <w:r w:rsidRPr="007723FD">
        <w:rPr>
          <w:rFonts w:cs="Times New Roman"/>
          <w:i/>
          <w:iCs/>
          <w:sz w:val="22"/>
        </w:rPr>
        <w:t xml:space="preserve"> a la autodeterminación informativa del ciudadano</w:t>
      </w:r>
    </w:p>
    <w:p w14:paraId="62B4B3CC"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Los principios, los derechos y las garantías aquí establecidos podrán ser limitados de manera justa, razonable y acorde con el principio de transparencia administrativa, cuando se persigan los siguientes fines:</w:t>
      </w:r>
    </w:p>
    <w:p w14:paraId="66052AB7"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 La seguridad del Estado.</w:t>
      </w:r>
    </w:p>
    <w:p w14:paraId="37B7CF37"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b) La seguridad y el ejercicio de la autoridad pública.</w:t>
      </w:r>
    </w:p>
    <w:p w14:paraId="750E46DC"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c) La prevención, persecución, investigación, detención y represión de las infracciones penales, o de las infracciones de la deontología en las profesiones.</w:t>
      </w:r>
    </w:p>
    <w:p w14:paraId="75A09799"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d) El funcionamiento de bases de datos que se utilicen con fines estadísticos, históricos o de investigación científica, cuando no exista riesgo de que las personas sean identificadas.</w:t>
      </w:r>
    </w:p>
    <w:p w14:paraId="5F707EC5"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e) La adecuada prestación de servicios públicos.</w:t>
      </w:r>
    </w:p>
    <w:p w14:paraId="618D9301" w14:textId="0F4D6748" w:rsidR="007723FD" w:rsidRPr="007723FD" w:rsidRDefault="003B37B2" w:rsidP="007723FD">
      <w:pPr>
        <w:spacing w:line="240" w:lineRule="auto"/>
        <w:ind w:left="284"/>
        <w:jc w:val="both"/>
        <w:rPr>
          <w:rFonts w:cs="Times New Roman"/>
          <w:szCs w:val="24"/>
        </w:rPr>
      </w:pPr>
      <w:r w:rsidRPr="007723FD">
        <w:rPr>
          <w:rFonts w:cs="Times New Roman"/>
          <w:i/>
          <w:iCs/>
          <w:sz w:val="22"/>
        </w:rPr>
        <w:t xml:space="preserve">f) </w:t>
      </w:r>
      <w:r w:rsidRPr="007723FD">
        <w:rPr>
          <w:rFonts w:cs="Times New Roman"/>
          <w:b/>
          <w:bCs/>
          <w:i/>
          <w:iCs/>
          <w:sz w:val="22"/>
        </w:rPr>
        <w:t>La eficaz actividad ordinaria de la Administración, por parte de las autoridades oficiales</w:t>
      </w:r>
      <w:r w:rsidRPr="007723FD">
        <w:rPr>
          <w:rFonts w:cs="Times New Roman"/>
          <w:i/>
          <w:iCs/>
          <w:sz w:val="22"/>
        </w:rPr>
        <w:t>.</w:t>
      </w:r>
      <w:r w:rsidR="007723FD" w:rsidRPr="007723FD">
        <w:rPr>
          <w:rFonts w:cs="Times New Roman"/>
          <w:sz w:val="22"/>
        </w:rPr>
        <w:t xml:space="preserve"> </w:t>
      </w:r>
      <w:r w:rsidR="007723FD" w:rsidRPr="007723FD">
        <w:rPr>
          <w:rFonts w:cs="Times New Roman"/>
          <w:szCs w:val="24"/>
        </w:rPr>
        <w:t xml:space="preserve">[Lo resaltado no es del original]. </w:t>
      </w:r>
    </w:p>
    <w:p w14:paraId="27780A5B" w14:textId="77777777" w:rsidR="003B37B2" w:rsidRPr="007723FD" w:rsidRDefault="003B37B2" w:rsidP="007723FD">
      <w:pPr>
        <w:spacing w:line="240" w:lineRule="auto"/>
        <w:ind w:left="284"/>
        <w:jc w:val="both"/>
        <w:rPr>
          <w:rFonts w:cs="Times New Roman"/>
          <w:i/>
          <w:iCs/>
          <w:sz w:val="22"/>
        </w:rPr>
      </w:pPr>
    </w:p>
    <w:p w14:paraId="43321681"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Artículo 9.- Categorías particulares de los datos</w:t>
      </w:r>
    </w:p>
    <w:p w14:paraId="65CA49B4"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Además de las reglas generales establecidas en esta ley, para el tratamiento de los datos personales, las categorías particulares de los datos que se mencionarán, se regirán por las siguientes disposiciones:</w:t>
      </w:r>
    </w:p>
    <w:p w14:paraId="2012B904"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1.-        Datos sensibles</w:t>
      </w:r>
    </w:p>
    <w:p w14:paraId="74892B9B"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Ninguna persona estará obligada a suministrar datos sensibles. Se prohíbe el tratamiento de datos de carácter personal que revelen el origen racial o étnico, opiniones políticas, convicciones religiosas, espirituales o filosóficas, así como los relativos a la salud, la vida y la orientación sexual, entre otros.</w:t>
      </w:r>
    </w:p>
    <w:p w14:paraId="3259FCB3"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lastRenderedPageBreak/>
        <w:t>Esta prohibición no se aplicará cuando:</w:t>
      </w:r>
    </w:p>
    <w:p w14:paraId="54F56F4C"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a) El tratamiento de los datos sea necesario para salvaguardar el interés vital del interesado o de otra persona, en el supuesto de que la persona interesada esté física o jurídicamente incapacitada para dar su consentimiento.</w:t>
      </w:r>
    </w:p>
    <w:p w14:paraId="46D1E43B"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b) El tratamiento de los datos sea efectuado en el curso de sus actividades legítimas y con las debidas garantías por una fundación, una asociación o cualquier otro organismo, cuya finalidad sea política, filosófica, religiosa o sindical, siempre que se refiera exclusivamente a sus miembros o a las personas que mantengan contactos regulares con la fundación, la asociación o el organismo, por razón de su finalidad y con tal de que los datos no se comuniquen a terceros sin el consentimiento de las personas interesadas.</w:t>
      </w:r>
    </w:p>
    <w:p w14:paraId="569AFD62"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c) El tratamiento se refiera a datos que la persona interesada haya hecho públicos voluntariamente o sean necesarios para el reconocimiento, el ejercicio o la defensa de un derecho en un procedimiento judicial.</w:t>
      </w:r>
    </w:p>
    <w:p w14:paraId="3E26FA19"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d) El tratamiento de los datos resulte necesario para la prevención o para el diagnóstico médico, la prestación de asistencia sanitaria o tratamientos médicos, o la gestión de servicios sanitarios, siempre que dicho tratamiento de datos sea realizado por un funcionario o funcionaria del área de la salud, sujeto al secreto profesional o propio de su función, o por otra persona sujeta, asimismo, a una obligación equivalente de secreto.</w:t>
      </w:r>
    </w:p>
    <w:p w14:paraId="7DA38C0B" w14:textId="77777777" w:rsidR="003B37B2" w:rsidRPr="007723FD" w:rsidRDefault="003B37B2" w:rsidP="007723FD">
      <w:pPr>
        <w:spacing w:line="240" w:lineRule="auto"/>
        <w:ind w:left="284"/>
        <w:jc w:val="both"/>
        <w:rPr>
          <w:rFonts w:cs="Times New Roman"/>
          <w:b/>
          <w:bCs/>
          <w:i/>
          <w:iCs/>
          <w:sz w:val="22"/>
        </w:rPr>
      </w:pPr>
      <w:r w:rsidRPr="007723FD">
        <w:rPr>
          <w:rFonts w:cs="Times New Roman"/>
          <w:i/>
          <w:iCs/>
          <w:sz w:val="22"/>
        </w:rPr>
        <w:t xml:space="preserve">2.- </w:t>
      </w:r>
      <w:r w:rsidRPr="007723FD">
        <w:rPr>
          <w:rFonts w:cs="Times New Roman"/>
          <w:b/>
          <w:bCs/>
          <w:i/>
          <w:iCs/>
          <w:sz w:val="22"/>
        </w:rPr>
        <w:t>Datos personales de acceso restringido</w:t>
      </w:r>
    </w:p>
    <w:p w14:paraId="747C2883" w14:textId="77777777" w:rsidR="003B37B2" w:rsidRPr="007723FD" w:rsidRDefault="003B37B2" w:rsidP="007723FD">
      <w:pPr>
        <w:spacing w:line="240" w:lineRule="auto"/>
        <w:ind w:left="284"/>
        <w:jc w:val="both"/>
        <w:rPr>
          <w:rFonts w:cs="Times New Roman"/>
          <w:i/>
          <w:iCs/>
          <w:sz w:val="22"/>
        </w:rPr>
      </w:pPr>
      <w:r w:rsidRPr="007723FD">
        <w:rPr>
          <w:rFonts w:cs="Times New Roman"/>
          <w:b/>
          <w:bCs/>
          <w:i/>
          <w:iCs/>
          <w:sz w:val="22"/>
        </w:rPr>
        <w:t>Datos personales de acceso restringido son los que, aun formando parte de registros de acceso al público, no son de acceso irrestricto por ser de interés solo para su titular o para la Administración Pública. Su tratamiento será permitido únicamente para fines públicos o si se cuenta con el consentimiento expreso del titular</w:t>
      </w:r>
      <w:r w:rsidRPr="007723FD">
        <w:rPr>
          <w:rFonts w:cs="Times New Roman"/>
          <w:i/>
          <w:iCs/>
          <w:sz w:val="22"/>
        </w:rPr>
        <w:t>.</w:t>
      </w:r>
    </w:p>
    <w:p w14:paraId="4359D4CE"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3.- Datos personales de acceso irrestricto</w:t>
      </w:r>
    </w:p>
    <w:p w14:paraId="53814BC1"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Datos personales de acceso irrestricto son los contenidos en bases de datos públicas de acceso general, según lo dispongan las leyes especiales y de conformidad con la finalidad para la cual estos datos fueron recabados.</w:t>
      </w:r>
    </w:p>
    <w:p w14:paraId="29EB8EDF" w14:textId="77777777" w:rsidR="003B37B2" w:rsidRPr="007723FD" w:rsidRDefault="003B37B2" w:rsidP="007723FD">
      <w:pPr>
        <w:spacing w:line="240" w:lineRule="auto"/>
        <w:ind w:left="284"/>
        <w:jc w:val="both"/>
        <w:rPr>
          <w:rFonts w:cs="Times New Roman"/>
          <w:i/>
          <w:iCs/>
          <w:sz w:val="22"/>
        </w:rPr>
      </w:pPr>
      <w:r w:rsidRPr="007723FD">
        <w:rPr>
          <w:rFonts w:cs="Times New Roman"/>
          <w:i/>
          <w:iCs/>
          <w:sz w:val="22"/>
        </w:rPr>
        <w:t>No se considerarán contemplados en esta categoría: la dirección exacta de la residencia, excepto si su uso es producto de un mandato, citación o notificación administrativa o judicial, o bien, de una operación bancaria o financiera, la fotografía, los números de teléfono privados y otros de igual naturaleza cuyo tratamiento pueda afectar los derechos y los intereses de la persona titular.</w:t>
      </w:r>
    </w:p>
    <w:p w14:paraId="18678236" w14:textId="77777777" w:rsidR="003B37B2" w:rsidRPr="007723FD" w:rsidRDefault="003B37B2" w:rsidP="007723FD">
      <w:pPr>
        <w:spacing w:line="240" w:lineRule="auto"/>
        <w:ind w:left="284"/>
        <w:jc w:val="both"/>
        <w:rPr>
          <w:rFonts w:cs="Times New Roman"/>
          <w:sz w:val="22"/>
        </w:rPr>
      </w:pPr>
      <w:r w:rsidRPr="007723FD">
        <w:rPr>
          <w:rFonts w:cs="Times New Roman"/>
          <w:i/>
          <w:iCs/>
          <w:sz w:val="22"/>
        </w:rPr>
        <w:t>4.- Datos referentes al comportamiento crediticio</w:t>
      </w:r>
    </w:p>
    <w:p w14:paraId="1639AB6E" w14:textId="77777777" w:rsidR="007723FD" w:rsidRDefault="003B37B2" w:rsidP="007723FD">
      <w:pPr>
        <w:spacing w:line="240" w:lineRule="auto"/>
        <w:ind w:left="284"/>
        <w:jc w:val="both"/>
        <w:rPr>
          <w:rFonts w:cs="Times New Roman"/>
        </w:rPr>
      </w:pPr>
      <w:r w:rsidRPr="007723FD">
        <w:rPr>
          <w:rFonts w:cs="Times New Roman"/>
          <w:i/>
          <w:iCs/>
          <w:sz w:val="22"/>
        </w:rPr>
        <w:t>Los datos referentes al comportamiento crediticio se regirán por las normas que regulan el Sistema Financiero Nacional, de modo que permitan garantizar un grado de riesgo aceptable por parte de las entidades financieras, sin impedir el pleno ejercicio del derecho a la autodeterminación informativa ni exceder los límites de esta ley.</w:t>
      </w:r>
      <w:r w:rsidRPr="007723FD">
        <w:rPr>
          <w:rFonts w:cs="Times New Roman"/>
          <w:sz w:val="22"/>
        </w:rPr>
        <w:t xml:space="preserve"> </w:t>
      </w:r>
      <w:r w:rsidR="007723FD">
        <w:rPr>
          <w:rFonts w:cs="Times New Roman"/>
        </w:rPr>
        <w:t xml:space="preserve">[Lo resaltado no es del original]. </w:t>
      </w:r>
    </w:p>
    <w:p w14:paraId="6EFAB32E" w14:textId="191D5B06" w:rsidR="003B37B2" w:rsidRDefault="003B37B2" w:rsidP="007723FD">
      <w:pPr>
        <w:spacing w:line="240" w:lineRule="auto"/>
        <w:ind w:left="360"/>
        <w:jc w:val="both"/>
        <w:rPr>
          <w:rFonts w:cs="Times New Roman"/>
          <w:i/>
          <w:iCs/>
        </w:rPr>
      </w:pPr>
    </w:p>
    <w:p w14:paraId="2A818A4B" w14:textId="77777777" w:rsidR="003B37B2" w:rsidRPr="007723FD" w:rsidRDefault="003B37B2" w:rsidP="003B37B2">
      <w:pPr>
        <w:pStyle w:val="Prrafodelista"/>
        <w:numPr>
          <w:ilvl w:val="0"/>
          <w:numId w:val="1"/>
        </w:numPr>
        <w:spacing w:after="0" w:line="240" w:lineRule="auto"/>
        <w:jc w:val="both"/>
        <w:rPr>
          <w:rFonts w:ascii="Times New Roman" w:hAnsi="Times New Roman" w:cs="Times New Roman"/>
          <w:b/>
          <w:bCs/>
          <w:sz w:val="24"/>
        </w:rPr>
      </w:pPr>
      <w:r w:rsidRPr="007723FD">
        <w:rPr>
          <w:rFonts w:ascii="Times New Roman" w:hAnsi="Times New Roman" w:cs="Times New Roman"/>
          <w:b/>
          <w:bCs/>
          <w:sz w:val="24"/>
        </w:rPr>
        <w:t>Análisis de fondo</w:t>
      </w:r>
    </w:p>
    <w:p w14:paraId="46A31CB0" w14:textId="77777777" w:rsidR="003B37B2" w:rsidRDefault="003B37B2" w:rsidP="003B37B2">
      <w:pPr>
        <w:spacing w:line="240" w:lineRule="auto"/>
        <w:jc w:val="both"/>
        <w:rPr>
          <w:rFonts w:cs="Times New Roman"/>
        </w:rPr>
      </w:pPr>
    </w:p>
    <w:p w14:paraId="7A9063AD" w14:textId="354E3C8A" w:rsidR="003B37B2" w:rsidRPr="003005A2" w:rsidRDefault="00704B03" w:rsidP="003B37B2">
      <w:pPr>
        <w:pStyle w:val="Prrafodelista"/>
        <w:numPr>
          <w:ilvl w:val="0"/>
          <w:numId w:val="3"/>
        </w:numPr>
        <w:spacing w:after="0" w:line="240" w:lineRule="auto"/>
        <w:jc w:val="both"/>
        <w:rPr>
          <w:rFonts w:ascii="Times New Roman" w:hAnsi="Times New Roman" w:cs="Times New Roman"/>
          <w:sz w:val="24"/>
        </w:rPr>
      </w:pPr>
      <w:r>
        <w:rPr>
          <w:rFonts w:ascii="Times New Roman" w:hAnsi="Times New Roman" w:cs="Times New Roman"/>
          <w:sz w:val="24"/>
        </w:rPr>
        <w:t>Aspectos generales</w:t>
      </w:r>
      <w:r w:rsidR="006E221A">
        <w:rPr>
          <w:rFonts w:ascii="Times New Roman" w:hAnsi="Times New Roman" w:cs="Times New Roman"/>
          <w:sz w:val="24"/>
        </w:rPr>
        <w:t xml:space="preserve"> sobre la protección de datos </w:t>
      </w:r>
    </w:p>
    <w:p w14:paraId="104CD897" w14:textId="77777777" w:rsidR="003B37B2" w:rsidRDefault="003B37B2" w:rsidP="003B37B2">
      <w:pPr>
        <w:spacing w:line="240" w:lineRule="auto"/>
        <w:jc w:val="both"/>
        <w:rPr>
          <w:rFonts w:cs="Times New Roman"/>
        </w:rPr>
      </w:pPr>
    </w:p>
    <w:p w14:paraId="37C2BC5F" w14:textId="2771A81A" w:rsidR="00F57C11" w:rsidRDefault="00FB6FE1" w:rsidP="003B37B2">
      <w:pPr>
        <w:spacing w:line="240" w:lineRule="auto"/>
        <w:jc w:val="both"/>
        <w:rPr>
          <w:rFonts w:cs="Times New Roman"/>
        </w:rPr>
      </w:pPr>
      <w:r>
        <w:rPr>
          <w:rFonts w:cs="Times New Roman"/>
        </w:rPr>
        <w:t xml:space="preserve">De acuerdo con la Ley N°.8968, una dato personal es </w:t>
      </w:r>
      <w:r w:rsidRPr="00FB6FE1">
        <w:rPr>
          <w:rFonts w:cs="Times New Roman"/>
        </w:rPr>
        <w:t>cualquier dato relativo a una persona física identificada o identificable</w:t>
      </w:r>
      <w:r w:rsidR="002E066C">
        <w:rPr>
          <w:rFonts w:cs="Times New Roman"/>
        </w:rPr>
        <w:t xml:space="preserve">. </w:t>
      </w:r>
      <w:r w:rsidR="00F57C11">
        <w:rPr>
          <w:rFonts w:cs="Times New Roman"/>
        </w:rPr>
        <w:t xml:space="preserve">Los datos personales </w:t>
      </w:r>
      <w:r w:rsidR="00315E9B">
        <w:rPr>
          <w:rFonts w:cs="Times New Roman"/>
        </w:rPr>
        <w:t xml:space="preserve">son los que </w:t>
      </w:r>
      <w:r w:rsidR="00776213">
        <w:rPr>
          <w:rFonts w:cs="Times New Roman"/>
        </w:rPr>
        <w:t xml:space="preserve">le permiten a todo </w:t>
      </w:r>
      <w:r w:rsidR="00776213">
        <w:rPr>
          <w:rFonts w:cs="Times New Roman"/>
        </w:rPr>
        <w:lastRenderedPageBreak/>
        <w:t>individuo</w:t>
      </w:r>
      <w:r w:rsidR="00867FD9" w:rsidRPr="00867FD9">
        <w:rPr>
          <w:rFonts w:cs="Times New Roman"/>
        </w:rPr>
        <w:t xml:space="preserve"> interactuar con otros</w:t>
      </w:r>
      <w:r w:rsidR="00315E9B">
        <w:rPr>
          <w:rFonts w:cs="Times New Roman"/>
        </w:rPr>
        <w:t>,</w:t>
      </w:r>
      <w:r w:rsidR="00016DC6">
        <w:rPr>
          <w:rFonts w:cs="Times New Roman"/>
        </w:rPr>
        <w:t xml:space="preserve"> sin ser confundido con el </w:t>
      </w:r>
      <w:r w:rsidR="00867FD9" w:rsidRPr="00867FD9">
        <w:rPr>
          <w:rFonts w:cs="Times New Roman"/>
        </w:rPr>
        <w:t>resto de la colectividad</w:t>
      </w:r>
      <w:r w:rsidR="00315E9B">
        <w:rPr>
          <w:rFonts w:cs="Times New Roman"/>
        </w:rPr>
        <w:t>,</w:t>
      </w:r>
      <w:r w:rsidR="00867FD9" w:rsidRPr="00867FD9">
        <w:rPr>
          <w:rFonts w:cs="Times New Roman"/>
        </w:rPr>
        <w:t xml:space="preserve"> </w:t>
      </w:r>
      <w:r w:rsidR="000D067E">
        <w:rPr>
          <w:rFonts w:cs="Times New Roman"/>
        </w:rPr>
        <w:t xml:space="preserve">y </w:t>
      </w:r>
      <w:r w:rsidR="00825BAC">
        <w:rPr>
          <w:rFonts w:cs="Times New Roman"/>
        </w:rPr>
        <w:t xml:space="preserve">hacen </w:t>
      </w:r>
      <w:r w:rsidR="00825BAC" w:rsidRPr="00825BAC">
        <w:rPr>
          <w:rFonts w:cs="Times New Roman"/>
        </w:rPr>
        <w:t xml:space="preserve">posible </w:t>
      </w:r>
      <w:r w:rsidR="00685D32">
        <w:rPr>
          <w:rFonts w:cs="Times New Roman"/>
        </w:rPr>
        <w:t xml:space="preserve">que este </w:t>
      </w:r>
      <w:r w:rsidR="003424FA">
        <w:rPr>
          <w:rFonts w:cs="Times New Roman"/>
        </w:rPr>
        <w:t xml:space="preserve">pueda participar de </w:t>
      </w:r>
      <w:r w:rsidR="00825BAC" w:rsidRPr="00825BAC">
        <w:rPr>
          <w:rFonts w:cs="Times New Roman"/>
        </w:rPr>
        <w:t>la oferta y obtención de bienes y servicios</w:t>
      </w:r>
      <w:r w:rsidR="007238C6">
        <w:rPr>
          <w:rFonts w:cs="Times New Roman"/>
        </w:rPr>
        <w:t xml:space="preserve">. </w:t>
      </w:r>
    </w:p>
    <w:p w14:paraId="49CBB715" w14:textId="77777777" w:rsidR="00F57C11" w:rsidRDefault="00F57C11" w:rsidP="003B37B2">
      <w:pPr>
        <w:spacing w:line="240" w:lineRule="auto"/>
        <w:jc w:val="both"/>
        <w:rPr>
          <w:rFonts w:cs="Times New Roman"/>
        </w:rPr>
      </w:pPr>
    </w:p>
    <w:p w14:paraId="6534AA8C" w14:textId="14BB9209" w:rsidR="003B37B2" w:rsidRDefault="00300882" w:rsidP="003B37B2">
      <w:pPr>
        <w:spacing w:line="240" w:lineRule="auto"/>
        <w:jc w:val="both"/>
        <w:rPr>
          <w:rFonts w:cs="Times New Roman"/>
        </w:rPr>
      </w:pPr>
      <w:r w:rsidRPr="00300882">
        <w:rPr>
          <w:rFonts w:cs="Times New Roman"/>
        </w:rPr>
        <w:t>La utilización de Internet y de las tecnologías de la información (TIC) han provocado la expansión de la sociedad de la información y</w:t>
      </w:r>
      <w:r w:rsidR="00D5354D">
        <w:rPr>
          <w:rFonts w:cs="Times New Roman"/>
        </w:rPr>
        <w:t xml:space="preserve">, con ello, ha hecho que cada día cobre más relevancia la protección de los datos personales, </w:t>
      </w:r>
      <w:r w:rsidR="0086143E">
        <w:rPr>
          <w:rFonts w:cs="Times New Roman"/>
        </w:rPr>
        <w:t xml:space="preserve">en particular, interesa garantizar que </w:t>
      </w:r>
      <w:r w:rsidR="007C159A">
        <w:rPr>
          <w:rFonts w:cs="Times New Roman"/>
        </w:rPr>
        <w:t xml:space="preserve">estos no </w:t>
      </w:r>
      <w:r w:rsidR="00C052B2">
        <w:rPr>
          <w:rFonts w:cs="Times New Roman"/>
        </w:rPr>
        <w:t xml:space="preserve">sean utilizados </w:t>
      </w:r>
      <w:r w:rsidR="00D4552F" w:rsidRPr="00D4552F">
        <w:rPr>
          <w:rFonts w:cs="Times New Roman"/>
        </w:rPr>
        <w:t xml:space="preserve">con una finalidad distinta para la cual </w:t>
      </w:r>
      <w:r w:rsidR="002B09A6">
        <w:rPr>
          <w:rFonts w:cs="Times New Roman"/>
        </w:rPr>
        <w:t>fueron proporcionados</w:t>
      </w:r>
      <w:r w:rsidR="00C052B2">
        <w:rPr>
          <w:rFonts w:cs="Times New Roman"/>
        </w:rPr>
        <w:t xml:space="preserve">. </w:t>
      </w:r>
      <w:r w:rsidR="003B37B2">
        <w:rPr>
          <w:rFonts w:cs="Times New Roman"/>
        </w:rPr>
        <w:t>Est</w:t>
      </w:r>
      <w:r w:rsidR="00182E14">
        <w:rPr>
          <w:rFonts w:cs="Times New Roman"/>
        </w:rPr>
        <w:t xml:space="preserve">a protección </w:t>
      </w:r>
      <w:r w:rsidR="001E2E69">
        <w:rPr>
          <w:rFonts w:cs="Times New Roman"/>
        </w:rPr>
        <w:t xml:space="preserve">abarca, también, a los </w:t>
      </w:r>
      <w:r w:rsidR="003B37B2">
        <w:rPr>
          <w:rFonts w:cs="Times New Roman"/>
        </w:rPr>
        <w:t>datos almacenados por las administraciones públicas</w:t>
      </w:r>
      <w:r w:rsidR="00F002DE">
        <w:rPr>
          <w:rFonts w:cs="Times New Roman"/>
        </w:rPr>
        <w:t xml:space="preserve">, las cuales </w:t>
      </w:r>
      <w:r w:rsidR="00F002DE" w:rsidRPr="00F002DE">
        <w:rPr>
          <w:rFonts w:cs="Times New Roman"/>
        </w:rPr>
        <w:t>realizan tratamientos de datos de carácter personal en muchas de sus actividades y, por ello, también actúan como responsables y encargad</w:t>
      </w:r>
      <w:r w:rsidR="002F6A9D">
        <w:rPr>
          <w:rFonts w:cs="Times New Roman"/>
        </w:rPr>
        <w:t>a</w:t>
      </w:r>
      <w:r w:rsidR="00F002DE" w:rsidRPr="00F002DE">
        <w:rPr>
          <w:rFonts w:cs="Times New Roman"/>
        </w:rPr>
        <w:t>s de</w:t>
      </w:r>
      <w:r w:rsidR="006D332A">
        <w:rPr>
          <w:rFonts w:cs="Times New Roman"/>
        </w:rPr>
        <w:t xml:space="preserve"> su</w:t>
      </w:r>
      <w:r w:rsidR="00F002DE" w:rsidRPr="00F002DE">
        <w:rPr>
          <w:rFonts w:cs="Times New Roman"/>
        </w:rPr>
        <w:t xml:space="preserve"> tratamiento. </w:t>
      </w:r>
      <w:r w:rsidR="006D332A">
        <w:rPr>
          <w:rFonts w:cs="Times New Roman"/>
        </w:rPr>
        <w:t xml:space="preserve"> </w:t>
      </w:r>
    </w:p>
    <w:p w14:paraId="09724425" w14:textId="77777777" w:rsidR="006D332A" w:rsidRDefault="006D332A" w:rsidP="003B37B2">
      <w:pPr>
        <w:spacing w:line="240" w:lineRule="auto"/>
        <w:jc w:val="both"/>
        <w:rPr>
          <w:rFonts w:cs="Times New Roman"/>
        </w:rPr>
      </w:pPr>
    </w:p>
    <w:p w14:paraId="6246D2F1" w14:textId="53BC04B8" w:rsidR="00175642" w:rsidRPr="00237B86" w:rsidRDefault="003930F0" w:rsidP="003930F0">
      <w:pPr>
        <w:spacing w:line="240" w:lineRule="auto"/>
        <w:jc w:val="both"/>
        <w:rPr>
          <w:rFonts w:cs="Times New Roman"/>
          <w:szCs w:val="24"/>
        </w:rPr>
      </w:pPr>
      <w:r w:rsidRPr="00237B86">
        <w:rPr>
          <w:rFonts w:cs="Times New Roman"/>
          <w:szCs w:val="24"/>
        </w:rPr>
        <w:t>Según lo indica el autor Manuel Fernández Salmerón</w:t>
      </w:r>
      <w:r w:rsidR="00237B86" w:rsidRPr="00237B86">
        <w:rPr>
          <w:rFonts w:cs="Times New Roman"/>
          <w:szCs w:val="24"/>
        </w:rPr>
        <w:t xml:space="preserve">: </w:t>
      </w:r>
    </w:p>
    <w:p w14:paraId="527C5883" w14:textId="77777777" w:rsidR="00175642" w:rsidRDefault="00175642" w:rsidP="00175642">
      <w:pPr>
        <w:spacing w:line="240" w:lineRule="auto"/>
        <w:ind w:left="284"/>
        <w:jc w:val="both"/>
        <w:rPr>
          <w:rFonts w:cs="Times New Roman"/>
          <w:i/>
          <w:iCs/>
          <w:sz w:val="22"/>
        </w:rPr>
      </w:pPr>
    </w:p>
    <w:p w14:paraId="74C91FCE" w14:textId="16317CF3" w:rsidR="00FB0C82" w:rsidRDefault="003B37B2" w:rsidP="00FB0C82">
      <w:pPr>
        <w:spacing w:line="240" w:lineRule="auto"/>
        <w:ind w:left="284"/>
        <w:jc w:val="both"/>
        <w:rPr>
          <w:rFonts w:cs="Times New Roman"/>
          <w:i/>
          <w:iCs/>
        </w:rPr>
      </w:pPr>
      <w:r w:rsidRPr="00175642">
        <w:rPr>
          <w:rFonts w:cs="Times New Roman"/>
          <w:i/>
          <w:iCs/>
          <w:sz w:val="22"/>
        </w:rPr>
        <w:t>En este sentido, así como el derecho a la intimidad nació fundamentalmente frente a los peligros de una prensa agresiva y, por tanto, a partir de actividades particulares aunque de enorme relevancia social, el derecho a la protección de datos personales encuentra el fundamento de su génesis, como ya hemos visto, en conductas del aparato público y sólo el desarrollo tecnológico ha permitido advertir el carácter decisivo de su tutela frente a los operadores privados</w:t>
      </w:r>
      <w:r w:rsidR="00E03082">
        <w:rPr>
          <w:rStyle w:val="Refdenotaalpie"/>
          <w:rFonts w:cs="Times New Roman"/>
          <w:i/>
          <w:iCs/>
          <w:sz w:val="22"/>
        </w:rPr>
        <w:footnoteReference w:id="1"/>
      </w:r>
      <w:r w:rsidRPr="00175642">
        <w:rPr>
          <w:rFonts w:cs="Times New Roman"/>
          <w:i/>
          <w:iCs/>
          <w:sz w:val="22"/>
        </w:rPr>
        <w:t>.</w:t>
      </w:r>
    </w:p>
    <w:p w14:paraId="6C6A0587" w14:textId="4D445F35" w:rsidR="00FB0C82" w:rsidRDefault="00FB0C82" w:rsidP="00FB0C82">
      <w:pPr>
        <w:spacing w:line="240" w:lineRule="auto"/>
        <w:jc w:val="both"/>
        <w:rPr>
          <w:rFonts w:cs="Times New Roman"/>
          <w:i/>
          <w:iCs/>
          <w:sz w:val="22"/>
        </w:rPr>
      </w:pPr>
    </w:p>
    <w:p w14:paraId="545BDB43" w14:textId="6DD4EB20" w:rsidR="009D2D23" w:rsidRPr="00DE2A84" w:rsidRDefault="009D2D23" w:rsidP="009D2D23">
      <w:pPr>
        <w:spacing w:line="240" w:lineRule="auto"/>
        <w:jc w:val="both"/>
        <w:rPr>
          <w:rFonts w:cs="Times New Roman"/>
          <w:szCs w:val="24"/>
        </w:rPr>
      </w:pPr>
      <w:r w:rsidRPr="00DE2A84">
        <w:rPr>
          <w:rFonts w:cs="Times New Roman"/>
          <w:szCs w:val="24"/>
        </w:rPr>
        <w:t xml:space="preserve">En lo que se refiere a nuestro país, </w:t>
      </w:r>
      <w:r w:rsidR="004D7667" w:rsidRPr="00DE2A84">
        <w:rPr>
          <w:rFonts w:cs="Times New Roman"/>
          <w:szCs w:val="24"/>
        </w:rPr>
        <w:t xml:space="preserve">del artículo 24 de la Constitución Política se deriva el </w:t>
      </w:r>
      <w:r w:rsidRPr="00DE2A84">
        <w:rPr>
          <w:rFonts w:cs="Times New Roman"/>
          <w:szCs w:val="24"/>
        </w:rPr>
        <w:t xml:space="preserve">derecho </w:t>
      </w:r>
      <w:r w:rsidR="004D7667" w:rsidRPr="00DE2A84">
        <w:rPr>
          <w:rFonts w:cs="Times New Roman"/>
          <w:szCs w:val="24"/>
        </w:rPr>
        <w:t xml:space="preserve">fundamental </w:t>
      </w:r>
      <w:r w:rsidRPr="00DE2A84">
        <w:rPr>
          <w:rFonts w:cs="Times New Roman"/>
          <w:szCs w:val="24"/>
        </w:rPr>
        <w:t xml:space="preserve">de </w:t>
      </w:r>
      <w:r w:rsidR="00AF77F9" w:rsidRPr="00DE2A84">
        <w:rPr>
          <w:rFonts w:cs="Times New Roman"/>
          <w:szCs w:val="24"/>
        </w:rPr>
        <w:t xml:space="preserve">la </w:t>
      </w:r>
      <w:r w:rsidRPr="00DE2A84">
        <w:rPr>
          <w:rFonts w:cs="Times New Roman"/>
          <w:szCs w:val="24"/>
        </w:rPr>
        <w:t>autodeterminación informativa</w:t>
      </w:r>
      <w:r w:rsidR="00AF77F9" w:rsidRPr="00DE2A84">
        <w:rPr>
          <w:rFonts w:cs="Times New Roman"/>
          <w:szCs w:val="24"/>
        </w:rPr>
        <w:t xml:space="preserve">, por medio del cual se </w:t>
      </w:r>
      <w:r w:rsidRPr="00DE2A84">
        <w:rPr>
          <w:rFonts w:cs="Times New Roman"/>
          <w:szCs w:val="24"/>
        </w:rPr>
        <w:t>asegura el respeto de la intimidad y de la dignidad humana por medio de una efectiva protección a los datos personales que consten en ficheros, archivos, registros o bases de datos, independientemente de que estos sean de carácter privado o público.</w:t>
      </w:r>
    </w:p>
    <w:p w14:paraId="642BFB4D" w14:textId="77777777" w:rsidR="009D2D23" w:rsidRPr="00DE2A84" w:rsidRDefault="009D2D23" w:rsidP="009D2D23">
      <w:pPr>
        <w:spacing w:line="240" w:lineRule="auto"/>
        <w:jc w:val="both"/>
        <w:rPr>
          <w:rFonts w:cs="Times New Roman"/>
          <w:szCs w:val="24"/>
        </w:rPr>
      </w:pPr>
    </w:p>
    <w:p w14:paraId="53054A7F" w14:textId="68B1C78D" w:rsidR="00FB0C82" w:rsidRDefault="00AF77F9" w:rsidP="009D2D23">
      <w:pPr>
        <w:spacing w:line="240" w:lineRule="auto"/>
        <w:jc w:val="both"/>
        <w:rPr>
          <w:rFonts w:cs="Times New Roman"/>
          <w:szCs w:val="24"/>
        </w:rPr>
      </w:pPr>
      <w:r w:rsidRPr="00DE2A84">
        <w:rPr>
          <w:rFonts w:cs="Times New Roman"/>
          <w:szCs w:val="24"/>
        </w:rPr>
        <w:t>Este derecho</w:t>
      </w:r>
      <w:r w:rsidR="009D2D23" w:rsidRPr="00DE2A84">
        <w:rPr>
          <w:rFonts w:cs="Times New Roman"/>
          <w:szCs w:val="24"/>
        </w:rPr>
        <w:t xml:space="preserve"> faculta a toda persona a conocer quién posee registrada información sobre ella, el tipo de información que se mantiene y con qué objeto; además, concurrentemente implica la posibilidad de rectificación, bloqueo y eliminación de esa información.</w:t>
      </w:r>
    </w:p>
    <w:p w14:paraId="07416469" w14:textId="5405F811" w:rsidR="00DE2A84" w:rsidRDefault="00DE2A84" w:rsidP="009D2D23">
      <w:pPr>
        <w:spacing w:line="240" w:lineRule="auto"/>
        <w:jc w:val="both"/>
        <w:rPr>
          <w:rFonts w:cs="Times New Roman"/>
          <w:szCs w:val="24"/>
        </w:rPr>
      </w:pPr>
    </w:p>
    <w:p w14:paraId="040A7F38" w14:textId="0C41ED38" w:rsidR="00DE2A84" w:rsidRDefault="00B33DBB" w:rsidP="009D2D23">
      <w:pPr>
        <w:spacing w:line="240" w:lineRule="auto"/>
        <w:jc w:val="both"/>
        <w:rPr>
          <w:rFonts w:cs="Times New Roman"/>
          <w:szCs w:val="24"/>
        </w:rPr>
      </w:pPr>
      <w:r>
        <w:rPr>
          <w:rFonts w:cs="Times New Roman"/>
          <w:szCs w:val="24"/>
        </w:rPr>
        <w:t>Según lo señala la Procuraduría General de la República en el dictamen C-</w:t>
      </w:r>
      <w:r w:rsidR="00516968">
        <w:rPr>
          <w:rFonts w:cs="Times New Roman"/>
          <w:szCs w:val="24"/>
        </w:rPr>
        <w:t xml:space="preserve">312-2014: </w:t>
      </w:r>
    </w:p>
    <w:p w14:paraId="58362EB8" w14:textId="0F561250" w:rsidR="00516968" w:rsidRDefault="00516968" w:rsidP="009D2D23">
      <w:pPr>
        <w:spacing w:line="240" w:lineRule="auto"/>
        <w:jc w:val="both"/>
        <w:rPr>
          <w:rFonts w:cs="Times New Roman"/>
          <w:szCs w:val="24"/>
        </w:rPr>
      </w:pPr>
    </w:p>
    <w:p w14:paraId="1F14C19A" w14:textId="77777777" w:rsidR="006B6E41" w:rsidRPr="00C210F1" w:rsidRDefault="006B6E41" w:rsidP="00C210F1">
      <w:pPr>
        <w:spacing w:line="240" w:lineRule="auto"/>
        <w:ind w:left="284"/>
        <w:jc w:val="both"/>
        <w:rPr>
          <w:rFonts w:cs="Times New Roman"/>
          <w:i/>
          <w:iCs/>
          <w:sz w:val="22"/>
        </w:rPr>
      </w:pPr>
      <w:r w:rsidRPr="00C210F1">
        <w:rPr>
          <w:rFonts w:cs="Times New Roman"/>
          <w:i/>
          <w:iCs/>
          <w:sz w:val="22"/>
        </w:rPr>
        <w:t xml:space="preserve">La Sala Constitucional desarrolló y protegió ese derecho a través de un abundante y remarcado desarrollo jurisprudencial. No obstante, en distintos sectores de la opinión pública e incluso de dicho Tribunal se enfatizó en la necesidad de que se emitiera una ley que viniera a positivizar los principios derivados de la jurisprudencia, al mismo tiempo que reforzara la protección de los habitantes del país frente a cualquier indebida vulneración de este derecho. Una expectativa que se concretizó en el año 2011 con la promulgación de la Ley de Protección de la Persona frente al tratamiento de sus datos personales, LP Data, (Ley N° 8968 del 7 de julio del 2011). </w:t>
      </w:r>
    </w:p>
    <w:p w14:paraId="740946C0" w14:textId="755180CA" w:rsidR="00516968" w:rsidRDefault="006B6E41" w:rsidP="00C210F1">
      <w:pPr>
        <w:spacing w:line="240" w:lineRule="auto"/>
        <w:ind w:left="284"/>
        <w:jc w:val="both"/>
        <w:rPr>
          <w:rFonts w:cs="Times New Roman"/>
          <w:i/>
          <w:iCs/>
          <w:sz w:val="22"/>
        </w:rPr>
      </w:pPr>
      <w:r w:rsidRPr="00C210F1">
        <w:rPr>
          <w:rFonts w:cs="Times New Roman"/>
          <w:i/>
          <w:iCs/>
          <w:sz w:val="22"/>
        </w:rPr>
        <w:t xml:space="preserve">El artículo 2 de dicho cuerpo normativo establece su marco de acción, disponiéndose que abarca las bases de datos, automatizadas o manuales, sea que pertenezcan a organismos públicos sea </w:t>
      </w:r>
      <w:r w:rsidRPr="00C210F1">
        <w:rPr>
          <w:rFonts w:cs="Times New Roman"/>
          <w:i/>
          <w:iCs/>
          <w:sz w:val="22"/>
        </w:rPr>
        <w:lastRenderedPageBreak/>
        <w:t>que su titularidad sea privada; además, contempla cualquier modalidad de uso posterior que se haga de esa información. Exceptúa de su aplicación a las bases de datos mantenidas por personas físicas o jurídicas con fines exclusivamente internos, personales o domésticos. No obstante, si estas bases son objeto de comercialización deberán sujetarse a las disposiciones de la Ley. […]</w:t>
      </w:r>
    </w:p>
    <w:p w14:paraId="45128912" w14:textId="77777777" w:rsidR="00C6625B" w:rsidRPr="00C6625B" w:rsidRDefault="00C6625B" w:rsidP="00C6625B">
      <w:pPr>
        <w:spacing w:line="240" w:lineRule="auto"/>
        <w:ind w:left="284"/>
        <w:jc w:val="both"/>
        <w:rPr>
          <w:rFonts w:cs="Times New Roman"/>
          <w:i/>
          <w:iCs/>
          <w:sz w:val="22"/>
        </w:rPr>
      </w:pPr>
      <w:r w:rsidRPr="00C6625B">
        <w:rPr>
          <w:rFonts w:cs="Times New Roman"/>
          <w:i/>
          <w:iCs/>
          <w:sz w:val="22"/>
        </w:rPr>
        <w:t>La protección está referida a los datos concernientes a una persona. En este sentido, a datos personales, sea datos pertenecientes a una persona identificada e identificable. En términos del artículo 3, inciso b) son datos personales:</w:t>
      </w:r>
    </w:p>
    <w:p w14:paraId="5E058163" w14:textId="109FCCED" w:rsidR="00C6625B" w:rsidRPr="00C6625B" w:rsidRDefault="0051597E" w:rsidP="00C6625B">
      <w:pPr>
        <w:spacing w:line="240" w:lineRule="auto"/>
        <w:ind w:left="284"/>
        <w:jc w:val="both"/>
        <w:rPr>
          <w:rFonts w:cs="Times New Roman"/>
          <w:i/>
          <w:iCs/>
          <w:sz w:val="22"/>
        </w:rPr>
      </w:pPr>
      <w:r>
        <w:rPr>
          <w:rFonts w:cs="Times New Roman"/>
          <w:i/>
          <w:iCs/>
          <w:sz w:val="22"/>
        </w:rPr>
        <w:t>´</w:t>
      </w:r>
      <w:r w:rsidR="00C6625B" w:rsidRPr="00C6625B">
        <w:rPr>
          <w:rFonts w:cs="Times New Roman"/>
          <w:i/>
          <w:iCs/>
          <w:sz w:val="22"/>
        </w:rPr>
        <w:t>b) Datos personales: cualquier dato relativo a una persona física identificada o identificable</w:t>
      </w:r>
      <w:r>
        <w:rPr>
          <w:rFonts w:cs="Times New Roman"/>
          <w:i/>
          <w:iCs/>
          <w:sz w:val="22"/>
        </w:rPr>
        <w:t>´</w:t>
      </w:r>
      <w:r w:rsidR="00C6625B" w:rsidRPr="00C6625B">
        <w:rPr>
          <w:rFonts w:cs="Times New Roman"/>
          <w:i/>
          <w:iCs/>
          <w:sz w:val="22"/>
        </w:rPr>
        <w:t>.</w:t>
      </w:r>
    </w:p>
    <w:p w14:paraId="32A3C26C" w14:textId="078583F4" w:rsidR="00C6625B" w:rsidRPr="00C6625B" w:rsidRDefault="00C6625B" w:rsidP="00C6625B">
      <w:pPr>
        <w:spacing w:line="240" w:lineRule="auto"/>
        <w:ind w:left="284"/>
        <w:jc w:val="both"/>
        <w:rPr>
          <w:rFonts w:cs="Times New Roman"/>
          <w:i/>
          <w:iCs/>
          <w:sz w:val="22"/>
        </w:rPr>
      </w:pPr>
      <w:r w:rsidRPr="00C6625B">
        <w:rPr>
          <w:rFonts w:cs="Times New Roman"/>
          <w:i/>
          <w:iCs/>
          <w:sz w:val="22"/>
        </w:rPr>
        <w:t>Datos que pueden constar en bases de datos, término que define el artículo 3 inciso a) de la Ley:</w:t>
      </w:r>
    </w:p>
    <w:p w14:paraId="529EFA6B" w14:textId="25B7B151" w:rsidR="00C6625B" w:rsidRPr="00C6625B" w:rsidRDefault="00585589" w:rsidP="00C6625B">
      <w:pPr>
        <w:spacing w:line="240" w:lineRule="auto"/>
        <w:ind w:left="284"/>
        <w:jc w:val="both"/>
        <w:rPr>
          <w:rFonts w:cs="Times New Roman"/>
          <w:i/>
          <w:iCs/>
          <w:sz w:val="22"/>
        </w:rPr>
      </w:pPr>
      <w:r>
        <w:rPr>
          <w:rFonts w:cs="Times New Roman"/>
          <w:i/>
          <w:iCs/>
          <w:sz w:val="22"/>
        </w:rPr>
        <w:t>´</w:t>
      </w:r>
      <w:r w:rsidR="00C6625B" w:rsidRPr="00C6625B">
        <w:rPr>
          <w:rFonts w:cs="Times New Roman"/>
          <w:i/>
          <w:iCs/>
          <w:sz w:val="22"/>
        </w:rPr>
        <w:t>cualquier archivo, fichero, registro u otro conjunto estructurado de datos personales, que sean objeto de tratamiento o procesamiento, automatizado o manuales, cualquiera que sea la modalidad de su elaboración, organización o acceso</w:t>
      </w:r>
      <w:r>
        <w:rPr>
          <w:rFonts w:cs="Times New Roman"/>
          <w:i/>
          <w:iCs/>
          <w:sz w:val="22"/>
        </w:rPr>
        <w:t>´</w:t>
      </w:r>
      <w:r w:rsidR="00C6625B" w:rsidRPr="00C6625B">
        <w:rPr>
          <w:rFonts w:cs="Times New Roman"/>
          <w:i/>
          <w:iCs/>
          <w:sz w:val="22"/>
        </w:rPr>
        <w:t>.</w:t>
      </w:r>
    </w:p>
    <w:p w14:paraId="21A2F1A0" w14:textId="77777777" w:rsidR="00585589" w:rsidRDefault="00C6625B" w:rsidP="00585589">
      <w:pPr>
        <w:spacing w:line="240" w:lineRule="auto"/>
        <w:ind w:left="284"/>
        <w:jc w:val="both"/>
        <w:rPr>
          <w:rFonts w:cs="Times New Roman"/>
          <w:i/>
          <w:iCs/>
          <w:sz w:val="22"/>
        </w:rPr>
      </w:pPr>
      <w:r w:rsidRPr="001D0311">
        <w:rPr>
          <w:rFonts w:cs="Times New Roman"/>
          <w:b/>
          <w:bCs/>
          <w:i/>
          <w:iCs/>
          <w:sz w:val="22"/>
        </w:rPr>
        <w:t>Elemento fundamental de dicha definición de base de datos es que los datos no están disgregados o desorganizados.</w:t>
      </w:r>
      <w:r w:rsidRPr="00C6625B">
        <w:rPr>
          <w:rFonts w:cs="Times New Roman"/>
          <w:i/>
          <w:iCs/>
          <w:sz w:val="22"/>
        </w:rPr>
        <w:t xml:space="preserve"> Por el contrario, lo propio de la base es ser un conjunto estructurado de datos, pero también la circunstancia del procesamiento. No se trata solo de almacenar datos, sino que estos son organizados y se tratan o procesan sea automáticamente o manualmente, a efecto de que puedan ser de fácil utilización y acceso. </w:t>
      </w:r>
    </w:p>
    <w:p w14:paraId="4D8D65D1" w14:textId="667C2AFB" w:rsidR="00C6625B" w:rsidRPr="00C6625B" w:rsidRDefault="00C6625B" w:rsidP="00585589">
      <w:pPr>
        <w:spacing w:line="240" w:lineRule="auto"/>
        <w:ind w:left="284"/>
        <w:jc w:val="both"/>
        <w:rPr>
          <w:rFonts w:cs="Times New Roman"/>
          <w:i/>
          <w:iCs/>
          <w:sz w:val="22"/>
        </w:rPr>
      </w:pPr>
      <w:r w:rsidRPr="001D0311">
        <w:rPr>
          <w:rFonts w:cs="Times New Roman"/>
          <w:b/>
          <w:bCs/>
          <w:i/>
          <w:iCs/>
          <w:sz w:val="22"/>
        </w:rPr>
        <w:t>El concepto de datos personales es amplio, ya que comprende cualquier dato de una persona identificada e identificable. No obstante, para efectos de su protección, la Ley diferencia entre varias categorías de datos personales.</w:t>
      </w:r>
      <w:r w:rsidRPr="00C6625B">
        <w:rPr>
          <w:rFonts w:cs="Times New Roman"/>
          <w:i/>
          <w:iCs/>
          <w:sz w:val="22"/>
        </w:rPr>
        <w:t xml:space="preserve"> Ya en el artículo 3, al momento de definir los datos personales se diferencian tres categorías</w:t>
      </w:r>
      <w:r w:rsidR="00022E51">
        <w:rPr>
          <w:rFonts w:cs="Times New Roman"/>
          <w:i/>
          <w:iCs/>
          <w:sz w:val="22"/>
        </w:rPr>
        <w:t xml:space="preserve"> […] </w:t>
      </w:r>
    </w:p>
    <w:p w14:paraId="056EEE96" w14:textId="74F69A73" w:rsidR="00C6625B" w:rsidRPr="00323A8C" w:rsidRDefault="00C6625B" w:rsidP="00022E51">
      <w:pPr>
        <w:spacing w:line="240" w:lineRule="auto"/>
        <w:ind w:left="284"/>
        <w:jc w:val="both"/>
        <w:rPr>
          <w:rFonts w:cs="Times New Roman"/>
          <w:b/>
          <w:bCs/>
          <w:i/>
          <w:iCs/>
          <w:sz w:val="22"/>
        </w:rPr>
      </w:pPr>
      <w:r w:rsidRPr="00022E51">
        <w:rPr>
          <w:rFonts w:cs="Times New Roman"/>
          <w:b/>
          <w:bCs/>
          <w:i/>
          <w:iCs/>
          <w:sz w:val="22"/>
        </w:rPr>
        <w:t xml:space="preserve">Dicho numeral permite señalar que el régimen jurídico de los datos personales no es uniforme. </w:t>
      </w:r>
      <w:r w:rsidRPr="00C6625B">
        <w:rPr>
          <w:rFonts w:cs="Times New Roman"/>
          <w:i/>
          <w:iCs/>
          <w:sz w:val="22"/>
        </w:rPr>
        <w:t xml:space="preserve">La ley considera que determinados datos son susceptibles de una protección más profunda, que restringe su tratamiento y por ende, el acceso de terceros a su conocimiento. </w:t>
      </w:r>
      <w:r w:rsidRPr="00323A8C">
        <w:rPr>
          <w:rFonts w:cs="Times New Roman"/>
          <w:b/>
          <w:bCs/>
          <w:i/>
          <w:iCs/>
          <w:sz w:val="22"/>
        </w:rPr>
        <w:t xml:space="preserve">A diferencia de estos datos, otros por figurar en bases públicas de acceso general, se consideran de acceso irrestricto. Por ende, no existe una protección particular en orden a su acceso.              </w:t>
      </w:r>
    </w:p>
    <w:p w14:paraId="16FA751D" w14:textId="57A35D9B" w:rsidR="006E1EA6" w:rsidRPr="006E1EA6" w:rsidRDefault="00D84739" w:rsidP="006E1EA6">
      <w:pPr>
        <w:spacing w:line="240" w:lineRule="auto"/>
        <w:ind w:left="284"/>
        <w:jc w:val="both"/>
        <w:rPr>
          <w:rFonts w:cs="Times New Roman"/>
          <w:i/>
          <w:iCs/>
          <w:sz w:val="22"/>
        </w:rPr>
      </w:pPr>
      <w:r>
        <w:rPr>
          <w:rFonts w:cs="Times New Roman"/>
          <w:i/>
          <w:iCs/>
          <w:sz w:val="22"/>
        </w:rPr>
        <w:t>[</w:t>
      </w:r>
      <w:r w:rsidR="007116DA">
        <w:rPr>
          <w:rFonts w:cs="Times New Roman"/>
          <w:i/>
          <w:iCs/>
          <w:sz w:val="22"/>
        </w:rPr>
        <w:t>…]</w:t>
      </w:r>
    </w:p>
    <w:p w14:paraId="1C6BE6B7" w14:textId="51E9A6B1" w:rsidR="006E1EA6" w:rsidRPr="00CA5B3D" w:rsidRDefault="006E1EA6" w:rsidP="006E1EA6">
      <w:pPr>
        <w:spacing w:line="240" w:lineRule="auto"/>
        <w:ind w:left="284"/>
        <w:jc w:val="both"/>
        <w:rPr>
          <w:rFonts w:cs="Times New Roman"/>
          <w:szCs w:val="24"/>
        </w:rPr>
      </w:pPr>
      <w:r w:rsidRPr="00B31E08">
        <w:rPr>
          <w:rFonts w:cs="Times New Roman"/>
          <w:b/>
          <w:bCs/>
          <w:i/>
          <w:iCs/>
          <w:sz w:val="22"/>
        </w:rPr>
        <w:t>La clase de datos de que se trate y el fin al cual se dirige la base de datos determinan una diferenciación en la regulación jurídica.</w:t>
      </w:r>
      <w:r w:rsidRPr="006E1EA6">
        <w:rPr>
          <w:rFonts w:cs="Times New Roman"/>
          <w:i/>
          <w:iCs/>
          <w:sz w:val="22"/>
        </w:rPr>
        <w:t xml:space="preserve"> </w:t>
      </w:r>
      <w:r w:rsidR="00CA5B3D">
        <w:rPr>
          <w:rFonts w:cs="Times New Roman"/>
          <w:i/>
          <w:iCs/>
          <w:sz w:val="22"/>
        </w:rPr>
        <w:t xml:space="preserve">[…] </w:t>
      </w:r>
      <w:r w:rsidR="00CA5B3D">
        <w:rPr>
          <w:rFonts w:cs="Times New Roman"/>
          <w:szCs w:val="24"/>
        </w:rPr>
        <w:t xml:space="preserve">[Lo resaltado no es del original]. </w:t>
      </w:r>
    </w:p>
    <w:p w14:paraId="2F796101" w14:textId="77777777" w:rsidR="003B37B2" w:rsidRDefault="003B37B2" w:rsidP="003B37B2">
      <w:pPr>
        <w:spacing w:line="240" w:lineRule="auto"/>
        <w:jc w:val="both"/>
        <w:rPr>
          <w:rFonts w:cs="Times New Roman"/>
        </w:rPr>
      </w:pPr>
      <w:r>
        <w:rPr>
          <w:rFonts w:cs="Times New Roman"/>
        </w:rPr>
        <w:t xml:space="preserve">        </w:t>
      </w:r>
    </w:p>
    <w:p w14:paraId="5E8B26DF" w14:textId="4C4BF4C2" w:rsidR="003B37B2" w:rsidRDefault="00897EDE" w:rsidP="003B37B2">
      <w:pPr>
        <w:pStyle w:val="Prrafodelista"/>
        <w:numPr>
          <w:ilvl w:val="0"/>
          <w:numId w:val="3"/>
        </w:numPr>
        <w:spacing w:after="0" w:line="240" w:lineRule="auto"/>
        <w:jc w:val="both"/>
        <w:rPr>
          <w:rFonts w:ascii="Times New Roman" w:hAnsi="Times New Roman" w:cs="Times New Roman"/>
          <w:sz w:val="24"/>
        </w:rPr>
      </w:pPr>
      <w:r>
        <w:rPr>
          <w:rFonts w:ascii="Times New Roman" w:hAnsi="Times New Roman" w:cs="Times New Roman"/>
          <w:sz w:val="24"/>
        </w:rPr>
        <w:t xml:space="preserve">Información </w:t>
      </w:r>
      <w:r w:rsidR="007C1257">
        <w:rPr>
          <w:rFonts w:ascii="Times New Roman" w:hAnsi="Times New Roman" w:cs="Times New Roman"/>
          <w:sz w:val="24"/>
        </w:rPr>
        <w:t xml:space="preserve">relativa a los afiliados con que </w:t>
      </w:r>
      <w:r w:rsidR="00B4451D">
        <w:rPr>
          <w:rFonts w:ascii="Times New Roman" w:hAnsi="Times New Roman" w:cs="Times New Roman"/>
          <w:sz w:val="24"/>
        </w:rPr>
        <w:t xml:space="preserve">cuenta </w:t>
      </w:r>
      <w:r w:rsidR="00D80266">
        <w:rPr>
          <w:rFonts w:ascii="Times New Roman" w:hAnsi="Times New Roman" w:cs="Times New Roman"/>
          <w:sz w:val="24"/>
        </w:rPr>
        <w:t xml:space="preserve">la SUPEN </w:t>
      </w:r>
      <w:r w:rsidR="007C1257">
        <w:rPr>
          <w:rFonts w:ascii="Times New Roman" w:hAnsi="Times New Roman" w:cs="Times New Roman"/>
          <w:sz w:val="24"/>
        </w:rPr>
        <w:t xml:space="preserve"> </w:t>
      </w:r>
    </w:p>
    <w:p w14:paraId="1B5F2C1B" w14:textId="77777777" w:rsidR="003B37B2" w:rsidRDefault="003B37B2" w:rsidP="003B37B2">
      <w:pPr>
        <w:spacing w:line="240" w:lineRule="auto"/>
        <w:jc w:val="both"/>
        <w:rPr>
          <w:rFonts w:cs="Times New Roman"/>
        </w:rPr>
      </w:pPr>
    </w:p>
    <w:p w14:paraId="2D2BBB49" w14:textId="334E2E70" w:rsidR="003B37B2" w:rsidRPr="00A40762" w:rsidRDefault="004518B2" w:rsidP="003B37B2">
      <w:pPr>
        <w:spacing w:line="240" w:lineRule="auto"/>
        <w:jc w:val="both"/>
        <w:rPr>
          <w:rFonts w:cs="Times New Roman"/>
        </w:rPr>
      </w:pPr>
      <w:r>
        <w:rPr>
          <w:rFonts w:cs="Times New Roman"/>
        </w:rPr>
        <w:t xml:space="preserve">Una vez que el trabajador ha elegido </w:t>
      </w:r>
      <w:r w:rsidR="00914886">
        <w:rPr>
          <w:rFonts w:cs="Times New Roman"/>
        </w:rPr>
        <w:t xml:space="preserve">una operadora de pensiones complementarias, </w:t>
      </w:r>
      <w:r w:rsidR="003B37B2">
        <w:rPr>
          <w:rFonts w:cs="Times New Roman"/>
        </w:rPr>
        <w:t>los datos de la afiliación son remitidos por el patrono al SICERE</w:t>
      </w:r>
      <w:r w:rsidR="0082059D">
        <w:rPr>
          <w:rFonts w:cs="Times New Roman"/>
        </w:rPr>
        <w:t xml:space="preserve"> para que este lleve </w:t>
      </w:r>
      <w:r w:rsidR="003B37B2">
        <w:rPr>
          <w:rFonts w:cs="Times New Roman"/>
        </w:rPr>
        <w:t xml:space="preserve">el control y registro de los aportes </w:t>
      </w:r>
      <w:r w:rsidR="00E0470E">
        <w:rPr>
          <w:rFonts w:cs="Times New Roman"/>
        </w:rPr>
        <w:t>periódicos que se realicen</w:t>
      </w:r>
      <w:r w:rsidR="00447021">
        <w:rPr>
          <w:rStyle w:val="Refdenotaalpie"/>
          <w:rFonts w:cs="Times New Roman"/>
        </w:rPr>
        <w:footnoteReference w:id="2"/>
      </w:r>
      <w:r w:rsidR="00C44934">
        <w:rPr>
          <w:rFonts w:cs="Times New Roman"/>
        </w:rPr>
        <w:t xml:space="preserve"> </w:t>
      </w:r>
      <w:r w:rsidR="0082059D">
        <w:rPr>
          <w:rFonts w:cs="Times New Roman"/>
        </w:rPr>
        <w:t xml:space="preserve">y remita </w:t>
      </w:r>
      <w:r w:rsidR="00CD309B">
        <w:rPr>
          <w:rFonts w:cs="Times New Roman"/>
        </w:rPr>
        <w:t xml:space="preserve">a las </w:t>
      </w:r>
      <w:r w:rsidR="009B6978">
        <w:rPr>
          <w:rFonts w:cs="Times New Roman"/>
        </w:rPr>
        <w:t xml:space="preserve">operadoras de </w:t>
      </w:r>
      <w:r w:rsidR="00E317C7">
        <w:rPr>
          <w:rFonts w:cs="Times New Roman"/>
        </w:rPr>
        <w:t xml:space="preserve">pensiones </w:t>
      </w:r>
      <w:r w:rsidR="00655DB9">
        <w:rPr>
          <w:rFonts w:cs="Times New Roman"/>
        </w:rPr>
        <w:t xml:space="preserve">los </w:t>
      </w:r>
      <w:r w:rsidR="00D520F6">
        <w:rPr>
          <w:rFonts w:cs="Times New Roman"/>
        </w:rPr>
        <w:t xml:space="preserve">recursos correspondientes. </w:t>
      </w:r>
      <w:r w:rsidR="00CD309B">
        <w:rPr>
          <w:rFonts w:cs="Times New Roman"/>
        </w:rPr>
        <w:t xml:space="preserve">Corresponde a estas últimas administrar los </w:t>
      </w:r>
      <w:r w:rsidR="000C1952">
        <w:rPr>
          <w:rFonts w:cs="Times New Roman"/>
        </w:rPr>
        <w:t xml:space="preserve">ahorros de los afiliados, así como </w:t>
      </w:r>
      <w:r w:rsidR="00A70399">
        <w:rPr>
          <w:rFonts w:cs="Times New Roman"/>
        </w:rPr>
        <w:t>mantener un</w:t>
      </w:r>
      <w:r w:rsidR="00620321">
        <w:rPr>
          <w:rFonts w:cs="Times New Roman"/>
        </w:rPr>
        <w:t xml:space="preserve"> registro de</w:t>
      </w:r>
      <w:r w:rsidR="00CA12CE">
        <w:rPr>
          <w:rFonts w:cs="Times New Roman"/>
        </w:rPr>
        <w:t xml:space="preserve"> </w:t>
      </w:r>
      <w:r w:rsidR="008A61B8">
        <w:rPr>
          <w:rFonts w:cs="Times New Roman"/>
        </w:rPr>
        <w:t xml:space="preserve">las </w:t>
      </w:r>
      <w:r w:rsidR="00620321">
        <w:rPr>
          <w:rFonts w:cs="Times New Roman"/>
        </w:rPr>
        <w:t>cuentas individuales</w:t>
      </w:r>
      <w:r w:rsidR="008A61B8">
        <w:rPr>
          <w:rFonts w:cs="Times New Roman"/>
        </w:rPr>
        <w:t xml:space="preserve"> </w:t>
      </w:r>
      <w:r w:rsidR="00A70399">
        <w:rPr>
          <w:rFonts w:cs="Times New Roman"/>
        </w:rPr>
        <w:t xml:space="preserve">de cada </w:t>
      </w:r>
      <w:r w:rsidR="00881A39">
        <w:rPr>
          <w:rFonts w:cs="Times New Roman"/>
        </w:rPr>
        <w:t>uno</w:t>
      </w:r>
      <w:r w:rsidR="004706AD">
        <w:rPr>
          <w:rFonts w:cs="Times New Roman"/>
        </w:rPr>
        <w:t xml:space="preserve">, </w:t>
      </w:r>
      <w:r w:rsidR="009103A0">
        <w:rPr>
          <w:rFonts w:cs="Times New Roman"/>
        </w:rPr>
        <w:t>en el que se hagan constar los aportes, los rendimientos generados</w:t>
      </w:r>
      <w:r w:rsidR="00C34F20">
        <w:rPr>
          <w:rFonts w:cs="Times New Roman"/>
        </w:rPr>
        <w:t xml:space="preserve"> por las inversiones, las comisiones y las prestaciones</w:t>
      </w:r>
      <w:r w:rsidR="00A70399">
        <w:rPr>
          <w:rFonts w:cs="Times New Roman"/>
        </w:rPr>
        <w:t xml:space="preserve"> </w:t>
      </w:r>
      <w:r w:rsidR="008A61B8">
        <w:rPr>
          <w:rFonts w:cs="Times New Roman"/>
        </w:rPr>
        <w:t>(</w:t>
      </w:r>
      <w:r w:rsidR="008A61B8" w:rsidRPr="008A61B8">
        <w:rPr>
          <w:rFonts w:cs="Times New Roman"/>
        </w:rPr>
        <w:t>artículo 42</w:t>
      </w:r>
      <w:r w:rsidR="008A61B8">
        <w:rPr>
          <w:rFonts w:cs="Times New Roman"/>
        </w:rPr>
        <w:t xml:space="preserve">, </w:t>
      </w:r>
      <w:r w:rsidR="008A61B8" w:rsidRPr="008A61B8">
        <w:rPr>
          <w:rFonts w:cs="Times New Roman"/>
        </w:rPr>
        <w:t>incisos a) y b)</w:t>
      </w:r>
      <w:r w:rsidR="008A61B8">
        <w:rPr>
          <w:rFonts w:cs="Times New Roman"/>
        </w:rPr>
        <w:t xml:space="preserve">, </w:t>
      </w:r>
      <w:r w:rsidR="008A61B8" w:rsidRPr="008A61B8">
        <w:rPr>
          <w:rFonts w:cs="Times New Roman"/>
        </w:rPr>
        <w:t>Ley de Protección al Trabajador</w:t>
      </w:r>
      <w:r w:rsidR="008A61B8">
        <w:rPr>
          <w:rFonts w:cs="Times New Roman"/>
        </w:rPr>
        <w:t xml:space="preserve">). </w:t>
      </w:r>
      <w:r w:rsidR="000C15AC">
        <w:rPr>
          <w:rFonts w:cs="Times New Roman"/>
        </w:rPr>
        <w:t xml:space="preserve"> </w:t>
      </w:r>
    </w:p>
    <w:p w14:paraId="01BCB132" w14:textId="77777777" w:rsidR="003B37B2" w:rsidRDefault="003B37B2" w:rsidP="003B37B2">
      <w:pPr>
        <w:spacing w:line="240" w:lineRule="auto"/>
        <w:jc w:val="both"/>
        <w:rPr>
          <w:rFonts w:cs="Times New Roman"/>
        </w:rPr>
      </w:pPr>
    </w:p>
    <w:p w14:paraId="1ABC696B" w14:textId="77777777" w:rsidR="00886191" w:rsidRDefault="00EE50DC" w:rsidP="003B37B2">
      <w:pPr>
        <w:spacing w:line="240" w:lineRule="auto"/>
        <w:jc w:val="both"/>
        <w:rPr>
          <w:rFonts w:cs="Times New Roman"/>
        </w:rPr>
      </w:pPr>
      <w:r>
        <w:rPr>
          <w:rFonts w:cs="Times New Roman"/>
        </w:rPr>
        <w:lastRenderedPageBreak/>
        <w:t>En lo que se refiere</w:t>
      </w:r>
      <w:r w:rsidR="00594F9F">
        <w:rPr>
          <w:rFonts w:cs="Times New Roman"/>
        </w:rPr>
        <w:t xml:space="preserve"> a la Superintendencia de Pensiones, </w:t>
      </w:r>
      <w:r w:rsidR="00712BF0">
        <w:rPr>
          <w:rFonts w:cs="Times New Roman"/>
        </w:rPr>
        <w:t xml:space="preserve">los incisos </w:t>
      </w:r>
      <w:r w:rsidR="00886191">
        <w:rPr>
          <w:rFonts w:cs="Times New Roman"/>
        </w:rPr>
        <w:t xml:space="preserve">q) y r) del artículo 38 de la Ley de Régimen Privado de Pensiones Complementarias, N°.7523, disponen: </w:t>
      </w:r>
    </w:p>
    <w:p w14:paraId="4D7D6EBD" w14:textId="77777777" w:rsidR="00886191" w:rsidRDefault="00886191" w:rsidP="003B37B2">
      <w:pPr>
        <w:spacing w:line="240" w:lineRule="auto"/>
        <w:jc w:val="both"/>
        <w:rPr>
          <w:rFonts w:cs="Times New Roman"/>
        </w:rPr>
      </w:pPr>
    </w:p>
    <w:p w14:paraId="666532AB" w14:textId="0B30E421" w:rsidR="00CE4FD1" w:rsidRPr="007F6A38" w:rsidRDefault="00CE4FD1" w:rsidP="007F6A38">
      <w:pPr>
        <w:spacing w:line="240" w:lineRule="auto"/>
        <w:ind w:left="284"/>
        <w:jc w:val="both"/>
        <w:rPr>
          <w:rFonts w:cs="Times New Roman"/>
          <w:i/>
          <w:iCs/>
          <w:sz w:val="22"/>
        </w:rPr>
      </w:pPr>
      <w:r w:rsidRPr="007F6A38">
        <w:rPr>
          <w:rFonts w:cs="Times New Roman"/>
          <w:i/>
          <w:iCs/>
          <w:sz w:val="22"/>
        </w:rPr>
        <w:t xml:space="preserve">Artículo 38. Atribuciones del Superintendente de Pensiones. </w:t>
      </w:r>
    </w:p>
    <w:p w14:paraId="18473CE0" w14:textId="298F594B" w:rsidR="009F7121" w:rsidRPr="007F6A38" w:rsidRDefault="00CE4FD1" w:rsidP="007F6A38">
      <w:pPr>
        <w:spacing w:line="240" w:lineRule="auto"/>
        <w:ind w:left="284"/>
        <w:jc w:val="both"/>
        <w:rPr>
          <w:rFonts w:cs="Times New Roman"/>
          <w:i/>
          <w:iCs/>
          <w:sz w:val="22"/>
        </w:rPr>
      </w:pPr>
      <w:r w:rsidRPr="007F6A38">
        <w:rPr>
          <w:rFonts w:cs="Times New Roman"/>
          <w:i/>
          <w:iCs/>
          <w:sz w:val="22"/>
        </w:rPr>
        <w:t>El Superintendente de Pensiones tendrá las siguientes atribuciones:</w:t>
      </w:r>
    </w:p>
    <w:p w14:paraId="7B616C02" w14:textId="5FE3D33C" w:rsidR="00CE4FD1" w:rsidRPr="007F6A38" w:rsidRDefault="00CE4FD1" w:rsidP="007F6A38">
      <w:pPr>
        <w:spacing w:line="240" w:lineRule="auto"/>
        <w:ind w:left="284"/>
        <w:jc w:val="both"/>
        <w:rPr>
          <w:rFonts w:cs="Times New Roman"/>
          <w:i/>
          <w:iCs/>
          <w:sz w:val="22"/>
        </w:rPr>
      </w:pPr>
      <w:r w:rsidRPr="007F6A38">
        <w:rPr>
          <w:rFonts w:cs="Times New Roman"/>
          <w:i/>
          <w:iCs/>
          <w:sz w:val="22"/>
        </w:rPr>
        <w:t>[…]</w:t>
      </w:r>
    </w:p>
    <w:p w14:paraId="3B945A99" w14:textId="77777777" w:rsidR="004C51A4" w:rsidRPr="007F6A38" w:rsidRDefault="004C51A4" w:rsidP="007F6A38">
      <w:pPr>
        <w:pStyle w:val="Default"/>
        <w:ind w:left="284"/>
        <w:jc w:val="both"/>
        <w:rPr>
          <w:i/>
          <w:iCs/>
          <w:sz w:val="22"/>
          <w:szCs w:val="22"/>
        </w:rPr>
      </w:pPr>
    </w:p>
    <w:p w14:paraId="45646DCF" w14:textId="77777777" w:rsidR="004C51A4" w:rsidRPr="007F6A38" w:rsidRDefault="004C51A4" w:rsidP="007F6A38">
      <w:pPr>
        <w:pStyle w:val="Default"/>
        <w:numPr>
          <w:ilvl w:val="0"/>
          <w:numId w:val="5"/>
        </w:numPr>
        <w:ind w:left="284"/>
        <w:jc w:val="both"/>
        <w:rPr>
          <w:i/>
          <w:iCs/>
          <w:sz w:val="22"/>
          <w:szCs w:val="22"/>
        </w:rPr>
      </w:pPr>
      <w:r w:rsidRPr="007F6A38">
        <w:rPr>
          <w:i/>
          <w:iCs/>
          <w:sz w:val="22"/>
          <w:szCs w:val="22"/>
        </w:rPr>
        <w:t xml:space="preserve">q) Comprobar la imputación correcta y oportuna de los aportes en las cuentas de los afiliados. </w:t>
      </w:r>
    </w:p>
    <w:p w14:paraId="6E4E819E" w14:textId="515F95D8" w:rsidR="004C51A4" w:rsidRDefault="004C51A4" w:rsidP="007F6A38">
      <w:pPr>
        <w:pStyle w:val="Default"/>
        <w:numPr>
          <w:ilvl w:val="0"/>
          <w:numId w:val="6"/>
        </w:numPr>
        <w:ind w:left="284"/>
        <w:jc w:val="both"/>
        <w:rPr>
          <w:i/>
          <w:iCs/>
          <w:sz w:val="22"/>
          <w:szCs w:val="22"/>
        </w:rPr>
      </w:pPr>
      <w:r w:rsidRPr="007F6A38">
        <w:rPr>
          <w:i/>
          <w:iCs/>
          <w:sz w:val="22"/>
          <w:szCs w:val="22"/>
        </w:rPr>
        <w:t xml:space="preserve">r) Exigir, a los entes supervisados, el suministro de la información necesaria para los afiliados y dictar normas específicas sobre el contenido, la forma y la periodicidad con que las entidades supervisadas deben proporcionar a la Superintendencia, al afiliado y al público, información sobre su situación jurídica, económica y financiera, sobre las características y los costos de sus servicios, las operaciones activas y pasivas y cualquier otra información que considere de importancia; todo con el fin de que exista información suficiente y confiable sobre la situación de las entidades supervisadas. </w:t>
      </w:r>
    </w:p>
    <w:p w14:paraId="5B04728F" w14:textId="213EA768" w:rsidR="00480882" w:rsidRDefault="00480882" w:rsidP="007F6A38">
      <w:pPr>
        <w:pStyle w:val="Default"/>
        <w:numPr>
          <w:ilvl w:val="0"/>
          <w:numId w:val="6"/>
        </w:numPr>
        <w:ind w:left="284"/>
        <w:jc w:val="both"/>
        <w:rPr>
          <w:i/>
          <w:iCs/>
          <w:sz w:val="22"/>
          <w:szCs w:val="22"/>
        </w:rPr>
      </w:pPr>
      <w:r w:rsidRPr="00480882">
        <w:rPr>
          <w:i/>
          <w:iCs/>
          <w:sz w:val="22"/>
          <w:szCs w:val="22"/>
        </w:rPr>
        <w:t>t) Fiscalizar el otorgamiento de los beneficios por parte de los entes supervisados.</w:t>
      </w:r>
    </w:p>
    <w:p w14:paraId="7BA90F27" w14:textId="75D2FC24" w:rsidR="0032105B" w:rsidRPr="007F6A38" w:rsidRDefault="0032105B" w:rsidP="007F6A38">
      <w:pPr>
        <w:pStyle w:val="Default"/>
        <w:numPr>
          <w:ilvl w:val="0"/>
          <w:numId w:val="6"/>
        </w:numPr>
        <w:ind w:left="284"/>
        <w:jc w:val="both"/>
        <w:rPr>
          <w:i/>
          <w:iCs/>
          <w:sz w:val="22"/>
          <w:szCs w:val="22"/>
        </w:rPr>
      </w:pPr>
      <w:r w:rsidRPr="0032105B">
        <w:rPr>
          <w:i/>
          <w:iCs/>
          <w:sz w:val="22"/>
          <w:szCs w:val="22"/>
        </w:rPr>
        <w:t>u) Recibir y resolver las denuncias de los afiliados contra los entes autorizados.</w:t>
      </w:r>
    </w:p>
    <w:p w14:paraId="422B806F" w14:textId="45885676" w:rsidR="00CE4FD1" w:rsidRPr="007F6A38" w:rsidRDefault="007F6A38" w:rsidP="007F6A38">
      <w:pPr>
        <w:spacing w:line="240" w:lineRule="auto"/>
        <w:ind w:left="284"/>
        <w:jc w:val="both"/>
        <w:rPr>
          <w:rFonts w:cs="Times New Roman"/>
          <w:i/>
          <w:iCs/>
          <w:sz w:val="22"/>
          <w:lang w:val="es-CR"/>
        </w:rPr>
      </w:pPr>
      <w:r w:rsidRPr="007F6A38">
        <w:rPr>
          <w:rFonts w:cs="Times New Roman"/>
          <w:i/>
          <w:iCs/>
          <w:sz w:val="22"/>
          <w:lang w:val="es-CR"/>
        </w:rPr>
        <w:t xml:space="preserve">[…] </w:t>
      </w:r>
    </w:p>
    <w:p w14:paraId="52C0E42B" w14:textId="77777777" w:rsidR="009F7121" w:rsidRDefault="009F7121" w:rsidP="003B37B2">
      <w:pPr>
        <w:spacing w:line="240" w:lineRule="auto"/>
        <w:jc w:val="both"/>
        <w:rPr>
          <w:rFonts w:cs="Times New Roman"/>
        </w:rPr>
      </w:pPr>
    </w:p>
    <w:p w14:paraId="7CC9825A" w14:textId="20E8F078" w:rsidR="00A343B6" w:rsidRPr="00A343B6" w:rsidRDefault="007F6A38" w:rsidP="001808F0">
      <w:pPr>
        <w:spacing w:line="240" w:lineRule="auto"/>
        <w:jc w:val="both"/>
        <w:rPr>
          <w:rFonts w:cs="Times New Roman"/>
          <w:i/>
          <w:iCs/>
          <w:sz w:val="22"/>
        </w:rPr>
      </w:pPr>
      <w:r>
        <w:rPr>
          <w:rFonts w:cs="Times New Roman"/>
        </w:rPr>
        <w:t>Para cumplir c</w:t>
      </w:r>
      <w:r w:rsidR="00EC4654">
        <w:rPr>
          <w:rFonts w:cs="Times New Roman"/>
        </w:rPr>
        <w:t xml:space="preserve">on lo anterior, </w:t>
      </w:r>
      <w:r w:rsidR="001808F0">
        <w:rPr>
          <w:rFonts w:cs="Times New Roman"/>
        </w:rPr>
        <w:t xml:space="preserve">la Superintendencia </w:t>
      </w:r>
      <w:r w:rsidR="003E32F3">
        <w:rPr>
          <w:rFonts w:cs="Times New Roman"/>
        </w:rPr>
        <w:t>les</w:t>
      </w:r>
      <w:r w:rsidR="00E52C14">
        <w:rPr>
          <w:rFonts w:cs="Times New Roman"/>
        </w:rPr>
        <w:t xml:space="preserve"> solicita a las operadoras de pensiones un archivo mensual con toda la información relativa a sus afiliados y a los movimientos de</w:t>
      </w:r>
      <w:r w:rsidR="00E84C05">
        <w:rPr>
          <w:rFonts w:cs="Times New Roman"/>
        </w:rPr>
        <w:t xml:space="preserve"> las</w:t>
      </w:r>
      <w:r w:rsidR="00E52C14">
        <w:rPr>
          <w:rFonts w:cs="Times New Roman"/>
        </w:rPr>
        <w:t xml:space="preserve"> cuenta</w:t>
      </w:r>
      <w:r w:rsidR="00E84C05">
        <w:rPr>
          <w:rFonts w:cs="Times New Roman"/>
        </w:rPr>
        <w:t>s</w:t>
      </w:r>
      <w:r w:rsidR="00E52C14">
        <w:rPr>
          <w:rFonts w:cs="Times New Roman"/>
        </w:rPr>
        <w:t xml:space="preserve"> individual</w:t>
      </w:r>
      <w:r w:rsidR="00E84C05">
        <w:rPr>
          <w:rFonts w:cs="Times New Roman"/>
        </w:rPr>
        <w:t>es</w:t>
      </w:r>
      <w:r w:rsidR="00E52C14">
        <w:rPr>
          <w:rFonts w:cs="Times New Roman"/>
        </w:rPr>
        <w:t xml:space="preserve">. </w:t>
      </w:r>
      <w:r w:rsidR="003E32F3">
        <w:rPr>
          <w:rFonts w:cs="Times New Roman"/>
        </w:rPr>
        <w:t xml:space="preserve">Esta información se utiliza únicamente con fines de supervisión. </w:t>
      </w:r>
    </w:p>
    <w:p w14:paraId="3109F555" w14:textId="04E1556D" w:rsidR="006E69B3" w:rsidRDefault="003E32F3" w:rsidP="003B37B2">
      <w:pPr>
        <w:spacing w:line="240" w:lineRule="auto"/>
        <w:jc w:val="both"/>
        <w:rPr>
          <w:rFonts w:cs="Times New Roman"/>
        </w:rPr>
      </w:pPr>
      <w:r>
        <w:rPr>
          <w:rFonts w:cs="Times New Roman"/>
        </w:rPr>
        <w:t xml:space="preserve"> </w:t>
      </w:r>
    </w:p>
    <w:p w14:paraId="7F02AB4C" w14:textId="03CE1473" w:rsidR="003B37B2" w:rsidRDefault="003B37B2" w:rsidP="003B37B2">
      <w:pPr>
        <w:pStyle w:val="Prrafodelista"/>
        <w:numPr>
          <w:ilvl w:val="0"/>
          <w:numId w:val="3"/>
        </w:numPr>
        <w:spacing w:after="0" w:line="240" w:lineRule="auto"/>
        <w:jc w:val="both"/>
        <w:rPr>
          <w:rFonts w:ascii="Times New Roman" w:hAnsi="Times New Roman" w:cs="Times New Roman"/>
          <w:sz w:val="24"/>
        </w:rPr>
      </w:pPr>
      <w:r>
        <w:rPr>
          <w:rFonts w:ascii="Times New Roman" w:hAnsi="Times New Roman" w:cs="Times New Roman"/>
          <w:sz w:val="24"/>
        </w:rPr>
        <w:t>Naturaleza de los datos</w:t>
      </w:r>
      <w:r w:rsidR="00E3557F">
        <w:rPr>
          <w:rFonts w:ascii="Times New Roman" w:hAnsi="Times New Roman" w:cs="Times New Roman"/>
          <w:sz w:val="24"/>
        </w:rPr>
        <w:t xml:space="preserve"> de los afiliados </w:t>
      </w:r>
    </w:p>
    <w:p w14:paraId="24726BE3" w14:textId="77777777" w:rsidR="003B37B2" w:rsidRDefault="003B37B2" w:rsidP="003B37B2">
      <w:pPr>
        <w:spacing w:line="240" w:lineRule="auto"/>
        <w:jc w:val="both"/>
        <w:rPr>
          <w:rFonts w:cs="Times New Roman"/>
        </w:rPr>
      </w:pPr>
    </w:p>
    <w:p w14:paraId="54A19EE2" w14:textId="0CA7F109" w:rsidR="003B37B2" w:rsidRDefault="003B37B2" w:rsidP="003B37B2">
      <w:pPr>
        <w:spacing w:line="240" w:lineRule="auto"/>
        <w:jc w:val="both"/>
        <w:rPr>
          <w:rFonts w:cs="Times New Roman"/>
        </w:rPr>
      </w:pPr>
      <w:r>
        <w:rPr>
          <w:rFonts w:cs="Times New Roman"/>
        </w:rPr>
        <w:t>La información de los trabajadores que mantiene el SICERE</w:t>
      </w:r>
      <w:r w:rsidR="000640DA">
        <w:rPr>
          <w:rFonts w:cs="Times New Roman"/>
        </w:rPr>
        <w:t xml:space="preserve">, las operadoras de pensiones y </w:t>
      </w:r>
      <w:r>
        <w:rPr>
          <w:rFonts w:cs="Times New Roman"/>
        </w:rPr>
        <w:t xml:space="preserve">la </w:t>
      </w:r>
      <w:r w:rsidR="006202F2">
        <w:rPr>
          <w:rFonts w:cs="Times New Roman"/>
        </w:rPr>
        <w:t>S</w:t>
      </w:r>
      <w:r>
        <w:rPr>
          <w:rFonts w:cs="Times New Roman"/>
        </w:rPr>
        <w:t xml:space="preserve">uperintendencia </w:t>
      </w:r>
      <w:r w:rsidR="00B01099">
        <w:rPr>
          <w:rFonts w:cs="Times New Roman"/>
        </w:rPr>
        <w:t xml:space="preserve">de Pensiones </w:t>
      </w:r>
      <w:r>
        <w:rPr>
          <w:rFonts w:cs="Times New Roman"/>
        </w:rPr>
        <w:t>no es de acceso irrestricto, sino</w:t>
      </w:r>
      <w:r w:rsidR="008016AB">
        <w:rPr>
          <w:rFonts w:cs="Times New Roman"/>
        </w:rPr>
        <w:t>,</w:t>
      </w:r>
      <w:r>
        <w:rPr>
          <w:rFonts w:cs="Times New Roman"/>
        </w:rPr>
        <w:t xml:space="preserve"> </w:t>
      </w:r>
      <w:r w:rsidRPr="0096669A">
        <w:rPr>
          <w:rFonts w:cs="Times New Roman"/>
          <w:i/>
          <w:iCs/>
        </w:rPr>
        <w:t>restringido</w:t>
      </w:r>
      <w:r>
        <w:rPr>
          <w:rFonts w:cs="Times New Roman"/>
        </w:rPr>
        <w:t xml:space="preserve">, porque </w:t>
      </w:r>
      <w:r w:rsidR="00B01099">
        <w:rPr>
          <w:rFonts w:cs="Times New Roman"/>
        </w:rPr>
        <w:t>se trata de datos que solo interesan a</w:t>
      </w:r>
      <w:r w:rsidR="004E61A5">
        <w:rPr>
          <w:rFonts w:cs="Times New Roman"/>
        </w:rPr>
        <w:t xml:space="preserve"> </w:t>
      </w:r>
      <w:r w:rsidRPr="00F849F8">
        <w:rPr>
          <w:rFonts w:cs="Times New Roman"/>
        </w:rPr>
        <w:t>su titular</w:t>
      </w:r>
      <w:r w:rsidR="004E61A5">
        <w:rPr>
          <w:rFonts w:cs="Times New Roman"/>
        </w:rPr>
        <w:t xml:space="preserve">, </w:t>
      </w:r>
      <w:r w:rsidR="008016AB">
        <w:rPr>
          <w:rFonts w:cs="Times New Roman"/>
        </w:rPr>
        <w:t xml:space="preserve">y </w:t>
      </w:r>
      <w:r w:rsidR="004E61A5">
        <w:rPr>
          <w:rFonts w:cs="Times New Roman"/>
        </w:rPr>
        <w:t xml:space="preserve">a la </w:t>
      </w:r>
      <w:r>
        <w:rPr>
          <w:rFonts w:cs="Times New Roman"/>
        </w:rPr>
        <w:t>a</w:t>
      </w:r>
      <w:r w:rsidRPr="00F849F8">
        <w:rPr>
          <w:rFonts w:cs="Times New Roman"/>
        </w:rPr>
        <w:t xml:space="preserve">dministración </w:t>
      </w:r>
      <w:r>
        <w:rPr>
          <w:rFonts w:cs="Times New Roman"/>
        </w:rPr>
        <w:t>p</w:t>
      </w:r>
      <w:r w:rsidRPr="00F849F8">
        <w:rPr>
          <w:rFonts w:cs="Times New Roman"/>
        </w:rPr>
        <w:t>ública</w:t>
      </w:r>
      <w:r w:rsidR="008016AB">
        <w:rPr>
          <w:rFonts w:cs="Times New Roman"/>
        </w:rPr>
        <w:t>, como más adelante se verá</w:t>
      </w:r>
      <w:r w:rsidRPr="00F849F8">
        <w:rPr>
          <w:rFonts w:cs="Times New Roman"/>
        </w:rPr>
        <w:t xml:space="preserve">. </w:t>
      </w:r>
      <w:r w:rsidR="00FE13D5">
        <w:rPr>
          <w:rFonts w:cs="Times New Roman"/>
        </w:rPr>
        <w:t xml:space="preserve">Estos datos </w:t>
      </w:r>
      <w:r w:rsidR="00FE13D5" w:rsidRPr="00004521">
        <w:rPr>
          <w:rFonts w:cs="Times New Roman"/>
        </w:rPr>
        <w:t xml:space="preserve">son de naturaleza similar a los que almacenan entidades financieras como los bancos y puestos de bolsa, en las cuales los administrados tienen invertidos sus recursos, o se custodian sus salarios. </w:t>
      </w:r>
      <w:r>
        <w:rPr>
          <w:rFonts w:cs="Times New Roman"/>
        </w:rPr>
        <w:t xml:space="preserve">Su acceso es restringido, con dos excepciones: </w:t>
      </w:r>
    </w:p>
    <w:p w14:paraId="57591F83" w14:textId="77777777" w:rsidR="003B37B2" w:rsidRDefault="003B37B2" w:rsidP="003B37B2">
      <w:pPr>
        <w:spacing w:line="240" w:lineRule="auto"/>
        <w:jc w:val="both"/>
        <w:rPr>
          <w:rFonts w:cs="Times New Roman"/>
        </w:rPr>
      </w:pPr>
    </w:p>
    <w:p w14:paraId="111AD583" w14:textId="77777777" w:rsidR="003B37B2" w:rsidRDefault="003B37B2" w:rsidP="003B37B2">
      <w:pPr>
        <w:pStyle w:val="Prrafodelista"/>
        <w:numPr>
          <w:ilvl w:val="0"/>
          <w:numId w:val="4"/>
        </w:numPr>
        <w:spacing w:after="0" w:line="240" w:lineRule="auto"/>
        <w:jc w:val="both"/>
        <w:rPr>
          <w:rFonts w:ascii="Times New Roman" w:hAnsi="Times New Roman" w:cs="Times New Roman"/>
          <w:sz w:val="24"/>
        </w:rPr>
      </w:pPr>
      <w:r w:rsidRPr="00C54122">
        <w:rPr>
          <w:rFonts w:ascii="Times New Roman" w:hAnsi="Times New Roman" w:cs="Times New Roman"/>
          <w:sz w:val="24"/>
        </w:rPr>
        <w:t xml:space="preserve">Los salarios de los funcionarios públicos que constan en el SICERE, </w:t>
      </w:r>
      <w:r>
        <w:rPr>
          <w:rFonts w:ascii="Times New Roman" w:hAnsi="Times New Roman" w:cs="Times New Roman"/>
          <w:sz w:val="24"/>
        </w:rPr>
        <w:t xml:space="preserve">porque </w:t>
      </w:r>
      <w:r w:rsidRPr="00C54122">
        <w:rPr>
          <w:rFonts w:ascii="Times New Roman" w:hAnsi="Times New Roman" w:cs="Times New Roman"/>
          <w:sz w:val="24"/>
        </w:rPr>
        <w:t xml:space="preserve">la Sala Constitucional los consideró datos de interés público, no así sus domicilios o números de teléfono.   </w:t>
      </w:r>
    </w:p>
    <w:p w14:paraId="4D7DABCD" w14:textId="77777777" w:rsidR="003B37B2" w:rsidRPr="00C54122" w:rsidRDefault="003B37B2" w:rsidP="003B37B2">
      <w:pPr>
        <w:pStyle w:val="Prrafodelista"/>
        <w:numPr>
          <w:ilvl w:val="0"/>
          <w:numId w:val="4"/>
        </w:numPr>
        <w:spacing w:after="0" w:line="240" w:lineRule="auto"/>
        <w:jc w:val="both"/>
        <w:rPr>
          <w:rFonts w:ascii="Times New Roman" w:hAnsi="Times New Roman" w:cs="Times New Roman"/>
          <w:sz w:val="24"/>
        </w:rPr>
      </w:pPr>
      <w:r w:rsidRPr="00C54122">
        <w:rPr>
          <w:rFonts w:ascii="Times New Roman" w:hAnsi="Times New Roman" w:cs="Times New Roman"/>
          <w:sz w:val="24"/>
        </w:rPr>
        <w:t xml:space="preserve">Los datos de los afiliados </w:t>
      </w:r>
      <w:r>
        <w:rPr>
          <w:rFonts w:ascii="Times New Roman" w:hAnsi="Times New Roman" w:cs="Times New Roman"/>
          <w:sz w:val="24"/>
        </w:rPr>
        <w:t xml:space="preserve">en forma </w:t>
      </w:r>
      <w:r w:rsidRPr="00C54122">
        <w:rPr>
          <w:rFonts w:ascii="Times New Roman" w:hAnsi="Times New Roman" w:cs="Times New Roman"/>
          <w:sz w:val="24"/>
        </w:rPr>
        <w:t>automátic</w:t>
      </w:r>
      <w:r>
        <w:rPr>
          <w:rFonts w:ascii="Times New Roman" w:hAnsi="Times New Roman" w:cs="Times New Roman"/>
          <w:sz w:val="24"/>
        </w:rPr>
        <w:t>a</w:t>
      </w:r>
      <w:r w:rsidRPr="00C54122">
        <w:rPr>
          <w:rFonts w:ascii="Times New Roman" w:hAnsi="Times New Roman" w:cs="Times New Roman"/>
          <w:sz w:val="24"/>
        </w:rPr>
        <w:t>, pues en este caso la superintendencia está en la obligación de publicar un listado con los afiliados que, por no haber elegido operadora</w:t>
      </w:r>
      <w:r>
        <w:rPr>
          <w:rFonts w:ascii="Times New Roman" w:hAnsi="Times New Roman" w:cs="Times New Roman"/>
          <w:sz w:val="24"/>
        </w:rPr>
        <w:t>,</w:t>
      </w:r>
      <w:r w:rsidRPr="00C54122">
        <w:rPr>
          <w:rFonts w:ascii="Times New Roman" w:hAnsi="Times New Roman" w:cs="Times New Roman"/>
          <w:sz w:val="24"/>
        </w:rPr>
        <w:t xml:space="preserve"> quedan afiliados de forma automática (artículo</w:t>
      </w:r>
      <w:r>
        <w:rPr>
          <w:rFonts w:ascii="Times New Roman" w:hAnsi="Times New Roman" w:cs="Times New Roman"/>
          <w:sz w:val="24"/>
        </w:rPr>
        <w:t>s</w:t>
      </w:r>
      <w:r w:rsidRPr="00C54122">
        <w:rPr>
          <w:rFonts w:ascii="Times New Roman" w:hAnsi="Times New Roman" w:cs="Times New Roman"/>
          <w:sz w:val="24"/>
        </w:rPr>
        <w:t xml:space="preserve"> 11</w:t>
      </w:r>
      <w:r>
        <w:rPr>
          <w:rFonts w:ascii="Times New Roman" w:hAnsi="Times New Roman" w:cs="Times New Roman"/>
          <w:sz w:val="24"/>
        </w:rPr>
        <w:t xml:space="preserve"> y 39</w:t>
      </w:r>
      <w:r w:rsidRPr="00C54122">
        <w:rPr>
          <w:rFonts w:ascii="Times New Roman" w:hAnsi="Times New Roman" w:cs="Times New Roman"/>
          <w:sz w:val="24"/>
        </w:rPr>
        <w:t xml:space="preserve"> de la Ley de Protección al Trabajador).</w:t>
      </w:r>
    </w:p>
    <w:p w14:paraId="6934AD90" w14:textId="77777777" w:rsidR="003B37B2" w:rsidRDefault="003B37B2" w:rsidP="003B37B2">
      <w:pPr>
        <w:spacing w:line="240" w:lineRule="auto"/>
        <w:jc w:val="both"/>
        <w:rPr>
          <w:rFonts w:cs="Times New Roman"/>
        </w:rPr>
      </w:pPr>
    </w:p>
    <w:p w14:paraId="155DD815" w14:textId="57EB2FFA" w:rsidR="00004521" w:rsidRDefault="007C4865" w:rsidP="003B37B2">
      <w:pPr>
        <w:spacing w:line="240" w:lineRule="auto"/>
        <w:jc w:val="both"/>
        <w:rPr>
          <w:rFonts w:cs="Times New Roman"/>
        </w:rPr>
      </w:pPr>
      <w:r>
        <w:rPr>
          <w:rFonts w:cs="Times New Roman"/>
        </w:rPr>
        <w:t xml:space="preserve">Lo anterior incluye también a la información </w:t>
      </w:r>
      <w:r w:rsidR="006609AD">
        <w:rPr>
          <w:rFonts w:cs="Times New Roman"/>
        </w:rPr>
        <w:t>s</w:t>
      </w:r>
      <w:r w:rsidR="00004521" w:rsidRPr="00004521">
        <w:rPr>
          <w:rFonts w:cs="Times New Roman"/>
        </w:rPr>
        <w:t xml:space="preserve">obre la vinculación </w:t>
      </w:r>
      <w:r w:rsidR="00571447">
        <w:rPr>
          <w:rFonts w:cs="Times New Roman"/>
        </w:rPr>
        <w:t xml:space="preserve">(afiliación) </w:t>
      </w:r>
      <w:r w:rsidR="00442965">
        <w:rPr>
          <w:rFonts w:cs="Times New Roman"/>
        </w:rPr>
        <w:t xml:space="preserve">de un trabajador </w:t>
      </w:r>
      <w:r w:rsidR="00004521" w:rsidRPr="00004521">
        <w:rPr>
          <w:rFonts w:cs="Times New Roman"/>
        </w:rPr>
        <w:t>a una operadora de pensione</w:t>
      </w:r>
      <w:r w:rsidR="009B03D7">
        <w:rPr>
          <w:rFonts w:cs="Times New Roman"/>
        </w:rPr>
        <w:t>s, la cual, por lo tanto, no puede ser de acceso público</w:t>
      </w:r>
      <w:r w:rsidR="00A7629B">
        <w:rPr>
          <w:rFonts w:cs="Times New Roman"/>
        </w:rPr>
        <w:t xml:space="preserve">, </w:t>
      </w:r>
      <w:r w:rsidR="00004521" w:rsidRPr="00004521">
        <w:rPr>
          <w:rFonts w:cs="Times New Roman"/>
        </w:rPr>
        <w:t xml:space="preserve">ya que es únicamente de interés </w:t>
      </w:r>
      <w:r w:rsidR="00DC5C6A">
        <w:rPr>
          <w:rFonts w:cs="Times New Roman"/>
        </w:rPr>
        <w:t xml:space="preserve">del </w:t>
      </w:r>
      <w:r w:rsidR="00004521" w:rsidRPr="00004521">
        <w:rPr>
          <w:rFonts w:cs="Times New Roman"/>
        </w:rPr>
        <w:t xml:space="preserve">afiliado. </w:t>
      </w:r>
    </w:p>
    <w:p w14:paraId="1BAF98CB" w14:textId="77777777" w:rsidR="00004521" w:rsidRDefault="00004521" w:rsidP="003B37B2">
      <w:pPr>
        <w:spacing w:line="240" w:lineRule="auto"/>
        <w:jc w:val="both"/>
        <w:rPr>
          <w:rFonts w:cs="Times New Roman"/>
        </w:rPr>
      </w:pPr>
    </w:p>
    <w:p w14:paraId="24F36234" w14:textId="05FCC81A" w:rsidR="003B37B2" w:rsidRPr="004E16B1" w:rsidRDefault="00915148" w:rsidP="003B37B2">
      <w:pPr>
        <w:spacing w:line="240" w:lineRule="auto"/>
        <w:jc w:val="both"/>
        <w:rPr>
          <w:rFonts w:cs="Times New Roman"/>
          <w:sz w:val="22"/>
        </w:rPr>
      </w:pPr>
      <w:r>
        <w:rPr>
          <w:rFonts w:cs="Times New Roman"/>
        </w:rPr>
        <w:t>Ahora bien, e</w:t>
      </w:r>
      <w:r w:rsidR="003B37B2">
        <w:rPr>
          <w:rFonts w:cs="Times New Roman"/>
        </w:rPr>
        <w:t xml:space="preserve">n términos generales, la información que se almacena en cualquier base de datos personales se encuentra sometida a la garantía de </w:t>
      </w:r>
      <w:r w:rsidR="003B37B2" w:rsidRPr="00845512">
        <w:rPr>
          <w:rFonts w:cs="Times New Roman"/>
          <w:i/>
          <w:iCs/>
        </w:rPr>
        <w:t>consentimiento informado</w:t>
      </w:r>
      <w:r w:rsidR="003B37B2">
        <w:rPr>
          <w:rFonts w:cs="Times New Roman"/>
        </w:rPr>
        <w:t>, el cual se define en el artículo 2</w:t>
      </w:r>
      <w:r w:rsidR="00983888">
        <w:rPr>
          <w:rFonts w:cs="Times New Roman"/>
        </w:rPr>
        <w:t>,</w:t>
      </w:r>
      <w:r w:rsidR="003B37B2">
        <w:rPr>
          <w:rFonts w:cs="Times New Roman"/>
        </w:rPr>
        <w:t xml:space="preserve"> inciso f)</w:t>
      </w:r>
      <w:r w:rsidR="00983888">
        <w:rPr>
          <w:rFonts w:cs="Times New Roman"/>
        </w:rPr>
        <w:t>,</w:t>
      </w:r>
      <w:r w:rsidR="003B37B2">
        <w:rPr>
          <w:rFonts w:cs="Times New Roman"/>
        </w:rPr>
        <w:t xml:space="preserve"> del Reglamento a la </w:t>
      </w:r>
      <w:r w:rsidR="00983888">
        <w:rPr>
          <w:rFonts w:cs="Times New Roman"/>
        </w:rPr>
        <w:t>L</w:t>
      </w:r>
      <w:r w:rsidR="003B37B2">
        <w:rPr>
          <w:rFonts w:cs="Times New Roman"/>
        </w:rPr>
        <w:t xml:space="preserve">ey </w:t>
      </w:r>
      <w:r w:rsidR="00983888">
        <w:rPr>
          <w:rFonts w:cs="Times New Roman"/>
        </w:rPr>
        <w:t>N°.</w:t>
      </w:r>
      <w:r w:rsidR="003B37B2">
        <w:rPr>
          <w:rFonts w:cs="Times New Roman"/>
        </w:rPr>
        <w:t>8968 como la</w:t>
      </w:r>
      <w:r w:rsidR="003B37B2" w:rsidRPr="007E04FA">
        <w:rPr>
          <w:rFonts w:cs="Times New Roman"/>
        </w:rPr>
        <w:t xml:space="preserve"> </w:t>
      </w:r>
      <w:r w:rsidR="003B37B2" w:rsidRPr="004E16B1">
        <w:rPr>
          <w:rFonts w:cs="Times New Roman"/>
          <w:sz w:val="22"/>
        </w:rPr>
        <w:t>“</w:t>
      </w:r>
      <w:r w:rsidR="003B37B2" w:rsidRPr="004E16B1">
        <w:rPr>
          <w:rFonts w:cs="Times New Roman"/>
          <w:i/>
          <w:iCs/>
          <w:sz w:val="22"/>
        </w:rPr>
        <w:t>manifestación de voluntad, expresa, libre, inequívoca, informada y específica que se otorgue por escrito, para un fin determinado, mediante la cual el titular de los datos personales o su representante, consienta el tratamiento de sus datos personales</w:t>
      </w:r>
      <w:r w:rsidR="003B37B2" w:rsidRPr="004E16B1">
        <w:rPr>
          <w:rFonts w:cs="Times New Roman"/>
          <w:sz w:val="22"/>
        </w:rPr>
        <w:t>”.</w:t>
      </w:r>
    </w:p>
    <w:p w14:paraId="280B2628" w14:textId="77777777" w:rsidR="003B37B2" w:rsidRDefault="003B37B2" w:rsidP="003B37B2">
      <w:pPr>
        <w:spacing w:line="240" w:lineRule="auto"/>
        <w:jc w:val="both"/>
        <w:rPr>
          <w:rFonts w:cs="Times New Roman"/>
        </w:rPr>
      </w:pPr>
    </w:p>
    <w:p w14:paraId="4EC38806" w14:textId="7F13E4C2" w:rsidR="003B37B2" w:rsidRDefault="003B37B2" w:rsidP="003B37B2">
      <w:pPr>
        <w:spacing w:line="240" w:lineRule="auto"/>
        <w:jc w:val="both"/>
        <w:rPr>
          <w:rFonts w:cs="Times New Roman"/>
        </w:rPr>
      </w:pPr>
      <w:r>
        <w:rPr>
          <w:rFonts w:cs="Times New Roman"/>
        </w:rPr>
        <w:t>Sin embargo, la doctrina reconoce algunas excepciones a este principio</w:t>
      </w:r>
      <w:r w:rsidR="008457C5">
        <w:rPr>
          <w:rFonts w:cs="Times New Roman"/>
        </w:rPr>
        <w:t xml:space="preserve">. </w:t>
      </w:r>
      <w:r w:rsidR="000B3737">
        <w:rPr>
          <w:rFonts w:cs="Times New Roman"/>
        </w:rPr>
        <w:t xml:space="preserve">En este sentido, </w:t>
      </w:r>
      <w:r w:rsidR="000B3737" w:rsidRPr="000B3737">
        <w:rPr>
          <w:rFonts w:cs="Times New Roman"/>
        </w:rPr>
        <w:t>el autor Manuel Fernández Salmerón</w:t>
      </w:r>
      <w:r w:rsidR="000B3737">
        <w:rPr>
          <w:rFonts w:cs="Times New Roman"/>
        </w:rPr>
        <w:t xml:space="preserve">: </w:t>
      </w:r>
    </w:p>
    <w:p w14:paraId="3E463090" w14:textId="77777777" w:rsidR="003B37B2" w:rsidRDefault="003B37B2" w:rsidP="003B37B2">
      <w:pPr>
        <w:spacing w:line="240" w:lineRule="auto"/>
        <w:jc w:val="both"/>
        <w:rPr>
          <w:rFonts w:cs="Times New Roman"/>
          <w:i/>
          <w:iCs/>
        </w:rPr>
      </w:pPr>
    </w:p>
    <w:p w14:paraId="25C1CABF" w14:textId="3527847E" w:rsidR="003B37B2" w:rsidRDefault="003B37B2" w:rsidP="004E16B1">
      <w:pPr>
        <w:spacing w:line="240" w:lineRule="auto"/>
        <w:ind w:left="284"/>
        <w:jc w:val="both"/>
        <w:rPr>
          <w:rFonts w:cs="Times New Roman"/>
        </w:rPr>
      </w:pPr>
      <w:r w:rsidRPr="004E16B1">
        <w:rPr>
          <w:rFonts w:cs="Times New Roman"/>
          <w:i/>
          <w:iCs/>
          <w:sz w:val="22"/>
        </w:rPr>
        <w:t xml:space="preserve">En este sentido, la peculiaridad más relevante que suele disponerse en relación con los tratamientos de datos personales por parte de sujetos públicos estriba en una generalización de la exención de consentimiento del interesado.  Esta difundida tendencia ha encontrado ciertas explicaciones teóricas que han tratado de justificarla -en la línea que venimos señalando- en la </w:t>
      </w:r>
      <w:r w:rsidR="00010920" w:rsidRPr="004E16B1">
        <w:rPr>
          <w:rFonts w:cs="Times New Roman"/>
          <w:i/>
          <w:iCs/>
          <w:sz w:val="22"/>
        </w:rPr>
        <w:t>circunstancia</w:t>
      </w:r>
      <w:r w:rsidRPr="004E16B1">
        <w:rPr>
          <w:rFonts w:cs="Times New Roman"/>
          <w:i/>
          <w:iCs/>
          <w:sz w:val="22"/>
        </w:rPr>
        <w:t xml:space="preserve"> de que la aportación de datos personales a las Administraciones Públicas se endereza a la lógica consecución de prestaciones y servicios de interés común de los ciudadanos</w:t>
      </w:r>
      <w:r w:rsidR="0084753D">
        <w:rPr>
          <w:rStyle w:val="Refdenotaalpie"/>
          <w:rFonts w:cs="Times New Roman"/>
          <w:i/>
          <w:iCs/>
          <w:sz w:val="22"/>
        </w:rPr>
        <w:footnoteReference w:id="3"/>
      </w:r>
      <w:r w:rsidRPr="004E16B1">
        <w:rPr>
          <w:rFonts w:cs="Times New Roman"/>
          <w:sz w:val="22"/>
        </w:rPr>
        <w:t>.</w:t>
      </w:r>
      <w:r>
        <w:rPr>
          <w:rFonts w:cs="Times New Roman"/>
        </w:rPr>
        <w:t xml:space="preserve"> </w:t>
      </w:r>
    </w:p>
    <w:p w14:paraId="168BD157" w14:textId="77777777" w:rsidR="003B37B2" w:rsidRDefault="003B37B2" w:rsidP="003B37B2">
      <w:pPr>
        <w:spacing w:line="240" w:lineRule="auto"/>
        <w:jc w:val="both"/>
        <w:rPr>
          <w:rFonts w:cs="Times New Roman"/>
        </w:rPr>
      </w:pPr>
    </w:p>
    <w:p w14:paraId="0CEAA2D1" w14:textId="2FB84499" w:rsidR="003B37B2" w:rsidRDefault="000E33B8" w:rsidP="003B37B2">
      <w:pPr>
        <w:spacing w:line="240" w:lineRule="auto"/>
        <w:jc w:val="both"/>
        <w:rPr>
          <w:rFonts w:cs="Times New Roman"/>
        </w:rPr>
      </w:pPr>
      <w:r>
        <w:rPr>
          <w:rFonts w:cs="Times New Roman"/>
        </w:rPr>
        <w:t xml:space="preserve">Estas excepciones se encuentran recogidas en el artículo 8 de la Ley </w:t>
      </w:r>
      <w:r w:rsidR="00784677">
        <w:rPr>
          <w:rFonts w:cs="Times New Roman"/>
        </w:rPr>
        <w:t>N°.</w:t>
      </w:r>
      <w:r w:rsidR="00B37742">
        <w:rPr>
          <w:rFonts w:cs="Times New Roman"/>
        </w:rPr>
        <w:t>8968</w:t>
      </w:r>
      <w:r w:rsidR="00784677">
        <w:rPr>
          <w:rFonts w:cs="Times New Roman"/>
        </w:rPr>
        <w:t xml:space="preserve"> </w:t>
      </w:r>
      <w:r w:rsidR="003B37B2">
        <w:rPr>
          <w:rFonts w:cs="Times New Roman"/>
        </w:rPr>
        <w:t xml:space="preserve">y </w:t>
      </w:r>
      <w:r w:rsidR="00BC5105">
        <w:rPr>
          <w:rFonts w:cs="Times New Roman"/>
        </w:rPr>
        <w:t xml:space="preserve">una de ellas resulta aplicable a la Superintendencia de Pensiones.  </w:t>
      </w:r>
      <w:r w:rsidR="003B37B2">
        <w:rPr>
          <w:rFonts w:cs="Times New Roman"/>
        </w:rPr>
        <w:t xml:space="preserve">La </w:t>
      </w:r>
      <w:r w:rsidR="00906A7F">
        <w:rPr>
          <w:rFonts w:cs="Times New Roman"/>
        </w:rPr>
        <w:t xml:space="preserve">información sobre los afiliados con que cuenta </w:t>
      </w:r>
      <w:r w:rsidR="003B37B2">
        <w:rPr>
          <w:rFonts w:cs="Times New Roman"/>
        </w:rPr>
        <w:t>base de datos de afiliados de SUPEN no requiere consentimiento informado porque se utiliza únicamente para l</w:t>
      </w:r>
      <w:r w:rsidR="003B37B2" w:rsidRPr="003B0C15">
        <w:rPr>
          <w:rFonts w:cs="Times New Roman"/>
        </w:rPr>
        <w:t xml:space="preserve">a </w:t>
      </w:r>
      <w:r w:rsidR="003B37B2">
        <w:rPr>
          <w:rFonts w:cs="Times New Roman"/>
        </w:rPr>
        <w:t>“</w:t>
      </w:r>
      <w:r w:rsidR="003B37B2" w:rsidRPr="002D655E">
        <w:rPr>
          <w:rFonts w:cs="Times New Roman"/>
          <w:i/>
          <w:iCs/>
        </w:rPr>
        <w:t>eficaz actividad ordinaria de la Administración por parte de las autoridades oficiales</w:t>
      </w:r>
      <w:r w:rsidR="003B37B2">
        <w:rPr>
          <w:rFonts w:cs="Times New Roman"/>
        </w:rPr>
        <w:t>”</w:t>
      </w:r>
      <w:r w:rsidR="003B37B2" w:rsidRPr="002863D6">
        <w:rPr>
          <w:rFonts w:cs="Times New Roman"/>
        </w:rPr>
        <w:t xml:space="preserve"> </w:t>
      </w:r>
      <w:r w:rsidR="003B37B2">
        <w:rPr>
          <w:rFonts w:cs="Times New Roman"/>
        </w:rPr>
        <w:t xml:space="preserve">(inciso f). Los datos de acceso restringido de esa base de datos se utilizan </w:t>
      </w:r>
      <w:r w:rsidR="003B37B2" w:rsidRPr="003F0D9E">
        <w:rPr>
          <w:rFonts w:cs="Times New Roman"/>
          <w:b/>
          <w:bCs/>
        </w:rPr>
        <w:t xml:space="preserve">únicamente para fines </w:t>
      </w:r>
      <w:r w:rsidR="003B37B2">
        <w:rPr>
          <w:rFonts w:cs="Times New Roman"/>
          <w:b/>
          <w:bCs/>
        </w:rPr>
        <w:t xml:space="preserve">ordinarios </w:t>
      </w:r>
      <w:r w:rsidR="003B37B2" w:rsidRPr="003F0D9E">
        <w:rPr>
          <w:rFonts w:cs="Times New Roman"/>
          <w:b/>
          <w:bCs/>
        </w:rPr>
        <w:t xml:space="preserve">de </w:t>
      </w:r>
      <w:r w:rsidR="003B37B2">
        <w:rPr>
          <w:rFonts w:cs="Times New Roman"/>
          <w:b/>
          <w:bCs/>
        </w:rPr>
        <w:t xml:space="preserve">la </w:t>
      </w:r>
      <w:r w:rsidR="003B37B2" w:rsidRPr="003F0D9E">
        <w:rPr>
          <w:rFonts w:cs="Times New Roman"/>
          <w:b/>
          <w:bCs/>
        </w:rPr>
        <w:t>supervisión</w:t>
      </w:r>
      <w:r w:rsidR="008330C0">
        <w:rPr>
          <w:rStyle w:val="Refdenotaalpie"/>
          <w:rFonts w:cs="Times New Roman"/>
        </w:rPr>
        <w:footnoteReference w:id="4"/>
      </w:r>
      <w:r w:rsidR="003B37B2">
        <w:rPr>
          <w:rFonts w:cs="Times New Roman"/>
        </w:rPr>
        <w:t>. Por ejemplo, para verificar la correcta y oportuna acreditación de los recursos, el otorgamiento de los beneficios y la atención de las consultas y denuncias de los afiliados.</w:t>
      </w:r>
      <w:r w:rsidR="00EE6301">
        <w:rPr>
          <w:rFonts w:cs="Times New Roman"/>
        </w:rPr>
        <w:t xml:space="preserve"> </w:t>
      </w:r>
      <w:r w:rsidR="003B37B2">
        <w:rPr>
          <w:rFonts w:cs="Times New Roman"/>
        </w:rPr>
        <w:t>Sin embargo,</w:t>
      </w:r>
      <w:r w:rsidR="00C143AC">
        <w:rPr>
          <w:rFonts w:cs="Times New Roman"/>
        </w:rPr>
        <w:t xml:space="preserve"> esta Superintendencia </w:t>
      </w:r>
      <w:r w:rsidR="003B37B2">
        <w:rPr>
          <w:rFonts w:cs="Times New Roman"/>
        </w:rPr>
        <w:t xml:space="preserve">no puede divulgarlos </w:t>
      </w:r>
      <w:r w:rsidR="001206DC">
        <w:rPr>
          <w:rFonts w:cs="Times New Roman"/>
        </w:rPr>
        <w:t xml:space="preserve">públicamente </w:t>
      </w:r>
      <w:r w:rsidR="003B37B2">
        <w:rPr>
          <w:rFonts w:cs="Times New Roman"/>
        </w:rPr>
        <w:t xml:space="preserve">en ninguna circunstancia, porque respecto a ellos tiene un deber de </w:t>
      </w:r>
      <w:r w:rsidR="003B37B2" w:rsidRPr="00E64788">
        <w:rPr>
          <w:rFonts w:cs="Times New Roman"/>
          <w:i/>
          <w:iCs/>
        </w:rPr>
        <w:t>confidencialidad</w:t>
      </w:r>
      <w:r w:rsidR="003B37B2">
        <w:rPr>
          <w:rFonts w:cs="Times New Roman"/>
        </w:rPr>
        <w:t>.</w:t>
      </w:r>
    </w:p>
    <w:p w14:paraId="2074E5D9" w14:textId="77777777" w:rsidR="003B37B2" w:rsidRDefault="003B37B2" w:rsidP="003B37B2">
      <w:pPr>
        <w:spacing w:line="240" w:lineRule="auto"/>
        <w:jc w:val="both"/>
        <w:rPr>
          <w:rFonts w:cs="Times New Roman"/>
        </w:rPr>
      </w:pPr>
    </w:p>
    <w:p w14:paraId="3FA278F8" w14:textId="1756CB35" w:rsidR="003B37B2" w:rsidRPr="001F30FE" w:rsidRDefault="003B37B2" w:rsidP="003B37B2">
      <w:pPr>
        <w:spacing w:line="240" w:lineRule="auto"/>
        <w:jc w:val="both"/>
        <w:rPr>
          <w:rFonts w:cs="Times New Roman"/>
        </w:rPr>
      </w:pPr>
      <w:r>
        <w:rPr>
          <w:rFonts w:cs="Times New Roman"/>
        </w:rPr>
        <w:t>Al respecto, el</w:t>
      </w:r>
      <w:r w:rsidRPr="001F30FE">
        <w:rPr>
          <w:rFonts w:cs="Times New Roman"/>
        </w:rPr>
        <w:t xml:space="preserve"> artículo 67 de la Ley de Protección al Trabajador</w:t>
      </w:r>
      <w:r>
        <w:rPr>
          <w:rFonts w:cs="Times New Roman"/>
        </w:rPr>
        <w:t xml:space="preserve"> dispone</w:t>
      </w:r>
      <w:r w:rsidRPr="001F30FE">
        <w:rPr>
          <w:rFonts w:cs="Times New Roman"/>
        </w:rPr>
        <w:t xml:space="preserve">: </w:t>
      </w:r>
    </w:p>
    <w:p w14:paraId="57079257" w14:textId="77777777" w:rsidR="003B37B2" w:rsidRPr="001F30FE" w:rsidRDefault="003B37B2" w:rsidP="003B37B2">
      <w:pPr>
        <w:spacing w:line="240" w:lineRule="auto"/>
        <w:jc w:val="both"/>
        <w:rPr>
          <w:rFonts w:cs="Times New Roman"/>
        </w:rPr>
      </w:pPr>
    </w:p>
    <w:p w14:paraId="5886020C" w14:textId="77777777" w:rsidR="003B37B2" w:rsidRPr="001206DC" w:rsidRDefault="003B37B2" w:rsidP="003B37B2">
      <w:pPr>
        <w:spacing w:line="240" w:lineRule="auto"/>
        <w:ind w:left="708"/>
        <w:jc w:val="both"/>
        <w:rPr>
          <w:rFonts w:cs="Times New Roman"/>
          <w:i/>
          <w:iCs/>
          <w:sz w:val="22"/>
        </w:rPr>
      </w:pPr>
      <w:r w:rsidRPr="001206DC">
        <w:rPr>
          <w:rFonts w:cs="Times New Roman"/>
          <w:i/>
          <w:iCs/>
          <w:sz w:val="22"/>
        </w:rPr>
        <w:t>Artículo 67. Confidencialidad de la información</w:t>
      </w:r>
    </w:p>
    <w:p w14:paraId="28097C86" w14:textId="77777777" w:rsidR="003B37B2" w:rsidRPr="001206DC" w:rsidRDefault="003B37B2" w:rsidP="003B37B2">
      <w:pPr>
        <w:spacing w:line="240" w:lineRule="auto"/>
        <w:ind w:left="708"/>
        <w:jc w:val="both"/>
        <w:rPr>
          <w:rFonts w:cs="Times New Roman"/>
          <w:i/>
          <w:iCs/>
          <w:sz w:val="22"/>
        </w:rPr>
      </w:pPr>
      <w:r w:rsidRPr="001206DC">
        <w:rPr>
          <w:rFonts w:cs="Times New Roman"/>
          <w:i/>
          <w:iCs/>
          <w:sz w:val="22"/>
        </w:rPr>
        <w:t>[…]</w:t>
      </w:r>
    </w:p>
    <w:p w14:paraId="0EFAE551" w14:textId="7C6605DD" w:rsidR="003B37B2" w:rsidRDefault="003B37B2" w:rsidP="003B37B2">
      <w:pPr>
        <w:spacing w:line="240" w:lineRule="auto"/>
        <w:ind w:left="708"/>
        <w:jc w:val="both"/>
        <w:rPr>
          <w:rFonts w:cs="Times New Roman"/>
        </w:rPr>
      </w:pPr>
      <w:r w:rsidRPr="001206DC">
        <w:rPr>
          <w:rFonts w:cs="Times New Roman"/>
          <w:b/>
          <w:bCs/>
          <w:i/>
          <w:iCs/>
          <w:sz w:val="22"/>
        </w:rPr>
        <w:t>Ninguna información</w:t>
      </w:r>
      <w:r w:rsidRPr="001206DC">
        <w:rPr>
          <w:rFonts w:cs="Times New Roman"/>
          <w:i/>
          <w:iCs/>
          <w:sz w:val="22"/>
        </w:rPr>
        <w:t xml:space="preserve"> registrada en las cuentas individuales podrá ser suministrada a terceros, excepto en los casos previstos en esta Ley.</w:t>
      </w:r>
      <w:r w:rsidRPr="001F30FE">
        <w:rPr>
          <w:rFonts w:cs="Times New Roman"/>
        </w:rPr>
        <w:t xml:space="preserve"> </w:t>
      </w:r>
      <w:r w:rsidR="001206DC">
        <w:rPr>
          <w:rFonts w:cs="Times New Roman"/>
        </w:rPr>
        <w:t>[</w:t>
      </w:r>
      <w:r w:rsidRPr="001F30FE">
        <w:rPr>
          <w:rFonts w:cs="Times New Roman"/>
        </w:rPr>
        <w:t>El resaltado no es del original</w:t>
      </w:r>
      <w:r w:rsidR="001206DC">
        <w:rPr>
          <w:rFonts w:cs="Times New Roman"/>
        </w:rPr>
        <w:t>]</w:t>
      </w:r>
      <w:r w:rsidRPr="001F30FE">
        <w:rPr>
          <w:rFonts w:cs="Times New Roman"/>
        </w:rPr>
        <w:t>.</w:t>
      </w:r>
    </w:p>
    <w:p w14:paraId="4A3C1696" w14:textId="77777777" w:rsidR="003B37B2" w:rsidRDefault="003B37B2" w:rsidP="003B37B2">
      <w:pPr>
        <w:spacing w:line="240" w:lineRule="auto"/>
        <w:ind w:left="708"/>
        <w:jc w:val="both"/>
        <w:rPr>
          <w:rFonts w:cs="Times New Roman"/>
        </w:rPr>
      </w:pPr>
    </w:p>
    <w:p w14:paraId="7E3B613D" w14:textId="77777777" w:rsidR="003B37B2" w:rsidRDefault="003B37B2" w:rsidP="003B37B2">
      <w:pPr>
        <w:spacing w:line="240" w:lineRule="auto"/>
        <w:jc w:val="both"/>
        <w:rPr>
          <w:rFonts w:cs="Times New Roman"/>
        </w:rPr>
      </w:pPr>
      <w:r>
        <w:rPr>
          <w:rFonts w:cs="Times New Roman"/>
        </w:rPr>
        <w:t>La Procuraduría General de la República sobre este deber ha señalado:</w:t>
      </w:r>
    </w:p>
    <w:p w14:paraId="470E5ED1" w14:textId="77777777" w:rsidR="003B37B2" w:rsidRDefault="003B37B2" w:rsidP="003B37B2">
      <w:pPr>
        <w:spacing w:line="240" w:lineRule="auto"/>
        <w:jc w:val="both"/>
        <w:rPr>
          <w:rFonts w:cs="Times New Roman"/>
        </w:rPr>
      </w:pPr>
    </w:p>
    <w:p w14:paraId="0D5842EF" w14:textId="430B8511" w:rsidR="003B37B2" w:rsidRPr="00501546" w:rsidRDefault="003B37B2" w:rsidP="001206DC">
      <w:pPr>
        <w:spacing w:line="240" w:lineRule="auto"/>
        <w:ind w:left="284"/>
        <w:jc w:val="both"/>
        <w:rPr>
          <w:rFonts w:cs="Times New Roman"/>
        </w:rPr>
      </w:pPr>
      <w:r w:rsidRPr="001206DC">
        <w:rPr>
          <w:rFonts w:cs="Times New Roman"/>
          <w:i/>
          <w:iCs/>
          <w:sz w:val="22"/>
        </w:rPr>
        <w:t>El efecto propio del deber de confidencialidad es la prohibición de que la información sea suministrada a terceros sin el consentimiento del derecho habiente o bien, fuera de los supuestos en que el ordenamiento lo establece para satisfacción de un interés público. El fundamento de esta prohibición radica, precisamente, en el carácter privado de la información, carácter que no se pierde por el hecho de que la información sea accedida por la Administración en los supuestos en que constitucionalmente es posible. El dato o información confidencial una vez recabado no puede ser utilizado para fines y condiciones distintas a aquéllas por las que se recabó, salvo norma en contrario. El carácter privado de la información se protege a través de esa calificación. En ese sentido, la confidencialidad es una garantía ante el suministro, voluntario o impuesto por el ordenamiento como es el caso de la materia tributaria, de información a un tercero. La confidencialidad puede, entonces, ser analizada como un deber de reserva para la autoridad administrativa.</w:t>
      </w:r>
      <w:r w:rsidRPr="000F37EE">
        <w:rPr>
          <w:rFonts w:cs="Times New Roman"/>
          <w:i/>
          <w:iCs/>
        </w:rPr>
        <w:t xml:space="preserve"> </w:t>
      </w:r>
      <w:r w:rsidR="001206DC">
        <w:rPr>
          <w:rFonts w:cs="Times New Roman"/>
        </w:rPr>
        <w:t xml:space="preserve">[dictamen </w:t>
      </w:r>
      <w:r w:rsidRPr="00501546">
        <w:rPr>
          <w:rFonts w:cs="Times New Roman"/>
        </w:rPr>
        <w:t>C-127-2012</w:t>
      </w:r>
      <w:r w:rsidR="001206DC">
        <w:rPr>
          <w:rFonts w:cs="Times New Roman"/>
        </w:rPr>
        <w:t xml:space="preserve">]. </w:t>
      </w:r>
    </w:p>
    <w:p w14:paraId="0E0C777C" w14:textId="77777777" w:rsidR="003B37B2" w:rsidRDefault="003B37B2" w:rsidP="007D59B9">
      <w:pPr>
        <w:spacing w:line="240" w:lineRule="auto"/>
        <w:jc w:val="both"/>
        <w:rPr>
          <w:rFonts w:cs="Times New Roman"/>
        </w:rPr>
      </w:pPr>
    </w:p>
    <w:p w14:paraId="348B1E24" w14:textId="3A5981E4" w:rsidR="00DB6E2F" w:rsidRPr="006A2224" w:rsidRDefault="00DB6E2F" w:rsidP="007D59B9">
      <w:pPr>
        <w:pStyle w:val="Prrafodelista"/>
        <w:numPr>
          <w:ilvl w:val="0"/>
          <w:numId w:val="3"/>
        </w:numPr>
        <w:spacing w:after="0" w:line="240" w:lineRule="auto"/>
        <w:jc w:val="both"/>
        <w:rPr>
          <w:rFonts w:ascii="Times New Roman" w:hAnsi="Times New Roman" w:cs="Times New Roman"/>
          <w:sz w:val="24"/>
          <w:szCs w:val="24"/>
        </w:rPr>
      </w:pPr>
      <w:r w:rsidRPr="006A2224">
        <w:rPr>
          <w:rFonts w:ascii="Times New Roman" w:hAnsi="Times New Roman" w:cs="Times New Roman"/>
          <w:sz w:val="24"/>
          <w:szCs w:val="24"/>
        </w:rPr>
        <w:t xml:space="preserve">Sobre </w:t>
      </w:r>
      <w:r w:rsidR="007D59B9">
        <w:rPr>
          <w:rFonts w:ascii="Times New Roman" w:hAnsi="Times New Roman" w:cs="Times New Roman"/>
          <w:sz w:val="24"/>
          <w:szCs w:val="24"/>
        </w:rPr>
        <w:t>la</w:t>
      </w:r>
      <w:r w:rsidR="006A2224" w:rsidRPr="006A2224">
        <w:rPr>
          <w:rFonts w:ascii="Times New Roman" w:hAnsi="Times New Roman" w:cs="Times New Roman"/>
          <w:sz w:val="24"/>
          <w:szCs w:val="24"/>
        </w:rPr>
        <w:t xml:space="preserve"> consulta </w:t>
      </w:r>
      <w:r w:rsidR="0079594C" w:rsidRPr="0079594C">
        <w:rPr>
          <w:rFonts w:ascii="Times New Roman" w:hAnsi="Times New Roman" w:cs="Times New Roman"/>
          <w:sz w:val="24"/>
          <w:szCs w:val="24"/>
        </w:rPr>
        <w:t xml:space="preserve">pública para facilitar a las personas conocer la operadora de pensiones </w:t>
      </w:r>
      <w:r w:rsidR="00AD007D">
        <w:rPr>
          <w:rFonts w:ascii="Times New Roman" w:hAnsi="Times New Roman" w:cs="Times New Roman"/>
          <w:sz w:val="24"/>
          <w:szCs w:val="24"/>
        </w:rPr>
        <w:t xml:space="preserve">que administra su </w:t>
      </w:r>
      <w:r w:rsidR="0079594C" w:rsidRPr="0079594C">
        <w:rPr>
          <w:rFonts w:ascii="Times New Roman" w:hAnsi="Times New Roman" w:cs="Times New Roman"/>
          <w:sz w:val="24"/>
          <w:szCs w:val="24"/>
        </w:rPr>
        <w:t>FCL</w:t>
      </w:r>
    </w:p>
    <w:p w14:paraId="23F74299" w14:textId="77777777" w:rsidR="00DB6E2F" w:rsidRDefault="00DB6E2F" w:rsidP="007D59B9">
      <w:pPr>
        <w:spacing w:line="240" w:lineRule="auto"/>
        <w:jc w:val="both"/>
        <w:rPr>
          <w:rFonts w:cs="Times New Roman"/>
        </w:rPr>
      </w:pPr>
    </w:p>
    <w:p w14:paraId="0F508D6B" w14:textId="5384AD40" w:rsidR="003B37B2" w:rsidRDefault="003B37B2" w:rsidP="003B37B2">
      <w:pPr>
        <w:spacing w:line="240" w:lineRule="auto"/>
        <w:jc w:val="both"/>
        <w:rPr>
          <w:rFonts w:cs="Times New Roman"/>
        </w:rPr>
      </w:pPr>
      <w:r>
        <w:rPr>
          <w:rFonts w:cs="Times New Roman"/>
        </w:rPr>
        <w:t>En el caso de la consulta que se puso a disposición del público en la página web de SUPEN, únicamente se requirió el número de cédula para divulgar la operadora de pensiones a la cual se encuentra afiliado el trabajador.  Como es sabido</w:t>
      </w:r>
      <w:r w:rsidR="00C75F97">
        <w:rPr>
          <w:rFonts w:cs="Times New Roman"/>
        </w:rPr>
        <w:t>,</w:t>
      </w:r>
      <w:r>
        <w:rPr>
          <w:rFonts w:cs="Times New Roman"/>
        </w:rPr>
        <w:t xml:space="preserve"> en Costa Rica los datos de identificación de las personas (número de cédula) ha</w:t>
      </w:r>
      <w:r w:rsidR="00C75F97">
        <w:rPr>
          <w:rFonts w:cs="Times New Roman"/>
        </w:rPr>
        <w:t>n</w:t>
      </w:r>
      <w:r>
        <w:rPr>
          <w:rFonts w:cs="Times New Roman"/>
        </w:rPr>
        <w:t xml:space="preserve"> sido pues</w:t>
      </w:r>
      <w:r w:rsidR="00C75F97">
        <w:rPr>
          <w:rFonts w:cs="Times New Roman"/>
        </w:rPr>
        <w:t>tos</w:t>
      </w:r>
      <w:r>
        <w:rPr>
          <w:rFonts w:cs="Times New Roman"/>
        </w:rPr>
        <w:t xml:space="preserve"> en forma irrestricta en la página web del Tribunal Supremo de Elecciones, por lo tanto, cualquier persona pudo haber tenido acceso a los números de identificación y así a la información de afiliación del trabajador. </w:t>
      </w:r>
    </w:p>
    <w:p w14:paraId="204DEC48" w14:textId="77777777" w:rsidR="003B37B2" w:rsidRDefault="003B37B2" w:rsidP="003B37B2">
      <w:pPr>
        <w:spacing w:line="240" w:lineRule="auto"/>
        <w:jc w:val="both"/>
        <w:rPr>
          <w:rFonts w:cs="Times New Roman"/>
        </w:rPr>
      </w:pPr>
    </w:p>
    <w:p w14:paraId="686E58A6" w14:textId="77777777" w:rsidR="003B37B2" w:rsidRDefault="003B37B2" w:rsidP="003B37B2">
      <w:pPr>
        <w:spacing w:line="240" w:lineRule="auto"/>
        <w:jc w:val="both"/>
        <w:rPr>
          <w:rFonts w:cs="Times New Roman"/>
        </w:rPr>
      </w:pPr>
      <w:r>
        <w:rPr>
          <w:rFonts w:cs="Times New Roman"/>
        </w:rPr>
        <w:t>Como antecedente, se trae a colación un voto de la Sala Constitucional que advirtió:</w:t>
      </w:r>
    </w:p>
    <w:p w14:paraId="6C4BD7FB" w14:textId="77777777" w:rsidR="003B37B2" w:rsidRDefault="003B37B2" w:rsidP="003B37B2">
      <w:pPr>
        <w:spacing w:line="240" w:lineRule="auto"/>
        <w:jc w:val="both"/>
        <w:rPr>
          <w:rFonts w:cs="Times New Roman"/>
        </w:rPr>
      </w:pPr>
    </w:p>
    <w:p w14:paraId="34A9A5CE" w14:textId="77777777" w:rsidR="003B37B2" w:rsidRDefault="003B37B2" w:rsidP="00DB6E2F">
      <w:pPr>
        <w:spacing w:line="240" w:lineRule="auto"/>
        <w:ind w:left="284"/>
        <w:jc w:val="both"/>
        <w:rPr>
          <w:rFonts w:cs="Times New Roman"/>
        </w:rPr>
      </w:pPr>
      <w:r w:rsidRPr="00DB6E2F">
        <w:rPr>
          <w:rFonts w:cs="Times New Roman"/>
          <w:i/>
          <w:iCs/>
          <w:sz w:val="22"/>
        </w:rPr>
        <w:t>En razón del riesgo a la intimidad o actividad privada del individuo que ello conlleva, deviene necesario velar por la defensa de la libertad e igualdad del mismo, con respecto al tratamiento automatizado o manual de los datos correspondientes a su persona, al estar incluidos, en bases de datos, o aplicaciones de organismos públicos o privados, por lo que existe el derecho a imponer sanciones cuando estas son transgredidas y difundidas sin el consentimiento de la persona. De modo, que en el sublite, el acceso libre a la aplicación bajo estudio del Poder Judicial, que en sí es una base de datos electrónica, por parte de cualquier ciudadano, únicamente con el simple hecho de digitar un número de cédula, si bien puede ser parte al derecho a la información para conocer si existe en su contra un impedimento de salida del país decretado por un despacho judicial, lo cierto es que deja en descubierto y de acceso abierto, para cualquier persona, aquellos datos relacionados con la intimidad de los sujetos involucrados en los procesos alimentarios allí anotados.</w:t>
      </w:r>
      <w:r>
        <w:rPr>
          <w:rFonts w:cs="Times New Roman"/>
        </w:rPr>
        <w:t xml:space="preserve"> (Voto 1753-2017).</w:t>
      </w:r>
    </w:p>
    <w:p w14:paraId="6B4A9FC8" w14:textId="77777777" w:rsidR="003B37B2" w:rsidRDefault="003B37B2" w:rsidP="003B37B2">
      <w:pPr>
        <w:spacing w:line="240" w:lineRule="auto"/>
        <w:jc w:val="both"/>
        <w:rPr>
          <w:rFonts w:cs="Times New Roman"/>
        </w:rPr>
      </w:pPr>
    </w:p>
    <w:p w14:paraId="28E0B498" w14:textId="77777777" w:rsidR="003B37B2" w:rsidRPr="00E26CF0" w:rsidRDefault="003B37B2" w:rsidP="003B37B2">
      <w:pPr>
        <w:spacing w:line="240" w:lineRule="auto"/>
        <w:jc w:val="both"/>
        <w:rPr>
          <w:rFonts w:cs="Times New Roman"/>
        </w:rPr>
      </w:pPr>
      <w:r>
        <w:rPr>
          <w:rFonts w:cs="Times New Roman"/>
        </w:rPr>
        <w:lastRenderedPageBreak/>
        <w:t>Este antecedente es bastante claro en cuanto a la importancia de resguardar la confidencialidad que mantienen las administraciones públicas respecto a los datos personales de los administrados y su tratamiento.</w:t>
      </w:r>
    </w:p>
    <w:p w14:paraId="487FA814" w14:textId="77777777" w:rsidR="00EE6301" w:rsidRDefault="00EE6301" w:rsidP="00EE6301">
      <w:pPr>
        <w:pStyle w:val="Prrafodelista"/>
        <w:spacing w:after="0" w:line="240" w:lineRule="auto"/>
        <w:jc w:val="both"/>
        <w:rPr>
          <w:rFonts w:ascii="Times New Roman" w:hAnsi="Times New Roman" w:cs="Times New Roman"/>
          <w:b/>
          <w:bCs/>
          <w:sz w:val="24"/>
        </w:rPr>
      </w:pPr>
    </w:p>
    <w:p w14:paraId="057518F6" w14:textId="5D7ABBB3" w:rsidR="003B37B2" w:rsidRPr="00032E5B" w:rsidRDefault="003B37B2" w:rsidP="003B37B2">
      <w:pPr>
        <w:pStyle w:val="Prrafodelista"/>
        <w:numPr>
          <w:ilvl w:val="0"/>
          <w:numId w:val="1"/>
        </w:numPr>
        <w:spacing w:after="0" w:line="240" w:lineRule="auto"/>
        <w:jc w:val="both"/>
        <w:rPr>
          <w:rFonts w:ascii="Times New Roman" w:hAnsi="Times New Roman" w:cs="Times New Roman"/>
          <w:b/>
          <w:bCs/>
          <w:sz w:val="24"/>
        </w:rPr>
      </w:pPr>
      <w:r w:rsidRPr="00032E5B">
        <w:rPr>
          <w:rFonts w:ascii="Times New Roman" w:hAnsi="Times New Roman" w:cs="Times New Roman"/>
          <w:b/>
          <w:bCs/>
          <w:sz w:val="24"/>
        </w:rPr>
        <w:t>Conclusiones</w:t>
      </w:r>
    </w:p>
    <w:p w14:paraId="784B3702" w14:textId="77777777" w:rsidR="003B37B2" w:rsidRDefault="003B37B2" w:rsidP="003B37B2">
      <w:pPr>
        <w:spacing w:line="240" w:lineRule="auto"/>
        <w:jc w:val="both"/>
        <w:rPr>
          <w:rFonts w:cs="Times New Roman"/>
        </w:rPr>
      </w:pPr>
    </w:p>
    <w:p w14:paraId="788A36EB" w14:textId="0AD07C28" w:rsidR="003B37B2" w:rsidRDefault="003B37B2" w:rsidP="003B37B2">
      <w:pPr>
        <w:spacing w:line="240" w:lineRule="auto"/>
        <w:jc w:val="both"/>
        <w:rPr>
          <w:rFonts w:cs="Times New Roman"/>
        </w:rPr>
      </w:pPr>
      <w:r>
        <w:rPr>
          <w:rFonts w:cs="Times New Roman"/>
        </w:rPr>
        <w:t>Los datos personales de</w:t>
      </w:r>
      <w:r w:rsidR="00093057">
        <w:rPr>
          <w:rFonts w:cs="Times New Roman"/>
        </w:rPr>
        <w:t xml:space="preserve"> </w:t>
      </w:r>
      <w:r>
        <w:rPr>
          <w:rFonts w:cs="Times New Roman"/>
        </w:rPr>
        <w:t>l</w:t>
      </w:r>
      <w:r w:rsidR="00093057">
        <w:rPr>
          <w:rFonts w:cs="Times New Roman"/>
        </w:rPr>
        <w:t>os afiliados con que cuenta el</w:t>
      </w:r>
      <w:r>
        <w:rPr>
          <w:rFonts w:cs="Times New Roman"/>
        </w:rPr>
        <w:t xml:space="preserve"> SICERE y </w:t>
      </w:r>
      <w:r w:rsidR="00540362">
        <w:rPr>
          <w:rFonts w:cs="Times New Roman"/>
        </w:rPr>
        <w:t xml:space="preserve">la Superintendencia de Pensiones </w:t>
      </w:r>
      <w:r>
        <w:rPr>
          <w:rFonts w:cs="Times New Roman"/>
        </w:rPr>
        <w:t>son datos de acceso restringido.  En el caso de esta última, no pueden ser divulgados ya que solo pueden ser utilizados para la supervisión que ejerce en el marco de sus competencias.</w:t>
      </w:r>
    </w:p>
    <w:p w14:paraId="6969C47D" w14:textId="77777777" w:rsidR="003B37B2" w:rsidRDefault="003B37B2" w:rsidP="003B37B2">
      <w:pPr>
        <w:spacing w:line="240" w:lineRule="auto"/>
        <w:jc w:val="both"/>
        <w:rPr>
          <w:rFonts w:cs="Times New Roman"/>
        </w:rPr>
      </w:pPr>
    </w:p>
    <w:p w14:paraId="7E913B21" w14:textId="77777777" w:rsidR="003B37B2" w:rsidRPr="00885C09" w:rsidRDefault="003B37B2" w:rsidP="003B37B2">
      <w:pPr>
        <w:spacing w:line="240" w:lineRule="auto"/>
        <w:jc w:val="both"/>
        <w:rPr>
          <w:rFonts w:cs="Times New Roman"/>
        </w:rPr>
      </w:pPr>
      <w:r w:rsidRPr="00885C09">
        <w:rPr>
          <w:rFonts w:cs="Times New Roman"/>
        </w:rPr>
        <w:t>Atentamente,</w:t>
      </w:r>
    </w:p>
    <w:p w14:paraId="249650C9" w14:textId="77777777" w:rsidR="003B37B2" w:rsidRPr="00885C09" w:rsidRDefault="003B37B2" w:rsidP="003B37B2">
      <w:pPr>
        <w:spacing w:line="240" w:lineRule="auto"/>
        <w:jc w:val="both"/>
        <w:rPr>
          <w:rFonts w:cs="Times New Roman"/>
        </w:rPr>
      </w:pPr>
    </w:p>
    <w:p w14:paraId="35A5E2CC" w14:textId="46455703" w:rsidR="003B37B2" w:rsidRDefault="007C56FC" w:rsidP="003B37B2">
      <w:pPr>
        <w:spacing w:line="240" w:lineRule="auto"/>
        <w:jc w:val="both"/>
        <w:rPr>
          <w:rFonts w:cs="Times New Roman"/>
        </w:rPr>
      </w:pPr>
      <w:r w:rsidRPr="007C56FC">
        <w:drawing>
          <wp:inline distT="0" distB="0" distL="0" distR="0" wp14:anchorId="7537A3EC" wp14:editId="71B4E5D3">
            <wp:extent cx="1043623" cy="90487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9535" cy="910001"/>
                    </a:xfrm>
                    <a:prstGeom prst="rect">
                      <a:avLst/>
                    </a:prstGeom>
                  </pic:spPr>
                </pic:pic>
              </a:graphicData>
            </a:graphic>
          </wp:inline>
        </w:drawing>
      </w:r>
      <w:r>
        <w:rPr>
          <w:rFonts w:cs="Times New Roman"/>
        </w:rPr>
        <w:tab/>
      </w:r>
      <w:r>
        <w:rPr>
          <w:rFonts w:cs="Times New Roman"/>
        </w:rPr>
        <w:tab/>
      </w:r>
      <w:r>
        <w:rPr>
          <w:rFonts w:cs="Times New Roman"/>
        </w:rPr>
        <w:tab/>
      </w:r>
      <w:r>
        <w:rPr>
          <w:rFonts w:cs="Times New Roman"/>
        </w:rPr>
        <w:tab/>
      </w:r>
      <w:r>
        <w:rPr>
          <w:rFonts w:cs="Times New Roman"/>
        </w:rPr>
        <w:tab/>
      </w:r>
      <w:r w:rsidRPr="007C56FC">
        <w:drawing>
          <wp:inline distT="0" distB="0" distL="0" distR="0" wp14:anchorId="6D27DF62" wp14:editId="2DB1B5E1">
            <wp:extent cx="1133475" cy="714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33475" cy="714375"/>
                    </a:xfrm>
                    <a:prstGeom prst="rect">
                      <a:avLst/>
                    </a:prstGeom>
                  </pic:spPr>
                </pic:pic>
              </a:graphicData>
            </a:graphic>
          </wp:inline>
        </w:drawing>
      </w:r>
    </w:p>
    <w:p w14:paraId="37FA734B" w14:textId="77777777" w:rsidR="003B37B2" w:rsidRPr="00885C09" w:rsidRDefault="003B37B2" w:rsidP="003B37B2">
      <w:pPr>
        <w:spacing w:line="240" w:lineRule="auto"/>
        <w:jc w:val="both"/>
        <w:rPr>
          <w:rFonts w:cs="Times New Roman"/>
        </w:rPr>
      </w:pPr>
      <w:r w:rsidRPr="00885C09">
        <w:rPr>
          <w:rFonts w:cs="Times New Roman"/>
        </w:rPr>
        <w:t>Realizado por: Jenory Díaz Molina                         Aprobado por:  Nelly Vargas Hernández</w:t>
      </w:r>
    </w:p>
    <w:p w14:paraId="1E25CD27" w14:textId="77777777" w:rsidR="003B37B2" w:rsidRPr="00885C09" w:rsidRDefault="003B37B2" w:rsidP="003B37B2">
      <w:pPr>
        <w:spacing w:line="240" w:lineRule="auto"/>
        <w:jc w:val="both"/>
        <w:rPr>
          <w:rFonts w:cs="Times New Roman"/>
        </w:rPr>
      </w:pPr>
      <w:r w:rsidRPr="00885C09">
        <w:rPr>
          <w:rFonts w:cs="Times New Roman"/>
        </w:rPr>
        <w:t>Coordinadora                                                           Directora</w:t>
      </w:r>
    </w:p>
    <w:p w14:paraId="2B3C20E5" w14:textId="77777777" w:rsidR="003B37B2" w:rsidRPr="00885C09" w:rsidRDefault="003B37B2" w:rsidP="003B37B2">
      <w:pPr>
        <w:spacing w:line="240" w:lineRule="auto"/>
        <w:jc w:val="both"/>
        <w:rPr>
          <w:rFonts w:cs="Times New Roman"/>
        </w:rPr>
      </w:pPr>
    </w:p>
    <w:p w14:paraId="3CC6AEDC" w14:textId="5F61ED6D" w:rsidR="003B37B2" w:rsidRPr="00032E5B" w:rsidRDefault="003B37B2" w:rsidP="003B37B2">
      <w:pPr>
        <w:spacing w:line="240" w:lineRule="auto"/>
        <w:jc w:val="center"/>
        <w:rPr>
          <w:rFonts w:cs="Times New Roman"/>
          <w:b/>
          <w:bCs/>
          <w:i/>
          <w:iCs/>
        </w:rPr>
      </w:pPr>
      <w:r w:rsidRPr="00032E5B">
        <w:rPr>
          <w:rFonts w:cs="Times New Roman"/>
          <w:b/>
          <w:bCs/>
          <w:i/>
          <w:iCs/>
        </w:rPr>
        <w:t xml:space="preserve">División </w:t>
      </w:r>
      <w:r w:rsidR="00032E5B" w:rsidRPr="00032E5B">
        <w:rPr>
          <w:rFonts w:cs="Times New Roman"/>
          <w:b/>
          <w:bCs/>
          <w:i/>
          <w:iCs/>
        </w:rPr>
        <w:t xml:space="preserve">Asesoría </w:t>
      </w:r>
      <w:r w:rsidRPr="00032E5B">
        <w:rPr>
          <w:rFonts w:cs="Times New Roman"/>
          <w:b/>
          <w:bCs/>
          <w:i/>
          <w:iCs/>
        </w:rPr>
        <w:t>Jurídica</w:t>
      </w:r>
    </w:p>
    <w:p w14:paraId="2D2EF435" w14:textId="77777777" w:rsidR="003B37B2" w:rsidRDefault="003B37B2" w:rsidP="003B37B2">
      <w:pPr>
        <w:spacing w:line="240" w:lineRule="auto"/>
        <w:jc w:val="both"/>
        <w:rPr>
          <w:rFonts w:cs="Times New Roman"/>
        </w:rPr>
      </w:pPr>
    </w:p>
    <w:p w14:paraId="7D5B5743" w14:textId="77777777" w:rsidR="003B37B2" w:rsidRPr="00F533AF" w:rsidRDefault="003B37B2" w:rsidP="003B37B2">
      <w:pPr>
        <w:spacing w:line="240" w:lineRule="auto"/>
        <w:jc w:val="both"/>
        <w:rPr>
          <w:rFonts w:cs="Times New Roman"/>
        </w:rPr>
      </w:pPr>
    </w:p>
    <w:p w14:paraId="342FA684" w14:textId="77777777" w:rsidR="00DE615E" w:rsidRDefault="00DE615E" w:rsidP="00DE615E">
      <w:pPr>
        <w:spacing w:line="276" w:lineRule="auto"/>
        <w:rPr>
          <w:sz w:val="20"/>
        </w:rPr>
      </w:pPr>
      <w:r w:rsidRPr="00677905">
        <w:rPr>
          <w:sz w:val="20"/>
        </w:rPr>
        <w:tab/>
      </w:r>
    </w:p>
    <w:p w14:paraId="2313F57D" w14:textId="77777777" w:rsidR="00DE615E" w:rsidRPr="008670F5" w:rsidRDefault="00DE615E" w:rsidP="00DE615E">
      <w:pPr>
        <w:spacing w:line="276" w:lineRule="auto"/>
        <w:rPr>
          <w:szCs w:val="24"/>
        </w:rPr>
      </w:pPr>
    </w:p>
    <w:sectPr w:rsidR="00DE615E" w:rsidRPr="008670F5" w:rsidSect="00D029E6">
      <w:headerReference w:type="even" r:id="rId15"/>
      <w:headerReference w:type="default" r:id="rId16"/>
      <w:footerReference w:type="even" r:id="rId17"/>
      <w:footerReference w:type="default" r:id="rId18"/>
      <w:headerReference w:type="first" r:id="rId19"/>
      <w:footerReference w:type="first" r:id="rId20"/>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98E75" w14:textId="77777777" w:rsidR="003B37B2" w:rsidRDefault="003B37B2" w:rsidP="00011FAB">
      <w:pPr>
        <w:spacing w:line="240" w:lineRule="auto"/>
      </w:pPr>
      <w:r>
        <w:separator/>
      </w:r>
    </w:p>
  </w:endnote>
  <w:endnote w:type="continuationSeparator" w:id="0">
    <w:p w14:paraId="42BFA35B" w14:textId="77777777" w:rsidR="003B37B2" w:rsidRDefault="003B37B2"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816D" w14:textId="77777777" w:rsidR="005D74C0" w:rsidRDefault="005D7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56DD" w14:textId="77777777" w:rsidR="003621B6" w:rsidRDefault="003621B6" w:rsidP="003621B6">
    <w:pPr>
      <w:pStyle w:val="Piedepgina"/>
      <w:pBdr>
        <w:top w:val="single" w:sz="4" w:space="1" w:color="auto"/>
      </w:pBdr>
      <w:rPr>
        <w:i/>
        <w:szCs w:val="24"/>
      </w:rPr>
    </w:pPr>
  </w:p>
  <w:p w14:paraId="385E1921" w14:textId="77777777" w:rsidR="009B3671" w:rsidRPr="00BE078A" w:rsidRDefault="004E09A4"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CB18" w14:textId="77777777" w:rsidR="003621B6" w:rsidRDefault="003621B6" w:rsidP="003621B6">
    <w:pPr>
      <w:pStyle w:val="Piedepgina"/>
      <w:pBdr>
        <w:top w:val="single" w:sz="4" w:space="1" w:color="auto"/>
      </w:pBdr>
      <w:rPr>
        <w:i/>
        <w:szCs w:val="24"/>
      </w:rPr>
    </w:pPr>
  </w:p>
  <w:p w14:paraId="337F4BB5" w14:textId="77777777" w:rsidR="00CE6321" w:rsidRDefault="00CE6321"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35883F7D" w14:textId="77777777" w:rsidR="009B3671" w:rsidRPr="00BE078A" w:rsidRDefault="009B3671"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09794" w14:textId="77777777" w:rsidR="003B37B2" w:rsidRDefault="003B37B2" w:rsidP="00011FAB">
      <w:pPr>
        <w:spacing w:line="240" w:lineRule="auto"/>
      </w:pPr>
      <w:r>
        <w:separator/>
      </w:r>
    </w:p>
  </w:footnote>
  <w:footnote w:type="continuationSeparator" w:id="0">
    <w:p w14:paraId="1362C8C1" w14:textId="77777777" w:rsidR="003B37B2" w:rsidRDefault="003B37B2" w:rsidP="00011FAB">
      <w:pPr>
        <w:spacing w:line="240" w:lineRule="auto"/>
      </w:pPr>
      <w:r>
        <w:continuationSeparator/>
      </w:r>
    </w:p>
  </w:footnote>
  <w:footnote w:id="1">
    <w:p w14:paraId="0393312D" w14:textId="3BAE63E3" w:rsidR="00E03082" w:rsidRPr="00E03082" w:rsidRDefault="00E03082">
      <w:pPr>
        <w:pStyle w:val="Textonotapie"/>
        <w:rPr>
          <w:sz w:val="18"/>
          <w:szCs w:val="18"/>
        </w:rPr>
      </w:pPr>
      <w:r w:rsidRPr="00E03082">
        <w:rPr>
          <w:rStyle w:val="Refdenotaalpie"/>
          <w:sz w:val="18"/>
          <w:szCs w:val="18"/>
        </w:rPr>
        <w:footnoteRef/>
      </w:r>
      <w:r w:rsidRPr="00E03082">
        <w:rPr>
          <w:sz w:val="18"/>
          <w:szCs w:val="18"/>
        </w:rPr>
        <w:t xml:space="preserve"> Fernández Salmerón, Manuel, La protección de los datos personales en las administraciones públicas, Thomson-Civitas, 2003, Madrid, Pág. 101</w:t>
      </w:r>
    </w:p>
  </w:footnote>
  <w:footnote w:id="2">
    <w:p w14:paraId="203A94E2" w14:textId="0DA4F2A7" w:rsidR="00447021" w:rsidRPr="00447021" w:rsidRDefault="00447021" w:rsidP="00447021">
      <w:pPr>
        <w:pStyle w:val="Textonotapie"/>
        <w:jc w:val="both"/>
        <w:rPr>
          <w:sz w:val="18"/>
          <w:szCs w:val="18"/>
          <w:lang w:val="es-CR"/>
        </w:rPr>
      </w:pPr>
      <w:r w:rsidRPr="00447021">
        <w:rPr>
          <w:rStyle w:val="Refdenotaalpie"/>
          <w:sz w:val="18"/>
          <w:szCs w:val="18"/>
        </w:rPr>
        <w:footnoteRef/>
      </w:r>
      <w:r w:rsidRPr="00447021">
        <w:rPr>
          <w:sz w:val="18"/>
          <w:szCs w:val="18"/>
        </w:rPr>
        <w:t xml:space="preserve"> En el caso de los trabajadores que no elijan operadora, el régimen de capitalización individual establece las reglas para que opere la afiliación automática tanto para el Fondo de Capitalización Laboral como para el Régimen Obligatorio de Pensiones.</w:t>
      </w:r>
    </w:p>
  </w:footnote>
  <w:footnote w:id="3">
    <w:p w14:paraId="64626619" w14:textId="4B103366" w:rsidR="0084753D" w:rsidRPr="0084753D" w:rsidRDefault="0084753D">
      <w:pPr>
        <w:pStyle w:val="Textonotapie"/>
        <w:rPr>
          <w:sz w:val="18"/>
          <w:szCs w:val="18"/>
          <w:lang w:val="es-CR"/>
        </w:rPr>
      </w:pPr>
      <w:r w:rsidRPr="0084753D">
        <w:rPr>
          <w:rStyle w:val="Refdenotaalpie"/>
          <w:sz w:val="18"/>
          <w:szCs w:val="18"/>
        </w:rPr>
        <w:footnoteRef/>
      </w:r>
      <w:r w:rsidRPr="0084753D">
        <w:rPr>
          <w:sz w:val="18"/>
          <w:szCs w:val="18"/>
        </w:rPr>
        <w:t xml:space="preserve"> Ibid, pág. 105</w:t>
      </w:r>
    </w:p>
  </w:footnote>
  <w:footnote w:id="4">
    <w:p w14:paraId="5FED789E" w14:textId="77777777" w:rsidR="008330C0" w:rsidRPr="00E91AF2" w:rsidRDefault="008330C0" w:rsidP="008330C0">
      <w:pPr>
        <w:pStyle w:val="Textonotapie"/>
        <w:jc w:val="both"/>
        <w:rPr>
          <w:sz w:val="18"/>
          <w:szCs w:val="18"/>
          <w:lang w:val="es-CR"/>
        </w:rPr>
      </w:pPr>
      <w:r w:rsidRPr="00E91AF2">
        <w:rPr>
          <w:rStyle w:val="Refdenotaalpie"/>
          <w:sz w:val="18"/>
          <w:szCs w:val="18"/>
        </w:rPr>
        <w:footnoteRef/>
      </w:r>
      <w:r w:rsidRPr="00E91AF2">
        <w:rPr>
          <w:sz w:val="18"/>
          <w:szCs w:val="18"/>
        </w:rPr>
        <w:t xml:space="preserve"> </w:t>
      </w:r>
      <w:r w:rsidRPr="00E91AF2">
        <w:rPr>
          <w:sz w:val="18"/>
          <w:szCs w:val="18"/>
          <w:lang w:val="es-CR"/>
        </w:rPr>
        <w:t xml:space="preserve">El artículo 42, inciso k), de la Ley de Protección al Trabajador dispone: </w:t>
      </w:r>
    </w:p>
    <w:p w14:paraId="34393B1D" w14:textId="77777777" w:rsidR="008330C0" w:rsidRPr="00E91AF2" w:rsidRDefault="008330C0" w:rsidP="008330C0">
      <w:pPr>
        <w:pStyle w:val="Textonotapie"/>
        <w:jc w:val="both"/>
        <w:rPr>
          <w:sz w:val="18"/>
          <w:szCs w:val="18"/>
          <w:lang w:val="es-CR"/>
        </w:rPr>
      </w:pPr>
    </w:p>
    <w:p w14:paraId="129D88BA" w14:textId="77777777" w:rsidR="008330C0" w:rsidRPr="00E91AF2" w:rsidRDefault="008330C0" w:rsidP="008330C0">
      <w:pPr>
        <w:pStyle w:val="Textonotapie"/>
        <w:ind w:left="284"/>
        <w:jc w:val="both"/>
        <w:rPr>
          <w:i/>
          <w:iCs/>
          <w:sz w:val="18"/>
          <w:szCs w:val="18"/>
          <w:lang w:val="es-CR"/>
        </w:rPr>
      </w:pPr>
      <w:r w:rsidRPr="00E91AF2">
        <w:rPr>
          <w:i/>
          <w:iCs/>
          <w:sz w:val="18"/>
          <w:szCs w:val="18"/>
          <w:lang w:val="es-CR"/>
        </w:rPr>
        <w:t>ARTÍCULO 42.- Deberes de los entes autorizados. Sin perjuicio de las demás obligaciones estipuladas en esta ley, son obligaciones de las operadoras y las organizaciones sociales autorizadas:</w:t>
      </w:r>
    </w:p>
    <w:p w14:paraId="4092FC18" w14:textId="77777777" w:rsidR="008330C0" w:rsidRPr="00E91AF2" w:rsidRDefault="008330C0" w:rsidP="008330C0">
      <w:pPr>
        <w:pStyle w:val="Textonotapie"/>
        <w:ind w:left="284"/>
        <w:jc w:val="both"/>
        <w:rPr>
          <w:i/>
          <w:iCs/>
          <w:sz w:val="18"/>
          <w:szCs w:val="18"/>
          <w:lang w:val="es-CR"/>
        </w:rPr>
      </w:pPr>
      <w:r w:rsidRPr="00E91AF2">
        <w:rPr>
          <w:i/>
          <w:iCs/>
          <w:sz w:val="18"/>
          <w:szCs w:val="18"/>
          <w:lang w:val="es-CR"/>
        </w:rPr>
        <w:t xml:space="preserve">[…] </w:t>
      </w:r>
    </w:p>
    <w:p w14:paraId="61DE0B38" w14:textId="77777777" w:rsidR="008330C0" w:rsidRPr="00E91AF2" w:rsidRDefault="008330C0" w:rsidP="008330C0">
      <w:pPr>
        <w:pStyle w:val="Textonotapie"/>
        <w:ind w:left="284"/>
        <w:jc w:val="both"/>
        <w:rPr>
          <w:lang w:val="es-CR"/>
        </w:rPr>
      </w:pPr>
      <w:r w:rsidRPr="00E91AF2">
        <w:rPr>
          <w:i/>
          <w:iCs/>
          <w:sz w:val="18"/>
          <w:szCs w:val="18"/>
          <w:lang w:val="es-CR"/>
        </w:rPr>
        <w:t xml:space="preserve">k) Guardar confidencialidad respecto de la información relativa a los afiliados, sin perjuicio de la información </w:t>
      </w:r>
      <w:r w:rsidRPr="00E91AF2">
        <w:rPr>
          <w:b/>
          <w:bCs/>
          <w:i/>
          <w:iCs/>
          <w:sz w:val="18"/>
          <w:szCs w:val="18"/>
          <w:lang w:val="es-CR"/>
        </w:rPr>
        <w:t>requerida por la Superintendencia para realizar las funciones estatuidas en la presente ley</w:t>
      </w:r>
      <w:r w:rsidRPr="00E91AF2">
        <w:rPr>
          <w:i/>
          <w:iCs/>
          <w:sz w:val="18"/>
          <w:szCs w:val="18"/>
          <w:lang w:val="es-CR"/>
        </w:rPr>
        <w:t xml:space="preserve"> y por las autoridades judiciales competentes.</w:t>
      </w:r>
      <w:r>
        <w:rPr>
          <w:i/>
          <w:iCs/>
          <w:sz w:val="18"/>
          <w:szCs w:val="18"/>
          <w:lang w:val="es-CR"/>
        </w:rPr>
        <w:t xml:space="preserve"> </w:t>
      </w:r>
      <w:r>
        <w:rPr>
          <w:sz w:val="18"/>
          <w:szCs w:val="18"/>
          <w:lang w:val="es-CR"/>
        </w:rPr>
        <w:t xml:space="preserve">[Lo resaltado no es del original].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641BD" w14:textId="77777777" w:rsidR="005D74C0" w:rsidRDefault="005D7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85CE" w14:textId="77777777" w:rsidR="004E09A4" w:rsidRDefault="004E09A4" w:rsidP="004E09A4">
    <w:pPr>
      <w:pStyle w:val="Encabezado"/>
      <w:jc w:val="both"/>
    </w:pPr>
    <w:r>
      <w:rPr>
        <w:noProof/>
      </w:rPr>
      <w:drawing>
        <wp:anchor distT="0" distB="0" distL="114300" distR="114300" simplePos="0" relativeHeight="251663360" behindDoc="0" locked="0" layoutInCell="1" allowOverlap="1" wp14:anchorId="42C1E939" wp14:editId="241D10BE">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0A18051F" wp14:editId="56891D4C">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4070F0CD" w14:textId="10DDBE21"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902302">
      <w:rPr>
        <w:b/>
        <w:i/>
        <w:noProof/>
        <w:szCs w:val="24"/>
      </w:rPr>
      <w:t>PJD-13-2020</w:t>
    </w:r>
    <w:r w:rsidRPr="00092B79">
      <w:rPr>
        <w:b/>
        <w:i/>
        <w:noProof/>
        <w:szCs w:val="24"/>
      </w:rPr>
      <w:fldChar w:fldCharType="end"/>
    </w:r>
  </w:p>
  <w:p w14:paraId="47D2AE75" w14:textId="77777777" w:rsidR="00DC38D9" w:rsidRDefault="00DC38D9"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sidR="00647480">
      <w:rPr>
        <w:i/>
        <w:noProof/>
        <w:szCs w:val="24"/>
      </w:rPr>
      <w:t>2</w:t>
    </w:r>
    <w:r w:rsidRPr="00DC38D9">
      <w:rPr>
        <w:i/>
        <w:szCs w:val="24"/>
      </w:rPr>
      <w:fldChar w:fldCharType="end"/>
    </w:r>
  </w:p>
  <w:p w14:paraId="787B8B01"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984F" w14:textId="77777777" w:rsidR="005D2EEB" w:rsidRDefault="005D2EEB" w:rsidP="005D2EEB">
    <w:pPr>
      <w:pStyle w:val="Encabezado"/>
      <w:jc w:val="both"/>
    </w:pPr>
    <w:r>
      <w:rPr>
        <w:noProof/>
      </w:rPr>
      <w:drawing>
        <wp:anchor distT="0" distB="0" distL="114300" distR="114300" simplePos="0" relativeHeight="251660288" behindDoc="0" locked="0" layoutInCell="1" allowOverlap="1" wp14:anchorId="6535DECC" wp14:editId="5EB1316B">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4EC1B2A2" wp14:editId="77EEC5BE">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8788DE"/>
    <w:multiLevelType w:val="hybridMultilevel"/>
    <w:tmpl w:val="A3FC0C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590E6C"/>
    <w:multiLevelType w:val="hybridMultilevel"/>
    <w:tmpl w:val="CDD607A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8C5FD0"/>
    <w:multiLevelType w:val="hybridMultilevel"/>
    <w:tmpl w:val="149C2D4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4305C16"/>
    <w:multiLevelType w:val="hybridMultilevel"/>
    <w:tmpl w:val="E152AB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F7A1591"/>
    <w:multiLevelType w:val="hybridMultilevel"/>
    <w:tmpl w:val="AF6C782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4C8B872"/>
    <w:multiLevelType w:val="hybridMultilevel"/>
    <w:tmpl w:val="067A25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o50AaKPbpjbLWB//ashQfZHgeyoYulu2j3mdntILdZX7PATU8y02hGgWvOu9fLvvkVCIe3p2PONoCRddM5iAVw==" w:salt="8sGDfjZ68pNG8zbmF5DrO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B2"/>
    <w:rsid w:val="00002041"/>
    <w:rsid w:val="00004521"/>
    <w:rsid w:val="00007FF3"/>
    <w:rsid w:val="00010920"/>
    <w:rsid w:val="00011FAB"/>
    <w:rsid w:val="00016DC6"/>
    <w:rsid w:val="00021ADD"/>
    <w:rsid w:val="00022E51"/>
    <w:rsid w:val="00027144"/>
    <w:rsid w:val="00032E5B"/>
    <w:rsid w:val="00034646"/>
    <w:rsid w:val="000421CB"/>
    <w:rsid w:val="000640DA"/>
    <w:rsid w:val="0006650E"/>
    <w:rsid w:val="000818D3"/>
    <w:rsid w:val="00092B79"/>
    <w:rsid w:val="00093057"/>
    <w:rsid w:val="00095A2B"/>
    <w:rsid w:val="000B3737"/>
    <w:rsid w:val="000C15AC"/>
    <w:rsid w:val="000C1952"/>
    <w:rsid w:val="000D067E"/>
    <w:rsid w:val="000E33B8"/>
    <w:rsid w:val="000F20BC"/>
    <w:rsid w:val="000F3E6C"/>
    <w:rsid w:val="000F727E"/>
    <w:rsid w:val="0010265C"/>
    <w:rsid w:val="001206DC"/>
    <w:rsid w:val="00146F60"/>
    <w:rsid w:val="001740C7"/>
    <w:rsid w:val="00175642"/>
    <w:rsid w:val="001808F0"/>
    <w:rsid w:val="00182E14"/>
    <w:rsid w:val="001A4B75"/>
    <w:rsid w:val="001B67E6"/>
    <w:rsid w:val="001C7910"/>
    <w:rsid w:val="001D0311"/>
    <w:rsid w:val="001D18BF"/>
    <w:rsid w:val="001D3394"/>
    <w:rsid w:val="001E2E69"/>
    <w:rsid w:val="001F56EE"/>
    <w:rsid w:val="002073B7"/>
    <w:rsid w:val="00212DF1"/>
    <w:rsid w:val="00237B86"/>
    <w:rsid w:val="00261F6E"/>
    <w:rsid w:val="002742B6"/>
    <w:rsid w:val="00277C51"/>
    <w:rsid w:val="00293D2A"/>
    <w:rsid w:val="00295482"/>
    <w:rsid w:val="002B09A6"/>
    <w:rsid w:val="002C1B33"/>
    <w:rsid w:val="002E066C"/>
    <w:rsid w:val="002F0201"/>
    <w:rsid w:val="002F6A9D"/>
    <w:rsid w:val="00300882"/>
    <w:rsid w:val="00305EDC"/>
    <w:rsid w:val="003155C5"/>
    <w:rsid w:val="00315E9B"/>
    <w:rsid w:val="0032105B"/>
    <w:rsid w:val="00323A8C"/>
    <w:rsid w:val="003262D5"/>
    <w:rsid w:val="0033561F"/>
    <w:rsid w:val="003424FA"/>
    <w:rsid w:val="003432B9"/>
    <w:rsid w:val="00347408"/>
    <w:rsid w:val="00347829"/>
    <w:rsid w:val="003621B6"/>
    <w:rsid w:val="00364C08"/>
    <w:rsid w:val="00377CEE"/>
    <w:rsid w:val="00387CD6"/>
    <w:rsid w:val="00392724"/>
    <w:rsid w:val="003930F0"/>
    <w:rsid w:val="003A06F4"/>
    <w:rsid w:val="003B37B2"/>
    <w:rsid w:val="003B667F"/>
    <w:rsid w:val="003D35CA"/>
    <w:rsid w:val="003D4B4B"/>
    <w:rsid w:val="003E32F3"/>
    <w:rsid w:val="003E34DC"/>
    <w:rsid w:val="00406C19"/>
    <w:rsid w:val="00413B95"/>
    <w:rsid w:val="00432490"/>
    <w:rsid w:val="00442965"/>
    <w:rsid w:val="00447021"/>
    <w:rsid w:val="004518B2"/>
    <w:rsid w:val="004565B1"/>
    <w:rsid w:val="00460EAA"/>
    <w:rsid w:val="00464393"/>
    <w:rsid w:val="00466BEA"/>
    <w:rsid w:val="004706AD"/>
    <w:rsid w:val="00480882"/>
    <w:rsid w:val="00484927"/>
    <w:rsid w:val="004A2C15"/>
    <w:rsid w:val="004C51A4"/>
    <w:rsid w:val="004D2372"/>
    <w:rsid w:val="004D7667"/>
    <w:rsid w:val="004E09A4"/>
    <w:rsid w:val="004E16B1"/>
    <w:rsid w:val="004E61A5"/>
    <w:rsid w:val="004F21B2"/>
    <w:rsid w:val="0051597E"/>
    <w:rsid w:val="00516968"/>
    <w:rsid w:val="00540362"/>
    <w:rsid w:val="00550586"/>
    <w:rsid w:val="00571447"/>
    <w:rsid w:val="0058107F"/>
    <w:rsid w:val="00585589"/>
    <w:rsid w:val="0059081B"/>
    <w:rsid w:val="00594F9F"/>
    <w:rsid w:val="005D2EEB"/>
    <w:rsid w:val="005D5D27"/>
    <w:rsid w:val="005D74C0"/>
    <w:rsid w:val="005E4A8B"/>
    <w:rsid w:val="006202F2"/>
    <w:rsid w:val="00620321"/>
    <w:rsid w:val="00621251"/>
    <w:rsid w:val="00630614"/>
    <w:rsid w:val="00647480"/>
    <w:rsid w:val="00655DB9"/>
    <w:rsid w:val="006609AD"/>
    <w:rsid w:val="0066507F"/>
    <w:rsid w:val="00667596"/>
    <w:rsid w:val="00673A87"/>
    <w:rsid w:val="00685D32"/>
    <w:rsid w:val="006A2224"/>
    <w:rsid w:val="006B6689"/>
    <w:rsid w:val="006B6E41"/>
    <w:rsid w:val="006C15F5"/>
    <w:rsid w:val="006C5791"/>
    <w:rsid w:val="006D332A"/>
    <w:rsid w:val="006D5B49"/>
    <w:rsid w:val="006D6C45"/>
    <w:rsid w:val="006E1EA6"/>
    <w:rsid w:val="006E221A"/>
    <w:rsid w:val="006E69B3"/>
    <w:rsid w:val="006F5308"/>
    <w:rsid w:val="00704B03"/>
    <w:rsid w:val="007116DA"/>
    <w:rsid w:val="00712BF0"/>
    <w:rsid w:val="00722522"/>
    <w:rsid w:val="007238C6"/>
    <w:rsid w:val="00762DE3"/>
    <w:rsid w:val="00763296"/>
    <w:rsid w:val="007723FD"/>
    <w:rsid w:val="00776213"/>
    <w:rsid w:val="00784677"/>
    <w:rsid w:val="0079478E"/>
    <w:rsid w:val="0079594C"/>
    <w:rsid w:val="007B5C89"/>
    <w:rsid w:val="007C1257"/>
    <w:rsid w:val="007C159A"/>
    <w:rsid w:val="007C4865"/>
    <w:rsid w:val="007C56FC"/>
    <w:rsid w:val="007D245C"/>
    <w:rsid w:val="007D59B9"/>
    <w:rsid w:val="007D711F"/>
    <w:rsid w:val="007E3C8F"/>
    <w:rsid w:val="007E7168"/>
    <w:rsid w:val="007F16DB"/>
    <w:rsid w:val="007F1800"/>
    <w:rsid w:val="007F6A38"/>
    <w:rsid w:val="008016AB"/>
    <w:rsid w:val="008051AB"/>
    <w:rsid w:val="0082059D"/>
    <w:rsid w:val="00825BAC"/>
    <w:rsid w:val="00826EC1"/>
    <w:rsid w:val="008308B4"/>
    <w:rsid w:val="00832137"/>
    <w:rsid w:val="00832382"/>
    <w:rsid w:val="008330C0"/>
    <w:rsid w:val="00841E75"/>
    <w:rsid w:val="008457C5"/>
    <w:rsid w:val="0084753D"/>
    <w:rsid w:val="0086143E"/>
    <w:rsid w:val="00867FD9"/>
    <w:rsid w:val="0087789B"/>
    <w:rsid w:val="00881A39"/>
    <w:rsid w:val="00886191"/>
    <w:rsid w:val="008874D2"/>
    <w:rsid w:val="00897EDE"/>
    <w:rsid w:val="008A098B"/>
    <w:rsid w:val="008A4AF9"/>
    <w:rsid w:val="008A61B8"/>
    <w:rsid w:val="008B7715"/>
    <w:rsid w:val="008B7C27"/>
    <w:rsid w:val="008D39C8"/>
    <w:rsid w:val="008E0918"/>
    <w:rsid w:val="008E1FFD"/>
    <w:rsid w:val="0090089E"/>
    <w:rsid w:val="00902302"/>
    <w:rsid w:val="00906A7F"/>
    <w:rsid w:val="009103A0"/>
    <w:rsid w:val="00914886"/>
    <w:rsid w:val="00915148"/>
    <w:rsid w:val="00943653"/>
    <w:rsid w:val="0095725E"/>
    <w:rsid w:val="0096720D"/>
    <w:rsid w:val="00967B19"/>
    <w:rsid w:val="00983888"/>
    <w:rsid w:val="009913CA"/>
    <w:rsid w:val="009A716D"/>
    <w:rsid w:val="009B03D7"/>
    <w:rsid w:val="009B3671"/>
    <w:rsid w:val="009B475A"/>
    <w:rsid w:val="009B6978"/>
    <w:rsid w:val="009C45AE"/>
    <w:rsid w:val="009D2D23"/>
    <w:rsid w:val="009E6DB2"/>
    <w:rsid w:val="009F0054"/>
    <w:rsid w:val="009F6EE7"/>
    <w:rsid w:val="009F7121"/>
    <w:rsid w:val="009F7C79"/>
    <w:rsid w:val="00A11A4C"/>
    <w:rsid w:val="00A17C95"/>
    <w:rsid w:val="00A241E6"/>
    <w:rsid w:val="00A2715E"/>
    <w:rsid w:val="00A343B6"/>
    <w:rsid w:val="00A47569"/>
    <w:rsid w:val="00A4778B"/>
    <w:rsid w:val="00A60740"/>
    <w:rsid w:val="00A70399"/>
    <w:rsid w:val="00A73794"/>
    <w:rsid w:val="00A7629B"/>
    <w:rsid w:val="00A834B2"/>
    <w:rsid w:val="00A84045"/>
    <w:rsid w:val="00AA0014"/>
    <w:rsid w:val="00AB116C"/>
    <w:rsid w:val="00AB7882"/>
    <w:rsid w:val="00AD007D"/>
    <w:rsid w:val="00AD10D3"/>
    <w:rsid w:val="00AF3B9B"/>
    <w:rsid w:val="00AF77F9"/>
    <w:rsid w:val="00B01099"/>
    <w:rsid w:val="00B20060"/>
    <w:rsid w:val="00B31E08"/>
    <w:rsid w:val="00B33DBB"/>
    <w:rsid w:val="00B345AB"/>
    <w:rsid w:val="00B37742"/>
    <w:rsid w:val="00B42169"/>
    <w:rsid w:val="00B4451D"/>
    <w:rsid w:val="00B81D76"/>
    <w:rsid w:val="00B90A6F"/>
    <w:rsid w:val="00BB69A2"/>
    <w:rsid w:val="00BC5105"/>
    <w:rsid w:val="00BD5F5A"/>
    <w:rsid w:val="00BE078A"/>
    <w:rsid w:val="00BF17E6"/>
    <w:rsid w:val="00C0148B"/>
    <w:rsid w:val="00C015B1"/>
    <w:rsid w:val="00C052B2"/>
    <w:rsid w:val="00C066D7"/>
    <w:rsid w:val="00C143AC"/>
    <w:rsid w:val="00C210F1"/>
    <w:rsid w:val="00C34F20"/>
    <w:rsid w:val="00C44934"/>
    <w:rsid w:val="00C4542E"/>
    <w:rsid w:val="00C462EF"/>
    <w:rsid w:val="00C6625B"/>
    <w:rsid w:val="00C75F97"/>
    <w:rsid w:val="00CA12CE"/>
    <w:rsid w:val="00CA16C2"/>
    <w:rsid w:val="00CA5B3D"/>
    <w:rsid w:val="00CC0335"/>
    <w:rsid w:val="00CC24BF"/>
    <w:rsid w:val="00CC71CB"/>
    <w:rsid w:val="00CD0F98"/>
    <w:rsid w:val="00CD309B"/>
    <w:rsid w:val="00CD3C3A"/>
    <w:rsid w:val="00CD5928"/>
    <w:rsid w:val="00CE4FD1"/>
    <w:rsid w:val="00CE6321"/>
    <w:rsid w:val="00CF1BC4"/>
    <w:rsid w:val="00CF6A9F"/>
    <w:rsid w:val="00D029E6"/>
    <w:rsid w:val="00D0661A"/>
    <w:rsid w:val="00D350B3"/>
    <w:rsid w:val="00D440C1"/>
    <w:rsid w:val="00D4552F"/>
    <w:rsid w:val="00D520F6"/>
    <w:rsid w:val="00D5354D"/>
    <w:rsid w:val="00D57E5B"/>
    <w:rsid w:val="00D64895"/>
    <w:rsid w:val="00D6783B"/>
    <w:rsid w:val="00D80266"/>
    <w:rsid w:val="00D84739"/>
    <w:rsid w:val="00D866A2"/>
    <w:rsid w:val="00D86CC1"/>
    <w:rsid w:val="00DA5F5C"/>
    <w:rsid w:val="00DB2188"/>
    <w:rsid w:val="00DB6E2F"/>
    <w:rsid w:val="00DC0A35"/>
    <w:rsid w:val="00DC38D9"/>
    <w:rsid w:val="00DC5C6A"/>
    <w:rsid w:val="00DD4DB9"/>
    <w:rsid w:val="00DD729A"/>
    <w:rsid w:val="00DE1ACA"/>
    <w:rsid w:val="00DE2A84"/>
    <w:rsid w:val="00DE615E"/>
    <w:rsid w:val="00DF1F32"/>
    <w:rsid w:val="00E03082"/>
    <w:rsid w:val="00E0470E"/>
    <w:rsid w:val="00E317C7"/>
    <w:rsid w:val="00E33644"/>
    <w:rsid w:val="00E3557F"/>
    <w:rsid w:val="00E42EFF"/>
    <w:rsid w:val="00E52C14"/>
    <w:rsid w:val="00E84C05"/>
    <w:rsid w:val="00E91AF2"/>
    <w:rsid w:val="00E95D96"/>
    <w:rsid w:val="00EA0753"/>
    <w:rsid w:val="00EC1B04"/>
    <w:rsid w:val="00EC4654"/>
    <w:rsid w:val="00ED01E7"/>
    <w:rsid w:val="00ED2ABF"/>
    <w:rsid w:val="00EE50DC"/>
    <w:rsid w:val="00EE58B8"/>
    <w:rsid w:val="00EE6301"/>
    <w:rsid w:val="00EF04B3"/>
    <w:rsid w:val="00EF63CD"/>
    <w:rsid w:val="00F002DE"/>
    <w:rsid w:val="00F432E8"/>
    <w:rsid w:val="00F44087"/>
    <w:rsid w:val="00F45755"/>
    <w:rsid w:val="00F560CF"/>
    <w:rsid w:val="00F57041"/>
    <w:rsid w:val="00F57C11"/>
    <w:rsid w:val="00F8338C"/>
    <w:rsid w:val="00F90BCF"/>
    <w:rsid w:val="00FB0C82"/>
    <w:rsid w:val="00FB6FE1"/>
    <w:rsid w:val="00FB7F45"/>
    <w:rsid w:val="00FD332D"/>
    <w:rsid w:val="00FE13D5"/>
    <w:rsid w:val="00FF10A3"/>
    <w:rsid w:val="00FF2DA3"/>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CDE1211"/>
  <w15:docId w15:val="{06362B95-0BE4-4712-B911-75E9B75A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23FD"/>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basedOn w:val="Normal"/>
    <w:uiPriority w:val="34"/>
    <w:qFormat/>
    <w:rsid w:val="003B37B2"/>
    <w:pPr>
      <w:spacing w:after="200" w:line="276" w:lineRule="auto"/>
      <w:ind w:left="720"/>
      <w:contextualSpacing/>
    </w:pPr>
    <w:rPr>
      <w:rFonts w:asciiTheme="minorHAnsi" w:hAnsiTheme="minorHAnsi"/>
      <w:sz w:val="22"/>
    </w:rPr>
  </w:style>
  <w:style w:type="paragraph" w:customStyle="1" w:styleId="Default">
    <w:name w:val="Default"/>
    <w:rsid w:val="004C51A4"/>
    <w:pPr>
      <w:autoSpaceDE w:val="0"/>
      <w:autoSpaceDN w:val="0"/>
      <w:adjustRightInd w:val="0"/>
      <w:spacing w:after="0" w:line="240" w:lineRule="auto"/>
    </w:pPr>
    <w:rPr>
      <w:rFonts w:ascii="Times New Roman" w:hAnsi="Times New Roman" w:cs="Times New Roman"/>
      <w:color w:val="000000"/>
      <w:sz w:val="24"/>
      <w:szCs w:val="24"/>
      <w:lang w:val="es-CR"/>
    </w:rPr>
  </w:style>
  <w:style w:type="paragraph" w:styleId="Textonotapie">
    <w:name w:val="footnote text"/>
    <w:basedOn w:val="Normal"/>
    <w:link w:val="TextonotapieCar"/>
    <w:uiPriority w:val="99"/>
    <w:semiHidden/>
    <w:unhideWhenUsed/>
    <w:rsid w:val="00447021"/>
    <w:pPr>
      <w:spacing w:line="240" w:lineRule="auto"/>
    </w:pPr>
    <w:rPr>
      <w:sz w:val="20"/>
      <w:szCs w:val="20"/>
    </w:rPr>
  </w:style>
  <w:style w:type="character" w:customStyle="1" w:styleId="TextonotapieCar">
    <w:name w:val="Texto nota pie Car"/>
    <w:basedOn w:val="Fuentedeprrafopredeter"/>
    <w:link w:val="Textonotapie"/>
    <w:uiPriority w:val="99"/>
    <w:semiHidden/>
    <w:rsid w:val="00447021"/>
    <w:rPr>
      <w:rFonts w:ascii="Times New Roman" w:hAnsi="Times New Roman"/>
      <w:sz w:val="20"/>
      <w:szCs w:val="20"/>
    </w:rPr>
  </w:style>
  <w:style w:type="character" w:styleId="Refdenotaalpie">
    <w:name w:val="footnote reference"/>
    <w:basedOn w:val="Fuentedeprrafopredeter"/>
    <w:uiPriority w:val="99"/>
    <w:semiHidden/>
    <w:unhideWhenUsed/>
    <w:rsid w:val="004470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4.jpg@01D6247E.A0E157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3E120E25C74EDD9A6A0E96E580B549"/>
        <w:category>
          <w:name w:val="General"/>
          <w:gallery w:val="placeholder"/>
        </w:category>
        <w:types>
          <w:type w:val="bbPlcHdr"/>
        </w:types>
        <w:behaviors>
          <w:behavior w:val="content"/>
        </w:behaviors>
        <w:guid w:val="{4079EF85-759A-49AE-B2F2-EF0E3786C92C}"/>
      </w:docPartPr>
      <w:docPartBody>
        <w:p w:rsidR="00085048" w:rsidRDefault="00085048">
          <w:pPr>
            <w:pStyle w:val="AF3E120E25C74EDD9A6A0E96E580B549"/>
          </w:pPr>
          <w:r w:rsidRPr="0087789B">
            <w:rPr>
              <w:rStyle w:val="Textodelmarcadordeposicin"/>
              <w:szCs w:val="24"/>
            </w:rPr>
            <w:t>Ingrese la fecha aquí.</w:t>
          </w:r>
        </w:p>
      </w:docPartBody>
    </w:docPart>
    <w:docPart>
      <w:docPartPr>
        <w:name w:val="0BA864B3A22640D5AB5E78F39C121820"/>
        <w:category>
          <w:name w:val="General"/>
          <w:gallery w:val="placeholder"/>
        </w:category>
        <w:types>
          <w:type w:val="bbPlcHdr"/>
        </w:types>
        <w:behaviors>
          <w:behavior w:val="content"/>
        </w:behaviors>
        <w:guid w:val="{4418CB87-4B12-46E0-B244-75B8FF83A3DC}"/>
      </w:docPartPr>
      <w:docPartBody>
        <w:p w:rsidR="00085048" w:rsidRDefault="00085048">
          <w:pPr>
            <w:pStyle w:val="0BA864B3A22640D5AB5E78F39C121820"/>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48"/>
    <w:rsid w:val="000850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AF3E120E25C74EDD9A6A0E96E580B549">
    <w:name w:val="AF3E120E25C74EDD9A6A0E96E580B549"/>
  </w:style>
  <w:style w:type="paragraph" w:customStyle="1" w:styleId="0BA864B3A22640D5AB5E78F39C121820">
    <w:name w:val="0BA864B3A22640D5AB5E78F39C121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2" ma:contentTypeDescription="Crear nuevo documento." ma:contentTypeScope="" ma:versionID="08ef5bdf4e0fc8be1c4b1e837645095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8403a2a798fb0dae07d5a82bd9f375c7"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C0149-AE3C-4190-96E1-40327B16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54265-9611-4717-9919-210EAE0D58EE}">
  <ds:schemaRefs>
    <ds:schemaRef ds:uri="33e30181-6c35-4bb2-95f8-43bba6f3875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9a5afbdb-4bc0-4cd4-bd24-cc812ecc3ea5"/>
    <ds:schemaRef ds:uri="http://www.w3.org/XML/1998/namespace"/>
    <ds:schemaRef ds:uri="http://purl.org/dc/dcmitype/"/>
  </ds:schemaRefs>
</ds:datastoreItem>
</file>

<file path=customXml/itemProps3.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4.xml><?xml version="1.0" encoding="utf-8"?>
<ds:datastoreItem xmlns:ds="http://schemas.openxmlformats.org/officeDocument/2006/customXml" ds:itemID="{91CFEE65-AED9-42A9-BA59-C133D159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3</TotalTime>
  <Pages>11</Pages>
  <Words>4313</Words>
  <Characters>23727</Characters>
  <Application>Microsoft Office Word</Application>
  <DocSecurity>8</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MOLINA JENORY</dc:creator>
  <cp:keywords/>
  <dc:description/>
  <cp:lastModifiedBy>VARGAS HERNANDEZ NELLY MARIA</cp:lastModifiedBy>
  <cp:revision>3</cp:revision>
  <dcterms:created xsi:type="dcterms:W3CDTF">2020-06-16T00:44:00Z</dcterms:created>
  <dcterms:modified xsi:type="dcterms:W3CDTF">2020-06-16T00:47:00Z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