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AF5C6" w14:textId="550D0A06" w:rsidR="00A4778B" w:rsidRPr="00D25D44" w:rsidRDefault="00960159" w:rsidP="0066627E">
      <w:pPr>
        <w:spacing w:line="240" w:lineRule="auto"/>
        <w:rPr>
          <w:rFonts w:cs="Times New Roman"/>
          <w:szCs w:val="24"/>
        </w:rPr>
      </w:pPr>
      <w:sdt>
        <w:sdtPr>
          <w:rPr>
            <w:rFonts w:cs="Times New Roman"/>
            <w:szCs w:val="24"/>
          </w:rPr>
          <w:alias w:val="Fecha"/>
          <w:tag w:val="Fecha"/>
          <w:id w:val="-306548534"/>
          <w:lock w:val="sdtLocked"/>
          <w:placeholder>
            <w:docPart w:val="521A2DC0326F4B8186BADBDE312D1DD7"/>
          </w:placeholder>
          <w:date w:fullDate="2019-11-19T00:00:00Z">
            <w:dateFormat w:val="d' de 'MMMM' de 'yyyy"/>
            <w:lid w:val="es-ES"/>
            <w:storeMappedDataAs w:val="date"/>
            <w:calendar w:val="gregorian"/>
          </w:date>
        </w:sdtPr>
        <w:sdtEndPr/>
        <w:sdtContent>
          <w:r w:rsidR="003177BE">
            <w:rPr>
              <w:rFonts w:cs="Times New Roman"/>
              <w:szCs w:val="24"/>
            </w:rPr>
            <w:t>19 de noviembre de 2019</w:t>
          </w:r>
        </w:sdtContent>
      </w:sdt>
    </w:p>
    <w:p w14:paraId="5623769F" w14:textId="37826768" w:rsidR="00A4778B" w:rsidRPr="00D25D44" w:rsidRDefault="00960159" w:rsidP="0066627E">
      <w:pPr>
        <w:pStyle w:val="SupenEncabezado"/>
        <w:spacing w:line="240" w:lineRule="auto"/>
        <w:rPr>
          <w:rStyle w:val="SupenEncabezadoCar"/>
          <w:rFonts w:cs="Times New Roman"/>
          <w:szCs w:val="24"/>
        </w:rPr>
      </w:pPr>
      <w:sdt>
        <w:sdtPr>
          <w:rPr>
            <w:rStyle w:val="SupenEncabezadoCar"/>
            <w:rFonts w:cs="Times New Roman"/>
            <w:b/>
            <w:bCs/>
            <w:szCs w:val="24"/>
          </w:rPr>
          <w:alias w:val="Código"/>
          <w:tag w:val="A"/>
          <w:id w:val="1991359848"/>
          <w:lock w:val="sdtLocked"/>
          <w:placeholder>
            <w:docPart w:val="424A349609DD481F964FBD4EAAA7D48F"/>
          </w:placeholder>
          <w:text/>
        </w:sdtPr>
        <w:sdtEndPr>
          <w:rPr>
            <w:rStyle w:val="SupenEncabezadoCar"/>
          </w:rPr>
        </w:sdtEndPr>
        <w:sdtContent>
          <w:r w:rsidR="00C268ED" w:rsidRPr="00EE6913">
            <w:rPr>
              <w:rStyle w:val="SupenEncabezadoCar"/>
              <w:rFonts w:cs="Times New Roman"/>
              <w:b/>
              <w:bCs/>
              <w:szCs w:val="24"/>
            </w:rPr>
            <w:t>PJD-14-2019</w:t>
          </w:r>
        </w:sdtContent>
      </w:sdt>
    </w:p>
    <w:p w14:paraId="1BA3246A" w14:textId="2192CBE7" w:rsidR="00224E1C" w:rsidRDefault="00224E1C" w:rsidP="0066627E">
      <w:pPr>
        <w:spacing w:line="240" w:lineRule="auto"/>
        <w:jc w:val="both"/>
        <w:rPr>
          <w:rFonts w:cs="Times New Roman"/>
          <w:szCs w:val="24"/>
        </w:rPr>
      </w:pPr>
    </w:p>
    <w:p w14:paraId="17A532A4" w14:textId="77777777" w:rsidR="00EE6913" w:rsidRDefault="00EE6913" w:rsidP="0066627E">
      <w:pPr>
        <w:spacing w:line="240" w:lineRule="auto"/>
        <w:jc w:val="both"/>
        <w:rPr>
          <w:rFonts w:cs="Times New Roman"/>
          <w:szCs w:val="24"/>
        </w:rPr>
      </w:pPr>
    </w:p>
    <w:p w14:paraId="7A04637D" w14:textId="7B19A09E" w:rsidR="00BE1EF4" w:rsidRPr="00D25D44" w:rsidRDefault="00BE1EF4" w:rsidP="0066627E">
      <w:pPr>
        <w:spacing w:line="240" w:lineRule="auto"/>
        <w:jc w:val="both"/>
        <w:rPr>
          <w:rFonts w:cs="Times New Roman"/>
          <w:szCs w:val="24"/>
        </w:rPr>
      </w:pPr>
      <w:r>
        <w:rPr>
          <w:rFonts w:cs="Times New Roman"/>
          <w:szCs w:val="24"/>
        </w:rPr>
        <w:t>Señor</w:t>
      </w:r>
    </w:p>
    <w:p w14:paraId="315BC39E" w14:textId="5FBE31A3" w:rsidR="00D413FA" w:rsidRPr="00D25D44" w:rsidRDefault="00955D86" w:rsidP="00224E1C">
      <w:pPr>
        <w:spacing w:line="240" w:lineRule="auto"/>
        <w:jc w:val="both"/>
        <w:rPr>
          <w:rFonts w:cs="Times New Roman"/>
          <w:szCs w:val="24"/>
        </w:rPr>
      </w:pPr>
      <w:r w:rsidRPr="00D25D44">
        <w:rPr>
          <w:rFonts w:cs="Times New Roman"/>
          <w:szCs w:val="24"/>
        </w:rPr>
        <w:t>Álvaro Ramos Chaves</w:t>
      </w:r>
    </w:p>
    <w:p w14:paraId="1E831A0D" w14:textId="53F2D17E" w:rsidR="00955D86" w:rsidRPr="00D25D44" w:rsidRDefault="00955D86" w:rsidP="00224E1C">
      <w:pPr>
        <w:spacing w:line="240" w:lineRule="auto"/>
        <w:jc w:val="both"/>
        <w:rPr>
          <w:rFonts w:cs="Times New Roman"/>
          <w:szCs w:val="24"/>
        </w:rPr>
      </w:pPr>
      <w:r w:rsidRPr="00D25D44">
        <w:rPr>
          <w:rFonts w:cs="Times New Roman"/>
          <w:szCs w:val="24"/>
        </w:rPr>
        <w:t>Superintendente</w:t>
      </w:r>
      <w:r w:rsidR="006642ED">
        <w:rPr>
          <w:rFonts w:cs="Times New Roman"/>
          <w:szCs w:val="24"/>
        </w:rPr>
        <w:t xml:space="preserve"> </w:t>
      </w:r>
      <w:r w:rsidR="00DE0F72">
        <w:rPr>
          <w:rFonts w:cs="Times New Roman"/>
          <w:szCs w:val="24"/>
        </w:rPr>
        <w:t xml:space="preserve">de </w:t>
      </w:r>
      <w:r w:rsidRPr="00D25D44">
        <w:rPr>
          <w:rFonts w:cs="Times New Roman"/>
          <w:szCs w:val="24"/>
        </w:rPr>
        <w:t>Pensiones</w:t>
      </w:r>
    </w:p>
    <w:p w14:paraId="322FACCD" w14:textId="720678C2" w:rsidR="00955D86" w:rsidRPr="00D25D44" w:rsidRDefault="00955D86" w:rsidP="00224E1C">
      <w:pPr>
        <w:spacing w:line="240" w:lineRule="auto"/>
        <w:jc w:val="both"/>
        <w:rPr>
          <w:rFonts w:cs="Times New Roman"/>
          <w:szCs w:val="24"/>
        </w:rPr>
      </w:pPr>
    </w:p>
    <w:p w14:paraId="7D53AB33" w14:textId="66833899" w:rsidR="00955D86" w:rsidRPr="00D25D44" w:rsidRDefault="00955D86" w:rsidP="00224E1C">
      <w:pPr>
        <w:spacing w:line="240" w:lineRule="auto"/>
        <w:jc w:val="both"/>
        <w:rPr>
          <w:rFonts w:cs="Times New Roman"/>
          <w:szCs w:val="24"/>
        </w:rPr>
      </w:pPr>
      <w:r w:rsidRPr="00D25D44">
        <w:rPr>
          <w:rFonts w:cs="Times New Roman"/>
          <w:szCs w:val="24"/>
        </w:rPr>
        <w:t>Estimado señor:</w:t>
      </w:r>
    </w:p>
    <w:p w14:paraId="531F2604" w14:textId="7B3D3DB1" w:rsidR="00955D86" w:rsidRPr="00D25D44" w:rsidRDefault="00955D86" w:rsidP="00224E1C">
      <w:pPr>
        <w:spacing w:line="240" w:lineRule="auto"/>
        <w:jc w:val="both"/>
        <w:rPr>
          <w:rFonts w:cs="Times New Roman"/>
          <w:szCs w:val="24"/>
        </w:rPr>
      </w:pPr>
    </w:p>
    <w:p w14:paraId="0340E263" w14:textId="6BA8CBDF" w:rsidR="00D413FA" w:rsidRPr="00D25D44" w:rsidRDefault="00D413FA" w:rsidP="00224E1C">
      <w:pPr>
        <w:spacing w:line="240" w:lineRule="auto"/>
        <w:jc w:val="both"/>
        <w:rPr>
          <w:rFonts w:cs="Times New Roman"/>
          <w:szCs w:val="24"/>
        </w:rPr>
      </w:pPr>
      <w:r w:rsidRPr="00D25D44">
        <w:rPr>
          <w:rFonts w:cs="Times New Roman"/>
          <w:szCs w:val="24"/>
        </w:rPr>
        <w:t xml:space="preserve">Mediante oficio </w:t>
      </w:r>
      <w:r w:rsidR="00BE756A" w:rsidRPr="00D25D44">
        <w:rPr>
          <w:rFonts w:cs="Times New Roman"/>
          <w:szCs w:val="24"/>
        </w:rPr>
        <w:t xml:space="preserve">BNVital-GG-204-2019, recibido el </w:t>
      </w:r>
      <w:r w:rsidR="00E32834" w:rsidRPr="00D25D44">
        <w:rPr>
          <w:rFonts w:cs="Times New Roman"/>
          <w:szCs w:val="24"/>
        </w:rPr>
        <w:t>27 de agosto de 2019, BN Vital OPC</w:t>
      </w:r>
      <w:r w:rsidR="00707CEC">
        <w:rPr>
          <w:rFonts w:cs="Times New Roman"/>
          <w:szCs w:val="24"/>
        </w:rPr>
        <w:t xml:space="preserve"> solicitó el criterio de esta Superintendencia </w:t>
      </w:r>
      <w:r w:rsidR="00E37A63" w:rsidRPr="00D25D44">
        <w:rPr>
          <w:rFonts w:cs="Times New Roman"/>
          <w:szCs w:val="24"/>
        </w:rPr>
        <w:t xml:space="preserve">respecto </w:t>
      </w:r>
      <w:r w:rsidR="00707CEC">
        <w:rPr>
          <w:rFonts w:cs="Times New Roman"/>
          <w:szCs w:val="24"/>
        </w:rPr>
        <w:t>del</w:t>
      </w:r>
      <w:r w:rsidR="00E37A63" w:rsidRPr="00D25D44">
        <w:rPr>
          <w:rFonts w:cs="Times New Roman"/>
          <w:szCs w:val="24"/>
        </w:rPr>
        <w:t xml:space="preserve"> caso de un afiliado que </w:t>
      </w:r>
      <w:r w:rsidR="00F12312">
        <w:rPr>
          <w:rFonts w:cs="Times New Roman"/>
          <w:szCs w:val="24"/>
        </w:rPr>
        <w:t xml:space="preserve">podría encontrarse en la misma situación analizada por la Sala Constitucional en el voto </w:t>
      </w:r>
      <w:r w:rsidR="00F12312" w:rsidRPr="00F12312">
        <w:rPr>
          <w:rFonts w:cs="Times New Roman"/>
          <w:szCs w:val="24"/>
        </w:rPr>
        <w:t>12226-2019</w:t>
      </w:r>
      <w:r w:rsidR="004C3EC0">
        <w:rPr>
          <w:rFonts w:cs="Times New Roman"/>
          <w:szCs w:val="24"/>
        </w:rPr>
        <w:t xml:space="preserve">. </w:t>
      </w:r>
      <w:r w:rsidR="00F424FA" w:rsidRPr="00D25D44">
        <w:rPr>
          <w:rFonts w:cs="Times New Roman"/>
          <w:szCs w:val="24"/>
        </w:rPr>
        <w:t>La</w:t>
      </w:r>
      <w:r w:rsidR="00E32834" w:rsidRPr="00D25D44">
        <w:rPr>
          <w:rFonts w:cs="Times New Roman"/>
          <w:szCs w:val="24"/>
        </w:rPr>
        <w:t xml:space="preserve"> consulta</w:t>
      </w:r>
      <w:r w:rsidR="00F424FA" w:rsidRPr="00D25D44">
        <w:rPr>
          <w:rFonts w:cs="Times New Roman"/>
          <w:szCs w:val="24"/>
        </w:rPr>
        <w:t xml:space="preserve"> concreta es la siguiente</w:t>
      </w:r>
      <w:r w:rsidR="00E32834" w:rsidRPr="00D25D44">
        <w:rPr>
          <w:rFonts w:cs="Times New Roman"/>
          <w:szCs w:val="24"/>
        </w:rPr>
        <w:t>:</w:t>
      </w:r>
    </w:p>
    <w:p w14:paraId="32F95EBF" w14:textId="77777777" w:rsidR="00224E1C" w:rsidRPr="00D25D44" w:rsidRDefault="00224E1C" w:rsidP="00224E1C">
      <w:pPr>
        <w:spacing w:line="240" w:lineRule="auto"/>
        <w:jc w:val="both"/>
        <w:rPr>
          <w:rFonts w:cs="Times New Roman"/>
          <w:szCs w:val="24"/>
        </w:rPr>
      </w:pPr>
    </w:p>
    <w:p w14:paraId="23B49590" w14:textId="2FE52A24" w:rsidR="00224E1C" w:rsidRPr="00696778" w:rsidRDefault="00224E1C" w:rsidP="00696778">
      <w:pPr>
        <w:spacing w:line="240" w:lineRule="auto"/>
        <w:ind w:left="284"/>
        <w:jc w:val="both"/>
        <w:rPr>
          <w:rFonts w:cs="Times New Roman"/>
          <w:i/>
          <w:sz w:val="22"/>
        </w:rPr>
      </w:pPr>
      <w:r w:rsidRPr="00696778">
        <w:rPr>
          <w:rFonts w:cs="Times New Roman"/>
          <w:i/>
          <w:sz w:val="22"/>
        </w:rPr>
        <w:t xml:space="preserve">El señor </w:t>
      </w:r>
      <w:r w:rsidR="00EE6913" w:rsidRPr="00EE6913">
        <w:rPr>
          <w:rFonts w:cs="Times New Roman"/>
          <w:iCs/>
          <w:sz w:val="22"/>
        </w:rPr>
        <w:t>[…]</w:t>
      </w:r>
      <w:r w:rsidRPr="00EE6913">
        <w:rPr>
          <w:rFonts w:cs="Times New Roman"/>
          <w:iCs/>
          <w:sz w:val="22"/>
        </w:rPr>
        <w:t xml:space="preserve"> </w:t>
      </w:r>
      <w:r w:rsidRPr="00696778">
        <w:rPr>
          <w:rFonts w:cs="Times New Roman"/>
          <w:i/>
          <w:sz w:val="22"/>
        </w:rPr>
        <w:t>es pensionado del régimen básico de la CCSS (IVM) a partir de 04 de abril del 2007, con una pensión de 136,865.00. De acuerdo con nuestra revisión, el afiliado realizó retiro total de los recursos acumulados en el ROP con la operadora Popular Pensiones el 09 de enero del 2008 y el 28 de abril del 2011.</w:t>
      </w:r>
    </w:p>
    <w:p w14:paraId="61DA766C" w14:textId="73EE4315" w:rsidR="00224E1C" w:rsidRPr="00696778" w:rsidRDefault="00224E1C" w:rsidP="00696778">
      <w:pPr>
        <w:spacing w:line="240" w:lineRule="auto"/>
        <w:ind w:left="284"/>
        <w:jc w:val="both"/>
        <w:rPr>
          <w:rFonts w:cs="Times New Roman"/>
          <w:i/>
          <w:sz w:val="22"/>
        </w:rPr>
      </w:pPr>
      <w:r w:rsidRPr="00696778">
        <w:rPr>
          <w:rFonts w:cs="Times New Roman"/>
          <w:i/>
          <w:sz w:val="22"/>
        </w:rPr>
        <w:t xml:space="preserve">El 31 de julio de 2019 el señor </w:t>
      </w:r>
      <w:r w:rsidR="00EE6913">
        <w:rPr>
          <w:rFonts w:cs="Times New Roman"/>
          <w:i/>
          <w:sz w:val="22"/>
        </w:rPr>
        <w:t>[…]</w:t>
      </w:r>
      <w:r w:rsidRPr="00696778">
        <w:rPr>
          <w:rFonts w:cs="Times New Roman"/>
          <w:i/>
          <w:sz w:val="22"/>
        </w:rPr>
        <w:t xml:space="preserve"> se presentó en la oficina de BN Vital, para gestionar el retiro de los recursos acumulados en el ROP por reingreso a la fuerza laboral. Utilizando los datos propios del afiliado se definieron sus opciones de retiro utilizando los siguientes datos:</w:t>
      </w:r>
    </w:p>
    <w:p w14:paraId="1F46FE67" w14:textId="77777777" w:rsidR="00742ACF" w:rsidRPr="00696778" w:rsidRDefault="00742ACF" w:rsidP="00696778">
      <w:pPr>
        <w:spacing w:line="240" w:lineRule="auto"/>
        <w:ind w:left="284"/>
        <w:jc w:val="both"/>
        <w:rPr>
          <w:rFonts w:cs="Times New Roman"/>
          <w:i/>
          <w:sz w:val="22"/>
        </w:rPr>
      </w:pPr>
      <w:r w:rsidRPr="00696778">
        <w:rPr>
          <w:rFonts w:cs="Times New Roman"/>
          <w:i/>
          <w:sz w:val="22"/>
        </w:rPr>
        <w:t>Edad: 79 años.</w:t>
      </w:r>
    </w:p>
    <w:p w14:paraId="019A71E4" w14:textId="77777777" w:rsidR="00742ACF" w:rsidRPr="00696778" w:rsidRDefault="00742ACF" w:rsidP="00696778">
      <w:pPr>
        <w:spacing w:line="240" w:lineRule="auto"/>
        <w:ind w:left="284"/>
        <w:jc w:val="both"/>
        <w:rPr>
          <w:rFonts w:cs="Times New Roman"/>
          <w:i/>
          <w:sz w:val="22"/>
        </w:rPr>
      </w:pPr>
      <w:r w:rsidRPr="00696778">
        <w:rPr>
          <w:rFonts w:cs="Times New Roman"/>
          <w:i/>
          <w:sz w:val="22"/>
        </w:rPr>
        <w:t> Saldo total en el ROP: CRC 1,927,615.39</w:t>
      </w:r>
    </w:p>
    <w:p w14:paraId="1D0FDB59" w14:textId="77777777" w:rsidR="00742ACF" w:rsidRPr="00696778" w:rsidRDefault="00742ACF" w:rsidP="00696778">
      <w:pPr>
        <w:spacing w:line="240" w:lineRule="auto"/>
        <w:ind w:left="284"/>
        <w:jc w:val="both"/>
        <w:rPr>
          <w:rFonts w:cs="Times New Roman"/>
          <w:i/>
          <w:sz w:val="22"/>
        </w:rPr>
      </w:pPr>
      <w:r w:rsidRPr="00696778">
        <w:rPr>
          <w:rFonts w:cs="Times New Roman"/>
          <w:i/>
          <w:sz w:val="22"/>
        </w:rPr>
        <w:t> Monto pensión régimen básico: CRC 136,865.00</w:t>
      </w:r>
    </w:p>
    <w:p w14:paraId="045E9C8F" w14:textId="77777777" w:rsidR="00742ACF" w:rsidRPr="00696778" w:rsidRDefault="00742ACF" w:rsidP="00696778">
      <w:pPr>
        <w:spacing w:line="240" w:lineRule="auto"/>
        <w:ind w:left="284"/>
        <w:jc w:val="both"/>
        <w:rPr>
          <w:rFonts w:cs="Times New Roman"/>
          <w:i/>
          <w:sz w:val="22"/>
        </w:rPr>
      </w:pPr>
      <w:r w:rsidRPr="00696778">
        <w:rPr>
          <w:rFonts w:cs="Times New Roman"/>
          <w:i/>
          <w:sz w:val="22"/>
        </w:rPr>
        <w:t> Monto del 10% de pensión: CRC 13,686.50</w:t>
      </w:r>
    </w:p>
    <w:p w14:paraId="3CA8D3E8" w14:textId="77777777" w:rsidR="00742ACF" w:rsidRPr="00696778" w:rsidRDefault="00742ACF" w:rsidP="00696778">
      <w:pPr>
        <w:spacing w:line="240" w:lineRule="auto"/>
        <w:ind w:left="284"/>
        <w:jc w:val="both"/>
        <w:rPr>
          <w:rFonts w:cs="Times New Roman"/>
          <w:i/>
          <w:sz w:val="22"/>
        </w:rPr>
      </w:pPr>
      <w:r w:rsidRPr="00696778">
        <w:rPr>
          <w:rFonts w:cs="Times New Roman"/>
          <w:i/>
          <w:sz w:val="22"/>
        </w:rPr>
        <w:t> Monto de retiro programado: CRC 19,556.03</w:t>
      </w:r>
    </w:p>
    <w:p w14:paraId="33D64515" w14:textId="4E6C3798" w:rsidR="00742ACF" w:rsidRPr="00696778" w:rsidRDefault="00742ACF" w:rsidP="00696778">
      <w:pPr>
        <w:spacing w:line="240" w:lineRule="auto"/>
        <w:ind w:left="284"/>
        <w:jc w:val="both"/>
        <w:rPr>
          <w:rFonts w:cs="Times New Roman"/>
          <w:i/>
          <w:sz w:val="22"/>
        </w:rPr>
      </w:pPr>
      <w:r w:rsidRPr="00696778">
        <w:rPr>
          <w:rFonts w:cs="Times New Roman"/>
          <w:i/>
          <w:sz w:val="22"/>
        </w:rPr>
        <w:t xml:space="preserve">Dado que el monto del retiro programado es mayor al 10% del monto de la pensión otorgada por el régimen básico, al señor </w:t>
      </w:r>
      <w:r w:rsidR="00EE6913">
        <w:rPr>
          <w:rFonts w:cs="Times New Roman"/>
          <w:iCs/>
          <w:sz w:val="22"/>
        </w:rPr>
        <w:t>[…]</w:t>
      </w:r>
      <w:r w:rsidRPr="00696778">
        <w:rPr>
          <w:rFonts w:cs="Times New Roman"/>
          <w:i/>
          <w:sz w:val="22"/>
        </w:rPr>
        <w:t xml:space="preserve"> le corresponde elegir una modalidad de pensión complementaria, quedando en esta oportunidad fuera de las condiciones que permiten el retiro de los recursos en un solo tracto.</w:t>
      </w:r>
    </w:p>
    <w:p w14:paraId="3E251809" w14:textId="77777777" w:rsidR="00742ACF" w:rsidRPr="00696778" w:rsidRDefault="00742ACF" w:rsidP="00696778">
      <w:pPr>
        <w:spacing w:line="240" w:lineRule="auto"/>
        <w:ind w:left="284"/>
        <w:jc w:val="both"/>
        <w:rPr>
          <w:rFonts w:cs="Times New Roman"/>
          <w:i/>
          <w:sz w:val="22"/>
        </w:rPr>
      </w:pPr>
      <w:r w:rsidRPr="00696778">
        <w:rPr>
          <w:rFonts w:cs="Times New Roman"/>
          <w:i/>
          <w:sz w:val="22"/>
        </w:rPr>
        <w:t xml:space="preserve">No obstante, ésta Operadora se encuentra tramitando bajo las disposiciones comunicadas por la Superintendencia de Pensiones, mediante oficio SP-719-2019 del 1 de agosto del 2019, otro caso similar en relación a la edad del afiliado, mediante el cual se atiende lo señalado por la Sala Constitucional en el voto </w:t>
      </w:r>
      <w:bookmarkStart w:id="0" w:name="_Hlk24732168"/>
      <w:r w:rsidRPr="00696778">
        <w:rPr>
          <w:rFonts w:cs="Times New Roman"/>
          <w:i/>
          <w:sz w:val="22"/>
        </w:rPr>
        <w:t>12226-2019</w:t>
      </w:r>
      <w:bookmarkEnd w:id="0"/>
      <w:r w:rsidRPr="00696778">
        <w:rPr>
          <w:rFonts w:cs="Times New Roman"/>
          <w:i/>
          <w:sz w:val="22"/>
        </w:rPr>
        <w:t>.</w:t>
      </w:r>
    </w:p>
    <w:p w14:paraId="3017F034" w14:textId="77777777" w:rsidR="00742ACF" w:rsidRPr="00696778" w:rsidRDefault="00742ACF" w:rsidP="00696778">
      <w:pPr>
        <w:spacing w:line="240" w:lineRule="auto"/>
        <w:ind w:left="284"/>
        <w:jc w:val="both"/>
        <w:rPr>
          <w:rFonts w:cs="Times New Roman"/>
          <w:i/>
          <w:sz w:val="22"/>
        </w:rPr>
      </w:pPr>
      <w:r w:rsidRPr="00696778">
        <w:rPr>
          <w:rFonts w:cs="Times New Roman"/>
          <w:i/>
          <w:sz w:val="22"/>
        </w:rPr>
        <w:t>En el citado oficio se comunican dos modalidades de pensión adicionales a las establecidas en el Reglamento de Beneficios, denominadas Renta Temporal Contingente y Anualidad Cierta Prepagable, ambas calculadas tomando como parámetro la expectativa de vida que tiene las personas al nacer en este momento.</w:t>
      </w:r>
    </w:p>
    <w:p w14:paraId="2EF36481" w14:textId="687A0516" w:rsidR="004F402C" w:rsidRPr="00696778" w:rsidRDefault="00742ACF" w:rsidP="00696778">
      <w:pPr>
        <w:spacing w:line="240" w:lineRule="auto"/>
        <w:ind w:left="284"/>
        <w:jc w:val="both"/>
        <w:rPr>
          <w:rFonts w:cs="Times New Roman"/>
          <w:sz w:val="22"/>
        </w:rPr>
      </w:pPr>
      <w:r w:rsidRPr="00696778">
        <w:rPr>
          <w:rFonts w:cs="Times New Roman"/>
          <w:i/>
          <w:sz w:val="22"/>
        </w:rPr>
        <w:t xml:space="preserve">Dada la edad del afiliado antes indicada y que la expectativa de vida del hombre al nacer en este momento es de 80.3 años, es de interés de esta administración conocer si cabe la posibilidad de aplicar el pronunciamiento de la Sala Constitucional en el voto 12226-2019 al caso del afiliado </w:t>
      </w:r>
      <w:r w:rsidR="00EE6913" w:rsidRPr="00EE6913">
        <w:rPr>
          <w:rFonts w:cs="Times New Roman"/>
          <w:iCs/>
          <w:sz w:val="22"/>
        </w:rPr>
        <w:t>[…]</w:t>
      </w:r>
      <w:r w:rsidRPr="00696778">
        <w:rPr>
          <w:rFonts w:cs="Times New Roman"/>
          <w:i/>
          <w:sz w:val="22"/>
        </w:rPr>
        <w:t>, así como su aplicación a casos similares que se presenten en el futuro, con el fin de permitir que los afiliados en esta condición puedan elegir el plan de mayor conveniencia.</w:t>
      </w:r>
    </w:p>
    <w:p w14:paraId="14FE0785" w14:textId="77777777" w:rsidR="00224E1C" w:rsidRPr="00696778" w:rsidRDefault="00224E1C" w:rsidP="00696778">
      <w:pPr>
        <w:spacing w:line="240" w:lineRule="auto"/>
        <w:ind w:left="284"/>
        <w:jc w:val="both"/>
        <w:rPr>
          <w:rFonts w:cs="Times New Roman"/>
          <w:sz w:val="22"/>
        </w:rPr>
      </w:pPr>
    </w:p>
    <w:p w14:paraId="70733D93" w14:textId="4E22E105" w:rsidR="00224E1C" w:rsidRPr="00D25D44" w:rsidRDefault="00E32834" w:rsidP="0066627E">
      <w:pPr>
        <w:spacing w:line="240" w:lineRule="auto"/>
        <w:jc w:val="both"/>
        <w:rPr>
          <w:rFonts w:cs="Times New Roman"/>
          <w:szCs w:val="24"/>
        </w:rPr>
      </w:pPr>
      <w:r w:rsidRPr="00D25D44">
        <w:rPr>
          <w:rFonts w:cs="Times New Roman"/>
          <w:szCs w:val="24"/>
        </w:rPr>
        <w:lastRenderedPageBreak/>
        <w:t xml:space="preserve">El </w:t>
      </w:r>
      <w:r w:rsidR="00975840" w:rsidRPr="00D25D44">
        <w:rPr>
          <w:rFonts w:cs="Times New Roman"/>
          <w:szCs w:val="24"/>
        </w:rPr>
        <w:t>19 de setiembre de 2019</w:t>
      </w:r>
      <w:r w:rsidR="00AB5C29" w:rsidRPr="00D25D44">
        <w:rPr>
          <w:rFonts w:cs="Times New Roman"/>
          <w:szCs w:val="24"/>
        </w:rPr>
        <w:t xml:space="preserve">, se aportó el criterio jurídico relacionado con el caso, solicitado por la Superintendencia de Pensiones </w:t>
      </w:r>
      <w:r w:rsidR="00EF5272">
        <w:rPr>
          <w:rFonts w:cs="Times New Roman"/>
          <w:szCs w:val="24"/>
        </w:rPr>
        <w:t>en</w:t>
      </w:r>
      <w:r w:rsidR="00AB5C29" w:rsidRPr="00D25D44">
        <w:rPr>
          <w:rFonts w:cs="Times New Roman"/>
          <w:szCs w:val="24"/>
        </w:rPr>
        <w:t xml:space="preserve"> oficio SP-</w:t>
      </w:r>
      <w:r w:rsidR="00A27147" w:rsidRPr="00D25D44">
        <w:rPr>
          <w:rFonts w:cs="Times New Roman"/>
          <w:szCs w:val="24"/>
        </w:rPr>
        <w:t>884-2019.</w:t>
      </w:r>
      <w:r w:rsidR="00A5601E">
        <w:rPr>
          <w:rFonts w:cs="Times New Roman"/>
          <w:szCs w:val="24"/>
        </w:rPr>
        <w:t xml:space="preserve"> </w:t>
      </w:r>
      <w:r w:rsidR="00A27147" w:rsidRPr="00D25D44">
        <w:rPr>
          <w:rFonts w:cs="Times New Roman"/>
          <w:szCs w:val="24"/>
        </w:rPr>
        <w:t>E</w:t>
      </w:r>
      <w:r w:rsidR="00C01785">
        <w:rPr>
          <w:rFonts w:cs="Times New Roman"/>
          <w:szCs w:val="24"/>
        </w:rPr>
        <w:t xml:space="preserve">n este se </w:t>
      </w:r>
      <w:r w:rsidR="00A27147" w:rsidRPr="00D25D44">
        <w:rPr>
          <w:rFonts w:cs="Times New Roman"/>
          <w:szCs w:val="24"/>
        </w:rPr>
        <w:t>concluyó lo siguiente:</w:t>
      </w:r>
    </w:p>
    <w:p w14:paraId="100E1C74" w14:textId="77777777" w:rsidR="00224E1C" w:rsidRPr="00D25D44" w:rsidRDefault="00224E1C" w:rsidP="0066627E">
      <w:pPr>
        <w:spacing w:line="240" w:lineRule="auto"/>
        <w:jc w:val="both"/>
        <w:rPr>
          <w:rFonts w:cs="Times New Roman"/>
          <w:szCs w:val="24"/>
        </w:rPr>
      </w:pPr>
    </w:p>
    <w:p w14:paraId="08663EEC" w14:textId="5B10A164" w:rsidR="00224E1C" w:rsidRPr="00055832" w:rsidRDefault="00331F60" w:rsidP="00A27147">
      <w:pPr>
        <w:spacing w:line="240" w:lineRule="auto"/>
        <w:ind w:left="708"/>
        <w:jc w:val="both"/>
        <w:rPr>
          <w:rFonts w:cs="Times New Roman"/>
          <w:sz w:val="22"/>
        </w:rPr>
      </w:pPr>
      <w:r w:rsidRPr="00055832">
        <w:rPr>
          <w:rFonts w:cs="Times New Roman"/>
          <w:sz w:val="22"/>
        </w:rPr>
        <w:t xml:space="preserve">… </w:t>
      </w:r>
      <w:r w:rsidR="00224E1C" w:rsidRPr="00055832">
        <w:rPr>
          <w:rFonts w:cs="Times New Roman"/>
          <w:i/>
          <w:sz w:val="22"/>
        </w:rPr>
        <w:t xml:space="preserve">el pronunciamiento de la Sala Constitucional en el voto 12226-2019 es no solamente aplicable al caso del afiliado </w:t>
      </w:r>
      <w:r w:rsidR="00EE6913">
        <w:rPr>
          <w:rFonts w:cs="Times New Roman"/>
          <w:i/>
          <w:sz w:val="22"/>
        </w:rPr>
        <w:t>[…]</w:t>
      </w:r>
      <w:r w:rsidR="00224E1C" w:rsidRPr="00055832">
        <w:rPr>
          <w:rFonts w:cs="Times New Roman"/>
          <w:i/>
          <w:sz w:val="22"/>
        </w:rPr>
        <w:t>, sino a casos similares que se presenten en el futuro con el fin de permitir que los afiliados en esta condición puedan escoger el plan de mayor conveniencia, no solo en los términos generales en que se encuentra redactado en su parte considerativa, sino de conformidad con lo dispuesto en el artículo 13 de la Ley de la Jurisdicción Constitucional.</w:t>
      </w:r>
      <w:r w:rsidR="00224E1C" w:rsidRPr="00055832">
        <w:rPr>
          <w:rFonts w:cs="Times New Roman"/>
          <w:sz w:val="22"/>
        </w:rPr>
        <w:t xml:space="preserve"> (D. J. / 4152-2019).</w:t>
      </w:r>
    </w:p>
    <w:p w14:paraId="5588A0BA" w14:textId="77777777" w:rsidR="0066627E" w:rsidRPr="00D25D44" w:rsidRDefault="0066627E" w:rsidP="0066627E">
      <w:pPr>
        <w:spacing w:line="240" w:lineRule="auto"/>
        <w:jc w:val="both"/>
        <w:rPr>
          <w:rFonts w:cs="Times New Roman"/>
          <w:szCs w:val="24"/>
        </w:rPr>
      </w:pPr>
    </w:p>
    <w:p w14:paraId="5F150588" w14:textId="2A704E92" w:rsidR="00A27147" w:rsidRDefault="00A27147" w:rsidP="00D25D44">
      <w:pPr>
        <w:pStyle w:val="Prrafodelista"/>
        <w:numPr>
          <w:ilvl w:val="0"/>
          <w:numId w:val="1"/>
        </w:numPr>
        <w:spacing w:line="240" w:lineRule="auto"/>
        <w:jc w:val="both"/>
        <w:rPr>
          <w:rFonts w:ascii="Times New Roman" w:hAnsi="Times New Roman" w:cs="Times New Roman"/>
          <w:b/>
          <w:sz w:val="24"/>
          <w:szCs w:val="24"/>
        </w:rPr>
      </w:pPr>
      <w:r w:rsidRPr="00D25D44">
        <w:rPr>
          <w:rFonts w:ascii="Times New Roman" w:hAnsi="Times New Roman" w:cs="Times New Roman"/>
          <w:b/>
          <w:sz w:val="24"/>
          <w:szCs w:val="24"/>
        </w:rPr>
        <w:t>Antecedentes</w:t>
      </w:r>
    </w:p>
    <w:p w14:paraId="1214ED83" w14:textId="07263100" w:rsidR="00A27147" w:rsidRPr="00D25D44" w:rsidRDefault="00A27147" w:rsidP="0066627E">
      <w:pPr>
        <w:spacing w:line="240" w:lineRule="auto"/>
        <w:jc w:val="both"/>
        <w:rPr>
          <w:rFonts w:cs="Times New Roman"/>
          <w:szCs w:val="24"/>
        </w:rPr>
      </w:pPr>
      <w:r w:rsidRPr="00D25D44">
        <w:rPr>
          <w:rFonts w:cs="Times New Roman"/>
          <w:szCs w:val="24"/>
        </w:rPr>
        <w:t>La Sala Constitucional</w:t>
      </w:r>
      <w:r w:rsidR="003C41ED">
        <w:rPr>
          <w:rFonts w:cs="Times New Roman"/>
          <w:szCs w:val="24"/>
        </w:rPr>
        <w:t>,</w:t>
      </w:r>
      <w:r w:rsidRPr="00D25D44">
        <w:rPr>
          <w:rFonts w:cs="Times New Roman"/>
          <w:szCs w:val="24"/>
        </w:rPr>
        <w:t xml:space="preserve"> mediante voto </w:t>
      </w:r>
      <w:bookmarkStart w:id="1" w:name="_Hlk25099280"/>
      <w:r w:rsidR="00DB02F6" w:rsidRPr="00D25D44">
        <w:rPr>
          <w:rFonts w:cs="Times New Roman"/>
          <w:szCs w:val="24"/>
        </w:rPr>
        <w:t>12226-2019</w:t>
      </w:r>
      <w:bookmarkEnd w:id="1"/>
      <w:r w:rsidR="00DB02F6" w:rsidRPr="00D25D44">
        <w:rPr>
          <w:rFonts w:cs="Times New Roman"/>
          <w:szCs w:val="24"/>
        </w:rPr>
        <w:t>, resolvió un recurso de amparo interpuesto contra BN Vital OPC y la Superintendencia de Pensiones</w:t>
      </w:r>
      <w:r w:rsidR="00523839">
        <w:rPr>
          <w:rFonts w:cs="Times New Roman"/>
          <w:szCs w:val="24"/>
        </w:rPr>
        <w:t xml:space="preserve">, </w:t>
      </w:r>
      <w:r w:rsidR="003F057D">
        <w:rPr>
          <w:rFonts w:cs="Times New Roman"/>
          <w:szCs w:val="24"/>
        </w:rPr>
        <w:t xml:space="preserve">en cuyo </w:t>
      </w:r>
      <w:r w:rsidR="003C41ED">
        <w:rPr>
          <w:rFonts w:cs="Times New Roman"/>
          <w:szCs w:val="24"/>
        </w:rPr>
        <w:t>por tanto dispuso</w:t>
      </w:r>
      <w:r w:rsidR="00DB02F6" w:rsidRPr="00D25D44">
        <w:rPr>
          <w:rFonts w:cs="Times New Roman"/>
          <w:szCs w:val="24"/>
        </w:rPr>
        <w:t>:</w:t>
      </w:r>
    </w:p>
    <w:p w14:paraId="6B97570C" w14:textId="5C524FE4" w:rsidR="00FE6DA6" w:rsidRPr="00D25D44" w:rsidRDefault="00FE6DA6" w:rsidP="0066627E">
      <w:pPr>
        <w:spacing w:line="240" w:lineRule="auto"/>
        <w:jc w:val="both"/>
        <w:rPr>
          <w:rFonts w:cs="Times New Roman"/>
          <w:szCs w:val="24"/>
        </w:rPr>
      </w:pPr>
    </w:p>
    <w:p w14:paraId="5CCFB75E" w14:textId="231310DC" w:rsidR="00FE6DA6" w:rsidRPr="00D25D44" w:rsidRDefault="00FE6DA6" w:rsidP="003E4300">
      <w:pPr>
        <w:spacing w:line="240" w:lineRule="auto"/>
        <w:ind w:left="708"/>
        <w:jc w:val="both"/>
        <w:rPr>
          <w:rFonts w:cs="Times New Roman"/>
          <w:szCs w:val="24"/>
        </w:rPr>
      </w:pPr>
      <w:r w:rsidRPr="00055832">
        <w:rPr>
          <w:rFonts w:cs="Times New Roman"/>
          <w:i/>
          <w:sz w:val="22"/>
        </w:rPr>
        <w:t xml:space="preserve">Se declara parcialmente con lugar el recurso. En consecuencia, se le ordena a Hermes Alvarado Salas, o a quien en su lugar ocupe el cargo de Gerente con facultades de apoderado generalísimo sin límite de suma de BN Vital Operadora de Pensiones Complementarias y a Álvaro Ramos Chaves, o a quien en su lugar ocupe el cargo de Superintendente de Pensiones que, de forma coordinada, giren las órdenes pertinentes y lleven a cabo todas las actuaciones que estén dentro del ámbito de sus competencias para que </w:t>
      </w:r>
      <w:r w:rsidRPr="00055832">
        <w:rPr>
          <w:rFonts w:cs="Times New Roman"/>
          <w:b/>
          <w:i/>
          <w:sz w:val="22"/>
        </w:rPr>
        <w:t>se le brinde a la tutelada Ileana Jiménez Montealegre, la totalidad del dinero correspondiente al Régimen Obligatorio de Pensiones Complementarias, en tractos mensuales, a partir del día en que esta –previo cumplimiento de los requisitos señalados al efecto–, suscriba el plan de su mayor conveniencia (sea retiro programado o renta permanente) y hasta la fecha en que cumpla con la edad de 82.9 años</w:t>
      </w:r>
      <w:r w:rsidRPr="00055832">
        <w:rPr>
          <w:rFonts w:cs="Times New Roman"/>
          <w:i/>
          <w:sz w:val="22"/>
        </w:rPr>
        <w:t>.</w:t>
      </w:r>
      <w:r w:rsidR="007E474D" w:rsidRPr="00B26F20">
        <w:rPr>
          <w:rFonts w:cs="Times New Roman"/>
          <w:sz w:val="20"/>
          <w:szCs w:val="20"/>
        </w:rPr>
        <w:t xml:space="preserve"> </w:t>
      </w:r>
      <w:bookmarkStart w:id="2" w:name="_Hlk25094139"/>
      <w:r w:rsidR="00055832" w:rsidRPr="00B26F20">
        <w:rPr>
          <w:rFonts w:cs="Times New Roman"/>
          <w:sz w:val="20"/>
          <w:szCs w:val="20"/>
        </w:rPr>
        <w:t>[Lo resaltado no es del original</w:t>
      </w:r>
      <w:r w:rsidR="00B26F20">
        <w:rPr>
          <w:rFonts w:cs="Times New Roman"/>
          <w:sz w:val="20"/>
          <w:szCs w:val="20"/>
        </w:rPr>
        <w:t>].</w:t>
      </w:r>
      <w:bookmarkEnd w:id="2"/>
    </w:p>
    <w:p w14:paraId="3CE96650" w14:textId="77777777" w:rsidR="00A27147" w:rsidRPr="00D25D44" w:rsidRDefault="00A27147" w:rsidP="0066627E">
      <w:pPr>
        <w:spacing w:line="240" w:lineRule="auto"/>
        <w:jc w:val="both"/>
        <w:rPr>
          <w:rFonts w:cs="Times New Roman"/>
          <w:szCs w:val="24"/>
        </w:rPr>
      </w:pPr>
    </w:p>
    <w:p w14:paraId="7B49E690" w14:textId="6BB29A78" w:rsidR="007E474D" w:rsidRPr="00D25D44" w:rsidRDefault="007972BB" w:rsidP="0066627E">
      <w:pPr>
        <w:spacing w:line="240" w:lineRule="auto"/>
        <w:jc w:val="both"/>
        <w:rPr>
          <w:rFonts w:cs="Times New Roman"/>
          <w:szCs w:val="24"/>
        </w:rPr>
      </w:pPr>
      <w:r>
        <w:rPr>
          <w:rFonts w:cs="Times New Roman"/>
          <w:szCs w:val="24"/>
        </w:rPr>
        <w:t xml:space="preserve">El por tanto de la Sala </w:t>
      </w:r>
      <w:r w:rsidR="00600E9B" w:rsidRPr="00D25D44">
        <w:rPr>
          <w:rFonts w:cs="Times New Roman"/>
          <w:szCs w:val="24"/>
        </w:rPr>
        <w:t>Constitucional</w:t>
      </w:r>
      <w:r w:rsidR="00B8646A">
        <w:rPr>
          <w:rFonts w:cs="Times New Roman"/>
          <w:szCs w:val="24"/>
        </w:rPr>
        <w:t xml:space="preserve"> </w:t>
      </w:r>
      <w:r>
        <w:rPr>
          <w:rFonts w:cs="Times New Roman"/>
          <w:szCs w:val="24"/>
        </w:rPr>
        <w:t xml:space="preserve">encuentra su fundamento en </w:t>
      </w:r>
      <w:r w:rsidR="005D0AE4">
        <w:rPr>
          <w:rFonts w:cs="Times New Roman"/>
          <w:szCs w:val="24"/>
        </w:rPr>
        <w:t>e</w:t>
      </w:r>
      <w:r w:rsidR="00B8646A">
        <w:rPr>
          <w:rFonts w:cs="Times New Roman"/>
          <w:szCs w:val="24"/>
        </w:rPr>
        <w:t xml:space="preserve">l siguiente análisis de fondo:  </w:t>
      </w:r>
    </w:p>
    <w:p w14:paraId="4B4CB71A" w14:textId="77777777" w:rsidR="00F835B7" w:rsidRPr="00D25D44" w:rsidRDefault="00F835B7" w:rsidP="0066627E">
      <w:pPr>
        <w:spacing w:line="240" w:lineRule="auto"/>
        <w:jc w:val="both"/>
        <w:rPr>
          <w:rFonts w:cs="Times New Roman"/>
          <w:szCs w:val="24"/>
        </w:rPr>
      </w:pPr>
    </w:p>
    <w:p w14:paraId="2543B3CD" w14:textId="77777777" w:rsidR="00B627DC" w:rsidRPr="00B627DC" w:rsidRDefault="00B627DC" w:rsidP="00994D55">
      <w:pPr>
        <w:spacing w:line="240" w:lineRule="auto"/>
        <w:ind w:left="284"/>
        <w:jc w:val="both"/>
        <w:rPr>
          <w:rFonts w:cs="Times New Roman"/>
          <w:sz w:val="22"/>
        </w:rPr>
      </w:pPr>
      <w:r w:rsidRPr="00B627DC">
        <w:rPr>
          <w:rFonts w:cs="Times New Roman"/>
          <w:sz w:val="22"/>
        </w:rPr>
        <w:t xml:space="preserve">… </w:t>
      </w:r>
      <w:r w:rsidR="0066627E" w:rsidRPr="00B627DC">
        <w:rPr>
          <w:rFonts w:cs="Times New Roman"/>
          <w:i/>
          <w:sz w:val="22"/>
        </w:rPr>
        <w:t>no pueden –tal y como se encuentra establecido actualmente–, aplicar de manera uniforme y categórica a todos los beneficiarios del ROPC (a quienes no los cubre los supuestos de excepción establecidos en la Ley de Protección al Trabajador y principalmente en el artículo 6° del Reglamento de Beneficios del Régimen de Capitalización Individual), las reglas fijadas para la entrega en tractos</w:t>
      </w:r>
      <w:r w:rsidRPr="00B627DC">
        <w:rPr>
          <w:rFonts w:cs="Times New Roman"/>
          <w:sz w:val="22"/>
        </w:rPr>
        <w:t>…</w:t>
      </w:r>
    </w:p>
    <w:p w14:paraId="6B9F6A90" w14:textId="77777777" w:rsidR="00B627DC" w:rsidRPr="00B627DC" w:rsidRDefault="00B627DC" w:rsidP="00994D55">
      <w:pPr>
        <w:spacing w:line="240" w:lineRule="auto"/>
        <w:ind w:left="284"/>
        <w:jc w:val="both"/>
        <w:rPr>
          <w:rFonts w:cs="Times New Roman"/>
          <w:sz w:val="22"/>
        </w:rPr>
      </w:pPr>
    </w:p>
    <w:p w14:paraId="453953A5" w14:textId="5BC1BE69" w:rsidR="0066627E" w:rsidRPr="00B627DC" w:rsidRDefault="00B627DC" w:rsidP="00994D55">
      <w:pPr>
        <w:spacing w:line="240" w:lineRule="auto"/>
        <w:ind w:left="284"/>
        <w:jc w:val="both"/>
        <w:rPr>
          <w:rFonts w:cs="Times New Roman"/>
          <w:sz w:val="22"/>
        </w:rPr>
      </w:pPr>
      <w:r w:rsidRPr="00B627DC">
        <w:rPr>
          <w:rFonts w:cs="Times New Roman"/>
          <w:sz w:val="22"/>
        </w:rPr>
        <w:t xml:space="preserve">… </w:t>
      </w:r>
      <w:r w:rsidR="0066627E" w:rsidRPr="00B627DC">
        <w:rPr>
          <w:rFonts w:cs="Times New Roman"/>
          <w:i/>
          <w:sz w:val="22"/>
        </w:rPr>
        <w:t xml:space="preserve">a la hora de ejecutar tal entrega en tractos o de forma prorrateada (sea mediante el plan de retiro programado o bien de renta permanente), deben ponderarse concomitantemente situaciones particulares y excepcionales que presentan los solicitantes, que permitan realizar cálculos diferenciados e individuales y que, a su vez, admitan hacer la entrega de los fondos en cuestión dentro de plazos más cortos </w:t>
      </w:r>
      <w:r w:rsidR="0066627E" w:rsidRPr="00B627DC">
        <w:rPr>
          <w:rFonts w:cs="Times New Roman"/>
          <w:b/>
          <w:i/>
          <w:sz w:val="22"/>
        </w:rPr>
        <w:t>(para un mejor y adecuado disfrute</w:t>
      </w:r>
      <w:r w:rsidR="0066627E" w:rsidRPr="00B627DC">
        <w:rPr>
          <w:rFonts w:cs="Times New Roman"/>
          <w:i/>
          <w:sz w:val="22"/>
        </w:rPr>
        <w:t>) y no necesariamente hasta su fallecimiento</w:t>
      </w:r>
      <w:r w:rsidR="0066627E" w:rsidRPr="00B627DC">
        <w:rPr>
          <w:rFonts w:cs="Times New Roman"/>
          <w:sz w:val="22"/>
        </w:rPr>
        <w:t>.</w:t>
      </w:r>
      <w:r w:rsidR="00806DA4" w:rsidRPr="00B627DC">
        <w:rPr>
          <w:rFonts w:cs="Times New Roman"/>
          <w:sz w:val="22"/>
        </w:rPr>
        <w:t xml:space="preserve"> </w:t>
      </w:r>
      <w:r w:rsidRPr="00B26F20">
        <w:rPr>
          <w:rFonts w:cs="Times New Roman"/>
          <w:sz w:val="20"/>
          <w:szCs w:val="20"/>
        </w:rPr>
        <w:t>[Lo resaltado no es del original</w:t>
      </w:r>
      <w:r>
        <w:rPr>
          <w:rFonts w:cs="Times New Roman"/>
          <w:sz w:val="20"/>
          <w:szCs w:val="20"/>
        </w:rPr>
        <w:t>].</w:t>
      </w:r>
    </w:p>
    <w:p w14:paraId="02950813" w14:textId="77777777" w:rsidR="0066627E" w:rsidRPr="00D25D44" w:rsidRDefault="0066627E" w:rsidP="00994D55">
      <w:pPr>
        <w:spacing w:line="240" w:lineRule="auto"/>
        <w:ind w:left="284"/>
        <w:jc w:val="both"/>
        <w:rPr>
          <w:rFonts w:cs="Times New Roman"/>
          <w:szCs w:val="24"/>
        </w:rPr>
      </w:pPr>
    </w:p>
    <w:p w14:paraId="2A636DB6" w14:textId="2631E4B6" w:rsidR="0066627E" w:rsidRPr="00D25D44" w:rsidRDefault="005029FE" w:rsidP="00994D55">
      <w:pPr>
        <w:spacing w:line="240" w:lineRule="auto"/>
        <w:ind w:left="284"/>
        <w:jc w:val="both"/>
        <w:rPr>
          <w:rFonts w:cs="Times New Roman"/>
          <w:szCs w:val="24"/>
        </w:rPr>
      </w:pPr>
      <w:r w:rsidRPr="005D0AE4">
        <w:rPr>
          <w:rFonts w:cs="Times New Roman"/>
          <w:sz w:val="22"/>
        </w:rPr>
        <w:t xml:space="preserve">… </w:t>
      </w:r>
      <w:r w:rsidR="0066627E" w:rsidRPr="005D0AE4">
        <w:rPr>
          <w:rFonts w:cs="Times New Roman"/>
          <w:i/>
          <w:sz w:val="22"/>
        </w:rPr>
        <w:t xml:space="preserve">deben razonablemente tomar en consideración (para efectos de ofrecer los planes de retiro de los fondos del ROPC y hacer dicha entrega en tractos), la edad en la que la persona se jubila, </w:t>
      </w:r>
      <w:r w:rsidR="0066627E" w:rsidRPr="005D0AE4">
        <w:rPr>
          <w:rFonts w:cs="Times New Roman"/>
          <w:b/>
          <w:i/>
          <w:sz w:val="22"/>
        </w:rPr>
        <w:t>con respecto a su esperanza de vida, la cual para los costarricenses y, según informe rendido por el Ministro de Salud, se encuentra fijada en el caso de los hombres para 77.8 años y para las mujeres en 82.9 años</w:t>
      </w:r>
      <w:r w:rsidR="0066627E" w:rsidRPr="005D0AE4">
        <w:rPr>
          <w:rFonts w:cs="Times New Roman"/>
          <w:i/>
          <w:sz w:val="22"/>
        </w:rPr>
        <w:t>, conforme los datos más recientes correspondientes al año 2018 emitidos por el INEC</w:t>
      </w:r>
      <w:r w:rsidR="0066627E" w:rsidRPr="005D0AE4">
        <w:rPr>
          <w:rFonts w:cs="Times New Roman"/>
          <w:sz w:val="22"/>
        </w:rPr>
        <w:t>.</w:t>
      </w:r>
      <w:r w:rsidR="001B7AEB" w:rsidRPr="00D25D44">
        <w:rPr>
          <w:rFonts w:cs="Times New Roman"/>
          <w:szCs w:val="24"/>
        </w:rPr>
        <w:t xml:space="preserve"> </w:t>
      </w:r>
      <w:r w:rsidRPr="00B26F20">
        <w:rPr>
          <w:rFonts w:cs="Times New Roman"/>
          <w:sz w:val="20"/>
          <w:szCs w:val="20"/>
        </w:rPr>
        <w:t>[Lo resaltado no es del original</w:t>
      </w:r>
      <w:r>
        <w:rPr>
          <w:rFonts w:cs="Times New Roman"/>
          <w:sz w:val="20"/>
          <w:szCs w:val="20"/>
        </w:rPr>
        <w:t>].</w:t>
      </w:r>
    </w:p>
    <w:p w14:paraId="32E7DFBF" w14:textId="77777777" w:rsidR="0066627E" w:rsidRPr="00D25D44" w:rsidRDefault="0066627E" w:rsidP="00994D55">
      <w:pPr>
        <w:spacing w:line="240" w:lineRule="auto"/>
        <w:ind w:left="284"/>
        <w:jc w:val="both"/>
        <w:rPr>
          <w:rFonts w:cs="Times New Roman"/>
          <w:szCs w:val="24"/>
        </w:rPr>
      </w:pPr>
    </w:p>
    <w:p w14:paraId="047F75A3" w14:textId="6977361E" w:rsidR="0066627E" w:rsidRPr="00D25D44" w:rsidRDefault="005029FE" w:rsidP="00994D55">
      <w:pPr>
        <w:spacing w:line="240" w:lineRule="auto"/>
        <w:ind w:left="284"/>
        <w:jc w:val="both"/>
        <w:rPr>
          <w:rFonts w:cs="Times New Roman"/>
          <w:szCs w:val="24"/>
        </w:rPr>
      </w:pPr>
      <w:r w:rsidRPr="005D0AE4">
        <w:rPr>
          <w:rFonts w:cs="Times New Roman"/>
          <w:sz w:val="22"/>
        </w:rPr>
        <w:t xml:space="preserve">… </w:t>
      </w:r>
      <w:r w:rsidR="0066627E" w:rsidRPr="005D0AE4">
        <w:rPr>
          <w:rFonts w:cs="Times New Roman"/>
          <w:i/>
          <w:sz w:val="22"/>
        </w:rPr>
        <w:t xml:space="preserve">determinar </w:t>
      </w:r>
      <w:r w:rsidR="0066627E" w:rsidRPr="005D0AE4">
        <w:rPr>
          <w:rFonts w:cs="Times New Roman"/>
          <w:b/>
          <w:i/>
          <w:sz w:val="22"/>
        </w:rPr>
        <w:t>si una persona podrá o no disfrutar realmente en vida, mientras se encuentre en condiciones, al menos aptas de salud</w:t>
      </w:r>
      <w:r w:rsidR="0066627E" w:rsidRPr="005D0AE4">
        <w:rPr>
          <w:rFonts w:cs="Times New Roman"/>
          <w:i/>
          <w:sz w:val="22"/>
        </w:rPr>
        <w:t xml:space="preserve"> y, sobre todo, durante un espacio de tiempo adecuado o razonable, el dinero bajo estudio y, por consiguiente, si este último se le podrá entregar en tractos hasta su fallecimiento (tal y como actualmente está establecido) o bien, si dicho acto se debe llevar a cabo excepcionalmente dentro de plazos muchos más cortos, tomando como parámetro su expectativa de vida.</w:t>
      </w:r>
      <w:r w:rsidR="00B91A9B" w:rsidRPr="00D25D44">
        <w:rPr>
          <w:rFonts w:cs="Times New Roman"/>
          <w:szCs w:val="24"/>
        </w:rPr>
        <w:t xml:space="preserve"> </w:t>
      </w:r>
      <w:r w:rsidRPr="00B26F20">
        <w:rPr>
          <w:rFonts w:cs="Times New Roman"/>
          <w:sz w:val="20"/>
          <w:szCs w:val="20"/>
        </w:rPr>
        <w:t>[Lo resaltado no es del original</w:t>
      </w:r>
      <w:r>
        <w:rPr>
          <w:rFonts w:cs="Times New Roman"/>
          <w:sz w:val="20"/>
          <w:szCs w:val="20"/>
        </w:rPr>
        <w:t>].</w:t>
      </w:r>
    </w:p>
    <w:p w14:paraId="53CC111A" w14:textId="77777777" w:rsidR="00B91A9B" w:rsidRPr="00D25D44" w:rsidRDefault="00B91A9B" w:rsidP="00994D55">
      <w:pPr>
        <w:spacing w:line="240" w:lineRule="auto"/>
        <w:ind w:left="284"/>
        <w:jc w:val="both"/>
        <w:rPr>
          <w:rFonts w:cs="Times New Roman"/>
          <w:szCs w:val="24"/>
        </w:rPr>
      </w:pPr>
    </w:p>
    <w:p w14:paraId="28D09A20" w14:textId="2CEE58FD" w:rsidR="0066627E" w:rsidRPr="00D25D44" w:rsidRDefault="005029FE" w:rsidP="00994D55">
      <w:pPr>
        <w:spacing w:line="240" w:lineRule="auto"/>
        <w:ind w:left="284"/>
        <w:jc w:val="both"/>
        <w:rPr>
          <w:rFonts w:cs="Times New Roman"/>
          <w:szCs w:val="24"/>
        </w:rPr>
      </w:pPr>
      <w:r w:rsidRPr="005D0AE4">
        <w:rPr>
          <w:rFonts w:cs="Times New Roman"/>
          <w:sz w:val="22"/>
        </w:rPr>
        <w:t xml:space="preserve">… </w:t>
      </w:r>
      <w:r w:rsidR="0066627E" w:rsidRPr="005D0AE4">
        <w:rPr>
          <w:rFonts w:cs="Times New Roman"/>
          <w:i/>
          <w:sz w:val="22"/>
        </w:rPr>
        <w:t xml:space="preserve">una persona que se jubila aproximadamente a los 65 años (como sucede con la mayoría de la población costarricense) o a menor edad, claramente puede disfrutar –conforme a los parámetros de expectativa de vida citados–, del dinero </w:t>
      </w:r>
      <w:r w:rsidR="0066627E" w:rsidRPr="005D0AE4">
        <w:rPr>
          <w:rFonts w:cs="Times New Roman"/>
          <w:b/>
          <w:i/>
          <w:sz w:val="22"/>
        </w:rPr>
        <w:t>correspondiente al ROPC durante muchos más años más e invertirlo, incluso, en aquellas necesidades o proyectos que a bien tenga.</w:t>
      </w:r>
      <w:r w:rsidR="0066627E" w:rsidRPr="005D0AE4">
        <w:rPr>
          <w:rFonts w:cs="Times New Roman"/>
          <w:i/>
          <w:sz w:val="22"/>
        </w:rPr>
        <w:t xml:space="preserve"> Caso contrario a lo que sucede con una persona que se pensiona a una edad sustancialmente mucho mayor (v. gr. a los 77 años o más) y que, por ende, tomando en cuenta su expectativa de vida, no podrá disfrutar o hacer uso de ese dinero por muchos más años, sino considerablemente por poco tiempo, a saber, por algunos meses (tratándose de hombres) y de escasos 5 años (para el caso de las mujeres), causándoles con esto un grave perjuicio</w:t>
      </w:r>
      <w:r w:rsidR="0066627E" w:rsidRPr="005D0AE4">
        <w:rPr>
          <w:rFonts w:cs="Times New Roman"/>
          <w:sz w:val="22"/>
        </w:rPr>
        <w:t>.</w:t>
      </w:r>
      <w:r w:rsidR="00D256C5" w:rsidRPr="00D25D44">
        <w:rPr>
          <w:rFonts w:cs="Times New Roman"/>
          <w:szCs w:val="24"/>
        </w:rPr>
        <w:t xml:space="preserve"> </w:t>
      </w:r>
      <w:r w:rsidRPr="00B26F20">
        <w:rPr>
          <w:rFonts w:cs="Times New Roman"/>
          <w:sz w:val="20"/>
          <w:szCs w:val="20"/>
        </w:rPr>
        <w:t>[Lo resaltado no es del original</w:t>
      </w:r>
      <w:r>
        <w:rPr>
          <w:rFonts w:cs="Times New Roman"/>
          <w:sz w:val="20"/>
          <w:szCs w:val="20"/>
        </w:rPr>
        <w:t>].</w:t>
      </w:r>
    </w:p>
    <w:p w14:paraId="24957823" w14:textId="77777777" w:rsidR="00D256C5" w:rsidRPr="00D25D44" w:rsidRDefault="00D256C5" w:rsidP="00994D55">
      <w:pPr>
        <w:spacing w:line="240" w:lineRule="auto"/>
        <w:ind w:left="284"/>
        <w:jc w:val="both"/>
        <w:rPr>
          <w:rFonts w:cs="Times New Roman"/>
          <w:szCs w:val="24"/>
        </w:rPr>
      </w:pPr>
    </w:p>
    <w:p w14:paraId="65B58208" w14:textId="6F5CB597" w:rsidR="0066627E" w:rsidRPr="00D25D44" w:rsidRDefault="000B10D3" w:rsidP="00994D55">
      <w:pPr>
        <w:spacing w:line="240" w:lineRule="auto"/>
        <w:ind w:left="284"/>
        <w:jc w:val="both"/>
        <w:rPr>
          <w:rFonts w:cs="Times New Roman"/>
          <w:szCs w:val="24"/>
        </w:rPr>
      </w:pPr>
      <w:r w:rsidRPr="00D25D44">
        <w:rPr>
          <w:rFonts w:cs="Times New Roman"/>
          <w:szCs w:val="24"/>
        </w:rPr>
        <w:t xml:space="preserve"> </w:t>
      </w:r>
      <w:r w:rsidR="005029FE" w:rsidRPr="005D0AE4">
        <w:rPr>
          <w:rFonts w:cs="Times New Roman"/>
          <w:sz w:val="22"/>
        </w:rPr>
        <w:t xml:space="preserve">… </w:t>
      </w:r>
      <w:r w:rsidR="0066627E" w:rsidRPr="005D0AE4">
        <w:rPr>
          <w:rFonts w:cs="Times New Roman"/>
          <w:i/>
          <w:sz w:val="22"/>
        </w:rPr>
        <w:t xml:space="preserve">e independientemente del plan de retiro por el que opte el solicitante, de forma tal que permita que a una persona que se pensiona a muy tarde edad se le entregue la totalidad del dinero en cuestión dentro de un plazo mucho más corto (comprendido desde que suscribe el referido plan, hasta que cumpla la edad fijada como esperanza de vida), </w:t>
      </w:r>
      <w:r w:rsidR="0066627E" w:rsidRPr="005D0AE4">
        <w:rPr>
          <w:rFonts w:cs="Times New Roman"/>
          <w:b/>
          <w:i/>
          <w:sz w:val="22"/>
        </w:rPr>
        <w:t>con el fin, consecuentemente, que pueda disfrutar plenamente de este</w:t>
      </w:r>
      <w:r w:rsidR="0066627E" w:rsidRPr="000B10D3">
        <w:rPr>
          <w:rFonts w:cs="Times New Roman"/>
          <w:i/>
          <w:szCs w:val="24"/>
        </w:rPr>
        <w:t>.</w:t>
      </w:r>
      <w:r w:rsidR="005029FE" w:rsidRPr="005029FE">
        <w:rPr>
          <w:rFonts w:cs="Times New Roman"/>
          <w:sz w:val="20"/>
          <w:szCs w:val="20"/>
        </w:rPr>
        <w:t xml:space="preserve"> </w:t>
      </w:r>
      <w:r w:rsidR="005029FE" w:rsidRPr="00B26F20">
        <w:rPr>
          <w:rFonts w:cs="Times New Roman"/>
          <w:sz w:val="20"/>
          <w:szCs w:val="20"/>
        </w:rPr>
        <w:t>[Lo resaltado no es del original</w:t>
      </w:r>
      <w:r w:rsidR="005029FE">
        <w:rPr>
          <w:rFonts w:cs="Times New Roman"/>
          <w:sz w:val="20"/>
          <w:szCs w:val="20"/>
        </w:rPr>
        <w:t>].</w:t>
      </w:r>
    </w:p>
    <w:p w14:paraId="7F4A66E3" w14:textId="77777777" w:rsidR="0066627E" w:rsidRPr="00D25D44" w:rsidRDefault="0066627E" w:rsidP="00994D55">
      <w:pPr>
        <w:spacing w:line="240" w:lineRule="auto"/>
        <w:ind w:left="284"/>
        <w:jc w:val="both"/>
        <w:rPr>
          <w:rFonts w:cs="Times New Roman"/>
          <w:szCs w:val="24"/>
        </w:rPr>
      </w:pPr>
    </w:p>
    <w:p w14:paraId="645A0793" w14:textId="4EBBDB2F" w:rsidR="0066627E" w:rsidRPr="00BB0920" w:rsidRDefault="00BB0920" w:rsidP="00994D55">
      <w:pPr>
        <w:spacing w:line="240" w:lineRule="auto"/>
        <w:ind w:left="284"/>
        <w:jc w:val="both"/>
        <w:rPr>
          <w:rFonts w:cs="Times New Roman"/>
          <w:i/>
          <w:szCs w:val="24"/>
        </w:rPr>
      </w:pPr>
      <w:r w:rsidRPr="00D25D44">
        <w:rPr>
          <w:rFonts w:cs="Times New Roman"/>
          <w:szCs w:val="24"/>
        </w:rPr>
        <w:t xml:space="preserve"> </w:t>
      </w:r>
      <w:r w:rsidR="007C2D06" w:rsidRPr="005D0AE4">
        <w:rPr>
          <w:rFonts w:cs="Times New Roman"/>
          <w:i/>
          <w:sz w:val="22"/>
        </w:rPr>
        <w:t>…</w:t>
      </w:r>
      <w:r w:rsidR="0066627E" w:rsidRPr="005D0AE4">
        <w:rPr>
          <w:rFonts w:cs="Times New Roman"/>
          <w:i/>
          <w:sz w:val="22"/>
        </w:rPr>
        <w:t xml:space="preserve"> </w:t>
      </w:r>
      <w:r w:rsidR="0066627E" w:rsidRPr="005D0AE4">
        <w:rPr>
          <w:rFonts w:cs="Times New Roman"/>
          <w:b/>
          <w:i/>
          <w:sz w:val="22"/>
        </w:rPr>
        <w:t>la interesada es una persona adulta mayor que se acogió a su pensión a una edad que supera abismalmente la edad en la que ordinariamente las generalidad de las personas en este país se jubilan, en este caso en particular a sus 77 años</w:t>
      </w:r>
      <w:r w:rsidR="0066627E" w:rsidRPr="005D0AE4">
        <w:rPr>
          <w:rFonts w:cs="Times New Roman"/>
          <w:i/>
          <w:sz w:val="22"/>
        </w:rPr>
        <w:t>, y a quien se le ha indicado –por parte de la Operadora de Pensiones BN Vital, siguiendo a su vez los parámetros fijados por la SUPEN–, que debe suscribir un plan de retiro programado o bien un plan de renta permanente para brindarle en tractos o de forma periódica los fondos correspondientes a su pensión complementaria hasta el día de su muerte, dado que no cumple con los requisitos establecidos para percibir en su totalidad estos últimos.</w:t>
      </w:r>
      <w:r w:rsidR="00073D77" w:rsidRPr="00BB0920">
        <w:rPr>
          <w:rFonts w:cs="Times New Roman"/>
          <w:i/>
          <w:szCs w:val="24"/>
        </w:rPr>
        <w:t xml:space="preserve"> </w:t>
      </w:r>
      <w:r w:rsidR="007C2D06" w:rsidRPr="00B26F20">
        <w:rPr>
          <w:rFonts w:cs="Times New Roman"/>
          <w:sz w:val="20"/>
          <w:szCs w:val="20"/>
        </w:rPr>
        <w:t>[Lo resaltado no es del original</w:t>
      </w:r>
      <w:r w:rsidR="007C2D06">
        <w:rPr>
          <w:rFonts w:cs="Times New Roman"/>
          <w:sz w:val="20"/>
          <w:szCs w:val="20"/>
        </w:rPr>
        <w:t>].</w:t>
      </w:r>
    </w:p>
    <w:p w14:paraId="18C0D0F3" w14:textId="77777777" w:rsidR="00073D77" w:rsidRPr="00D25D44" w:rsidRDefault="00073D77" w:rsidP="00994D55">
      <w:pPr>
        <w:spacing w:line="240" w:lineRule="auto"/>
        <w:ind w:left="284"/>
        <w:jc w:val="both"/>
        <w:rPr>
          <w:rFonts w:cs="Times New Roman"/>
          <w:szCs w:val="24"/>
        </w:rPr>
      </w:pPr>
    </w:p>
    <w:p w14:paraId="6D7CDF4D" w14:textId="15F83B13" w:rsidR="00717585" w:rsidRPr="00D25D44" w:rsidRDefault="0066627E" w:rsidP="00994D55">
      <w:pPr>
        <w:spacing w:line="240" w:lineRule="auto"/>
        <w:ind w:left="284"/>
        <w:jc w:val="both"/>
        <w:rPr>
          <w:rFonts w:cs="Times New Roman"/>
          <w:szCs w:val="24"/>
        </w:rPr>
      </w:pPr>
      <w:r w:rsidRPr="005D0AE4">
        <w:rPr>
          <w:rFonts w:cs="Times New Roman"/>
          <w:i/>
          <w:sz w:val="22"/>
        </w:rPr>
        <w:t xml:space="preserve">Situación anterior que, sin lugar a dudas –según se explicó líneas arriba–, </w:t>
      </w:r>
      <w:r w:rsidRPr="005D0AE4">
        <w:rPr>
          <w:rFonts w:cs="Times New Roman"/>
          <w:b/>
          <w:i/>
          <w:sz w:val="22"/>
        </w:rPr>
        <w:t>le reduce a la tutelada considerablemente el plazo dentro del cual podrá disfrutar de su pensión y coarta sus posibilidades de emplear los montos que ha ahorrado durante años en aquellos proyectos o actividades que a bien tenga</w:t>
      </w:r>
      <w:r w:rsidRPr="005D0AE4">
        <w:rPr>
          <w:rFonts w:cs="Times New Roman"/>
          <w:i/>
          <w:sz w:val="22"/>
        </w:rPr>
        <w:t>, tornándose por consiguiente dicha disposición claramente en arbitraria, irrazonable y desproporcionada.</w:t>
      </w:r>
      <w:r w:rsidR="00717585" w:rsidRPr="00D25D44">
        <w:rPr>
          <w:rFonts w:cs="Times New Roman"/>
          <w:szCs w:val="24"/>
        </w:rPr>
        <w:t xml:space="preserve"> </w:t>
      </w:r>
      <w:r w:rsidR="007C2D06" w:rsidRPr="00B26F20">
        <w:rPr>
          <w:rFonts w:cs="Times New Roman"/>
          <w:sz w:val="20"/>
          <w:szCs w:val="20"/>
        </w:rPr>
        <w:t>[Lo resaltado no es del original</w:t>
      </w:r>
      <w:r w:rsidR="007C2D06">
        <w:rPr>
          <w:rFonts w:cs="Times New Roman"/>
          <w:sz w:val="20"/>
          <w:szCs w:val="20"/>
        </w:rPr>
        <w:t>].</w:t>
      </w:r>
    </w:p>
    <w:p w14:paraId="5AF8CF21" w14:textId="77777777" w:rsidR="00073D77" w:rsidRPr="00D25D44" w:rsidRDefault="00073D77" w:rsidP="00994D55">
      <w:pPr>
        <w:spacing w:line="240" w:lineRule="auto"/>
        <w:ind w:left="284"/>
        <w:jc w:val="both"/>
        <w:rPr>
          <w:rFonts w:cs="Times New Roman"/>
          <w:szCs w:val="24"/>
        </w:rPr>
      </w:pPr>
    </w:p>
    <w:p w14:paraId="09CF3562" w14:textId="2EA9AA3E" w:rsidR="00717585" w:rsidRPr="00D25D44" w:rsidRDefault="007C2D06" w:rsidP="00994D55">
      <w:pPr>
        <w:spacing w:line="240" w:lineRule="auto"/>
        <w:ind w:left="284"/>
        <w:jc w:val="both"/>
        <w:rPr>
          <w:rFonts w:cs="Times New Roman"/>
          <w:szCs w:val="24"/>
        </w:rPr>
      </w:pPr>
      <w:r w:rsidRPr="005D0AE4">
        <w:rPr>
          <w:rFonts w:cs="Times New Roman"/>
          <w:sz w:val="22"/>
        </w:rPr>
        <w:t xml:space="preserve">… </w:t>
      </w:r>
      <w:r w:rsidR="0066627E" w:rsidRPr="005D0AE4">
        <w:rPr>
          <w:rFonts w:cs="Times New Roman"/>
          <w:i/>
          <w:sz w:val="22"/>
        </w:rPr>
        <w:t xml:space="preserve">el propósito que los recurridos le otorguen a la amparada la totalidad del dinero correspondiente al ROPC, en tractos mensuales, a partir del día en que esta –previo cumplimiento de los requisitos señalados al efecto–, suscriba el plan de su mayor conveniencia (sea retiro programado o renta permanente) y hasta la fecha en que cumpla con la edad fijada como esperanza de vida (82.9 años), produciéndose así una desacumulación de los referidos fondos </w:t>
      </w:r>
      <w:r w:rsidR="0066627E" w:rsidRPr="005D0AE4">
        <w:rPr>
          <w:rFonts w:cs="Times New Roman"/>
          <w:b/>
          <w:i/>
          <w:sz w:val="22"/>
        </w:rPr>
        <w:t>dentro de un plazo más razonable y proporcionalmente más corto, ajustado a la realidad y a la situación excepcionalísima</w:t>
      </w:r>
      <w:r w:rsidR="0066627E" w:rsidRPr="005D0AE4">
        <w:rPr>
          <w:rFonts w:cs="Times New Roman"/>
          <w:i/>
          <w:sz w:val="22"/>
        </w:rPr>
        <w:t xml:space="preserve"> citada</w:t>
      </w:r>
      <w:r w:rsidR="009E30FD" w:rsidRPr="005D0AE4">
        <w:rPr>
          <w:rFonts w:cs="Times New Roman"/>
          <w:i/>
          <w:sz w:val="22"/>
        </w:rPr>
        <w:t>…</w:t>
      </w:r>
      <w:r w:rsidR="00BB0920">
        <w:rPr>
          <w:rFonts w:cs="Times New Roman"/>
          <w:szCs w:val="24"/>
        </w:rPr>
        <w:t xml:space="preserve"> </w:t>
      </w:r>
      <w:r w:rsidR="009E30FD" w:rsidRPr="00B26F20">
        <w:rPr>
          <w:rFonts w:cs="Times New Roman"/>
          <w:sz w:val="20"/>
          <w:szCs w:val="20"/>
        </w:rPr>
        <w:t>[Lo resaltado no es del original</w:t>
      </w:r>
      <w:r w:rsidR="009E30FD">
        <w:rPr>
          <w:rFonts w:cs="Times New Roman"/>
          <w:sz w:val="20"/>
          <w:szCs w:val="20"/>
        </w:rPr>
        <w:t>].</w:t>
      </w:r>
      <w:r w:rsidR="009E30FD">
        <w:rPr>
          <w:rFonts w:cs="Times New Roman"/>
          <w:szCs w:val="24"/>
        </w:rPr>
        <w:t xml:space="preserve"> </w:t>
      </w:r>
    </w:p>
    <w:p w14:paraId="24381C31" w14:textId="77777777" w:rsidR="0066627E" w:rsidRPr="00D25D44" w:rsidRDefault="0066627E" w:rsidP="00F835B7">
      <w:pPr>
        <w:spacing w:line="240" w:lineRule="auto"/>
        <w:ind w:left="708"/>
        <w:jc w:val="both"/>
        <w:rPr>
          <w:rFonts w:cs="Times New Roman"/>
          <w:szCs w:val="24"/>
        </w:rPr>
      </w:pPr>
    </w:p>
    <w:p w14:paraId="179E3CF9" w14:textId="6BEF4E67" w:rsidR="0066627E" w:rsidRDefault="00EF72A1" w:rsidP="0066627E">
      <w:pPr>
        <w:spacing w:line="240" w:lineRule="auto"/>
        <w:jc w:val="both"/>
        <w:rPr>
          <w:rFonts w:cs="Times New Roman"/>
          <w:szCs w:val="24"/>
        </w:rPr>
      </w:pPr>
      <w:r>
        <w:rPr>
          <w:rFonts w:cs="Times New Roman"/>
          <w:szCs w:val="24"/>
        </w:rPr>
        <w:t xml:space="preserve">Se desprende de </w:t>
      </w:r>
      <w:r w:rsidR="00911736">
        <w:rPr>
          <w:rFonts w:cs="Times New Roman"/>
          <w:szCs w:val="24"/>
        </w:rPr>
        <w:t xml:space="preserve">estos extractos que </w:t>
      </w:r>
      <w:r w:rsidR="00826872">
        <w:rPr>
          <w:rFonts w:cs="Times New Roman"/>
          <w:szCs w:val="24"/>
        </w:rPr>
        <w:t xml:space="preserve">en este voto </w:t>
      </w:r>
      <w:r w:rsidR="00E64A8F">
        <w:rPr>
          <w:rFonts w:cs="Times New Roman"/>
          <w:szCs w:val="24"/>
        </w:rPr>
        <w:t xml:space="preserve">la Sala Constitucional asimila el ROP con un ahorro </w:t>
      </w:r>
      <w:r w:rsidR="00C36E0A">
        <w:rPr>
          <w:rFonts w:cs="Times New Roman"/>
          <w:szCs w:val="24"/>
        </w:rPr>
        <w:t>que</w:t>
      </w:r>
      <w:r w:rsidR="00F11E14">
        <w:rPr>
          <w:rFonts w:cs="Times New Roman"/>
          <w:szCs w:val="24"/>
        </w:rPr>
        <w:t xml:space="preserve"> debe servir para </w:t>
      </w:r>
      <w:r w:rsidR="00E64A8F">
        <w:rPr>
          <w:rFonts w:cs="Times New Roman"/>
          <w:szCs w:val="24"/>
        </w:rPr>
        <w:t xml:space="preserve">el </w:t>
      </w:r>
      <w:r w:rsidR="006E47C8">
        <w:rPr>
          <w:rFonts w:cs="Times New Roman"/>
          <w:szCs w:val="24"/>
        </w:rPr>
        <w:t xml:space="preserve">disfrute del </w:t>
      </w:r>
      <w:r w:rsidR="00E64A8F">
        <w:rPr>
          <w:rFonts w:cs="Times New Roman"/>
          <w:szCs w:val="24"/>
        </w:rPr>
        <w:t xml:space="preserve">pensionado </w:t>
      </w:r>
      <w:r w:rsidR="006E47C8">
        <w:rPr>
          <w:rFonts w:cs="Times New Roman"/>
          <w:szCs w:val="24"/>
        </w:rPr>
        <w:t xml:space="preserve">en el momento en que puede </w:t>
      </w:r>
      <w:r w:rsidR="00E64A8F">
        <w:rPr>
          <w:rFonts w:cs="Times New Roman"/>
          <w:szCs w:val="24"/>
        </w:rPr>
        <w:t>realizar proyectos y go</w:t>
      </w:r>
      <w:r w:rsidR="00A47644">
        <w:rPr>
          <w:rFonts w:cs="Times New Roman"/>
          <w:szCs w:val="24"/>
        </w:rPr>
        <w:t>za</w:t>
      </w:r>
      <w:r w:rsidR="00E64A8F">
        <w:rPr>
          <w:rFonts w:cs="Times New Roman"/>
          <w:szCs w:val="24"/>
        </w:rPr>
        <w:t xml:space="preserve"> de buena salud</w:t>
      </w:r>
      <w:r w:rsidR="00A47644">
        <w:rPr>
          <w:rFonts w:cs="Times New Roman"/>
          <w:szCs w:val="24"/>
        </w:rPr>
        <w:t>.</w:t>
      </w:r>
      <w:r w:rsidR="00826872">
        <w:rPr>
          <w:rFonts w:cs="Times New Roman"/>
          <w:szCs w:val="24"/>
        </w:rPr>
        <w:t xml:space="preserve"> </w:t>
      </w:r>
      <w:r w:rsidR="00C36E0A">
        <w:rPr>
          <w:rFonts w:cs="Times New Roman"/>
          <w:szCs w:val="24"/>
        </w:rPr>
        <w:t>No obstante, e</w:t>
      </w:r>
      <w:r w:rsidR="00A47644">
        <w:rPr>
          <w:rFonts w:cs="Times New Roman"/>
          <w:szCs w:val="24"/>
        </w:rPr>
        <w:t xml:space="preserve">sta posición se </w:t>
      </w:r>
      <w:r w:rsidR="00F4135C">
        <w:rPr>
          <w:rFonts w:cs="Times New Roman"/>
          <w:szCs w:val="24"/>
        </w:rPr>
        <w:t>contrapone</w:t>
      </w:r>
      <w:r w:rsidR="008C0B57">
        <w:rPr>
          <w:rFonts w:cs="Times New Roman"/>
          <w:szCs w:val="24"/>
        </w:rPr>
        <w:t xml:space="preserve"> la sostenida por ese </w:t>
      </w:r>
      <w:r w:rsidR="004F4AFF">
        <w:rPr>
          <w:rFonts w:cs="Times New Roman"/>
          <w:szCs w:val="24"/>
        </w:rPr>
        <w:t>T</w:t>
      </w:r>
      <w:r w:rsidR="008C0B57">
        <w:rPr>
          <w:rFonts w:cs="Times New Roman"/>
          <w:szCs w:val="24"/>
        </w:rPr>
        <w:t xml:space="preserve">ribunal </w:t>
      </w:r>
      <w:r w:rsidR="004F4AFF">
        <w:rPr>
          <w:rFonts w:cs="Times New Roman"/>
          <w:szCs w:val="24"/>
        </w:rPr>
        <w:t>C</w:t>
      </w:r>
      <w:r w:rsidR="008C0B57">
        <w:rPr>
          <w:rFonts w:cs="Times New Roman"/>
          <w:szCs w:val="24"/>
        </w:rPr>
        <w:t xml:space="preserve">onstitucional </w:t>
      </w:r>
      <w:r w:rsidR="00DF3385">
        <w:rPr>
          <w:rFonts w:cs="Times New Roman"/>
          <w:szCs w:val="24"/>
        </w:rPr>
        <w:t>en el voto 3343-2014</w:t>
      </w:r>
      <w:r w:rsidR="00E35061">
        <w:rPr>
          <w:rFonts w:cs="Times New Roman"/>
          <w:szCs w:val="24"/>
        </w:rPr>
        <w:t xml:space="preserve">, en el cual señaló que: </w:t>
      </w:r>
    </w:p>
    <w:p w14:paraId="74A21153" w14:textId="4A68898D" w:rsidR="00E64A8F" w:rsidRDefault="00E64A8F" w:rsidP="0066627E">
      <w:pPr>
        <w:spacing w:line="240" w:lineRule="auto"/>
        <w:jc w:val="both"/>
        <w:rPr>
          <w:rFonts w:cs="Times New Roman"/>
          <w:szCs w:val="24"/>
        </w:rPr>
      </w:pPr>
    </w:p>
    <w:p w14:paraId="3348612F" w14:textId="77777777" w:rsidR="003C76F8" w:rsidRPr="00D25D44" w:rsidRDefault="00E64A8F" w:rsidP="003C76F8">
      <w:pPr>
        <w:spacing w:line="240" w:lineRule="auto"/>
        <w:ind w:left="284"/>
        <w:jc w:val="both"/>
        <w:rPr>
          <w:rFonts w:cs="Times New Roman"/>
          <w:szCs w:val="24"/>
        </w:rPr>
      </w:pPr>
      <w:r w:rsidRPr="003C76F8">
        <w:rPr>
          <w:rFonts w:cs="Times New Roman"/>
          <w:b/>
          <w:i/>
          <w:sz w:val="22"/>
        </w:rPr>
        <w:t>Resulta lógico y razonable que, por regla general, no sea posible retirar la totalidad de los recursos acumulados en la cuenta individual,</w:t>
      </w:r>
      <w:r w:rsidRPr="003C76F8">
        <w:rPr>
          <w:rFonts w:cs="Times New Roman"/>
          <w:i/>
          <w:sz w:val="22"/>
        </w:rPr>
        <w:t xml:space="preserve"> </w:t>
      </w:r>
      <w:r w:rsidRPr="003C76F8">
        <w:rPr>
          <w:rFonts w:cs="Times New Roman"/>
          <w:b/>
          <w:i/>
          <w:sz w:val="22"/>
        </w:rPr>
        <w:t>pues se desvirtuaría la naturaleza de la pensión, para convertirla en una especie de ahorro o depósito a plazo</w:t>
      </w:r>
      <w:r w:rsidRPr="003C76F8">
        <w:rPr>
          <w:rFonts w:cs="Times New Roman"/>
          <w:i/>
          <w:sz w:val="22"/>
        </w:rPr>
        <w:t>; igualmente, el cumplimiento del fin para el cual el régimen obligatorio de pensiones complementarias fue creado, estaría en peligro, al posibilitar a los trabajadores y trabajadoras disponer de los recursos con un objetivo distinto. En suma, el régimen obligatorio de pensiones complementarias perdería su sentido y funcionalidad.</w:t>
      </w:r>
      <w:r w:rsidR="00114E37">
        <w:rPr>
          <w:rFonts w:cs="Times New Roman"/>
          <w:szCs w:val="24"/>
        </w:rPr>
        <w:t xml:space="preserve"> </w:t>
      </w:r>
      <w:r w:rsidR="003C76F8" w:rsidRPr="00B26F20">
        <w:rPr>
          <w:rFonts w:cs="Times New Roman"/>
          <w:sz w:val="20"/>
          <w:szCs w:val="20"/>
        </w:rPr>
        <w:t>[Lo resaltado no es del original</w:t>
      </w:r>
      <w:r w:rsidR="003C76F8">
        <w:rPr>
          <w:rFonts w:cs="Times New Roman"/>
          <w:sz w:val="20"/>
          <w:szCs w:val="20"/>
        </w:rPr>
        <w:t>].</w:t>
      </w:r>
      <w:r w:rsidR="003C76F8">
        <w:rPr>
          <w:rFonts w:cs="Times New Roman"/>
          <w:szCs w:val="24"/>
        </w:rPr>
        <w:t xml:space="preserve"> </w:t>
      </w:r>
    </w:p>
    <w:p w14:paraId="6E50028D" w14:textId="1AA9F739" w:rsidR="00E64A8F" w:rsidRDefault="00E64A8F" w:rsidP="0066627E">
      <w:pPr>
        <w:spacing w:line="240" w:lineRule="auto"/>
        <w:jc w:val="both"/>
        <w:rPr>
          <w:rFonts w:cs="Times New Roman"/>
          <w:szCs w:val="24"/>
        </w:rPr>
      </w:pPr>
    </w:p>
    <w:p w14:paraId="057DFF68" w14:textId="3404496D" w:rsidR="00D83911" w:rsidRPr="001C52E4" w:rsidRDefault="005B10D7" w:rsidP="0066627E">
      <w:pPr>
        <w:spacing w:line="240" w:lineRule="auto"/>
        <w:jc w:val="both"/>
        <w:rPr>
          <w:rFonts w:cs="Times New Roman"/>
          <w:szCs w:val="24"/>
        </w:rPr>
      </w:pPr>
      <w:r>
        <w:rPr>
          <w:rFonts w:cs="Times New Roman"/>
          <w:szCs w:val="24"/>
        </w:rPr>
        <w:t xml:space="preserve">A partir de lo expuesto, es posible indicar que </w:t>
      </w:r>
      <w:r w:rsidR="005D6B09" w:rsidRPr="001C52E4">
        <w:rPr>
          <w:rFonts w:cs="Times New Roman"/>
          <w:szCs w:val="24"/>
        </w:rPr>
        <w:t xml:space="preserve">la </w:t>
      </w:r>
      <w:r w:rsidR="005801E1" w:rsidRPr="001C52E4">
        <w:rPr>
          <w:rFonts w:cs="Times New Roman"/>
          <w:szCs w:val="24"/>
        </w:rPr>
        <w:t xml:space="preserve">regla establecida por </w:t>
      </w:r>
      <w:r w:rsidR="005D6B09" w:rsidRPr="001C52E4">
        <w:rPr>
          <w:rFonts w:cs="Times New Roman"/>
          <w:szCs w:val="24"/>
        </w:rPr>
        <w:t xml:space="preserve">la Sala </w:t>
      </w:r>
      <w:r w:rsidR="00593B6F" w:rsidRPr="001C52E4">
        <w:rPr>
          <w:rFonts w:cs="Times New Roman"/>
          <w:szCs w:val="24"/>
        </w:rPr>
        <w:t xml:space="preserve">en el voto 12226-2019 </w:t>
      </w:r>
      <w:r w:rsidR="005D6B09" w:rsidRPr="001C52E4">
        <w:rPr>
          <w:rFonts w:cs="Times New Roman"/>
          <w:szCs w:val="24"/>
        </w:rPr>
        <w:t>es la siguiente:</w:t>
      </w:r>
    </w:p>
    <w:p w14:paraId="348B0D6A" w14:textId="77777777" w:rsidR="005D6B09" w:rsidRPr="001C52E4" w:rsidRDefault="005D6B09" w:rsidP="0066627E">
      <w:pPr>
        <w:spacing w:line="240" w:lineRule="auto"/>
        <w:jc w:val="both"/>
        <w:rPr>
          <w:rFonts w:cs="Times New Roman"/>
          <w:szCs w:val="24"/>
        </w:rPr>
      </w:pPr>
    </w:p>
    <w:p w14:paraId="6CE05B65" w14:textId="368CE75A" w:rsidR="00E64A8F" w:rsidRPr="009B0E0F" w:rsidRDefault="00ED7E82" w:rsidP="00713275">
      <w:pPr>
        <w:pStyle w:val="Prrafodelista"/>
        <w:numPr>
          <w:ilvl w:val="0"/>
          <w:numId w:val="4"/>
        </w:numPr>
        <w:spacing w:line="240" w:lineRule="auto"/>
        <w:jc w:val="both"/>
        <w:rPr>
          <w:rFonts w:ascii="Times New Roman" w:hAnsi="Times New Roman" w:cs="Times New Roman"/>
          <w:sz w:val="24"/>
          <w:szCs w:val="24"/>
        </w:rPr>
      </w:pPr>
      <w:r w:rsidRPr="00711B43">
        <w:rPr>
          <w:rFonts w:ascii="Times New Roman" w:hAnsi="Times New Roman" w:cs="Times New Roman"/>
          <w:sz w:val="24"/>
          <w:szCs w:val="24"/>
        </w:rPr>
        <w:t xml:space="preserve">Las reglas fijadas para la entrega en tractos del artículo 6 del </w:t>
      </w:r>
      <w:r w:rsidR="00BD37D5" w:rsidRPr="00711B43">
        <w:rPr>
          <w:rFonts w:ascii="Times New Roman" w:hAnsi="Times New Roman" w:cs="Times New Roman"/>
          <w:sz w:val="24"/>
          <w:szCs w:val="24"/>
        </w:rPr>
        <w:t>R</w:t>
      </w:r>
      <w:r w:rsidR="004F5C73" w:rsidRPr="00711B43">
        <w:rPr>
          <w:rFonts w:ascii="Times New Roman" w:hAnsi="Times New Roman" w:cs="Times New Roman"/>
          <w:sz w:val="24"/>
          <w:szCs w:val="24"/>
        </w:rPr>
        <w:t>eglamento</w:t>
      </w:r>
      <w:r w:rsidRPr="00711B43">
        <w:rPr>
          <w:rFonts w:ascii="Times New Roman" w:hAnsi="Times New Roman" w:cs="Times New Roman"/>
          <w:sz w:val="24"/>
          <w:szCs w:val="24"/>
        </w:rPr>
        <w:t xml:space="preserve"> </w:t>
      </w:r>
      <w:r w:rsidR="00165B15" w:rsidRPr="00711B43">
        <w:rPr>
          <w:rFonts w:ascii="Times New Roman" w:hAnsi="Times New Roman" w:cs="Times New Roman"/>
          <w:szCs w:val="24"/>
        </w:rPr>
        <w:t>de Beneficios del Régimen de Capitalización Individual</w:t>
      </w:r>
      <w:r w:rsidR="00165B15" w:rsidRPr="00711B43">
        <w:rPr>
          <w:rFonts w:ascii="Times New Roman" w:hAnsi="Times New Roman" w:cs="Times New Roman"/>
          <w:b/>
          <w:sz w:val="24"/>
          <w:szCs w:val="24"/>
        </w:rPr>
        <w:t xml:space="preserve"> </w:t>
      </w:r>
      <w:r w:rsidR="00B915FC" w:rsidRPr="00711B43">
        <w:rPr>
          <w:rFonts w:ascii="Times New Roman" w:hAnsi="Times New Roman" w:cs="Times New Roman"/>
          <w:sz w:val="24"/>
          <w:szCs w:val="24"/>
        </w:rPr>
        <w:t xml:space="preserve">en adelante Reglamento de Beneficios </w:t>
      </w:r>
      <w:r w:rsidRPr="00711B43">
        <w:rPr>
          <w:rFonts w:ascii="Times New Roman" w:hAnsi="Times New Roman" w:cs="Times New Roman"/>
          <w:b/>
          <w:sz w:val="24"/>
          <w:szCs w:val="24"/>
        </w:rPr>
        <w:t>no se deben aplicar de manera uniforme</w:t>
      </w:r>
      <w:r w:rsidRPr="00711B43">
        <w:rPr>
          <w:rFonts w:ascii="Times New Roman" w:hAnsi="Times New Roman" w:cs="Times New Roman"/>
          <w:sz w:val="24"/>
          <w:szCs w:val="24"/>
        </w:rPr>
        <w:t xml:space="preserve"> a todos los beneficiarios del R</w:t>
      </w:r>
      <w:r w:rsidR="00E6741F">
        <w:rPr>
          <w:rFonts w:ascii="Times New Roman" w:hAnsi="Times New Roman" w:cs="Times New Roman"/>
          <w:sz w:val="24"/>
          <w:szCs w:val="24"/>
        </w:rPr>
        <w:t xml:space="preserve">égimen </w:t>
      </w:r>
      <w:r w:rsidRPr="00711B43">
        <w:rPr>
          <w:rFonts w:ascii="Times New Roman" w:hAnsi="Times New Roman" w:cs="Times New Roman"/>
          <w:sz w:val="24"/>
          <w:szCs w:val="24"/>
        </w:rPr>
        <w:t>O</w:t>
      </w:r>
      <w:r w:rsidR="00E6741F">
        <w:rPr>
          <w:rFonts w:ascii="Times New Roman" w:hAnsi="Times New Roman" w:cs="Times New Roman"/>
          <w:sz w:val="24"/>
          <w:szCs w:val="24"/>
        </w:rPr>
        <w:t xml:space="preserve">bligatorio de </w:t>
      </w:r>
      <w:r w:rsidRPr="00711B43">
        <w:rPr>
          <w:rFonts w:ascii="Times New Roman" w:hAnsi="Times New Roman" w:cs="Times New Roman"/>
          <w:sz w:val="24"/>
          <w:szCs w:val="24"/>
        </w:rPr>
        <w:t>P</w:t>
      </w:r>
      <w:r w:rsidR="00E6741F">
        <w:rPr>
          <w:rFonts w:ascii="Times New Roman" w:hAnsi="Times New Roman" w:cs="Times New Roman"/>
          <w:sz w:val="24"/>
          <w:szCs w:val="24"/>
        </w:rPr>
        <w:t>ensiones Complementarias (ROP)</w:t>
      </w:r>
      <w:r w:rsidRPr="00711B43">
        <w:rPr>
          <w:rFonts w:ascii="Times New Roman" w:hAnsi="Times New Roman" w:cs="Times New Roman"/>
          <w:sz w:val="24"/>
          <w:szCs w:val="24"/>
        </w:rPr>
        <w:t xml:space="preserve"> (no cubiertos por</w:t>
      </w:r>
      <w:r w:rsidRPr="00165B15">
        <w:rPr>
          <w:rFonts w:ascii="Times New Roman" w:hAnsi="Times New Roman" w:cs="Times New Roman"/>
          <w:sz w:val="24"/>
          <w:szCs w:val="24"/>
        </w:rPr>
        <w:t xml:space="preserve"> la excepción del</w:t>
      </w:r>
      <w:r w:rsidRPr="009B0E0F">
        <w:rPr>
          <w:rFonts w:ascii="Times New Roman" w:hAnsi="Times New Roman" w:cs="Times New Roman"/>
          <w:sz w:val="24"/>
          <w:szCs w:val="24"/>
        </w:rPr>
        <w:t xml:space="preserve"> retiro total).</w:t>
      </w:r>
    </w:p>
    <w:p w14:paraId="075FFD05" w14:textId="77777777" w:rsidR="00713275" w:rsidRPr="009B0E0F" w:rsidRDefault="00ED7E82" w:rsidP="00713275">
      <w:pPr>
        <w:pStyle w:val="Prrafodelista"/>
        <w:numPr>
          <w:ilvl w:val="0"/>
          <w:numId w:val="4"/>
        </w:numPr>
        <w:spacing w:line="240" w:lineRule="auto"/>
        <w:jc w:val="both"/>
        <w:rPr>
          <w:rFonts w:ascii="Times New Roman" w:hAnsi="Times New Roman" w:cs="Times New Roman"/>
          <w:sz w:val="24"/>
          <w:szCs w:val="24"/>
        </w:rPr>
      </w:pPr>
      <w:r w:rsidRPr="009B0E0F">
        <w:rPr>
          <w:rFonts w:ascii="Times New Roman" w:hAnsi="Times New Roman" w:cs="Times New Roman"/>
          <w:sz w:val="24"/>
          <w:szCs w:val="24"/>
        </w:rPr>
        <w:t xml:space="preserve">Deben ponderarse concomitantemente situaciones particulares y excepcionales, que </w:t>
      </w:r>
      <w:r w:rsidRPr="009B0E0F">
        <w:rPr>
          <w:rFonts w:ascii="Times New Roman" w:hAnsi="Times New Roman" w:cs="Times New Roman"/>
          <w:b/>
          <w:sz w:val="24"/>
          <w:szCs w:val="24"/>
        </w:rPr>
        <w:t>permitan cálculos diferenciados e individuales</w:t>
      </w:r>
      <w:r w:rsidRPr="009B0E0F">
        <w:rPr>
          <w:rFonts w:ascii="Times New Roman" w:hAnsi="Times New Roman" w:cs="Times New Roman"/>
          <w:sz w:val="24"/>
          <w:szCs w:val="24"/>
        </w:rPr>
        <w:t xml:space="preserve"> que admitan hacer la entrega de los fondos en plazos más cortos y no necesariamente hasta su fallecimiento.</w:t>
      </w:r>
    </w:p>
    <w:p w14:paraId="57EAA6C0" w14:textId="08327B46" w:rsidR="00ED7E82" w:rsidRPr="009B0E0F" w:rsidRDefault="00ED7E82" w:rsidP="00713275">
      <w:pPr>
        <w:pStyle w:val="Prrafodelista"/>
        <w:numPr>
          <w:ilvl w:val="0"/>
          <w:numId w:val="4"/>
        </w:numPr>
        <w:spacing w:line="240" w:lineRule="auto"/>
        <w:jc w:val="both"/>
        <w:rPr>
          <w:rFonts w:ascii="Times New Roman" w:hAnsi="Times New Roman" w:cs="Times New Roman"/>
          <w:sz w:val="24"/>
          <w:szCs w:val="24"/>
        </w:rPr>
      </w:pPr>
      <w:r w:rsidRPr="009B0E0F">
        <w:rPr>
          <w:rFonts w:ascii="Times New Roman" w:hAnsi="Times New Roman" w:cs="Times New Roman"/>
          <w:sz w:val="24"/>
          <w:szCs w:val="24"/>
        </w:rPr>
        <w:t xml:space="preserve">Debe tomarse en consideración la edad en la que la persona se jubila </w:t>
      </w:r>
      <w:r w:rsidR="00451696" w:rsidRPr="009B0E0F">
        <w:rPr>
          <w:rFonts w:ascii="Times New Roman" w:hAnsi="Times New Roman" w:cs="Times New Roman"/>
          <w:sz w:val="24"/>
          <w:szCs w:val="24"/>
        </w:rPr>
        <w:t xml:space="preserve">y </w:t>
      </w:r>
      <w:r w:rsidR="00C368DF" w:rsidRPr="009B0E0F">
        <w:rPr>
          <w:rFonts w:ascii="Times New Roman" w:hAnsi="Times New Roman" w:cs="Times New Roman"/>
          <w:sz w:val="24"/>
          <w:szCs w:val="24"/>
        </w:rPr>
        <w:t>aplicar</w:t>
      </w:r>
      <w:r w:rsidRPr="009B0E0F">
        <w:rPr>
          <w:rFonts w:ascii="Times New Roman" w:hAnsi="Times New Roman" w:cs="Times New Roman"/>
          <w:sz w:val="24"/>
          <w:szCs w:val="24"/>
        </w:rPr>
        <w:t xml:space="preserve"> su esperanza de vida </w:t>
      </w:r>
      <w:r w:rsidR="00C262DE" w:rsidRPr="009B0E0F">
        <w:rPr>
          <w:rFonts w:ascii="Times New Roman" w:hAnsi="Times New Roman" w:cs="Times New Roman"/>
          <w:sz w:val="24"/>
          <w:szCs w:val="24"/>
        </w:rPr>
        <w:t xml:space="preserve">(según el INEC) </w:t>
      </w:r>
      <w:r w:rsidRPr="009B0E0F">
        <w:rPr>
          <w:rFonts w:ascii="Times New Roman" w:hAnsi="Times New Roman" w:cs="Times New Roman"/>
          <w:sz w:val="24"/>
          <w:szCs w:val="24"/>
        </w:rPr>
        <w:t>del año en que se solicita el ROP</w:t>
      </w:r>
      <w:r w:rsidR="001B09FE" w:rsidRPr="009B0E0F">
        <w:rPr>
          <w:rFonts w:ascii="Times New Roman" w:hAnsi="Times New Roman" w:cs="Times New Roman"/>
          <w:sz w:val="24"/>
          <w:szCs w:val="24"/>
        </w:rPr>
        <w:t>.</w:t>
      </w:r>
      <w:r w:rsidRPr="009B0E0F">
        <w:rPr>
          <w:rFonts w:ascii="Times New Roman" w:hAnsi="Times New Roman" w:cs="Times New Roman"/>
          <w:sz w:val="24"/>
          <w:szCs w:val="24"/>
        </w:rPr>
        <w:t xml:space="preserve"> </w:t>
      </w:r>
      <w:r w:rsidR="001B09FE" w:rsidRPr="009B0E0F">
        <w:rPr>
          <w:rFonts w:ascii="Times New Roman" w:hAnsi="Times New Roman" w:cs="Times New Roman"/>
          <w:sz w:val="24"/>
          <w:szCs w:val="24"/>
        </w:rPr>
        <w:t>E</w:t>
      </w:r>
      <w:r w:rsidRPr="009B0E0F">
        <w:rPr>
          <w:rFonts w:ascii="Times New Roman" w:hAnsi="Times New Roman" w:cs="Times New Roman"/>
          <w:sz w:val="24"/>
          <w:szCs w:val="24"/>
        </w:rPr>
        <w:t>n el caso de los hombres la esperanza de vida al nacer en 2018 es 77.8 años y para las mujeres e</w:t>
      </w:r>
      <w:r w:rsidR="00C451DB">
        <w:rPr>
          <w:rFonts w:ascii="Times New Roman" w:hAnsi="Times New Roman" w:cs="Times New Roman"/>
          <w:sz w:val="24"/>
          <w:szCs w:val="24"/>
        </w:rPr>
        <w:t>s</w:t>
      </w:r>
      <w:r w:rsidRPr="009B0E0F">
        <w:rPr>
          <w:rFonts w:ascii="Times New Roman" w:hAnsi="Times New Roman" w:cs="Times New Roman"/>
          <w:sz w:val="24"/>
          <w:szCs w:val="24"/>
        </w:rPr>
        <w:t xml:space="preserve"> 82.9 años. Una persona que se jubila aproximadamente a los 65 años o a menor edad, puede </w:t>
      </w:r>
      <w:r w:rsidRPr="009B0E0F">
        <w:rPr>
          <w:rFonts w:ascii="Times New Roman" w:hAnsi="Times New Roman" w:cs="Times New Roman"/>
          <w:b/>
          <w:sz w:val="24"/>
          <w:szCs w:val="24"/>
        </w:rPr>
        <w:t>disfrutar más años</w:t>
      </w:r>
      <w:r w:rsidRPr="009B0E0F">
        <w:rPr>
          <w:rFonts w:ascii="Times New Roman" w:hAnsi="Times New Roman" w:cs="Times New Roman"/>
          <w:sz w:val="24"/>
          <w:szCs w:val="24"/>
        </w:rPr>
        <w:t xml:space="preserve"> que una persona que se jubila a los 77 años o más. </w:t>
      </w:r>
      <w:r w:rsidR="00F45517" w:rsidRPr="009B0E0F">
        <w:rPr>
          <w:rFonts w:ascii="Times New Roman" w:hAnsi="Times New Roman" w:cs="Times New Roman"/>
          <w:sz w:val="24"/>
          <w:szCs w:val="24"/>
        </w:rPr>
        <w:t>Este es el p</w:t>
      </w:r>
      <w:r w:rsidRPr="009B0E0F">
        <w:rPr>
          <w:rFonts w:ascii="Times New Roman" w:hAnsi="Times New Roman" w:cs="Times New Roman"/>
          <w:sz w:val="24"/>
          <w:szCs w:val="24"/>
        </w:rPr>
        <w:t>arámetro que la Sala Constitucional valora como razonable y proporcional.</w:t>
      </w:r>
    </w:p>
    <w:p w14:paraId="4F74792C" w14:textId="2DF45432" w:rsidR="00ED7E82" w:rsidRDefault="006B0809" w:rsidP="00ED7E82">
      <w:pPr>
        <w:spacing w:line="240" w:lineRule="auto"/>
        <w:jc w:val="both"/>
        <w:rPr>
          <w:rFonts w:cs="Times New Roman"/>
          <w:szCs w:val="24"/>
        </w:rPr>
      </w:pPr>
      <w:r>
        <w:rPr>
          <w:rFonts w:cs="Times New Roman"/>
          <w:szCs w:val="24"/>
        </w:rPr>
        <w:t>Considera esta asesoría que es</w:t>
      </w:r>
      <w:r w:rsidR="005801E1" w:rsidRPr="001C52E4">
        <w:rPr>
          <w:rFonts w:cs="Times New Roman"/>
          <w:szCs w:val="24"/>
        </w:rPr>
        <w:t>tos parámetros</w:t>
      </w:r>
      <w:r w:rsidR="00CA2AA5" w:rsidRPr="001C52E4">
        <w:rPr>
          <w:rFonts w:cs="Times New Roman"/>
          <w:szCs w:val="24"/>
        </w:rPr>
        <w:t xml:space="preserve"> </w:t>
      </w:r>
      <w:r w:rsidR="002B01C6">
        <w:rPr>
          <w:rFonts w:cs="Times New Roman"/>
          <w:szCs w:val="24"/>
        </w:rPr>
        <w:t>se apartan</w:t>
      </w:r>
      <w:r w:rsidR="00CA2AA5" w:rsidRPr="001C52E4">
        <w:rPr>
          <w:rFonts w:cs="Times New Roman"/>
          <w:szCs w:val="24"/>
        </w:rPr>
        <w:t xml:space="preserve"> </w:t>
      </w:r>
      <w:r w:rsidR="002B01C6">
        <w:rPr>
          <w:rFonts w:cs="Times New Roman"/>
          <w:szCs w:val="24"/>
        </w:rPr>
        <w:t xml:space="preserve">sustancialmente de </w:t>
      </w:r>
      <w:r w:rsidR="00CA2AA5" w:rsidRPr="001C52E4">
        <w:rPr>
          <w:rFonts w:cs="Times New Roman"/>
          <w:szCs w:val="24"/>
        </w:rPr>
        <w:t>las reglas de la ciencia actuarial, de la economía y la demografía</w:t>
      </w:r>
      <w:r w:rsidR="00F62FA0">
        <w:rPr>
          <w:rFonts w:cs="Times New Roman"/>
          <w:szCs w:val="24"/>
        </w:rPr>
        <w:t xml:space="preserve">. </w:t>
      </w:r>
    </w:p>
    <w:p w14:paraId="114EBDA9" w14:textId="77777777" w:rsidR="00F62FA0" w:rsidRPr="001C52E4" w:rsidRDefault="00F62FA0" w:rsidP="00ED7E82">
      <w:pPr>
        <w:spacing w:line="240" w:lineRule="auto"/>
        <w:jc w:val="both"/>
        <w:rPr>
          <w:rFonts w:cs="Times New Roman"/>
          <w:szCs w:val="24"/>
        </w:rPr>
      </w:pPr>
    </w:p>
    <w:p w14:paraId="42A6A49E" w14:textId="77777777" w:rsidR="005801E1" w:rsidRPr="001C52E4" w:rsidRDefault="005801E1" w:rsidP="00ED7E82">
      <w:pPr>
        <w:spacing w:line="240" w:lineRule="auto"/>
        <w:jc w:val="both"/>
        <w:rPr>
          <w:rFonts w:cs="Times New Roman"/>
          <w:szCs w:val="24"/>
        </w:rPr>
      </w:pPr>
    </w:p>
    <w:p w14:paraId="4B6F449B" w14:textId="2D523D1B" w:rsidR="00C649EB" w:rsidRDefault="00C649EB" w:rsidP="00B03091">
      <w:pPr>
        <w:pStyle w:val="Prrafodelista"/>
        <w:numPr>
          <w:ilvl w:val="0"/>
          <w:numId w:val="1"/>
        </w:numPr>
        <w:spacing w:line="240" w:lineRule="auto"/>
        <w:jc w:val="both"/>
        <w:rPr>
          <w:rFonts w:ascii="Times New Roman" w:hAnsi="Times New Roman" w:cs="Times New Roman"/>
          <w:b/>
          <w:sz w:val="24"/>
          <w:szCs w:val="24"/>
        </w:rPr>
      </w:pPr>
      <w:r w:rsidRPr="00B03091">
        <w:rPr>
          <w:rFonts w:ascii="Times New Roman" w:hAnsi="Times New Roman" w:cs="Times New Roman"/>
          <w:b/>
          <w:sz w:val="24"/>
          <w:szCs w:val="24"/>
        </w:rPr>
        <w:lastRenderedPageBreak/>
        <w:t xml:space="preserve">Normativa </w:t>
      </w:r>
      <w:r w:rsidR="006F5FE4" w:rsidRPr="00B03091">
        <w:rPr>
          <w:rFonts w:ascii="Times New Roman" w:hAnsi="Times New Roman" w:cs="Times New Roman"/>
          <w:b/>
          <w:sz w:val="24"/>
          <w:szCs w:val="24"/>
        </w:rPr>
        <w:t>vigente</w:t>
      </w:r>
    </w:p>
    <w:p w14:paraId="0A47857A" w14:textId="25DF8A07" w:rsidR="00EC42C0" w:rsidRPr="00D25D44" w:rsidRDefault="005E1473" w:rsidP="0066627E">
      <w:pPr>
        <w:spacing w:line="240" w:lineRule="auto"/>
        <w:jc w:val="both"/>
        <w:rPr>
          <w:rFonts w:cs="Times New Roman"/>
          <w:szCs w:val="24"/>
        </w:rPr>
      </w:pPr>
      <w:r>
        <w:rPr>
          <w:rFonts w:cs="Times New Roman"/>
          <w:szCs w:val="24"/>
        </w:rPr>
        <w:t>El</w:t>
      </w:r>
      <w:r w:rsidR="00831B54">
        <w:rPr>
          <w:rFonts w:cs="Times New Roman"/>
          <w:szCs w:val="24"/>
        </w:rPr>
        <w:t xml:space="preserve"> </w:t>
      </w:r>
      <w:r w:rsidR="006E2A62">
        <w:rPr>
          <w:rFonts w:cs="Times New Roman"/>
          <w:szCs w:val="24"/>
        </w:rPr>
        <w:t xml:space="preserve">artículo 22 de la </w:t>
      </w:r>
      <w:r w:rsidR="00EC42C0" w:rsidRPr="00D25D44">
        <w:rPr>
          <w:rFonts w:cs="Times New Roman"/>
          <w:szCs w:val="24"/>
        </w:rPr>
        <w:t>Ley de Protección al Trabajador</w:t>
      </w:r>
      <w:r w:rsidR="00831B54">
        <w:rPr>
          <w:rFonts w:cs="Times New Roman"/>
          <w:szCs w:val="24"/>
        </w:rPr>
        <w:t xml:space="preserve"> dispone:</w:t>
      </w:r>
    </w:p>
    <w:p w14:paraId="13172518" w14:textId="13841228" w:rsidR="006F5FE4" w:rsidRPr="00D25D44" w:rsidRDefault="006F5FE4" w:rsidP="0066627E">
      <w:pPr>
        <w:spacing w:line="240" w:lineRule="auto"/>
        <w:jc w:val="both"/>
        <w:rPr>
          <w:rFonts w:cs="Times New Roman"/>
          <w:szCs w:val="24"/>
        </w:rPr>
      </w:pPr>
    </w:p>
    <w:p w14:paraId="308FF1D0" w14:textId="223E45AC" w:rsidR="00EC42C0" w:rsidRPr="001E0A20" w:rsidRDefault="00EC42C0" w:rsidP="001E0A20">
      <w:pPr>
        <w:spacing w:line="240" w:lineRule="auto"/>
        <w:ind w:left="284"/>
        <w:jc w:val="both"/>
        <w:rPr>
          <w:rFonts w:cs="Times New Roman"/>
          <w:i/>
          <w:sz w:val="22"/>
        </w:rPr>
      </w:pPr>
      <w:r w:rsidRPr="001E0A20">
        <w:rPr>
          <w:rFonts w:cs="Times New Roman"/>
          <w:i/>
          <w:sz w:val="22"/>
        </w:rPr>
        <w:t>Artículo 22. Prestaciones</w:t>
      </w:r>
    </w:p>
    <w:p w14:paraId="34960FF3" w14:textId="77777777" w:rsidR="00EC42C0" w:rsidRPr="001E0A20" w:rsidRDefault="00EC42C0" w:rsidP="001E0A20">
      <w:pPr>
        <w:spacing w:line="240" w:lineRule="auto"/>
        <w:ind w:left="284"/>
        <w:jc w:val="both"/>
        <w:rPr>
          <w:rFonts w:cs="Times New Roman"/>
          <w:i/>
          <w:sz w:val="22"/>
        </w:rPr>
      </w:pPr>
      <w:r w:rsidRPr="001E0A20">
        <w:rPr>
          <w:rFonts w:cs="Times New Roman"/>
          <w:i/>
          <w:sz w:val="22"/>
        </w:rPr>
        <w:t>Los afiliados al Régimen Obligatorio de Pensiones Complementarias podrán utilizar sus recursos para comprar una renta vitalicia o acogerse a una renta permanente.</w:t>
      </w:r>
    </w:p>
    <w:p w14:paraId="0DAC45D4" w14:textId="77777777" w:rsidR="00EC42C0" w:rsidRPr="001E0A20" w:rsidRDefault="00EC42C0" w:rsidP="001E0A20">
      <w:pPr>
        <w:spacing w:line="240" w:lineRule="auto"/>
        <w:ind w:left="284"/>
        <w:jc w:val="both"/>
        <w:rPr>
          <w:rFonts w:cs="Times New Roman"/>
          <w:i/>
          <w:sz w:val="22"/>
        </w:rPr>
      </w:pPr>
      <w:r w:rsidRPr="001E0A20">
        <w:rPr>
          <w:rFonts w:cs="Times New Roman"/>
          <w:i/>
          <w:sz w:val="22"/>
        </w:rPr>
        <w:t>Los afiliados podrán elegir una o ambas formas y modificar su elección solo para trasladarse de una renta permanente a una renta vitalicia.</w:t>
      </w:r>
    </w:p>
    <w:p w14:paraId="4CB93710" w14:textId="09332973" w:rsidR="00EC42C0" w:rsidRPr="001E0A20" w:rsidRDefault="00EC42C0" w:rsidP="001E0A20">
      <w:pPr>
        <w:spacing w:line="240" w:lineRule="auto"/>
        <w:ind w:left="284"/>
        <w:jc w:val="both"/>
        <w:rPr>
          <w:rFonts w:cs="Times New Roman"/>
          <w:sz w:val="22"/>
        </w:rPr>
      </w:pPr>
      <w:r w:rsidRPr="001E0A20">
        <w:rPr>
          <w:rFonts w:cs="Times New Roman"/>
          <w:i/>
          <w:sz w:val="22"/>
        </w:rPr>
        <w:t>El Consejo Nacional podrá autorizar otras modalidades de prestaciones, siempre y cuando se respete el principio de seguridad económica de los afiliados, y no contravengan los principios de la presente Ley.</w:t>
      </w:r>
    </w:p>
    <w:p w14:paraId="2C7A4EEB" w14:textId="77777777" w:rsidR="00920442" w:rsidRPr="00D25D44" w:rsidRDefault="00920442" w:rsidP="006F5FE4">
      <w:pPr>
        <w:spacing w:line="240" w:lineRule="auto"/>
        <w:jc w:val="both"/>
        <w:rPr>
          <w:rFonts w:cs="Times New Roman"/>
          <w:szCs w:val="24"/>
        </w:rPr>
      </w:pPr>
    </w:p>
    <w:p w14:paraId="3FF0C5F4" w14:textId="568D1A17" w:rsidR="006F5FE4" w:rsidRPr="00D25D44" w:rsidRDefault="003E5442" w:rsidP="006F5FE4">
      <w:pPr>
        <w:spacing w:line="240" w:lineRule="auto"/>
        <w:jc w:val="both"/>
        <w:rPr>
          <w:rFonts w:cs="Times New Roman"/>
          <w:szCs w:val="24"/>
        </w:rPr>
      </w:pPr>
      <w:r w:rsidRPr="00D25D44">
        <w:rPr>
          <w:rFonts w:cs="Times New Roman"/>
          <w:szCs w:val="24"/>
        </w:rPr>
        <w:t xml:space="preserve">Con fundamento en esta facultad </w:t>
      </w:r>
      <w:r w:rsidR="00E844EE" w:rsidRPr="00D25D44">
        <w:rPr>
          <w:rFonts w:cs="Times New Roman"/>
          <w:szCs w:val="24"/>
        </w:rPr>
        <w:t xml:space="preserve">el Consejo Nacional de Supervisión del Sistema Financiero </w:t>
      </w:r>
      <w:r w:rsidR="00691CC8">
        <w:rPr>
          <w:rFonts w:cs="Times New Roman"/>
          <w:szCs w:val="24"/>
        </w:rPr>
        <w:t xml:space="preserve">(CONASSIF) </w:t>
      </w:r>
      <w:r w:rsidR="00E844EE" w:rsidRPr="00D25D44">
        <w:rPr>
          <w:rFonts w:cs="Times New Roman"/>
          <w:szCs w:val="24"/>
        </w:rPr>
        <w:t xml:space="preserve">emitió el </w:t>
      </w:r>
      <w:r w:rsidR="00F94253">
        <w:rPr>
          <w:rFonts w:cs="Times New Roman"/>
          <w:szCs w:val="24"/>
        </w:rPr>
        <w:t>R</w:t>
      </w:r>
      <w:r w:rsidR="001A7981" w:rsidRPr="00D25D44">
        <w:rPr>
          <w:rFonts w:cs="Times New Roman"/>
          <w:szCs w:val="24"/>
        </w:rPr>
        <w:t>eglamento</w:t>
      </w:r>
      <w:r w:rsidR="00F94253">
        <w:rPr>
          <w:rFonts w:cs="Times New Roman"/>
          <w:szCs w:val="24"/>
        </w:rPr>
        <w:t xml:space="preserve"> de Beneficios</w:t>
      </w:r>
      <w:r w:rsidR="00274175" w:rsidRPr="00D25D44">
        <w:rPr>
          <w:rFonts w:cs="Times New Roman"/>
          <w:szCs w:val="24"/>
        </w:rPr>
        <w:t xml:space="preserve">, </w:t>
      </w:r>
      <w:r w:rsidR="00E844EE" w:rsidRPr="00D25D44">
        <w:rPr>
          <w:rFonts w:cs="Times New Roman"/>
          <w:szCs w:val="24"/>
        </w:rPr>
        <w:t>el cual</w:t>
      </w:r>
      <w:r w:rsidR="0096419A">
        <w:rPr>
          <w:rFonts w:cs="Times New Roman"/>
          <w:szCs w:val="24"/>
        </w:rPr>
        <w:t>,</w:t>
      </w:r>
      <w:r w:rsidR="00E844EE" w:rsidRPr="00D25D44">
        <w:rPr>
          <w:rFonts w:cs="Times New Roman"/>
          <w:szCs w:val="24"/>
        </w:rPr>
        <w:t xml:space="preserve"> en lo que aquí interesa</w:t>
      </w:r>
      <w:r w:rsidR="0096419A">
        <w:rPr>
          <w:rFonts w:cs="Times New Roman"/>
          <w:szCs w:val="24"/>
        </w:rPr>
        <w:t>,</w:t>
      </w:r>
      <w:r w:rsidR="00E844EE" w:rsidRPr="00D25D44">
        <w:rPr>
          <w:rFonts w:cs="Times New Roman"/>
          <w:szCs w:val="24"/>
        </w:rPr>
        <w:t xml:space="preserve"> dispone:</w:t>
      </w:r>
    </w:p>
    <w:p w14:paraId="12E6FABC" w14:textId="77777777" w:rsidR="006F5FE4" w:rsidRPr="00D25D44" w:rsidRDefault="006F5FE4" w:rsidP="006F5FE4">
      <w:pPr>
        <w:spacing w:line="240" w:lineRule="auto"/>
        <w:jc w:val="both"/>
        <w:rPr>
          <w:rFonts w:cs="Times New Roman"/>
          <w:szCs w:val="24"/>
        </w:rPr>
      </w:pPr>
    </w:p>
    <w:p w14:paraId="422DB0A6" w14:textId="26EDCD98" w:rsidR="006F5FE4" w:rsidRPr="00297D85" w:rsidRDefault="006F5FE4" w:rsidP="00297D85">
      <w:pPr>
        <w:spacing w:line="240" w:lineRule="auto"/>
        <w:ind w:left="284"/>
        <w:jc w:val="both"/>
        <w:rPr>
          <w:rFonts w:cs="Times New Roman"/>
          <w:i/>
          <w:sz w:val="22"/>
        </w:rPr>
      </w:pPr>
      <w:r w:rsidRPr="00297D85">
        <w:rPr>
          <w:rFonts w:cs="Times New Roman"/>
          <w:i/>
          <w:sz w:val="22"/>
        </w:rPr>
        <w:t>Artículo 2. Definiciones</w:t>
      </w:r>
    </w:p>
    <w:p w14:paraId="0BF5084E" w14:textId="42CEEBE7" w:rsidR="006F5FE4" w:rsidRPr="00297D85" w:rsidRDefault="0096419A" w:rsidP="00297D85">
      <w:pPr>
        <w:spacing w:line="240" w:lineRule="auto"/>
        <w:ind w:left="284"/>
        <w:jc w:val="both"/>
        <w:rPr>
          <w:rFonts w:cs="Times New Roman"/>
          <w:i/>
          <w:sz w:val="22"/>
        </w:rPr>
      </w:pPr>
      <w:r w:rsidRPr="00297D85">
        <w:rPr>
          <w:rFonts w:cs="Times New Roman"/>
          <w:i/>
          <w:sz w:val="22"/>
        </w:rPr>
        <w:t>[…]</w:t>
      </w:r>
    </w:p>
    <w:p w14:paraId="6DDEAC8A" w14:textId="60CB4BCF" w:rsidR="006F5FE4" w:rsidRPr="00297D85" w:rsidRDefault="006F5FE4" w:rsidP="00297D85">
      <w:pPr>
        <w:spacing w:line="240" w:lineRule="auto"/>
        <w:ind w:left="284"/>
        <w:jc w:val="both"/>
        <w:rPr>
          <w:rFonts w:cs="Times New Roman"/>
          <w:i/>
          <w:sz w:val="22"/>
        </w:rPr>
      </w:pPr>
      <w:r w:rsidRPr="00297D85">
        <w:rPr>
          <w:rFonts w:cs="Times New Roman"/>
          <w:i/>
          <w:sz w:val="22"/>
        </w:rPr>
        <w:t>Valor actuarial necesario unitario (una unidad de pensión, VANU): Valor actual del flujo esperado de pensiones de un afiliado, pensionado o beneficiario, en la fecha de contratación o de recálculo de la pensión, según corresponda, expresado en forma unitaria y monetaria. Se calcula a partir de la tabla de mortalidad y de la tasa técnica de interés que defina la regulación.</w:t>
      </w:r>
    </w:p>
    <w:p w14:paraId="6C215E86" w14:textId="706D583B" w:rsidR="00E844EE" w:rsidRPr="00297D85" w:rsidRDefault="00E844EE" w:rsidP="00297D85">
      <w:pPr>
        <w:spacing w:line="240" w:lineRule="auto"/>
        <w:ind w:left="284"/>
        <w:jc w:val="both"/>
        <w:rPr>
          <w:rFonts w:cs="Times New Roman"/>
          <w:i/>
          <w:sz w:val="22"/>
        </w:rPr>
      </w:pPr>
      <w:r w:rsidRPr="00297D85">
        <w:rPr>
          <w:rFonts w:cs="Times New Roman"/>
          <w:i/>
          <w:sz w:val="22"/>
        </w:rPr>
        <w:t>[…]</w:t>
      </w:r>
    </w:p>
    <w:p w14:paraId="23AA86A9" w14:textId="77777777" w:rsidR="00EF393A" w:rsidRPr="00297D85" w:rsidRDefault="00EF393A" w:rsidP="00297D85">
      <w:pPr>
        <w:spacing w:line="240" w:lineRule="auto"/>
        <w:ind w:left="284"/>
        <w:jc w:val="both"/>
        <w:rPr>
          <w:rFonts w:cs="Times New Roman"/>
          <w:i/>
          <w:color w:val="FF0000"/>
          <w:sz w:val="22"/>
        </w:rPr>
      </w:pPr>
    </w:p>
    <w:p w14:paraId="0AA10D4E" w14:textId="3A77DEC9" w:rsidR="00EF393A" w:rsidRPr="00297D85" w:rsidRDefault="00EF393A" w:rsidP="00297D85">
      <w:pPr>
        <w:spacing w:line="240" w:lineRule="auto"/>
        <w:ind w:left="284"/>
        <w:jc w:val="both"/>
        <w:rPr>
          <w:rFonts w:cs="Times New Roman"/>
          <w:i/>
          <w:sz w:val="22"/>
        </w:rPr>
      </w:pPr>
      <w:r w:rsidRPr="00297D85">
        <w:rPr>
          <w:rFonts w:cs="Times New Roman"/>
          <w:i/>
          <w:sz w:val="22"/>
        </w:rPr>
        <w:t>Artículo 6. Condición para optar por las modalidades de pensión complementaria</w:t>
      </w:r>
    </w:p>
    <w:p w14:paraId="5F881983" w14:textId="77777777" w:rsidR="00EF393A" w:rsidRPr="00297D85" w:rsidRDefault="00EF393A" w:rsidP="00297D85">
      <w:pPr>
        <w:spacing w:line="240" w:lineRule="auto"/>
        <w:ind w:left="284"/>
        <w:jc w:val="both"/>
        <w:rPr>
          <w:rFonts w:cs="Times New Roman"/>
          <w:i/>
          <w:sz w:val="22"/>
        </w:rPr>
      </w:pPr>
      <w:r w:rsidRPr="00297D85">
        <w:rPr>
          <w:rFonts w:cs="Times New Roman"/>
          <w:i/>
          <w:sz w:val="22"/>
        </w:rPr>
        <w:t xml:space="preserve">Los pensionados del ROP </w:t>
      </w:r>
      <w:r w:rsidRPr="00297D85">
        <w:rPr>
          <w:rFonts w:cs="Times New Roman"/>
          <w:b/>
          <w:i/>
          <w:sz w:val="22"/>
        </w:rPr>
        <w:t>deberán contratar retiros programados, rentas permanentes o rentas vitalicias siempre y cuando el cálculo mensual del monto de la pensión a recibir, determinado por un retiro programado personal, sea igual o mayor a un 10% del monto de la pensión otorgada por el Régimen Básico al que pertenece el trabajador</w:t>
      </w:r>
      <w:r w:rsidRPr="00297D85">
        <w:rPr>
          <w:rFonts w:cs="Times New Roman"/>
          <w:i/>
          <w:sz w:val="22"/>
        </w:rPr>
        <w:t>. De no ser ese el caso, podrán adquirir una de las modalidades de pensión dispuestas en este Reglamento o, un retiro total del capital para la pensión.</w:t>
      </w:r>
    </w:p>
    <w:p w14:paraId="0751E695" w14:textId="2C844167" w:rsidR="00525CF9" w:rsidRPr="00297D85" w:rsidRDefault="00EF393A" w:rsidP="00297D85">
      <w:pPr>
        <w:spacing w:line="240" w:lineRule="auto"/>
        <w:ind w:left="284"/>
        <w:jc w:val="both"/>
        <w:rPr>
          <w:rFonts w:cs="Times New Roman"/>
          <w:i/>
          <w:sz w:val="22"/>
        </w:rPr>
      </w:pPr>
      <w:r w:rsidRPr="00297D85">
        <w:rPr>
          <w:rFonts w:cs="Times New Roman"/>
          <w:i/>
          <w:sz w:val="22"/>
        </w:rPr>
        <w:t>En el caso del RVPC el afiliado o beneficiario podrá adquirir una de las modalidades de pensión definidas en este Reglamento. Esa elección no estará sujeta a ninguna restricción.</w:t>
      </w:r>
    </w:p>
    <w:p w14:paraId="58CAB469" w14:textId="77777777" w:rsidR="00225AA9" w:rsidRPr="00297D85" w:rsidRDefault="00225AA9" w:rsidP="00297D85">
      <w:pPr>
        <w:spacing w:line="240" w:lineRule="auto"/>
        <w:ind w:left="284"/>
        <w:jc w:val="both"/>
        <w:rPr>
          <w:rFonts w:cs="Times New Roman"/>
          <w:i/>
          <w:sz w:val="22"/>
        </w:rPr>
      </w:pPr>
    </w:p>
    <w:p w14:paraId="128E1AFA" w14:textId="2EB1099E" w:rsidR="006F5FE4" w:rsidRPr="00297D85" w:rsidRDefault="006F5FE4" w:rsidP="00297D85">
      <w:pPr>
        <w:spacing w:line="240" w:lineRule="auto"/>
        <w:ind w:left="284"/>
        <w:jc w:val="both"/>
        <w:rPr>
          <w:rFonts w:cs="Times New Roman"/>
          <w:i/>
          <w:sz w:val="22"/>
        </w:rPr>
      </w:pPr>
      <w:r w:rsidRPr="00297D85">
        <w:rPr>
          <w:rFonts w:cs="Times New Roman"/>
          <w:i/>
          <w:sz w:val="22"/>
        </w:rPr>
        <w:t>Artículo 8. Retiro Programado</w:t>
      </w:r>
    </w:p>
    <w:p w14:paraId="70ADB193" w14:textId="77777777" w:rsidR="006F5FE4" w:rsidRPr="00297D85" w:rsidRDefault="006F5FE4" w:rsidP="00297D85">
      <w:pPr>
        <w:spacing w:line="240" w:lineRule="auto"/>
        <w:ind w:left="284"/>
        <w:jc w:val="both"/>
        <w:rPr>
          <w:rFonts w:cs="Times New Roman"/>
          <w:i/>
          <w:sz w:val="22"/>
        </w:rPr>
      </w:pPr>
      <w:r w:rsidRPr="00297D85">
        <w:rPr>
          <w:rFonts w:cs="Times New Roman"/>
          <w:i/>
          <w:sz w:val="22"/>
        </w:rPr>
        <w:t>El retiro programado puede ser de dos tipos: personal o con una reserva para los beneficiarios.</w:t>
      </w:r>
    </w:p>
    <w:p w14:paraId="52823C8D" w14:textId="77777777" w:rsidR="006F5FE4" w:rsidRPr="00297D85" w:rsidRDefault="006F5FE4" w:rsidP="00297D85">
      <w:pPr>
        <w:spacing w:line="240" w:lineRule="auto"/>
        <w:ind w:left="284"/>
        <w:jc w:val="both"/>
        <w:rPr>
          <w:rFonts w:cs="Times New Roman"/>
          <w:i/>
          <w:sz w:val="22"/>
        </w:rPr>
      </w:pPr>
      <w:r w:rsidRPr="00297D85">
        <w:rPr>
          <w:rFonts w:cs="Times New Roman"/>
          <w:i/>
          <w:sz w:val="22"/>
        </w:rPr>
        <w:t>El retiro programado personal se calculará dividiendo, cada año, contado desde la firma del contrato, el saldo de la cuenta de capitalización individual por el monto del VANU.</w:t>
      </w:r>
    </w:p>
    <w:p w14:paraId="2235E984" w14:textId="637D807F" w:rsidR="00717585" w:rsidRPr="00297D85" w:rsidRDefault="006F5FE4" w:rsidP="00297D85">
      <w:pPr>
        <w:spacing w:line="240" w:lineRule="auto"/>
        <w:ind w:left="284"/>
        <w:jc w:val="both"/>
        <w:rPr>
          <w:rFonts w:cs="Times New Roman"/>
          <w:sz w:val="22"/>
        </w:rPr>
      </w:pPr>
      <w:r w:rsidRPr="00297D85">
        <w:rPr>
          <w:rFonts w:cs="Times New Roman"/>
          <w:i/>
          <w:sz w:val="22"/>
        </w:rPr>
        <w:t>El retiro programado con reserva para los beneficiarios se calculará sobre un porcentaje de su saldo acumulado. Este saldo no podrá ser menor al 80%, el complemento se utilizará para la pensión a favor de los beneficiarios. El 20% se mantendrá dentro de la cuenta individual del pensionado.</w:t>
      </w:r>
      <w:r w:rsidR="00717585" w:rsidRPr="00297D85">
        <w:rPr>
          <w:rFonts w:cs="Times New Roman"/>
          <w:sz w:val="22"/>
        </w:rPr>
        <w:t xml:space="preserve"> </w:t>
      </w:r>
      <w:bookmarkStart w:id="3" w:name="_Hlk25096668"/>
      <w:r w:rsidR="00257297">
        <w:rPr>
          <w:rFonts w:cs="Times New Roman"/>
          <w:sz w:val="20"/>
          <w:szCs w:val="20"/>
        </w:rPr>
        <w:t>[Lo resaltado no es del original].</w:t>
      </w:r>
      <w:bookmarkEnd w:id="3"/>
    </w:p>
    <w:p w14:paraId="0F016FCD" w14:textId="345B4ECF" w:rsidR="006F5FE4" w:rsidRDefault="006F5FE4" w:rsidP="00297D85">
      <w:pPr>
        <w:spacing w:line="240" w:lineRule="auto"/>
        <w:ind w:left="284"/>
        <w:jc w:val="both"/>
        <w:rPr>
          <w:rFonts w:cs="Times New Roman"/>
          <w:sz w:val="22"/>
        </w:rPr>
      </w:pPr>
    </w:p>
    <w:p w14:paraId="2DEB1C3D" w14:textId="034D6888" w:rsidR="00BD75DC" w:rsidRDefault="00BD75DC" w:rsidP="00297D85">
      <w:pPr>
        <w:spacing w:line="240" w:lineRule="auto"/>
        <w:ind w:left="284"/>
        <w:jc w:val="both"/>
        <w:rPr>
          <w:rFonts w:cs="Times New Roman"/>
          <w:sz w:val="22"/>
        </w:rPr>
      </w:pPr>
    </w:p>
    <w:p w14:paraId="4BAFDA09" w14:textId="77777777" w:rsidR="00BD75DC" w:rsidRPr="00297D85" w:rsidRDefault="00BD75DC" w:rsidP="00297D85">
      <w:pPr>
        <w:spacing w:line="240" w:lineRule="auto"/>
        <w:ind w:left="284"/>
        <w:jc w:val="both"/>
        <w:rPr>
          <w:rFonts w:cs="Times New Roman"/>
          <w:sz w:val="22"/>
        </w:rPr>
      </w:pPr>
    </w:p>
    <w:p w14:paraId="752CE7D2" w14:textId="40BE958A" w:rsidR="0001508A" w:rsidRDefault="007332D4" w:rsidP="0083762B">
      <w:pPr>
        <w:pStyle w:val="Prrafodelista"/>
        <w:numPr>
          <w:ilvl w:val="0"/>
          <w:numId w:val="1"/>
        </w:numPr>
        <w:spacing w:line="240" w:lineRule="auto"/>
        <w:jc w:val="both"/>
        <w:rPr>
          <w:rFonts w:ascii="Times New Roman" w:hAnsi="Times New Roman" w:cs="Times New Roman"/>
          <w:b/>
          <w:sz w:val="24"/>
          <w:szCs w:val="24"/>
        </w:rPr>
      </w:pPr>
      <w:r w:rsidRPr="00BD75DC">
        <w:rPr>
          <w:rFonts w:ascii="Times New Roman" w:hAnsi="Times New Roman" w:cs="Times New Roman"/>
          <w:b/>
          <w:sz w:val="24"/>
          <w:szCs w:val="24"/>
        </w:rPr>
        <w:lastRenderedPageBreak/>
        <w:t>Esperanza de vida al nacer y probabilidad de muerte a determinada edad</w:t>
      </w:r>
      <w:r w:rsidR="001637AF" w:rsidRPr="00BD75DC">
        <w:rPr>
          <w:rFonts w:ascii="Times New Roman" w:hAnsi="Times New Roman" w:cs="Times New Roman"/>
          <w:b/>
          <w:sz w:val="24"/>
          <w:szCs w:val="24"/>
        </w:rPr>
        <w:t xml:space="preserve"> </w:t>
      </w:r>
    </w:p>
    <w:p w14:paraId="523AFD4B" w14:textId="12B24F1D" w:rsidR="004E0727" w:rsidRPr="004E0727" w:rsidRDefault="004E0727" w:rsidP="004E0727">
      <w:pPr>
        <w:spacing w:line="240" w:lineRule="auto"/>
        <w:jc w:val="both"/>
        <w:rPr>
          <w:rFonts w:cs="Times New Roman"/>
          <w:szCs w:val="24"/>
        </w:rPr>
      </w:pPr>
      <w:r w:rsidRPr="004E0727">
        <w:rPr>
          <w:rFonts w:cs="Times New Roman"/>
          <w:szCs w:val="24"/>
        </w:rPr>
        <w:t>La emisión de</w:t>
      </w:r>
      <w:r w:rsidR="009D5C75">
        <w:rPr>
          <w:rFonts w:cs="Times New Roman"/>
          <w:szCs w:val="24"/>
        </w:rPr>
        <w:t>l</w:t>
      </w:r>
      <w:r w:rsidRPr="004E0727">
        <w:rPr>
          <w:rFonts w:cs="Times New Roman"/>
          <w:szCs w:val="24"/>
        </w:rPr>
        <w:t xml:space="preserve"> </w:t>
      </w:r>
      <w:r w:rsidR="00443382">
        <w:rPr>
          <w:rFonts w:cs="Times New Roman"/>
          <w:szCs w:val="24"/>
        </w:rPr>
        <w:t>R</w:t>
      </w:r>
      <w:r w:rsidR="009D5C75">
        <w:rPr>
          <w:rFonts w:cs="Times New Roman"/>
          <w:szCs w:val="24"/>
        </w:rPr>
        <w:t>eglamento</w:t>
      </w:r>
      <w:r w:rsidRPr="004E0727">
        <w:rPr>
          <w:rFonts w:cs="Times New Roman"/>
          <w:szCs w:val="24"/>
        </w:rPr>
        <w:t xml:space="preserve"> </w:t>
      </w:r>
      <w:r w:rsidR="00443382">
        <w:rPr>
          <w:rFonts w:cs="Times New Roman"/>
          <w:szCs w:val="24"/>
        </w:rPr>
        <w:t xml:space="preserve">de Beneficios </w:t>
      </w:r>
      <w:r w:rsidRPr="004E0727">
        <w:rPr>
          <w:rFonts w:cs="Times New Roman"/>
          <w:szCs w:val="24"/>
        </w:rPr>
        <w:t xml:space="preserve">se hizo </w:t>
      </w:r>
      <w:r w:rsidR="001A0E44">
        <w:rPr>
          <w:rFonts w:cs="Times New Roman"/>
          <w:szCs w:val="24"/>
        </w:rPr>
        <w:t xml:space="preserve">de conformidad con lo que </w:t>
      </w:r>
      <w:r w:rsidRPr="004E0727">
        <w:rPr>
          <w:rFonts w:cs="Times New Roman"/>
          <w:szCs w:val="24"/>
        </w:rPr>
        <w:t xml:space="preserve">dispone la Ley General de la Administración Pública en su numeral 16, </w:t>
      </w:r>
      <w:r w:rsidR="00225E44">
        <w:rPr>
          <w:rFonts w:cs="Times New Roman"/>
          <w:szCs w:val="24"/>
        </w:rPr>
        <w:t>según el cual</w:t>
      </w:r>
      <w:r w:rsidRPr="004E0727">
        <w:rPr>
          <w:rFonts w:cs="Times New Roman"/>
          <w:szCs w:val="24"/>
        </w:rPr>
        <w:t>:</w:t>
      </w:r>
    </w:p>
    <w:p w14:paraId="3C13F4D9" w14:textId="77777777" w:rsidR="004E0727" w:rsidRPr="004E0727" w:rsidRDefault="004E0727" w:rsidP="004E0727">
      <w:pPr>
        <w:spacing w:line="240" w:lineRule="auto"/>
        <w:jc w:val="both"/>
        <w:rPr>
          <w:rFonts w:cs="Times New Roman"/>
          <w:szCs w:val="24"/>
        </w:rPr>
      </w:pPr>
    </w:p>
    <w:p w14:paraId="64A4F110" w14:textId="77777777" w:rsidR="004E0727" w:rsidRPr="00225E44" w:rsidRDefault="004E0727" w:rsidP="00225E44">
      <w:pPr>
        <w:spacing w:line="240" w:lineRule="auto"/>
        <w:ind w:left="284"/>
        <w:jc w:val="both"/>
        <w:rPr>
          <w:rFonts w:cs="Times New Roman"/>
          <w:i/>
          <w:sz w:val="22"/>
        </w:rPr>
      </w:pPr>
      <w:r w:rsidRPr="00225E44">
        <w:rPr>
          <w:rFonts w:cs="Times New Roman"/>
          <w:i/>
          <w:sz w:val="22"/>
        </w:rPr>
        <w:t xml:space="preserve">Artículo 16.- </w:t>
      </w:r>
    </w:p>
    <w:p w14:paraId="26C0D08D" w14:textId="77777777" w:rsidR="004E0727" w:rsidRPr="00225E44" w:rsidRDefault="004E0727" w:rsidP="00225E44">
      <w:pPr>
        <w:spacing w:line="240" w:lineRule="auto"/>
        <w:ind w:left="284"/>
        <w:jc w:val="both"/>
        <w:rPr>
          <w:rFonts w:cs="Times New Roman"/>
          <w:i/>
          <w:sz w:val="22"/>
        </w:rPr>
      </w:pPr>
      <w:r w:rsidRPr="00225E44">
        <w:rPr>
          <w:rFonts w:cs="Times New Roman"/>
          <w:i/>
          <w:sz w:val="22"/>
        </w:rPr>
        <w:t xml:space="preserve">1. </w:t>
      </w:r>
      <w:r w:rsidRPr="00225E44">
        <w:rPr>
          <w:rFonts w:cs="Times New Roman"/>
          <w:b/>
          <w:i/>
          <w:sz w:val="22"/>
        </w:rPr>
        <w:t>En ningún caso podrán dictarse actos contrarios a reglas unívocas de la ciencia o de la técnica, o a principios elementales de justicia, lógica o conveniencia</w:t>
      </w:r>
      <w:r w:rsidRPr="00225E44">
        <w:rPr>
          <w:rFonts w:cs="Times New Roman"/>
          <w:i/>
          <w:sz w:val="22"/>
        </w:rPr>
        <w:t xml:space="preserve">. </w:t>
      </w:r>
    </w:p>
    <w:p w14:paraId="36F22610" w14:textId="29C690E0" w:rsidR="004E0727" w:rsidRPr="00225E44" w:rsidRDefault="004E0727" w:rsidP="00225E44">
      <w:pPr>
        <w:spacing w:line="240" w:lineRule="auto"/>
        <w:ind w:left="284"/>
        <w:jc w:val="both"/>
        <w:rPr>
          <w:rFonts w:cs="Times New Roman"/>
          <w:sz w:val="22"/>
        </w:rPr>
      </w:pPr>
      <w:r w:rsidRPr="00225E44">
        <w:rPr>
          <w:rFonts w:cs="Times New Roman"/>
          <w:i/>
          <w:sz w:val="22"/>
        </w:rPr>
        <w:t>2. El Juez podrá controlar la conformidad con estas reglas no jurídicas de los elementos discrecionales del acto, como si ejerciera contralor de legalidad.</w:t>
      </w:r>
      <w:r w:rsidR="009D5C75" w:rsidRPr="00225E44">
        <w:rPr>
          <w:rFonts w:cs="Times New Roman"/>
          <w:sz w:val="22"/>
        </w:rPr>
        <w:t xml:space="preserve"> </w:t>
      </w:r>
      <w:r w:rsidR="00504AE3">
        <w:rPr>
          <w:rFonts w:cs="Times New Roman"/>
          <w:sz w:val="20"/>
          <w:szCs w:val="20"/>
        </w:rPr>
        <w:t>[Lo resaltado no es del original].</w:t>
      </w:r>
    </w:p>
    <w:p w14:paraId="6F4CBF0E" w14:textId="77777777" w:rsidR="004E0727" w:rsidRDefault="004E0727" w:rsidP="0066627E">
      <w:pPr>
        <w:spacing w:line="240" w:lineRule="auto"/>
        <w:jc w:val="both"/>
        <w:rPr>
          <w:rFonts w:cs="Times New Roman"/>
          <w:szCs w:val="24"/>
        </w:rPr>
      </w:pPr>
    </w:p>
    <w:p w14:paraId="2657F472" w14:textId="4E912CA1" w:rsidR="006F5FE4" w:rsidRPr="00D25D44" w:rsidRDefault="002F647B" w:rsidP="0066627E">
      <w:pPr>
        <w:spacing w:line="240" w:lineRule="auto"/>
        <w:jc w:val="both"/>
        <w:rPr>
          <w:rFonts w:cs="Times New Roman"/>
          <w:szCs w:val="24"/>
        </w:rPr>
      </w:pPr>
      <w:r w:rsidRPr="002A2350">
        <w:rPr>
          <w:rFonts w:cs="Times New Roman"/>
          <w:szCs w:val="24"/>
        </w:rPr>
        <w:t xml:space="preserve">Esto quiere decir que el Reglamento de Beneficios se emitió </w:t>
      </w:r>
      <w:r w:rsidR="00274175" w:rsidRPr="002A2350">
        <w:rPr>
          <w:rFonts w:cs="Times New Roman"/>
          <w:szCs w:val="24"/>
        </w:rPr>
        <w:t xml:space="preserve">con fundamento en criterios técnicos, particularmente </w:t>
      </w:r>
      <w:r w:rsidR="00F060E3" w:rsidRPr="002A2350">
        <w:rPr>
          <w:rFonts w:cs="Times New Roman"/>
          <w:szCs w:val="24"/>
        </w:rPr>
        <w:t>de acuerdo con</w:t>
      </w:r>
      <w:r w:rsidR="00274175" w:rsidRPr="002A2350">
        <w:rPr>
          <w:rFonts w:cs="Times New Roman"/>
          <w:szCs w:val="24"/>
        </w:rPr>
        <w:t xml:space="preserve"> </w:t>
      </w:r>
      <w:r w:rsidR="00D359BD" w:rsidRPr="002A2350">
        <w:rPr>
          <w:rFonts w:cs="Times New Roman"/>
          <w:szCs w:val="24"/>
        </w:rPr>
        <w:t xml:space="preserve">la ciencia actuarial, </w:t>
      </w:r>
      <w:r w:rsidR="00262593" w:rsidRPr="002A2350">
        <w:rPr>
          <w:rFonts w:cs="Times New Roman"/>
          <w:szCs w:val="24"/>
        </w:rPr>
        <w:t xml:space="preserve">la </w:t>
      </w:r>
      <w:r w:rsidR="00D359BD" w:rsidRPr="002A2350">
        <w:rPr>
          <w:rFonts w:cs="Times New Roman"/>
          <w:szCs w:val="24"/>
        </w:rPr>
        <w:t>econ</w:t>
      </w:r>
      <w:r w:rsidR="00262593" w:rsidRPr="002A2350">
        <w:rPr>
          <w:rFonts w:cs="Times New Roman"/>
          <w:szCs w:val="24"/>
        </w:rPr>
        <w:t>omía</w:t>
      </w:r>
      <w:r w:rsidR="00D359BD" w:rsidRPr="002A2350">
        <w:rPr>
          <w:rFonts w:cs="Times New Roman"/>
          <w:szCs w:val="24"/>
        </w:rPr>
        <w:t xml:space="preserve"> y </w:t>
      </w:r>
      <w:r w:rsidR="00262593" w:rsidRPr="002A2350">
        <w:rPr>
          <w:rFonts w:cs="Times New Roman"/>
          <w:szCs w:val="24"/>
        </w:rPr>
        <w:t xml:space="preserve">la </w:t>
      </w:r>
      <w:r w:rsidR="00D359BD" w:rsidRPr="002A2350">
        <w:rPr>
          <w:rFonts w:cs="Times New Roman"/>
          <w:szCs w:val="24"/>
        </w:rPr>
        <w:t>demog</w:t>
      </w:r>
      <w:r w:rsidR="00DD0A35" w:rsidRPr="002A2350">
        <w:rPr>
          <w:rFonts w:cs="Times New Roman"/>
          <w:szCs w:val="24"/>
        </w:rPr>
        <w:t>rafía</w:t>
      </w:r>
      <w:r w:rsidR="009724BF" w:rsidRPr="002A2350">
        <w:rPr>
          <w:rFonts w:cs="Times New Roman"/>
          <w:szCs w:val="24"/>
        </w:rPr>
        <w:t>.  Estas ramas de la ciencia son las que fundamentan los p</w:t>
      </w:r>
      <w:r w:rsidR="00995A33" w:rsidRPr="002A2350">
        <w:rPr>
          <w:rFonts w:cs="Times New Roman"/>
          <w:szCs w:val="24"/>
        </w:rPr>
        <w:t>lanes de beneficio para los</w:t>
      </w:r>
      <w:r w:rsidR="00995A33" w:rsidRPr="00D25D44">
        <w:rPr>
          <w:rFonts w:cs="Times New Roman"/>
          <w:szCs w:val="24"/>
        </w:rPr>
        <w:t xml:space="preserve"> trabajadores</w:t>
      </w:r>
      <w:r w:rsidR="005B4007">
        <w:rPr>
          <w:rFonts w:cs="Times New Roman"/>
          <w:szCs w:val="24"/>
        </w:rPr>
        <w:t>,</w:t>
      </w:r>
      <w:r w:rsidR="00F4019C" w:rsidRPr="00D25D44">
        <w:rPr>
          <w:rFonts w:cs="Times New Roman"/>
          <w:szCs w:val="24"/>
        </w:rPr>
        <w:t xml:space="preserve"> qu</w:t>
      </w:r>
      <w:r w:rsidR="00DE206E">
        <w:rPr>
          <w:rFonts w:cs="Times New Roman"/>
          <w:szCs w:val="24"/>
        </w:rPr>
        <w:t>i</w:t>
      </w:r>
      <w:r w:rsidR="00F4019C" w:rsidRPr="00D25D44">
        <w:rPr>
          <w:rFonts w:cs="Times New Roman"/>
          <w:szCs w:val="24"/>
        </w:rPr>
        <w:t>e</w:t>
      </w:r>
      <w:r w:rsidR="00DE206E">
        <w:rPr>
          <w:rFonts w:cs="Times New Roman"/>
          <w:szCs w:val="24"/>
        </w:rPr>
        <w:t>nes</w:t>
      </w:r>
      <w:r w:rsidR="00F4019C" w:rsidRPr="00D25D44">
        <w:rPr>
          <w:rFonts w:cs="Times New Roman"/>
          <w:szCs w:val="24"/>
        </w:rPr>
        <w:t xml:space="preserve"> después de un período de cotización y una edad establecida por el régimen básico al cual pertenecen</w:t>
      </w:r>
      <w:r w:rsidR="00F9165E">
        <w:rPr>
          <w:rFonts w:cs="Times New Roman"/>
          <w:szCs w:val="24"/>
        </w:rPr>
        <w:t>,</w:t>
      </w:r>
      <w:r w:rsidR="00F4019C" w:rsidRPr="00D25D44">
        <w:rPr>
          <w:rFonts w:cs="Times New Roman"/>
          <w:szCs w:val="24"/>
        </w:rPr>
        <w:t xml:space="preserve"> </w:t>
      </w:r>
      <w:r w:rsidR="00322A7C" w:rsidRPr="00D25D44">
        <w:rPr>
          <w:rFonts w:cs="Times New Roman"/>
          <w:szCs w:val="24"/>
        </w:rPr>
        <w:t>tienen derecho a una pensión del régimen complementario.</w:t>
      </w:r>
    </w:p>
    <w:p w14:paraId="14D4CD6A" w14:textId="00C73928" w:rsidR="00995A33" w:rsidRPr="00D25D44" w:rsidRDefault="00995A33" w:rsidP="0066627E">
      <w:pPr>
        <w:spacing w:line="240" w:lineRule="auto"/>
        <w:jc w:val="both"/>
        <w:rPr>
          <w:rFonts w:cs="Times New Roman"/>
          <w:szCs w:val="24"/>
        </w:rPr>
      </w:pPr>
    </w:p>
    <w:p w14:paraId="022FFE72" w14:textId="09741F70" w:rsidR="00232B46" w:rsidRPr="00D25D44" w:rsidRDefault="005176D4" w:rsidP="0066627E">
      <w:pPr>
        <w:spacing w:line="240" w:lineRule="auto"/>
        <w:jc w:val="both"/>
        <w:rPr>
          <w:rFonts w:cs="Times New Roman"/>
          <w:szCs w:val="24"/>
        </w:rPr>
      </w:pPr>
      <w:r w:rsidRPr="00D25D44">
        <w:rPr>
          <w:rFonts w:cs="Times New Roman"/>
          <w:szCs w:val="24"/>
        </w:rPr>
        <w:t>Para esto l</w:t>
      </w:r>
      <w:r w:rsidR="00970DAC" w:rsidRPr="00D25D44">
        <w:rPr>
          <w:rFonts w:cs="Times New Roman"/>
          <w:szCs w:val="24"/>
        </w:rPr>
        <w:t>a S</w:t>
      </w:r>
      <w:r w:rsidR="00A6225F">
        <w:rPr>
          <w:rFonts w:cs="Times New Roman"/>
          <w:szCs w:val="24"/>
        </w:rPr>
        <w:t>UPEN</w:t>
      </w:r>
      <w:r w:rsidR="00970DAC" w:rsidRPr="00D25D44">
        <w:rPr>
          <w:rFonts w:cs="Times New Roman"/>
          <w:szCs w:val="24"/>
        </w:rPr>
        <w:t xml:space="preserve"> y el CONASSIF se s</w:t>
      </w:r>
      <w:r w:rsidR="000D1227" w:rsidRPr="00D25D44">
        <w:rPr>
          <w:rFonts w:cs="Times New Roman"/>
          <w:szCs w:val="24"/>
        </w:rPr>
        <w:t xml:space="preserve">ujetaron a los principios que </w:t>
      </w:r>
      <w:r w:rsidR="002A5A68" w:rsidRPr="00D25D44">
        <w:rPr>
          <w:rFonts w:cs="Times New Roman"/>
          <w:szCs w:val="24"/>
        </w:rPr>
        <w:t>estas ramas de la ciencia contienen</w:t>
      </w:r>
      <w:r w:rsidR="000D1227" w:rsidRPr="00D25D44">
        <w:rPr>
          <w:rFonts w:cs="Times New Roman"/>
          <w:szCs w:val="24"/>
        </w:rPr>
        <w:t xml:space="preserve">, </w:t>
      </w:r>
      <w:r w:rsidR="00FB774D">
        <w:rPr>
          <w:rFonts w:cs="Times New Roman"/>
          <w:szCs w:val="24"/>
        </w:rPr>
        <w:t>estos mismos principios</w:t>
      </w:r>
      <w:r w:rsidR="00780777" w:rsidRPr="00D25D44">
        <w:rPr>
          <w:rFonts w:cs="Times New Roman"/>
          <w:szCs w:val="24"/>
        </w:rPr>
        <w:t xml:space="preserve"> </w:t>
      </w:r>
      <w:r w:rsidR="00DC17E1">
        <w:rPr>
          <w:rFonts w:cs="Times New Roman"/>
          <w:szCs w:val="24"/>
        </w:rPr>
        <w:t xml:space="preserve">se tomaron en cuenta </w:t>
      </w:r>
      <w:r w:rsidR="00780777" w:rsidRPr="00D25D44">
        <w:rPr>
          <w:rFonts w:cs="Times New Roman"/>
          <w:szCs w:val="24"/>
        </w:rPr>
        <w:t xml:space="preserve">en el régimen básico </w:t>
      </w:r>
      <w:r w:rsidR="00DC17E1" w:rsidRPr="00D25D44">
        <w:rPr>
          <w:rFonts w:cs="Times New Roman"/>
          <w:szCs w:val="24"/>
        </w:rPr>
        <w:t>Régimen de Invalidez, Vejez y Muerte de la Caja Costarricense del Seguro Social, en adelante IVM,</w:t>
      </w:r>
      <w:r w:rsidR="00DC17E1">
        <w:rPr>
          <w:rFonts w:cs="Times New Roman"/>
          <w:szCs w:val="24"/>
        </w:rPr>
        <w:t xml:space="preserve"> </w:t>
      </w:r>
      <w:r w:rsidR="000675A5">
        <w:rPr>
          <w:rFonts w:cs="Times New Roman"/>
          <w:szCs w:val="24"/>
        </w:rPr>
        <w:t>para</w:t>
      </w:r>
      <w:r w:rsidR="003A3A15" w:rsidRPr="00D25D44">
        <w:rPr>
          <w:rFonts w:cs="Times New Roman"/>
          <w:szCs w:val="24"/>
        </w:rPr>
        <w:t xml:space="preserve"> establec</w:t>
      </w:r>
      <w:r w:rsidR="000675A5">
        <w:rPr>
          <w:rFonts w:cs="Times New Roman"/>
          <w:szCs w:val="24"/>
        </w:rPr>
        <w:t>er</w:t>
      </w:r>
      <w:r w:rsidR="003A3A15" w:rsidRPr="00D25D44">
        <w:rPr>
          <w:rFonts w:cs="Times New Roman"/>
          <w:szCs w:val="24"/>
        </w:rPr>
        <w:t xml:space="preserve"> </w:t>
      </w:r>
      <w:r w:rsidR="002A5A68" w:rsidRPr="00D25D44">
        <w:rPr>
          <w:rFonts w:cs="Times New Roman"/>
          <w:szCs w:val="24"/>
        </w:rPr>
        <w:t xml:space="preserve">los requisitos para establecer </w:t>
      </w:r>
      <w:r w:rsidR="00780777" w:rsidRPr="00D25D44">
        <w:rPr>
          <w:rFonts w:cs="Times New Roman"/>
          <w:szCs w:val="24"/>
        </w:rPr>
        <w:t xml:space="preserve">las prestaciones </w:t>
      </w:r>
      <w:r w:rsidR="003A3A15" w:rsidRPr="00D25D44">
        <w:rPr>
          <w:rFonts w:cs="Times New Roman"/>
          <w:szCs w:val="24"/>
        </w:rPr>
        <w:t>para sus afiliados.</w:t>
      </w:r>
      <w:r w:rsidR="00D13457" w:rsidRPr="00D25D44">
        <w:rPr>
          <w:rFonts w:cs="Times New Roman"/>
          <w:szCs w:val="24"/>
        </w:rPr>
        <w:t xml:space="preserve"> </w:t>
      </w:r>
      <w:r w:rsidR="00B00C22" w:rsidRPr="00D25D44">
        <w:rPr>
          <w:rFonts w:cs="Times New Roman"/>
          <w:szCs w:val="24"/>
        </w:rPr>
        <w:t xml:space="preserve"> </w:t>
      </w:r>
      <w:r w:rsidR="00E26537">
        <w:rPr>
          <w:rFonts w:cs="Times New Roman"/>
          <w:szCs w:val="24"/>
        </w:rPr>
        <w:t xml:space="preserve">En este caso el artículo 5 del Reglamento de </w:t>
      </w:r>
      <w:r w:rsidR="00705689">
        <w:rPr>
          <w:rFonts w:cs="Times New Roman"/>
          <w:szCs w:val="24"/>
        </w:rPr>
        <w:t>Beneficios dispone</w:t>
      </w:r>
      <w:r w:rsidR="00232B46" w:rsidRPr="00D25D44">
        <w:rPr>
          <w:rFonts w:cs="Times New Roman"/>
          <w:szCs w:val="24"/>
        </w:rPr>
        <w:t>:</w:t>
      </w:r>
    </w:p>
    <w:p w14:paraId="1986BD49" w14:textId="36A8BB8E" w:rsidR="00274175" w:rsidRPr="00D25D44" w:rsidRDefault="00232B46" w:rsidP="0066627E">
      <w:pPr>
        <w:spacing w:line="240" w:lineRule="auto"/>
        <w:jc w:val="both"/>
        <w:rPr>
          <w:rFonts w:cs="Times New Roman"/>
          <w:szCs w:val="24"/>
        </w:rPr>
      </w:pPr>
      <w:r w:rsidRPr="00D25D44">
        <w:rPr>
          <w:rFonts w:cs="Times New Roman"/>
          <w:szCs w:val="24"/>
        </w:rPr>
        <w:t xml:space="preserve"> </w:t>
      </w:r>
      <w:r w:rsidR="000D7C6F" w:rsidRPr="00D25D44">
        <w:rPr>
          <w:rFonts w:cs="Times New Roman"/>
          <w:szCs w:val="24"/>
        </w:rPr>
        <w:t xml:space="preserve"> </w:t>
      </w:r>
    </w:p>
    <w:p w14:paraId="0DFD9999" w14:textId="77777777" w:rsidR="002A5A68" w:rsidRPr="005B4474" w:rsidRDefault="000D7C6F" w:rsidP="005B4474">
      <w:pPr>
        <w:spacing w:line="240" w:lineRule="auto"/>
        <w:ind w:left="284"/>
        <w:jc w:val="both"/>
        <w:rPr>
          <w:rFonts w:cs="Times New Roman"/>
          <w:i/>
          <w:sz w:val="22"/>
        </w:rPr>
      </w:pPr>
      <w:r w:rsidRPr="005B4474">
        <w:rPr>
          <w:rFonts w:cs="Times New Roman"/>
          <w:i/>
          <w:sz w:val="22"/>
        </w:rPr>
        <w:t>Artículo 5- Tiene derecho a pensión por vejez el asegurado que alcance los 65 años de edad, siempre que haya contribuido a este Seguro con al menos 300 (trescientas) cuotas. En el caso de aquellos asegurados que, habiendo alcanzado esa edad, no cumplen con el número de cuotas requeridas, pero tengan aportadas al menos 180 (ciento ochenta) cuotas, tienen derecho a una pensión proporcional, según se establece en el artículo 24° del presente Reglamento.</w:t>
      </w:r>
      <w:r w:rsidR="002A5A68" w:rsidRPr="005B4474">
        <w:rPr>
          <w:rFonts w:cs="Times New Roman"/>
          <w:i/>
          <w:sz w:val="22"/>
        </w:rPr>
        <w:t xml:space="preserve"> </w:t>
      </w:r>
    </w:p>
    <w:p w14:paraId="52DAC2F0" w14:textId="06B8CEE9" w:rsidR="004B0048" w:rsidRDefault="000D7C6F" w:rsidP="005B4474">
      <w:pPr>
        <w:spacing w:line="240" w:lineRule="auto"/>
        <w:ind w:left="284"/>
        <w:jc w:val="both"/>
        <w:rPr>
          <w:rFonts w:cs="Times New Roman"/>
          <w:sz w:val="20"/>
          <w:szCs w:val="20"/>
        </w:rPr>
      </w:pPr>
      <w:r w:rsidRPr="005B4474">
        <w:rPr>
          <w:rFonts w:cs="Times New Roman"/>
          <w:i/>
          <w:sz w:val="22"/>
        </w:rPr>
        <w:t xml:space="preserve">El asegurado podrá anticipar su retiro con derecho a pensión de vejez, </w:t>
      </w:r>
      <w:r w:rsidRPr="005B4474">
        <w:rPr>
          <w:rFonts w:cs="Times New Roman"/>
          <w:b/>
          <w:i/>
          <w:sz w:val="22"/>
        </w:rPr>
        <w:t>siempre que cumpla los requisitos y condiciones que se indican en la siguiente tabla</w:t>
      </w:r>
      <w:r w:rsidRPr="005B4474">
        <w:rPr>
          <w:rFonts w:cs="Times New Roman"/>
          <w:i/>
          <w:sz w:val="22"/>
        </w:rPr>
        <w:t>:</w:t>
      </w:r>
      <w:r w:rsidR="005B4474">
        <w:rPr>
          <w:rFonts w:cs="Times New Roman"/>
          <w:i/>
          <w:szCs w:val="24"/>
        </w:rPr>
        <w:t xml:space="preserve"> </w:t>
      </w:r>
      <w:r w:rsidR="005B4474">
        <w:rPr>
          <w:rFonts w:cs="Times New Roman"/>
          <w:sz w:val="20"/>
          <w:szCs w:val="20"/>
        </w:rPr>
        <w:t>[Lo resaltado no es del original].</w:t>
      </w:r>
    </w:p>
    <w:p w14:paraId="2E0899F1" w14:textId="77777777" w:rsidR="005B4474" w:rsidRPr="00D25D44" w:rsidRDefault="005B4474" w:rsidP="005B4474">
      <w:pPr>
        <w:spacing w:line="240" w:lineRule="auto"/>
        <w:ind w:left="708"/>
        <w:jc w:val="both"/>
        <w:rPr>
          <w:rFonts w:cs="Times New Roman"/>
          <w:szCs w:val="24"/>
        </w:rPr>
      </w:pPr>
    </w:p>
    <w:p w14:paraId="67F5D065" w14:textId="2D945AB3" w:rsidR="004B0048" w:rsidRPr="00D25D44" w:rsidRDefault="004B0048" w:rsidP="004B0048">
      <w:pPr>
        <w:spacing w:line="240" w:lineRule="auto"/>
        <w:jc w:val="both"/>
        <w:rPr>
          <w:rFonts w:cs="Times New Roman"/>
          <w:szCs w:val="24"/>
        </w:rPr>
      </w:pPr>
      <w:r w:rsidRPr="00D25D44">
        <w:rPr>
          <w:rFonts w:cs="Times New Roman"/>
          <w:szCs w:val="24"/>
        </w:rPr>
        <w:t>Las prestaciones que se otorgan en el IVM se determinan mediante un proceso objetivo de</w:t>
      </w:r>
      <w:r w:rsidR="00997F95" w:rsidRPr="00D25D44">
        <w:rPr>
          <w:rFonts w:cs="Times New Roman"/>
          <w:szCs w:val="24"/>
        </w:rPr>
        <w:t xml:space="preserve"> verificación de cumplimiento de requisitos</w:t>
      </w:r>
      <w:r w:rsidR="00EC12A6" w:rsidRPr="00D25D44">
        <w:rPr>
          <w:rFonts w:cs="Times New Roman"/>
          <w:szCs w:val="24"/>
        </w:rPr>
        <w:t>.</w:t>
      </w:r>
      <w:r w:rsidR="00997F95" w:rsidRPr="00D25D44">
        <w:rPr>
          <w:rFonts w:cs="Times New Roman"/>
          <w:szCs w:val="24"/>
        </w:rPr>
        <w:t xml:space="preserve"> </w:t>
      </w:r>
      <w:r w:rsidR="00EC12A6" w:rsidRPr="00D25D44">
        <w:rPr>
          <w:rFonts w:cs="Times New Roman"/>
          <w:szCs w:val="24"/>
        </w:rPr>
        <w:t>L</w:t>
      </w:r>
      <w:r w:rsidR="00997F95" w:rsidRPr="00D25D44">
        <w:rPr>
          <w:rFonts w:cs="Times New Roman"/>
          <w:szCs w:val="24"/>
        </w:rPr>
        <w:t xml:space="preserve">as condiciones para </w:t>
      </w:r>
      <w:r w:rsidR="003112C3" w:rsidRPr="00D25D44">
        <w:rPr>
          <w:rFonts w:cs="Times New Roman"/>
          <w:szCs w:val="24"/>
        </w:rPr>
        <w:t>recibir una pensión para el régimen ya se encuentran establecid</w:t>
      </w:r>
      <w:r w:rsidR="003E515E">
        <w:rPr>
          <w:rFonts w:cs="Times New Roman"/>
          <w:szCs w:val="24"/>
        </w:rPr>
        <w:t>a</w:t>
      </w:r>
      <w:r w:rsidR="003112C3" w:rsidRPr="00D25D44">
        <w:rPr>
          <w:rFonts w:cs="Times New Roman"/>
          <w:szCs w:val="24"/>
        </w:rPr>
        <w:t xml:space="preserve">s y son el resultado de </w:t>
      </w:r>
      <w:r w:rsidR="004E6772" w:rsidRPr="00D25D44">
        <w:rPr>
          <w:rFonts w:cs="Times New Roman"/>
          <w:szCs w:val="24"/>
        </w:rPr>
        <w:t xml:space="preserve">decisiones tomadas con fundamento en estudios </w:t>
      </w:r>
      <w:r w:rsidR="004E6772" w:rsidRPr="008311AD">
        <w:rPr>
          <w:rFonts w:cs="Times New Roman"/>
          <w:szCs w:val="24"/>
        </w:rPr>
        <w:t>actuari</w:t>
      </w:r>
      <w:r w:rsidR="00A949C8" w:rsidRPr="008311AD">
        <w:rPr>
          <w:rFonts w:cs="Times New Roman"/>
          <w:szCs w:val="24"/>
        </w:rPr>
        <w:t>a</w:t>
      </w:r>
      <w:r w:rsidR="004E6772" w:rsidRPr="008311AD">
        <w:rPr>
          <w:rFonts w:cs="Times New Roman"/>
          <w:szCs w:val="24"/>
        </w:rPr>
        <w:t>les</w:t>
      </w:r>
      <w:r w:rsidR="00A949C8" w:rsidRPr="008311AD">
        <w:rPr>
          <w:rFonts w:cs="Times New Roman"/>
          <w:szCs w:val="24"/>
        </w:rPr>
        <w:t>.</w:t>
      </w:r>
      <w:r w:rsidR="0073340D" w:rsidRPr="008311AD">
        <w:rPr>
          <w:rFonts w:cs="Times New Roman"/>
          <w:szCs w:val="24"/>
        </w:rPr>
        <w:t xml:space="preserve">  </w:t>
      </w:r>
      <w:r w:rsidR="0073340D" w:rsidRPr="00D25D44">
        <w:rPr>
          <w:rFonts w:cs="Times New Roman"/>
          <w:szCs w:val="24"/>
        </w:rPr>
        <w:t xml:space="preserve">Esta verificación evita </w:t>
      </w:r>
      <w:r w:rsidR="007A645D" w:rsidRPr="00D25D44">
        <w:rPr>
          <w:rFonts w:cs="Times New Roman"/>
          <w:szCs w:val="24"/>
        </w:rPr>
        <w:t xml:space="preserve">el riesgo de </w:t>
      </w:r>
      <w:r w:rsidR="003F03AF" w:rsidRPr="00D25D44">
        <w:rPr>
          <w:rFonts w:cs="Times New Roman"/>
          <w:szCs w:val="24"/>
        </w:rPr>
        <w:t>hacer consideraciones subjetivas caso por caso, lo mismo sucede en todos los regímenes de seguridad social del mundo</w:t>
      </w:r>
      <w:r w:rsidR="005E0823" w:rsidRPr="00D25D44">
        <w:rPr>
          <w:rFonts w:cs="Times New Roman"/>
          <w:szCs w:val="24"/>
        </w:rPr>
        <w:t>.</w:t>
      </w:r>
    </w:p>
    <w:p w14:paraId="5481B240" w14:textId="58F43449" w:rsidR="005E0823" w:rsidRPr="00D25D44" w:rsidRDefault="005E0823" w:rsidP="004B0048">
      <w:pPr>
        <w:spacing w:line="240" w:lineRule="auto"/>
        <w:jc w:val="both"/>
        <w:rPr>
          <w:rFonts w:cs="Times New Roman"/>
          <w:szCs w:val="24"/>
        </w:rPr>
      </w:pPr>
    </w:p>
    <w:p w14:paraId="2C95E6A3" w14:textId="66DE1DF2" w:rsidR="0066627E" w:rsidRDefault="005E0823" w:rsidP="0066627E">
      <w:pPr>
        <w:spacing w:line="240" w:lineRule="auto"/>
        <w:jc w:val="both"/>
        <w:rPr>
          <w:rFonts w:cs="Times New Roman"/>
          <w:szCs w:val="24"/>
        </w:rPr>
      </w:pPr>
      <w:r w:rsidRPr="00D25D44">
        <w:rPr>
          <w:rFonts w:cs="Times New Roman"/>
          <w:szCs w:val="24"/>
        </w:rPr>
        <w:t xml:space="preserve">En el ámbito nacional la </w:t>
      </w:r>
      <w:r w:rsidR="0066627E" w:rsidRPr="00D25D44">
        <w:rPr>
          <w:rFonts w:cs="Times New Roman"/>
          <w:szCs w:val="24"/>
        </w:rPr>
        <w:t>Ley General de la Administración Pública</w:t>
      </w:r>
      <w:r w:rsidR="009F67C1" w:rsidRPr="00D25D44">
        <w:rPr>
          <w:rFonts w:cs="Times New Roman"/>
          <w:szCs w:val="24"/>
        </w:rPr>
        <w:t xml:space="preserve"> dispone que los funcionarios públicos no se pueden apartar de las reglas unívocas de la ciencia</w:t>
      </w:r>
      <w:r w:rsidR="004E6BE0" w:rsidRPr="00D25D44">
        <w:rPr>
          <w:rFonts w:cs="Times New Roman"/>
          <w:szCs w:val="24"/>
        </w:rPr>
        <w:t xml:space="preserve"> o de la técnica; en el caso</w:t>
      </w:r>
      <w:r w:rsidR="007A645D" w:rsidRPr="00D25D44">
        <w:rPr>
          <w:rFonts w:cs="Times New Roman"/>
          <w:szCs w:val="24"/>
        </w:rPr>
        <w:t>:</w:t>
      </w:r>
      <w:r w:rsidR="004E6BE0" w:rsidRPr="00D25D44">
        <w:rPr>
          <w:rFonts w:cs="Times New Roman"/>
          <w:szCs w:val="24"/>
        </w:rPr>
        <w:t xml:space="preserve"> </w:t>
      </w:r>
      <w:r w:rsidR="007A645D" w:rsidRPr="00D25D44">
        <w:rPr>
          <w:rFonts w:cs="Times New Roman"/>
          <w:szCs w:val="24"/>
        </w:rPr>
        <w:t xml:space="preserve">las </w:t>
      </w:r>
      <w:r w:rsidR="004E6BE0" w:rsidRPr="00D25D44">
        <w:rPr>
          <w:rFonts w:cs="Times New Roman"/>
          <w:szCs w:val="24"/>
        </w:rPr>
        <w:t xml:space="preserve">reglas de la ciencia actuarial, </w:t>
      </w:r>
      <w:r w:rsidR="007A645D" w:rsidRPr="00D25D44">
        <w:rPr>
          <w:rFonts w:cs="Times New Roman"/>
          <w:szCs w:val="24"/>
        </w:rPr>
        <w:t xml:space="preserve">la </w:t>
      </w:r>
      <w:r w:rsidR="004E6BE0" w:rsidRPr="00D25D44">
        <w:rPr>
          <w:rFonts w:cs="Times New Roman"/>
          <w:szCs w:val="24"/>
        </w:rPr>
        <w:t>econ</w:t>
      </w:r>
      <w:r w:rsidR="007A645D" w:rsidRPr="00D25D44">
        <w:rPr>
          <w:rFonts w:cs="Times New Roman"/>
          <w:szCs w:val="24"/>
        </w:rPr>
        <w:t>o</w:t>
      </w:r>
      <w:r w:rsidR="004E6BE0" w:rsidRPr="00D25D44">
        <w:rPr>
          <w:rFonts w:cs="Times New Roman"/>
          <w:szCs w:val="24"/>
        </w:rPr>
        <w:t>m</w:t>
      </w:r>
      <w:r w:rsidR="007A645D" w:rsidRPr="00D25D44">
        <w:rPr>
          <w:rFonts w:cs="Times New Roman"/>
          <w:szCs w:val="24"/>
        </w:rPr>
        <w:t>í</w:t>
      </w:r>
      <w:r w:rsidR="004E6BE0" w:rsidRPr="00D25D44">
        <w:rPr>
          <w:rFonts w:cs="Times New Roman"/>
          <w:szCs w:val="24"/>
        </w:rPr>
        <w:t xml:space="preserve">a y </w:t>
      </w:r>
      <w:r w:rsidR="007A645D" w:rsidRPr="00D25D44">
        <w:rPr>
          <w:rFonts w:cs="Times New Roman"/>
          <w:szCs w:val="24"/>
        </w:rPr>
        <w:t xml:space="preserve">la </w:t>
      </w:r>
      <w:r w:rsidR="004E6BE0" w:rsidRPr="00D25D44">
        <w:rPr>
          <w:rFonts w:cs="Times New Roman"/>
          <w:szCs w:val="24"/>
        </w:rPr>
        <w:t>demog</w:t>
      </w:r>
      <w:r w:rsidR="00343DB2">
        <w:rPr>
          <w:rFonts w:cs="Times New Roman"/>
          <w:szCs w:val="24"/>
        </w:rPr>
        <w:t>ra</w:t>
      </w:r>
      <w:r w:rsidR="004E6BE0" w:rsidRPr="00D25D44">
        <w:rPr>
          <w:rFonts w:cs="Times New Roman"/>
          <w:szCs w:val="24"/>
        </w:rPr>
        <w:t>f</w:t>
      </w:r>
      <w:r w:rsidR="002B2823">
        <w:rPr>
          <w:rFonts w:cs="Times New Roman"/>
          <w:szCs w:val="24"/>
        </w:rPr>
        <w:t>ía</w:t>
      </w:r>
      <w:r w:rsidR="00FA7BD3" w:rsidRPr="00D25D44">
        <w:rPr>
          <w:rFonts w:cs="Times New Roman"/>
          <w:szCs w:val="24"/>
        </w:rPr>
        <w:t>. Para el establecimiento de las tablas de vida o mortalidad</w:t>
      </w:r>
      <w:r w:rsidR="009B08B1" w:rsidRPr="00D25D44">
        <w:rPr>
          <w:rFonts w:cs="Times New Roman"/>
          <w:szCs w:val="24"/>
        </w:rPr>
        <w:t xml:space="preserve"> que dispone el </w:t>
      </w:r>
      <w:r w:rsidR="002B2823">
        <w:rPr>
          <w:rFonts w:cs="Times New Roman"/>
          <w:szCs w:val="24"/>
        </w:rPr>
        <w:t>R</w:t>
      </w:r>
      <w:r w:rsidR="009B08B1" w:rsidRPr="00D25D44">
        <w:rPr>
          <w:rFonts w:cs="Times New Roman"/>
          <w:szCs w:val="24"/>
        </w:rPr>
        <w:t>eglamento</w:t>
      </w:r>
      <w:r w:rsidR="002B2823">
        <w:rPr>
          <w:rFonts w:cs="Times New Roman"/>
          <w:szCs w:val="24"/>
        </w:rPr>
        <w:t xml:space="preserve"> de Beneficios</w:t>
      </w:r>
      <w:r w:rsidR="009B08B1" w:rsidRPr="00D25D44">
        <w:rPr>
          <w:rFonts w:cs="Times New Roman"/>
          <w:szCs w:val="24"/>
        </w:rPr>
        <w:t xml:space="preserve">, </w:t>
      </w:r>
      <w:r w:rsidR="009B08B1" w:rsidRPr="00D25D44">
        <w:rPr>
          <w:rFonts w:cs="Times New Roman"/>
          <w:szCs w:val="24"/>
        </w:rPr>
        <w:lastRenderedPageBreak/>
        <w:t>se utilizaron las tablas creadas por el Centro Centroamericano de Población de la U</w:t>
      </w:r>
      <w:r w:rsidR="008311AD">
        <w:rPr>
          <w:rFonts w:cs="Times New Roman"/>
          <w:szCs w:val="24"/>
        </w:rPr>
        <w:t xml:space="preserve">niversidad de </w:t>
      </w:r>
      <w:r w:rsidR="009B08B1" w:rsidRPr="00D25D44">
        <w:rPr>
          <w:rFonts w:cs="Times New Roman"/>
          <w:szCs w:val="24"/>
        </w:rPr>
        <w:t>C</w:t>
      </w:r>
      <w:r w:rsidR="008311AD">
        <w:rPr>
          <w:rFonts w:cs="Times New Roman"/>
          <w:szCs w:val="24"/>
        </w:rPr>
        <w:t xml:space="preserve">osta </w:t>
      </w:r>
      <w:r w:rsidR="009B08B1" w:rsidRPr="00D25D44">
        <w:rPr>
          <w:rFonts w:cs="Times New Roman"/>
          <w:szCs w:val="24"/>
        </w:rPr>
        <w:t>R</w:t>
      </w:r>
      <w:r w:rsidR="008311AD">
        <w:rPr>
          <w:rFonts w:cs="Times New Roman"/>
          <w:szCs w:val="24"/>
        </w:rPr>
        <w:t>ica</w:t>
      </w:r>
      <w:r w:rsidR="000305EA" w:rsidRPr="00D25D44">
        <w:rPr>
          <w:rFonts w:cs="Times New Roman"/>
          <w:szCs w:val="24"/>
        </w:rPr>
        <w:t xml:space="preserve"> que establece</w:t>
      </w:r>
      <w:r w:rsidR="00D43DBB" w:rsidRPr="00D25D44">
        <w:rPr>
          <w:rFonts w:cs="Times New Roman"/>
          <w:szCs w:val="24"/>
        </w:rPr>
        <w:t>n</w:t>
      </w:r>
      <w:r w:rsidR="000305EA" w:rsidRPr="00D25D44">
        <w:rPr>
          <w:rFonts w:cs="Times New Roman"/>
          <w:szCs w:val="24"/>
        </w:rPr>
        <w:t xml:space="preserve"> una serie de probabilidades.</w:t>
      </w:r>
    </w:p>
    <w:p w14:paraId="165166D1" w14:textId="21DCDBBE" w:rsidR="008311AD" w:rsidRDefault="008311AD" w:rsidP="0066627E">
      <w:pPr>
        <w:spacing w:line="240" w:lineRule="auto"/>
        <w:jc w:val="both"/>
        <w:rPr>
          <w:rFonts w:cs="Times New Roman"/>
          <w:szCs w:val="24"/>
        </w:rPr>
      </w:pPr>
    </w:p>
    <w:p w14:paraId="1D75FDD7" w14:textId="6EA2EB5A" w:rsidR="00583585" w:rsidRDefault="00583585" w:rsidP="00583585">
      <w:pPr>
        <w:spacing w:line="240" w:lineRule="auto"/>
        <w:jc w:val="both"/>
        <w:rPr>
          <w:rFonts w:cs="Times New Roman"/>
          <w:szCs w:val="24"/>
        </w:rPr>
      </w:pPr>
      <w:r w:rsidRPr="00583585">
        <w:rPr>
          <w:rFonts w:cs="Times New Roman"/>
          <w:szCs w:val="24"/>
        </w:rPr>
        <w:t xml:space="preserve">La tabla de mortalidad, también llamada tabla de </w:t>
      </w:r>
      <w:r w:rsidR="00BC3B21" w:rsidRPr="00583585">
        <w:rPr>
          <w:rFonts w:cs="Times New Roman"/>
          <w:szCs w:val="24"/>
        </w:rPr>
        <w:t>vida</w:t>
      </w:r>
      <w:r w:rsidRPr="00583585">
        <w:rPr>
          <w:rFonts w:cs="Times New Roman"/>
          <w:szCs w:val="24"/>
        </w:rPr>
        <w:t xml:space="preserve"> es un instrumento o esquema teórico que permite medir las probabilidades de vida y de muerte de una población, en función de la edad y para un período de tiempo determinado. </w:t>
      </w:r>
    </w:p>
    <w:p w14:paraId="29284F61" w14:textId="77777777" w:rsidR="008311AD" w:rsidRPr="00D25D44" w:rsidRDefault="008311AD" w:rsidP="0066627E">
      <w:pPr>
        <w:spacing w:line="240" w:lineRule="auto"/>
        <w:jc w:val="both"/>
        <w:rPr>
          <w:rFonts w:cs="Times New Roman"/>
          <w:szCs w:val="24"/>
        </w:rPr>
      </w:pPr>
    </w:p>
    <w:p w14:paraId="0B48CCB1" w14:textId="0A3FD577" w:rsidR="000305EA" w:rsidRPr="00FD1384" w:rsidRDefault="00E15FB9" w:rsidP="00FD1384">
      <w:pPr>
        <w:spacing w:line="240" w:lineRule="auto"/>
        <w:ind w:left="284"/>
        <w:jc w:val="both"/>
        <w:rPr>
          <w:rFonts w:cs="Times New Roman"/>
          <w:sz w:val="22"/>
        </w:rPr>
      </w:pPr>
      <w:r w:rsidRPr="00FD1384">
        <w:rPr>
          <w:rFonts w:cs="Times New Roman"/>
          <w:i/>
          <w:sz w:val="22"/>
        </w:rPr>
        <w:t>Las tablas de mortalidad (o tabla de vida) muestran el número de muertes (mortalidad), la</w:t>
      </w:r>
      <w:r w:rsidR="00D43DBB" w:rsidRPr="00FD1384">
        <w:rPr>
          <w:rFonts w:cs="Times New Roman"/>
          <w:i/>
          <w:sz w:val="22"/>
        </w:rPr>
        <w:t xml:space="preserve"> </w:t>
      </w:r>
      <w:r w:rsidRPr="00FD1384">
        <w:rPr>
          <w:rFonts w:cs="Times New Roman"/>
          <w:i/>
          <w:sz w:val="22"/>
        </w:rPr>
        <w:t xml:space="preserve">edad así como otras informaciones que se producen en un determinado territorio geográfico o localidad. Son el fundamento para conocer </w:t>
      </w:r>
      <w:r w:rsidR="00F60D6A" w:rsidRPr="00FD1384">
        <w:rPr>
          <w:rFonts w:cs="Times New Roman"/>
          <w:i/>
          <w:sz w:val="22"/>
        </w:rPr>
        <w:t>la esperanza</w:t>
      </w:r>
      <w:r w:rsidRPr="00FD1384">
        <w:rPr>
          <w:rFonts w:cs="Times New Roman"/>
          <w:i/>
          <w:sz w:val="22"/>
        </w:rPr>
        <w:t xml:space="preserve"> de vida, evolución de la población, el grado de madurez demográfica, la repercursión de epidemias y otra información utilizada en demografía, ciencias actuariales, seguros, bioestadística, epidemiología y otras disciplinas. Se considera un importante instrumento en el ámbito de la demografía.</w:t>
      </w:r>
      <w:r w:rsidRPr="00FD1384">
        <w:rPr>
          <w:rStyle w:val="Refdenotaalpie"/>
          <w:rFonts w:cs="Times New Roman"/>
          <w:sz w:val="22"/>
        </w:rPr>
        <w:footnoteReference w:id="1"/>
      </w:r>
    </w:p>
    <w:p w14:paraId="04E5521D" w14:textId="77777777" w:rsidR="004213A5" w:rsidRDefault="004213A5" w:rsidP="00FD1384">
      <w:pPr>
        <w:spacing w:line="240" w:lineRule="auto"/>
        <w:ind w:left="284"/>
        <w:jc w:val="both"/>
        <w:rPr>
          <w:rFonts w:cs="Times New Roman"/>
          <w:szCs w:val="24"/>
        </w:rPr>
      </w:pPr>
      <w:r w:rsidRPr="00FD1384">
        <w:rPr>
          <w:rFonts w:cs="Times New Roman"/>
          <w:i/>
          <w:sz w:val="22"/>
        </w:rPr>
        <w:t>Tasa de mortalidad por edad, m(x, n) Es el cociente entre las defunciones ocurridas entre las edades exactas x y x+n (d(x, n)) y la población estacionaria (L(x, n)) correspondiente a esas mismas edades. Es el punto de partida para la elaboración de la tabla de mortalidad. Por lo tanto, en las tablas observadas las tasas se calculan a partir de las defunciones observadas (D(x, x+n)) y la población media del período considerado (N(x, n)).</w:t>
      </w:r>
      <w:r>
        <w:rPr>
          <w:rStyle w:val="Refdenotaalpie"/>
          <w:rFonts w:cs="Times New Roman"/>
          <w:szCs w:val="24"/>
        </w:rPr>
        <w:footnoteReference w:id="2"/>
      </w:r>
    </w:p>
    <w:p w14:paraId="12A97C4A" w14:textId="77777777" w:rsidR="004213A5" w:rsidRPr="00D25D44" w:rsidRDefault="004213A5" w:rsidP="004213A5">
      <w:pPr>
        <w:spacing w:line="240" w:lineRule="auto"/>
        <w:ind w:left="708"/>
        <w:jc w:val="both"/>
        <w:rPr>
          <w:rFonts w:cs="Times New Roman"/>
          <w:szCs w:val="24"/>
        </w:rPr>
      </w:pPr>
    </w:p>
    <w:p w14:paraId="0CEAD44E" w14:textId="6B683407" w:rsidR="00CC3FB1" w:rsidRPr="00D25D44" w:rsidRDefault="001053BA" w:rsidP="0066627E">
      <w:pPr>
        <w:spacing w:line="240" w:lineRule="auto"/>
        <w:jc w:val="both"/>
        <w:rPr>
          <w:rFonts w:cs="Times New Roman"/>
          <w:szCs w:val="24"/>
        </w:rPr>
      </w:pPr>
      <w:r w:rsidRPr="00D25D44">
        <w:rPr>
          <w:rFonts w:cs="Times New Roman"/>
          <w:szCs w:val="24"/>
        </w:rPr>
        <w:t>La comprensión de lo que es una tabla de mortalidad</w:t>
      </w:r>
      <w:r w:rsidR="00525D57" w:rsidRPr="00D25D44">
        <w:rPr>
          <w:rFonts w:cs="Times New Roman"/>
          <w:szCs w:val="24"/>
        </w:rPr>
        <w:t>, así como el concepto de esperanza de vi</w:t>
      </w:r>
      <w:r w:rsidR="00010619" w:rsidRPr="00D25D44">
        <w:rPr>
          <w:rFonts w:cs="Times New Roman"/>
          <w:szCs w:val="24"/>
        </w:rPr>
        <w:t>d</w:t>
      </w:r>
      <w:r w:rsidR="00525D57" w:rsidRPr="00D25D44">
        <w:rPr>
          <w:rFonts w:cs="Times New Roman"/>
          <w:szCs w:val="24"/>
        </w:rPr>
        <w:t>a es fundamental para valorar si la</w:t>
      </w:r>
      <w:r w:rsidR="00010619" w:rsidRPr="00D25D44">
        <w:rPr>
          <w:rFonts w:cs="Times New Roman"/>
          <w:szCs w:val="24"/>
        </w:rPr>
        <w:t xml:space="preserve"> regulación emitida por el CONASSIF</w:t>
      </w:r>
      <w:r w:rsidR="005D7C2C">
        <w:rPr>
          <w:rFonts w:cs="Times New Roman"/>
          <w:szCs w:val="24"/>
        </w:rPr>
        <w:t>,</w:t>
      </w:r>
      <w:r w:rsidR="00010619" w:rsidRPr="00D25D44">
        <w:rPr>
          <w:rFonts w:cs="Times New Roman"/>
          <w:szCs w:val="24"/>
        </w:rPr>
        <w:t xml:space="preserve"> a instancias de la S</w:t>
      </w:r>
      <w:r w:rsidR="00DD25CD">
        <w:rPr>
          <w:rFonts w:cs="Times New Roman"/>
          <w:szCs w:val="24"/>
        </w:rPr>
        <w:t>UPEN</w:t>
      </w:r>
      <w:r w:rsidR="005D7C2C">
        <w:rPr>
          <w:rFonts w:cs="Times New Roman"/>
          <w:szCs w:val="24"/>
        </w:rPr>
        <w:t>,</w:t>
      </w:r>
      <w:r w:rsidR="00010619" w:rsidRPr="00D25D44">
        <w:rPr>
          <w:rFonts w:cs="Times New Roman"/>
          <w:szCs w:val="24"/>
        </w:rPr>
        <w:t xml:space="preserve"> </w:t>
      </w:r>
      <w:r w:rsidR="006B6EEF" w:rsidRPr="00D25D44">
        <w:rPr>
          <w:rFonts w:cs="Times New Roman"/>
          <w:szCs w:val="24"/>
        </w:rPr>
        <w:t>es acorde con los principios de la ciencia y la técnica.  Los conceptos, debe reconocerse</w:t>
      </w:r>
      <w:r w:rsidR="00381899" w:rsidRPr="00D25D44">
        <w:rPr>
          <w:rFonts w:cs="Times New Roman"/>
          <w:szCs w:val="24"/>
        </w:rPr>
        <w:t>,</w:t>
      </w:r>
      <w:r w:rsidR="006B6EEF" w:rsidRPr="00D25D44">
        <w:rPr>
          <w:rFonts w:cs="Times New Roman"/>
          <w:szCs w:val="24"/>
        </w:rPr>
        <w:t xml:space="preserve"> no son de fácil comprensión para los operadores jurídicos ni para los destinatarios de las normas</w:t>
      </w:r>
      <w:r w:rsidR="00381899" w:rsidRPr="00D25D44">
        <w:rPr>
          <w:rFonts w:cs="Times New Roman"/>
          <w:szCs w:val="24"/>
        </w:rPr>
        <w:t xml:space="preserve">, pero son necesarios para </w:t>
      </w:r>
      <w:r w:rsidR="00636F67">
        <w:rPr>
          <w:rFonts w:cs="Times New Roman"/>
          <w:szCs w:val="24"/>
        </w:rPr>
        <w:t xml:space="preserve">explicar cómo se pretende </w:t>
      </w:r>
      <w:r w:rsidR="00D4743F" w:rsidRPr="00D25D44">
        <w:rPr>
          <w:rFonts w:cs="Times New Roman"/>
          <w:szCs w:val="24"/>
        </w:rPr>
        <w:t xml:space="preserve">lograr </w:t>
      </w:r>
      <w:r w:rsidR="00ED1398">
        <w:rPr>
          <w:rFonts w:cs="Times New Roman"/>
          <w:szCs w:val="24"/>
        </w:rPr>
        <w:t>el objetivo</w:t>
      </w:r>
      <w:r w:rsidR="00D4743F" w:rsidRPr="00D25D44">
        <w:rPr>
          <w:rFonts w:cs="Times New Roman"/>
          <w:szCs w:val="24"/>
        </w:rPr>
        <w:t xml:space="preserve"> de proteger a la población</w:t>
      </w:r>
      <w:r w:rsidR="00CC3FB1" w:rsidRPr="00D25D44">
        <w:rPr>
          <w:rFonts w:cs="Times New Roman"/>
          <w:szCs w:val="24"/>
        </w:rPr>
        <w:t xml:space="preserve"> </w:t>
      </w:r>
      <w:r w:rsidR="00E67E09" w:rsidRPr="00D25D44">
        <w:rPr>
          <w:rFonts w:cs="Times New Roman"/>
          <w:szCs w:val="24"/>
        </w:rPr>
        <w:t>cuando se enfrenta a las contingencias del envejecimiento</w:t>
      </w:r>
      <w:r w:rsidR="00E67E09">
        <w:rPr>
          <w:rFonts w:cs="Times New Roman"/>
          <w:szCs w:val="24"/>
        </w:rPr>
        <w:t>, es decir,</w:t>
      </w:r>
      <w:r w:rsidR="00E67E09" w:rsidRPr="00D25D44">
        <w:rPr>
          <w:rFonts w:cs="Times New Roman"/>
          <w:szCs w:val="24"/>
        </w:rPr>
        <w:t xml:space="preserve"> </w:t>
      </w:r>
      <w:r w:rsidR="00CC3FB1" w:rsidRPr="00D25D44">
        <w:rPr>
          <w:rFonts w:cs="Times New Roman"/>
          <w:szCs w:val="24"/>
        </w:rPr>
        <w:t>a largo plazo.</w:t>
      </w:r>
      <w:r w:rsidR="00E67E09">
        <w:rPr>
          <w:rFonts w:cs="Times New Roman"/>
          <w:szCs w:val="24"/>
        </w:rPr>
        <w:t xml:space="preserve"> La protección no es para el día de hoy únicamente ni para cuando tenga buena salud.</w:t>
      </w:r>
    </w:p>
    <w:p w14:paraId="0E487CD1" w14:textId="148351EE" w:rsidR="001053BA" w:rsidRPr="00D25D44" w:rsidRDefault="00BA0E53" w:rsidP="0066627E">
      <w:pPr>
        <w:spacing w:line="240" w:lineRule="auto"/>
        <w:jc w:val="both"/>
        <w:rPr>
          <w:rFonts w:cs="Times New Roman"/>
          <w:szCs w:val="24"/>
        </w:rPr>
      </w:pPr>
      <w:r w:rsidRPr="00D25D44">
        <w:rPr>
          <w:rFonts w:cs="Times New Roman"/>
          <w:szCs w:val="24"/>
        </w:rPr>
        <w:t xml:space="preserve"> </w:t>
      </w:r>
    </w:p>
    <w:p w14:paraId="0D6AB951" w14:textId="7C6E6ACD" w:rsidR="001C2A4F" w:rsidRPr="00D25D44" w:rsidRDefault="001C2A4F" w:rsidP="00097E96">
      <w:pPr>
        <w:autoSpaceDE w:val="0"/>
        <w:autoSpaceDN w:val="0"/>
        <w:adjustRightInd w:val="0"/>
        <w:spacing w:line="240" w:lineRule="auto"/>
        <w:ind w:left="284"/>
        <w:jc w:val="both"/>
        <w:rPr>
          <w:rFonts w:cs="Times New Roman"/>
          <w:szCs w:val="24"/>
          <w:lang w:val="es-CR"/>
        </w:rPr>
      </w:pPr>
      <w:r w:rsidRPr="00CF6748">
        <w:rPr>
          <w:rFonts w:cs="Times New Roman"/>
          <w:i/>
          <w:sz w:val="22"/>
          <w:lang w:val="es-CR"/>
        </w:rPr>
        <w:t xml:space="preserve">La lógica de la construcción de las tablas de mortalidad se basa en el principio de la teoría de probabilidades y se parte en su construcción de obtener las probabilidades de muerte o de vida de la población a partir de los datos reales de defunciones, nacimientos y la población, con los desgloses correspondientes por territorios, sexo y edades. Es decir </w:t>
      </w:r>
      <w:r w:rsidR="00624DF3" w:rsidRPr="00CF6748">
        <w:rPr>
          <w:rFonts w:cs="Times New Roman"/>
          <w:i/>
          <w:sz w:val="22"/>
          <w:lang w:val="es-CR"/>
        </w:rPr>
        <w:t xml:space="preserve">(sic) </w:t>
      </w:r>
      <w:r w:rsidRPr="00CF6748">
        <w:rPr>
          <w:rFonts w:cs="Times New Roman"/>
          <w:i/>
          <w:sz w:val="22"/>
          <w:lang w:val="es-CR"/>
        </w:rPr>
        <w:t>se calculan las tasas de defunciones por sexo y edad y por un procedimiento matemático se convierten en probabilidades de muerte y a partir de estas se derivan las otras funciones de la tabla hasta llegar a obtener la esperanza de vida</w:t>
      </w:r>
      <w:r w:rsidRPr="00D25D44">
        <w:rPr>
          <w:rFonts w:cs="Times New Roman"/>
          <w:i/>
          <w:szCs w:val="24"/>
          <w:lang w:val="es-CR"/>
        </w:rPr>
        <w:t>.</w:t>
      </w:r>
      <w:r w:rsidRPr="00D25D44">
        <w:rPr>
          <w:rStyle w:val="Refdenotaalpie"/>
          <w:rFonts w:cs="Times New Roman"/>
          <w:i/>
          <w:szCs w:val="24"/>
          <w:lang w:val="es-CR"/>
        </w:rPr>
        <w:footnoteReference w:id="3"/>
      </w:r>
    </w:p>
    <w:p w14:paraId="51B1D766" w14:textId="77777777" w:rsidR="001C2A4F" w:rsidRPr="00D25D44" w:rsidRDefault="001C2A4F" w:rsidP="0066627E">
      <w:pPr>
        <w:spacing w:line="240" w:lineRule="auto"/>
        <w:jc w:val="both"/>
        <w:rPr>
          <w:rFonts w:cs="Times New Roman"/>
          <w:szCs w:val="24"/>
        </w:rPr>
      </w:pPr>
    </w:p>
    <w:p w14:paraId="5D3C29EB" w14:textId="3546694E" w:rsidR="0066627E" w:rsidRPr="00D25D44" w:rsidRDefault="00C838DD" w:rsidP="0066627E">
      <w:pPr>
        <w:spacing w:line="240" w:lineRule="auto"/>
        <w:jc w:val="both"/>
        <w:rPr>
          <w:rFonts w:cs="Times New Roman"/>
          <w:szCs w:val="24"/>
        </w:rPr>
      </w:pPr>
      <w:r w:rsidRPr="00D25D44">
        <w:rPr>
          <w:rFonts w:cs="Times New Roman"/>
          <w:szCs w:val="24"/>
        </w:rPr>
        <w:lastRenderedPageBreak/>
        <w:t xml:space="preserve">La </w:t>
      </w:r>
      <w:r w:rsidRPr="00143D84">
        <w:rPr>
          <w:rFonts w:cs="Times New Roman"/>
          <w:b/>
          <w:szCs w:val="24"/>
        </w:rPr>
        <w:t xml:space="preserve">esperanza de vida </w:t>
      </w:r>
      <w:r w:rsidR="009920BF" w:rsidRPr="00143D84">
        <w:rPr>
          <w:rFonts w:cs="Times New Roman"/>
          <w:b/>
          <w:szCs w:val="24"/>
        </w:rPr>
        <w:t>al nacer</w:t>
      </w:r>
      <w:r w:rsidR="009920BF" w:rsidRPr="00D25D44">
        <w:rPr>
          <w:rFonts w:cs="Times New Roman"/>
          <w:szCs w:val="24"/>
        </w:rPr>
        <w:t xml:space="preserve"> </w:t>
      </w:r>
      <w:r w:rsidRPr="00D25D44">
        <w:rPr>
          <w:rFonts w:cs="Times New Roman"/>
          <w:szCs w:val="24"/>
        </w:rPr>
        <w:t xml:space="preserve">fue el concepto que utilizó la Sala Constitucional para </w:t>
      </w:r>
      <w:r w:rsidR="00595420" w:rsidRPr="00D25D44">
        <w:rPr>
          <w:rFonts w:cs="Times New Roman"/>
          <w:szCs w:val="24"/>
        </w:rPr>
        <w:t>decidir la entrega de los recursos a una afiliada</w:t>
      </w:r>
      <w:r w:rsidR="00DD04EA">
        <w:rPr>
          <w:rFonts w:cs="Times New Roman"/>
          <w:szCs w:val="24"/>
        </w:rPr>
        <w:t xml:space="preserve">, apartándose de lo que técnicamente </w:t>
      </w:r>
      <w:r w:rsidR="00DE7562" w:rsidRPr="00D25D44">
        <w:rPr>
          <w:rFonts w:cs="Times New Roman"/>
          <w:szCs w:val="24"/>
        </w:rPr>
        <w:t xml:space="preserve">establece el </w:t>
      </w:r>
      <w:r w:rsidR="00DD04EA">
        <w:rPr>
          <w:rFonts w:cs="Times New Roman"/>
          <w:szCs w:val="24"/>
        </w:rPr>
        <w:t>R</w:t>
      </w:r>
      <w:r w:rsidR="00DE7562" w:rsidRPr="00D25D44">
        <w:rPr>
          <w:rFonts w:cs="Times New Roman"/>
          <w:szCs w:val="24"/>
        </w:rPr>
        <w:t>eglamento</w:t>
      </w:r>
      <w:r w:rsidR="00DD04EA">
        <w:rPr>
          <w:rFonts w:cs="Times New Roman"/>
          <w:szCs w:val="24"/>
        </w:rPr>
        <w:t xml:space="preserve"> de Beneficios</w:t>
      </w:r>
      <w:r w:rsidR="00DE7562" w:rsidRPr="00D25D44">
        <w:rPr>
          <w:rFonts w:cs="Times New Roman"/>
          <w:szCs w:val="24"/>
        </w:rPr>
        <w:t>.  Por l</w:t>
      </w:r>
      <w:r w:rsidR="00CA33AD" w:rsidRPr="00D25D44">
        <w:rPr>
          <w:rFonts w:cs="Times New Roman"/>
          <w:szCs w:val="24"/>
        </w:rPr>
        <w:t>o</w:t>
      </w:r>
      <w:r w:rsidR="00DE7562" w:rsidRPr="00D25D44">
        <w:rPr>
          <w:rFonts w:cs="Times New Roman"/>
          <w:szCs w:val="24"/>
        </w:rPr>
        <w:t xml:space="preserve"> trascendental de ese concepto, </w:t>
      </w:r>
      <w:r w:rsidR="00B400FB" w:rsidRPr="00D25D44">
        <w:rPr>
          <w:rFonts w:cs="Times New Roman"/>
          <w:szCs w:val="24"/>
        </w:rPr>
        <w:t>esta asesoría</w:t>
      </w:r>
      <w:r w:rsidR="004011BF">
        <w:rPr>
          <w:rFonts w:cs="Times New Roman"/>
          <w:szCs w:val="24"/>
        </w:rPr>
        <w:t xml:space="preserve"> considera necesario </w:t>
      </w:r>
      <w:r w:rsidR="00B400FB" w:rsidRPr="00D25D44">
        <w:rPr>
          <w:rFonts w:cs="Times New Roman"/>
          <w:szCs w:val="24"/>
        </w:rPr>
        <w:t>explica</w:t>
      </w:r>
      <w:r w:rsidR="004011BF">
        <w:rPr>
          <w:rFonts w:cs="Times New Roman"/>
          <w:szCs w:val="24"/>
        </w:rPr>
        <w:t>r</w:t>
      </w:r>
      <w:r w:rsidR="00B400FB" w:rsidRPr="00D25D44">
        <w:rPr>
          <w:rFonts w:cs="Times New Roman"/>
          <w:szCs w:val="24"/>
        </w:rPr>
        <w:t xml:space="preserve"> su al</w:t>
      </w:r>
      <w:r w:rsidR="00C9338C" w:rsidRPr="00D25D44">
        <w:rPr>
          <w:rFonts w:cs="Times New Roman"/>
          <w:szCs w:val="24"/>
        </w:rPr>
        <w:t>cance y utilidad para los sistemas de seguridad social.</w:t>
      </w:r>
    </w:p>
    <w:p w14:paraId="523DE39B" w14:textId="2680E9DA" w:rsidR="00C9338C" w:rsidRPr="00D25D44" w:rsidRDefault="00C9338C" w:rsidP="0066627E">
      <w:pPr>
        <w:spacing w:line="240" w:lineRule="auto"/>
        <w:jc w:val="both"/>
        <w:rPr>
          <w:rFonts w:cs="Times New Roman"/>
          <w:szCs w:val="24"/>
        </w:rPr>
      </w:pPr>
    </w:p>
    <w:p w14:paraId="3A98089E" w14:textId="6D94B249" w:rsidR="006A11CE" w:rsidRPr="00D25D44" w:rsidRDefault="006A11CE" w:rsidP="004011BF">
      <w:pPr>
        <w:spacing w:line="240" w:lineRule="auto"/>
        <w:ind w:left="284"/>
        <w:jc w:val="both"/>
        <w:rPr>
          <w:rFonts w:cs="Times New Roman"/>
          <w:szCs w:val="24"/>
        </w:rPr>
      </w:pPr>
      <w:r w:rsidRPr="004011BF">
        <w:rPr>
          <w:rFonts w:cs="Times New Roman"/>
          <w:i/>
          <w:sz w:val="22"/>
        </w:rPr>
        <w:t xml:space="preserve">Existen dos aspectos en la mortalidad que deben distinguirse: la duración de la vida, que </w:t>
      </w:r>
      <w:r w:rsidRPr="004011BF">
        <w:rPr>
          <w:rFonts w:cs="Times New Roman"/>
          <w:b/>
          <w:i/>
          <w:sz w:val="22"/>
        </w:rPr>
        <w:t>se</w:t>
      </w:r>
      <w:r w:rsidR="00A60C29" w:rsidRPr="004011BF">
        <w:rPr>
          <w:rFonts w:cs="Times New Roman"/>
          <w:b/>
          <w:i/>
          <w:sz w:val="22"/>
        </w:rPr>
        <w:t xml:space="preserve"> </w:t>
      </w:r>
      <w:r w:rsidRPr="004011BF">
        <w:rPr>
          <w:rFonts w:cs="Times New Roman"/>
          <w:b/>
          <w:i/>
          <w:sz w:val="22"/>
        </w:rPr>
        <w:t>refiere a la edad máxima que pueden alcanzar los seres humanos, y la longevidad, que se</w:t>
      </w:r>
      <w:r w:rsidR="00A60C29" w:rsidRPr="004011BF">
        <w:rPr>
          <w:rFonts w:cs="Times New Roman"/>
          <w:b/>
          <w:i/>
          <w:sz w:val="22"/>
        </w:rPr>
        <w:t xml:space="preserve"> </w:t>
      </w:r>
      <w:r w:rsidRPr="004011BF">
        <w:rPr>
          <w:rFonts w:cs="Times New Roman"/>
          <w:b/>
          <w:i/>
          <w:sz w:val="22"/>
        </w:rPr>
        <w:t>refiere a la capacidad de sobrevivir de un año al otro</w:t>
      </w:r>
      <w:r w:rsidRPr="004011BF">
        <w:rPr>
          <w:rFonts w:cs="Times New Roman"/>
          <w:i/>
          <w:sz w:val="22"/>
        </w:rPr>
        <w:t>; es decir, la capacidad de hacer frente a la</w:t>
      </w:r>
      <w:r w:rsidR="00A60C29" w:rsidRPr="004011BF">
        <w:rPr>
          <w:rFonts w:cs="Times New Roman"/>
          <w:i/>
          <w:sz w:val="22"/>
        </w:rPr>
        <w:t xml:space="preserve"> </w:t>
      </w:r>
      <w:r w:rsidRPr="004011BF">
        <w:rPr>
          <w:rFonts w:cs="Times New Roman"/>
          <w:i/>
          <w:sz w:val="22"/>
        </w:rPr>
        <w:t>muerte. La duración de la vida es un fenómeno casi enteramente biológico, mientras que la</w:t>
      </w:r>
      <w:r w:rsidR="00A60C29" w:rsidRPr="004011BF">
        <w:rPr>
          <w:rFonts w:cs="Times New Roman"/>
          <w:i/>
          <w:sz w:val="22"/>
        </w:rPr>
        <w:t xml:space="preserve"> </w:t>
      </w:r>
      <w:r w:rsidRPr="004011BF">
        <w:rPr>
          <w:rFonts w:cs="Times New Roman"/>
          <w:i/>
          <w:sz w:val="22"/>
        </w:rPr>
        <w:t>longevidad tiene componentes tanto biológicos como sociales</w:t>
      </w:r>
      <w:r w:rsidR="00150DFA" w:rsidRPr="004011BF">
        <w:rPr>
          <w:rFonts w:cs="Times New Roman"/>
          <w:i/>
          <w:sz w:val="22"/>
        </w:rPr>
        <w:t xml:space="preserve"> […] Como consecuencia de la acción de los factores biológicos y sociales, </w:t>
      </w:r>
      <w:r w:rsidR="00150DFA" w:rsidRPr="004011BF">
        <w:rPr>
          <w:rFonts w:cs="Times New Roman"/>
          <w:b/>
          <w:i/>
          <w:sz w:val="22"/>
        </w:rPr>
        <w:t>una de las características más significativas de la mortalidad es que varía fuertemente con la edad</w:t>
      </w:r>
      <w:r w:rsidR="00150DFA" w:rsidRPr="004011BF">
        <w:rPr>
          <w:rFonts w:cs="Times New Roman"/>
          <w:i/>
          <w:sz w:val="22"/>
        </w:rPr>
        <w:t xml:space="preserve"> y que ese patrón de variación es prácticamente universal</w:t>
      </w:r>
      <w:r w:rsidRPr="00D25D44">
        <w:rPr>
          <w:rFonts w:cs="Times New Roman"/>
          <w:i/>
          <w:szCs w:val="24"/>
        </w:rPr>
        <w:t>.</w:t>
      </w:r>
      <w:r w:rsidR="00A60C29" w:rsidRPr="00D25D44">
        <w:rPr>
          <w:rStyle w:val="Refdenotaalpie"/>
          <w:rFonts w:cs="Times New Roman"/>
          <w:i/>
          <w:szCs w:val="24"/>
        </w:rPr>
        <w:footnoteReference w:id="4"/>
      </w:r>
      <w:r w:rsidR="0053581F" w:rsidRPr="00D25D44">
        <w:rPr>
          <w:rFonts w:cs="Times New Roman"/>
          <w:szCs w:val="24"/>
        </w:rPr>
        <w:t xml:space="preserve"> </w:t>
      </w:r>
      <w:r w:rsidR="00D31330">
        <w:rPr>
          <w:rFonts w:cs="Times New Roman"/>
          <w:sz w:val="20"/>
          <w:szCs w:val="20"/>
        </w:rPr>
        <w:t>[Lo resaltado no es del original].</w:t>
      </w:r>
    </w:p>
    <w:p w14:paraId="5517AC00" w14:textId="77777777" w:rsidR="0066627E" w:rsidRPr="00D25D44" w:rsidRDefault="0066627E" w:rsidP="0066627E">
      <w:pPr>
        <w:spacing w:line="240" w:lineRule="auto"/>
        <w:jc w:val="both"/>
        <w:rPr>
          <w:rFonts w:cs="Times New Roman"/>
          <w:szCs w:val="24"/>
        </w:rPr>
      </w:pPr>
    </w:p>
    <w:p w14:paraId="2598D5EC" w14:textId="3F11379F" w:rsidR="008337FF" w:rsidRPr="00D25D44" w:rsidRDefault="008337FF" w:rsidP="00D31330">
      <w:pPr>
        <w:autoSpaceDE w:val="0"/>
        <w:autoSpaceDN w:val="0"/>
        <w:adjustRightInd w:val="0"/>
        <w:spacing w:line="240" w:lineRule="auto"/>
        <w:ind w:left="284"/>
        <w:jc w:val="both"/>
        <w:rPr>
          <w:rFonts w:cs="Times New Roman"/>
          <w:szCs w:val="24"/>
        </w:rPr>
      </w:pPr>
      <w:r w:rsidRPr="00D31330">
        <w:rPr>
          <w:rFonts w:cs="Times New Roman"/>
          <w:i/>
          <w:sz w:val="22"/>
          <w:lang w:val="es-CR"/>
        </w:rPr>
        <w:t xml:space="preserve">La esperanza de vida que más habitualmente se utiliza y difunde es la esperanza de vida al nacer (a los 0 años), pero también ésta se calcula y se da a conocer para cada edad, sexo y territorio, por lo tanto no es correcto decir que todos los cubanos tendrían una esperanza de vida de 77,97 años, sino que </w:t>
      </w:r>
      <w:r w:rsidRPr="00D31330">
        <w:rPr>
          <w:rFonts w:cs="Times New Roman"/>
          <w:b/>
          <w:i/>
          <w:sz w:val="22"/>
          <w:lang w:val="es-CR"/>
        </w:rPr>
        <w:t>esa es la esperanza que tendrían los que nacieron en el 2005-2007</w:t>
      </w:r>
      <w:r w:rsidRPr="00D31330">
        <w:rPr>
          <w:rFonts w:cs="Times New Roman"/>
          <w:i/>
          <w:sz w:val="22"/>
          <w:lang w:val="es-CR"/>
        </w:rPr>
        <w:t>. Para que se comprenda mejor, si se toma como ejemplo una persona de 45 años, su esperanza de vida sería de 34,97 años en el 2005-2007, si a este valor se añade a los 45 años que tiene, entonces su esperanza de vida llegaría a ser 79,97 años, superior en más de dos años a la de un niño que naciera en igual período.</w:t>
      </w:r>
      <w:r w:rsidRPr="00D25D44">
        <w:rPr>
          <w:rStyle w:val="Refdenotaalpie"/>
          <w:rFonts w:cs="Times New Roman"/>
          <w:i/>
          <w:szCs w:val="24"/>
          <w:lang w:val="es-CR"/>
        </w:rPr>
        <w:footnoteReference w:id="5"/>
      </w:r>
    </w:p>
    <w:p w14:paraId="082E67C0" w14:textId="5FB24352" w:rsidR="0066627E" w:rsidRPr="00D25D44" w:rsidRDefault="0066627E" w:rsidP="0066627E">
      <w:pPr>
        <w:spacing w:line="240" w:lineRule="auto"/>
        <w:jc w:val="both"/>
        <w:rPr>
          <w:rFonts w:cs="Times New Roman"/>
          <w:szCs w:val="24"/>
        </w:rPr>
      </w:pPr>
    </w:p>
    <w:p w14:paraId="01363922" w14:textId="59BD6A39" w:rsidR="00803B6B" w:rsidRDefault="00803B6B" w:rsidP="00D31330">
      <w:pPr>
        <w:spacing w:line="240" w:lineRule="auto"/>
        <w:ind w:left="284"/>
        <w:jc w:val="both"/>
        <w:rPr>
          <w:rFonts w:cs="Times New Roman"/>
          <w:i/>
          <w:sz w:val="22"/>
        </w:rPr>
      </w:pPr>
      <w:r w:rsidRPr="00D31330">
        <w:rPr>
          <w:rFonts w:cs="Times New Roman"/>
          <w:i/>
          <w:sz w:val="22"/>
        </w:rPr>
        <w:t xml:space="preserve">Existe una variación considerable entre los países de ALC en términos de </w:t>
      </w:r>
      <w:r w:rsidRPr="00D31330">
        <w:rPr>
          <w:rFonts w:cs="Times New Roman"/>
          <w:b/>
          <w:i/>
          <w:sz w:val="22"/>
        </w:rPr>
        <w:t>esperanza de vida durante la tercera edad</w:t>
      </w:r>
      <w:r w:rsidRPr="00D31330">
        <w:rPr>
          <w:rFonts w:cs="Times New Roman"/>
          <w:i/>
          <w:sz w:val="22"/>
        </w:rPr>
        <w:t>. Se pronostica que las mujeres en Chile y Costa Rica vivirán otros 25,8 después de alcanzar los 65 para 2050-55. En contraste, las mujeres en Guyana vivirán 15,9 años adicionales después de los 65 para 2050-55. Las cifras de Chile son considerablemente superiores a las de cualquier otro país. Belice y Costa Rica son los siguientes países con cifras más altas, con 25,0 y 24,8 años, respectivamente.</w:t>
      </w:r>
    </w:p>
    <w:p w14:paraId="52A103EB" w14:textId="77777777" w:rsidR="0004462E" w:rsidRPr="00D31330" w:rsidRDefault="0004462E" w:rsidP="00D31330">
      <w:pPr>
        <w:spacing w:line="240" w:lineRule="auto"/>
        <w:ind w:left="284"/>
        <w:jc w:val="both"/>
        <w:rPr>
          <w:rFonts w:cs="Times New Roman"/>
          <w:i/>
          <w:sz w:val="22"/>
        </w:rPr>
      </w:pPr>
    </w:p>
    <w:p w14:paraId="183A803B" w14:textId="6205AB43" w:rsidR="00803B6B" w:rsidRPr="00D31330" w:rsidRDefault="00803B6B" w:rsidP="00D31330">
      <w:pPr>
        <w:spacing w:line="240" w:lineRule="auto"/>
        <w:ind w:left="284"/>
        <w:jc w:val="both"/>
        <w:rPr>
          <w:rFonts w:cs="Times New Roman"/>
          <w:i/>
          <w:sz w:val="22"/>
        </w:rPr>
      </w:pPr>
      <w:r w:rsidRPr="00D31330">
        <w:rPr>
          <w:rFonts w:cs="Times New Roman"/>
          <w:i/>
          <w:sz w:val="22"/>
        </w:rPr>
        <w:t>Para los hombres existe menos variación entre los países. Costa Rica tiene la mayor esperanza de vida a los 65 años de edad, con 22,0 años durante 2050-55, seguido por Chile con 21,8. Nuevamente, Guyana tiene la menor esperanza de vida para la</w:t>
      </w:r>
      <w:r w:rsidR="009300AF">
        <w:rPr>
          <w:rFonts w:cs="Times New Roman"/>
          <w:i/>
          <w:sz w:val="22"/>
        </w:rPr>
        <w:t>s</w:t>
      </w:r>
      <w:r w:rsidRPr="00D31330">
        <w:rPr>
          <w:rFonts w:cs="Times New Roman"/>
          <w:i/>
          <w:sz w:val="22"/>
        </w:rPr>
        <w:t xml:space="preserve"> personas de 65 años: 13,3 años.</w:t>
      </w:r>
    </w:p>
    <w:p w14:paraId="71699294" w14:textId="77777777" w:rsidR="00803B6B" w:rsidRPr="00D25D44" w:rsidRDefault="00803B6B" w:rsidP="00803B6B">
      <w:pPr>
        <w:spacing w:line="240" w:lineRule="auto"/>
        <w:ind w:left="708"/>
        <w:jc w:val="both"/>
        <w:rPr>
          <w:rFonts w:cs="Times New Roman"/>
          <w:i/>
          <w:szCs w:val="24"/>
        </w:rPr>
      </w:pPr>
    </w:p>
    <w:p w14:paraId="175617BA" w14:textId="076DFFE6" w:rsidR="00803B6B" w:rsidRPr="00D25D44" w:rsidRDefault="00803B6B" w:rsidP="00D31330">
      <w:pPr>
        <w:spacing w:line="240" w:lineRule="auto"/>
        <w:ind w:left="284"/>
        <w:jc w:val="both"/>
        <w:rPr>
          <w:rFonts w:cs="Times New Roman"/>
          <w:szCs w:val="24"/>
        </w:rPr>
      </w:pPr>
      <w:r w:rsidRPr="00D31330">
        <w:rPr>
          <w:rFonts w:cs="Times New Roman"/>
          <w:i/>
          <w:sz w:val="22"/>
        </w:rPr>
        <w:t xml:space="preserve">La esperanza de vida se define como el número promedio de años que las </w:t>
      </w:r>
      <w:r w:rsidRPr="00D31330">
        <w:rPr>
          <w:rFonts w:cs="Times New Roman"/>
          <w:b/>
          <w:i/>
          <w:sz w:val="22"/>
        </w:rPr>
        <w:t>personas de una determinada edad pueden esperar vivir</w:t>
      </w:r>
      <w:r w:rsidRPr="00D31330">
        <w:rPr>
          <w:rFonts w:cs="Times New Roman"/>
          <w:i/>
          <w:sz w:val="22"/>
        </w:rPr>
        <w:t xml:space="preserve"> si se ajustan a las tasas de mortalidad específicas por edad y sexo prevalentes en un país determinado en un año específico. Ya que los determinantes de la longevidad experimentan cambios lentos, la esperanza de vida puede analizarse mejor según la perspectiva de un horizonte a largo plazo</w:t>
      </w:r>
      <w:r w:rsidRPr="00D25D44">
        <w:rPr>
          <w:rFonts w:cs="Times New Roman"/>
          <w:i/>
          <w:szCs w:val="24"/>
        </w:rPr>
        <w:t>.</w:t>
      </w:r>
      <w:r w:rsidRPr="00D25D44">
        <w:rPr>
          <w:rStyle w:val="Refdenotaalpie"/>
          <w:rFonts w:cs="Times New Roman"/>
          <w:i/>
          <w:szCs w:val="24"/>
        </w:rPr>
        <w:footnoteReference w:id="6"/>
      </w:r>
    </w:p>
    <w:p w14:paraId="2C45CE4E" w14:textId="020CE4DF" w:rsidR="00C25DCC" w:rsidRPr="00E21E7F" w:rsidRDefault="00C25DCC" w:rsidP="00E21E7F">
      <w:pPr>
        <w:spacing w:line="240" w:lineRule="auto"/>
        <w:ind w:left="284"/>
        <w:jc w:val="both"/>
        <w:rPr>
          <w:rFonts w:cs="Times New Roman"/>
          <w:i/>
          <w:sz w:val="22"/>
        </w:rPr>
      </w:pPr>
      <w:r w:rsidRPr="00E21E7F">
        <w:rPr>
          <w:rFonts w:cs="Times New Roman"/>
          <w:i/>
          <w:sz w:val="22"/>
        </w:rPr>
        <w:lastRenderedPageBreak/>
        <w:t>Gracias al aumento de la esperanza de vida de las</w:t>
      </w:r>
      <w:r w:rsidR="006327E1" w:rsidRPr="00E21E7F">
        <w:rPr>
          <w:rFonts w:cs="Times New Roman"/>
          <w:i/>
          <w:sz w:val="22"/>
        </w:rPr>
        <w:t xml:space="preserve"> </w:t>
      </w:r>
      <w:r w:rsidRPr="00E21E7F">
        <w:rPr>
          <w:rFonts w:cs="Times New Roman"/>
          <w:i/>
          <w:sz w:val="22"/>
        </w:rPr>
        <w:t>personas de 60 años y más, las nuevas y crecientes demandas en materia de seguridad social, salud, trabajo, educación y participación social y política serán cada vez de más largo y profundo aliento. Esto conlleva intrínsecamente un nuevo paradigma en la forma de concebir la organización social e incluso la propia edad.</w:t>
      </w:r>
    </w:p>
    <w:p w14:paraId="4729B2D4" w14:textId="77777777" w:rsidR="00BD6AF2" w:rsidRPr="00D25D44" w:rsidRDefault="00BD6AF2" w:rsidP="00C25DCC">
      <w:pPr>
        <w:spacing w:line="240" w:lineRule="auto"/>
        <w:ind w:left="708"/>
        <w:jc w:val="both"/>
        <w:rPr>
          <w:rFonts w:cs="Times New Roman"/>
          <w:i/>
          <w:szCs w:val="24"/>
        </w:rPr>
      </w:pPr>
    </w:p>
    <w:p w14:paraId="54CD7A54" w14:textId="1E47E505" w:rsidR="008337FF" w:rsidRPr="00D25D44" w:rsidRDefault="00C25DCC" w:rsidP="00E21E7F">
      <w:pPr>
        <w:spacing w:line="240" w:lineRule="auto"/>
        <w:ind w:left="284"/>
        <w:jc w:val="both"/>
        <w:rPr>
          <w:rFonts w:cs="Times New Roman"/>
          <w:szCs w:val="24"/>
        </w:rPr>
      </w:pPr>
      <w:r w:rsidRPr="00E21E7F">
        <w:rPr>
          <w:rFonts w:cs="Times New Roman"/>
          <w:i/>
          <w:sz w:val="22"/>
        </w:rPr>
        <w:t>Algunos demógrafos han propuesto el concepto de “edad prospectiva”, que toma en cuenta los cambios que ha experimentado la esperanza de vida a partir de los 60 años y no considera el tiempo vivido, sino el tiempo por vivir (Sanderson y Scherbov, 2008). Es decir, plantean que las políticas dirigidas a las personas de edad no deberían depender de su edad cronológica (el tiempo vivido), sino de su edad prospectiva (tiempo por vivir), pues es precisamente esta la que determinará su estado de salud físico y mental y por tanto su situación laboral, necesidades, demandas y conductas</w:t>
      </w:r>
      <w:r w:rsidRPr="00D25D44">
        <w:rPr>
          <w:rFonts w:cs="Times New Roman"/>
          <w:i/>
          <w:szCs w:val="24"/>
        </w:rPr>
        <w:t>.</w:t>
      </w:r>
      <w:r w:rsidRPr="00D25D44">
        <w:rPr>
          <w:rStyle w:val="Refdenotaalpie"/>
          <w:rFonts w:cs="Times New Roman"/>
          <w:szCs w:val="24"/>
        </w:rPr>
        <w:footnoteReference w:id="7"/>
      </w:r>
    </w:p>
    <w:p w14:paraId="609C9A5D" w14:textId="417E2CD3" w:rsidR="008337FF" w:rsidRPr="00D25D44" w:rsidRDefault="008337FF" w:rsidP="0066627E">
      <w:pPr>
        <w:spacing w:line="240" w:lineRule="auto"/>
        <w:jc w:val="both"/>
        <w:rPr>
          <w:rFonts w:cs="Times New Roman"/>
          <w:szCs w:val="24"/>
        </w:rPr>
      </w:pPr>
    </w:p>
    <w:p w14:paraId="4D89D9A7" w14:textId="1FF89EC9" w:rsidR="00124DB3" w:rsidRDefault="004627F9" w:rsidP="0066627E">
      <w:pPr>
        <w:spacing w:line="240" w:lineRule="auto"/>
        <w:jc w:val="both"/>
        <w:rPr>
          <w:rFonts w:cs="Times New Roman"/>
          <w:szCs w:val="24"/>
        </w:rPr>
      </w:pPr>
      <w:r w:rsidRPr="006716FB">
        <w:rPr>
          <w:rFonts w:cs="Times New Roman"/>
          <w:szCs w:val="24"/>
        </w:rPr>
        <w:t xml:space="preserve">De manera que </w:t>
      </w:r>
      <w:r w:rsidR="0081326C" w:rsidRPr="006716FB">
        <w:rPr>
          <w:rFonts w:cs="Times New Roman"/>
          <w:szCs w:val="24"/>
        </w:rPr>
        <w:t>de</w:t>
      </w:r>
      <w:r w:rsidRPr="006716FB">
        <w:rPr>
          <w:rFonts w:cs="Times New Roman"/>
          <w:szCs w:val="24"/>
        </w:rPr>
        <w:t xml:space="preserve"> las tablas de mortalidad se puede </w:t>
      </w:r>
      <w:r w:rsidR="0081326C" w:rsidRPr="006716FB">
        <w:rPr>
          <w:rFonts w:cs="Times New Roman"/>
          <w:szCs w:val="24"/>
        </w:rPr>
        <w:t>obtener</w:t>
      </w:r>
      <w:r w:rsidRPr="006716FB">
        <w:rPr>
          <w:rFonts w:cs="Times New Roman"/>
          <w:szCs w:val="24"/>
        </w:rPr>
        <w:t xml:space="preserve"> la </w:t>
      </w:r>
      <w:r w:rsidRPr="006716FB">
        <w:rPr>
          <w:rFonts w:cs="Times New Roman"/>
          <w:b/>
          <w:szCs w:val="24"/>
        </w:rPr>
        <w:t>esperanza de vida al nacer</w:t>
      </w:r>
      <w:r w:rsidRPr="006716FB">
        <w:rPr>
          <w:rFonts w:cs="Times New Roman"/>
          <w:szCs w:val="24"/>
        </w:rPr>
        <w:t xml:space="preserve"> </w:t>
      </w:r>
      <w:r w:rsidRPr="006716FB">
        <w:rPr>
          <w:rFonts w:cs="Times New Roman"/>
          <w:b/>
          <w:szCs w:val="24"/>
        </w:rPr>
        <w:t>y también la</w:t>
      </w:r>
      <w:r w:rsidR="00522A41" w:rsidRPr="006716FB">
        <w:rPr>
          <w:rFonts w:cs="Times New Roman"/>
          <w:b/>
          <w:szCs w:val="24"/>
        </w:rPr>
        <w:t xml:space="preserve"> probabilidad de muerte a una determinada edad</w:t>
      </w:r>
      <w:r w:rsidR="00CE45CA" w:rsidRPr="006716FB">
        <w:rPr>
          <w:rFonts w:cs="Times New Roman"/>
          <w:szCs w:val="24"/>
        </w:rPr>
        <w:t>, este último dato es el que interesa a la seguridad social para ofrecer una protección equitativa para la población</w:t>
      </w:r>
      <w:r w:rsidR="0077229A" w:rsidRPr="006716FB">
        <w:rPr>
          <w:rFonts w:cs="Times New Roman"/>
          <w:szCs w:val="24"/>
        </w:rPr>
        <w:t xml:space="preserve"> mayor de 60 años, que es la edad </w:t>
      </w:r>
      <w:r w:rsidR="00DE36A1">
        <w:rPr>
          <w:rFonts w:cs="Times New Roman"/>
          <w:szCs w:val="24"/>
        </w:rPr>
        <w:t>aproximada</w:t>
      </w:r>
      <w:r w:rsidR="0077229A" w:rsidRPr="006716FB">
        <w:rPr>
          <w:rFonts w:cs="Times New Roman"/>
          <w:szCs w:val="24"/>
        </w:rPr>
        <w:t xml:space="preserve"> a la cual se jubilan los </w:t>
      </w:r>
      <w:r w:rsidR="003613F9" w:rsidRPr="006716FB">
        <w:rPr>
          <w:rFonts w:cs="Times New Roman"/>
          <w:szCs w:val="24"/>
        </w:rPr>
        <w:t>cotizantes</w:t>
      </w:r>
      <w:r w:rsidR="00CD659D" w:rsidRPr="006716FB">
        <w:rPr>
          <w:rFonts w:cs="Times New Roman"/>
          <w:szCs w:val="24"/>
        </w:rPr>
        <w:t>.</w:t>
      </w:r>
      <w:r w:rsidR="00CD659D" w:rsidRPr="00D25D44">
        <w:rPr>
          <w:rFonts w:cs="Times New Roman"/>
          <w:szCs w:val="24"/>
        </w:rPr>
        <w:t xml:space="preserve">  La esperanza de vida al nacer del presente año</w:t>
      </w:r>
      <w:r w:rsidR="000929DA" w:rsidRPr="00D25D44">
        <w:rPr>
          <w:rFonts w:cs="Times New Roman"/>
          <w:szCs w:val="24"/>
        </w:rPr>
        <w:t xml:space="preserve"> o del anterior</w:t>
      </w:r>
      <w:r w:rsidR="00CD659D" w:rsidRPr="00D25D44">
        <w:rPr>
          <w:rFonts w:cs="Times New Roman"/>
          <w:szCs w:val="24"/>
        </w:rPr>
        <w:t xml:space="preserve">, no es el dato determinante para los sistemas de </w:t>
      </w:r>
      <w:r w:rsidR="003B3945" w:rsidRPr="00D25D44">
        <w:rPr>
          <w:rFonts w:cs="Times New Roman"/>
          <w:szCs w:val="24"/>
        </w:rPr>
        <w:t>capitalización individual, sino la probabilidad de muerte del afiliado a partir de</w:t>
      </w:r>
      <w:r w:rsidR="0081326C" w:rsidRPr="00D25D44">
        <w:rPr>
          <w:rFonts w:cs="Times New Roman"/>
          <w:szCs w:val="24"/>
        </w:rPr>
        <w:t xml:space="preserve"> la edad que tiene cuando se pretende jubilar. </w:t>
      </w:r>
      <w:r w:rsidR="0077229A" w:rsidRPr="00D25D44">
        <w:rPr>
          <w:rFonts w:cs="Times New Roman"/>
          <w:szCs w:val="24"/>
        </w:rPr>
        <w:t xml:space="preserve"> </w:t>
      </w:r>
    </w:p>
    <w:p w14:paraId="279B8A84" w14:textId="77777777" w:rsidR="00124DB3" w:rsidRDefault="00124DB3" w:rsidP="0066627E">
      <w:pPr>
        <w:spacing w:line="240" w:lineRule="auto"/>
        <w:jc w:val="both"/>
        <w:rPr>
          <w:rFonts w:cs="Times New Roman"/>
          <w:szCs w:val="24"/>
        </w:rPr>
      </w:pPr>
    </w:p>
    <w:p w14:paraId="208A79E3" w14:textId="4799904E" w:rsidR="008337FF" w:rsidRDefault="00236E94" w:rsidP="0066627E">
      <w:pPr>
        <w:spacing w:line="240" w:lineRule="auto"/>
        <w:jc w:val="both"/>
        <w:rPr>
          <w:rFonts w:cs="Times New Roman"/>
          <w:szCs w:val="24"/>
        </w:rPr>
      </w:pPr>
      <w:r>
        <w:rPr>
          <w:rFonts w:cs="Times New Roman"/>
          <w:szCs w:val="24"/>
        </w:rPr>
        <w:t xml:space="preserve">En el siguiente cuadro se </w:t>
      </w:r>
      <w:r w:rsidR="00C328EF">
        <w:rPr>
          <w:rFonts w:cs="Times New Roman"/>
          <w:szCs w:val="24"/>
        </w:rPr>
        <w:t>observan las diferencias más relevantes entre la esperanza de vida al nacer y la probabilidad de muerte a una determinada edad.</w:t>
      </w:r>
    </w:p>
    <w:p w14:paraId="738D1253" w14:textId="77777777" w:rsidR="00124DB3" w:rsidRDefault="00124DB3" w:rsidP="0066627E">
      <w:pPr>
        <w:spacing w:line="240" w:lineRule="auto"/>
        <w:jc w:val="both"/>
        <w:rPr>
          <w:rFonts w:cs="Times New Roman"/>
          <w:szCs w:val="24"/>
        </w:rPr>
      </w:pPr>
    </w:p>
    <w:p w14:paraId="7B283E24" w14:textId="77777777" w:rsidR="006A078D" w:rsidRPr="00A81960" w:rsidRDefault="006A078D" w:rsidP="006A078D">
      <w:pPr>
        <w:spacing w:line="240" w:lineRule="auto"/>
        <w:jc w:val="center"/>
        <w:rPr>
          <w:rFonts w:cs="Times New Roman"/>
          <w:b/>
          <w:sz w:val="22"/>
        </w:rPr>
      </w:pPr>
      <w:r w:rsidRPr="00A81960">
        <w:rPr>
          <w:rFonts w:cs="Times New Roman"/>
          <w:b/>
          <w:sz w:val="22"/>
        </w:rPr>
        <w:t>Cuadro 1. Comparación de conceptos</w:t>
      </w:r>
    </w:p>
    <w:tbl>
      <w:tblPr>
        <w:tblStyle w:val="Listavistosa-nfasis6"/>
        <w:tblW w:w="0" w:type="auto"/>
        <w:tblLook w:val="04A0" w:firstRow="1" w:lastRow="0" w:firstColumn="1" w:lastColumn="0" w:noHBand="0" w:noVBand="1"/>
      </w:tblPr>
      <w:tblGrid>
        <w:gridCol w:w="2506"/>
        <w:gridCol w:w="3252"/>
        <w:gridCol w:w="3070"/>
      </w:tblGrid>
      <w:tr w:rsidR="006A078D" w:rsidRPr="00A81960" w14:paraId="0424FA86" w14:textId="77777777" w:rsidTr="007B3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shd w:val="clear" w:color="auto" w:fill="44546A" w:themeFill="text2"/>
          </w:tcPr>
          <w:p w14:paraId="54E3E92F" w14:textId="77777777" w:rsidR="006A078D" w:rsidRPr="00A81960" w:rsidRDefault="006A078D" w:rsidP="007B3D18">
            <w:pPr>
              <w:spacing w:line="240" w:lineRule="auto"/>
              <w:jc w:val="both"/>
              <w:rPr>
                <w:rFonts w:cs="Times New Roman"/>
                <w:sz w:val="22"/>
              </w:rPr>
            </w:pPr>
          </w:p>
        </w:tc>
        <w:tc>
          <w:tcPr>
            <w:tcW w:w="3252" w:type="dxa"/>
            <w:shd w:val="clear" w:color="auto" w:fill="44546A" w:themeFill="text2"/>
          </w:tcPr>
          <w:p w14:paraId="4675868B" w14:textId="77777777" w:rsidR="006A078D" w:rsidRPr="00A81960" w:rsidRDefault="006A078D" w:rsidP="007B3D18">
            <w:pPr>
              <w:spacing w:line="240" w:lineRule="auto"/>
              <w:jc w:val="both"/>
              <w:cnfStyle w:val="100000000000" w:firstRow="1" w:lastRow="0" w:firstColumn="0" w:lastColumn="0" w:oddVBand="0" w:evenVBand="0" w:oddHBand="0" w:evenHBand="0" w:firstRowFirstColumn="0" w:firstRowLastColumn="0" w:lastRowFirstColumn="0" w:lastRowLastColumn="0"/>
              <w:rPr>
                <w:rFonts w:cs="Times New Roman"/>
                <w:sz w:val="22"/>
              </w:rPr>
            </w:pPr>
            <w:r w:rsidRPr="00A81960">
              <w:rPr>
                <w:rFonts w:cs="Times New Roman"/>
                <w:sz w:val="22"/>
              </w:rPr>
              <w:t>Esperanza de vida al nacer</w:t>
            </w:r>
          </w:p>
        </w:tc>
        <w:tc>
          <w:tcPr>
            <w:tcW w:w="3070" w:type="dxa"/>
            <w:shd w:val="clear" w:color="auto" w:fill="44546A" w:themeFill="text2"/>
          </w:tcPr>
          <w:p w14:paraId="25B74D80" w14:textId="77777777" w:rsidR="006A078D" w:rsidRPr="00A81960" w:rsidRDefault="006A078D" w:rsidP="007B3D18">
            <w:pPr>
              <w:spacing w:line="240" w:lineRule="auto"/>
              <w:jc w:val="both"/>
              <w:cnfStyle w:val="100000000000" w:firstRow="1" w:lastRow="0" w:firstColumn="0" w:lastColumn="0" w:oddVBand="0" w:evenVBand="0" w:oddHBand="0" w:evenHBand="0" w:firstRowFirstColumn="0" w:firstRowLastColumn="0" w:lastRowFirstColumn="0" w:lastRowLastColumn="0"/>
              <w:rPr>
                <w:rFonts w:cs="Times New Roman"/>
                <w:sz w:val="22"/>
              </w:rPr>
            </w:pPr>
            <w:r w:rsidRPr="00A81960">
              <w:rPr>
                <w:rFonts w:cs="Times New Roman"/>
                <w:sz w:val="22"/>
              </w:rPr>
              <w:t>Probabilidad de muerte a una determinada edad</w:t>
            </w:r>
          </w:p>
        </w:tc>
      </w:tr>
      <w:tr w:rsidR="006A078D" w:rsidRPr="00A81960" w14:paraId="0947D926" w14:textId="77777777" w:rsidTr="007B3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shd w:val="clear" w:color="auto" w:fill="DEEAF6" w:themeFill="accent1" w:themeFillTint="33"/>
          </w:tcPr>
          <w:p w14:paraId="19ABA40C" w14:textId="77777777" w:rsidR="006A078D" w:rsidRPr="00A81960" w:rsidRDefault="006A078D" w:rsidP="007B3D18">
            <w:pPr>
              <w:spacing w:line="240" w:lineRule="auto"/>
              <w:jc w:val="both"/>
              <w:rPr>
                <w:rFonts w:cs="Times New Roman"/>
                <w:sz w:val="22"/>
              </w:rPr>
            </w:pPr>
            <w:r w:rsidRPr="00A81960">
              <w:rPr>
                <w:rFonts w:cs="Times New Roman"/>
                <w:sz w:val="22"/>
              </w:rPr>
              <w:t>Alcance</w:t>
            </w:r>
          </w:p>
        </w:tc>
        <w:tc>
          <w:tcPr>
            <w:tcW w:w="3252" w:type="dxa"/>
            <w:shd w:val="clear" w:color="auto" w:fill="DEEAF6" w:themeFill="accent1" w:themeFillTint="33"/>
          </w:tcPr>
          <w:p w14:paraId="68C13121" w14:textId="77777777" w:rsidR="006A078D" w:rsidRPr="00A81960" w:rsidRDefault="006A078D" w:rsidP="007B3D18">
            <w:pPr>
              <w:spacing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2"/>
              </w:rPr>
            </w:pPr>
            <w:r w:rsidRPr="00A81960">
              <w:rPr>
                <w:rFonts w:cs="Times New Roman"/>
                <w:sz w:val="22"/>
              </w:rPr>
              <w:t>Determina la probabilidad de vivir de un grupo que nació en un año determinado.  La Sala utilizó para resolver el precedente citado la esperanza de vida al nacer de las niñas nacidas en 2018.</w:t>
            </w:r>
          </w:p>
        </w:tc>
        <w:tc>
          <w:tcPr>
            <w:tcW w:w="3070" w:type="dxa"/>
            <w:shd w:val="clear" w:color="auto" w:fill="DEEAF6" w:themeFill="accent1" w:themeFillTint="33"/>
          </w:tcPr>
          <w:p w14:paraId="5686B7D9" w14:textId="77777777" w:rsidR="006A078D" w:rsidRPr="00A81960" w:rsidRDefault="006A078D" w:rsidP="007B3D18">
            <w:pPr>
              <w:spacing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2"/>
              </w:rPr>
            </w:pPr>
            <w:r w:rsidRPr="00A81960">
              <w:rPr>
                <w:rFonts w:cs="Times New Roman"/>
                <w:sz w:val="22"/>
              </w:rPr>
              <w:t xml:space="preserve">Determina la probabilidad de morir de un grupo que el presente año tiene una edad determinada.  En el caso del amparo la edad de la afiliada era de 78 años. Su año de nacimiento fue 1941.  </w:t>
            </w:r>
          </w:p>
        </w:tc>
      </w:tr>
      <w:tr w:rsidR="006A078D" w:rsidRPr="00A81960" w14:paraId="3A258103" w14:textId="77777777" w:rsidTr="007B3D18">
        <w:tc>
          <w:tcPr>
            <w:cnfStyle w:val="001000000000" w:firstRow="0" w:lastRow="0" w:firstColumn="1" w:lastColumn="0" w:oddVBand="0" w:evenVBand="0" w:oddHBand="0" w:evenHBand="0" w:firstRowFirstColumn="0" w:firstRowLastColumn="0" w:lastRowFirstColumn="0" w:lastRowLastColumn="0"/>
            <w:tcW w:w="2506" w:type="dxa"/>
          </w:tcPr>
          <w:p w14:paraId="24624E10" w14:textId="77777777" w:rsidR="006A078D" w:rsidRPr="00A81960" w:rsidRDefault="006A078D" w:rsidP="007B3D18">
            <w:pPr>
              <w:spacing w:line="240" w:lineRule="auto"/>
              <w:jc w:val="both"/>
              <w:rPr>
                <w:rFonts w:cs="Times New Roman"/>
                <w:sz w:val="22"/>
              </w:rPr>
            </w:pPr>
            <w:r w:rsidRPr="00A81960">
              <w:rPr>
                <w:rFonts w:cs="Times New Roman"/>
                <w:color w:val="auto"/>
                <w:sz w:val="22"/>
              </w:rPr>
              <w:t>Utilidad</w:t>
            </w:r>
          </w:p>
        </w:tc>
        <w:tc>
          <w:tcPr>
            <w:tcW w:w="3252" w:type="dxa"/>
          </w:tcPr>
          <w:p w14:paraId="6A598BAF" w14:textId="77777777" w:rsidR="006A078D" w:rsidRPr="00A81960" w:rsidRDefault="006A078D" w:rsidP="007B3D18">
            <w:pPr>
              <w:spacing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2"/>
              </w:rPr>
            </w:pPr>
            <w:r w:rsidRPr="00A81960">
              <w:rPr>
                <w:rFonts w:cs="Times New Roman"/>
                <w:sz w:val="22"/>
              </w:rPr>
              <w:t>Se utiliza comúnmente para ámbitos de salud, epidemiológicos, laborales, educativos, etc.</w:t>
            </w:r>
          </w:p>
          <w:p w14:paraId="0850AA8B" w14:textId="77777777" w:rsidR="006A078D" w:rsidRPr="00A81960" w:rsidRDefault="006A078D" w:rsidP="007B3D18">
            <w:pPr>
              <w:spacing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2"/>
              </w:rPr>
            </w:pPr>
            <w:r w:rsidRPr="00A81960">
              <w:rPr>
                <w:rFonts w:cs="Times New Roman"/>
                <w:sz w:val="22"/>
              </w:rPr>
              <w:t xml:space="preserve">Inciden factores fundamentalmente </w:t>
            </w:r>
            <w:r w:rsidRPr="00A81960">
              <w:rPr>
                <w:rFonts w:cs="Times New Roman"/>
                <w:b/>
                <w:sz w:val="22"/>
              </w:rPr>
              <w:t>biológicos</w:t>
            </w:r>
            <w:r w:rsidRPr="00A81960">
              <w:rPr>
                <w:rFonts w:cs="Times New Roman"/>
                <w:sz w:val="22"/>
              </w:rPr>
              <w:t>.</w:t>
            </w:r>
          </w:p>
          <w:p w14:paraId="19AB548A" w14:textId="77777777" w:rsidR="006A078D" w:rsidRPr="00A81960" w:rsidRDefault="006A078D" w:rsidP="007B3D18">
            <w:pPr>
              <w:spacing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2"/>
              </w:rPr>
            </w:pPr>
            <w:r w:rsidRPr="00A81960">
              <w:rPr>
                <w:rFonts w:cs="Times New Roman"/>
                <w:sz w:val="22"/>
              </w:rPr>
              <w:lastRenderedPageBreak/>
              <w:t>Es estática.</w:t>
            </w:r>
          </w:p>
        </w:tc>
        <w:tc>
          <w:tcPr>
            <w:tcW w:w="3070" w:type="dxa"/>
          </w:tcPr>
          <w:p w14:paraId="5CD6F4E4" w14:textId="4BAFA536" w:rsidR="006A078D" w:rsidRPr="00A81960" w:rsidRDefault="006A078D" w:rsidP="007B3D18">
            <w:pPr>
              <w:spacing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2"/>
              </w:rPr>
            </w:pPr>
            <w:r w:rsidRPr="00A81960">
              <w:rPr>
                <w:rFonts w:cs="Times New Roman"/>
                <w:sz w:val="22"/>
              </w:rPr>
              <w:lastRenderedPageBreak/>
              <w:t>Se refiere a la capacidad de sobrevivir de un año al otro y se utiliza para los sistemas de pensiones.</w:t>
            </w:r>
            <w:r w:rsidRPr="00A81960">
              <w:rPr>
                <w:sz w:val="22"/>
              </w:rPr>
              <w:t xml:space="preserve"> </w:t>
            </w:r>
            <w:r w:rsidRPr="00A81960">
              <w:rPr>
                <w:rFonts w:cs="Times New Roman"/>
                <w:sz w:val="22"/>
              </w:rPr>
              <w:t xml:space="preserve"> </w:t>
            </w:r>
          </w:p>
          <w:p w14:paraId="3D7DC8F6" w14:textId="77777777" w:rsidR="006A078D" w:rsidRPr="00A81960" w:rsidRDefault="006A078D" w:rsidP="007B3D18">
            <w:pPr>
              <w:spacing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2"/>
              </w:rPr>
            </w:pPr>
            <w:r w:rsidRPr="00A81960">
              <w:rPr>
                <w:rFonts w:cs="Times New Roman"/>
                <w:sz w:val="22"/>
              </w:rPr>
              <w:t xml:space="preserve">Inciden factores biológicos y </w:t>
            </w:r>
            <w:r w:rsidRPr="00A81960">
              <w:rPr>
                <w:rFonts w:cs="Times New Roman"/>
                <w:b/>
                <w:sz w:val="22"/>
              </w:rPr>
              <w:t>sociales</w:t>
            </w:r>
            <w:r w:rsidRPr="00A81960">
              <w:rPr>
                <w:rFonts w:cs="Times New Roman"/>
                <w:sz w:val="22"/>
              </w:rPr>
              <w:t>.</w:t>
            </w:r>
          </w:p>
          <w:p w14:paraId="1D93620E" w14:textId="77777777" w:rsidR="006A078D" w:rsidRPr="00A81960" w:rsidRDefault="006A078D" w:rsidP="007B3D18">
            <w:pPr>
              <w:spacing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2"/>
              </w:rPr>
            </w:pPr>
            <w:r w:rsidRPr="00A81960">
              <w:rPr>
                <w:rFonts w:cs="Times New Roman"/>
                <w:sz w:val="22"/>
              </w:rPr>
              <w:lastRenderedPageBreak/>
              <w:t>Es dinámica porque los factores sociales cambian constantemente. Varía fuertemente con la edad.</w:t>
            </w:r>
          </w:p>
        </w:tc>
      </w:tr>
    </w:tbl>
    <w:p w14:paraId="19CAD5B1" w14:textId="15D68E00" w:rsidR="001B4F97" w:rsidRPr="00124DB3" w:rsidRDefault="00124DB3" w:rsidP="0066627E">
      <w:pPr>
        <w:spacing w:line="240" w:lineRule="auto"/>
        <w:jc w:val="both"/>
        <w:rPr>
          <w:rFonts w:cs="Times New Roman"/>
          <w:sz w:val="20"/>
          <w:szCs w:val="20"/>
        </w:rPr>
      </w:pPr>
      <w:r w:rsidRPr="00124DB3">
        <w:rPr>
          <w:rFonts w:cs="Times New Roman"/>
          <w:sz w:val="20"/>
          <w:szCs w:val="20"/>
        </w:rPr>
        <w:lastRenderedPageBreak/>
        <w:t xml:space="preserve">Fuente:  </w:t>
      </w:r>
      <w:r w:rsidR="00AB682F">
        <w:rPr>
          <w:rFonts w:cs="Times New Roman"/>
          <w:sz w:val="20"/>
          <w:szCs w:val="20"/>
        </w:rPr>
        <w:t>E</w:t>
      </w:r>
      <w:r w:rsidRPr="00124DB3">
        <w:rPr>
          <w:rFonts w:cs="Times New Roman"/>
          <w:sz w:val="20"/>
          <w:szCs w:val="20"/>
        </w:rPr>
        <w:t>laboración propia</w:t>
      </w:r>
    </w:p>
    <w:p w14:paraId="36DD144E" w14:textId="77777777" w:rsidR="00124DB3" w:rsidRPr="00D25D44" w:rsidRDefault="00124DB3" w:rsidP="0066627E">
      <w:pPr>
        <w:spacing w:line="240" w:lineRule="auto"/>
        <w:jc w:val="both"/>
        <w:rPr>
          <w:rFonts w:cs="Times New Roman"/>
          <w:szCs w:val="24"/>
        </w:rPr>
      </w:pPr>
    </w:p>
    <w:p w14:paraId="2BA3A36E" w14:textId="7B13E8A1" w:rsidR="004517DA" w:rsidRPr="004517DA" w:rsidRDefault="000A7C76" w:rsidP="0083762B">
      <w:pPr>
        <w:pStyle w:val="Prrafodelist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Reglamento de Beneficios </w:t>
      </w:r>
    </w:p>
    <w:p w14:paraId="4935240E" w14:textId="2069515C" w:rsidR="00A76179" w:rsidRPr="008A5763" w:rsidRDefault="00A76179" w:rsidP="00A76179">
      <w:pPr>
        <w:spacing w:line="240" w:lineRule="auto"/>
        <w:jc w:val="both"/>
        <w:rPr>
          <w:rFonts w:cs="Times New Roman"/>
          <w:szCs w:val="24"/>
          <w:highlight w:val="green"/>
        </w:rPr>
      </w:pPr>
      <w:r w:rsidRPr="006716FB">
        <w:rPr>
          <w:rFonts w:cs="Times New Roman"/>
          <w:szCs w:val="24"/>
        </w:rPr>
        <w:t xml:space="preserve">Con las tablas de mortalidad se calculan las probabilidades de sobrevivencia </w:t>
      </w:r>
      <w:r w:rsidR="00F00EEA">
        <w:rPr>
          <w:rFonts w:cs="Times New Roman"/>
          <w:szCs w:val="24"/>
        </w:rPr>
        <w:t xml:space="preserve">que tiene </w:t>
      </w:r>
      <w:r w:rsidRPr="006716FB">
        <w:rPr>
          <w:rFonts w:cs="Times New Roman"/>
          <w:szCs w:val="24"/>
        </w:rPr>
        <w:t xml:space="preserve">cada afiliado </w:t>
      </w:r>
      <w:r w:rsidR="00915FEB">
        <w:rPr>
          <w:rFonts w:cs="Times New Roman"/>
          <w:szCs w:val="24"/>
        </w:rPr>
        <w:t xml:space="preserve">de vivir </w:t>
      </w:r>
      <w:r w:rsidRPr="006716FB">
        <w:rPr>
          <w:rFonts w:cs="Times New Roman"/>
          <w:szCs w:val="24"/>
        </w:rPr>
        <w:t xml:space="preserve">un año más y así sucesivamente. </w:t>
      </w:r>
      <w:r w:rsidR="00B303A0">
        <w:rPr>
          <w:rFonts w:cs="Times New Roman"/>
          <w:szCs w:val="24"/>
        </w:rPr>
        <w:t xml:space="preserve">En el </w:t>
      </w:r>
      <w:r w:rsidR="00B303A0" w:rsidRPr="006716FB">
        <w:rPr>
          <w:rFonts w:cs="Times New Roman"/>
          <w:szCs w:val="24"/>
        </w:rPr>
        <w:t>caso costarricense</w:t>
      </w:r>
      <w:r w:rsidR="00915FEB">
        <w:rPr>
          <w:rFonts w:cs="Times New Roman"/>
          <w:szCs w:val="24"/>
        </w:rPr>
        <w:t>,</w:t>
      </w:r>
      <w:r w:rsidR="00B303A0" w:rsidRPr="006716FB">
        <w:rPr>
          <w:rFonts w:cs="Times New Roman"/>
          <w:szCs w:val="24"/>
        </w:rPr>
        <w:t xml:space="preserve"> </w:t>
      </w:r>
      <w:r w:rsidR="00B303A0">
        <w:rPr>
          <w:rFonts w:cs="Times New Roman"/>
          <w:szCs w:val="24"/>
        </w:rPr>
        <w:t xml:space="preserve">se ha establecido </w:t>
      </w:r>
      <w:r w:rsidRPr="006716FB">
        <w:rPr>
          <w:rFonts w:cs="Times New Roman"/>
          <w:szCs w:val="24"/>
        </w:rPr>
        <w:t xml:space="preserve">una edad máxima </w:t>
      </w:r>
      <w:r w:rsidR="00697FE3">
        <w:rPr>
          <w:rFonts w:cs="Times New Roman"/>
          <w:szCs w:val="24"/>
        </w:rPr>
        <w:t xml:space="preserve">de </w:t>
      </w:r>
      <w:r w:rsidRPr="006716FB">
        <w:rPr>
          <w:rFonts w:cs="Times New Roman"/>
          <w:szCs w:val="24"/>
        </w:rPr>
        <w:t>115 años</w:t>
      </w:r>
      <w:r w:rsidR="00697FE3">
        <w:rPr>
          <w:rFonts w:cs="Times New Roman"/>
          <w:szCs w:val="24"/>
        </w:rPr>
        <w:t xml:space="preserve"> atendiendo a </w:t>
      </w:r>
      <w:r w:rsidRPr="006716FB">
        <w:rPr>
          <w:rFonts w:cs="Times New Roman"/>
          <w:szCs w:val="24"/>
        </w:rPr>
        <w:t xml:space="preserve">recomendaciones </w:t>
      </w:r>
      <w:r w:rsidR="00196BDC">
        <w:rPr>
          <w:rFonts w:cs="Times New Roman"/>
          <w:szCs w:val="24"/>
        </w:rPr>
        <w:t xml:space="preserve">de </w:t>
      </w:r>
      <w:r w:rsidRPr="006716FB">
        <w:rPr>
          <w:rFonts w:cs="Times New Roman"/>
          <w:szCs w:val="24"/>
        </w:rPr>
        <w:t>técnica demográfica</w:t>
      </w:r>
      <w:r w:rsidR="00D736E1">
        <w:rPr>
          <w:rFonts w:cs="Times New Roman"/>
          <w:szCs w:val="24"/>
        </w:rPr>
        <w:t xml:space="preserve">, </w:t>
      </w:r>
      <w:r w:rsidR="00132821">
        <w:rPr>
          <w:rFonts w:cs="Times New Roman"/>
          <w:szCs w:val="24"/>
        </w:rPr>
        <w:t xml:space="preserve">dado que en nuestro país </w:t>
      </w:r>
      <w:r w:rsidR="009D3F3C">
        <w:rPr>
          <w:rFonts w:cs="Times New Roman"/>
          <w:szCs w:val="24"/>
        </w:rPr>
        <w:t xml:space="preserve">existe </w:t>
      </w:r>
      <w:r w:rsidRPr="006716FB">
        <w:rPr>
          <w:rFonts w:cs="Times New Roman"/>
          <w:szCs w:val="24"/>
        </w:rPr>
        <w:t xml:space="preserve">evidencia de personas que </w:t>
      </w:r>
      <w:r w:rsidR="009D3F3C">
        <w:rPr>
          <w:rFonts w:cs="Times New Roman"/>
          <w:szCs w:val="24"/>
        </w:rPr>
        <w:t xml:space="preserve">han </w:t>
      </w:r>
      <w:r w:rsidR="00CE2F7F">
        <w:rPr>
          <w:rFonts w:cs="Times New Roman"/>
          <w:szCs w:val="24"/>
        </w:rPr>
        <w:t>sobre</w:t>
      </w:r>
      <w:r w:rsidR="00132821">
        <w:rPr>
          <w:rFonts w:cs="Times New Roman"/>
          <w:szCs w:val="24"/>
        </w:rPr>
        <w:t xml:space="preserve">vivido hasta </w:t>
      </w:r>
      <w:r w:rsidRPr="006716FB">
        <w:rPr>
          <w:rFonts w:cs="Times New Roman"/>
          <w:szCs w:val="24"/>
        </w:rPr>
        <w:t xml:space="preserve">esa edad.  </w:t>
      </w:r>
    </w:p>
    <w:p w14:paraId="303A9983" w14:textId="77777777" w:rsidR="00A76179" w:rsidRPr="008A5763" w:rsidRDefault="00A76179" w:rsidP="00A76179">
      <w:pPr>
        <w:spacing w:line="240" w:lineRule="auto"/>
        <w:jc w:val="both"/>
        <w:rPr>
          <w:rFonts w:cs="Times New Roman"/>
          <w:szCs w:val="24"/>
          <w:highlight w:val="green"/>
        </w:rPr>
      </w:pPr>
    </w:p>
    <w:p w14:paraId="56922EC3" w14:textId="2C7195E7" w:rsidR="001B4F97" w:rsidRPr="00D25D44" w:rsidRDefault="00A76179" w:rsidP="00A76179">
      <w:pPr>
        <w:spacing w:line="240" w:lineRule="auto"/>
        <w:jc w:val="both"/>
        <w:rPr>
          <w:rFonts w:cs="Times New Roman"/>
          <w:szCs w:val="24"/>
        </w:rPr>
      </w:pPr>
      <w:r w:rsidRPr="006716FB">
        <w:rPr>
          <w:rFonts w:cs="Times New Roman"/>
          <w:szCs w:val="24"/>
        </w:rPr>
        <w:t xml:space="preserve">El cálculo de una renta contingente hasta los 115 años, utilizando para ello </w:t>
      </w:r>
      <w:r w:rsidR="00547C6A">
        <w:rPr>
          <w:rFonts w:cs="Times New Roman"/>
          <w:szCs w:val="24"/>
        </w:rPr>
        <w:t xml:space="preserve">las </w:t>
      </w:r>
      <w:r w:rsidRPr="006716FB">
        <w:rPr>
          <w:rFonts w:cs="Times New Roman"/>
          <w:szCs w:val="24"/>
        </w:rPr>
        <w:t>tablas de mortalidad, es un mecanismo que, lejos de afectar al afiliado, más bien le permite mitigar el riesgo de longevidad al que se ha hecho referencia, dado que con ello se puede prevenir que, ante la posibilidad de superar el tiempo de vida (expectativa de vida residual), esta pueda ser conocida y cuantificada.</w:t>
      </w:r>
    </w:p>
    <w:p w14:paraId="548241C9" w14:textId="348863D9" w:rsidR="00803B6B" w:rsidRPr="00D25D44" w:rsidRDefault="00803B6B" w:rsidP="0066627E">
      <w:pPr>
        <w:spacing w:line="240" w:lineRule="auto"/>
        <w:jc w:val="both"/>
        <w:rPr>
          <w:rFonts w:cs="Times New Roman"/>
          <w:szCs w:val="24"/>
        </w:rPr>
      </w:pPr>
    </w:p>
    <w:p w14:paraId="56135BFB" w14:textId="62CA572D" w:rsidR="00CC4CF5" w:rsidRPr="00D25D44" w:rsidRDefault="002F36F7" w:rsidP="0066627E">
      <w:pPr>
        <w:spacing w:line="240" w:lineRule="auto"/>
        <w:jc w:val="both"/>
        <w:rPr>
          <w:rFonts w:cs="Times New Roman"/>
          <w:szCs w:val="24"/>
        </w:rPr>
      </w:pPr>
      <w:r w:rsidRPr="00D25D44">
        <w:rPr>
          <w:rFonts w:cs="Times New Roman"/>
          <w:szCs w:val="24"/>
        </w:rPr>
        <w:t xml:space="preserve">El retiro programado personal </w:t>
      </w:r>
      <w:r w:rsidR="00951D05" w:rsidRPr="00D25D44">
        <w:rPr>
          <w:rFonts w:cs="Times New Roman"/>
          <w:szCs w:val="24"/>
        </w:rPr>
        <w:t xml:space="preserve">establecido en el </w:t>
      </w:r>
      <w:r w:rsidR="00B43024">
        <w:rPr>
          <w:rFonts w:cs="Times New Roman"/>
          <w:szCs w:val="24"/>
        </w:rPr>
        <w:t>R</w:t>
      </w:r>
      <w:r w:rsidR="00951D05" w:rsidRPr="00D25D44">
        <w:rPr>
          <w:rFonts w:cs="Times New Roman"/>
          <w:szCs w:val="24"/>
        </w:rPr>
        <w:t>eglamento</w:t>
      </w:r>
      <w:r w:rsidR="00B43024">
        <w:rPr>
          <w:rFonts w:cs="Times New Roman"/>
          <w:szCs w:val="24"/>
        </w:rPr>
        <w:t xml:space="preserve"> de Beneficios</w:t>
      </w:r>
      <w:r w:rsidR="00951D05" w:rsidRPr="00D25D44">
        <w:rPr>
          <w:rFonts w:cs="Times New Roman"/>
          <w:szCs w:val="24"/>
        </w:rPr>
        <w:t>, tiene como objetivo cubrir</w:t>
      </w:r>
      <w:r w:rsidR="00545BE9" w:rsidRPr="00D25D44">
        <w:rPr>
          <w:rFonts w:cs="Times New Roman"/>
          <w:szCs w:val="24"/>
        </w:rPr>
        <w:t xml:space="preserve"> el mayor tiempo posible de sobrevivencia del afiliado, a partir del momento en que se pensiona.  Ese cálculo se revisa </w:t>
      </w:r>
      <w:r w:rsidR="00267D82" w:rsidRPr="00D25D44">
        <w:rPr>
          <w:rFonts w:cs="Times New Roman"/>
          <w:szCs w:val="24"/>
        </w:rPr>
        <w:t xml:space="preserve">cada </w:t>
      </w:r>
      <w:r w:rsidR="00545BE9" w:rsidRPr="00D25D44">
        <w:rPr>
          <w:rFonts w:cs="Times New Roman"/>
          <w:szCs w:val="24"/>
        </w:rPr>
        <w:t>año,</w:t>
      </w:r>
      <w:r w:rsidR="00267D82" w:rsidRPr="00D25D44">
        <w:rPr>
          <w:rFonts w:cs="Times New Roman"/>
          <w:szCs w:val="24"/>
        </w:rPr>
        <w:t xml:space="preserve"> precisamente para que cumpla con su objetivo de </w:t>
      </w:r>
      <w:r w:rsidR="00D66A73" w:rsidRPr="00D25D44">
        <w:rPr>
          <w:rFonts w:cs="Times New Roman"/>
          <w:szCs w:val="24"/>
        </w:rPr>
        <w:t xml:space="preserve">determinar la probabilidad de que esa persona sobreviva un año más; conforme avanza la edad </w:t>
      </w:r>
      <w:r w:rsidR="008E342F" w:rsidRPr="00D25D44">
        <w:rPr>
          <w:rFonts w:cs="Times New Roman"/>
          <w:szCs w:val="24"/>
        </w:rPr>
        <w:t>la renta va disminuyendo para que</w:t>
      </w:r>
      <w:r w:rsidR="00942A25" w:rsidRPr="00D25D44">
        <w:rPr>
          <w:rFonts w:cs="Times New Roman"/>
          <w:szCs w:val="24"/>
        </w:rPr>
        <w:t>,</w:t>
      </w:r>
      <w:r w:rsidR="008E342F" w:rsidRPr="00D25D44">
        <w:rPr>
          <w:rFonts w:cs="Times New Roman"/>
          <w:szCs w:val="24"/>
        </w:rPr>
        <w:t xml:space="preserve"> en la medida que las probabilidad</w:t>
      </w:r>
      <w:r w:rsidR="00942A25" w:rsidRPr="00D25D44">
        <w:rPr>
          <w:rFonts w:cs="Times New Roman"/>
          <w:szCs w:val="24"/>
        </w:rPr>
        <w:t>es</w:t>
      </w:r>
      <w:r w:rsidR="008E342F" w:rsidRPr="00D25D44">
        <w:rPr>
          <w:rFonts w:cs="Times New Roman"/>
          <w:szCs w:val="24"/>
        </w:rPr>
        <w:t xml:space="preserve"> matemáticas lo permitan</w:t>
      </w:r>
      <w:r w:rsidR="00942A25" w:rsidRPr="00D25D44">
        <w:rPr>
          <w:rFonts w:cs="Times New Roman"/>
          <w:szCs w:val="24"/>
        </w:rPr>
        <w:t>, pueda disfrutar e</w:t>
      </w:r>
      <w:r w:rsidR="00675F99" w:rsidRPr="00D25D44">
        <w:rPr>
          <w:rFonts w:cs="Times New Roman"/>
          <w:szCs w:val="24"/>
        </w:rPr>
        <w:t>n</w:t>
      </w:r>
      <w:r w:rsidR="00942A25" w:rsidRPr="00D25D44">
        <w:rPr>
          <w:rFonts w:cs="Times New Roman"/>
          <w:szCs w:val="24"/>
        </w:rPr>
        <w:t xml:space="preserve"> vida el total del saldo.  Esta valoración es completamente objetiva, no se encuentra expuesta al riesgo de </w:t>
      </w:r>
      <w:r w:rsidR="007C6429">
        <w:rPr>
          <w:rFonts w:cs="Times New Roman"/>
          <w:szCs w:val="24"/>
        </w:rPr>
        <w:t xml:space="preserve">las </w:t>
      </w:r>
      <w:r w:rsidR="00942A25" w:rsidRPr="00D25D44">
        <w:rPr>
          <w:rFonts w:cs="Times New Roman"/>
          <w:szCs w:val="24"/>
        </w:rPr>
        <w:t xml:space="preserve">valoraciones </w:t>
      </w:r>
      <w:r w:rsidR="00CC4CF5" w:rsidRPr="00D25D44">
        <w:rPr>
          <w:rFonts w:cs="Times New Roman"/>
          <w:szCs w:val="24"/>
        </w:rPr>
        <w:t>subjetivas</w:t>
      </w:r>
      <w:r w:rsidR="007C6429">
        <w:rPr>
          <w:rFonts w:cs="Times New Roman"/>
          <w:szCs w:val="24"/>
        </w:rPr>
        <w:t xml:space="preserve"> que </w:t>
      </w:r>
      <w:r w:rsidR="00F23699">
        <w:rPr>
          <w:rFonts w:cs="Times New Roman"/>
          <w:szCs w:val="24"/>
        </w:rPr>
        <w:t>el gestor de la cuenta individual del afiliado puede hacer y aplica igual para todos los gestores</w:t>
      </w:r>
      <w:r w:rsidR="00EC188F">
        <w:rPr>
          <w:rFonts w:cs="Times New Roman"/>
          <w:szCs w:val="24"/>
        </w:rPr>
        <w:t xml:space="preserve"> autorizados</w:t>
      </w:r>
      <w:r w:rsidR="00CC4CF5" w:rsidRPr="00D25D44">
        <w:rPr>
          <w:rFonts w:cs="Times New Roman"/>
          <w:szCs w:val="24"/>
        </w:rPr>
        <w:t>.</w:t>
      </w:r>
    </w:p>
    <w:p w14:paraId="181AC520" w14:textId="2D5B4319" w:rsidR="00675F99" w:rsidRPr="00D25D44" w:rsidRDefault="00675F99" w:rsidP="0066627E">
      <w:pPr>
        <w:spacing w:line="240" w:lineRule="auto"/>
        <w:jc w:val="both"/>
        <w:rPr>
          <w:rFonts w:cs="Times New Roman"/>
          <w:szCs w:val="24"/>
        </w:rPr>
      </w:pPr>
    </w:p>
    <w:p w14:paraId="2DB1647D" w14:textId="77777777" w:rsidR="00C87904" w:rsidRDefault="00675F99" w:rsidP="0066627E">
      <w:pPr>
        <w:spacing w:line="240" w:lineRule="auto"/>
        <w:jc w:val="both"/>
        <w:rPr>
          <w:rFonts w:cs="Times New Roman"/>
          <w:szCs w:val="24"/>
        </w:rPr>
      </w:pPr>
      <w:r w:rsidRPr="00D25D44">
        <w:rPr>
          <w:rFonts w:cs="Times New Roman"/>
          <w:szCs w:val="24"/>
        </w:rPr>
        <w:t xml:space="preserve">En este punto de la exposición, es necesario </w:t>
      </w:r>
      <w:r w:rsidR="00BA2DBB" w:rsidRPr="00D25D44">
        <w:rPr>
          <w:rFonts w:cs="Times New Roman"/>
          <w:szCs w:val="24"/>
        </w:rPr>
        <w:t xml:space="preserve">referirse al alcance del término </w:t>
      </w:r>
      <w:r w:rsidR="00BA2DBB" w:rsidRPr="00EC188F">
        <w:rPr>
          <w:rFonts w:cs="Times New Roman"/>
          <w:i/>
          <w:szCs w:val="24"/>
        </w:rPr>
        <w:t>disfrute</w:t>
      </w:r>
      <w:r w:rsidR="00F0462A" w:rsidRPr="00D25D44">
        <w:rPr>
          <w:rFonts w:cs="Times New Roman"/>
          <w:szCs w:val="24"/>
        </w:rPr>
        <w:t xml:space="preserve"> en </w:t>
      </w:r>
      <w:r w:rsidR="00F40642" w:rsidRPr="00D25D44">
        <w:rPr>
          <w:rFonts w:cs="Times New Roman"/>
          <w:szCs w:val="24"/>
        </w:rPr>
        <w:t>un contexto de seguridad social</w:t>
      </w:r>
      <w:r w:rsidR="00BA2DBB" w:rsidRPr="00D25D44">
        <w:rPr>
          <w:rFonts w:cs="Times New Roman"/>
          <w:szCs w:val="24"/>
        </w:rPr>
        <w:t xml:space="preserve">.  </w:t>
      </w:r>
      <w:r w:rsidR="009B5550">
        <w:rPr>
          <w:rFonts w:cs="Times New Roman"/>
          <w:szCs w:val="24"/>
        </w:rPr>
        <w:t>E</w:t>
      </w:r>
      <w:r w:rsidR="00970436">
        <w:rPr>
          <w:rFonts w:cs="Times New Roman"/>
          <w:szCs w:val="24"/>
        </w:rPr>
        <w:t>n los sistemas de pensiones e</w:t>
      </w:r>
      <w:r w:rsidR="009B5550">
        <w:rPr>
          <w:rFonts w:cs="Times New Roman"/>
          <w:szCs w:val="24"/>
        </w:rPr>
        <w:t>l</w:t>
      </w:r>
      <w:r w:rsidR="00E41E3F">
        <w:rPr>
          <w:rFonts w:cs="Times New Roman"/>
          <w:szCs w:val="24"/>
        </w:rPr>
        <w:t xml:space="preserve"> objetivo es que</w:t>
      </w:r>
      <w:r w:rsidR="00BA2DBB" w:rsidRPr="00D25D44">
        <w:rPr>
          <w:rFonts w:cs="Times New Roman"/>
          <w:szCs w:val="24"/>
        </w:rPr>
        <w:t xml:space="preserve"> el pensionado tenga recursos para hacer frente a l</w:t>
      </w:r>
      <w:r w:rsidR="00C04538" w:rsidRPr="00D25D44">
        <w:rPr>
          <w:rFonts w:cs="Times New Roman"/>
          <w:szCs w:val="24"/>
        </w:rPr>
        <w:t xml:space="preserve">as necesidades básicas </w:t>
      </w:r>
      <w:r w:rsidR="00A5596E">
        <w:rPr>
          <w:rFonts w:cs="Times New Roman"/>
          <w:szCs w:val="24"/>
        </w:rPr>
        <w:t xml:space="preserve">comunes </w:t>
      </w:r>
      <w:r w:rsidR="00C04538" w:rsidRPr="00D25D44">
        <w:rPr>
          <w:rFonts w:cs="Times New Roman"/>
          <w:szCs w:val="24"/>
        </w:rPr>
        <w:t xml:space="preserve">y a aquellas otras que surgen con el deterioro propio de la vejez, </w:t>
      </w:r>
      <w:r w:rsidR="006B2A4F" w:rsidRPr="00D25D44">
        <w:rPr>
          <w:rFonts w:cs="Times New Roman"/>
          <w:szCs w:val="24"/>
        </w:rPr>
        <w:t>por ejemplo, compra de medicamentos, pago de cuido, tratamientos para mejorar su calidad de vida</w:t>
      </w:r>
      <w:r w:rsidR="00243B23" w:rsidRPr="00D25D44">
        <w:rPr>
          <w:rFonts w:cs="Times New Roman"/>
          <w:szCs w:val="24"/>
        </w:rPr>
        <w:t xml:space="preserve"> ante una discapacidad, etc</w:t>
      </w:r>
      <w:r w:rsidR="006B2A4F" w:rsidRPr="00D25D44">
        <w:rPr>
          <w:rFonts w:cs="Times New Roman"/>
          <w:szCs w:val="24"/>
        </w:rPr>
        <w:t xml:space="preserve">. </w:t>
      </w:r>
    </w:p>
    <w:p w14:paraId="549F4D50" w14:textId="77777777" w:rsidR="00C87904" w:rsidRDefault="00C87904" w:rsidP="0066627E">
      <w:pPr>
        <w:spacing w:line="240" w:lineRule="auto"/>
        <w:jc w:val="both"/>
        <w:rPr>
          <w:rFonts w:cs="Times New Roman"/>
          <w:szCs w:val="24"/>
        </w:rPr>
      </w:pPr>
    </w:p>
    <w:p w14:paraId="2129E176" w14:textId="439D69B9" w:rsidR="00675F99" w:rsidRPr="00D25D44" w:rsidRDefault="006B2A4F" w:rsidP="0066627E">
      <w:pPr>
        <w:spacing w:line="240" w:lineRule="auto"/>
        <w:jc w:val="both"/>
        <w:rPr>
          <w:rFonts w:cs="Times New Roman"/>
          <w:szCs w:val="24"/>
        </w:rPr>
      </w:pPr>
      <w:r w:rsidRPr="006716FB">
        <w:rPr>
          <w:rFonts w:cs="Times New Roman"/>
          <w:szCs w:val="24"/>
        </w:rPr>
        <w:t>L</w:t>
      </w:r>
      <w:r w:rsidR="00C04538" w:rsidRPr="006716FB">
        <w:rPr>
          <w:rFonts w:cs="Times New Roman"/>
          <w:szCs w:val="24"/>
        </w:rPr>
        <w:t xml:space="preserve">os recursos del </w:t>
      </w:r>
      <w:r w:rsidR="00A55863" w:rsidRPr="006716FB">
        <w:rPr>
          <w:rFonts w:cs="Times New Roman"/>
          <w:szCs w:val="24"/>
        </w:rPr>
        <w:t>ROP</w:t>
      </w:r>
      <w:r w:rsidR="00C04538" w:rsidRPr="006716FB">
        <w:rPr>
          <w:rFonts w:cs="Times New Roman"/>
          <w:szCs w:val="24"/>
        </w:rPr>
        <w:t xml:space="preserve"> no </w:t>
      </w:r>
      <w:r w:rsidR="00B46F7C" w:rsidRPr="006716FB">
        <w:rPr>
          <w:rFonts w:cs="Times New Roman"/>
          <w:szCs w:val="24"/>
        </w:rPr>
        <w:t xml:space="preserve">se crearon como </w:t>
      </w:r>
      <w:r w:rsidR="00C04538" w:rsidRPr="006716FB">
        <w:rPr>
          <w:rFonts w:cs="Times New Roman"/>
          <w:szCs w:val="24"/>
        </w:rPr>
        <w:t xml:space="preserve">ahorros </w:t>
      </w:r>
      <w:r w:rsidR="00845914">
        <w:rPr>
          <w:rFonts w:cs="Times New Roman"/>
          <w:szCs w:val="24"/>
        </w:rPr>
        <w:t>que el afiliado debe</w:t>
      </w:r>
      <w:r w:rsidR="00C04538" w:rsidRPr="006716FB">
        <w:rPr>
          <w:rFonts w:cs="Times New Roman"/>
          <w:szCs w:val="24"/>
        </w:rPr>
        <w:t xml:space="preserve"> </w:t>
      </w:r>
      <w:r w:rsidR="00C04538" w:rsidRPr="006716FB">
        <w:rPr>
          <w:rFonts w:cs="Times New Roman"/>
          <w:i/>
          <w:szCs w:val="24"/>
        </w:rPr>
        <w:t>disfrutar</w:t>
      </w:r>
      <w:r w:rsidR="00EA6849" w:rsidRPr="006716FB">
        <w:rPr>
          <w:rFonts w:cs="Times New Roman"/>
          <w:szCs w:val="24"/>
        </w:rPr>
        <w:t xml:space="preserve"> </w:t>
      </w:r>
      <w:r w:rsidR="00A5596E" w:rsidRPr="006716FB">
        <w:rPr>
          <w:rFonts w:cs="Times New Roman"/>
          <w:i/>
          <w:szCs w:val="24"/>
        </w:rPr>
        <w:t xml:space="preserve">en condiciones aptas de salud </w:t>
      </w:r>
      <w:r w:rsidR="00095117" w:rsidRPr="006716FB">
        <w:rPr>
          <w:rFonts w:cs="Times New Roman"/>
          <w:i/>
          <w:szCs w:val="24"/>
        </w:rPr>
        <w:t xml:space="preserve">en </w:t>
      </w:r>
      <w:r w:rsidR="000934A1" w:rsidRPr="006716FB">
        <w:rPr>
          <w:rFonts w:cs="Times New Roman"/>
          <w:i/>
          <w:szCs w:val="24"/>
        </w:rPr>
        <w:t>proyectos o actividades que a bien tenga</w:t>
      </w:r>
      <w:r w:rsidR="00141F68">
        <w:rPr>
          <w:rFonts w:cs="Times New Roman"/>
          <w:i/>
          <w:szCs w:val="24"/>
        </w:rPr>
        <w:t>,</w:t>
      </w:r>
      <w:r w:rsidRPr="006716FB">
        <w:rPr>
          <w:rFonts w:cs="Times New Roman"/>
          <w:i/>
          <w:szCs w:val="24"/>
        </w:rPr>
        <w:t xml:space="preserve"> </w:t>
      </w:r>
      <w:r w:rsidR="00FA7A64" w:rsidRPr="006716FB">
        <w:rPr>
          <w:rFonts w:cs="Times New Roman"/>
          <w:szCs w:val="24"/>
        </w:rPr>
        <w:t>como parece haberlo entendido la Sala Constitucional</w:t>
      </w:r>
      <w:r w:rsidR="00B46F7C" w:rsidRPr="006716FB">
        <w:rPr>
          <w:rFonts w:cs="Times New Roman"/>
          <w:szCs w:val="24"/>
        </w:rPr>
        <w:t xml:space="preserve"> en</w:t>
      </w:r>
      <w:r w:rsidR="00FB10A0">
        <w:rPr>
          <w:rFonts w:cs="Times New Roman"/>
          <w:szCs w:val="24"/>
        </w:rPr>
        <w:t xml:space="preserve"> el </w:t>
      </w:r>
      <w:r w:rsidR="000A08A4">
        <w:rPr>
          <w:rFonts w:cs="Times New Roman"/>
          <w:szCs w:val="24"/>
        </w:rPr>
        <w:t xml:space="preserve">voto </w:t>
      </w:r>
      <w:r w:rsidR="00F22F71" w:rsidRPr="00F22F71">
        <w:rPr>
          <w:rFonts w:cs="Times New Roman"/>
          <w:szCs w:val="24"/>
        </w:rPr>
        <w:t>12226-2019</w:t>
      </w:r>
      <w:r w:rsidR="00E73025" w:rsidRPr="006716FB">
        <w:rPr>
          <w:rFonts w:cs="Times New Roman"/>
          <w:szCs w:val="24"/>
        </w:rPr>
        <w:t>. Si bien esos proyectos</w:t>
      </w:r>
      <w:r w:rsidR="000718B1" w:rsidRPr="006716FB">
        <w:rPr>
          <w:rFonts w:cs="Times New Roman"/>
          <w:szCs w:val="24"/>
        </w:rPr>
        <w:t xml:space="preserve"> o actividades son </w:t>
      </w:r>
      <w:r w:rsidR="00AC3EB6">
        <w:rPr>
          <w:rFonts w:cs="Times New Roman"/>
          <w:szCs w:val="24"/>
        </w:rPr>
        <w:t>positivos para el pensionado</w:t>
      </w:r>
      <w:r w:rsidR="000718B1" w:rsidRPr="006716FB">
        <w:rPr>
          <w:rFonts w:cs="Times New Roman"/>
          <w:szCs w:val="24"/>
        </w:rPr>
        <w:t>, el Estado no establec</w:t>
      </w:r>
      <w:r w:rsidR="008F644B" w:rsidRPr="006716FB">
        <w:rPr>
          <w:rFonts w:cs="Times New Roman"/>
          <w:szCs w:val="24"/>
        </w:rPr>
        <w:t>ió</w:t>
      </w:r>
      <w:r w:rsidR="000718B1" w:rsidRPr="006716FB">
        <w:rPr>
          <w:rFonts w:cs="Times New Roman"/>
          <w:szCs w:val="24"/>
        </w:rPr>
        <w:t xml:space="preserve"> un sistema obligatorio de pensión con </w:t>
      </w:r>
      <w:r w:rsidR="00095117" w:rsidRPr="006716FB">
        <w:rPr>
          <w:rFonts w:cs="Times New Roman"/>
          <w:szCs w:val="24"/>
        </w:rPr>
        <w:t xml:space="preserve">un </w:t>
      </w:r>
      <w:r w:rsidR="000718B1" w:rsidRPr="006716FB">
        <w:rPr>
          <w:rFonts w:cs="Times New Roman"/>
          <w:szCs w:val="24"/>
        </w:rPr>
        <w:t>aporte patronal</w:t>
      </w:r>
      <w:r w:rsidR="00095117" w:rsidRPr="006716FB">
        <w:rPr>
          <w:rFonts w:cs="Times New Roman"/>
          <w:szCs w:val="24"/>
        </w:rPr>
        <w:t xml:space="preserve"> mucho mayor que el del trabajador</w:t>
      </w:r>
      <w:r w:rsidR="000718B1" w:rsidRPr="006716FB">
        <w:rPr>
          <w:rFonts w:cs="Times New Roman"/>
          <w:szCs w:val="24"/>
        </w:rPr>
        <w:t xml:space="preserve"> para estos fines</w:t>
      </w:r>
      <w:r w:rsidR="008F644B" w:rsidRPr="006716FB">
        <w:rPr>
          <w:rFonts w:cs="Times New Roman"/>
          <w:szCs w:val="24"/>
        </w:rPr>
        <w:t>, sino para complementar el sistema básico que como es sabido desde hace años enfrenta problemas de sostenibilidad y pone en riesgo</w:t>
      </w:r>
      <w:r w:rsidR="00471F3A" w:rsidRPr="006716FB">
        <w:rPr>
          <w:rFonts w:cs="Times New Roman"/>
          <w:szCs w:val="24"/>
        </w:rPr>
        <w:t xml:space="preserve"> de pobreza a la población </w:t>
      </w:r>
      <w:r w:rsidR="00141F68">
        <w:rPr>
          <w:rFonts w:cs="Times New Roman"/>
          <w:szCs w:val="24"/>
        </w:rPr>
        <w:t>adulta mayor</w:t>
      </w:r>
      <w:r w:rsidR="00471F3A" w:rsidRPr="006716FB">
        <w:rPr>
          <w:rFonts w:cs="Times New Roman"/>
          <w:szCs w:val="24"/>
        </w:rPr>
        <w:t xml:space="preserve"> de este tiempo y de </w:t>
      </w:r>
      <w:r w:rsidR="00471F3A" w:rsidRPr="006716FB">
        <w:rPr>
          <w:rFonts w:cs="Times New Roman"/>
          <w:szCs w:val="24"/>
        </w:rPr>
        <w:lastRenderedPageBreak/>
        <w:t>las futuras décadas</w:t>
      </w:r>
      <w:r w:rsidR="008F644B" w:rsidRPr="006716FB">
        <w:rPr>
          <w:rFonts w:cs="Times New Roman"/>
          <w:szCs w:val="24"/>
        </w:rPr>
        <w:t xml:space="preserve">. </w:t>
      </w:r>
      <w:r w:rsidR="00E73025" w:rsidRPr="006716FB">
        <w:rPr>
          <w:rFonts w:cs="Times New Roman"/>
          <w:szCs w:val="24"/>
        </w:rPr>
        <w:t xml:space="preserve"> </w:t>
      </w:r>
      <w:r w:rsidR="00320910" w:rsidRPr="006716FB">
        <w:rPr>
          <w:rFonts w:cs="Times New Roman"/>
          <w:szCs w:val="24"/>
        </w:rPr>
        <w:t xml:space="preserve">Es en los años cuando se deteriora la salud del pensionado cuando más requiere de un soporte </w:t>
      </w:r>
      <w:r w:rsidR="005909F6" w:rsidRPr="006716FB">
        <w:rPr>
          <w:rFonts w:cs="Times New Roman"/>
          <w:szCs w:val="24"/>
        </w:rPr>
        <w:t xml:space="preserve">financiero complementario al que le </w:t>
      </w:r>
      <w:r w:rsidR="00B94216">
        <w:rPr>
          <w:rFonts w:cs="Times New Roman"/>
          <w:szCs w:val="24"/>
        </w:rPr>
        <w:t>otorgue</w:t>
      </w:r>
      <w:r w:rsidR="005909F6" w:rsidRPr="006716FB">
        <w:rPr>
          <w:rFonts w:cs="Times New Roman"/>
          <w:szCs w:val="24"/>
        </w:rPr>
        <w:t xml:space="preserve"> el régimen básico, que como es conocido, </w:t>
      </w:r>
      <w:r w:rsidR="00FB0DD1" w:rsidRPr="006716FB">
        <w:rPr>
          <w:rFonts w:cs="Times New Roman"/>
          <w:szCs w:val="24"/>
        </w:rPr>
        <w:t>est</w:t>
      </w:r>
      <w:r w:rsidR="00B94216">
        <w:rPr>
          <w:rFonts w:cs="Times New Roman"/>
          <w:szCs w:val="24"/>
        </w:rPr>
        <w:t>á</w:t>
      </w:r>
      <w:r w:rsidR="00FB0DD1" w:rsidRPr="006716FB">
        <w:rPr>
          <w:rFonts w:cs="Times New Roman"/>
          <w:szCs w:val="24"/>
        </w:rPr>
        <w:t xml:space="preserve"> enfrentando graves problemas de sostenibilidad</w:t>
      </w:r>
      <w:r w:rsidR="00656FB4" w:rsidRPr="006716FB">
        <w:rPr>
          <w:rFonts w:cs="Times New Roman"/>
          <w:szCs w:val="24"/>
        </w:rPr>
        <w:t>.</w:t>
      </w:r>
    </w:p>
    <w:p w14:paraId="57018010" w14:textId="29537EA3" w:rsidR="00CC4CF5" w:rsidRPr="00D25D44" w:rsidRDefault="00CC4CF5" w:rsidP="0066627E">
      <w:pPr>
        <w:spacing w:line="240" w:lineRule="auto"/>
        <w:jc w:val="both"/>
        <w:rPr>
          <w:rFonts w:cs="Times New Roman"/>
          <w:szCs w:val="24"/>
        </w:rPr>
      </w:pPr>
    </w:p>
    <w:p w14:paraId="73F04995" w14:textId="0E055042" w:rsidR="00012DC8" w:rsidRPr="00D25D44" w:rsidRDefault="00561FDE" w:rsidP="0066627E">
      <w:pPr>
        <w:spacing w:line="240" w:lineRule="auto"/>
        <w:jc w:val="both"/>
        <w:rPr>
          <w:rFonts w:cs="Times New Roman"/>
          <w:szCs w:val="24"/>
        </w:rPr>
      </w:pPr>
      <w:r w:rsidRPr="00D25D44">
        <w:rPr>
          <w:rFonts w:cs="Times New Roman"/>
          <w:szCs w:val="24"/>
        </w:rPr>
        <w:t>Desde un punto de vista técnico, los regímenes de capitalización individual y l</w:t>
      </w:r>
      <w:r w:rsidR="00424B6B" w:rsidRPr="00D25D44">
        <w:rPr>
          <w:rFonts w:cs="Times New Roman"/>
          <w:szCs w:val="24"/>
        </w:rPr>
        <w:t>a</w:t>
      </w:r>
      <w:r w:rsidRPr="00D25D44">
        <w:rPr>
          <w:rFonts w:cs="Times New Roman"/>
          <w:szCs w:val="24"/>
        </w:rPr>
        <w:t xml:space="preserve">s </w:t>
      </w:r>
      <w:r w:rsidR="00424B6B" w:rsidRPr="00D25D44">
        <w:rPr>
          <w:rFonts w:cs="Times New Roman"/>
          <w:szCs w:val="24"/>
        </w:rPr>
        <w:t>a</w:t>
      </w:r>
      <w:r w:rsidRPr="00D25D44">
        <w:rPr>
          <w:rFonts w:cs="Times New Roman"/>
          <w:szCs w:val="24"/>
        </w:rPr>
        <w:t>segur</w:t>
      </w:r>
      <w:r w:rsidR="00424B6B" w:rsidRPr="00D25D44">
        <w:rPr>
          <w:rFonts w:cs="Times New Roman"/>
          <w:szCs w:val="24"/>
        </w:rPr>
        <w:t>adora</w:t>
      </w:r>
      <w:r w:rsidRPr="00D25D44">
        <w:rPr>
          <w:rFonts w:cs="Times New Roman"/>
          <w:szCs w:val="24"/>
        </w:rPr>
        <w:t>s,</w:t>
      </w:r>
      <w:r w:rsidR="00424B6B" w:rsidRPr="00D25D44">
        <w:rPr>
          <w:rFonts w:cs="Times New Roman"/>
          <w:szCs w:val="24"/>
        </w:rPr>
        <w:t xml:space="preserve"> utilizan la</w:t>
      </w:r>
      <w:r w:rsidR="008B5C62" w:rsidRPr="00D25D44">
        <w:rPr>
          <w:rFonts w:cs="Times New Roman"/>
          <w:szCs w:val="24"/>
        </w:rPr>
        <w:t xml:space="preserve">s tablas de mortalidad para conocer la probabilidad de sobrevivencia de un año a otro, no </w:t>
      </w:r>
      <w:r w:rsidR="00147496">
        <w:rPr>
          <w:rFonts w:cs="Times New Roman"/>
          <w:szCs w:val="24"/>
        </w:rPr>
        <w:t xml:space="preserve">solo </w:t>
      </w:r>
      <w:r w:rsidR="008B5C62" w:rsidRPr="00D25D44">
        <w:rPr>
          <w:rFonts w:cs="Times New Roman"/>
          <w:szCs w:val="24"/>
        </w:rPr>
        <w:t>la esperanza de vida al nacer</w:t>
      </w:r>
      <w:r w:rsidR="00442D51" w:rsidRPr="00D25D44">
        <w:rPr>
          <w:rFonts w:cs="Times New Roman"/>
          <w:szCs w:val="24"/>
        </w:rPr>
        <w:t xml:space="preserve">, porque este dato </w:t>
      </w:r>
      <w:r w:rsidR="003A38FC" w:rsidRPr="00D25D44">
        <w:rPr>
          <w:rFonts w:cs="Times New Roman"/>
          <w:szCs w:val="24"/>
        </w:rPr>
        <w:t>no es el que se requiere para distribuir el saldo de la cuenta individual</w:t>
      </w:r>
      <w:r w:rsidR="00FE4B93" w:rsidRPr="00D25D44">
        <w:rPr>
          <w:rFonts w:cs="Times New Roman"/>
          <w:szCs w:val="24"/>
        </w:rPr>
        <w:t xml:space="preserve"> de un sistema de pensiones</w:t>
      </w:r>
      <w:r w:rsidR="00C12A0B" w:rsidRPr="00D25D44">
        <w:rPr>
          <w:rFonts w:cs="Times New Roman"/>
          <w:szCs w:val="24"/>
        </w:rPr>
        <w:t>.  De hecho</w:t>
      </w:r>
      <w:r w:rsidR="00967551" w:rsidRPr="00D25D44">
        <w:rPr>
          <w:rFonts w:cs="Times New Roman"/>
          <w:szCs w:val="24"/>
        </w:rPr>
        <w:t>,</w:t>
      </w:r>
      <w:r w:rsidR="00C12A0B" w:rsidRPr="00D25D44">
        <w:rPr>
          <w:rFonts w:cs="Times New Roman"/>
          <w:szCs w:val="24"/>
        </w:rPr>
        <w:t xml:space="preserve"> una estimación de este tipo lleva a suponer que la probabilidad de sobrevivencia del pensionado es menor a la real</w:t>
      </w:r>
      <w:r w:rsidR="00E32C06" w:rsidRPr="00D25D44">
        <w:rPr>
          <w:rFonts w:cs="Times New Roman"/>
          <w:szCs w:val="24"/>
        </w:rPr>
        <w:t xml:space="preserve">, en el </w:t>
      </w:r>
      <w:r w:rsidR="00410CE3">
        <w:rPr>
          <w:rFonts w:cs="Times New Roman"/>
          <w:szCs w:val="24"/>
        </w:rPr>
        <w:t>precedente citado</w:t>
      </w:r>
      <w:r w:rsidR="00E32C06" w:rsidRPr="00D25D44">
        <w:rPr>
          <w:rFonts w:cs="Times New Roman"/>
          <w:szCs w:val="24"/>
        </w:rPr>
        <w:t xml:space="preserve"> </w:t>
      </w:r>
      <w:r w:rsidR="002616CC" w:rsidRPr="00D25D44">
        <w:rPr>
          <w:rFonts w:cs="Times New Roman"/>
          <w:szCs w:val="24"/>
        </w:rPr>
        <w:t>de</w:t>
      </w:r>
      <w:r w:rsidR="00E32C06" w:rsidRPr="00D25D44">
        <w:rPr>
          <w:rFonts w:cs="Times New Roman"/>
          <w:szCs w:val="24"/>
        </w:rPr>
        <w:t xml:space="preserve"> los</w:t>
      </w:r>
      <w:r w:rsidR="00424B6B" w:rsidRPr="00D25D44">
        <w:rPr>
          <w:rFonts w:cs="Times New Roman"/>
          <w:szCs w:val="24"/>
        </w:rPr>
        <w:t xml:space="preserve"> </w:t>
      </w:r>
      <w:r w:rsidR="002616CC" w:rsidRPr="006716FB">
        <w:rPr>
          <w:rFonts w:cs="Times New Roman"/>
          <w:szCs w:val="24"/>
        </w:rPr>
        <w:t>hombres 77.8 años y las mujeres en 82.9 años</w:t>
      </w:r>
      <w:r w:rsidR="00F40BC5" w:rsidRPr="006716FB">
        <w:rPr>
          <w:rFonts w:cs="Times New Roman"/>
          <w:szCs w:val="24"/>
        </w:rPr>
        <w:t xml:space="preserve">, cuando </w:t>
      </w:r>
      <w:r w:rsidR="00B5035C" w:rsidRPr="006716FB">
        <w:rPr>
          <w:rFonts w:cs="Times New Roman"/>
          <w:szCs w:val="24"/>
        </w:rPr>
        <w:t xml:space="preserve">muchos de ellos </w:t>
      </w:r>
      <w:r w:rsidR="005E5554" w:rsidRPr="006716FB">
        <w:rPr>
          <w:rFonts w:cs="Times New Roman"/>
          <w:szCs w:val="24"/>
        </w:rPr>
        <w:t>sobrepasaran</w:t>
      </w:r>
      <w:r w:rsidR="00B5035C" w:rsidRPr="006716FB">
        <w:rPr>
          <w:rFonts w:cs="Times New Roman"/>
          <w:szCs w:val="24"/>
        </w:rPr>
        <w:t xml:space="preserve"> los 90 años</w:t>
      </w:r>
      <w:r w:rsidR="00A60CBE" w:rsidRPr="006716FB">
        <w:rPr>
          <w:rFonts w:cs="Times New Roman"/>
          <w:szCs w:val="24"/>
        </w:rPr>
        <w:t xml:space="preserve">.  </w:t>
      </w:r>
      <w:r w:rsidR="00640838" w:rsidRPr="00D25D44">
        <w:rPr>
          <w:rFonts w:cs="Times New Roman"/>
          <w:szCs w:val="24"/>
        </w:rPr>
        <w:t xml:space="preserve">De la valoración que hace la Sala se desprende que </w:t>
      </w:r>
      <w:r w:rsidR="00684700" w:rsidRPr="00D25D44">
        <w:rPr>
          <w:rFonts w:cs="Times New Roman"/>
          <w:szCs w:val="24"/>
        </w:rPr>
        <w:t xml:space="preserve">después de esa esperanza de vida </w:t>
      </w:r>
      <w:r w:rsidR="008C2C7B" w:rsidRPr="00D25D44">
        <w:rPr>
          <w:rFonts w:cs="Times New Roman"/>
          <w:szCs w:val="24"/>
        </w:rPr>
        <w:t>(</w:t>
      </w:r>
      <w:r w:rsidR="00684700" w:rsidRPr="00D25D44">
        <w:rPr>
          <w:rFonts w:cs="Times New Roman"/>
          <w:szCs w:val="24"/>
        </w:rPr>
        <w:t xml:space="preserve">que es la establecida para </w:t>
      </w:r>
      <w:r w:rsidR="00442ED0" w:rsidRPr="00D25D44">
        <w:rPr>
          <w:rFonts w:cs="Times New Roman"/>
          <w:szCs w:val="24"/>
        </w:rPr>
        <w:t xml:space="preserve">quienes nacieron en </w:t>
      </w:r>
      <w:r w:rsidR="00684700" w:rsidRPr="00D25D44">
        <w:rPr>
          <w:rFonts w:cs="Times New Roman"/>
          <w:szCs w:val="24"/>
        </w:rPr>
        <w:t>el año 201</w:t>
      </w:r>
      <w:r w:rsidR="00BD2CF2" w:rsidRPr="00D25D44">
        <w:rPr>
          <w:rFonts w:cs="Times New Roman"/>
          <w:szCs w:val="24"/>
        </w:rPr>
        <w:t>8</w:t>
      </w:r>
      <w:r w:rsidR="008C2C7B" w:rsidRPr="00D25D44">
        <w:rPr>
          <w:rFonts w:cs="Times New Roman"/>
          <w:szCs w:val="24"/>
        </w:rPr>
        <w:t>)</w:t>
      </w:r>
      <w:r w:rsidR="00684700" w:rsidRPr="00D25D44">
        <w:rPr>
          <w:rFonts w:cs="Times New Roman"/>
          <w:szCs w:val="24"/>
        </w:rPr>
        <w:t xml:space="preserve"> </w:t>
      </w:r>
      <w:r w:rsidR="00C4339F">
        <w:rPr>
          <w:rFonts w:cs="Times New Roman"/>
          <w:szCs w:val="24"/>
        </w:rPr>
        <w:t xml:space="preserve">el pensionado </w:t>
      </w:r>
      <w:r w:rsidR="00CD5053" w:rsidRPr="00D25D44">
        <w:rPr>
          <w:rFonts w:cs="Times New Roman"/>
          <w:szCs w:val="24"/>
        </w:rPr>
        <w:t xml:space="preserve">ya no </w:t>
      </w:r>
      <w:r w:rsidR="00CD5053" w:rsidRPr="00D25D44">
        <w:rPr>
          <w:rFonts w:cs="Times New Roman"/>
          <w:i/>
          <w:szCs w:val="24"/>
        </w:rPr>
        <w:t>disfruta</w:t>
      </w:r>
      <w:r w:rsidR="001C3BF1">
        <w:rPr>
          <w:rFonts w:cs="Times New Roman"/>
          <w:i/>
          <w:szCs w:val="24"/>
        </w:rPr>
        <w:t>rá</w:t>
      </w:r>
      <w:r w:rsidR="00CD5053" w:rsidRPr="00D25D44">
        <w:rPr>
          <w:rFonts w:cs="Times New Roman"/>
          <w:szCs w:val="24"/>
        </w:rPr>
        <w:t xml:space="preserve"> del ROP.  </w:t>
      </w:r>
    </w:p>
    <w:p w14:paraId="279E0B4F" w14:textId="77777777" w:rsidR="00012DC8" w:rsidRPr="00D25D44" w:rsidRDefault="00012DC8" w:rsidP="0066627E">
      <w:pPr>
        <w:spacing w:line="240" w:lineRule="auto"/>
        <w:jc w:val="both"/>
        <w:rPr>
          <w:rFonts w:cs="Times New Roman"/>
          <w:szCs w:val="24"/>
        </w:rPr>
      </w:pPr>
    </w:p>
    <w:p w14:paraId="032DEA5E" w14:textId="37778690" w:rsidR="003E5FFE" w:rsidRPr="00D25D44" w:rsidRDefault="00CD5053" w:rsidP="006C67A9">
      <w:pPr>
        <w:spacing w:line="240" w:lineRule="auto"/>
        <w:jc w:val="both"/>
        <w:rPr>
          <w:rFonts w:cs="Times New Roman"/>
          <w:szCs w:val="24"/>
        </w:rPr>
      </w:pPr>
      <w:r w:rsidRPr="00D25D44">
        <w:rPr>
          <w:rFonts w:cs="Times New Roman"/>
          <w:szCs w:val="24"/>
        </w:rPr>
        <w:t xml:space="preserve">Sin embargo, la protección </w:t>
      </w:r>
      <w:r w:rsidR="004959D9" w:rsidRPr="00D25D44">
        <w:rPr>
          <w:rFonts w:cs="Times New Roman"/>
          <w:szCs w:val="24"/>
        </w:rPr>
        <w:t xml:space="preserve">en la vejez </w:t>
      </w:r>
      <w:r w:rsidR="007941D2" w:rsidRPr="00D25D44">
        <w:rPr>
          <w:rFonts w:cs="Times New Roman"/>
          <w:szCs w:val="24"/>
        </w:rPr>
        <w:t xml:space="preserve">es un </w:t>
      </w:r>
      <w:r w:rsidR="004959D9" w:rsidRPr="00D25D44">
        <w:rPr>
          <w:rFonts w:cs="Times New Roman"/>
          <w:i/>
          <w:szCs w:val="24"/>
        </w:rPr>
        <w:t>disfrute</w:t>
      </w:r>
      <w:r w:rsidR="004959D9" w:rsidRPr="00D25D44">
        <w:rPr>
          <w:rFonts w:cs="Times New Roman"/>
          <w:szCs w:val="24"/>
        </w:rPr>
        <w:t xml:space="preserve"> </w:t>
      </w:r>
      <w:r w:rsidR="007941D2" w:rsidRPr="00D25D44">
        <w:rPr>
          <w:rFonts w:cs="Times New Roman"/>
          <w:szCs w:val="24"/>
        </w:rPr>
        <w:t>desde el punto de vista de la seguridad social</w:t>
      </w:r>
      <w:r w:rsidR="009A3E53" w:rsidRPr="00D25D44">
        <w:rPr>
          <w:rFonts w:cs="Times New Roman"/>
          <w:szCs w:val="24"/>
        </w:rPr>
        <w:t>,</w:t>
      </w:r>
      <w:r w:rsidR="005F726A" w:rsidRPr="00D25D44">
        <w:rPr>
          <w:rFonts w:cs="Times New Roman"/>
          <w:szCs w:val="24"/>
        </w:rPr>
        <w:t xml:space="preserve"> que </w:t>
      </w:r>
      <w:r w:rsidR="009D3BFA">
        <w:rPr>
          <w:rFonts w:cs="Times New Roman"/>
          <w:szCs w:val="24"/>
        </w:rPr>
        <w:t>lo cubra</w:t>
      </w:r>
      <w:r w:rsidR="005F726A" w:rsidRPr="00D25D44">
        <w:rPr>
          <w:rFonts w:cs="Times New Roman"/>
          <w:szCs w:val="24"/>
        </w:rPr>
        <w:t xml:space="preserve"> </w:t>
      </w:r>
      <w:r w:rsidR="00322585">
        <w:rPr>
          <w:rFonts w:cs="Times New Roman"/>
          <w:szCs w:val="24"/>
        </w:rPr>
        <w:t xml:space="preserve">hasta </w:t>
      </w:r>
      <w:r w:rsidR="00012DC8" w:rsidRPr="00D25D44">
        <w:rPr>
          <w:rFonts w:cs="Times New Roman"/>
          <w:szCs w:val="24"/>
        </w:rPr>
        <w:t>los</w:t>
      </w:r>
      <w:r w:rsidR="005F726A" w:rsidRPr="00D25D44">
        <w:rPr>
          <w:rFonts w:cs="Times New Roman"/>
          <w:szCs w:val="24"/>
        </w:rPr>
        <w:t xml:space="preserve"> últimos años </w:t>
      </w:r>
      <w:r w:rsidR="0068178A">
        <w:rPr>
          <w:rFonts w:cs="Times New Roman"/>
          <w:szCs w:val="24"/>
        </w:rPr>
        <w:t xml:space="preserve">de vida </w:t>
      </w:r>
      <w:r w:rsidR="005F726A" w:rsidRPr="00D25D44">
        <w:rPr>
          <w:rFonts w:cs="Times New Roman"/>
          <w:szCs w:val="24"/>
        </w:rPr>
        <w:t>del pensionado</w:t>
      </w:r>
      <w:r w:rsidR="00927842" w:rsidRPr="00D25D44">
        <w:rPr>
          <w:rFonts w:cs="Times New Roman"/>
          <w:szCs w:val="24"/>
        </w:rPr>
        <w:t>, por esa razón las tablas de mortalidad del régimen de capitalización individual se utiliza</w:t>
      </w:r>
      <w:r w:rsidR="00BE7DD9" w:rsidRPr="00D25D44">
        <w:rPr>
          <w:rFonts w:cs="Times New Roman"/>
          <w:szCs w:val="24"/>
        </w:rPr>
        <w:t>n</w:t>
      </w:r>
      <w:r w:rsidR="00927842" w:rsidRPr="00D25D44">
        <w:rPr>
          <w:rFonts w:cs="Times New Roman"/>
          <w:szCs w:val="24"/>
        </w:rPr>
        <w:t xml:space="preserve"> para hacer un cálculo en el cual </w:t>
      </w:r>
      <w:r w:rsidR="00E32FD7" w:rsidRPr="00D25D44">
        <w:rPr>
          <w:rFonts w:cs="Times New Roman"/>
          <w:szCs w:val="24"/>
        </w:rPr>
        <w:t xml:space="preserve">se </w:t>
      </w:r>
      <w:r w:rsidR="006C67A9" w:rsidRPr="00D25D44">
        <w:rPr>
          <w:rFonts w:cs="Times New Roman"/>
          <w:szCs w:val="24"/>
        </w:rPr>
        <w:t xml:space="preserve">toma en cuenta </w:t>
      </w:r>
      <w:r w:rsidR="006C67A9" w:rsidRPr="00FE7F74">
        <w:rPr>
          <w:rFonts w:cs="Times New Roman"/>
          <w:i/>
          <w:szCs w:val="24"/>
        </w:rPr>
        <w:t xml:space="preserve">la edad de la persona que adquiere la renta redondeada al entero más próximo,  la edad final de la tabla de vida y la probabilidad de que una persona de edad x sobreviva a </w:t>
      </w:r>
      <w:r w:rsidR="00CB1B8F" w:rsidRPr="00FE7F74">
        <w:rPr>
          <w:rFonts w:cs="Times New Roman"/>
          <w:i/>
          <w:szCs w:val="24"/>
        </w:rPr>
        <w:t>esa</w:t>
      </w:r>
      <w:r w:rsidR="006C67A9" w:rsidRPr="00FE7F74">
        <w:rPr>
          <w:rFonts w:cs="Times New Roman"/>
          <w:i/>
          <w:szCs w:val="24"/>
        </w:rPr>
        <w:t xml:space="preserve"> edad</w:t>
      </w:r>
      <w:r w:rsidR="007941D2" w:rsidRPr="00D25D44">
        <w:rPr>
          <w:rFonts w:cs="Times New Roman"/>
          <w:szCs w:val="24"/>
        </w:rPr>
        <w:t>.</w:t>
      </w:r>
      <w:r w:rsidR="00684700" w:rsidRPr="00D25D44">
        <w:rPr>
          <w:rFonts w:cs="Times New Roman"/>
          <w:szCs w:val="24"/>
        </w:rPr>
        <w:t xml:space="preserve"> </w:t>
      </w:r>
      <w:r w:rsidR="00CB1B8F" w:rsidRPr="00D25D44">
        <w:rPr>
          <w:rFonts w:cs="Times New Roman"/>
          <w:szCs w:val="24"/>
        </w:rPr>
        <w:t xml:space="preserve">Se trata de una probabilidad de sobrevivencia a una edad establecida que se hace de forma objetiva y </w:t>
      </w:r>
      <w:r w:rsidR="00290EE5" w:rsidRPr="00D25D44">
        <w:rPr>
          <w:rFonts w:cs="Times New Roman"/>
          <w:szCs w:val="24"/>
        </w:rPr>
        <w:t>si ningún tipo de sesgo ni discriminación.</w:t>
      </w:r>
    </w:p>
    <w:p w14:paraId="6F6B51C6" w14:textId="3B846FD7" w:rsidR="002F36F7" w:rsidRPr="00D25D44" w:rsidRDefault="00942A25" w:rsidP="0066627E">
      <w:pPr>
        <w:spacing w:line="240" w:lineRule="auto"/>
        <w:jc w:val="both"/>
        <w:rPr>
          <w:rFonts w:cs="Times New Roman"/>
          <w:szCs w:val="24"/>
        </w:rPr>
      </w:pPr>
      <w:r w:rsidRPr="00D25D44">
        <w:rPr>
          <w:rFonts w:cs="Times New Roman"/>
          <w:szCs w:val="24"/>
        </w:rPr>
        <w:t xml:space="preserve"> </w:t>
      </w:r>
      <w:r w:rsidR="00267D82" w:rsidRPr="00D25D44">
        <w:rPr>
          <w:rFonts w:cs="Times New Roman"/>
          <w:szCs w:val="24"/>
        </w:rPr>
        <w:t xml:space="preserve"> </w:t>
      </w:r>
    </w:p>
    <w:p w14:paraId="62C35056" w14:textId="7BC7DEDC" w:rsidR="0085784C" w:rsidRPr="00D25D44" w:rsidRDefault="0085784C" w:rsidP="0066627E">
      <w:pPr>
        <w:spacing w:line="240" w:lineRule="auto"/>
        <w:jc w:val="both"/>
        <w:rPr>
          <w:rFonts w:cs="Times New Roman"/>
          <w:szCs w:val="24"/>
        </w:rPr>
      </w:pPr>
      <w:r w:rsidRPr="006716FB">
        <w:rPr>
          <w:rFonts w:cs="Times New Roman"/>
          <w:szCs w:val="24"/>
        </w:rPr>
        <w:t xml:space="preserve">En conclusión, </w:t>
      </w:r>
      <w:r w:rsidR="000C71D9" w:rsidRPr="006716FB">
        <w:rPr>
          <w:rFonts w:cs="Times New Roman"/>
          <w:szCs w:val="24"/>
        </w:rPr>
        <w:t xml:space="preserve">el retiro programado </w:t>
      </w:r>
      <w:r w:rsidR="005B6D4A" w:rsidRPr="006716FB">
        <w:rPr>
          <w:rFonts w:cs="Times New Roman"/>
          <w:szCs w:val="24"/>
        </w:rPr>
        <w:t xml:space="preserve">personal </w:t>
      </w:r>
      <w:r w:rsidR="000C71D9" w:rsidRPr="006716FB">
        <w:rPr>
          <w:rFonts w:cs="Times New Roman"/>
          <w:szCs w:val="24"/>
        </w:rPr>
        <w:t xml:space="preserve">establecido en el </w:t>
      </w:r>
      <w:r w:rsidR="00073450">
        <w:rPr>
          <w:rFonts w:cs="Times New Roman"/>
          <w:szCs w:val="24"/>
        </w:rPr>
        <w:t>R</w:t>
      </w:r>
      <w:r w:rsidR="000C71D9" w:rsidRPr="006716FB">
        <w:rPr>
          <w:rFonts w:cs="Times New Roman"/>
          <w:szCs w:val="24"/>
        </w:rPr>
        <w:t>eglamento</w:t>
      </w:r>
      <w:r w:rsidR="00DF7C58" w:rsidRPr="006716FB">
        <w:rPr>
          <w:rFonts w:cs="Times New Roman"/>
          <w:szCs w:val="24"/>
        </w:rPr>
        <w:t xml:space="preserve"> </w:t>
      </w:r>
      <w:r w:rsidR="00073450">
        <w:rPr>
          <w:rFonts w:cs="Times New Roman"/>
          <w:szCs w:val="24"/>
        </w:rPr>
        <w:t xml:space="preserve">de Beneficios </w:t>
      </w:r>
      <w:r w:rsidR="00DF7C58" w:rsidRPr="006716FB">
        <w:rPr>
          <w:rFonts w:cs="Times New Roman"/>
          <w:szCs w:val="24"/>
        </w:rPr>
        <w:t xml:space="preserve">responde a </w:t>
      </w:r>
      <w:r w:rsidR="002A4D43" w:rsidRPr="006716FB">
        <w:rPr>
          <w:rFonts w:cs="Times New Roman"/>
          <w:szCs w:val="24"/>
        </w:rPr>
        <w:t>las reglas de la</w:t>
      </w:r>
      <w:r w:rsidR="00DF7C58" w:rsidRPr="006716FB">
        <w:rPr>
          <w:rFonts w:cs="Times New Roman"/>
          <w:szCs w:val="24"/>
        </w:rPr>
        <w:t xml:space="preserve"> </w:t>
      </w:r>
      <w:r w:rsidR="002A4D43" w:rsidRPr="006716FB">
        <w:rPr>
          <w:rFonts w:cs="Times New Roman"/>
          <w:szCs w:val="24"/>
        </w:rPr>
        <w:t>ciencia actuarial</w:t>
      </w:r>
      <w:r w:rsidR="00AA7152" w:rsidRPr="006716FB">
        <w:rPr>
          <w:rFonts w:cs="Times New Roman"/>
          <w:szCs w:val="24"/>
        </w:rPr>
        <w:t>,</w:t>
      </w:r>
      <w:r w:rsidR="002A0FBC" w:rsidRPr="006716FB">
        <w:rPr>
          <w:rFonts w:cs="Times New Roman"/>
          <w:szCs w:val="24"/>
        </w:rPr>
        <w:t xml:space="preserve"> así como a </w:t>
      </w:r>
      <w:r w:rsidR="002A4D43" w:rsidRPr="006716FB">
        <w:rPr>
          <w:rFonts w:cs="Times New Roman"/>
          <w:szCs w:val="24"/>
        </w:rPr>
        <w:t>principios elementales de justicia, lógica o conveniencia</w:t>
      </w:r>
      <w:r w:rsidR="002A0FBC" w:rsidRPr="006716FB">
        <w:rPr>
          <w:rFonts w:cs="Times New Roman"/>
          <w:szCs w:val="24"/>
        </w:rPr>
        <w:t xml:space="preserve"> en el ámbito de la seguridad social</w:t>
      </w:r>
      <w:r w:rsidR="00AA7152" w:rsidRPr="006716FB">
        <w:rPr>
          <w:rFonts w:cs="Times New Roman"/>
          <w:szCs w:val="24"/>
        </w:rPr>
        <w:t>.</w:t>
      </w:r>
      <w:r w:rsidR="002046A4" w:rsidRPr="006716FB">
        <w:rPr>
          <w:rFonts w:cs="Times New Roman"/>
          <w:szCs w:val="24"/>
        </w:rPr>
        <w:t xml:space="preserve"> </w:t>
      </w:r>
      <w:r w:rsidR="00485615" w:rsidRPr="006716FB">
        <w:rPr>
          <w:rFonts w:cs="Times New Roman"/>
          <w:szCs w:val="24"/>
        </w:rPr>
        <w:t>Sin embargo,</w:t>
      </w:r>
      <w:r w:rsidR="002046A4" w:rsidRPr="006716FB">
        <w:rPr>
          <w:rFonts w:cs="Times New Roman"/>
          <w:szCs w:val="24"/>
        </w:rPr>
        <w:t xml:space="preserve"> lo resuelto en el caso </w:t>
      </w:r>
      <w:r w:rsidR="00822D0A">
        <w:rPr>
          <w:rFonts w:cs="Times New Roman"/>
          <w:szCs w:val="24"/>
        </w:rPr>
        <w:t xml:space="preserve">precedente </w:t>
      </w:r>
      <w:r w:rsidR="002046A4" w:rsidRPr="006716FB">
        <w:rPr>
          <w:rFonts w:cs="Times New Roman"/>
          <w:szCs w:val="24"/>
        </w:rPr>
        <w:t>de</w:t>
      </w:r>
      <w:r w:rsidR="003B7CAA" w:rsidRPr="006716FB">
        <w:rPr>
          <w:rFonts w:cs="Times New Roman"/>
          <w:szCs w:val="24"/>
        </w:rPr>
        <w:t xml:space="preserve"> la afiliada conocido por la Sala Constitucional obligó a </w:t>
      </w:r>
      <w:r w:rsidR="00525225" w:rsidRPr="006716FB">
        <w:rPr>
          <w:rFonts w:cs="Times New Roman"/>
          <w:szCs w:val="24"/>
        </w:rPr>
        <w:t xml:space="preserve">BN Vital OPC a </w:t>
      </w:r>
      <w:r w:rsidR="003B7CAA" w:rsidRPr="006716FB">
        <w:rPr>
          <w:rFonts w:cs="Times New Roman"/>
          <w:szCs w:val="24"/>
        </w:rPr>
        <w:t xml:space="preserve">hacer un cálculo para retirar </w:t>
      </w:r>
      <w:r w:rsidR="00525225" w:rsidRPr="006716FB">
        <w:rPr>
          <w:rFonts w:cs="Times New Roman"/>
          <w:szCs w:val="24"/>
        </w:rPr>
        <w:t>la</w:t>
      </w:r>
      <w:r w:rsidR="003B7CAA" w:rsidRPr="006716FB">
        <w:rPr>
          <w:rFonts w:cs="Times New Roman"/>
          <w:szCs w:val="24"/>
        </w:rPr>
        <w:t xml:space="preserve"> pensión que </w:t>
      </w:r>
      <w:r w:rsidR="003B7CAA" w:rsidRPr="006716FB">
        <w:rPr>
          <w:rFonts w:cs="Times New Roman"/>
          <w:b/>
          <w:szCs w:val="24"/>
        </w:rPr>
        <w:t>no</w:t>
      </w:r>
      <w:r w:rsidR="003B7CAA" w:rsidRPr="006716FB">
        <w:rPr>
          <w:rFonts w:cs="Times New Roman"/>
          <w:szCs w:val="24"/>
        </w:rPr>
        <w:t xml:space="preserve"> toma en cuenta </w:t>
      </w:r>
      <w:r w:rsidR="007365F5" w:rsidRPr="006716FB">
        <w:rPr>
          <w:rFonts w:cs="Times New Roman"/>
          <w:szCs w:val="24"/>
        </w:rPr>
        <w:t>esa regulación</w:t>
      </w:r>
      <w:r w:rsidR="008561EF">
        <w:rPr>
          <w:rFonts w:cs="Times New Roman"/>
          <w:szCs w:val="24"/>
        </w:rPr>
        <w:t>,</w:t>
      </w:r>
      <w:r w:rsidR="007365F5" w:rsidRPr="006716FB">
        <w:rPr>
          <w:rFonts w:cs="Times New Roman"/>
          <w:szCs w:val="24"/>
        </w:rPr>
        <w:t xml:space="preserve"> </w:t>
      </w:r>
      <w:r w:rsidR="00A30784">
        <w:rPr>
          <w:rFonts w:cs="Times New Roman"/>
          <w:szCs w:val="24"/>
        </w:rPr>
        <w:t>ni</w:t>
      </w:r>
      <w:r w:rsidR="00A30784" w:rsidRPr="009040A0">
        <w:rPr>
          <w:rFonts w:cs="Times New Roman"/>
          <w:szCs w:val="24"/>
        </w:rPr>
        <w:t xml:space="preserve"> la probabilidad de muerte de la interesada este año y los siguientes, sino la esperanza de vida de una niña nacida en el 2018</w:t>
      </w:r>
      <w:r w:rsidR="003B7CAA" w:rsidRPr="006716FB">
        <w:rPr>
          <w:rFonts w:cs="Times New Roman"/>
          <w:szCs w:val="24"/>
        </w:rPr>
        <w:t>.</w:t>
      </w:r>
      <w:r w:rsidR="00F27B36" w:rsidRPr="00F27B36">
        <w:rPr>
          <w:rFonts w:cs="Times New Roman"/>
          <w:szCs w:val="24"/>
        </w:rPr>
        <w:t xml:space="preserve"> </w:t>
      </w:r>
    </w:p>
    <w:p w14:paraId="27493089" w14:textId="28CA8BB8" w:rsidR="00AA7152" w:rsidRDefault="00AA7152" w:rsidP="0066627E">
      <w:pPr>
        <w:spacing w:line="240" w:lineRule="auto"/>
        <w:jc w:val="both"/>
        <w:rPr>
          <w:rFonts w:cs="Times New Roman"/>
          <w:szCs w:val="24"/>
        </w:rPr>
      </w:pPr>
    </w:p>
    <w:p w14:paraId="7D5EE2EA" w14:textId="77777777" w:rsidR="00472AE9" w:rsidRPr="00D25D44" w:rsidRDefault="00472AE9" w:rsidP="0066627E">
      <w:pPr>
        <w:spacing w:line="240" w:lineRule="auto"/>
        <w:jc w:val="both"/>
        <w:rPr>
          <w:rFonts w:cs="Times New Roman"/>
          <w:szCs w:val="24"/>
        </w:rPr>
      </w:pPr>
    </w:p>
    <w:p w14:paraId="40A6D779" w14:textId="5B43CACB" w:rsidR="00CE20DB" w:rsidRPr="00424EDE" w:rsidRDefault="006B0086" w:rsidP="00424EDE">
      <w:pPr>
        <w:pStyle w:val="Prrafodelista"/>
        <w:numPr>
          <w:ilvl w:val="0"/>
          <w:numId w:val="1"/>
        </w:numPr>
        <w:spacing w:line="240" w:lineRule="auto"/>
        <w:jc w:val="both"/>
        <w:rPr>
          <w:rFonts w:ascii="Times New Roman" w:hAnsi="Times New Roman" w:cs="Times New Roman"/>
          <w:b/>
          <w:szCs w:val="24"/>
        </w:rPr>
      </w:pPr>
      <w:r w:rsidRPr="00424EDE">
        <w:rPr>
          <w:rFonts w:ascii="Times New Roman" w:hAnsi="Times New Roman" w:cs="Times New Roman"/>
          <w:b/>
          <w:sz w:val="24"/>
          <w:szCs w:val="24"/>
        </w:rPr>
        <w:t>Obligatoriedad de los precedentes y jurisprudencia de la Sala Constitucional</w:t>
      </w:r>
    </w:p>
    <w:p w14:paraId="52C7A8B5" w14:textId="45CE22BD" w:rsidR="006B0086" w:rsidRDefault="00443735" w:rsidP="0066627E">
      <w:pPr>
        <w:spacing w:line="240" w:lineRule="auto"/>
        <w:jc w:val="both"/>
        <w:rPr>
          <w:rFonts w:cs="Times New Roman"/>
          <w:szCs w:val="24"/>
        </w:rPr>
      </w:pPr>
      <w:r>
        <w:rPr>
          <w:rFonts w:cs="Times New Roman"/>
          <w:szCs w:val="24"/>
        </w:rPr>
        <w:t>A pesar de los razonamientos expue</w:t>
      </w:r>
      <w:r w:rsidR="0015712C">
        <w:rPr>
          <w:rFonts w:cs="Times New Roman"/>
          <w:szCs w:val="24"/>
        </w:rPr>
        <w:t xml:space="preserve">stos, </w:t>
      </w:r>
      <w:r w:rsidR="0015712C" w:rsidRPr="00940096">
        <w:rPr>
          <w:rFonts w:cs="Times New Roman"/>
          <w:szCs w:val="24"/>
        </w:rPr>
        <w:t xml:space="preserve">esta asesoría debe valorar </w:t>
      </w:r>
      <w:r w:rsidR="0015712C">
        <w:rPr>
          <w:rFonts w:cs="Times New Roman"/>
          <w:szCs w:val="24"/>
        </w:rPr>
        <w:t>si</w:t>
      </w:r>
      <w:r w:rsidR="00940096" w:rsidRPr="00940096">
        <w:rPr>
          <w:rFonts w:cs="Times New Roman"/>
          <w:szCs w:val="24"/>
        </w:rPr>
        <w:t xml:space="preserve"> la resolución citada de la Sala Constitucional, como precedente puede ser aplicada a otros casos.</w:t>
      </w:r>
    </w:p>
    <w:p w14:paraId="22CE5044" w14:textId="77777777" w:rsidR="00940096" w:rsidRPr="00D25D44" w:rsidRDefault="00940096" w:rsidP="0066627E">
      <w:pPr>
        <w:spacing w:line="240" w:lineRule="auto"/>
        <w:jc w:val="both"/>
        <w:rPr>
          <w:rFonts w:cs="Times New Roman"/>
          <w:szCs w:val="24"/>
        </w:rPr>
      </w:pPr>
    </w:p>
    <w:p w14:paraId="7CF4525C" w14:textId="2F7DFC8C" w:rsidR="005A4A56" w:rsidRPr="00D25D44" w:rsidRDefault="005A4A56" w:rsidP="0066627E">
      <w:pPr>
        <w:spacing w:line="240" w:lineRule="auto"/>
        <w:jc w:val="both"/>
        <w:rPr>
          <w:rFonts w:cs="Times New Roman"/>
          <w:szCs w:val="24"/>
        </w:rPr>
      </w:pPr>
      <w:r w:rsidRPr="00D25D44">
        <w:rPr>
          <w:rFonts w:cs="Times New Roman"/>
          <w:szCs w:val="24"/>
        </w:rPr>
        <w:t>La Ley de la Jurisdicción Constitucional establece en el numeral 13:</w:t>
      </w:r>
    </w:p>
    <w:p w14:paraId="0F4E4188" w14:textId="77777777" w:rsidR="005A4A56" w:rsidRPr="00D25D44" w:rsidRDefault="005A4A56" w:rsidP="0066627E">
      <w:pPr>
        <w:spacing w:line="240" w:lineRule="auto"/>
        <w:jc w:val="both"/>
        <w:rPr>
          <w:rFonts w:cs="Times New Roman"/>
          <w:szCs w:val="24"/>
        </w:rPr>
      </w:pPr>
    </w:p>
    <w:p w14:paraId="08FEB457" w14:textId="5F77408D" w:rsidR="006B0086" w:rsidRPr="007926F7" w:rsidRDefault="005A4A56" w:rsidP="007926F7">
      <w:pPr>
        <w:spacing w:line="240" w:lineRule="auto"/>
        <w:ind w:left="284"/>
        <w:jc w:val="both"/>
        <w:rPr>
          <w:rFonts w:cs="Times New Roman"/>
          <w:i/>
          <w:sz w:val="22"/>
        </w:rPr>
      </w:pPr>
      <w:r w:rsidRPr="007926F7">
        <w:rPr>
          <w:rFonts w:cs="Times New Roman"/>
          <w:i/>
          <w:sz w:val="22"/>
        </w:rPr>
        <w:t>Artículo 13. La jurisprudencia y los precedentes de la jurisdicción constitucional son vinculantes erga omnes, salvo para sí misma.</w:t>
      </w:r>
    </w:p>
    <w:p w14:paraId="62C848A4" w14:textId="3C3CE3EE" w:rsidR="00CE20DB" w:rsidRPr="00D25D44" w:rsidRDefault="00CE20DB" w:rsidP="0066627E">
      <w:pPr>
        <w:spacing w:line="240" w:lineRule="auto"/>
        <w:jc w:val="both"/>
        <w:rPr>
          <w:rFonts w:cs="Times New Roman"/>
          <w:szCs w:val="24"/>
        </w:rPr>
      </w:pPr>
    </w:p>
    <w:p w14:paraId="1D41592C" w14:textId="77777777" w:rsidR="00472AE9" w:rsidRDefault="00472AE9" w:rsidP="0066627E">
      <w:pPr>
        <w:spacing w:line="240" w:lineRule="auto"/>
        <w:jc w:val="both"/>
        <w:rPr>
          <w:rFonts w:cs="Times New Roman"/>
          <w:szCs w:val="24"/>
        </w:rPr>
      </w:pPr>
    </w:p>
    <w:p w14:paraId="0700F11D" w14:textId="7DD631CC" w:rsidR="00CE20DB" w:rsidRPr="00D25D44" w:rsidRDefault="004C62A3" w:rsidP="0066627E">
      <w:pPr>
        <w:spacing w:line="240" w:lineRule="auto"/>
        <w:jc w:val="both"/>
        <w:rPr>
          <w:rFonts w:cs="Times New Roman"/>
          <w:szCs w:val="24"/>
        </w:rPr>
      </w:pPr>
      <w:r w:rsidRPr="00D25D44">
        <w:rPr>
          <w:rFonts w:cs="Times New Roman"/>
          <w:szCs w:val="24"/>
        </w:rPr>
        <w:lastRenderedPageBreak/>
        <w:t>Al respecto, la Sala Constitucional ha indicado:</w:t>
      </w:r>
    </w:p>
    <w:p w14:paraId="20ED8B2A" w14:textId="5A9EA607" w:rsidR="004C62A3" w:rsidRPr="00D25D44" w:rsidRDefault="004C62A3" w:rsidP="0066627E">
      <w:pPr>
        <w:spacing w:line="240" w:lineRule="auto"/>
        <w:jc w:val="both"/>
        <w:rPr>
          <w:rFonts w:cs="Times New Roman"/>
          <w:szCs w:val="24"/>
        </w:rPr>
      </w:pPr>
    </w:p>
    <w:p w14:paraId="135450B5" w14:textId="37705F91" w:rsidR="004C62A3" w:rsidRPr="007926F7" w:rsidRDefault="00B44B84" w:rsidP="007926F7">
      <w:pPr>
        <w:spacing w:line="240" w:lineRule="auto"/>
        <w:ind w:left="284"/>
        <w:jc w:val="both"/>
        <w:rPr>
          <w:rFonts w:cs="Times New Roman"/>
          <w:sz w:val="22"/>
        </w:rPr>
      </w:pPr>
      <w:r w:rsidRPr="007926F7">
        <w:rPr>
          <w:rFonts w:cs="Times New Roman"/>
          <w:i/>
          <w:sz w:val="22"/>
        </w:rPr>
        <w:t>En todo caso, según se apuntó, al tener las sentencias de la Sala Constitucional, incluso las vertidas en el proceso de amparo, una eficacia vinculante erga omnes (artículo 13 de la Ley de la Jurisdicción Constitucional), sus efectos se extienden, sin excepción a todos los sujetos del ordenamiento jurídico, tanto las partes principales o accesorias como a todos los que no participaron en el proceso, de manera que en materia constitucional la identidad absoluta y rígida de los sujetos se encuentra matizada por esa eficacia extraordinaria (eficacia absoluta y general de la cosa juzgada constitucional), diferente a la que opera en la mayoría de los procesos comunes donde rige la relatividad de la cosa juzgada, sea esta solo se extiende, estrictamente, a las partes principales o accesorias (eficacia relativa de la cosa juzgada en la jurisdicción común u ordinaria</w:t>
      </w:r>
      <w:r w:rsidR="0061218E" w:rsidRPr="007926F7">
        <w:rPr>
          <w:rFonts w:cs="Times New Roman"/>
          <w:sz w:val="22"/>
        </w:rPr>
        <w:t xml:space="preserve"> (Voto </w:t>
      </w:r>
      <w:r w:rsidR="0046106F" w:rsidRPr="007926F7">
        <w:rPr>
          <w:rFonts w:cs="Times New Roman"/>
          <w:sz w:val="22"/>
        </w:rPr>
        <w:t>012825-2014)</w:t>
      </w:r>
      <w:r w:rsidR="00095FD8" w:rsidRPr="007926F7">
        <w:rPr>
          <w:rFonts w:cs="Times New Roman"/>
          <w:sz w:val="22"/>
        </w:rPr>
        <w:t>.</w:t>
      </w:r>
    </w:p>
    <w:p w14:paraId="2F6AEEB1" w14:textId="12B5A8AC" w:rsidR="002F36F7" w:rsidRPr="00D25D44" w:rsidRDefault="002F36F7" w:rsidP="0066627E">
      <w:pPr>
        <w:spacing w:line="240" w:lineRule="auto"/>
        <w:jc w:val="both"/>
        <w:rPr>
          <w:rFonts w:cs="Times New Roman"/>
          <w:szCs w:val="24"/>
        </w:rPr>
      </w:pPr>
    </w:p>
    <w:p w14:paraId="5E147D17" w14:textId="317C9255" w:rsidR="00B853E6" w:rsidRPr="007926F7" w:rsidRDefault="00B853E6" w:rsidP="007926F7">
      <w:pPr>
        <w:spacing w:line="240" w:lineRule="auto"/>
        <w:ind w:left="284"/>
        <w:jc w:val="both"/>
        <w:rPr>
          <w:rFonts w:cs="Times New Roman"/>
          <w:sz w:val="22"/>
        </w:rPr>
      </w:pPr>
      <w:r w:rsidRPr="007926F7">
        <w:rPr>
          <w:rFonts w:cs="Times New Roman"/>
          <w:i/>
          <w:sz w:val="22"/>
        </w:rPr>
        <w:t>II.</w:t>
      </w:r>
      <w:r w:rsidR="00077D34" w:rsidRPr="007926F7">
        <w:rPr>
          <w:rFonts w:cs="Times New Roman"/>
          <w:i/>
          <w:sz w:val="22"/>
        </w:rPr>
        <w:t xml:space="preserve"> </w:t>
      </w:r>
      <w:r w:rsidRPr="007926F7">
        <w:rPr>
          <w:rFonts w:cs="Times New Roman"/>
          <w:i/>
          <w:sz w:val="22"/>
        </w:rPr>
        <w:t>En todo caso, no está demás recordar a la petente que ninguna importancia tiene el hecho de que sus mandatarios no hayan sido parte en el proceso de amparo en que recayó el precedente, si la condición jurídica en que se encuentran es la misma de quienes si figuran en él. Lo anterior en razón de la eficacia erga omnes que la ley atribuye a los pronunciamientos de esta Sala (artículo 13), que determina que quienes se encuentren en la misma situación que los que recurren en cualquier dependencia de la Administración Pública, deben ser beneficiados “en acatamiento del fallo y el artículo citado” con lo resuelto en la sentencia.</w:t>
      </w:r>
      <w:r w:rsidRPr="007926F7">
        <w:rPr>
          <w:rFonts w:cs="Times New Roman"/>
          <w:sz w:val="22"/>
        </w:rPr>
        <w:t xml:space="preserve"> (Voto </w:t>
      </w:r>
      <w:r w:rsidR="00077D34" w:rsidRPr="007926F7">
        <w:rPr>
          <w:rFonts w:cs="Times New Roman"/>
          <w:sz w:val="22"/>
        </w:rPr>
        <w:t>00279-I-98).</w:t>
      </w:r>
    </w:p>
    <w:p w14:paraId="46EE8B7F" w14:textId="0F57270E" w:rsidR="00B853E6" w:rsidRPr="007926F7" w:rsidRDefault="00B853E6" w:rsidP="007926F7">
      <w:pPr>
        <w:spacing w:line="240" w:lineRule="auto"/>
        <w:ind w:left="284"/>
        <w:jc w:val="both"/>
        <w:rPr>
          <w:rFonts w:cs="Times New Roman"/>
          <w:sz w:val="22"/>
        </w:rPr>
      </w:pPr>
    </w:p>
    <w:p w14:paraId="1D81F158" w14:textId="03E075B1" w:rsidR="00077D34" w:rsidRPr="007926F7" w:rsidRDefault="00F9101E" w:rsidP="007926F7">
      <w:pPr>
        <w:spacing w:line="240" w:lineRule="auto"/>
        <w:ind w:left="284"/>
        <w:jc w:val="both"/>
        <w:rPr>
          <w:rFonts w:cs="Times New Roman"/>
          <w:sz w:val="22"/>
        </w:rPr>
      </w:pPr>
      <w:r w:rsidRPr="007926F7">
        <w:rPr>
          <w:rFonts w:cs="Times New Roman"/>
          <w:i/>
          <w:sz w:val="22"/>
        </w:rPr>
        <w:t>Se hace la indicación, conforme a lo que ya ha dispuesto esta Sala, que la vinculatoriedad que caracteriza a la jurisprudencia constitucional, se refiere tanto a la parte considerativa como dispositiva de la sentencia, en el tanto que aquélla claramente condiciona y determina ésta (artículo 13 de la Ley de Jurisdicción Constitucional)</w:t>
      </w:r>
      <w:r w:rsidRPr="007926F7">
        <w:rPr>
          <w:rFonts w:cs="Times New Roman"/>
          <w:sz w:val="22"/>
        </w:rPr>
        <w:t xml:space="preserve"> (Voto </w:t>
      </w:r>
      <w:r w:rsidR="00FA3A84" w:rsidRPr="007926F7">
        <w:rPr>
          <w:rFonts w:cs="Times New Roman"/>
          <w:sz w:val="22"/>
        </w:rPr>
        <w:t>7062-95).</w:t>
      </w:r>
    </w:p>
    <w:p w14:paraId="611F15E7" w14:textId="77777777" w:rsidR="00077D34" w:rsidRPr="007926F7" w:rsidRDefault="00077D34" w:rsidP="007926F7">
      <w:pPr>
        <w:autoSpaceDE w:val="0"/>
        <w:autoSpaceDN w:val="0"/>
        <w:adjustRightInd w:val="0"/>
        <w:spacing w:line="240" w:lineRule="auto"/>
        <w:ind w:left="284"/>
        <w:jc w:val="both"/>
        <w:rPr>
          <w:rFonts w:cs="Times New Roman"/>
          <w:i/>
          <w:sz w:val="22"/>
          <w:lang w:val="es-CR"/>
        </w:rPr>
      </w:pPr>
    </w:p>
    <w:p w14:paraId="52869300" w14:textId="3AAA1535" w:rsidR="00077D34" w:rsidRPr="007926F7" w:rsidRDefault="003B5EED" w:rsidP="007926F7">
      <w:pPr>
        <w:autoSpaceDE w:val="0"/>
        <w:autoSpaceDN w:val="0"/>
        <w:adjustRightInd w:val="0"/>
        <w:spacing w:line="240" w:lineRule="auto"/>
        <w:ind w:left="284"/>
        <w:jc w:val="both"/>
        <w:rPr>
          <w:rFonts w:cs="Times New Roman"/>
          <w:sz w:val="22"/>
          <w:lang w:val="es-CR"/>
        </w:rPr>
      </w:pPr>
      <w:r w:rsidRPr="007926F7">
        <w:rPr>
          <w:rFonts w:cs="Times New Roman"/>
          <w:i/>
          <w:sz w:val="22"/>
          <w:lang w:val="es-CR"/>
        </w:rPr>
        <w:t>Se da, eso sí, la particularidad de que los precedentes cubren tanto aquéllos provenientes de la vía del amparo, primeros en el tiempo, y que en realidad determinaron lo resuelto en la  acción de inconstitucionalidad citada. De toda suerte, no importa diferenciar el tipo de precedente o la proveniencia de la jurisprudencia constitucional. Sea, en uno u otro caso, se ha ido decantando una doctrina,  y no obstante que los efectos de uno u otro difieren, desde que en la primera vía procesal (inconstitucionalidad) la sentencia estimatoria es anulatoria y con carácter retroactivo a la fecha de vigencia de la norma impugnada, que en la segunda (amparo) lo resuelto implica una orden inmediata y directa a la autoridad autora del acto o decisión concreta y particularizada, lo cierto es que el artículo 13 de la Ley que rige esta jurisdicción dispone (con carácter general, valedero para toda la jurisprudencia constitucional) que "La jurisprudencia y precedentes de la jurisdicción constitucional son vinculantes erga omnes, salvo para sí misma".</w:t>
      </w:r>
      <w:r w:rsidRPr="007926F7">
        <w:rPr>
          <w:rFonts w:cs="Times New Roman"/>
          <w:sz w:val="22"/>
          <w:lang w:val="es-CR"/>
        </w:rPr>
        <w:t xml:space="preserve"> (Voto </w:t>
      </w:r>
      <w:r w:rsidR="007F78A8" w:rsidRPr="007926F7">
        <w:rPr>
          <w:rFonts w:cs="Times New Roman"/>
          <w:sz w:val="22"/>
          <w:lang w:val="es-CR"/>
        </w:rPr>
        <w:t>0927-94).</w:t>
      </w:r>
    </w:p>
    <w:p w14:paraId="36663F94" w14:textId="77777777" w:rsidR="003B5EED" w:rsidRPr="007926F7" w:rsidRDefault="003B5EED" w:rsidP="007926F7">
      <w:pPr>
        <w:autoSpaceDE w:val="0"/>
        <w:autoSpaceDN w:val="0"/>
        <w:adjustRightInd w:val="0"/>
        <w:spacing w:line="240" w:lineRule="auto"/>
        <w:ind w:left="284"/>
        <w:jc w:val="both"/>
        <w:rPr>
          <w:rFonts w:cs="Times New Roman"/>
          <w:i/>
          <w:sz w:val="22"/>
          <w:lang w:val="es-CR"/>
        </w:rPr>
      </w:pPr>
    </w:p>
    <w:p w14:paraId="2D52493F" w14:textId="37B0EEF1" w:rsidR="00077D34" w:rsidRPr="007926F7" w:rsidRDefault="00833A0F" w:rsidP="007926F7">
      <w:pPr>
        <w:autoSpaceDE w:val="0"/>
        <w:autoSpaceDN w:val="0"/>
        <w:adjustRightInd w:val="0"/>
        <w:spacing w:line="240" w:lineRule="auto"/>
        <w:ind w:left="284"/>
        <w:jc w:val="both"/>
        <w:rPr>
          <w:rFonts w:cs="Times New Roman"/>
          <w:sz w:val="22"/>
          <w:lang w:val="es-CR"/>
        </w:rPr>
      </w:pPr>
      <w:r w:rsidRPr="007926F7">
        <w:rPr>
          <w:rFonts w:cs="Times New Roman"/>
          <w:i/>
          <w:sz w:val="22"/>
          <w:lang w:val="es-CR"/>
        </w:rPr>
        <w:t xml:space="preserve">Lo más que le puede indicar esta Sala a quien presenta la gestión es que conforme lo dispone el artículo 13 de la Ley de la Jurisdicción Constitucional, la jurisprudencia y los precedentes de la Sala son vinculantes "erga omnes" salvo para sí mismo, de tal forma que quienes se encontraren en la misma situación que los recurrentes en cualquier dependencia de la administración pública, deben ser beneficiados -en acatamiento al fallo y al artículo citado- con lo resuelto en la sentencia; pero si no pudieren obtener ese beneficio por negativa de la administración a </w:t>
      </w:r>
      <w:r w:rsidRPr="007926F7">
        <w:rPr>
          <w:rFonts w:cs="Times New Roman"/>
          <w:i/>
          <w:sz w:val="22"/>
          <w:lang w:val="es-CR"/>
        </w:rPr>
        <w:lastRenderedPageBreak/>
        <w:t>declararlo en su favor, pueden plantear acción de amparo  citando como antecedente la resolución 341-91 de esta Sala.</w:t>
      </w:r>
      <w:r w:rsidRPr="007926F7">
        <w:rPr>
          <w:rFonts w:cs="Times New Roman"/>
          <w:sz w:val="22"/>
          <w:lang w:val="es-CR"/>
        </w:rPr>
        <w:t xml:space="preserve"> (Voto </w:t>
      </w:r>
      <w:r w:rsidR="002E147F" w:rsidRPr="007926F7">
        <w:rPr>
          <w:rFonts w:cs="Times New Roman"/>
          <w:sz w:val="22"/>
          <w:lang w:val="es-CR"/>
        </w:rPr>
        <w:t>115-92).</w:t>
      </w:r>
    </w:p>
    <w:p w14:paraId="20475EC1" w14:textId="3676E7D4" w:rsidR="00DC2C0A" w:rsidRPr="00D25D44" w:rsidRDefault="00DC2C0A" w:rsidP="00DC2C0A">
      <w:pPr>
        <w:autoSpaceDE w:val="0"/>
        <w:autoSpaceDN w:val="0"/>
        <w:adjustRightInd w:val="0"/>
        <w:spacing w:line="240" w:lineRule="auto"/>
        <w:jc w:val="both"/>
        <w:rPr>
          <w:rFonts w:cs="Times New Roman"/>
          <w:szCs w:val="24"/>
          <w:lang w:val="es-CR"/>
        </w:rPr>
      </w:pPr>
    </w:p>
    <w:p w14:paraId="0AA88A28" w14:textId="1F16B093" w:rsidR="00DC2C0A" w:rsidRPr="00D25D44" w:rsidRDefault="00DC2C0A" w:rsidP="00DC2C0A">
      <w:pPr>
        <w:autoSpaceDE w:val="0"/>
        <w:autoSpaceDN w:val="0"/>
        <w:adjustRightInd w:val="0"/>
        <w:spacing w:line="240" w:lineRule="auto"/>
        <w:jc w:val="both"/>
        <w:rPr>
          <w:rFonts w:cs="Times New Roman"/>
          <w:szCs w:val="24"/>
          <w:lang w:val="es-CR"/>
        </w:rPr>
      </w:pPr>
      <w:r w:rsidRPr="00D25D44">
        <w:rPr>
          <w:rFonts w:cs="Times New Roman"/>
          <w:szCs w:val="24"/>
          <w:lang w:val="es-CR"/>
        </w:rPr>
        <w:t xml:space="preserve">En este mismo sentido, la doctrina ha señalado que </w:t>
      </w:r>
      <w:r w:rsidR="00966A7A" w:rsidRPr="007926F7">
        <w:rPr>
          <w:rFonts w:cs="Times New Roman"/>
          <w:sz w:val="22"/>
          <w:lang w:val="es-CR"/>
        </w:rPr>
        <w:t>“</w:t>
      </w:r>
      <w:r w:rsidR="00966A7A" w:rsidRPr="007926F7">
        <w:rPr>
          <w:rFonts w:cs="Times New Roman"/>
          <w:i/>
          <w:sz w:val="22"/>
          <w:lang w:val="es-CR"/>
        </w:rPr>
        <w:t>nuestro máximo intérprete de la Constitución ha señalado que sus fallos son</w:t>
      </w:r>
      <w:r w:rsidR="00C169BE" w:rsidRPr="007926F7">
        <w:rPr>
          <w:rFonts w:cs="Times New Roman"/>
          <w:i/>
          <w:sz w:val="22"/>
          <w:lang w:val="es-CR"/>
        </w:rPr>
        <w:t xml:space="preserve"> </w:t>
      </w:r>
      <w:r w:rsidR="00966A7A" w:rsidRPr="007926F7">
        <w:rPr>
          <w:rFonts w:cs="Times New Roman"/>
          <w:i/>
          <w:sz w:val="22"/>
          <w:lang w:val="es-CR"/>
        </w:rPr>
        <w:t>aplicables a quienes no fueron parte en el expediente, pero que se encuentran</w:t>
      </w:r>
      <w:r w:rsidR="00C169BE" w:rsidRPr="007926F7">
        <w:rPr>
          <w:rFonts w:cs="Times New Roman"/>
          <w:i/>
          <w:sz w:val="22"/>
          <w:lang w:val="es-CR"/>
        </w:rPr>
        <w:t xml:space="preserve"> </w:t>
      </w:r>
      <w:r w:rsidR="00966A7A" w:rsidRPr="007926F7">
        <w:rPr>
          <w:rFonts w:cs="Times New Roman"/>
          <w:i/>
          <w:sz w:val="22"/>
          <w:lang w:val="es-CR"/>
        </w:rPr>
        <w:t>en la misma condición</w:t>
      </w:r>
      <w:r w:rsidR="00966A7A" w:rsidRPr="007926F7">
        <w:rPr>
          <w:rFonts w:cs="Times New Roman"/>
          <w:sz w:val="22"/>
          <w:lang w:val="es-CR"/>
        </w:rPr>
        <w:t>”</w:t>
      </w:r>
      <w:r w:rsidR="00EF1872" w:rsidRPr="00D25D44">
        <w:rPr>
          <w:rStyle w:val="Refdenotaalpie"/>
          <w:rFonts w:cs="Times New Roman"/>
          <w:szCs w:val="24"/>
          <w:lang w:val="es-CR"/>
        </w:rPr>
        <w:footnoteReference w:id="8"/>
      </w:r>
      <w:r w:rsidR="00966A7A" w:rsidRPr="00D25D44">
        <w:rPr>
          <w:rFonts w:cs="Times New Roman"/>
          <w:szCs w:val="24"/>
          <w:lang w:val="es-CR"/>
        </w:rPr>
        <w:t>.</w:t>
      </w:r>
    </w:p>
    <w:p w14:paraId="4868A571" w14:textId="77777777" w:rsidR="007F78A8" w:rsidRPr="00D25D44" w:rsidRDefault="007F78A8" w:rsidP="0066627E">
      <w:pPr>
        <w:autoSpaceDE w:val="0"/>
        <w:autoSpaceDN w:val="0"/>
        <w:adjustRightInd w:val="0"/>
        <w:spacing w:line="240" w:lineRule="auto"/>
        <w:jc w:val="both"/>
        <w:rPr>
          <w:rFonts w:cs="Times New Roman"/>
          <w:i/>
          <w:szCs w:val="24"/>
          <w:lang w:val="es-CR"/>
        </w:rPr>
      </w:pPr>
    </w:p>
    <w:p w14:paraId="298B8737" w14:textId="6450A323" w:rsidR="008107F4" w:rsidRPr="008107F4" w:rsidRDefault="008107F4" w:rsidP="008107F4">
      <w:pPr>
        <w:pStyle w:val="Prrafodelista"/>
        <w:numPr>
          <w:ilvl w:val="0"/>
          <w:numId w:val="1"/>
        </w:numPr>
        <w:spacing w:line="240" w:lineRule="auto"/>
        <w:jc w:val="both"/>
        <w:rPr>
          <w:rFonts w:ascii="Times New Roman" w:hAnsi="Times New Roman" w:cs="Times New Roman"/>
          <w:b/>
          <w:szCs w:val="24"/>
        </w:rPr>
      </w:pPr>
      <w:r w:rsidRPr="008107F4">
        <w:rPr>
          <w:rFonts w:ascii="Times New Roman" w:hAnsi="Times New Roman" w:cs="Times New Roman"/>
          <w:b/>
          <w:sz w:val="24"/>
          <w:szCs w:val="24"/>
        </w:rPr>
        <w:t>Comparación del caso consultado con el precedente</w:t>
      </w:r>
    </w:p>
    <w:p w14:paraId="17E5C078" w14:textId="6A1A2A5D" w:rsidR="002E147F" w:rsidRPr="00D25D44" w:rsidRDefault="00015F3F" w:rsidP="0066627E">
      <w:pPr>
        <w:autoSpaceDE w:val="0"/>
        <w:autoSpaceDN w:val="0"/>
        <w:adjustRightInd w:val="0"/>
        <w:spacing w:line="240" w:lineRule="auto"/>
        <w:jc w:val="both"/>
        <w:rPr>
          <w:rFonts w:cs="Times New Roman"/>
          <w:szCs w:val="24"/>
          <w:lang w:val="es-CR"/>
        </w:rPr>
      </w:pPr>
      <w:r w:rsidRPr="00D25D44">
        <w:rPr>
          <w:rFonts w:cs="Times New Roman"/>
          <w:szCs w:val="24"/>
          <w:lang w:val="es-CR"/>
        </w:rPr>
        <w:t>Para la aplicación erga omnes de este precedente establecido en el voto 1</w:t>
      </w:r>
      <w:r w:rsidR="00F3770F">
        <w:rPr>
          <w:rFonts w:cs="Times New Roman"/>
          <w:szCs w:val="24"/>
          <w:lang w:val="es-CR"/>
        </w:rPr>
        <w:t>2</w:t>
      </w:r>
      <w:r w:rsidRPr="00D25D44">
        <w:rPr>
          <w:rFonts w:cs="Times New Roman"/>
          <w:szCs w:val="24"/>
          <w:lang w:val="es-CR"/>
        </w:rPr>
        <w:t>226-2019</w:t>
      </w:r>
      <w:r w:rsidR="00820B3E" w:rsidRPr="00D25D44">
        <w:rPr>
          <w:rFonts w:cs="Times New Roman"/>
          <w:szCs w:val="24"/>
          <w:lang w:val="es-CR"/>
        </w:rPr>
        <w:t>, se debe confrontar las condiciones del afiliado con el presupuesto valorado por la Sala</w:t>
      </w:r>
      <w:r w:rsidR="00D70EEE" w:rsidRPr="00D25D44">
        <w:rPr>
          <w:rFonts w:cs="Times New Roman"/>
          <w:szCs w:val="24"/>
          <w:lang w:val="es-CR"/>
        </w:rPr>
        <w:t>.</w:t>
      </w:r>
    </w:p>
    <w:p w14:paraId="33091E83" w14:textId="77777777" w:rsidR="00AB5F89" w:rsidRDefault="00AB5F89" w:rsidP="00AB5F89">
      <w:pPr>
        <w:tabs>
          <w:tab w:val="left" w:pos="1056"/>
        </w:tabs>
      </w:pPr>
    </w:p>
    <w:p w14:paraId="7FE445C7" w14:textId="77777777" w:rsidR="00AB5F89" w:rsidRPr="000D4C0C" w:rsidRDefault="00AB5F89" w:rsidP="00AB5F89">
      <w:pPr>
        <w:tabs>
          <w:tab w:val="left" w:pos="1056"/>
        </w:tabs>
        <w:jc w:val="center"/>
        <w:rPr>
          <w:b/>
          <w:sz w:val="22"/>
        </w:rPr>
      </w:pPr>
      <w:r w:rsidRPr="000D4C0C">
        <w:rPr>
          <w:b/>
          <w:sz w:val="22"/>
        </w:rPr>
        <w:t>Cuadro 2. Comparación del precedente con el caso consultado</w:t>
      </w:r>
    </w:p>
    <w:tbl>
      <w:tblPr>
        <w:tblStyle w:val="Listavistosa-nfasis6"/>
        <w:tblW w:w="0" w:type="auto"/>
        <w:tblLook w:val="04A0" w:firstRow="1" w:lastRow="0" w:firstColumn="1" w:lastColumn="0" w:noHBand="0" w:noVBand="1"/>
      </w:tblPr>
      <w:tblGrid>
        <w:gridCol w:w="2942"/>
        <w:gridCol w:w="2445"/>
        <w:gridCol w:w="3441"/>
      </w:tblGrid>
      <w:tr w:rsidR="00AB5F89" w:rsidRPr="000D4C0C" w14:paraId="022DF61C" w14:textId="77777777" w:rsidTr="007B3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44546A" w:themeFill="text2"/>
          </w:tcPr>
          <w:p w14:paraId="7355DA5A" w14:textId="77777777" w:rsidR="00AB5F89" w:rsidRPr="000D4C0C" w:rsidRDefault="00AB5F89" w:rsidP="007B3D18">
            <w:pPr>
              <w:autoSpaceDE w:val="0"/>
              <w:autoSpaceDN w:val="0"/>
              <w:adjustRightInd w:val="0"/>
              <w:spacing w:line="240" w:lineRule="auto"/>
              <w:jc w:val="both"/>
              <w:rPr>
                <w:rFonts w:cs="Times New Roman"/>
                <w:sz w:val="22"/>
              </w:rPr>
            </w:pPr>
          </w:p>
        </w:tc>
        <w:tc>
          <w:tcPr>
            <w:tcW w:w="2445" w:type="dxa"/>
            <w:shd w:val="clear" w:color="auto" w:fill="44546A" w:themeFill="text2"/>
          </w:tcPr>
          <w:p w14:paraId="3FA6A0A9" w14:textId="366CE49F" w:rsidR="00AB5F89" w:rsidRPr="000D4C0C" w:rsidRDefault="00AB5F89" w:rsidP="007B3D18">
            <w:pPr>
              <w:autoSpaceDE w:val="0"/>
              <w:autoSpaceDN w:val="0"/>
              <w:adjustRightInd w:val="0"/>
              <w:spacing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i/>
                <w:sz w:val="22"/>
              </w:rPr>
            </w:pPr>
            <w:r w:rsidRPr="000D4C0C">
              <w:rPr>
                <w:rFonts w:cs="Times New Roman"/>
                <w:sz w:val="22"/>
              </w:rPr>
              <w:t xml:space="preserve">Caso </w:t>
            </w:r>
            <w:r w:rsidR="00F5047A" w:rsidRPr="000D4C0C">
              <w:rPr>
                <w:rFonts w:cs="Times New Roman"/>
                <w:sz w:val="22"/>
              </w:rPr>
              <w:t>del precedente</w:t>
            </w:r>
          </w:p>
        </w:tc>
        <w:tc>
          <w:tcPr>
            <w:tcW w:w="3441" w:type="dxa"/>
            <w:shd w:val="clear" w:color="auto" w:fill="44546A" w:themeFill="text2"/>
          </w:tcPr>
          <w:p w14:paraId="766E57DF" w14:textId="71702F86" w:rsidR="00AB5F89" w:rsidRPr="000D4C0C" w:rsidRDefault="00AB5F89" w:rsidP="007B3D18">
            <w:pPr>
              <w:autoSpaceDE w:val="0"/>
              <w:autoSpaceDN w:val="0"/>
              <w:adjustRightInd w:val="0"/>
              <w:spacing w:line="240" w:lineRule="auto"/>
              <w:jc w:val="both"/>
              <w:cnfStyle w:val="100000000000" w:firstRow="1" w:lastRow="0" w:firstColumn="0" w:lastColumn="0" w:oddVBand="0" w:evenVBand="0" w:oddHBand="0" w:evenHBand="0" w:firstRowFirstColumn="0" w:firstRowLastColumn="0" w:lastRowFirstColumn="0" w:lastRowLastColumn="0"/>
              <w:rPr>
                <w:rFonts w:cs="Times New Roman"/>
                <w:b w:val="0"/>
                <w:i/>
                <w:sz w:val="22"/>
              </w:rPr>
            </w:pPr>
            <w:r w:rsidRPr="000D4C0C">
              <w:rPr>
                <w:rFonts w:cs="Times New Roman"/>
                <w:sz w:val="22"/>
              </w:rPr>
              <w:t xml:space="preserve">Afiliado </w:t>
            </w:r>
            <w:r w:rsidR="00EE6913">
              <w:rPr>
                <w:rFonts w:cs="Times New Roman"/>
                <w:sz w:val="22"/>
              </w:rPr>
              <w:t>[…]</w:t>
            </w:r>
          </w:p>
        </w:tc>
      </w:tr>
      <w:tr w:rsidR="00AB5F89" w:rsidRPr="000D4C0C" w14:paraId="69251A90" w14:textId="77777777" w:rsidTr="007B3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DEEAF6" w:themeFill="accent1" w:themeFillTint="33"/>
          </w:tcPr>
          <w:p w14:paraId="38473975" w14:textId="77777777" w:rsidR="00AB5F89" w:rsidRPr="000D4C0C" w:rsidRDefault="00AB5F89" w:rsidP="007B3D18">
            <w:pPr>
              <w:autoSpaceDE w:val="0"/>
              <w:autoSpaceDN w:val="0"/>
              <w:adjustRightInd w:val="0"/>
              <w:spacing w:line="240" w:lineRule="auto"/>
              <w:jc w:val="both"/>
              <w:rPr>
                <w:rFonts w:cs="Times New Roman"/>
                <w:sz w:val="22"/>
              </w:rPr>
            </w:pPr>
            <w:r w:rsidRPr="000D4C0C">
              <w:rPr>
                <w:rFonts w:cs="Times New Roman"/>
                <w:sz w:val="22"/>
              </w:rPr>
              <w:t>Edad a la que se pensionó</w:t>
            </w:r>
          </w:p>
        </w:tc>
        <w:tc>
          <w:tcPr>
            <w:tcW w:w="2445" w:type="dxa"/>
            <w:shd w:val="clear" w:color="auto" w:fill="DEEAF6" w:themeFill="accent1" w:themeFillTint="33"/>
          </w:tcPr>
          <w:p w14:paraId="1F741A92" w14:textId="77777777" w:rsidR="00AB5F89" w:rsidRPr="000D4C0C" w:rsidRDefault="00AB5F89" w:rsidP="007B3D18">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2"/>
              </w:rPr>
            </w:pPr>
            <w:r w:rsidRPr="000D4C0C">
              <w:rPr>
                <w:rFonts w:cs="Times New Roman"/>
                <w:sz w:val="22"/>
              </w:rPr>
              <w:t>77</w:t>
            </w:r>
          </w:p>
        </w:tc>
        <w:tc>
          <w:tcPr>
            <w:tcW w:w="3441" w:type="dxa"/>
            <w:shd w:val="clear" w:color="auto" w:fill="DEEAF6" w:themeFill="accent1" w:themeFillTint="33"/>
          </w:tcPr>
          <w:p w14:paraId="442C0E15" w14:textId="77777777" w:rsidR="00AB5F89" w:rsidRPr="000D4C0C" w:rsidRDefault="00AB5F89" w:rsidP="007B3D18">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2"/>
              </w:rPr>
            </w:pPr>
            <w:r w:rsidRPr="000D4C0C">
              <w:rPr>
                <w:rFonts w:cs="Times New Roman"/>
                <w:sz w:val="22"/>
              </w:rPr>
              <w:t>67</w:t>
            </w:r>
          </w:p>
        </w:tc>
      </w:tr>
      <w:tr w:rsidR="00AB5F89" w:rsidRPr="000D4C0C" w14:paraId="50F752C2" w14:textId="77777777" w:rsidTr="007B3D18">
        <w:tc>
          <w:tcPr>
            <w:cnfStyle w:val="001000000000" w:firstRow="0" w:lastRow="0" w:firstColumn="1" w:lastColumn="0" w:oddVBand="0" w:evenVBand="0" w:oddHBand="0" w:evenHBand="0" w:firstRowFirstColumn="0" w:firstRowLastColumn="0" w:lastRowFirstColumn="0" w:lastRowLastColumn="0"/>
            <w:tcW w:w="2942" w:type="dxa"/>
          </w:tcPr>
          <w:p w14:paraId="4F78E579" w14:textId="77777777" w:rsidR="00AB5F89" w:rsidRPr="000D4C0C" w:rsidRDefault="00AB5F89" w:rsidP="007B3D18">
            <w:pPr>
              <w:autoSpaceDE w:val="0"/>
              <w:autoSpaceDN w:val="0"/>
              <w:adjustRightInd w:val="0"/>
              <w:spacing w:line="240" w:lineRule="auto"/>
              <w:jc w:val="both"/>
              <w:rPr>
                <w:rFonts w:cs="Times New Roman"/>
                <w:sz w:val="22"/>
              </w:rPr>
            </w:pPr>
            <w:r w:rsidRPr="000D4C0C">
              <w:rPr>
                <w:rFonts w:cs="Times New Roman"/>
                <w:sz w:val="22"/>
              </w:rPr>
              <w:t>Edad actual</w:t>
            </w:r>
          </w:p>
        </w:tc>
        <w:tc>
          <w:tcPr>
            <w:tcW w:w="2445" w:type="dxa"/>
          </w:tcPr>
          <w:p w14:paraId="6C0820A8" w14:textId="77777777" w:rsidR="00AB5F89" w:rsidRPr="000D4C0C" w:rsidRDefault="00AB5F89" w:rsidP="007B3D18">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2"/>
              </w:rPr>
            </w:pPr>
            <w:r w:rsidRPr="000D4C0C">
              <w:rPr>
                <w:rFonts w:cs="Times New Roman"/>
                <w:sz w:val="22"/>
              </w:rPr>
              <w:t>78</w:t>
            </w:r>
          </w:p>
        </w:tc>
        <w:tc>
          <w:tcPr>
            <w:tcW w:w="3441" w:type="dxa"/>
          </w:tcPr>
          <w:p w14:paraId="0ED9B4BC" w14:textId="77777777" w:rsidR="00AB5F89" w:rsidRPr="000D4C0C" w:rsidRDefault="00AB5F89" w:rsidP="007B3D18">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2"/>
              </w:rPr>
            </w:pPr>
            <w:r w:rsidRPr="000D4C0C">
              <w:rPr>
                <w:rFonts w:cs="Times New Roman"/>
                <w:sz w:val="22"/>
              </w:rPr>
              <w:t>79</w:t>
            </w:r>
          </w:p>
        </w:tc>
      </w:tr>
      <w:tr w:rsidR="00AB5F89" w:rsidRPr="000D4C0C" w14:paraId="211DA57A" w14:textId="77777777" w:rsidTr="007B3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DEEAF6" w:themeFill="accent1" w:themeFillTint="33"/>
          </w:tcPr>
          <w:p w14:paraId="3B2EBABD" w14:textId="77777777" w:rsidR="00AB5F89" w:rsidRPr="000D4C0C" w:rsidRDefault="00AB5F89" w:rsidP="007B3D18">
            <w:pPr>
              <w:autoSpaceDE w:val="0"/>
              <w:autoSpaceDN w:val="0"/>
              <w:adjustRightInd w:val="0"/>
              <w:spacing w:line="240" w:lineRule="auto"/>
              <w:jc w:val="both"/>
              <w:rPr>
                <w:rFonts w:cs="Times New Roman"/>
                <w:sz w:val="22"/>
              </w:rPr>
            </w:pPr>
            <w:r w:rsidRPr="000D4C0C">
              <w:rPr>
                <w:rFonts w:cs="Times New Roman"/>
                <w:sz w:val="22"/>
              </w:rPr>
              <w:t>Retiro de recursos del ROP</w:t>
            </w:r>
          </w:p>
        </w:tc>
        <w:tc>
          <w:tcPr>
            <w:tcW w:w="2445" w:type="dxa"/>
            <w:shd w:val="clear" w:color="auto" w:fill="DEEAF6" w:themeFill="accent1" w:themeFillTint="33"/>
          </w:tcPr>
          <w:p w14:paraId="0ABEAB79" w14:textId="634C33EE" w:rsidR="00AB5F89" w:rsidRPr="000D4C0C" w:rsidRDefault="00AB5F89" w:rsidP="007B3D18">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2"/>
              </w:rPr>
            </w:pPr>
            <w:r w:rsidRPr="000D4C0C">
              <w:rPr>
                <w:rFonts w:cs="Times New Roman"/>
                <w:sz w:val="22"/>
              </w:rPr>
              <w:t>No realizó</w:t>
            </w:r>
            <w:r w:rsidR="005D5D96" w:rsidRPr="000D4C0C">
              <w:rPr>
                <w:rFonts w:cs="Times New Roman"/>
                <w:sz w:val="22"/>
              </w:rPr>
              <w:t xml:space="preserve"> ningún retiro total</w:t>
            </w:r>
          </w:p>
        </w:tc>
        <w:tc>
          <w:tcPr>
            <w:tcW w:w="3441" w:type="dxa"/>
            <w:shd w:val="clear" w:color="auto" w:fill="DEEAF6" w:themeFill="accent1" w:themeFillTint="33"/>
          </w:tcPr>
          <w:p w14:paraId="4FC4E705" w14:textId="77777777" w:rsidR="00AB5F89" w:rsidRPr="000D4C0C" w:rsidRDefault="00AB5F89" w:rsidP="007B3D18">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2"/>
              </w:rPr>
            </w:pPr>
            <w:r w:rsidRPr="000D4C0C">
              <w:rPr>
                <w:rFonts w:cs="Times New Roman"/>
                <w:sz w:val="22"/>
              </w:rPr>
              <w:t>2 retiros totales:</w:t>
            </w:r>
          </w:p>
          <w:p w14:paraId="4FDF8F25" w14:textId="77777777" w:rsidR="00AB5F89" w:rsidRPr="000D4C0C" w:rsidRDefault="00AB5F89" w:rsidP="007B3D18">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2"/>
              </w:rPr>
            </w:pPr>
            <w:r w:rsidRPr="000D4C0C">
              <w:rPr>
                <w:rFonts w:cs="Times New Roman"/>
                <w:sz w:val="22"/>
              </w:rPr>
              <w:t>1 retiro total durante la vigencia del transitorio XIII</w:t>
            </w:r>
          </w:p>
          <w:p w14:paraId="4E836099" w14:textId="77777777" w:rsidR="00AB5F89" w:rsidRPr="000D4C0C" w:rsidRDefault="00AB5F89" w:rsidP="007B3D18">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2"/>
              </w:rPr>
            </w:pPr>
            <w:r w:rsidRPr="000D4C0C">
              <w:rPr>
                <w:rFonts w:cs="Times New Roman"/>
                <w:sz w:val="22"/>
              </w:rPr>
              <w:t>1 retiro total en el 2011</w:t>
            </w:r>
          </w:p>
        </w:tc>
      </w:tr>
      <w:tr w:rsidR="00AB5F89" w:rsidRPr="000D4C0C" w14:paraId="2F109247" w14:textId="77777777" w:rsidTr="007B3D18">
        <w:tc>
          <w:tcPr>
            <w:cnfStyle w:val="001000000000" w:firstRow="0" w:lastRow="0" w:firstColumn="1" w:lastColumn="0" w:oddVBand="0" w:evenVBand="0" w:oddHBand="0" w:evenHBand="0" w:firstRowFirstColumn="0" w:firstRowLastColumn="0" w:lastRowFirstColumn="0" w:lastRowLastColumn="0"/>
            <w:tcW w:w="2942" w:type="dxa"/>
          </w:tcPr>
          <w:p w14:paraId="0961EF46" w14:textId="25A5B842" w:rsidR="00AB5F89" w:rsidRPr="000D4C0C" w:rsidRDefault="00AB5F89" w:rsidP="007B3D18">
            <w:pPr>
              <w:autoSpaceDE w:val="0"/>
              <w:autoSpaceDN w:val="0"/>
              <w:adjustRightInd w:val="0"/>
              <w:spacing w:line="240" w:lineRule="auto"/>
              <w:jc w:val="both"/>
              <w:rPr>
                <w:rFonts w:cs="Times New Roman"/>
                <w:sz w:val="22"/>
              </w:rPr>
            </w:pPr>
            <w:r w:rsidRPr="000D4C0C">
              <w:rPr>
                <w:rFonts w:cs="Times New Roman"/>
                <w:sz w:val="22"/>
              </w:rPr>
              <w:t xml:space="preserve">Porcentaje de retiro programado respecto a pensión de </w:t>
            </w:r>
            <w:r w:rsidR="00A3001F" w:rsidRPr="000D4C0C">
              <w:rPr>
                <w:rFonts w:cs="Times New Roman"/>
                <w:sz w:val="22"/>
              </w:rPr>
              <w:t>IVM</w:t>
            </w:r>
          </w:p>
        </w:tc>
        <w:tc>
          <w:tcPr>
            <w:tcW w:w="2445" w:type="dxa"/>
          </w:tcPr>
          <w:p w14:paraId="0D24FB84" w14:textId="77777777" w:rsidR="00AB5F89" w:rsidRPr="000D4C0C" w:rsidRDefault="00AB5F89" w:rsidP="007B3D18">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2"/>
              </w:rPr>
            </w:pPr>
            <w:r w:rsidRPr="000D4C0C">
              <w:rPr>
                <w:rFonts w:cs="Times New Roman"/>
                <w:sz w:val="22"/>
              </w:rPr>
              <w:t>26.8%</w:t>
            </w:r>
          </w:p>
        </w:tc>
        <w:tc>
          <w:tcPr>
            <w:tcW w:w="3441" w:type="dxa"/>
          </w:tcPr>
          <w:p w14:paraId="5ED1BB70" w14:textId="77777777" w:rsidR="00AB5F89" w:rsidRPr="000D4C0C" w:rsidRDefault="00AB5F89" w:rsidP="007B3D18">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2"/>
              </w:rPr>
            </w:pPr>
            <w:r w:rsidRPr="000D4C0C">
              <w:rPr>
                <w:rFonts w:cs="Times New Roman"/>
                <w:sz w:val="22"/>
              </w:rPr>
              <w:t>15.30%</w:t>
            </w:r>
          </w:p>
        </w:tc>
      </w:tr>
    </w:tbl>
    <w:p w14:paraId="0AC09DC8" w14:textId="5DA057A1" w:rsidR="00AB5F89" w:rsidRPr="008565FC" w:rsidRDefault="00387336" w:rsidP="008565FC">
      <w:pPr>
        <w:tabs>
          <w:tab w:val="left" w:pos="1056"/>
        </w:tabs>
        <w:spacing w:line="240" w:lineRule="auto"/>
        <w:jc w:val="both"/>
        <w:rPr>
          <w:sz w:val="20"/>
          <w:szCs w:val="20"/>
        </w:rPr>
      </w:pPr>
      <w:r w:rsidRPr="008565FC">
        <w:rPr>
          <w:sz w:val="20"/>
          <w:szCs w:val="20"/>
        </w:rPr>
        <w:t xml:space="preserve">Fuente:  </w:t>
      </w:r>
      <w:r w:rsidR="00A62B47">
        <w:rPr>
          <w:sz w:val="20"/>
          <w:szCs w:val="20"/>
        </w:rPr>
        <w:t>E</w:t>
      </w:r>
      <w:r w:rsidRPr="008565FC">
        <w:rPr>
          <w:sz w:val="20"/>
          <w:szCs w:val="20"/>
        </w:rPr>
        <w:t xml:space="preserve">laboración propia, con datos suministrados </w:t>
      </w:r>
      <w:r w:rsidR="008565FC" w:rsidRPr="008565FC">
        <w:rPr>
          <w:sz w:val="20"/>
          <w:szCs w:val="20"/>
        </w:rPr>
        <w:t>por BN Vital OPC y la base de datos de afiliados de SUPEN.</w:t>
      </w:r>
    </w:p>
    <w:p w14:paraId="19C8F83F" w14:textId="77777777" w:rsidR="008565FC" w:rsidRPr="00CE6F0D" w:rsidRDefault="008565FC" w:rsidP="00AB5F89">
      <w:pPr>
        <w:tabs>
          <w:tab w:val="left" w:pos="1056"/>
        </w:tabs>
      </w:pPr>
    </w:p>
    <w:p w14:paraId="4D62CFC7" w14:textId="68F4B2C0" w:rsidR="00463751" w:rsidRPr="00D25D44" w:rsidRDefault="00D90DE6" w:rsidP="0066627E">
      <w:pPr>
        <w:autoSpaceDE w:val="0"/>
        <w:autoSpaceDN w:val="0"/>
        <w:adjustRightInd w:val="0"/>
        <w:spacing w:line="240" w:lineRule="auto"/>
        <w:jc w:val="both"/>
        <w:rPr>
          <w:rFonts w:cs="Times New Roman"/>
          <w:szCs w:val="24"/>
          <w:lang w:val="es-CR"/>
        </w:rPr>
      </w:pPr>
      <w:r w:rsidRPr="00D25D44">
        <w:rPr>
          <w:rFonts w:cs="Times New Roman"/>
          <w:szCs w:val="24"/>
          <w:lang w:val="es-CR"/>
        </w:rPr>
        <w:t>El primer elemento para comparar</w:t>
      </w:r>
      <w:r w:rsidR="0099229F" w:rsidRPr="00D25D44">
        <w:rPr>
          <w:rFonts w:cs="Times New Roman"/>
          <w:szCs w:val="24"/>
          <w:lang w:val="es-CR"/>
        </w:rPr>
        <w:t xml:space="preserve"> es la edad a la cual se pensionaron los </w:t>
      </w:r>
      <w:r w:rsidR="00CE6540" w:rsidRPr="00D25D44">
        <w:rPr>
          <w:rFonts w:cs="Times New Roman"/>
          <w:szCs w:val="24"/>
          <w:lang w:val="es-CR"/>
        </w:rPr>
        <w:t>interesados</w:t>
      </w:r>
      <w:r w:rsidR="0099229F" w:rsidRPr="00D25D44">
        <w:rPr>
          <w:rFonts w:cs="Times New Roman"/>
          <w:szCs w:val="24"/>
          <w:lang w:val="es-CR"/>
        </w:rPr>
        <w:t>,</w:t>
      </w:r>
      <w:r w:rsidR="00CE6540" w:rsidRPr="00D25D44">
        <w:rPr>
          <w:rFonts w:cs="Times New Roman"/>
          <w:szCs w:val="24"/>
          <w:lang w:val="es-CR"/>
        </w:rPr>
        <w:t xml:space="preserve"> </w:t>
      </w:r>
      <w:r w:rsidR="00CE6540" w:rsidRPr="00D25D44">
        <w:rPr>
          <w:rFonts w:cs="Times New Roman"/>
          <w:i/>
          <w:szCs w:val="24"/>
          <w:lang w:val="es-CR"/>
        </w:rPr>
        <w:t xml:space="preserve">ya que la Sala valoró que </w:t>
      </w:r>
      <w:r w:rsidR="00AC1472" w:rsidRPr="00D25D44">
        <w:rPr>
          <w:rFonts w:cs="Times New Roman"/>
          <w:i/>
          <w:szCs w:val="24"/>
          <w:lang w:val="es-CR"/>
        </w:rPr>
        <w:t>persona que se pensiona a una edad sustancialmente mucho mayor (v. gr. a los 77 años o más) y que, por ende, tomando en cuenta su expectativa de vida, no podrá disfrutar o hacer uso de ese dinero por muchos más años</w:t>
      </w:r>
      <w:r w:rsidR="002B18DF" w:rsidRPr="00D25D44">
        <w:rPr>
          <w:rFonts w:cs="Times New Roman"/>
          <w:szCs w:val="24"/>
          <w:lang w:val="es-CR"/>
        </w:rPr>
        <w:t xml:space="preserve">.  </w:t>
      </w:r>
      <w:r w:rsidR="00B11CAF" w:rsidRPr="00D25D44">
        <w:rPr>
          <w:rFonts w:cs="Times New Roman"/>
          <w:szCs w:val="24"/>
          <w:lang w:val="es-CR"/>
        </w:rPr>
        <w:t xml:space="preserve">A diferencia del caso del precedente, </w:t>
      </w:r>
      <w:r w:rsidR="006308CB" w:rsidRPr="00D25D44">
        <w:rPr>
          <w:rFonts w:cs="Times New Roman"/>
          <w:szCs w:val="24"/>
          <w:lang w:val="es-CR"/>
        </w:rPr>
        <w:t>en el cual la amparada se pension</w:t>
      </w:r>
      <w:r w:rsidR="0060560A">
        <w:rPr>
          <w:rFonts w:cs="Times New Roman"/>
          <w:szCs w:val="24"/>
          <w:lang w:val="es-CR"/>
        </w:rPr>
        <w:t>ó</w:t>
      </w:r>
      <w:r w:rsidR="006308CB" w:rsidRPr="00D25D44">
        <w:rPr>
          <w:rFonts w:cs="Times New Roman"/>
          <w:szCs w:val="24"/>
          <w:lang w:val="es-CR"/>
        </w:rPr>
        <w:t xml:space="preserve"> </w:t>
      </w:r>
      <w:r w:rsidR="00A542DD" w:rsidRPr="00D25D44">
        <w:rPr>
          <w:rFonts w:cs="Times New Roman"/>
          <w:szCs w:val="24"/>
          <w:lang w:val="es-CR"/>
        </w:rPr>
        <w:t xml:space="preserve">a los 77 años, </w:t>
      </w:r>
      <w:r w:rsidR="0021265B" w:rsidRPr="00D25D44">
        <w:rPr>
          <w:rFonts w:cs="Times New Roman"/>
          <w:szCs w:val="24"/>
          <w:lang w:val="es-CR"/>
        </w:rPr>
        <w:t>según la base de datos de afiliado</w:t>
      </w:r>
      <w:r w:rsidR="00C074FC">
        <w:rPr>
          <w:rFonts w:cs="Times New Roman"/>
          <w:szCs w:val="24"/>
          <w:lang w:val="es-CR"/>
        </w:rPr>
        <w:t>s</w:t>
      </w:r>
      <w:r w:rsidR="0021265B" w:rsidRPr="00D25D44">
        <w:rPr>
          <w:rFonts w:cs="Times New Roman"/>
          <w:szCs w:val="24"/>
          <w:lang w:val="es-CR"/>
        </w:rPr>
        <w:t xml:space="preserve"> de esta Superintendencia, </w:t>
      </w:r>
      <w:r w:rsidR="00303C1A">
        <w:rPr>
          <w:rFonts w:cs="Times New Roman"/>
          <w:szCs w:val="24"/>
          <w:lang w:val="es-CR"/>
        </w:rPr>
        <w:t xml:space="preserve">el señor </w:t>
      </w:r>
      <w:r w:rsidR="00EE6913">
        <w:rPr>
          <w:rFonts w:cs="Times New Roman"/>
          <w:szCs w:val="24"/>
          <w:lang w:val="es-CR"/>
        </w:rPr>
        <w:t>[…]</w:t>
      </w:r>
      <w:r w:rsidR="00A542DD" w:rsidRPr="00D25D44">
        <w:rPr>
          <w:rFonts w:cs="Times New Roman"/>
          <w:szCs w:val="24"/>
          <w:lang w:val="es-CR"/>
        </w:rPr>
        <w:t xml:space="preserve"> </w:t>
      </w:r>
      <w:r w:rsidR="009154D8" w:rsidRPr="00D25D44">
        <w:rPr>
          <w:rFonts w:cs="Times New Roman"/>
          <w:szCs w:val="24"/>
          <w:lang w:val="es-CR"/>
        </w:rPr>
        <w:t>se pension</w:t>
      </w:r>
      <w:r w:rsidR="00303C1A">
        <w:rPr>
          <w:rFonts w:cs="Times New Roman"/>
          <w:szCs w:val="24"/>
          <w:lang w:val="es-CR"/>
        </w:rPr>
        <w:t>ó</w:t>
      </w:r>
      <w:r w:rsidR="009154D8" w:rsidRPr="00D25D44">
        <w:rPr>
          <w:rFonts w:cs="Times New Roman"/>
          <w:szCs w:val="24"/>
          <w:lang w:val="es-CR"/>
        </w:rPr>
        <w:t xml:space="preserve"> </w:t>
      </w:r>
      <w:r w:rsidR="005E2F47" w:rsidRPr="00D25D44">
        <w:rPr>
          <w:rFonts w:cs="Times New Roman"/>
          <w:szCs w:val="24"/>
          <w:lang w:val="es-CR"/>
        </w:rPr>
        <w:t xml:space="preserve">por el </w:t>
      </w:r>
      <w:r w:rsidR="005E2F47">
        <w:rPr>
          <w:rFonts w:cs="Times New Roman"/>
          <w:szCs w:val="24"/>
          <w:lang w:val="es-CR"/>
        </w:rPr>
        <w:t>R</w:t>
      </w:r>
      <w:r w:rsidR="005E2F47" w:rsidRPr="00D25D44">
        <w:rPr>
          <w:rFonts w:cs="Times New Roman"/>
          <w:szCs w:val="24"/>
          <w:lang w:val="es-CR"/>
        </w:rPr>
        <w:t xml:space="preserve">égimen de </w:t>
      </w:r>
      <w:r w:rsidR="005E2F47">
        <w:rPr>
          <w:rFonts w:cs="Times New Roman"/>
          <w:szCs w:val="24"/>
          <w:lang w:val="es-CR"/>
        </w:rPr>
        <w:t xml:space="preserve">Invalidez, Vejez y Muerte, </w:t>
      </w:r>
      <w:r w:rsidR="009154D8" w:rsidRPr="00D25D44">
        <w:rPr>
          <w:rFonts w:cs="Times New Roman"/>
          <w:szCs w:val="24"/>
          <w:lang w:val="es-CR"/>
        </w:rPr>
        <w:t>en 2007</w:t>
      </w:r>
      <w:r w:rsidR="005E2F47">
        <w:rPr>
          <w:rFonts w:cs="Times New Roman"/>
          <w:szCs w:val="24"/>
          <w:lang w:val="es-CR"/>
        </w:rPr>
        <w:t>,</w:t>
      </w:r>
      <w:r w:rsidR="009154D8" w:rsidRPr="00D25D44">
        <w:rPr>
          <w:rFonts w:cs="Times New Roman"/>
          <w:szCs w:val="24"/>
          <w:lang w:val="es-CR"/>
        </w:rPr>
        <w:t xml:space="preserve"> </w:t>
      </w:r>
      <w:r w:rsidR="0021265B" w:rsidRPr="00D25D44">
        <w:rPr>
          <w:rFonts w:cs="Times New Roman"/>
          <w:szCs w:val="24"/>
          <w:lang w:val="es-CR"/>
        </w:rPr>
        <w:t>a la edad de 67 años</w:t>
      </w:r>
      <w:r w:rsidR="00A542DD" w:rsidRPr="00D25D44">
        <w:rPr>
          <w:rFonts w:cs="Times New Roman"/>
          <w:szCs w:val="24"/>
          <w:lang w:val="es-CR"/>
        </w:rPr>
        <w:t>.</w:t>
      </w:r>
      <w:r w:rsidR="009154D8" w:rsidRPr="00D25D44">
        <w:rPr>
          <w:rFonts w:cs="Times New Roman"/>
          <w:szCs w:val="24"/>
          <w:lang w:val="es-CR"/>
        </w:rPr>
        <w:t xml:space="preserve"> </w:t>
      </w:r>
      <w:r w:rsidR="00A542DD" w:rsidRPr="00D25D44">
        <w:rPr>
          <w:rFonts w:cs="Times New Roman"/>
          <w:szCs w:val="24"/>
          <w:lang w:val="es-CR"/>
        </w:rPr>
        <w:t xml:space="preserve"> P</w:t>
      </w:r>
      <w:r w:rsidR="009154D8" w:rsidRPr="00D25D44">
        <w:rPr>
          <w:rFonts w:cs="Times New Roman"/>
          <w:szCs w:val="24"/>
          <w:lang w:val="es-CR"/>
        </w:rPr>
        <w:t xml:space="preserve">or encontrarse dentro </w:t>
      </w:r>
      <w:r w:rsidR="00697343" w:rsidRPr="00D25D44">
        <w:rPr>
          <w:rFonts w:cs="Times New Roman"/>
          <w:szCs w:val="24"/>
          <w:lang w:val="es-CR"/>
        </w:rPr>
        <w:t xml:space="preserve">del plazo establecido en el </w:t>
      </w:r>
      <w:r w:rsidR="0060560A">
        <w:rPr>
          <w:rFonts w:cs="Times New Roman"/>
          <w:szCs w:val="24"/>
          <w:lang w:val="es-CR"/>
        </w:rPr>
        <w:t>T</w:t>
      </w:r>
      <w:r w:rsidR="00697343" w:rsidRPr="00D25D44">
        <w:rPr>
          <w:rFonts w:cs="Times New Roman"/>
          <w:szCs w:val="24"/>
          <w:lang w:val="es-CR"/>
        </w:rPr>
        <w:t>ransitorio XIII</w:t>
      </w:r>
      <w:r w:rsidR="000A286A" w:rsidRPr="00D25D44">
        <w:rPr>
          <w:rFonts w:cs="Times New Roman"/>
          <w:szCs w:val="24"/>
          <w:lang w:val="es-CR"/>
        </w:rPr>
        <w:t xml:space="preserve"> </w:t>
      </w:r>
      <w:r w:rsidR="004E2A86" w:rsidRPr="00D25D44">
        <w:rPr>
          <w:rFonts w:cs="Times New Roman"/>
          <w:szCs w:val="24"/>
          <w:lang w:val="es-CR"/>
        </w:rPr>
        <w:t>de la Ley de Protección al Trabajador</w:t>
      </w:r>
      <w:r w:rsidR="003B2C54">
        <w:rPr>
          <w:rFonts w:cs="Times New Roman"/>
          <w:szCs w:val="24"/>
          <w:lang w:val="es-CR"/>
        </w:rPr>
        <w:t xml:space="preserve">, este afiliado </w:t>
      </w:r>
      <w:r w:rsidR="000A286A" w:rsidRPr="00D25D44">
        <w:rPr>
          <w:rFonts w:cs="Times New Roman"/>
          <w:szCs w:val="24"/>
          <w:lang w:val="es-CR"/>
        </w:rPr>
        <w:t xml:space="preserve">hizo </w:t>
      </w:r>
      <w:r w:rsidR="004E2A86" w:rsidRPr="00D25D44">
        <w:rPr>
          <w:rFonts w:cs="Times New Roman"/>
          <w:szCs w:val="24"/>
          <w:lang w:val="es-CR"/>
        </w:rPr>
        <w:t xml:space="preserve">en 2008 </w:t>
      </w:r>
      <w:r w:rsidR="000A286A" w:rsidRPr="00D25D44">
        <w:rPr>
          <w:rFonts w:cs="Times New Roman"/>
          <w:szCs w:val="24"/>
          <w:lang w:val="es-CR"/>
        </w:rPr>
        <w:t>un retiro total de los recursos de su cuenta individual</w:t>
      </w:r>
      <w:r w:rsidR="00587BD0">
        <w:rPr>
          <w:rFonts w:cs="Times New Roman"/>
          <w:szCs w:val="24"/>
          <w:lang w:val="es-CR"/>
        </w:rPr>
        <w:t xml:space="preserve"> y otro en 2011</w:t>
      </w:r>
      <w:r w:rsidR="00BA535F">
        <w:rPr>
          <w:rStyle w:val="Refdenotaalpie"/>
          <w:rFonts w:cs="Times New Roman"/>
          <w:szCs w:val="24"/>
          <w:lang w:val="es-CR"/>
        </w:rPr>
        <w:footnoteReference w:id="9"/>
      </w:r>
      <w:r w:rsidR="008F6C92" w:rsidRPr="00D25D44">
        <w:rPr>
          <w:rFonts w:cs="Times New Roman"/>
          <w:szCs w:val="24"/>
          <w:lang w:val="es-CR"/>
        </w:rPr>
        <w:t xml:space="preserve">, </w:t>
      </w:r>
      <w:r w:rsidR="004833F2">
        <w:rPr>
          <w:rFonts w:cs="Times New Roman"/>
          <w:szCs w:val="24"/>
          <w:lang w:val="es-CR"/>
        </w:rPr>
        <w:t xml:space="preserve">lo que significa que en </w:t>
      </w:r>
      <w:r w:rsidR="008F6C92" w:rsidRPr="00D25D44">
        <w:rPr>
          <w:rFonts w:cs="Times New Roman"/>
          <w:szCs w:val="24"/>
          <w:lang w:val="es-CR"/>
        </w:rPr>
        <w:t xml:space="preserve">términos </w:t>
      </w:r>
      <w:r w:rsidR="004833F2">
        <w:rPr>
          <w:rFonts w:cs="Times New Roman"/>
          <w:szCs w:val="24"/>
          <w:lang w:val="es-CR"/>
        </w:rPr>
        <w:t xml:space="preserve">de lo expresado por </w:t>
      </w:r>
      <w:r w:rsidR="008F6C92" w:rsidRPr="00D25D44">
        <w:rPr>
          <w:rFonts w:cs="Times New Roman"/>
          <w:szCs w:val="24"/>
          <w:lang w:val="es-CR"/>
        </w:rPr>
        <w:t xml:space="preserve">la Sala Constitucional </w:t>
      </w:r>
      <w:r w:rsidR="00DF0E67">
        <w:rPr>
          <w:rFonts w:cs="Times New Roman"/>
          <w:szCs w:val="24"/>
          <w:lang w:val="es-CR"/>
        </w:rPr>
        <w:t xml:space="preserve">en el voto </w:t>
      </w:r>
      <w:bookmarkStart w:id="4" w:name="_Hlk25099865"/>
      <w:r w:rsidR="00DF0E67" w:rsidRPr="00DF0E67">
        <w:rPr>
          <w:rFonts w:cs="Times New Roman"/>
          <w:szCs w:val="24"/>
          <w:lang w:val="es-CR"/>
        </w:rPr>
        <w:t>12226-2019</w:t>
      </w:r>
      <w:bookmarkEnd w:id="4"/>
      <w:r w:rsidR="00DF0E67">
        <w:rPr>
          <w:rFonts w:cs="Times New Roman"/>
          <w:szCs w:val="24"/>
          <w:lang w:val="es-CR"/>
        </w:rPr>
        <w:t xml:space="preserve">, </w:t>
      </w:r>
      <w:r w:rsidR="00231C1A" w:rsidRPr="00D25D44">
        <w:rPr>
          <w:rFonts w:cs="Times New Roman"/>
          <w:szCs w:val="24"/>
          <w:lang w:val="es-CR"/>
        </w:rPr>
        <w:t xml:space="preserve">desde </w:t>
      </w:r>
      <w:r w:rsidR="007805D4">
        <w:rPr>
          <w:rFonts w:cs="Times New Roman"/>
          <w:szCs w:val="24"/>
          <w:lang w:val="es-CR"/>
        </w:rPr>
        <w:t>2007</w:t>
      </w:r>
      <w:r w:rsidR="00231C1A" w:rsidRPr="00D25D44">
        <w:rPr>
          <w:rFonts w:cs="Times New Roman"/>
          <w:szCs w:val="24"/>
          <w:lang w:val="es-CR"/>
        </w:rPr>
        <w:t xml:space="preserve"> está </w:t>
      </w:r>
      <w:r w:rsidR="00231C1A" w:rsidRPr="007805D4">
        <w:rPr>
          <w:rFonts w:cs="Times New Roman"/>
          <w:i/>
          <w:szCs w:val="24"/>
          <w:lang w:val="es-CR"/>
        </w:rPr>
        <w:t>disfrutando</w:t>
      </w:r>
      <w:r w:rsidR="00231C1A" w:rsidRPr="00D25D44">
        <w:rPr>
          <w:rFonts w:cs="Times New Roman"/>
          <w:szCs w:val="24"/>
          <w:lang w:val="es-CR"/>
        </w:rPr>
        <w:t xml:space="preserve"> del ROP</w:t>
      </w:r>
      <w:r w:rsidR="000E52D7" w:rsidRPr="00D25D44">
        <w:rPr>
          <w:rFonts w:cs="Times New Roman"/>
          <w:szCs w:val="24"/>
          <w:lang w:val="es-CR"/>
        </w:rPr>
        <w:t xml:space="preserve">. </w:t>
      </w:r>
    </w:p>
    <w:p w14:paraId="0A6799F5" w14:textId="77777777" w:rsidR="00463751" w:rsidRPr="00D25D44" w:rsidRDefault="00463751" w:rsidP="0066627E">
      <w:pPr>
        <w:autoSpaceDE w:val="0"/>
        <w:autoSpaceDN w:val="0"/>
        <w:adjustRightInd w:val="0"/>
        <w:spacing w:line="240" w:lineRule="auto"/>
        <w:jc w:val="both"/>
        <w:rPr>
          <w:rFonts w:cs="Times New Roman"/>
          <w:szCs w:val="24"/>
          <w:lang w:val="es-CR"/>
        </w:rPr>
      </w:pPr>
    </w:p>
    <w:p w14:paraId="0EF5F975" w14:textId="205CFD73" w:rsidR="009C091C" w:rsidRDefault="00463751" w:rsidP="0066627E">
      <w:pPr>
        <w:autoSpaceDE w:val="0"/>
        <w:autoSpaceDN w:val="0"/>
        <w:adjustRightInd w:val="0"/>
        <w:spacing w:line="240" w:lineRule="auto"/>
        <w:jc w:val="both"/>
        <w:rPr>
          <w:rFonts w:cs="Times New Roman"/>
          <w:szCs w:val="24"/>
          <w:lang w:val="es-CR"/>
        </w:rPr>
      </w:pPr>
      <w:r w:rsidRPr="00D25D44">
        <w:rPr>
          <w:rFonts w:cs="Times New Roman"/>
          <w:szCs w:val="24"/>
          <w:lang w:val="es-CR"/>
        </w:rPr>
        <w:t xml:space="preserve">Por reingreso a la actividad laboral </w:t>
      </w:r>
      <w:r w:rsidR="00F927C4">
        <w:rPr>
          <w:rFonts w:cs="Times New Roman"/>
          <w:szCs w:val="24"/>
          <w:lang w:val="es-CR"/>
        </w:rPr>
        <w:t xml:space="preserve">el señor </w:t>
      </w:r>
      <w:r w:rsidR="00EE6913">
        <w:rPr>
          <w:rFonts w:cs="Times New Roman"/>
          <w:szCs w:val="24"/>
          <w:lang w:val="es-CR"/>
        </w:rPr>
        <w:t>[…]</w:t>
      </w:r>
      <w:r w:rsidR="00095832" w:rsidRPr="00D25D44">
        <w:rPr>
          <w:rFonts w:cs="Times New Roman"/>
          <w:szCs w:val="24"/>
          <w:lang w:val="es-CR"/>
        </w:rPr>
        <w:t xml:space="preserve"> </w:t>
      </w:r>
      <w:r w:rsidRPr="00D25D44">
        <w:rPr>
          <w:rFonts w:cs="Times New Roman"/>
          <w:szCs w:val="24"/>
          <w:lang w:val="es-CR"/>
        </w:rPr>
        <w:t>actualmente tiene saldo acumulado en su cuenta individual</w:t>
      </w:r>
      <w:r w:rsidR="009C091C">
        <w:rPr>
          <w:rFonts w:cs="Times New Roman"/>
          <w:szCs w:val="24"/>
          <w:lang w:val="es-CR"/>
        </w:rPr>
        <w:t xml:space="preserve"> y </w:t>
      </w:r>
      <w:r w:rsidR="00D81263" w:rsidRPr="00D25D44">
        <w:rPr>
          <w:rFonts w:cs="Times New Roman"/>
          <w:szCs w:val="24"/>
          <w:lang w:val="es-CR"/>
        </w:rPr>
        <w:t>se desconoce</w:t>
      </w:r>
      <w:r w:rsidR="009C091C">
        <w:rPr>
          <w:rFonts w:cs="Times New Roman"/>
          <w:szCs w:val="24"/>
          <w:lang w:val="es-CR"/>
        </w:rPr>
        <w:t>n</w:t>
      </w:r>
      <w:r w:rsidR="00D81263" w:rsidRPr="00D25D44">
        <w:rPr>
          <w:rFonts w:cs="Times New Roman"/>
          <w:szCs w:val="24"/>
          <w:lang w:val="es-CR"/>
        </w:rPr>
        <w:t xml:space="preserve"> </w:t>
      </w:r>
      <w:r w:rsidR="008F2283">
        <w:rPr>
          <w:rFonts w:cs="Times New Roman"/>
          <w:szCs w:val="24"/>
          <w:lang w:val="es-CR"/>
        </w:rPr>
        <w:t xml:space="preserve">los términos de </w:t>
      </w:r>
      <w:r w:rsidR="00D81263" w:rsidRPr="00D25D44">
        <w:rPr>
          <w:rFonts w:cs="Times New Roman"/>
          <w:szCs w:val="24"/>
          <w:lang w:val="es-CR"/>
        </w:rPr>
        <w:t xml:space="preserve">la solicitud </w:t>
      </w:r>
      <w:r w:rsidR="009C091C">
        <w:rPr>
          <w:rFonts w:cs="Times New Roman"/>
          <w:szCs w:val="24"/>
          <w:lang w:val="es-CR"/>
        </w:rPr>
        <w:t xml:space="preserve">de retiro planteada por el </w:t>
      </w:r>
      <w:r w:rsidR="00D81263" w:rsidRPr="00D25D44">
        <w:rPr>
          <w:rFonts w:cs="Times New Roman"/>
          <w:szCs w:val="24"/>
          <w:lang w:val="es-CR"/>
        </w:rPr>
        <w:t>afiliado</w:t>
      </w:r>
      <w:r w:rsidR="0005062C" w:rsidRPr="00D25D44">
        <w:rPr>
          <w:rFonts w:cs="Times New Roman"/>
          <w:szCs w:val="24"/>
          <w:lang w:val="es-CR"/>
        </w:rPr>
        <w:t xml:space="preserve"> ante la </w:t>
      </w:r>
      <w:r w:rsidR="009C091C">
        <w:rPr>
          <w:rFonts w:cs="Times New Roman"/>
          <w:szCs w:val="24"/>
          <w:lang w:val="es-CR"/>
        </w:rPr>
        <w:t>operadora de pensiones</w:t>
      </w:r>
      <w:r w:rsidR="008F2283">
        <w:rPr>
          <w:rFonts w:cs="Times New Roman"/>
          <w:szCs w:val="24"/>
          <w:lang w:val="es-CR"/>
        </w:rPr>
        <w:t>.</w:t>
      </w:r>
      <w:r w:rsidR="00D81263" w:rsidRPr="00D25D44">
        <w:rPr>
          <w:rFonts w:cs="Times New Roman"/>
          <w:szCs w:val="24"/>
          <w:lang w:val="es-CR"/>
        </w:rPr>
        <w:t xml:space="preserve"> </w:t>
      </w:r>
    </w:p>
    <w:p w14:paraId="03B1ECB4" w14:textId="77777777" w:rsidR="009C091C" w:rsidRDefault="009C091C" w:rsidP="0066627E">
      <w:pPr>
        <w:autoSpaceDE w:val="0"/>
        <w:autoSpaceDN w:val="0"/>
        <w:adjustRightInd w:val="0"/>
        <w:spacing w:line="240" w:lineRule="auto"/>
        <w:jc w:val="both"/>
        <w:rPr>
          <w:rFonts w:cs="Times New Roman"/>
          <w:szCs w:val="24"/>
          <w:lang w:val="es-CR"/>
        </w:rPr>
      </w:pPr>
    </w:p>
    <w:p w14:paraId="7A20FC45" w14:textId="0658BC95" w:rsidR="0005062C" w:rsidRPr="00D25D44" w:rsidRDefault="009C4553" w:rsidP="0066627E">
      <w:pPr>
        <w:autoSpaceDE w:val="0"/>
        <w:autoSpaceDN w:val="0"/>
        <w:adjustRightInd w:val="0"/>
        <w:spacing w:line="240" w:lineRule="auto"/>
        <w:jc w:val="both"/>
        <w:rPr>
          <w:rFonts w:cs="Times New Roman"/>
          <w:szCs w:val="24"/>
        </w:rPr>
      </w:pPr>
      <w:r>
        <w:rPr>
          <w:rFonts w:cs="Times New Roman"/>
          <w:szCs w:val="24"/>
          <w:lang w:val="es-CR"/>
        </w:rPr>
        <w:t xml:space="preserve">Ahora bien, </w:t>
      </w:r>
      <w:r w:rsidR="00D81263" w:rsidRPr="00D25D44">
        <w:rPr>
          <w:rFonts w:cs="Times New Roman"/>
          <w:szCs w:val="24"/>
          <w:lang w:val="es-CR"/>
        </w:rPr>
        <w:t xml:space="preserve">BN Vital OPC plantea la posibilidad de que </w:t>
      </w:r>
      <w:r w:rsidR="00440315" w:rsidRPr="00D25D44">
        <w:rPr>
          <w:rFonts w:cs="Times New Roman"/>
          <w:szCs w:val="24"/>
          <w:lang w:val="es-CR"/>
        </w:rPr>
        <w:t xml:space="preserve">se le apliquen </w:t>
      </w:r>
      <w:r w:rsidR="00440315" w:rsidRPr="00D25D44">
        <w:rPr>
          <w:rFonts w:cs="Times New Roman"/>
          <w:i/>
          <w:szCs w:val="24"/>
        </w:rPr>
        <w:t>dos modalidades de pensión adicionales a las establecidas en el Reglamento de Beneficios, denominadas Renta Temporal Contingente y Anualidad Cierta Prepagable</w:t>
      </w:r>
      <w:r w:rsidR="0005062C" w:rsidRPr="00D25D44">
        <w:rPr>
          <w:rFonts w:cs="Times New Roman"/>
          <w:i/>
          <w:szCs w:val="24"/>
        </w:rPr>
        <w:t>.</w:t>
      </w:r>
      <w:r w:rsidR="00D86433" w:rsidRPr="00D25D44">
        <w:rPr>
          <w:rFonts w:cs="Times New Roman"/>
          <w:szCs w:val="24"/>
        </w:rPr>
        <w:t xml:space="preserve">  </w:t>
      </w:r>
    </w:p>
    <w:p w14:paraId="3BC18B36" w14:textId="144A1508" w:rsidR="00287D61" w:rsidRPr="00D25D44" w:rsidRDefault="00287D61" w:rsidP="0066627E">
      <w:pPr>
        <w:autoSpaceDE w:val="0"/>
        <w:autoSpaceDN w:val="0"/>
        <w:adjustRightInd w:val="0"/>
        <w:spacing w:line="240" w:lineRule="auto"/>
        <w:jc w:val="both"/>
        <w:rPr>
          <w:rFonts w:cs="Times New Roman"/>
          <w:szCs w:val="24"/>
        </w:rPr>
      </w:pPr>
    </w:p>
    <w:p w14:paraId="0BAE0B51" w14:textId="58521478" w:rsidR="00237CEF" w:rsidRPr="00D25D44" w:rsidRDefault="00287D61" w:rsidP="0066627E">
      <w:pPr>
        <w:autoSpaceDE w:val="0"/>
        <w:autoSpaceDN w:val="0"/>
        <w:adjustRightInd w:val="0"/>
        <w:spacing w:line="240" w:lineRule="auto"/>
        <w:jc w:val="both"/>
        <w:rPr>
          <w:rFonts w:cs="Times New Roman"/>
          <w:szCs w:val="24"/>
        </w:rPr>
      </w:pPr>
      <w:r w:rsidRPr="00D25D44">
        <w:rPr>
          <w:rFonts w:cs="Times New Roman"/>
          <w:szCs w:val="24"/>
        </w:rPr>
        <w:t>En común lo único que ambos casos tienen es edad similar</w:t>
      </w:r>
      <w:r w:rsidR="000F11A1" w:rsidRPr="00D25D44">
        <w:rPr>
          <w:rFonts w:cs="Times New Roman"/>
          <w:szCs w:val="24"/>
        </w:rPr>
        <w:t>, sin embargo, las condiciones son totalmente diferentes.  E</w:t>
      </w:r>
      <w:r w:rsidR="00F3253E" w:rsidRPr="00D25D44">
        <w:rPr>
          <w:rFonts w:cs="Times New Roman"/>
          <w:szCs w:val="24"/>
        </w:rPr>
        <w:t>n e</w:t>
      </w:r>
      <w:r w:rsidR="000F11A1" w:rsidRPr="00D25D44">
        <w:rPr>
          <w:rFonts w:cs="Times New Roman"/>
          <w:szCs w:val="24"/>
        </w:rPr>
        <w:t xml:space="preserve">l caso del precedente </w:t>
      </w:r>
      <w:r w:rsidR="00F3253E" w:rsidRPr="00D25D44">
        <w:rPr>
          <w:rFonts w:cs="Times New Roman"/>
          <w:szCs w:val="24"/>
        </w:rPr>
        <w:t xml:space="preserve">la amparada se </w:t>
      </w:r>
      <w:r w:rsidR="00C64A04" w:rsidRPr="00D25D44">
        <w:rPr>
          <w:rFonts w:cs="Times New Roman"/>
          <w:szCs w:val="24"/>
        </w:rPr>
        <w:t>pensiono</w:t>
      </w:r>
      <w:r w:rsidR="00F3253E" w:rsidRPr="00D25D44">
        <w:rPr>
          <w:rFonts w:cs="Times New Roman"/>
          <w:szCs w:val="24"/>
        </w:rPr>
        <w:t xml:space="preserve"> a los </w:t>
      </w:r>
      <w:r w:rsidR="00C64A04" w:rsidRPr="00D25D44">
        <w:rPr>
          <w:rFonts w:cs="Times New Roman"/>
          <w:szCs w:val="24"/>
        </w:rPr>
        <w:t>77 años</w:t>
      </w:r>
      <w:r w:rsidR="0033639A" w:rsidRPr="00D25D44">
        <w:rPr>
          <w:rFonts w:cs="Times New Roman"/>
          <w:szCs w:val="24"/>
        </w:rPr>
        <w:t>, en el presente caso la edad de pensión es a los 67 años</w:t>
      </w:r>
      <w:r w:rsidR="00786BF3" w:rsidRPr="00D25D44">
        <w:rPr>
          <w:rFonts w:cs="Times New Roman"/>
          <w:szCs w:val="24"/>
        </w:rPr>
        <w:t>.  La amparada tampoco recibió el ROP antes de los 7</w:t>
      </w:r>
      <w:r w:rsidR="00847888" w:rsidRPr="00D25D44">
        <w:rPr>
          <w:rFonts w:cs="Times New Roman"/>
          <w:szCs w:val="24"/>
        </w:rPr>
        <w:t>7 años, ni lo hizo en un solo tracto</w:t>
      </w:r>
      <w:r w:rsidR="00512760" w:rsidRPr="00D25D44">
        <w:rPr>
          <w:rFonts w:cs="Times New Roman"/>
          <w:szCs w:val="24"/>
        </w:rPr>
        <w:t>, como s</w:t>
      </w:r>
      <w:r w:rsidR="00BC0D28">
        <w:rPr>
          <w:rFonts w:cs="Times New Roman"/>
          <w:szCs w:val="24"/>
        </w:rPr>
        <w:t>í</w:t>
      </w:r>
      <w:r w:rsidR="00512760" w:rsidRPr="00D25D44">
        <w:rPr>
          <w:rFonts w:cs="Times New Roman"/>
          <w:szCs w:val="24"/>
        </w:rPr>
        <w:t xml:space="preserve"> </w:t>
      </w:r>
      <w:r w:rsidR="00193295" w:rsidRPr="00D25D44">
        <w:rPr>
          <w:rFonts w:cs="Times New Roman"/>
          <w:szCs w:val="24"/>
        </w:rPr>
        <w:t xml:space="preserve">lo hizo </w:t>
      </w:r>
      <w:r w:rsidR="00795EE3">
        <w:rPr>
          <w:rFonts w:cs="Times New Roman"/>
          <w:szCs w:val="24"/>
        </w:rPr>
        <w:t xml:space="preserve">el señor </w:t>
      </w:r>
      <w:r w:rsidR="00EE6913">
        <w:rPr>
          <w:rFonts w:cs="Times New Roman"/>
          <w:szCs w:val="24"/>
        </w:rPr>
        <w:t>[…]</w:t>
      </w:r>
      <w:r w:rsidR="00847888" w:rsidRPr="00D25D44">
        <w:rPr>
          <w:rFonts w:cs="Times New Roman"/>
          <w:szCs w:val="24"/>
        </w:rPr>
        <w:t>.</w:t>
      </w:r>
    </w:p>
    <w:p w14:paraId="08AC2DAD" w14:textId="77777777" w:rsidR="00237CEF" w:rsidRPr="00D25D44" w:rsidRDefault="00237CEF" w:rsidP="0066627E">
      <w:pPr>
        <w:autoSpaceDE w:val="0"/>
        <w:autoSpaceDN w:val="0"/>
        <w:adjustRightInd w:val="0"/>
        <w:spacing w:line="240" w:lineRule="auto"/>
        <w:jc w:val="both"/>
        <w:rPr>
          <w:rFonts w:cs="Times New Roman"/>
          <w:szCs w:val="24"/>
        </w:rPr>
      </w:pPr>
    </w:p>
    <w:p w14:paraId="18453AD3" w14:textId="13A2427A" w:rsidR="0066627E" w:rsidRDefault="00A8308C" w:rsidP="00DE2F8A">
      <w:pPr>
        <w:tabs>
          <w:tab w:val="left" w:pos="1056"/>
        </w:tabs>
        <w:spacing w:line="240" w:lineRule="auto"/>
        <w:jc w:val="both"/>
        <w:rPr>
          <w:rFonts w:cs="Times New Roman"/>
          <w:szCs w:val="24"/>
        </w:rPr>
      </w:pPr>
      <w:r>
        <w:rPr>
          <w:rFonts w:cs="Times New Roman"/>
          <w:szCs w:val="24"/>
        </w:rPr>
        <w:t xml:space="preserve">Así las cosas, concluye esta asesoría que el caso consultado no es igual al del precedente </w:t>
      </w:r>
      <w:r w:rsidR="003D2F37">
        <w:rPr>
          <w:rFonts w:cs="Times New Roman"/>
          <w:szCs w:val="24"/>
        </w:rPr>
        <w:t>y,</w:t>
      </w:r>
      <w:r>
        <w:rPr>
          <w:rFonts w:cs="Times New Roman"/>
          <w:szCs w:val="24"/>
        </w:rPr>
        <w:t xml:space="preserve"> en consecuencia, no se puede aplicar la regla</w:t>
      </w:r>
      <w:r w:rsidR="00B25162">
        <w:rPr>
          <w:rFonts w:cs="Times New Roman"/>
          <w:szCs w:val="24"/>
        </w:rPr>
        <w:t xml:space="preserve"> establecida por la Sala Constitucional en esa oportunidad</w:t>
      </w:r>
      <w:r w:rsidR="004326B7">
        <w:rPr>
          <w:rFonts w:cs="Times New Roman"/>
          <w:szCs w:val="24"/>
        </w:rPr>
        <w:t>.</w:t>
      </w:r>
    </w:p>
    <w:p w14:paraId="5C6FC0A5" w14:textId="3ABDB73D" w:rsidR="00B25162" w:rsidRDefault="00B25162" w:rsidP="0066627E">
      <w:pPr>
        <w:tabs>
          <w:tab w:val="left" w:pos="1056"/>
        </w:tabs>
        <w:spacing w:line="240" w:lineRule="auto"/>
        <w:rPr>
          <w:rFonts w:cs="Times New Roman"/>
          <w:szCs w:val="24"/>
        </w:rPr>
      </w:pPr>
    </w:p>
    <w:p w14:paraId="1B2B8152" w14:textId="24E3AE55" w:rsidR="00B25162" w:rsidRPr="00AD57F6" w:rsidRDefault="00B25162" w:rsidP="00AD57F6">
      <w:pPr>
        <w:pStyle w:val="Prrafodelista"/>
        <w:numPr>
          <w:ilvl w:val="0"/>
          <w:numId w:val="1"/>
        </w:numPr>
        <w:spacing w:line="240" w:lineRule="auto"/>
        <w:jc w:val="both"/>
        <w:rPr>
          <w:rFonts w:ascii="Times New Roman" w:hAnsi="Times New Roman" w:cs="Times New Roman"/>
          <w:b/>
          <w:sz w:val="24"/>
          <w:szCs w:val="24"/>
        </w:rPr>
      </w:pPr>
      <w:r w:rsidRPr="00AD57F6">
        <w:rPr>
          <w:rFonts w:ascii="Times New Roman" w:hAnsi="Times New Roman" w:cs="Times New Roman"/>
          <w:b/>
          <w:sz w:val="24"/>
          <w:szCs w:val="24"/>
        </w:rPr>
        <w:t>Conclusiones</w:t>
      </w:r>
    </w:p>
    <w:p w14:paraId="4DA3B351" w14:textId="77777777" w:rsidR="00B25162" w:rsidRPr="00D25D44" w:rsidRDefault="00B25162" w:rsidP="0066627E">
      <w:pPr>
        <w:tabs>
          <w:tab w:val="left" w:pos="1056"/>
        </w:tabs>
        <w:spacing w:line="240" w:lineRule="auto"/>
        <w:rPr>
          <w:rFonts w:cs="Times New Roman"/>
          <w:szCs w:val="24"/>
        </w:rPr>
      </w:pPr>
    </w:p>
    <w:p w14:paraId="32EE7151" w14:textId="133F0CE0" w:rsidR="006123F3" w:rsidRPr="009040A0" w:rsidRDefault="00E33191" w:rsidP="009040A0">
      <w:pPr>
        <w:pStyle w:val="Prrafodelista"/>
        <w:numPr>
          <w:ilvl w:val="0"/>
          <w:numId w:val="5"/>
        </w:numPr>
        <w:spacing w:line="240" w:lineRule="auto"/>
        <w:jc w:val="both"/>
        <w:rPr>
          <w:rFonts w:ascii="Times New Roman" w:hAnsi="Times New Roman" w:cs="Times New Roman"/>
          <w:sz w:val="24"/>
          <w:szCs w:val="24"/>
        </w:rPr>
      </w:pPr>
      <w:r w:rsidRPr="009040A0">
        <w:rPr>
          <w:rFonts w:ascii="Times New Roman" w:hAnsi="Times New Roman" w:cs="Times New Roman"/>
          <w:sz w:val="24"/>
          <w:szCs w:val="24"/>
        </w:rPr>
        <w:t xml:space="preserve">De las tablas de mortalidad elaboradas conforme a la ciencia actuarial y a la demografía, se puede obtener la </w:t>
      </w:r>
      <w:r w:rsidRPr="009040A0">
        <w:rPr>
          <w:rFonts w:ascii="Times New Roman" w:hAnsi="Times New Roman" w:cs="Times New Roman"/>
          <w:b/>
          <w:sz w:val="24"/>
          <w:szCs w:val="24"/>
        </w:rPr>
        <w:t>esperanza de vida al nacer</w:t>
      </w:r>
      <w:r w:rsidRPr="009040A0">
        <w:rPr>
          <w:rFonts w:ascii="Times New Roman" w:hAnsi="Times New Roman" w:cs="Times New Roman"/>
          <w:sz w:val="24"/>
          <w:szCs w:val="24"/>
        </w:rPr>
        <w:t xml:space="preserve"> </w:t>
      </w:r>
      <w:r w:rsidRPr="009040A0">
        <w:rPr>
          <w:rFonts w:ascii="Times New Roman" w:hAnsi="Times New Roman" w:cs="Times New Roman"/>
          <w:b/>
          <w:sz w:val="24"/>
          <w:szCs w:val="24"/>
        </w:rPr>
        <w:t>y también la probabilidad de muerte a una determinada edad</w:t>
      </w:r>
      <w:r w:rsidRPr="009040A0">
        <w:rPr>
          <w:rFonts w:ascii="Times New Roman" w:hAnsi="Times New Roman" w:cs="Times New Roman"/>
          <w:sz w:val="24"/>
          <w:szCs w:val="24"/>
        </w:rPr>
        <w:t>, este último dato es el que interesa a l</w:t>
      </w:r>
      <w:r w:rsidR="004C1610" w:rsidRPr="009040A0">
        <w:rPr>
          <w:rFonts w:ascii="Times New Roman" w:hAnsi="Times New Roman" w:cs="Times New Roman"/>
          <w:sz w:val="24"/>
          <w:szCs w:val="24"/>
        </w:rPr>
        <w:t>os sistemas de pensiones</w:t>
      </w:r>
      <w:r w:rsidRPr="009040A0">
        <w:rPr>
          <w:rFonts w:ascii="Times New Roman" w:hAnsi="Times New Roman" w:cs="Times New Roman"/>
          <w:sz w:val="24"/>
          <w:szCs w:val="24"/>
        </w:rPr>
        <w:t xml:space="preserve"> </w:t>
      </w:r>
      <w:r w:rsidR="004C1610" w:rsidRPr="009040A0">
        <w:rPr>
          <w:rFonts w:ascii="Times New Roman" w:hAnsi="Times New Roman" w:cs="Times New Roman"/>
          <w:sz w:val="24"/>
          <w:szCs w:val="24"/>
        </w:rPr>
        <w:t xml:space="preserve">y la </w:t>
      </w:r>
      <w:r w:rsidRPr="009040A0">
        <w:rPr>
          <w:rFonts w:ascii="Times New Roman" w:hAnsi="Times New Roman" w:cs="Times New Roman"/>
          <w:sz w:val="24"/>
          <w:szCs w:val="24"/>
        </w:rPr>
        <w:t>seguridad social para ofrecer una protección equitativa para la población mayor de 60 años, que es la edad habitual a la cual se jubilan los cotizantes.</w:t>
      </w:r>
    </w:p>
    <w:p w14:paraId="73A8D8D9" w14:textId="27001376" w:rsidR="00E33191" w:rsidRPr="009040A0" w:rsidRDefault="00E33191" w:rsidP="009040A0">
      <w:pPr>
        <w:pStyle w:val="Prrafodelista"/>
        <w:numPr>
          <w:ilvl w:val="0"/>
          <w:numId w:val="5"/>
        </w:numPr>
        <w:spacing w:line="240" w:lineRule="auto"/>
        <w:jc w:val="both"/>
        <w:rPr>
          <w:rFonts w:ascii="Times New Roman" w:hAnsi="Times New Roman" w:cs="Times New Roman"/>
          <w:sz w:val="24"/>
          <w:szCs w:val="24"/>
        </w:rPr>
      </w:pPr>
      <w:r w:rsidRPr="009040A0">
        <w:rPr>
          <w:rFonts w:ascii="Times New Roman" w:hAnsi="Times New Roman" w:cs="Times New Roman"/>
          <w:sz w:val="24"/>
          <w:szCs w:val="24"/>
        </w:rPr>
        <w:t xml:space="preserve">El retiro programado </w:t>
      </w:r>
      <w:r w:rsidR="009A19E3">
        <w:rPr>
          <w:rFonts w:ascii="Times New Roman" w:hAnsi="Times New Roman" w:cs="Times New Roman"/>
          <w:sz w:val="24"/>
          <w:szCs w:val="24"/>
        </w:rPr>
        <w:t xml:space="preserve">personal </w:t>
      </w:r>
      <w:r w:rsidRPr="009040A0">
        <w:rPr>
          <w:rFonts w:ascii="Times New Roman" w:hAnsi="Times New Roman" w:cs="Times New Roman"/>
          <w:sz w:val="24"/>
          <w:szCs w:val="24"/>
        </w:rPr>
        <w:t xml:space="preserve">establecido en el </w:t>
      </w:r>
      <w:r w:rsidR="00947B7B">
        <w:rPr>
          <w:rFonts w:ascii="Times New Roman" w:hAnsi="Times New Roman" w:cs="Times New Roman"/>
          <w:sz w:val="24"/>
          <w:szCs w:val="24"/>
        </w:rPr>
        <w:t>R</w:t>
      </w:r>
      <w:r w:rsidRPr="009040A0">
        <w:rPr>
          <w:rFonts w:ascii="Times New Roman" w:hAnsi="Times New Roman" w:cs="Times New Roman"/>
          <w:sz w:val="24"/>
          <w:szCs w:val="24"/>
        </w:rPr>
        <w:t xml:space="preserve">eglamento </w:t>
      </w:r>
      <w:r w:rsidR="00947B7B">
        <w:rPr>
          <w:rFonts w:ascii="Times New Roman" w:hAnsi="Times New Roman" w:cs="Times New Roman"/>
          <w:sz w:val="24"/>
          <w:szCs w:val="24"/>
        </w:rPr>
        <w:t xml:space="preserve">de Beneficios </w:t>
      </w:r>
      <w:r w:rsidRPr="009040A0">
        <w:rPr>
          <w:rFonts w:ascii="Times New Roman" w:hAnsi="Times New Roman" w:cs="Times New Roman"/>
          <w:sz w:val="24"/>
          <w:szCs w:val="24"/>
        </w:rPr>
        <w:t xml:space="preserve">responde a las reglas de la ciencia actuarial, así como a principios elementales de justicia, lógica o conveniencia en el ámbito de la seguridad social. </w:t>
      </w:r>
    </w:p>
    <w:p w14:paraId="54BED77B" w14:textId="77777777" w:rsidR="00D35C0B" w:rsidRPr="009040A0" w:rsidRDefault="00D35C0B" w:rsidP="009040A0">
      <w:pPr>
        <w:pStyle w:val="Prrafodelista"/>
        <w:numPr>
          <w:ilvl w:val="0"/>
          <w:numId w:val="5"/>
        </w:numPr>
        <w:spacing w:line="240" w:lineRule="auto"/>
        <w:jc w:val="both"/>
        <w:rPr>
          <w:rFonts w:ascii="Times New Roman" w:hAnsi="Times New Roman" w:cs="Times New Roman"/>
          <w:sz w:val="24"/>
          <w:szCs w:val="24"/>
        </w:rPr>
      </w:pPr>
      <w:r w:rsidRPr="009040A0">
        <w:rPr>
          <w:rFonts w:ascii="Times New Roman" w:hAnsi="Times New Roman" w:cs="Times New Roman"/>
          <w:sz w:val="24"/>
          <w:szCs w:val="24"/>
        </w:rPr>
        <w:t>El cálculo de una renta contingente hasta los 115 años, utilizando para ello tablas de mortalidad, es un mecanismo que, lejos de afectar al afiliado, más bien le permite mitigar el riesgo de longevidad al que se ha hecho referencia, dado que con ello se puede prevenir que, ante la posibilidad de superar el tiempo de vida (expectativa de vida residual), esta pueda ser conocida y cuantificada.</w:t>
      </w:r>
    </w:p>
    <w:p w14:paraId="3C2442DA" w14:textId="5EFD73C0" w:rsidR="004326B7" w:rsidRPr="009040A0" w:rsidRDefault="004326B7" w:rsidP="009040A0">
      <w:pPr>
        <w:pStyle w:val="Prrafodelista"/>
        <w:numPr>
          <w:ilvl w:val="0"/>
          <w:numId w:val="5"/>
        </w:numPr>
        <w:spacing w:line="240" w:lineRule="auto"/>
        <w:jc w:val="both"/>
        <w:rPr>
          <w:rFonts w:ascii="Times New Roman" w:hAnsi="Times New Roman" w:cs="Times New Roman"/>
          <w:sz w:val="24"/>
          <w:szCs w:val="24"/>
        </w:rPr>
      </w:pPr>
      <w:r w:rsidRPr="009040A0">
        <w:rPr>
          <w:rFonts w:ascii="Times New Roman" w:hAnsi="Times New Roman" w:cs="Times New Roman"/>
          <w:sz w:val="24"/>
          <w:szCs w:val="24"/>
        </w:rPr>
        <w:t xml:space="preserve">Los recursos del ROP no se crearon como ahorros </w:t>
      </w:r>
      <w:r w:rsidR="00B534F6">
        <w:rPr>
          <w:rFonts w:ascii="Times New Roman" w:hAnsi="Times New Roman" w:cs="Times New Roman"/>
          <w:sz w:val="24"/>
          <w:szCs w:val="24"/>
        </w:rPr>
        <w:t xml:space="preserve">que el </w:t>
      </w:r>
      <w:r w:rsidRPr="009040A0">
        <w:rPr>
          <w:rFonts w:ascii="Times New Roman" w:hAnsi="Times New Roman" w:cs="Times New Roman"/>
          <w:sz w:val="24"/>
          <w:szCs w:val="24"/>
        </w:rPr>
        <w:t xml:space="preserve">trabajador </w:t>
      </w:r>
      <w:r w:rsidR="00355F5A">
        <w:rPr>
          <w:rFonts w:ascii="Times New Roman" w:hAnsi="Times New Roman" w:cs="Times New Roman"/>
          <w:sz w:val="24"/>
          <w:szCs w:val="24"/>
        </w:rPr>
        <w:t xml:space="preserve">debería </w:t>
      </w:r>
      <w:r w:rsidRPr="009040A0">
        <w:rPr>
          <w:rFonts w:ascii="Times New Roman" w:hAnsi="Times New Roman" w:cs="Times New Roman"/>
          <w:i/>
          <w:sz w:val="24"/>
          <w:szCs w:val="24"/>
        </w:rPr>
        <w:t>disfrutar</w:t>
      </w:r>
      <w:r w:rsidRPr="009040A0">
        <w:rPr>
          <w:rFonts w:ascii="Times New Roman" w:hAnsi="Times New Roman" w:cs="Times New Roman"/>
          <w:sz w:val="24"/>
          <w:szCs w:val="24"/>
        </w:rPr>
        <w:t xml:space="preserve"> </w:t>
      </w:r>
      <w:r w:rsidRPr="009040A0">
        <w:rPr>
          <w:rFonts w:ascii="Times New Roman" w:hAnsi="Times New Roman" w:cs="Times New Roman"/>
          <w:i/>
          <w:sz w:val="24"/>
          <w:szCs w:val="24"/>
        </w:rPr>
        <w:t>en condiciones aptas de salud en proyectos o actividades que a bien tenga</w:t>
      </w:r>
      <w:r w:rsidR="00355F5A">
        <w:rPr>
          <w:rFonts w:ascii="Times New Roman" w:hAnsi="Times New Roman" w:cs="Times New Roman"/>
          <w:i/>
          <w:sz w:val="24"/>
          <w:szCs w:val="24"/>
        </w:rPr>
        <w:t>,</w:t>
      </w:r>
      <w:r w:rsidRPr="009040A0">
        <w:rPr>
          <w:rFonts w:ascii="Times New Roman" w:hAnsi="Times New Roman" w:cs="Times New Roman"/>
          <w:i/>
          <w:sz w:val="24"/>
          <w:szCs w:val="24"/>
        </w:rPr>
        <w:t xml:space="preserve"> </w:t>
      </w:r>
      <w:r w:rsidRPr="009040A0">
        <w:rPr>
          <w:rFonts w:ascii="Times New Roman" w:hAnsi="Times New Roman" w:cs="Times New Roman"/>
          <w:sz w:val="24"/>
          <w:szCs w:val="24"/>
        </w:rPr>
        <w:t xml:space="preserve">como parece haberlo entendido la Sala Constitucional en </w:t>
      </w:r>
      <w:r w:rsidR="00F525D3">
        <w:rPr>
          <w:rFonts w:ascii="Times New Roman" w:hAnsi="Times New Roman" w:cs="Times New Roman"/>
          <w:sz w:val="24"/>
          <w:szCs w:val="24"/>
        </w:rPr>
        <w:t xml:space="preserve">el </w:t>
      </w:r>
      <w:r w:rsidR="00095790">
        <w:rPr>
          <w:rFonts w:ascii="Times New Roman" w:hAnsi="Times New Roman" w:cs="Times New Roman"/>
          <w:sz w:val="24"/>
          <w:szCs w:val="24"/>
        </w:rPr>
        <w:t xml:space="preserve">voto </w:t>
      </w:r>
      <w:r w:rsidR="00095790" w:rsidRPr="00095790">
        <w:rPr>
          <w:rFonts w:ascii="Times New Roman" w:hAnsi="Times New Roman" w:cs="Times New Roman"/>
          <w:sz w:val="24"/>
          <w:szCs w:val="24"/>
        </w:rPr>
        <w:t>12226-2019</w:t>
      </w:r>
      <w:r w:rsidRPr="009040A0">
        <w:rPr>
          <w:rFonts w:ascii="Times New Roman" w:hAnsi="Times New Roman" w:cs="Times New Roman"/>
          <w:sz w:val="24"/>
          <w:szCs w:val="24"/>
        </w:rPr>
        <w:t xml:space="preserve">.  Es </w:t>
      </w:r>
      <w:r w:rsidR="00A74D74">
        <w:rPr>
          <w:rFonts w:ascii="Times New Roman" w:hAnsi="Times New Roman" w:cs="Times New Roman"/>
          <w:sz w:val="24"/>
          <w:szCs w:val="24"/>
        </w:rPr>
        <w:t>en el período en el que</w:t>
      </w:r>
      <w:r w:rsidRPr="009040A0">
        <w:rPr>
          <w:rFonts w:ascii="Times New Roman" w:hAnsi="Times New Roman" w:cs="Times New Roman"/>
          <w:sz w:val="24"/>
          <w:szCs w:val="24"/>
        </w:rPr>
        <w:t xml:space="preserve"> se deteriora la salud del pensionado cuando más requiere de un soporte financiero complementario al que le </w:t>
      </w:r>
      <w:r w:rsidR="00A74D74">
        <w:rPr>
          <w:rFonts w:ascii="Times New Roman" w:hAnsi="Times New Roman" w:cs="Times New Roman"/>
          <w:sz w:val="24"/>
          <w:szCs w:val="24"/>
        </w:rPr>
        <w:t>otorgue</w:t>
      </w:r>
      <w:r w:rsidRPr="009040A0">
        <w:rPr>
          <w:rFonts w:ascii="Times New Roman" w:hAnsi="Times New Roman" w:cs="Times New Roman"/>
          <w:sz w:val="24"/>
          <w:szCs w:val="24"/>
        </w:rPr>
        <w:t xml:space="preserve"> el régimen </w:t>
      </w:r>
      <w:r w:rsidR="00A74D74">
        <w:rPr>
          <w:rFonts w:ascii="Times New Roman" w:hAnsi="Times New Roman" w:cs="Times New Roman"/>
          <w:sz w:val="24"/>
          <w:szCs w:val="24"/>
        </w:rPr>
        <w:t>de IVM</w:t>
      </w:r>
      <w:r w:rsidRPr="009040A0">
        <w:rPr>
          <w:rFonts w:ascii="Times New Roman" w:hAnsi="Times New Roman" w:cs="Times New Roman"/>
          <w:sz w:val="24"/>
          <w:szCs w:val="24"/>
        </w:rPr>
        <w:t>, que como es conocido, est</w:t>
      </w:r>
      <w:r w:rsidR="006F0C42" w:rsidRPr="009040A0">
        <w:rPr>
          <w:rFonts w:ascii="Times New Roman" w:hAnsi="Times New Roman" w:cs="Times New Roman"/>
          <w:sz w:val="24"/>
          <w:szCs w:val="24"/>
        </w:rPr>
        <w:t>á</w:t>
      </w:r>
      <w:r w:rsidRPr="009040A0">
        <w:rPr>
          <w:rFonts w:ascii="Times New Roman" w:hAnsi="Times New Roman" w:cs="Times New Roman"/>
          <w:sz w:val="24"/>
          <w:szCs w:val="24"/>
        </w:rPr>
        <w:t xml:space="preserve"> enfrentando graves problemas de sostenibilidad.</w:t>
      </w:r>
    </w:p>
    <w:p w14:paraId="24E97173" w14:textId="16E9E962" w:rsidR="00E33191" w:rsidRPr="009040A0" w:rsidRDefault="00E33191" w:rsidP="009040A0">
      <w:pPr>
        <w:pStyle w:val="Prrafodelista"/>
        <w:numPr>
          <w:ilvl w:val="0"/>
          <w:numId w:val="5"/>
        </w:numPr>
        <w:spacing w:line="240" w:lineRule="auto"/>
        <w:jc w:val="both"/>
        <w:rPr>
          <w:rFonts w:ascii="Times New Roman" w:hAnsi="Times New Roman" w:cs="Times New Roman"/>
          <w:sz w:val="24"/>
          <w:szCs w:val="24"/>
        </w:rPr>
      </w:pPr>
      <w:r w:rsidRPr="009040A0">
        <w:rPr>
          <w:rFonts w:ascii="Times New Roman" w:hAnsi="Times New Roman" w:cs="Times New Roman"/>
          <w:sz w:val="24"/>
          <w:szCs w:val="24"/>
        </w:rPr>
        <w:lastRenderedPageBreak/>
        <w:t xml:space="preserve">A pesar de lo anterior, en el precedente citado la Sala Constitucional obligó a BN Vital OPC a hacer un cálculo para retirar la pensión que </w:t>
      </w:r>
      <w:r w:rsidRPr="009040A0">
        <w:rPr>
          <w:rFonts w:ascii="Times New Roman" w:hAnsi="Times New Roman" w:cs="Times New Roman"/>
          <w:b/>
          <w:sz w:val="24"/>
          <w:szCs w:val="24"/>
        </w:rPr>
        <w:t>no</w:t>
      </w:r>
      <w:r w:rsidRPr="009040A0">
        <w:rPr>
          <w:rFonts w:ascii="Times New Roman" w:hAnsi="Times New Roman" w:cs="Times New Roman"/>
          <w:sz w:val="24"/>
          <w:szCs w:val="24"/>
        </w:rPr>
        <w:t xml:space="preserve"> toma en cuenta esa regulación </w:t>
      </w:r>
      <w:r w:rsidR="009D3F82">
        <w:rPr>
          <w:rFonts w:ascii="Times New Roman" w:hAnsi="Times New Roman" w:cs="Times New Roman"/>
          <w:sz w:val="24"/>
          <w:szCs w:val="24"/>
        </w:rPr>
        <w:t>ni</w:t>
      </w:r>
      <w:r w:rsidRPr="009040A0">
        <w:rPr>
          <w:rFonts w:ascii="Times New Roman" w:hAnsi="Times New Roman" w:cs="Times New Roman"/>
          <w:sz w:val="24"/>
          <w:szCs w:val="24"/>
        </w:rPr>
        <w:t xml:space="preserve"> la probabilidad de muerte de la interesada este año y los siguientes</w:t>
      </w:r>
      <w:r w:rsidR="00215FFE" w:rsidRPr="009040A0">
        <w:rPr>
          <w:rFonts w:ascii="Times New Roman" w:hAnsi="Times New Roman" w:cs="Times New Roman"/>
          <w:sz w:val="24"/>
          <w:szCs w:val="24"/>
        </w:rPr>
        <w:t>,</w:t>
      </w:r>
      <w:r w:rsidRPr="009040A0">
        <w:rPr>
          <w:rFonts w:ascii="Times New Roman" w:hAnsi="Times New Roman" w:cs="Times New Roman"/>
          <w:sz w:val="24"/>
          <w:szCs w:val="24"/>
        </w:rPr>
        <w:t xml:space="preserve"> sino la esperanza de vida </w:t>
      </w:r>
      <w:r w:rsidR="003117BD" w:rsidRPr="009040A0">
        <w:rPr>
          <w:rFonts w:ascii="Times New Roman" w:hAnsi="Times New Roman" w:cs="Times New Roman"/>
          <w:sz w:val="24"/>
          <w:szCs w:val="24"/>
        </w:rPr>
        <w:t xml:space="preserve">de una niña </w:t>
      </w:r>
      <w:r w:rsidR="005F40FC" w:rsidRPr="009040A0">
        <w:rPr>
          <w:rFonts w:ascii="Times New Roman" w:hAnsi="Times New Roman" w:cs="Times New Roman"/>
          <w:sz w:val="24"/>
          <w:szCs w:val="24"/>
        </w:rPr>
        <w:t>nacida en el 2018</w:t>
      </w:r>
      <w:r w:rsidRPr="009040A0">
        <w:rPr>
          <w:rFonts w:ascii="Times New Roman" w:hAnsi="Times New Roman" w:cs="Times New Roman"/>
          <w:sz w:val="24"/>
          <w:szCs w:val="24"/>
        </w:rPr>
        <w:t>.</w:t>
      </w:r>
    </w:p>
    <w:p w14:paraId="3BC85164" w14:textId="0EFA6DC2" w:rsidR="004326B7" w:rsidRPr="006675B2" w:rsidRDefault="00F27B36" w:rsidP="009040A0">
      <w:pPr>
        <w:pStyle w:val="Prrafodelist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182846" w:rsidRPr="006675B2">
        <w:rPr>
          <w:rFonts w:ascii="Times New Roman" w:hAnsi="Times New Roman" w:cs="Times New Roman"/>
          <w:sz w:val="24"/>
          <w:szCs w:val="24"/>
        </w:rPr>
        <w:t xml:space="preserve">as condiciones del </w:t>
      </w:r>
      <w:r w:rsidR="007B3D18" w:rsidRPr="006675B2">
        <w:rPr>
          <w:rFonts w:ascii="Times New Roman" w:hAnsi="Times New Roman" w:cs="Times New Roman"/>
          <w:sz w:val="24"/>
          <w:szCs w:val="24"/>
        </w:rPr>
        <w:t xml:space="preserve">afiliado objeto de la </w:t>
      </w:r>
      <w:r w:rsidR="004326B7" w:rsidRPr="006675B2">
        <w:rPr>
          <w:rFonts w:ascii="Times New Roman" w:hAnsi="Times New Roman" w:cs="Times New Roman"/>
          <w:sz w:val="24"/>
          <w:szCs w:val="24"/>
        </w:rPr>
        <w:t xml:space="preserve">consulta no </w:t>
      </w:r>
      <w:r w:rsidR="00B77679">
        <w:rPr>
          <w:rFonts w:ascii="Times New Roman" w:hAnsi="Times New Roman" w:cs="Times New Roman"/>
          <w:sz w:val="24"/>
          <w:szCs w:val="24"/>
        </w:rPr>
        <w:t>son</w:t>
      </w:r>
      <w:r w:rsidR="004326B7" w:rsidRPr="006675B2">
        <w:rPr>
          <w:rFonts w:ascii="Times New Roman" w:hAnsi="Times New Roman" w:cs="Times New Roman"/>
          <w:sz w:val="24"/>
          <w:szCs w:val="24"/>
        </w:rPr>
        <w:t xml:space="preserve"> igual</w:t>
      </w:r>
      <w:r w:rsidR="00B77679">
        <w:rPr>
          <w:rFonts w:ascii="Times New Roman" w:hAnsi="Times New Roman" w:cs="Times New Roman"/>
          <w:sz w:val="24"/>
          <w:szCs w:val="24"/>
        </w:rPr>
        <w:t>es</w:t>
      </w:r>
      <w:r w:rsidR="004326B7" w:rsidRPr="006675B2">
        <w:rPr>
          <w:rFonts w:ascii="Times New Roman" w:hAnsi="Times New Roman" w:cs="Times New Roman"/>
          <w:sz w:val="24"/>
          <w:szCs w:val="24"/>
        </w:rPr>
        <w:t xml:space="preserve"> a</w:t>
      </w:r>
      <w:r w:rsidR="00B77679">
        <w:rPr>
          <w:rFonts w:ascii="Times New Roman" w:hAnsi="Times New Roman" w:cs="Times New Roman"/>
          <w:sz w:val="24"/>
          <w:szCs w:val="24"/>
        </w:rPr>
        <w:t xml:space="preserve"> </w:t>
      </w:r>
      <w:r w:rsidR="004326B7" w:rsidRPr="006675B2">
        <w:rPr>
          <w:rFonts w:ascii="Times New Roman" w:hAnsi="Times New Roman" w:cs="Times New Roman"/>
          <w:sz w:val="24"/>
          <w:szCs w:val="24"/>
        </w:rPr>
        <w:t>l</w:t>
      </w:r>
      <w:r w:rsidR="00B77679">
        <w:rPr>
          <w:rFonts w:ascii="Times New Roman" w:hAnsi="Times New Roman" w:cs="Times New Roman"/>
          <w:sz w:val="24"/>
          <w:szCs w:val="24"/>
        </w:rPr>
        <w:t>as</w:t>
      </w:r>
      <w:r w:rsidR="004326B7" w:rsidRPr="006675B2">
        <w:rPr>
          <w:rFonts w:ascii="Times New Roman" w:hAnsi="Times New Roman" w:cs="Times New Roman"/>
          <w:sz w:val="24"/>
          <w:szCs w:val="24"/>
        </w:rPr>
        <w:t xml:space="preserve"> del precedente </w:t>
      </w:r>
      <w:r w:rsidR="00AD57F6" w:rsidRPr="006675B2">
        <w:rPr>
          <w:rFonts w:ascii="Times New Roman" w:hAnsi="Times New Roman" w:cs="Times New Roman"/>
          <w:sz w:val="24"/>
          <w:szCs w:val="24"/>
        </w:rPr>
        <w:t>y,</w:t>
      </w:r>
      <w:r w:rsidR="004326B7" w:rsidRPr="006675B2">
        <w:rPr>
          <w:rFonts w:ascii="Times New Roman" w:hAnsi="Times New Roman" w:cs="Times New Roman"/>
          <w:sz w:val="24"/>
          <w:szCs w:val="24"/>
        </w:rPr>
        <w:t xml:space="preserve"> en consecuencia, no se puede aplicar la regla establecida por la Sala Constitucional en esa oportunidad.</w:t>
      </w:r>
    </w:p>
    <w:p w14:paraId="174B6C30" w14:textId="51A5D5C9" w:rsidR="006820C3" w:rsidRPr="00D56676" w:rsidRDefault="006820C3" w:rsidP="0066627E">
      <w:pPr>
        <w:spacing w:line="240" w:lineRule="auto"/>
        <w:jc w:val="both"/>
        <w:rPr>
          <w:rFonts w:cs="Times New Roman"/>
          <w:szCs w:val="24"/>
          <w:lang w:val="es-CR"/>
        </w:rPr>
      </w:pPr>
    </w:p>
    <w:p w14:paraId="458A8982" w14:textId="77777777" w:rsidR="008E2C4F" w:rsidRDefault="008E2C4F" w:rsidP="0066627E">
      <w:pPr>
        <w:spacing w:line="240" w:lineRule="auto"/>
        <w:jc w:val="both"/>
        <w:rPr>
          <w:rFonts w:cs="Times New Roman"/>
          <w:szCs w:val="24"/>
        </w:rPr>
      </w:pPr>
    </w:p>
    <w:p w14:paraId="62075A9B" w14:textId="0123629B" w:rsidR="006820C3" w:rsidRDefault="006820C3" w:rsidP="0066627E">
      <w:pPr>
        <w:spacing w:line="240" w:lineRule="auto"/>
        <w:jc w:val="both"/>
        <w:rPr>
          <w:rFonts w:cs="Times New Roman"/>
          <w:szCs w:val="24"/>
        </w:rPr>
      </w:pPr>
      <w:r>
        <w:rPr>
          <w:rFonts w:cs="Times New Roman"/>
          <w:szCs w:val="24"/>
        </w:rPr>
        <w:t>Atentamente,</w:t>
      </w:r>
    </w:p>
    <w:p w14:paraId="0EE6AA36" w14:textId="25EF9574" w:rsidR="006820C3" w:rsidRDefault="006820C3" w:rsidP="0066627E">
      <w:pPr>
        <w:spacing w:line="240" w:lineRule="auto"/>
        <w:jc w:val="both"/>
        <w:rPr>
          <w:rFonts w:cs="Times New Roman"/>
          <w:szCs w:val="24"/>
        </w:rPr>
      </w:pPr>
    </w:p>
    <w:p w14:paraId="73454D51" w14:textId="3DA824DD" w:rsidR="006820C3" w:rsidRDefault="00EE6913" w:rsidP="0066627E">
      <w:pPr>
        <w:spacing w:line="240" w:lineRule="auto"/>
        <w:jc w:val="both"/>
        <w:rPr>
          <w:rFonts w:cs="Times New Roman"/>
          <w:szCs w:val="24"/>
        </w:rPr>
      </w:pPr>
      <w:r>
        <w:rPr>
          <w:noProof/>
        </w:rPr>
        <w:drawing>
          <wp:inline distT="0" distB="0" distL="0" distR="0" wp14:anchorId="795082E1" wp14:editId="5FE033E9">
            <wp:extent cx="1043623" cy="904875"/>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9063" cy="909591"/>
                    </a:xfrm>
                    <a:prstGeom prst="rect">
                      <a:avLst/>
                    </a:prstGeom>
                    <a:noFill/>
                    <a:ln>
                      <a:noFill/>
                    </a:ln>
                  </pic:spPr>
                </pic:pic>
              </a:graphicData>
            </a:graphic>
          </wp:inline>
        </w:drawing>
      </w:r>
    </w:p>
    <w:p w14:paraId="5F79621E" w14:textId="5159CDAC" w:rsidR="008E2C4F" w:rsidRDefault="008E2C4F" w:rsidP="0066627E">
      <w:pPr>
        <w:spacing w:line="240" w:lineRule="auto"/>
        <w:jc w:val="both"/>
        <w:rPr>
          <w:rFonts w:cs="Times New Roman"/>
          <w:szCs w:val="24"/>
        </w:rPr>
      </w:pPr>
    </w:p>
    <w:p w14:paraId="238EEFE5" w14:textId="77777777" w:rsidR="003B799C" w:rsidRDefault="0077507C" w:rsidP="00943196">
      <w:pPr>
        <w:tabs>
          <w:tab w:val="left" w:pos="284"/>
        </w:tabs>
        <w:spacing w:line="240" w:lineRule="auto"/>
        <w:jc w:val="both"/>
        <w:rPr>
          <w:rFonts w:cs="Times New Roman"/>
          <w:szCs w:val="24"/>
        </w:rPr>
      </w:pPr>
      <w:r>
        <w:rPr>
          <w:rFonts w:cs="Times New Roman"/>
          <w:szCs w:val="24"/>
        </w:rPr>
        <w:t>Elaborado por</w:t>
      </w:r>
      <w:r w:rsidR="002E71A3">
        <w:rPr>
          <w:rFonts w:cs="Times New Roman"/>
          <w:szCs w:val="24"/>
        </w:rPr>
        <w:t>:</w:t>
      </w:r>
      <w:r w:rsidRPr="0077507C">
        <w:rPr>
          <w:rFonts w:cs="Times New Roman"/>
          <w:szCs w:val="24"/>
        </w:rPr>
        <w:t xml:space="preserve"> </w:t>
      </w:r>
    </w:p>
    <w:p w14:paraId="49712724" w14:textId="4B4528FB" w:rsidR="0077507C" w:rsidRDefault="0077507C" w:rsidP="00943196">
      <w:pPr>
        <w:tabs>
          <w:tab w:val="left" w:pos="284"/>
        </w:tabs>
        <w:spacing w:line="240" w:lineRule="auto"/>
        <w:jc w:val="both"/>
        <w:rPr>
          <w:rFonts w:cs="Times New Roman"/>
          <w:szCs w:val="24"/>
        </w:rPr>
      </w:pPr>
      <w:r>
        <w:rPr>
          <w:rFonts w:cs="Times New Roman"/>
          <w:szCs w:val="24"/>
        </w:rPr>
        <w:t>Jenory Díaz Moli</w:t>
      </w:r>
      <w:r w:rsidR="00AD57F6">
        <w:rPr>
          <w:rFonts w:cs="Times New Roman"/>
          <w:szCs w:val="24"/>
        </w:rPr>
        <w:t xml:space="preserve">na                     </w:t>
      </w:r>
    </w:p>
    <w:p w14:paraId="5E8A93AA" w14:textId="77777777" w:rsidR="00830E2A" w:rsidRDefault="007C53C7" w:rsidP="00B55E1B">
      <w:pPr>
        <w:tabs>
          <w:tab w:val="left" w:pos="284"/>
          <w:tab w:val="left" w:pos="709"/>
        </w:tabs>
        <w:spacing w:line="240" w:lineRule="auto"/>
        <w:jc w:val="both"/>
        <w:rPr>
          <w:rFonts w:cs="Times New Roman"/>
          <w:szCs w:val="24"/>
        </w:rPr>
      </w:pPr>
      <w:r>
        <w:rPr>
          <w:rFonts w:cs="Times New Roman"/>
          <w:szCs w:val="24"/>
        </w:rPr>
        <w:t xml:space="preserve">Abogada Principal </w:t>
      </w:r>
      <w:r w:rsidR="00943196">
        <w:rPr>
          <w:rFonts w:cs="Times New Roman"/>
          <w:szCs w:val="24"/>
        </w:rPr>
        <w:tab/>
      </w:r>
    </w:p>
    <w:p w14:paraId="06B6E14E" w14:textId="77777777" w:rsidR="00830E2A" w:rsidRDefault="00830E2A" w:rsidP="00B55E1B">
      <w:pPr>
        <w:tabs>
          <w:tab w:val="left" w:pos="284"/>
          <w:tab w:val="left" w:pos="709"/>
        </w:tabs>
        <w:spacing w:line="240" w:lineRule="auto"/>
        <w:jc w:val="both"/>
        <w:rPr>
          <w:rFonts w:cs="Times New Roman"/>
          <w:szCs w:val="24"/>
        </w:rPr>
      </w:pPr>
    </w:p>
    <w:p w14:paraId="27DE112D" w14:textId="2B506983" w:rsidR="00830E2A" w:rsidRDefault="00830E2A" w:rsidP="00B55E1B">
      <w:pPr>
        <w:tabs>
          <w:tab w:val="left" w:pos="284"/>
          <w:tab w:val="left" w:pos="709"/>
        </w:tabs>
        <w:spacing w:line="240" w:lineRule="auto"/>
        <w:jc w:val="both"/>
        <w:rPr>
          <w:rFonts w:cs="Times New Roman"/>
          <w:szCs w:val="24"/>
        </w:rPr>
      </w:pPr>
    </w:p>
    <w:p w14:paraId="46EC8408" w14:textId="20E8847A" w:rsidR="00EE6913" w:rsidRDefault="00EE6913" w:rsidP="00B55E1B">
      <w:pPr>
        <w:tabs>
          <w:tab w:val="left" w:pos="284"/>
          <w:tab w:val="left" w:pos="709"/>
        </w:tabs>
        <w:spacing w:line="240" w:lineRule="auto"/>
        <w:jc w:val="both"/>
        <w:rPr>
          <w:rFonts w:cs="Times New Roman"/>
          <w:szCs w:val="24"/>
        </w:rPr>
      </w:pPr>
      <w:r w:rsidRPr="00EE6913">
        <w:rPr>
          <w:rFonts w:cs="Times New Roman"/>
          <w:noProof/>
          <w:szCs w:val="24"/>
        </w:rPr>
        <w:drawing>
          <wp:inline distT="0" distB="0" distL="0" distR="0" wp14:anchorId="43A8DAC7" wp14:editId="4C8B8E8D">
            <wp:extent cx="1133475" cy="7143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714375"/>
                    </a:xfrm>
                    <a:prstGeom prst="rect">
                      <a:avLst/>
                    </a:prstGeom>
                    <a:noFill/>
                    <a:ln>
                      <a:noFill/>
                    </a:ln>
                  </pic:spPr>
                </pic:pic>
              </a:graphicData>
            </a:graphic>
          </wp:inline>
        </w:drawing>
      </w:r>
    </w:p>
    <w:p w14:paraId="41F9BC44" w14:textId="77777777" w:rsidR="006B402C" w:rsidRDefault="006B402C" w:rsidP="00B55E1B">
      <w:pPr>
        <w:tabs>
          <w:tab w:val="left" w:pos="284"/>
          <w:tab w:val="left" w:pos="709"/>
        </w:tabs>
        <w:spacing w:line="240" w:lineRule="auto"/>
        <w:jc w:val="both"/>
        <w:rPr>
          <w:rFonts w:cs="Times New Roman"/>
          <w:szCs w:val="24"/>
        </w:rPr>
      </w:pPr>
      <w:r w:rsidRPr="006B402C">
        <w:rPr>
          <w:rFonts w:cs="Times New Roman"/>
          <w:szCs w:val="24"/>
        </w:rPr>
        <w:t xml:space="preserve">Aprobado por: </w:t>
      </w:r>
    </w:p>
    <w:p w14:paraId="2F68FC96" w14:textId="525FD84C" w:rsidR="006B402C" w:rsidRDefault="006B402C" w:rsidP="00B55E1B">
      <w:pPr>
        <w:tabs>
          <w:tab w:val="left" w:pos="284"/>
          <w:tab w:val="left" w:pos="709"/>
        </w:tabs>
        <w:spacing w:line="240" w:lineRule="auto"/>
        <w:jc w:val="both"/>
        <w:rPr>
          <w:rFonts w:cs="Times New Roman"/>
          <w:szCs w:val="24"/>
        </w:rPr>
      </w:pPr>
      <w:r w:rsidRPr="006B402C">
        <w:rPr>
          <w:rFonts w:cs="Times New Roman"/>
          <w:szCs w:val="24"/>
        </w:rPr>
        <w:t>Nelly Vargas Hernández</w:t>
      </w:r>
    </w:p>
    <w:p w14:paraId="763FEE8E" w14:textId="3A7E80E9" w:rsidR="007C53C7" w:rsidRDefault="00943196" w:rsidP="00B55E1B">
      <w:pPr>
        <w:tabs>
          <w:tab w:val="left" w:pos="284"/>
          <w:tab w:val="left" w:pos="709"/>
        </w:tabs>
        <w:spacing w:line="240" w:lineRule="auto"/>
        <w:jc w:val="both"/>
        <w:rPr>
          <w:rFonts w:cs="Times New Roman"/>
          <w:szCs w:val="24"/>
        </w:rPr>
      </w:pPr>
      <w:r>
        <w:rPr>
          <w:rFonts w:cs="Times New Roman"/>
          <w:szCs w:val="24"/>
        </w:rPr>
        <w:t>Directora</w:t>
      </w:r>
    </w:p>
    <w:p w14:paraId="152827C2" w14:textId="086BAD1E" w:rsidR="002E71A3" w:rsidRDefault="002E71A3" w:rsidP="00B221A9">
      <w:pPr>
        <w:spacing w:line="240" w:lineRule="auto"/>
        <w:jc w:val="center"/>
        <w:rPr>
          <w:rFonts w:cs="Times New Roman"/>
          <w:szCs w:val="24"/>
        </w:rPr>
      </w:pPr>
    </w:p>
    <w:p w14:paraId="3DA09347" w14:textId="77777777" w:rsidR="00376644" w:rsidRDefault="00376644" w:rsidP="00B221A9">
      <w:pPr>
        <w:spacing w:line="240" w:lineRule="auto"/>
        <w:jc w:val="center"/>
        <w:rPr>
          <w:rFonts w:cs="Times New Roman"/>
          <w:szCs w:val="24"/>
        </w:rPr>
      </w:pPr>
    </w:p>
    <w:p w14:paraId="628D911B" w14:textId="5D1BF8E4" w:rsidR="00E33191" w:rsidRPr="00D25D44" w:rsidRDefault="00B221A9" w:rsidP="00B221A9">
      <w:pPr>
        <w:spacing w:line="240" w:lineRule="auto"/>
        <w:jc w:val="center"/>
        <w:rPr>
          <w:rFonts w:cs="Times New Roman"/>
          <w:szCs w:val="24"/>
        </w:rPr>
      </w:pPr>
      <w:r>
        <w:rPr>
          <w:rFonts w:cs="Times New Roman"/>
          <w:szCs w:val="24"/>
        </w:rPr>
        <w:t xml:space="preserve">División </w:t>
      </w:r>
      <w:r w:rsidR="00610D6A">
        <w:rPr>
          <w:rFonts w:cs="Times New Roman"/>
          <w:szCs w:val="24"/>
        </w:rPr>
        <w:t xml:space="preserve">Asesoría </w:t>
      </w:r>
      <w:r>
        <w:rPr>
          <w:rFonts w:cs="Times New Roman"/>
          <w:szCs w:val="24"/>
        </w:rPr>
        <w:t>Jurídica</w:t>
      </w:r>
    </w:p>
    <w:sectPr w:rsidR="00E33191" w:rsidRPr="00D25D44" w:rsidSect="00D029E6">
      <w:headerReference w:type="even" r:id="rId13"/>
      <w:headerReference w:type="default" r:id="rId14"/>
      <w:footerReference w:type="even" r:id="rId15"/>
      <w:footerReference w:type="default" r:id="rId16"/>
      <w:headerReference w:type="first" r:id="rId17"/>
      <w:footerReference w:type="first" r:id="rId18"/>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7D905" w14:textId="77777777" w:rsidR="00960159" w:rsidRDefault="00960159" w:rsidP="00011FAB">
      <w:pPr>
        <w:spacing w:line="240" w:lineRule="auto"/>
      </w:pPr>
      <w:r>
        <w:separator/>
      </w:r>
    </w:p>
  </w:endnote>
  <w:endnote w:type="continuationSeparator" w:id="0">
    <w:p w14:paraId="71765313" w14:textId="77777777" w:rsidR="00960159" w:rsidRDefault="00960159"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1BF55" w14:textId="77777777" w:rsidR="00EE6913" w:rsidRDefault="00EE69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97444" w14:textId="77777777" w:rsidR="007B3D18" w:rsidRDefault="007B3D18" w:rsidP="003621B6">
    <w:pPr>
      <w:pStyle w:val="Piedepgina"/>
      <w:pBdr>
        <w:top w:val="single" w:sz="4" w:space="1" w:color="auto"/>
      </w:pBdr>
      <w:rPr>
        <w:i/>
        <w:szCs w:val="24"/>
      </w:rPr>
    </w:pPr>
  </w:p>
  <w:p w14:paraId="7DDE0002" w14:textId="77777777" w:rsidR="007B3D18" w:rsidRPr="00BE078A" w:rsidRDefault="007B3D18" w:rsidP="00E36977">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E34EC" w14:textId="77777777" w:rsidR="007B3D18" w:rsidRDefault="007B3D18" w:rsidP="003621B6">
    <w:pPr>
      <w:pStyle w:val="Piedepgina"/>
      <w:pBdr>
        <w:top w:val="single" w:sz="4" w:space="1" w:color="auto"/>
      </w:pBdr>
      <w:rPr>
        <w:i/>
        <w:szCs w:val="24"/>
      </w:rPr>
    </w:pPr>
  </w:p>
  <w:p w14:paraId="5EF122FD" w14:textId="77777777" w:rsidR="007B3D18" w:rsidRPr="00BE078A" w:rsidRDefault="007B3D18" w:rsidP="007E7B6F">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05F9A" w14:textId="77777777" w:rsidR="00960159" w:rsidRDefault="00960159" w:rsidP="00011FAB">
      <w:pPr>
        <w:spacing w:line="240" w:lineRule="auto"/>
      </w:pPr>
      <w:r>
        <w:separator/>
      </w:r>
    </w:p>
  </w:footnote>
  <w:footnote w:type="continuationSeparator" w:id="0">
    <w:p w14:paraId="58F56C29" w14:textId="77777777" w:rsidR="00960159" w:rsidRDefault="00960159" w:rsidP="00011FAB">
      <w:pPr>
        <w:spacing w:line="240" w:lineRule="auto"/>
      </w:pPr>
      <w:r>
        <w:continuationSeparator/>
      </w:r>
    </w:p>
  </w:footnote>
  <w:footnote w:id="1">
    <w:p w14:paraId="11A5AB58" w14:textId="58841A7B" w:rsidR="007B3D18" w:rsidRPr="00500111" w:rsidRDefault="007B3D18">
      <w:pPr>
        <w:pStyle w:val="Textonotapie"/>
        <w:rPr>
          <w:sz w:val="18"/>
          <w:szCs w:val="18"/>
          <w:lang w:val="es-CR"/>
        </w:rPr>
      </w:pPr>
      <w:r w:rsidRPr="00500111">
        <w:rPr>
          <w:rStyle w:val="Refdenotaalpie"/>
          <w:sz w:val="18"/>
          <w:szCs w:val="18"/>
        </w:rPr>
        <w:footnoteRef/>
      </w:r>
      <w:r w:rsidRPr="00500111">
        <w:rPr>
          <w:sz w:val="18"/>
          <w:szCs w:val="18"/>
        </w:rPr>
        <w:t xml:space="preserve"> </w:t>
      </w:r>
      <w:r w:rsidRPr="00500111">
        <w:rPr>
          <w:sz w:val="18"/>
          <w:szCs w:val="18"/>
          <w:lang w:val="es-CR"/>
        </w:rPr>
        <w:t>Tomado el 15 de octubre de 2019 de:</w:t>
      </w:r>
      <w:r w:rsidRPr="00500111">
        <w:rPr>
          <w:sz w:val="18"/>
          <w:szCs w:val="18"/>
        </w:rPr>
        <w:t xml:space="preserve"> </w:t>
      </w:r>
      <w:hyperlink r:id="rId1" w:history="1">
        <w:r w:rsidRPr="00500111">
          <w:rPr>
            <w:rStyle w:val="Hipervnculo"/>
            <w:sz w:val="18"/>
            <w:szCs w:val="18"/>
            <w:lang w:val="es-CR"/>
          </w:rPr>
          <w:t>https://es.wikipedia.org/wiki/Tablas_de_mortalidad</w:t>
        </w:r>
      </w:hyperlink>
    </w:p>
  </w:footnote>
  <w:footnote w:id="2">
    <w:p w14:paraId="4BC920D2" w14:textId="1139FE89" w:rsidR="004213A5" w:rsidRPr="00500111" w:rsidRDefault="004213A5" w:rsidP="004213A5">
      <w:pPr>
        <w:pStyle w:val="Textonotapie"/>
        <w:jc w:val="both"/>
        <w:rPr>
          <w:sz w:val="18"/>
          <w:szCs w:val="18"/>
          <w:lang w:val="es-CR"/>
        </w:rPr>
      </w:pPr>
      <w:r w:rsidRPr="00500111">
        <w:rPr>
          <w:rStyle w:val="Refdenotaalpie"/>
          <w:sz w:val="18"/>
          <w:szCs w:val="18"/>
        </w:rPr>
        <w:footnoteRef/>
      </w:r>
      <w:r w:rsidRPr="00500111">
        <w:rPr>
          <w:sz w:val="18"/>
          <w:szCs w:val="18"/>
        </w:rPr>
        <w:t xml:space="preserve"> Tablas de mortalidad” de O</w:t>
      </w:r>
      <w:r w:rsidR="006716FB" w:rsidRPr="00500111">
        <w:rPr>
          <w:sz w:val="18"/>
          <w:szCs w:val="18"/>
        </w:rPr>
        <w:t>bservatorio</w:t>
      </w:r>
      <w:r w:rsidRPr="00500111">
        <w:rPr>
          <w:sz w:val="18"/>
          <w:szCs w:val="18"/>
        </w:rPr>
        <w:t xml:space="preserve"> D</w:t>
      </w:r>
      <w:r w:rsidR="006716FB" w:rsidRPr="00500111">
        <w:rPr>
          <w:sz w:val="18"/>
          <w:szCs w:val="18"/>
        </w:rPr>
        <w:t>emográfico</w:t>
      </w:r>
      <w:r w:rsidRPr="00500111">
        <w:rPr>
          <w:sz w:val="18"/>
          <w:szCs w:val="18"/>
        </w:rPr>
        <w:t xml:space="preserve"> América Latina y el Caribe, CEPAL, pág. 208 (</w:t>
      </w:r>
      <w:hyperlink r:id="rId2" w:history="1">
        <w:r w:rsidRPr="00500111">
          <w:rPr>
            <w:rStyle w:val="Hipervnculo"/>
            <w:sz w:val="18"/>
            <w:szCs w:val="18"/>
          </w:rPr>
          <w:t>https://repositorio.cepal.org/bitstream/handle/11362/42361/1/S1700661_mu.pdf</w:t>
        </w:r>
      </w:hyperlink>
    </w:p>
  </w:footnote>
  <w:footnote w:id="3">
    <w:p w14:paraId="2AABC3CD" w14:textId="77777777" w:rsidR="007B3D18" w:rsidRPr="00500111" w:rsidRDefault="007B3D18" w:rsidP="00F72048">
      <w:pPr>
        <w:spacing w:line="240" w:lineRule="auto"/>
        <w:jc w:val="both"/>
        <w:rPr>
          <w:sz w:val="18"/>
          <w:szCs w:val="18"/>
          <w:lang w:val="es-CR"/>
        </w:rPr>
      </w:pPr>
      <w:r w:rsidRPr="00500111">
        <w:rPr>
          <w:rStyle w:val="Refdenotaalpie"/>
          <w:sz w:val="18"/>
          <w:szCs w:val="18"/>
        </w:rPr>
        <w:footnoteRef/>
      </w:r>
      <w:r w:rsidRPr="00500111">
        <w:rPr>
          <w:sz w:val="18"/>
          <w:szCs w:val="18"/>
        </w:rPr>
        <w:t>T</w:t>
      </w:r>
      <w:r w:rsidRPr="00500111">
        <w:rPr>
          <w:sz w:val="18"/>
          <w:szCs w:val="18"/>
          <w:lang w:val="es-CR"/>
        </w:rPr>
        <w:t>omado el 15 de octubre de 2019 de:</w:t>
      </w:r>
    </w:p>
    <w:p w14:paraId="24BA5705" w14:textId="1B74F612" w:rsidR="007B3D18" w:rsidRPr="00500111" w:rsidRDefault="007B3D18" w:rsidP="00F72048">
      <w:pPr>
        <w:spacing w:line="240" w:lineRule="auto"/>
        <w:jc w:val="both"/>
        <w:rPr>
          <w:rStyle w:val="Hipervnculo"/>
          <w:rFonts w:cs="Times New Roman"/>
          <w:sz w:val="18"/>
          <w:szCs w:val="18"/>
        </w:rPr>
      </w:pPr>
      <w:r w:rsidRPr="00500111">
        <w:rPr>
          <w:sz w:val="18"/>
          <w:szCs w:val="18"/>
          <w:lang w:val="es-CR"/>
        </w:rPr>
        <w:t xml:space="preserve"> </w:t>
      </w:r>
      <w:hyperlink r:id="rId3" w:history="1">
        <w:r w:rsidRPr="00500111">
          <w:rPr>
            <w:rStyle w:val="Hipervnculo"/>
            <w:rFonts w:cs="Times New Roman"/>
            <w:sz w:val="18"/>
            <w:szCs w:val="18"/>
          </w:rPr>
          <w:t>http://www.one.cu/publicaciones/preguntasfrecuentes/Esperanza%20de%20Vida.pdf</w:t>
        </w:r>
      </w:hyperlink>
    </w:p>
    <w:p w14:paraId="114BA380" w14:textId="77777777" w:rsidR="007B3D18" w:rsidRPr="00F72048" w:rsidRDefault="007B3D18" w:rsidP="00F72048">
      <w:pPr>
        <w:spacing w:line="240" w:lineRule="auto"/>
        <w:jc w:val="both"/>
        <w:rPr>
          <w:rFonts w:cs="Times New Roman"/>
          <w:sz w:val="20"/>
          <w:szCs w:val="20"/>
        </w:rPr>
      </w:pPr>
    </w:p>
    <w:p w14:paraId="48EE1B77" w14:textId="37F408FA" w:rsidR="007B3D18" w:rsidRPr="001C2A4F" w:rsidRDefault="007B3D18">
      <w:pPr>
        <w:pStyle w:val="Textonotapie"/>
        <w:rPr>
          <w:lang w:val="es-CR"/>
        </w:rPr>
      </w:pPr>
    </w:p>
  </w:footnote>
  <w:footnote w:id="4">
    <w:p w14:paraId="4713F2BA" w14:textId="7290F474" w:rsidR="007B3D18" w:rsidRPr="00D31330" w:rsidRDefault="007B3D18" w:rsidP="00D31330">
      <w:pPr>
        <w:pStyle w:val="Textonotapie"/>
        <w:jc w:val="both"/>
        <w:rPr>
          <w:sz w:val="18"/>
          <w:szCs w:val="18"/>
          <w:lang w:val="es-CR"/>
        </w:rPr>
      </w:pPr>
      <w:r w:rsidRPr="00D31330">
        <w:rPr>
          <w:rStyle w:val="Refdenotaalpie"/>
          <w:sz w:val="18"/>
          <w:szCs w:val="18"/>
        </w:rPr>
        <w:footnoteRef/>
      </w:r>
      <w:r w:rsidRPr="00D31330">
        <w:rPr>
          <w:sz w:val="18"/>
          <w:szCs w:val="18"/>
        </w:rPr>
        <w:t xml:space="preserve"> Méndez Fonseca, Floribel, </w:t>
      </w:r>
      <w:r w:rsidRPr="00D31330">
        <w:rPr>
          <w:sz w:val="18"/>
          <w:szCs w:val="18"/>
          <w:u w:val="single"/>
        </w:rPr>
        <w:t>Evolución de la esperanza de vida al nacimiento en costa rica 1900 – 2000</w:t>
      </w:r>
      <w:r w:rsidRPr="00D31330">
        <w:rPr>
          <w:sz w:val="18"/>
          <w:szCs w:val="18"/>
        </w:rPr>
        <w:t>, Instituto Nacional de Estadística y Censo, Pág. 3</w:t>
      </w:r>
    </w:p>
  </w:footnote>
  <w:footnote w:id="5">
    <w:p w14:paraId="128FA947" w14:textId="0834E9E5" w:rsidR="007B3D18" w:rsidRPr="00D31330" w:rsidRDefault="007B3D18" w:rsidP="00D31330">
      <w:pPr>
        <w:pStyle w:val="Textonotapie"/>
        <w:jc w:val="both"/>
        <w:rPr>
          <w:sz w:val="18"/>
          <w:szCs w:val="18"/>
          <w:lang w:val="es-CR"/>
        </w:rPr>
      </w:pPr>
      <w:r w:rsidRPr="00D31330">
        <w:rPr>
          <w:rStyle w:val="Refdenotaalpie"/>
          <w:sz w:val="18"/>
          <w:szCs w:val="18"/>
        </w:rPr>
        <w:footnoteRef/>
      </w:r>
      <w:r w:rsidRPr="00D31330">
        <w:rPr>
          <w:sz w:val="18"/>
          <w:szCs w:val="18"/>
        </w:rPr>
        <w:t xml:space="preserve"> Tomado de:</w:t>
      </w:r>
      <w:r w:rsidR="00525316">
        <w:rPr>
          <w:sz w:val="18"/>
          <w:szCs w:val="18"/>
        </w:rPr>
        <w:t xml:space="preserve"> </w:t>
      </w:r>
      <w:r w:rsidRPr="00D31330">
        <w:rPr>
          <w:sz w:val="18"/>
          <w:szCs w:val="18"/>
        </w:rPr>
        <w:t xml:space="preserve"> http://www.one.cu/publicaciones/preguntasfrecuentes/Esperanza%20de%20Vida.pdf</w:t>
      </w:r>
    </w:p>
  </w:footnote>
  <w:footnote w:id="6">
    <w:p w14:paraId="34492821" w14:textId="77777777" w:rsidR="007B3D18" w:rsidRPr="00D31330" w:rsidRDefault="007B3D18" w:rsidP="00D31330">
      <w:pPr>
        <w:spacing w:line="240" w:lineRule="auto"/>
        <w:jc w:val="both"/>
        <w:rPr>
          <w:sz w:val="18"/>
          <w:szCs w:val="18"/>
        </w:rPr>
      </w:pPr>
      <w:r w:rsidRPr="00D31330">
        <w:rPr>
          <w:rStyle w:val="Refdenotaalpie"/>
          <w:sz w:val="18"/>
          <w:szCs w:val="18"/>
        </w:rPr>
        <w:footnoteRef/>
      </w:r>
      <w:r w:rsidRPr="00D31330">
        <w:rPr>
          <w:sz w:val="18"/>
          <w:szCs w:val="18"/>
        </w:rPr>
        <w:t xml:space="preserve"> OCDE, Panorama de las pensiones América Latina y el Caribe, 2015, Pág. 44.</w:t>
      </w:r>
    </w:p>
    <w:p w14:paraId="62410071" w14:textId="7D8D642E" w:rsidR="007B3D18" w:rsidRPr="00D31330" w:rsidRDefault="007B3D18" w:rsidP="00D31330">
      <w:pPr>
        <w:spacing w:line="240" w:lineRule="auto"/>
        <w:jc w:val="both"/>
        <w:rPr>
          <w:rFonts w:cs="Times New Roman"/>
          <w:sz w:val="18"/>
          <w:szCs w:val="18"/>
        </w:rPr>
      </w:pPr>
      <w:r w:rsidRPr="00D31330">
        <w:rPr>
          <w:rFonts w:cs="Times New Roman"/>
          <w:sz w:val="18"/>
          <w:szCs w:val="18"/>
        </w:rPr>
        <w:t xml:space="preserve"> </w:t>
      </w:r>
      <w:hyperlink r:id="rId4" w:history="1">
        <w:r w:rsidRPr="00D31330">
          <w:rPr>
            <w:rStyle w:val="Hipervnculo"/>
            <w:rFonts w:cs="Times New Roman"/>
            <w:sz w:val="18"/>
            <w:szCs w:val="18"/>
          </w:rPr>
          <w:t>http://www.one.cu/publicaciones/preguntasfrecuentes/Esperanza%20de%20Vida.pdf</w:t>
        </w:r>
      </w:hyperlink>
    </w:p>
    <w:p w14:paraId="00B0BB57" w14:textId="3530096C" w:rsidR="007B3D18" w:rsidRPr="00803B6B" w:rsidRDefault="007B3D18">
      <w:pPr>
        <w:pStyle w:val="Textonotapie"/>
        <w:rPr>
          <w:lang w:val="es-CR"/>
        </w:rPr>
      </w:pPr>
    </w:p>
  </w:footnote>
  <w:footnote w:id="7">
    <w:p w14:paraId="7034CE57" w14:textId="5F5E3970" w:rsidR="007B3D18" w:rsidRPr="00C25DCC" w:rsidRDefault="007B3D18">
      <w:pPr>
        <w:pStyle w:val="Textonotapie"/>
        <w:rPr>
          <w:lang w:val="es-CR"/>
        </w:rPr>
      </w:pPr>
      <w:r>
        <w:rPr>
          <w:rStyle w:val="Refdenotaalpie"/>
        </w:rPr>
        <w:footnoteRef/>
      </w:r>
      <w:r>
        <w:t xml:space="preserve"> </w:t>
      </w:r>
      <w:r w:rsidRPr="00615C16">
        <w:rPr>
          <w:sz w:val="18"/>
          <w:szCs w:val="18"/>
        </w:rPr>
        <w:t xml:space="preserve">CEPAL, Centro Latinoamericano y Caribeño de Demografía, Observatorio demográfico América Latina y el Caribe Tablas de mortalidad 2017, </w:t>
      </w:r>
      <w:r w:rsidRPr="00615C16">
        <w:rPr>
          <w:sz w:val="18"/>
          <w:szCs w:val="18"/>
          <w:lang w:val="es-CR"/>
        </w:rPr>
        <w:t>Pág. 23.</w:t>
      </w:r>
    </w:p>
  </w:footnote>
  <w:footnote w:id="8">
    <w:p w14:paraId="53A8372B" w14:textId="2CA1B84B" w:rsidR="007B3D18" w:rsidRPr="00EF1872" w:rsidRDefault="007B3D18" w:rsidP="00EF1872">
      <w:pPr>
        <w:pStyle w:val="Textonotapie"/>
        <w:jc w:val="both"/>
        <w:rPr>
          <w:lang w:val="es-CR"/>
        </w:rPr>
      </w:pPr>
      <w:r>
        <w:rPr>
          <w:rStyle w:val="Refdenotaalpie"/>
        </w:rPr>
        <w:footnoteRef/>
      </w:r>
      <w:r>
        <w:t xml:space="preserve"> </w:t>
      </w:r>
      <w:r w:rsidRPr="00DF0E67">
        <w:rPr>
          <w:sz w:val="18"/>
          <w:szCs w:val="18"/>
          <w:lang w:val="es-CR"/>
        </w:rPr>
        <w:t xml:space="preserve">Hernández Valle, Rubén, </w:t>
      </w:r>
      <w:r w:rsidRPr="00DF0E67">
        <w:rPr>
          <w:sz w:val="18"/>
          <w:szCs w:val="18"/>
          <w:u w:val="single"/>
          <w:lang w:val="es-CR"/>
        </w:rPr>
        <w:t>La vinculatoriedad de las resoluciones de la Sala Constitucional</w:t>
      </w:r>
      <w:r w:rsidRPr="00DF0E67">
        <w:rPr>
          <w:sz w:val="18"/>
          <w:szCs w:val="18"/>
          <w:lang w:val="es-CR"/>
        </w:rPr>
        <w:t>. Tomado de:</w:t>
      </w:r>
      <w:r w:rsidRPr="00DF0E67">
        <w:rPr>
          <w:sz w:val="18"/>
          <w:szCs w:val="18"/>
        </w:rPr>
        <w:t xml:space="preserve"> </w:t>
      </w:r>
      <w:hyperlink r:id="rId5" w:history="1">
        <w:r w:rsidRPr="00DF0E67">
          <w:rPr>
            <w:rStyle w:val="Hipervnculo"/>
            <w:sz w:val="18"/>
            <w:szCs w:val="18"/>
            <w:lang w:val="es-CR"/>
          </w:rPr>
          <w:t>https://webcache.googleusercontent.com/search?q=cache:n2gOylAIfI4J:https://escuelajudicialpj.poder-judicial.go.cr/Archivos/documentos/revs_juds/rev_jud_92/01-la%2520vinculatoriedad.htm+&amp;cd=7&amp;hl=es-419&amp;ct=clnk&amp;gl=cr</w:t>
        </w:r>
      </w:hyperlink>
    </w:p>
  </w:footnote>
  <w:footnote w:id="9">
    <w:p w14:paraId="7C6C4240" w14:textId="0ED1781D" w:rsidR="00BA535F" w:rsidRPr="00BA535F" w:rsidRDefault="00BA535F">
      <w:pPr>
        <w:pStyle w:val="Textonotapie"/>
        <w:rPr>
          <w:lang w:val="es-CR"/>
        </w:rPr>
      </w:pPr>
      <w:r>
        <w:rPr>
          <w:rStyle w:val="Refdenotaalpie"/>
        </w:rPr>
        <w:footnoteRef/>
      </w:r>
      <w:r>
        <w:t xml:space="preserve"> </w:t>
      </w:r>
      <w:r>
        <w:rPr>
          <w:lang w:val="es-CR"/>
        </w:rPr>
        <w:t>No se conoce las razones por las cuales hizo un retiro en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1BF4B" w14:textId="77777777" w:rsidR="00EE6913" w:rsidRDefault="00EE69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1EDD" w14:textId="77777777" w:rsidR="007B3D18" w:rsidRDefault="007B3D18" w:rsidP="00E36977">
    <w:pPr>
      <w:pStyle w:val="Encabezado"/>
      <w:jc w:val="both"/>
    </w:pPr>
    <w:r>
      <w:rPr>
        <w:noProof/>
      </w:rPr>
      <w:drawing>
        <wp:anchor distT="0" distB="0" distL="114300" distR="114300" simplePos="0" relativeHeight="251663872" behindDoc="0" locked="0" layoutInCell="1" allowOverlap="1" wp14:anchorId="7319A18B" wp14:editId="39574051">
          <wp:simplePos x="0" y="0"/>
          <wp:positionH relativeFrom="margin">
            <wp:align>right</wp:align>
          </wp:positionH>
          <wp:positionV relativeFrom="paragraph">
            <wp:posOffset>-164694</wp:posOffset>
          </wp:positionV>
          <wp:extent cx="950595" cy="615315"/>
          <wp:effectExtent l="0" t="0" r="190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62848" behindDoc="1" locked="0" layoutInCell="1" allowOverlap="1" wp14:anchorId="634B2FC7" wp14:editId="5674C2A7">
          <wp:simplePos x="0" y="0"/>
          <wp:positionH relativeFrom="page">
            <wp:posOffset>812165</wp:posOffset>
          </wp:positionH>
          <wp:positionV relativeFrom="page">
            <wp:posOffset>184150</wp:posOffset>
          </wp:positionV>
          <wp:extent cx="1945005" cy="89979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5228FCD8" w14:textId="6BD44FDC" w:rsidR="007B3D18" w:rsidRPr="00092B79" w:rsidRDefault="007B3D18"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F525D3">
      <w:rPr>
        <w:b/>
        <w:i/>
        <w:noProof/>
        <w:szCs w:val="24"/>
      </w:rPr>
      <w:t>PJD-14-2019</w:t>
    </w:r>
    <w:r w:rsidRPr="00092B79">
      <w:rPr>
        <w:b/>
        <w:i/>
        <w:noProof/>
        <w:szCs w:val="24"/>
      </w:rPr>
      <w:fldChar w:fldCharType="end"/>
    </w:r>
  </w:p>
  <w:p w14:paraId="0978CE47" w14:textId="77777777" w:rsidR="007B3D18" w:rsidRDefault="007B3D18" w:rsidP="006B6689">
    <w:pPr>
      <w:pStyle w:val="Encabezado"/>
      <w:rPr>
        <w:i/>
        <w:szCs w:val="24"/>
      </w:rPr>
    </w:pPr>
    <w:r>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Pr>
        <w:i/>
        <w:noProof/>
        <w:szCs w:val="24"/>
      </w:rPr>
      <w:t>2</w:t>
    </w:r>
    <w:r w:rsidRPr="00DC38D9">
      <w:rPr>
        <w:i/>
        <w:szCs w:val="24"/>
      </w:rPr>
      <w:fldChar w:fldCharType="end"/>
    </w:r>
  </w:p>
  <w:p w14:paraId="7A8E2B2B" w14:textId="77777777" w:rsidR="007B3D18" w:rsidRPr="00DC38D9" w:rsidRDefault="007B3D18"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9D8FC" w14:textId="77777777" w:rsidR="007B3D18" w:rsidRDefault="007B3D18" w:rsidP="006244C3">
    <w:pPr>
      <w:pStyle w:val="Encabezado"/>
      <w:jc w:val="both"/>
    </w:pPr>
    <w:r>
      <w:rPr>
        <w:noProof/>
      </w:rPr>
      <w:drawing>
        <wp:anchor distT="0" distB="0" distL="114300" distR="114300" simplePos="0" relativeHeight="251660800" behindDoc="0" locked="0" layoutInCell="1" allowOverlap="1" wp14:anchorId="585C66F2" wp14:editId="6BE6296E">
          <wp:simplePos x="0" y="0"/>
          <wp:positionH relativeFrom="margin">
            <wp:align>right</wp:align>
          </wp:positionH>
          <wp:positionV relativeFrom="paragraph">
            <wp:posOffset>-164694</wp:posOffset>
          </wp:positionV>
          <wp:extent cx="950595" cy="615315"/>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9776" behindDoc="1" locked="0" layoutInCell="1" allowOverlap="1" wp14:anchorId="77D040CB" wp14:editId="0B5291E0">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4003"/>
    <w:multiLevelType w:val="hybridMultilevel"/>
    <w:tmpl w:val="CF48754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00487CEE"/>
    <w:multiLevelType w:val="hybridMultilevel"/>
    <w:tmpl w:val="F1D40E0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A8C1DB0"/>
    <w:multiLevelType w:val="hybridMultilevel"/>
    <w:tmpl w:val="358EDE6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FC07C3D"/>
    <w:multiLevelType w:val="hybridMultilevel"/>
    <w:tmpl w:val="F1D40E0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B815721"/>
    <w:multiLevelType w:val="hybridMultilevel"/>
    <w:tmpl w:val="C1A8EA5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edit="readOnly" w:enforcement="1" w:cryptProviderType="rsaAES" w:cryptAlgorithmClass="hash" w:cryptAlgorithmType="typeAny" w:cryptAlgorithmSid="14" w:cryptSpinCount="100000" w:hash="vXXBHBsw+HgcJrdnabE4+c6E3m/jHhyc2Y6Woq/atw2NcnklG4nv9iezOKDxUGx394QLnaR+Cu15P6zzOuGryw==" w:salt="pDOJ9q2+y/Y7uEEeFdGgW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7E"/>
    <w:rsid w:val="000049CE"/>
    <w:rsid w:val="00010619"/>
    <w:rsid w:val="00011FAB"/>
    <w:rsid w:val="00012DC8"/>
    <w:rsid w:val="0001508A"/>
    <w:rsid w:val="000158E7"/>
    <w:rsid w:val="00015F3F"/>
    <w:rsid w:val="000171CB"/>
    <w:rsid w:val="00021ADD"/>
    <w:rsid w:val="0002225E"/>
    <w:rsid w:val="00022DA4"/>
    <w:rsid w:val="00025933"/>
    <w:rsid w:val="000305EA"/>
    <w:rsid w:val="00030B70"/>
    <w:rsid w:val="00036815"/>
    <w:rsid w:val="000421CB"/>
    <w:rsid w:val="00042DB4"/>
    <w:rsid w:val="0004462E"/>
    <w:rsid w:val="0005062C"/>
    <w:rsid w:val="000526ED"/>
    <w:rsid w:val="00055832"/>
    <w:rsid w:val="00056103"/>
    <w:rsid w:val="0006650E"/>
    <w:rsid w:val="0006750F"/>
    <w:rsid w:val="000675A5"/>
    <w:rsid w:val="00071226"/>
    <w:rsid w:val="000718B1"/>
    <w:rsid w:val="00073450"/>
    <w:rsid w:val="00073D77"/>
    <w:rsid w:val="00077D34"/>
    <w:rsid w:val="000929DA"/>
    <w:rsid w:val="00092B79"/>
    <w:rsid w:val="000934A1"/>
    <w:rsid w:val="00095117"/>
    <w:rsid w:val="00095790"/>
    <w:rsid w:val="00095832"/>
    <w:rsid w:val="00095A2B"/>
    <w:rsid w:val="00095FD8"/>
    <w:rsid w:val="000965F1"/>
    <w:rsid w:val="00097E96"/>
    <w:rsid w:val="000A08A4"/>
    <w:rsid w:val="000A1748"/>
    <w:rsid w:val="000A286A"/>
    <w:rsid w:val="000A7C76"/>
    <w:rsid w:val="000B10D3"/>
    <w:rsid w:val="000B35FB"/>
    <w:rsid w:val="000C71D9"/>
    <w:rsid w:val="000D1227"/>
    <w:rsid w:val="000D410A"/>
    <w:rsid w:val="000D4C0C"/>
    <w:rsid w:val="000D6C0D"/>
    <w:rsid w:val="000D744E"/>
    <w:rsid w:val="000D7C6F"/>
    <w:rsid w:val="000E52D7"/>
    <w:rsid w:val="000E5D49"/>
    <w:rsid w:val="000F11A1"/>
    <w:rsid w:val="000F20BC"/>
    <w:rsid w:val="000F3406"/>
    <w:rsid w:val="000F5AFD"/>
    <w:rsid w:val="001053BA"/>
    <w:rsid w:val="00106077"/>
    <w:rsid w:val="001146F0"/>
    <w:rsid w:val="00114E37"/>
    <w:rsid w:val="00124DB3"/>
    <w:rsid w:val="00132334"/>
    <w:rsid w:val="00132821"/>
    <w:rsid w:val="00141F68"/>
    <w:rsid w:val="0014325D"/>
    <w:rsid w:val="00143D84"/>
    <w:rsid w:val="00145A4E"/>
    <w:rsid w:val="00147496"/>
    <w:rsid w:val="00150DFA"/>
    <w:rsid w:val="0015712C"/>
    <w:rsid w:val="001637AF"/>
    <w:rsid w:val="001649FC"/>
    <w:rsid w:val="00165B15"/>
    <w:rsid w:val="00165B45"/>
    <w:rsid w:val="00182846"/>
    <w:rsid w:val="00193295"/>
    <w:rsid w:val="00196BDC"/>
    <w:rsid w:val="001A093D"/>
    <w:rsid w:val="001A0E44"/>
    <w:rsid w:val="001A729F"/>
    <w:rsid w:val="001A7981"/>
    <w:rsid w:val="001B09FE"/>
    <w:rsid w:val="001B3B0F"/>
    <w:rsid w:val="001B4F97"/>
    <w:rsid w:val="001B5DD2"/>
    <w:rsid w:val="001B67E6"/>
    <w:rsid w:val="001B7AEB"/>
    <w:rsid w:val="001C2A4F"/>
    <w:rsid w:val="001C3BF1"/>
    <w:rsid w:val="001C52E4"/>
    <w:rsid w:val="001C69B9"/>
    <w:rsid w:val="001D18BF"/>
    <w:rsid w:val="001D3394"/>
    <w:rsid w:val="001E0A20"/>
    <w:rsid w:val="002046A4"/>
    <w:rsid w:val="002073B7"/>
    <w:rsid w:val="002119D0"/>
    <w:rsid w:val="0021265B"/>
    <w:rsid w:val="00215FFE"/>
    <w:rsid w:val="00216412"/>
    <w:rsid w:val="002230A3"/>
    <w:rsid w:val="00224E1C"/>
    <w:rsid w:val="00225AA9"/>
    <w:rsid w:val="00225E44"/>
    <w:rsid w:val="00230552"/>
    <w:rsid w:val="00230F6F"/>
    <w:rsid w:val="002318FA"/>
    <w:rsid w:val="00231C1A"/>
    <w:rsid w:val="00232B46"/>
    <w:rsid w:val="00236E94"/>
    <w:rsid w:val="00237CEF"/>
    <w:rsid w:val="00243B23"/>
    <w:rsid w:val="002527CA"/>
    <w:rsid w:val="00252C6E"/>
    <w:rsid w:val="00255807"/>
    <w:rsid w:val="00257297"/>
    <w:rsid w:val="002616CC"/>
    <w:rsid w:val="00261F6E"/>
    <w:rsid w:val="00262593"/>
    <w:rsid w:val="00267D82"/>
    <w:rsid w:val="00267EA5"/>
    <w:rsid w:val="0027241F"/>
    <w:rsid w:val="00274175"/>
    <w:rsid w:val="00277C51"/>
    <w:rsid w:val="00287D61"/>
    <w:rsid w:val="00290EE5"/>
    <w:rsid w:val="00291FB6"/>
    <w:rsid w:val="00295482"/>
    <w:rsid w:val="00297D85"/>
    <w:rsid w:val="002A0FBC"/>
    <w:rsid w:val="002A2350"/>
    <w:rsid w:val="002A3651"/>
    <w:rsid w:val="002A4D43"/>
    <w:rsid w:val="002A551B"/>
    <w:rsid w:val="002A5A68"/>
    <w:rsid w:val="002B01C6"/>
    <w:rsid w:val="002B18DF"/>
    <w:rsid w:val="002B2823"/>
    <w:rsid w:val="002C3EFC"/>
    <w:rsid w:val="002D419A"/>
    <w:rsid w:val="002D48C1"/>
    <w:rsid w:val="002E0660"/>
    <w:rsid w:val="002E147F"/>
    <w:rsid w:val="002E5131"/>
    <w:rsid w:val="002E71A3"/>
    <w:rsid w:val="002F0201"/>
    <w:rsid w:val="002F36F7"/>
    <w:rsid w:val="002F647B"/>
    <w:rsid w:val="00302968"/>
    <w:rsid w:val="00303C1A"/>
    <w:rsid w:val="00305EDC"/>
    <w:rsid w:val="003112C3"/>
    <w:rsid w:val="003117BD"/>
    <w:rsid w:val="003155C5"/>
    <w:rsid w:val="00315B22"/>
    <w:rsid w:val="003177BE"/>
    <w:rsid w:val="00320910"/>
    <w:rsid w:val="00322585"/>
    <w:rsid w:val="00322A7C"/>
    <w:rsid w:val="00323419"/>
    <w:rsid w:val="003262D5"/>
    <w:rsid w:val="00331F60"/>
    <w:rsid w:val="0033348E"/>
    <w:rsid w:val="00335811"/>
    <w:rsid w:val="0033639A"/>
    <w:rsid w:val="0034160D"/>
    <w:rsid w:val="00343DB2"/>
    <w:rsid w:val="00344521"/>
    <w:rsid w:val="003466D8"/>
    <w:rsid w:val="00347408"/>
    <w:rsid w:val="00347829"/>
    <w:rsid w:val="00350A23"/>
    <w:rsid w:val="00355F5A"/>
    <w:rsid w:val="003613F9"/>
    <w:rsid w:val="003621B6"/>
    <w:rsid w:val="00362635"/>
    <w:rsid w:val="00376644"/>
    <w:rsid w:val="00377CEE"/>
    <w:rsid w:val="00381899"/>
    <w:rsid w:val="00387336"/>
    <w:rsid w:val="00387CD6"/>
    <w:rsid w:val="0039648E"/>
    <w:rsid w:val="003A06F4"/>
    <w:rsid w:val="003A38FC"/>
    <w:rsid w:val="003A3A15"/>
    <w:rsid w:val="003B2C54"/>
    <w:rsid w:val="003B3945"/>
    <w:rsid w:val="003B5EED"/>
    <w:rsid w:val="003B667F"/>
    <w:rsid w:val="003B71B0"/>
    <w:rsid w:val="003B799C"/>
    <w:rsid w:val="003B7CAA"/>
    <w:rsid w:val="003C41ED"/>
    <w:rsid w:val="003C76F8"/>
    <w:rsid w:val="003D2F37"/>
    <w:rsid w:val="003D35CA"/>
    <w:rsid w:val="003D4B4B"/>
    <w:rsid w:val="003E4300"/>
    <w:rsid w:val="003E515E"/>
    <w:rsid w:val="003E5442"/>
    <w:rsid w:val="003E5E82"/>
    <w:rsid w:val="003E5FFE"/>
    <w:rsid w:val="003F03AF"/>
    <w:rsid w:val="003F057D"/>
    <w:rsid w:val="004011BF"/>
    <w:rsid w:val="00410CE3"/>
    <w:rsid w:val="00413B95"/>
    <w:rsid w:val="004213A5"/>
    <w:rsid w:val="00424B6B"/>
    <w:rsid w:val="00424EDE"/>
    <w:rsid w:val="00432490"/>
    <w:rsid w:val="004326B7"/>
    <w:rsid w:val="00433052"/>
    <w:rsid w:val="00433072"/>
    <w:rsid w:val="00437516"/>
    <w:rsid w:val="00440315"/>
    <w:rsid w:val="00442D51"/>
    <w:rsid w:val="00442ED0"/>
    <w:rsid w:val="00443382"/>
    <w:rsid w:val="00443735"/>
    <w:rsid w:val="00451696"/>
    <w:rsid w:val="004517DA"/>
    <w:rsid w:val="00452A79"/>
    <w:rsid w:val="00453685"/>
    <w:rsid w:val="004559E1"/>
    <w:rsid w:val="004565B1"/>
    <w:rsid w:val="00456CA0"/>
    <w:rsid w:val="0046106F"/>
    <w:rsid w:val="004627F9"/>
    <w:rsid w:val="00463751"/>
    <w:rsid w:val="00464393"/>
    <w:rsid w:val="00471F3A"/>
    <w:rsid w:val="00472AE9"/>
    <w:rsid w:val="004833F2"/>
    <w:rsid w:val="00484927"/>
    <w:rsid w:val="00485615"/>
    <w:rsid w:val="00490413"/>
    <w:rsid w:val="004959D9"/>
    <w:rsid w:val="004A2C15"/>
    <w:rsid w:val="004A6F4D"/>
    <w:rsid w:val="004B0048"/>
    <w:rsid w:val="004B0A3A"/>
    <w:rsid w:val="004B333D"/>
    <w:rsid w:val="004B46B7"/>
    <w:rsid w:val="004C1610"/>
    <w:rsid w:val="004C3EC0"/>
    <w:rsid w:val="004C62A3"/>
    <w:rsid w:val="004D2612"/>
    <w:rsid w:val="004E0727"/>
    <w:rsid w:val="004E2A86"/>
    <w:rsid w:val="004E326E"/>
    <w:rsid w:val="004E6772"/>
    <w:rsid w:val="004E6BE0"/>
    <w:rsid w:val="004E7B98"/>
    <w:rsid w:val="004F21B2"/>
    <w:rsid w:val="004F402C"/>
    <w:rsid w:val="004F4AFF"/>
    <w:rsid w:val="004F5C73"/>
    <w:rsid w:val="00500111"/>
    <w:rsid w:val="005029FE"/>
    <w:rsid w:val="00504AE3"/>
    <w:rsid w:val="00512760"/>
    <w:rsid w:val="005176D4"/>
    <w:rsid w:val="00522A41"/>
    <w:rsid w:val="00523839"/>
    <w:rsid w:val="00525225"/>
    <w:rsid w:val="00525316"/>
    <w:rsid w:val="00525CF9"/>
    <w:rsid w:val="00525D57"/>
    <w:rsid w:val="0053581F"/>
    <w:rsid w:val="00545BE9"/>
    <w:rsid w:val="00547C6A"/>
    <w:rsid w:val="005600FE"/>
    <w:rsid w:val="0056053C"/>
    <w:rsid w:val="00561FDE"/>
    <w:rsid w:val="005801E1"/>
    <w:rsid w:val="0058107F"/>
    <w:rsid w:val="00583585"/>
    <w:rsid w:val="00587BD0"/>
    <w:rsid w:val="0059081B"/>
    <w:rsid w:val="005909F6"/>
    <w:rsid w:val="00593B6F"/>
    <w:rsid w:val="00595420"/>
    <w:rsid w:val="005A0B0B"/>
    <w:rsid w:val="005A4A56"/>
    <w:rsid w:val="005B10D7"/>
    <w:rsid w:val="005B4007"/>
    <w:rsid w:val="005B4474"/>
    <w:rsid w:val="005B6D4A"/>
    <w:rsid w:val="005C0BD2"/>
    <w:rsid w:val="005D0AE4"/>
    <w:rsid w:val="005D0FCA"/>
    <w:rsid w:val="005D5D27"/>
    <w:rsid w:val="005D5D96"/>
    <w:rsid w:val="005D6B09"/>
    <w:rsid w:val="005D7C2C"/>
    <w:rsid w:val="005E0823"/>
    <w:rsid w:val="005E11AB"/>
    <w:rsid w:val="005E1473"/>
    <w:rsid w:val="005E2F47"/>
    <w:rsid w:val="005E4A8B"/>
    <w:rsid w:val="005E5554"/>
    <w:rsid w:val="005F40FC"/>
    <w:rsid w:val="005F726A"/>
    <w:rsid w:val="005F7B8D"/>
    <w:rsid w:val="00600E9B"/>
    <w:rsid w:val="00601C7B"/>
    <w:rsid w:val="0060560A"/>
    <w:rsid w:val="0060689E"/>
    <w:rsid w:val="00607D4F"/>
    <w:rsid w:val="00610D6A"/>
    <w:rsid w:val="0061218E"/>
    <w:rsid w:val="006123F3"/>
    <w:rsid w:val="00615C16"/>
    <w:rsid w:val="00621251"/>
    <w:rsid w:val="006244C3"/>
    <w:rsid w:val="00624DF3"/>
    <w:rsid w:val="00630614"/>
    <w:rsid w:val="006308CB"/>
    <w:rsid w:val="006327E1"/>
    <w:rsid w:val="00636F67"/>
    <w:rsid w:val="00640838"/>
    <w:rsid w:val="00642A58"/>
    <w:rsid w:val="00644DE9"/>
    <w:rsid w:val="006456BA"/>
    <w:rsid w:val="00645991"/>
    <w:rsid w:val="00656FB4"/>
    <w:rsid w:val="006642ED"/>
    <w:rsid w:val="0066627E"/>
    <w:rsid w:val="006675B2"/>
    <w:rsid w:val="00667D15"/>
    <w:rsid w:val="006716FB"/>
    <w:rsid w:val="00672734"/>
    <w:rsid w:val="00675F99"/>
    <w:rsid w:val="0068178A"/>
    <w:rsid w:val="006820C3"/>
    <w:rsid w:val="00684700"/>
    <w:rsid w:val="00684C57"/>
    <w:rsid w:val="00691CC8"/>
    <w:rsid w:val="00696778"/>
    <w:rsid w:val="00697343"/>
    <w:rsid w:val="00697FE3"/>
    <w:rsid w:val="006A078D"/>
    <w:rsid w:val="006A11CE"/>
    <w:rsid w:val="006B0086"/>
    <w:rsid w:val="006B0809"/>
    <w:rsid w:val="006B2A4F"/>
    <w:rsid w:val="006B402C"/>
    <w:rsid w:val="006B6689"/>
    <w:rsid w:val="006B6EEF"/>
    <w:rsid w:val="006C5791"/>
    <w:rsid w:val="006C67A9"/>
    <w:rsid w:val="006C759A"/>
    <w:rsid w:val="006D5B49"/>
    <w:rsid w:val="006D6C45"/>
    <w:rsid w:val="006D7002"/>
    <w:rsid w:val="006E2A62"/>
    <w:rsid w:val="006E47C8"/>
    <w:rsid w:val="006E67B3"/>
    <w:rsid w:val="006F0C42"/>
    <w:rsid w:val="006F2FB1"/>
    <w:rsid w:val="006F5308"/>
    <w:rsid w:val="006F5A31"/>
    <w:rsid w:val="006F5FE4"/>
    <w:rsid w:val="00701A23"/>
    <w:rsid w:val="00705689"/>
    <w:rsid w:val="00707CEC"/>
    <w:rsid w:val="00711B43"/>
    <w:rsid w:val="00713275"/>
    <w:rsid w:val="00717585"/>
    <w:rsid w:val="00720452"/>
    <w:rsid w:val="00722522"/>
    <w:rsid w:val="00730012"/>
    <w:rsid w:val="007332D4"/>
    <w:rsid w:val="0073340D"/>
    <w:rsid w:val="007346FE"/>
    <w:rsid w:val="0073547D"/>
    <w:rsid w:val="007365F5"/>
    <w:rsid w:val="0074173E"/>
    <w:rsid w:val="00742ACF"/>
    <w:rsid w:val="00743AC8"/>
    <w:rsid w:val="00763296"/>
    <w:rsid w:val="00770C85"/>
    <w:rsid w:val="0077229A"/>
    <w:rsid w:val="0077507C"/>
    <w:rsid w:val="007805D4"/>
    <w:rsid w:val="00780777"/>
    <w:rsid w:val="00781580"/>
    <w:rsid w:val="00786BF3"/>
    <w:rsid w:val="0079011B"/>
    <w:rsid w:val="007926F7"/>
    <w:rsid w:val="007941D2"/>
    <w:rsid w:val="0079478E"/>
    <w:rsid w:val="00795EE3"/>
    <w:rsid w:val="007972BB"/>
    <w:rsid w:val="007A3AEB"/>
    <w:rsid w:val="007A645D"/>
    <w:rsid w:val="007B1056"/>
    <w:rsid w:val="007B3D18"/>
    <w:rsid w:val="007B6591"/>
    <w:rsid w:val="007B6918"/>
    <w:rsid w:val="007C0C7F"/>
    <w:rsid w:val="007C2D06"/>
    <w:rsid w:val="007C4D2D"/>
    <w:rsid w:val="007C53C7"/>
    <w:rsid w:val="007C6429"/>
    <w:rsid w:val="007D711F"/>
    <w:rsid w:val="007E2C3A"/>
    <w:rsid w:val="007E474D"/>
    <w:rsid w:val="007E7168"/>
    <w:rsid w:val="007E7B6F"/>
    <w:rsid w:val="007F78A8"/>
    <w:rsid w:val="00803B6B"/>
    <w:rsid w:val="008051AB"/>
    <w:rsid w:val="00806DA4"/>
    <w:rsid w:val="008107F4"/>
    <w:rsid w:val="0081326C"/>
    <w:rsid w:val="00820B3E"/>
    <w:rsid w:val="00822D0A"/>
    <w:rsid w:val="00826872"/>
    <w:rsid w:val="00826EC1"/>
    <w:rsid w:val="008308B4"/>
    <w:rsid w:val="00830E2A"/>
    <w:rsid w:val="008311AD"/>
    <w:rsid w:val="00831B54"/>
    <w:rsid w:val="00832382"/>
    <w:rsid w:val="00832B9F"/>
    <w:rsid w:val="008337FF"/>
    <w:rsid w:val="00833A0F"/>
    <w:rsid w:val="00835D68"/>
    <w:rsid w:val="0083762B"/>
    <w:rsid w:val="00841E75"/>
    <w:rsid w:val="00845914"/>
    <w:rsid w:val="00847888"/>
    <w:rsid w:val="008561EF"/>
    <w:rsid w:val="008565FC"/>
    <w:rsid w:val="0085784C"/>
    <w:rsid w:val="0086366C"/>
    <w:rsid w:val="0087789B"/>
    <w:rsid w:val="008A098B"/>
    <w:rsid w:val="008A48B5"/>
    <w:rsid w:val="008A5763"/>
    <w:rsid w:val="008B5A3E"/>
    <w:rsid w:val="008B5C62"/>
    <w:rsid w:val="008B7715"/>
    <w:rsid w:val="008C0B57"/>
    <w:rsid w:val="008C2C7B"/>
    <w:rsid w:val="008C2E0C"/>
    <w:rsid w:val="008C7543"/>
    <w:rsid w:val="008D5E8C"/>
    <w:rsid w:val="008E2C4F"/>
    <w:rsid w:val="008E342F"/>
    <w:rsid w:val="008F2283"/>
    <w:rsid w:val="008F644B"/>
    <w:rsid w:val="008F6C92"/>
    <w:rsid w:val="009040A0"/>
    <w:rsid w:val="00911736"/>
    <w:rsid w:val="009131D7"/>
    <w:rsid w:val="009154D8"/>
    <w:rsid w:val="00915FEB"/>
    <w:rsid w:val="00920442"/>
    <w:rsid w:val="009267F4"/>
    <w:rsid w:val="00927842"/>
    <w:rsid w:val="009300AF"/>
    <w:rsid w:val="00935519"/>
    <w:rsid w:val="00937438"/>
    <w:rsid w:val="00940096"/>
    <w:rsid w:val="00942A25"/>
    <w:rsid w:val="00943196"/>
    <w:rsid w:val="00943B92"/>
    <w:rsid w:val="00947B7B"/>
    <w:rsid w:val="00951D05"/>
    <w:rsid w:val="00953C5A"/>
    <w:rsid w:val="00955D86"/>
    <w:rsid w:val="00957B9D"/>
    <w:rsid w:val="00960159"/>
    <w:rsid w:val="00960691"/>
    <w:rsid w:val="0096419A"/>
    <w:rsid w:val="0096421F"/>
    <w:rsid w:val="00966A7A"/>
    <w:rsid w:val="00967551"/>
    <w:rsid w:val="00967B19"/>
    <w:rsid w:val="00970359"/>
    <w:rsid w:val="00970436"/>
    <w:rsid w:val="00970DAC"/>
    <w:rsid w:val="009724BF"/>
    <w:rsid w:val="00974D3D"/>
    <w:rsid w:val="00975840"/>
    <w:rsid w:val="0098157E"/>
    <w:rsid w:val="009820D7"/>
    <w:rsid w:val="00987BEE"/>
    <w:rsid w:val="009913CA"/>
    <w:rsid w:val="009920BF"/>
    <w:rsid w:val="0099229F"/>
    <w:rsid w:val="0099414D"/>
    <w:rsid w:val="00994D55"/>
    <w:rsid w:val="00995A33"/>
    <w:rsid w:val="00997F95"/>
    <w:rsid w:val="009A19E3"/>
    <w:rsid w:val="009A3E53"/>
    <w:rsid w:val="009B08B1"/>
    <w:rsid w:val="009B0E0F"/>
    <w:rsid w:val="009B3671"/>
    <w:rsid w:val="009B475A"/>
    <w:rsid w:val="009B5550"/>
    <w:rsid w:val="009C091C"/>
    <w:rsid w:val="009C4553"/>
    <w:rsid w:val="009D3BFA"/>
    <w:rsid w:val="009D3F3C"/>
    <w:rsid w:val="009D3F82"/>
    <w:rsid w:val="009D5C75"/>
    <w:rsid w:val="009D5D4E"/>
    <w:rsid w:val="009E30FD"/>
    <w:rsid w:val="009E6DB2"/>
    <w:rsid w:val="009F3B39"/>
    <w:rsid w:val="009F3C42"/>
    <w:rsid w:val="009F583A"/>
    <w:rsid w:val="009F67C1"/>
    <w:rsid w:val="009F7C79"/>
    <w:rsid w:val="00A00BE0"/>
    <w:rsid w:val="00A241E6"/>
    <w:rsid w:val="00A27147"/>
    <w:rsid w:val="00A3001F"/>
    <w:rsid w:val="00A30784"/>
    <w:rsid w:val="00A47569"/>
    <w:rsid w:val="00A47644"/>
    <w:rsid w:val="00A4778B"/>
    <w:rsid w:val="00A517F4"/>
    <w:rsid w:val="00A53AC7"/>
    <w:rsid w:val="00A542DD"/>
    <w:rsid w:val="00A548F0"/>
    <w:rsid w:val="00A55863"/>
    <w:rsid w:val="00A5596E"/>
    <w:rsid w:val="00A5601E"/>
    <w:rsid w:val="00A60740"/>
    <w:rsid w:val="00A60C29"/>
    <w:rsid w:val="00A60CBE"/>
    <w:rsid w:val="00A6225F"/>
    <w:rsid w:val="00A62B47"/>
    <w:rsid w:val="00A74D74"/>
    <w:rsid w:val="00A76179"/>
    <w:rsid w:val="00A81960"/>
    <w:rsid w:val="00A8308C"/>
    <w:rsid w:val="00A949C8"/>
    <w:rsid w:val="00AA35EB"/>
    <w:rsid w:val="00AA7152"/>
    <w:rsid w:val="00AB116C"/>
    <w:rsid w:val="00AB2478"/>
    <w:rsid w:val="00AB5C29"/>
    <w:rsid w:val="00AB5F89"/>
    <w:rsid w:val="00AB682F"/>
    <w:rsid w:val="00AC1472"/>
    <w:rsid w:val="00AC3EB6"/>
    <w:rsid w:val="00AD10D3"/>
    <w:rsid w:val="00AD481B"/>
    <w:rsid w:val="00AD57F6"/>
    <w:rsid w:val="00AF22B0"/>
    <w:rsid w:val="00AF3B9B"/>
    <w:rsid w:val="00B00C22"/>
    <w:rsid w:val="00B03091"/>
    <w:rsid w:val="00B11CAF"/>
    <w:rsid w:val="00B20060"/>
    <w:rsid w:val="00B221A9"/>
    <w:rsid w:val="00B22463"/>
    <w:rsid w:val="00B2433A"/>
    <w:rsid w:val="00B25162"/>
    <w:rsid w:val="00B26F20"/>
    <w:rsid w:val="00B303A0"/>
    <w:rsid w:val="00B36E04"/>
    <w:rsid w:val="00B37E6C"/>
    <w:rsid w:val="00B400FB"/>
    <w:rsid w:val="00B40239"/>
    <w:rsid w:val="00B43024"/>
    <w:rsid w:val="00B44B84"/>
    <w:rsid w:val="00B468BF"/>
    <w:rsid w:val="00B46F7C"/>
    <w:rsid w:val="00B5035C"/>
    <w:rsid w:val="00B534F6"/>
    <w:rsid w:val="00B55E1B"/>
    <w:rsid w:val="00B627DC"/>
    <w:rsid w:val="00B66E79"/>
    <w:rsid w:val="00B67A4B"/>
    <w:rsid w:val="00B7243C"/>
    <w:rsid w:val="00B77679"/>
    <w:rsid w:val="00B82276"/>
    <w:rsid w:val="00B853E6"/>
    <w:rsid w:val="00B8646A"/>
    <w:rsid w:val="00B915FC"/>
    <w:rsid w:val="00B91A9B"/>
    <w:rsid w:val="00B94216"/>
    <w:rsid w:val="00BA0D45"/>
    <w:rsid w:val="00BA0E53"/>
    <w:rsid w:val="00BA2DBB"/>
    <w:rsid w:val="00BA3C27"/>
    <w:rsid w:val="00BA535F"/>
    <w:rsid w:val="00BB0920"/>
    <w:rsid w:val="00BC0D28"/>
    <w:rsid w:val="00BC3B21"/>
    <w:rsid w:val="00BD2CF2"/>
    <w:rsid w:val="00BD37D5"/>
    <w:rsid w:val="00BD5F5A"/>
    <w:rsid w:val="00BD6AF2"/>
    <w:rsid w:val="00BD75DC"/>
    <w:rsid w:val="00BE078A"/>
    <w:rsid w:val="00BE1EF4"/>
    <w:rsid w:val="00BE566D"/>
    <w:rsid w:val="00BE756A"/>
    <w:rsid w:val="00BE7DD9"/>
    <w:rsid w:val="00C002CE"/>
    <w:rsid w:val="00C0148B"/>
    <w:rsid w:val="00C015B1"/>
    <w:rsid w:val="00C01785"/>
    <w:rsid w:val="00C04538"/>
    <w:rsid w:val="00C074FC"/>
    <w:rsid w:val="00C12A0B"/>
    <w:rsid w:val="00C169BE"/>
    <w:rsid w:val="00C17E1D"/>
    <w:rsid w:val="00C254F1"/>
    <w:rsid w:val="00C25DCC"/>
    <w:rsid w:val="00C262DE"/>
    <w:rsid w:val="00C268ED"/>
    <w:rsid w:val="00C328EF"/>
    <w:rsid w:val="00C3400F"/>
    <w:rsid w:val="00C368DF"/>
    <w:rsid w:val="00C36E0A"/>
    <w:rsid w:val="00C41EE0"/>
    <w:rsid w:val="00C4339F"/>
    <w:rsid w:val="00C4342B"/>
    <w:rsid w:val="00C451DB"/>
    <w:rsid w:val="00C608EC"/>
    <w:rsid w:val="00C617A7"/>
    <w:rsid w:val="00C649EB"/>
    <w:rsid w:val="00C64A04"/>
    <w:rsid w:val="00C7515C"/>
    <w:rsid w:val="00C77B72"/>
    <w:rsid w:val="00C80938"/>
    <w:rsid w:val="00C838DD"/>
    <w:rsid w:val="00C84349"/>
    <w:rsid w:val="00C87904"/>
    <w:rsid w:val="00C9338C"/>
    <w:rsid w:val="00C95098"/>
    <w:rsid w:val="00CA16C2"/>
    <w:rsid w:val="00CA2AA5"/>
    <w:rsid w:val="00CA3051"/>
    <w:rsid w:val="00CA33AD"/>
    <w:rsid w:val="00CB1B8F"/>
    <w:rsid w:val="00CC0335"/>
    <w:rsid w:val="00CC24BF"/>
    <w:rsid w:val="00CC3FB1"/>
    <w:rsid w:val="00CC4B45"/>
    <w:rsid w:val="00CC4CF5"/>
    <w:rsid w:val="00CD5053"/>
    <w:rsid w:val="00CD5928"/>
    <w:rsid w:val="00CD659D"/>
    <w:rsid w:val="00CE01D9"/>
    <w:rsid w:val="00CE05A7"/>
    <w:rsid w:val="00CE20DB"/>
    <w:rsid w:val="00CE2F7F"/>
    <w:rsid w:val="00CE45CA"/>
    <w:rsid w:val="00CE6540"/>
    <w:rsid w:val="00CF4BD7"/>
    <w:rsid w:val="00CF6748"/>
    <w:rsid w:val="00D013F1"/>
    <w:rsid w:val="00D029E6"/>
    <w:rsid w:val="00D0661A"/>
    <w:rsid w:val="00D13457"/>
    <w:rsid w:val="00D136D2"/>
    <w:rsid w:val="00D162A3"/>
    <w:rsid w:val="00D207B0"/>
    <w:rsid w:val="00D255F0"/>
    <w:rsid w:val="00D256C5"/>
    <w:rsid w:val="00D25D44"/>
    <w:rsid w:val="00D30D7C"/>
    <w:rsid w:val="00D31330"/>
    <w:rsid w:val="00D350B3"/>
    <w:rsid w:val="00D359BD"/>
    <w:rsid w:val="00D35C0B"/>
    <w:rsid w:val="00D413FA"/>
    <w:rsid w:val="00D423D7"/>
    <w:rsid w:val="00D43DBB"/>
    <w:rsid w:val="00D440C1"/>
    <w:rsid w:val="00D4743F"/>
    <w:rsid w:val="00D500F7"/>
    <w:rsid w:val="00D56676"/>
    <w:rsid w:val="00D57549"/>
    <w:rsid w:val="00D653F8"/>
    <w:rsid w:val="00D66A73"/>
    <w:rsid w:val="00D70EEE"/>
    <w:rsid w:val="00D736E1"/>
    <w:rsid w:val="00D81263"/>
    <w:rsid w:val="00D83911"/>
    <w:rsid w:val="00D86433"/>
    <w:rsid w:val="00D86CC1"/>
    <w:rsid w:val="00D90DE6"/>
    <w:rsid w:val="00DA5F5C"/>
    <w:rsid w:val="00DA6664"/>
    <w:rsid w:val="00DA767B"/>
    <w:rsid w:val="00DB02F6"/>
    <w:rsid w:val="00DB368A"/>
    <w:rsid w:val="00DC17E1"/>
    <w:rsid w:val="00DC2C0A"/>
    <w:rsid w:val="00DC38D9"/>
    <w:rsid w:val="00DD04EA"/>
    <w:rsid w:val="00DD0A35"/>
    <w:rsid w:val="00DD25CD"/>
    <w:rsid w:val="00DD4D94"/>
    <w:rsid w:val="00DD729A"/>
    <w:rsid w:val="00DE0F72"/>
    <w:rsid w:val="00DE206E"/>
    <w:rsid w:val="00DE2F8A"/>
    <w:rsid w:val="00DE36A1"/>
    <w:rsid w:val="00DE615E"/>
    <w:rsid w:val="00DE7562"/>
    <w:rsid w:val="00DF0E67"/>
    <w:rsid w:val="00DF3385"/>
    <w:rsid w:val="00DF544B"/>
    <w:rsid w:val="00DF7C58"/>
    <w:rsid w:val="00E111B4"/>
    <w:rsid w:val="00E15FB9"/>
    <w:rsid w:val="00E21E7F"/>
    <w:rsid w:val="00E21EBB"/>
    <w:rsid w:val="00E23FF7"/>
    <w:rsid w:val="00E249A4"/>
    <w:rsid w:val="00E26537"/>
    <w:rsid w:val="00E32834"/>
    <w:rsid w:val="00E32C06"/>
    <w:rsid w:val="00E32FD7"/>
    <w:rsid w:val="00E33191"/>
    <w:rsid w:val="00E33741"/>
    <w:rsid w:val="00E35061"/>
    <w:rsid w:val="00E360D7"/>
    <w:rsid w:val="00E36977"/>
    <w:rsid w:val="00E37A63"/>
    <w:rsid w:val="00E41E3F"/>
    <w:rsid w:val="00E42EFF"/>
    <w:rsid w:val="00E64A8F"/>
    <w:rsid w:val="00E6741F"/>
    <w:rsid w:val="00E67E09"/>
    <w:rsid w:val="00E72F2C"/>
    <w:rsid w:val="00E73025"/>
    <w:rsid w:val="00E823DF"/>
    <w:rsid w:val="00E844EE"/>
    <w:rsid w:val="00E95D96"/>
    <w:rsid w:val="00EA0753"/>
    <w:rsid w:val="00EA12C2"/>
    <w:rsid w:val="00EA6849"/>
    <w:rsid w:val="00EC12A6"/>
    <w:rsid w:val="00EC188F"/>
    <w:rsid w:val="00EC1B04"/>
    <w:rsid w:val="00EC411B"/>
    <w:rsid w:val="00EC42C0"/>
    <w:rsid w:val="00ED1398"/>
    <w:rsid w:val="00ED7E82"/>
    <w:rsid w:val="00EE5852"/>
    <w:rsid w:val="00EE58B8"/>
    <w:rsid w:val="00EE6913"/>
    <w:rsid w:val="00EF04B3"/>
    <w:rsid w:val="00EF1872"/>
    <w:rsid w:val="00EF393A"/>
    <w:rsid w:val="00EF4F43"/>
    <w:rsid w:val="00EF5272"/>
    <w:rsid w:val="00EF72A1"/>
    <w:rsid w:val="00F00EEA"/>
    <w:rsid w:val="00F0462A"/>
    <w:rsid w:val="00F060E3"/>
    <w:rsid w:val="00F11E14"/>
    <w:rsid w:val="00F12312"/>
    <w:rsid w:val="00F22F71"/>
    <w:rsid w:val="00F23699"/>
    <w:rsid w:val="00F27B36"/>
    <w:rsid w:val="00F30789"/>
    <w:rsid w:val="00F30D9D"/>
    <w:rsid w:val="00F3253E"/>
    <w:rsid w:val="00F3770F"/>
    <w:rsid w:val="00F4019C"/>
    <w:rsid w:val="00F40642"/>
    <w:rsid w:val="00F40BC5"/>
    <w:rsid w:val="00F4135C"/>
    <w:rsid w:val="00F424FA"/>
    <w:rsid w:val="00F432E8"/>
    <w:rsid w:val="00F43C67"/>
    <w:rsid w:val="00F44087"/>
    <w:rsid w:val="00F44A91"/>
    <w:rsid w:val="00F45517"/>
    <w:rsid w:val="00F45755"/>
    <w:rsid w:val="00F47554"/>
    <w:rsid w:val="00F5047A"/>
    <w:rsid w:val="00F50B32"/>
    <w:rsid w:val="00F525D3"/>
    <w:rsid w:val="00F560CF"/>
    <w:rsid w:val="00F57041"/>
    <w:rsid w:val="00F60D6A"/>
    <w:rsid w:val="00F62FA0"/>
    <w:rsid w:val="00F64F2F"/>
    <w:rsid w:val="00F6652B"/>
    <w:rsid w:val="00F72048"/>
    <w:rsid w:val="00F72EFB"/>
    <w:rsid w:val="00F81489"/>
    <w:rsid w:val="00F835B7"/>
    <w:rsid w:val="00F9101E"/>
    <w:rsid w:val="00F9165E"/>
    <w:rsid w:val="00F927C4"/>
    <w:rsid w:val="00F93ED3"/>
    <w:rsid w:val="00F94253"/>
    <w:rsid w:val="00FA2DFB"/>
    <w:rsid w:val="00FA3A84"/>
    <w:rsid w:val="00FA59FD"/>
    <w:rsid w:val="00FA7A64"/>
    <w:rsid w:val="00FA7BD3"/>
    <w:rsid w:val="00FB0DD1"/>
    <w:rsid w:val="00FB10A0"/>
    <w:rsid w:val="00FB1B86"/>
    <w:rsid w:val="00FB1BBC"/>
    <w:rsid w:val="00FB774D"/>
    <w:rsid w:val="00FD1384"/>
    <w:rsid w:val="00FD13FD"/>
    <w:rsid w:val="00FD585A"/>
    <w:rsid w:val="00FE1BEE"/>
    <w:rsid w:val="00FE4937"/>
    <w:rsid w:val="00FE4B93"/>
    <w:rsid w:val="00FE6DA6"/>
    <w:rsid w:val="00FE7F74"/>
    <w:rsid w:val="00FF63FE"/>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7E396"/>
  <w15:docId w15:val="{CAA9B0C2-5847-4FC9-BB56-C5B752FC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262D5"/>
    <w:pPr>
      <w:spacing w:after="0" w:line="360" w:lineRule="auto"/>
    </w:pPr>
    <w:rPr>
      <w:rFonts w:ascii="Times New Roman" w:hAnsi="Times New Roman"/>
      <w:sz w:val="24"/>
    </w:rPr>
  </w:style>
  <w:style w:type="character" w:customStyle="1" w:styleId="SupenEncabezadoCar">
    <w:name w:val="Supen_Encabezado Car"/>
    <w:basedOn w:val="Fuentedeprrafopredeter"/>
    <w:link w:val="SupenEncabezado"/>
    <w:rsid w:val="003262D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uiPriority w:val="99"/>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styleId="Textonotapie">
    <w:name w:val="footnote text"/>
    <w:basedOn w:val="Normal"/>
    <w:link w:val="TextonotapieCar"/>
    <w:uiPriority w:val="99"/>
    <w:semiHidden/>
    <w:unhideWhenUsed/>
    <w:rsid w:val="00E15FB9"/>
    <w:pPr>
      <w:spacing w:line="240" w:lineRule="auto"/>
    </w:pPr>
    <w:rPr>
      <w:sz w:val="20"/>
      <w:szCs w:val="20"/>
    </w:rPr>
  </w:style>
  <w:style w:type="character" w:customStyle="1" w:styleId="TextonotapieCar">
    <w:name w:val="Texto nota pie Car"/>
    <w:basedOn w:val="Fuentedeprrafopredeter"/>
    <w:link w:val="Textonotapie"/>
    <w:uiPriority w:val="99"/>
    <w:semiHidden/>
    <w:rsid w:val="00E15FB9"/>
    <w:rPr>
      <w:rFonts w:ascii="Times New Roman" w:hAnsi="Times New Roman"/>
      <w:sz w:val="20"/>
      <w:szCs w:val="20"/>
    </w:rPr>
  </w:style>
  <w:style w:type="character" w:styleId="Refdenotaalpie">
    <w:name w:val="footnote reference"/>
    <w:basedOn w:val="Fuentedeprrafopredeter"/>
    <w:uiPriority w:val="99"/>
    <w:semiHidden/>
    <w:unhideWhenUsed/>
    <w:rsid w:val="00E15FB9"/>
    <w:rPr>
      <w:vertAlign w:val="superscript"/>
    </w:rPr>
  </w:style>
  <w:style w:type="character" w:styleId="Mencinsinresolver">
    <w:name w:val="Unresolved Mention"/>
    <w:basedOn w:val="Fuentedeprrafopredeter"/>
    <w:uiPriority w:val="99"/>
    <w:semiHidden/>
    <w:unhideWhenUsed/>
    <w:rsid w:val="00C002CE"/>
    <w:rPr>
      <w:color w:val="605E5C"/>
      <w:shd w:val="clear" w:color="auto" w:fill="E1DFDD"/>
    </w:rPr>
  </w:style>
  <w:style w:type="paragraph" w:styleId="Prrafodelista">
    <w:name w:val="List Paragraph"/>
    <w:basedOn w:val="Normal"/>
    <w:uiPriority w:val="34"/>
    <w:qFormat/>
    <w:rsid w:val="00F6652B"/>
    <w:pPr>
      <w:spacing w:after="200" w:line="276" w:lineRule="auto"/>
      <w:ind w:left="720"/>
      <w:contextualSpacing/>
    </w:pPr>
    <w:rPr>
      <w:rFonts w:ascii="Calibri" w:hAnsi="Calibri" w:cs="Calibri"/>
      <w:sz w:val="22"/>
      <w:lang w:val="es-CR"/>
    </w:rPr>
  </w:style>
  <w:style w:type="table" w:styleId="Tablaconcuadrcula">
    <w:name w:val="Table Grid"/>
    <w:basedOn w:val="Tablanormal"/>
    <w:uiPriority w:val="39"/>
    <w:rsid w:val="0077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03091"/>
    <w:rPr>
      <w:sz w:val="16"/>
      <w:szCs w:val="16"/>
    </w:rPr>
  </w:style>
  <w:style w:type="paragraph" w:styleId="Textocomentario">
    <w:name w:val="annotation text"/>
    <w:basedOn w:val="Normal"/>
    <w:link w:val="TextocomentarioCar"/>
    <w:uiPriority w:val="99"/>
    <w:semiHidden/>
    <w:unhideWhenUsed/>
    <w:rsid w:val="00B030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309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B03091"/>
    <w:rPr>
      <w:b/>
      <w:bCs/>
    </w:rPr>
  </w:style>
  <w:style w:type="character" w:customStyle="1" w:styleId="AsuntodelcomentarioCar">
    <w:name w:val="Asunto del comentario Car"/>
    <w:basedOn w:val="TextocomentarioCar"/>
    <w:link w:val="Asuntodelcomentario"/>
    <w:uiPriority w:val="99"/>
    <w:semiHidden/>
    <w:rsid w:val="00B03091"/>
    <w:rPr>
      <w:rFonts w:ascii="Times New Roman" w:hAnsi="Times New Roman"/>
      <w:b/>
      <w:bCs/>
      <w:sz w:val="20"/>
      <w:szCs w:val="20"/>
    </w:rPr>
  </w:style>
  <w:style w:type="table" w:styleId="Tablaconcuadrcula5oscura-nfasis3">
    <w:name w:val="Grid Table 5 Dark Accent 3"/>
    <w:basedOn w:val="Tablanormal"/>
    <w:uiPriority w:val="50"/>
    <w:rsid w:val="00644D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normal5">
    <w:name w:val="Plain Table 5"/>
    <w:basedOn w:val="Tablanormal"/>
    <w:uiPriority w:val="99"/>
    <w:rsid w:val="00A517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vistosa-nfasis6">
    <w:name w:val="Colorful List Accent 6"/>
    <w:basedOn w:val="Tablanormal"/>
    <w:uiPriority w:val="72"/>
    <w:rsid w:val="006A078D"/>
    <w:pPr>
      <w:spacing w:after="0" w:line="240" w:lineRule="auto"/>
    </w:pPr>
    <w:rPr>
      <w:color w:val="000000" w:themeColor="text1"/>
      <w:lang w:val="es-CR"/>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ne.cu/publicaciones/preguntasfrecuentes/Esperanza%20de%20Vida.pdf" TargetMode="External"/><Relationship Id="rId2" Type="http://schemas.openxmlformats.org/officeDocument/2006/relationships/hyperlink" Target="https://repositorio.cepal.org/bitstream/handle/11362/42361/1/S1700661_mu.pdf" TargetMode="External"/><Relationship Id="rId1" Type="http://schemas.openxmlformats.org/officeDocument/2006/relationships/hyperlink" Target="https://es.wikipedia.org/wiki/Tablas_de_mortalidad" TargetMode="External"/><Relationship Id="rId5" Type="http://schemas.openxmlformats.org/officeDocument/2006/relationships/hyperlink" Target="https://webcache.googleusercontent.com/search?q=cache:n2gOylAIfI4J:https://escuelajudicialpj.poder-judicial.go.cr/Archivos/documentos/revs_juds/rev_jud_92/01-la%2520vinculatoriedad.htm+&amp;cd=7&amp;hl=es-419&amp;ct=clnk&amp;gl=cr" TargetMode="External"/><Relationship Id="rId4" Type="http://schemas.openxmlformats.org/officeDocument/2006/relationships/hyperlink" Target="http://www.one.cu/publicaciones/preguntasfrecuentes/Esperanza%20de%20Vida.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hn\AppData\Roaming\Microsoft\Templates\Machote%20SP%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1A2DC0326F4B8186BADBDE312D1DD7"/>
        <w:category>
          <w:name w:val="General"/>
          <w:gallery w:val="placeholder"/>
        </w:category>
        <w:types>
          <w:type w:val="bbPlcHdr"/>
        </w:types>
        <w:behaviors>
          <w:behavior w:val="content"/>
        </w:behaviors>
        <w:guid w:val="{BE150CFC-26AD-4CD5-8E22-10D297C5C5C6}"/>
      </w:docPartPr>
      <w:docPartBody>
        <w:p w:rsidR="00CF55F2" w:rsidRDefault="00CF55F2">
          <w:pPr>
            <w:pStyle w:val="521A2DC0326F4B8186BADBDE312D1DD7"/>
          </w:pPr>
          <w:r w:rsidRPr="0087789B">
            <w:rPr>
              <w:rStyle w:val="Textodelmarcadordeposicin"/>
              <w:szCs w:val="24"/>
            </w:rPr>
            <w:t>Ingrese la fecha aquí.</w:t>
          </w:r>
        </w:p>
      </w:docPartBody>
    </w:docPart>
    <w:docPart>
      <w:docPartPr>
        <w:name w:val="424A349609DD481F964FBD4EAAA7D48F"/>
        <w:category>
          <w:name w:val="General"/>
          <w:gallery w:val="placeholder"/>
        </w:category>
        <w:types>
          <w:type w:val="bbPlcHdr"/>
        </w:types>
        <w:behaviors>
          <w:behavior w:val="content"/>
        </w:behaviors>
        <w:guid w:val="{06CE7953-88EB-447B-8C28-F88CB5774BBB}"/>
      </w:docPartPr>
      <w:docPartBody>
        <w:p w:rsidR="00CF55F2" w:rsidRDefault="00CF55F2">
          <w:pPr>
            <w:pStyle w:val="424A349609DD481F964FBD4EAAA7D48F"/>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F2"/>
    <w:rsid w:val="002776DD"/>
    <w:rsid w:val="002A62B0"/>
    <w:rsid w:val="005C7194"/>
    <w:rsid w:val="00614A97"/>
    <w:rsid w:val="008C481E"/>
    <w:rsid w:val="00970F87"/>
    <w:rsid w:val="00CB1D68"/>
    <w:rsid w:val="00CD4824"/>
    <w:rsid w:val="00CF55F2"/>
    <w:rsid w:val="00D0774F"/>
    <w:rsid w:val="00DA79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521A2DC0326F4B8186BADBDE312D1DD7">
    <w:name w:val="521A2DC0326F4B8186BADBDE312D1DD7"/>
  </w:style>
  <w:style w:type="paragraph" w:customStyle="1" w:styleId="424A349609DD481F964FBD4EAAA7D48F">
    <w:name w:val="424A349609DD481F964FBD4EAAA7D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vento xmlns="b54fad7e-1319-40d0-a36c-64ee330d2bd0">
      <Url>https://si.supen.fi.cr/Tramites/Tram_Detalle_Evento.aspx?evento=2019047257&amp;op=3</Url>
      <Description>2019047257</Description>
    </Even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5" ma:contentTypeDescription="Crear nuevo documento." ma:contentTypeScope="" ma:versionID="fe0728ae37ae8ca42e9cb759119ef860">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728b0f4c58c0d0a9d2758d8d521972ed"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9D99-3DEA-4202-BD79-83B2A4D57E31}">
  <ds:schemaRefs>
    <ds:schemaRef ds:uri="http://schemas.microsoft.com/sharepoint/v3/contenttype/forms"/>
  </ds:schemaRefs>
</ds:datastoreItem>
</file>

<file path=customXml/itemProps2.xml><?xml version="1.0" encoding="utf-8"?>
<ds:datastoreItem xmlns:ds="http://schemas.openxmlformats.org/officeDocument/2006/customXml" ds:itemID="{B3A54265-9611-4717-9919-210EAE0D58EE}">
  <ds:schemaRefs>
    <ds:schemaRef ds:uri="http://schemas.microsoft.com/office/2006/metadata/properties"/>
    <ds:schemaRef ds:uri="http://schemas.microsoft.com/office/infopath/2007/PartnerControls"/>
    <ds:schemaRef ds:uri="b54fad7e-1319-40d0-a36c-64ee330d2bd0"/>
  </ds:schemaRefs>
</ds:datastoreItem>
</file>

<file path=customXml/itemProps3.xml><?xml version="1.0" encoding="utf-8"?>
<ds:datastoreItem xmlns:ds="http://schemas.openxmlformats.org/officeDocument/2006/customXml" ds:itemID="{70EB175E-8FD5-4226-A47F-E428C1BEE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7DC3D-3FC5-43DD-A549-7B0E9B26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 Superintendente</Template>
  <TotalTime>8</TotalTime>
  <Pages>15</Pages>
  <Words>6107</Words>
  <Characters>33594</Characters>
  <Application>Microsoft Office Word</Application>
  <DocSecurity>8</DocSecurity>
  <Lines>279</Lines>
  <Paragraphs>79</Paragraphs>
  <ScaleCrop>false</ScaleCrop>
  <HeadingPairs>
    <vt:vector size="2" baseType="variant">
      <vt:variant>
        <vt:lpstr>Título</vt:lpstr>
      </vt:variant>
      <vt:variant>
        <vt:i4>1</vt:i4>
      </vt:variant>
    </vt:vector>
  </HeadingPairs>
  <TitlesOfParts>
    <vt:vector size="1" baseType="lpstr">
      <vt:lpstr>Cons Rafael Quesada regla jur amparo.docx</vt:lpstr>
    </vt:vector>
  </TitlesOfParts>
  <Company/>
  <LinksUpToDate>false</LinksUpToDate>
  <CharactersWithSpaces>39622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PJD-14-2019.docx</dc:title>
  <dc:subject/>
  <dc:creator>DIAZ MOLINA JENORY</dc:creator>
  <cp:keywords/>
  <dc:description/>
  <cp:lastModifiedBy>VARGAS HERNANDEZ NELLY MARIA</cp:lastModifiedBy>
  <cp:revision>4</cp:revision>
  <cp:lastPrinted>2016-11-07T18:19:00Z</cp:lastPrinted>
  <dcterms:created xsi:type="dcterms:W3CDTF">2022-04-08T18:08:00Z</dcterms:created>
  <dcterms:modified xsi:type="dcterms:W3CDTF">2022-04-08T18:14:00Z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y fmtid="{D5CDD505-2E9C-101B-9397-08002B2CF9AE}" pid="3" name="IsMyDocuments">
    <vt:bool>true</vt:bool>
  </property>
</Properties>
</file>