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3E163" w14:textId="135B6787" w:rsidR="004F21C8" w:rsidRDefault="004F21C8" w:rsidP="009D31F5">
      <w:pPr>
        <w:jc w:val="center"/>
        <w:rPr>
          <w:b/>
          <w:bCs/>
        </w:rPr>
      </w:pPr>
      <w:r w:rsidRPr="0076517B">
        <w:rPr>
          <w:b/>
          <w:bCs/>
        </w:rPr>
        <w:t xml:space="preserve">MATRIZ </w:t>
      </w:r>
      <w:r w:rsidR="002D3AA5">
        <w:rPr>
          <w:b/>
          <w:bCs/>
        </w:rPr>
        <w:t xml:space="preserve">DE OBSERVACIONES </w:t>
      </w:r>
    </w:p>
    <w:p w14:paraId="570AC2B1" w14:textId="0AC80DC9" w:rsidR="009D31F5" w:rsidRPr="0076517B" w:rsidRDefault="009D31F5" w:rsidP="009D31F5">
      <w:pPr>
        <w:jc w:val="center"/>
        <w:rPr>
          <w:b/>
          <w:bCs/>
        </w:rPr>
      </w:pPr>
      <w:r>
        <w:rPr>
          <w:b/>
          <w:bCs/>
        </w:rPr>
        <w:t xml:space="preserve">TEXTO VIGENTE / TEXTO </w:t>
      </w:r>
      <w:r w:rsidR="00114892">
        <w:rPr>
          <w:b/>
          <w:bCs/>
        </w:rPr>
        <w:t xml:space="preserve">PROPUESTO </w:t>
      </w:r>
    </w:p>
    <w:p w14:paraId="098282C4" w14:textId="11D7AECC" w:rsidR="00B370D9" w:rsidRDefault="00B370D9" w:rsidP="00603CAC">
      <w:pPr>
        <w:jc w:val="center"/>
        <w:rPr>
          <w:b/>
          <w:bCs/>
        </w:rPr>
      </w:pPr>
      <w:r>
        <w:rPr>
          <w:b/>
          <w:bCs/>
        </w:rPr>
        <w:t>R</w:t>
      </w:r>
      <w:r w:rsidRPr="00B370D9">
        <w:rPr>
          <w:b/>
          <w:bCs/>
        </w:rPr>
        <w:t>eforma el acuerdo SP-A-133-2009</w:t>
      </w:r>
    </w:p>
    <w:p w14:paraId="025D05C2" w14:textId="77777777" w:rsidR="00603CAC" w:rsidRDefault="00B370D9" w:rsidP="00603CAC">
      <w:pPr>
        <w:jc w:val="center"/>
        <w:rPr>
          <w:b/>
          <w:bCs/>
        </w:rPr>
      </w:pPr>
      <w:r w:rsidRPr="00B370D9">
        <w:rPr>
          <w:b/>
          <w:bCs/>
        </w:rPr>
        <w:t>“Disposiciones aplicables a las actas que deben llevar los órganos de dirección</w:t>
      </w:r>
    </w:p>
    <w:p w14:paraId="0394D752" w14:textId="039EE8FE" w:rsidR="008776A1" w:rsidRDefault="00B370D9" w:rsidP="00603CAC">
      <w:pPr>
        <w:jc w:val="center"/>
        <w:rPr>
          <w:b/>
          <w:bCs/>
        </w:rPr>
      </w:pPr>
      <w:r w:rsidRPr="00B370D9">
        <w:rPr>
          <w:b/>
          <w:bCs/>
        </w:rPr>
        <w:t>y los comités de riesgo y de inversiones de las entidades reguladas</w:t>
      </w:r>
    </w:p>
    <w:p w14:paraId="083A9F1B" w14:textId="77777777" w:rsidR="005164CB" w:rsidRDefault="005164CB" w:rsidP="00603CAC">
      <w:pPr>
        <w:jc w:val="center"/>
        <w:rPr>
          <w:b/>
          <w:bCs/>
        </w:rPr>
      </w:pPr>
    </w:p>
    <w:p w14:paraId="1BADEEC5" w14:textId="46C14207" w:rsidR="00E31519" w:rsidRDefault="00E31519" w:rsidP="008776A1">
      <w:pPr>
        <w:rPr>
          <w:b/>
          <w:bCs/>
        </w:rPr>
      </w:pPr>
      <w:r>
        <w:rPr>
          <w:b/>
          <w:bCs/>
        </w:rPr>
        <w:t>Detalle de las observaciones recibidas</w:t>
      </w:r>
      <w:r w:rsidR="00C8706C">
        <w:rPr>
          <w:b/>
          <w:bCs/>
        </w:rPr>
        <w:t xml:space="preserve"> según oficio </w:t>
      </w:r>
      <w:r w:rsidR="00F86A15" w:rsidRPr="00F86A15">
        <w:rPr>
          <w:b/>
          <w:bCs/>
        </w:rPr>
        <w:t>SP-117-2025</w:t>
      </w:r>
      <w:r w:rsidR="0037638F" w:rsidRPr="0037638F">
        <w:rPr>
          <w:b/>
          <w:bCs/>
        </w:rPr>
        <w:t xml:space="preserve"> </w:t>
      </w:r>
      <w:r w:rsidR="0080463E">
        <w:rPr>
          <w:b/>
          <w:bCs/>
        </w:rPr>
        <w:t xml:space="preserve">del </w:t>
      </w:r>
      <w:r w:rsidR="002B06C4">
        <w:rPr>
          <w:b/>
          <w:bCs/>
        </w:rPr>
        <w:t>6</w:t>
      </w:r>
      <w:r w:rsidR="00890F38">
        <w:rPr>
          <w:b/>
          <w:bCs/>
        </w:rPr>
        <w:t xml:space="preserve"> de </w:t>
      </w:r>
      <w:r w:rsidR="00EA3FB5">
        <w:rPr>
          <w:b/>
          <w:bCs/>
        </w:rPr>
        <w:t>febrero de 2025</w:t>
      </w:r>
      <w:r>
        <w:rPr>
          <w:b/>
          <w:bCs/>
        </w:rPr>
        <w:t xml:space="preserve">: </w:t>
      </w:r>
      <w:r w:rsidR="00404F05">
        <w:rPr>
          <w:b/>
          <w:bCs/>
        </w:rPr>
        <w:t xml:space="preserve"> </w:t>
      </w:r>
      <w:r w:rsidR="00F9082D">
        <w:rPr>
          <w:b/>
          <w:bCs/>
        </w:rPr>
        <w:t xml:space="preserve"> </w:t>
      </w:r>
      <w:r w:rsidR="00BC7201">
        <w:rPr>
          <w:b/>
          <w:bCs/>
        </w:rPr>
        <w:t xml:space="preserve"> </w:t>
      </w:r>
      <w:r w:rsidR="00EB03D6">
        <w:rPr>
          <w:b/>
          <w:bCs/>
        </w:rPr>
        <w:t xml:space="preserve"> </w:t>
      </w:r>
    </w:p>
    <w:p w14:paraId="49777023" w14:textId="77777777" w:rsidR="00D924CE" w:rsidRDefault="00D924CE" w:rsidP="008776A1">
      <w:pPr>
        <w:rPr>
          <w:b/>
          <w:bCs/>
        </w:rPr>
      </w:pPr>
    </w:p>
    <w:tbl>
      <w:tblPr>
        <w:tblStyle w:val="Tablaconcuadrcula"/>
        <w:tblW w:w="18423" w:type="dxa"/>
        <w:tblLook w:val="04A0" w:firstRow="1" w:lastRow="0" w:firstColumn="1" w:lastColumn="0" w:noHBand="0" w:noVBand="1"/>
      </w:tblPr>
      <w:tblGrid>
        <w:gridCol w:w="4248"/>
        <w:gridCol w:w="6804"/>
        <w:gridCol w:w="4252"/>
        <w:gridCol w:w="3119"/>
      </w:tblGrid>
      <w:tr w:rsidR="001B7080" w14:paraId="61FE2AAD" w14:textId="5E2A4246" w:rsidTr="000E7804">
        <w:tc>
          <w:tcPr>
            <w:tcW w:w="4248" w:type="dxa"/>
            <w:shd w:val="clear" w:color="auto" w:fill="D0CECE" w:themeFill="background2" w:themeFillShade="E6"/>
          </w:tcPr>
          <w:p w14:paraId="5F97D3A7" w14:textId="72EB7B7C" w:rsidR="001B7080" w:rsidRDefault="001B7080" w:rsidP="00E47FAC">
            <w:pPr>
              <w:rPr>
                <w:b/>
                <w:bCs/>
              </w:rPr>
            </w:pPr>
            <w:r>
              <w:rPr>
                <w:b/>
                <w:bCs/>
              </w:rPr>
              <w:t>Nombre de la entidad</w:t>
            </w:r>
          </w:p>
        </w:tc>
        <w:tc>
          <w:tcPr>
            <w:tcW w:w="6804" w:type="dxa"/>
            <w:shd w:val="clear" w:color="auto" w:fill="D0CECE" w:themeFill="background2" w:themeFillShade="E6"/>
          </w:tcPr>
          <w:p w14:paraId="5E9FA687" w14:textId="2C8E78D5" w:rsidR="001B7080" w:rsidRDefault="005F1303" w:rsidP="005F1303">
            <w:pPr>
              <w:jc w:val="center"/>
              <w:rPr>
                <w:b/>
                <w:bCs/>
              </w:rPr>
            </w:pPr>
            <w:r>
              <w:rPr>
                <w:b/>
                <w:bCs/>
              </w:rPr>
              <w:t>O</w:t>
            </w:r>
            <w:r w:rsidR="001B7080">
              <w:rPr>
                <w:b/>
                <w:bCs/>
              </w:rPr>
              <w:t>ficio</w:t>
            </w:r>
          </w:p>
        </w:tc>
        <w:tc>
          <w:tcPr>
            <w:tcW w:w="4252" w:type="dxa"/>
            <w:shd w:val="clear" w:color="auto" w:fill="D0CECE" w:themeFill="background2" w:themeFillShade="E6"/>
          </w:tcPr>
          <w:p w14:paraId="2DC4625C" w14:textId="08FDAB84" w:rsidR="001B7080" w:rsidRDefault="001B7080" w:rsidP="00E47FAC">
            <w:pPr>
              <w:rPr>
                <w:b/>
                <w:bCs/>
              </w:rPr>
            </w:pPr>
            <w:r>
              <w:rPr>
                <w:b/>
                <w:bCs/>
              </w:rPr>
              <w:t>Fecha</w:t>
            </w:r>
          </w:p>
        </w:tc>
        <w:tc>
          <w:tcPr>
            <w:tcW w:w="3119" w:type="dxa"/>
            <w:shd w:val="clear" w:color="auto" w:fill="D0CECE" w:themeFill="background2" w:themeFillShade="E6"/>
          </w:tcPr>
          <w:p w14:paraId="163D6C9F" w14:textId="005A170B" w:rsidR="001B7080" w:rsidRDefault="001B7080" w:rsidP="00E47FAC">
            <w:pPr>
              <w:rPr>
                <w:b/>
                <w:bCs/>
              </w:rPr>
            </w:pPr>
            <w:r>
              <w:rPr>
                <w:b/>
                <w:bCs/>
              </w:rPr>
              <w:t>Nota</w:t>
            </w:r>
          </w:p>
        </w:tc>
      </w:tr>
      <w:tr w:rsidR="00106F2B" w14:paraId="75DA03E2" w14:textId="37230521" w:rsidTr="000E7804">
        <w:tc>
          <w:tcPr>
            <w:tcW w:w="4248" w:type="dxa"/>
          </w:tcPr>
          <w:p w14:paraId="6AACCAE5" w14:textId="3D4A00B6" w:rsidR="00106F2B" w:rsidRDefault="00567A7E" w:rsidP="008776A1">
            <w:pPr>
              <w:rPr>
                <w:sz w:val="23"/>
                <w:szCs w:val="23"/>
              </w:rPr>
            </w:pPr>
            <w:r>
              <w:rPr>
                <w:sz w:val="23"/>
                <w:szCs w:val="23"/>
              </w:rPr>
              <w:t>BCR Pensiones</w:t>
            </w:r>
          </w:p>
        </w:tc>
        <w:tc>
          <w:tcPr>
            <w:tcW w:w="6804" w:type="dxa"/>
          </w:tcPr>
          <w:p w14:paraId="01F09DAB" w14:textId="32A9B495" w:rsidR="00106F2B" w:rsidRPr="00855265" w:rsidRDefault="00477A28" w:rsidP="005F1303">
            <w:pPr>
              <w:spacing w:line="276" w:lineRule="auto"/>
              <w:contextualSpacing/>
              <w:jc w:val="center"/>
              <w:rPr>
                <w:sz w:val="23"/>
                <w:szCs w:val="23"/>
              </w:rPr>
            </w:pPr>
            <w:r>
              <w:rPr>
                <w:sz w:val="23"/>
                <w:szCs w:val="23"/>
              </w:rPr>
              <w:object w:dxaOrig="1520" w:dyaOrig="988" w14:anchorId="33817C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pt;height:49.55pt" o:ole="">
                  <v:imagedata r:id="rId11" o:title=""/>
                </v:shape>
                <o:OLEObject Type="Embed" ProgID="AcroExch.Document.DC" ShapeID="_x0000_i1025" DrawAspect="Icon" ObjectID="_1810535950" r:id="rId12"/>
              </w:object>
            </w:r>
          </w:p>
        </w:tc>
        <w:tc>
          <w:tcPr>
            <w:tcW w:w="4252" w:type="dxa"/>
          </w:tcPr>
          <w:p w14:paraId="06DD60DF" w14:textId="45320881" w:rsidR="00106F2B" w:rsidRDefault="00681CB0" w:rsidP="000C6C1F">
            <w:pPr>
              <w:rPr>
                <w:sz w:val="23"/>
                <w:szCs w:val="23"/>
              </w:rPr>
            </w:pPr>
            <w:r>
              <w:rPr>
                <w:sz w:val="23"/>
                <w:szCs w:val="23"/>
              </w:rPr>
              <w:t>7 de febrero de 2025</w:t>
            </w:r>
          </w:p>
        </w:tc>
        <w:tc>
          <w:tcPr>
            <w:tcW w:w="3119" w:type="dxa"/>
          </w:tcPr>
          <w:p w14:paraId="55889BA1" w14:textId="6A939229" w:rsidR="00106F2B" w:rsidRDefault="00681CB0" w:rsidP="000C6C1F">
            <w:pPr>
              <w:rPr>
                <w:sz w:val="23"/>
                <w:szCs w:val="23"/>
              </w:rPr>
            </w:pPr>
            <w:r>
              <w:rPr>
                <w:sz w:val="23"/>
                <w:szCs w:val="23"/>
              </w:rPr>
              <w:t>Sin observaciones</w:t>
            </w:r>
          </w:p>
        </w:tc>
      </w:tr>
      <w:tr w:rsidR="001B7080" w14:paraId="42030457" w14:textId="3A54E892" w:rsidTr="000E7804">
        <w:tc>
          <w:tcPr>
            <w:tcW w:w="4248" w:type="dxa"/>
          </w:tcPr>
          <w:p w14:paraId="191496B9" w14:textId="1F458D88" w:rsidR="001B7080" w:rsidRDefault="00681CB0" w:rsidP="008776A1">
            <w:pPr>
              <w:rPr>
                <w:sz w:val="23"/>
                <w:szCs w:val="23"/>
              </w:rPr>
            </w:pPr>
            <w:r>
              <w:rPr>
                <w:sz w:val="23"/>
                <w:szCs w:val="23"/>
              </w:rPr>
              <w:t>Bomberos</w:t>
            </w:r>
          </w:p>
        </w:tc>
        <w:tc>
          <w:tcPr>
            <w:tcW w:w="6804" w:type="dxa"/>
          </w:tcPr>
          <w:p w14:paraId="45E7097A" w14:textId="28363B3F" w:rsidR="001B7080" w:rsidRPr="00855265" w:rsidRDefault="00681CB0" w:rsidP="005F1303">
            <w:pPr>
              <w:spacing w:line="276" w:lineRule="auto"/>
              <w:contextualSpacing/>
              <w:jc w:val="center"/>
              <w:rPr>
                <w:sz w:val="23"/>
                <w:szCs w:val="23"/>
              </w:rPr>
            </w:pPr>
            <w:r>
              <w:rPr>
                <w:sz w:val="23"/>
                <w:szCs w:val="23"/>
              </w:rPr>
              <w:object w:dxaOrig="1520" w:dyaOrig="988" w14:anchorId="438BA725">
                <v:shape id="_x0000_i1026" type="#_x0000_t75" style="width:76.6pt;height:49.55pt" o:ole="">
                  <v:imagedata r:id="rId13" o:title=""/>
                </v:shape>
                <o:OLEObject Type="Embed" ProgID="AcroExch.Document.DC" ShapeID="_x0000_i1026" DrawAspect="Icon" ObjectID="_1810535951" r:id="rId14"/>
              </w:object>
            </w:r>
          </w:p>
        </w:tc>
        <w:tc>
          <w:tcPr>
            <w:tcW w:w="4252" w:type="dxa"/>
          </w:tcPr>
          <w:p w14:paraId="4B637818" w14:textId="14BB7010" w:rsidR="001B7080" w:rsidRDefault="000B4D7E" w:rsidP="000C6C1F">
            <w:pPr>
              <w:rPr>
                <w:sz w:val="23"/>
                <w:szCs w:val="23"/>
              </w:rPr>
            </w:pPr>
            <w:r>
              <w:rPr>
                <w:sz w:val="23"/>
                <w:szCs w:val="23"/>
              </w:rPr>
              <w:t>2 de febrero de 2025</w:t>
            </w:r>
          </w:p>
        </w:tc>
        <w:tc>
          <w:tcPr>
            <w:tcW w:w="3119" w:type="dxa"/>
          </w:tcPr>
          <w:p w14:paraId="666B0DBE" w14:textId="020145DB" w:rsidR="001B7080" w:rsidRDefault="000B4D7E" w:rsidP="000C6C1F">
            <w:pPr>
              <w:rPr>
                <w:sz w:val="23"/>
                <w:szCs w:val="23"/>
              </w:rPr>
            </w:pPr>
            <w:r>
              <w:rPr>
                <w:sz w:val="23"/>
                <w:szCs w:val="23"/>
              </w:rPr>
              <w:t>Sin observaciones</w:t>
            </w:r>
          </w:p>
        </w:tc>
      </w:tr>
      <w:tr w:rsidR="001B7080" w14:paraId="6C970482" w14:textId="3A307F65" w:rsidTr="000E7804">
        <w:tc>
          <w:tcPr>
            <w:tcW w:w="4248" w:type="dxa"/>
          </w:tcPr>
          <w:p w14:paraId="2769CA1F" w14:textId="608120D6" w:rsidR="001B7080" w:rsidRDefault="000B4D7E" w:rsidP="008776A1">
            <w:pPr>
              <w:rPr>
                <w:sz w:val="23"/>
                <w:szCs w:val="23"/>
              </w:rPr>
            </w:pPr>
            <w:r>
              <w:rPr>
                <w:sz w:val="23"/>
                <w:szCs w:val="23"/>
              </w:rPr>
              <w:t>FICE</w:t>
            </w:r>
          </w:p>
        </w:tc>
        <w:tc>
          <w:tcPr>
            <w:tcW w:w="6804" w:type="dxa"/>
          </w:tcPr>
          <w:p w14:paraId="207BC9A7" w14:textId="03E3FBB9" w:rsidR="001B7080" w:rsidRPr="00855265" w:rsidRDefault="001B16B5" w:rsidP="005F1303">
            <w:pPr>
              <w:spacing w:line="276" w:lineRule="auto"/>
              <w:contextualSpacing/>
              <w:jc w:val="center"/>
              <w:rPr>
                <w:sz w:val="23"/>
                <w:szCs w:val="23"/>
              </w:rPr>
            </w:pPr>
            <w:r>
              <w:rPr>
                <w:sz w:val="23"/>
                <w:szCs w:val="23"/>
              </w:rPr>
              <w:object w:dxaOrig="1520" w:dyaOrig="988" w14:anchorId="5C3CAD4A">
                <v:shape id="_x0000_i1027" type="#_x0000_t75" style="width:76.6pt;height:49.55pt" o:ole="">
                  <v:imagedata r:id="rId15" o:title=""/>
                </v:shape>
                <o:OLEObject Type="Embed" ProgID="AcroExch.Document.DC" ShapeID="_x0000_i1027" DrawAspect="Icon" ObjectID="_1810535952" r:id="rId16"/>
              </w:object>
            </w:r>
          </w:p>
        </w:tc>
        <w:tc>
          <w:tcPr>
            <w:tcW w:w="4252" w:type="dxa"/>
          </w:tcPr>
          <w:p w14:paraId="47F3BC99" w14:textId="59FBB105" w:rsidR="001B7080" w:rsidRDefault="00915DAE" w:rsidP="000C6C1F">
            <w:pPr>
              <w:rPr>
                <w:sz w:val="23"/>
                <w:szCs w:val="23"/>
              </w:rPr>
            </w:pPr>
            <w:r>
              <w:rPr>
                <w:sz w:val="23"/>
                <w:szCs w:val="23"/>
              </w:rPr>
              <w:t>17 de febrero de 2025</w:t>
            </w:r>
          </w:p>
        </w:tc>
        <w:tc>
          <w:tcPr>
            <w:tcW w:w="3119" w:type="dxa"/>
          </w:tcPr>
          <w:p w14:paraId="71942BE4" w14:textId="632905E6" w:rsidR="001B7080" w:rsidRDefault="007266C2" w:rsidP="000C6C1F">
            <w:pPr>
              <w:rPr>
                <w:sz w:val="23"/>
                <w:szCs w:val="23"/>
              </w:rPr>
            </w:pPr>
            <w:r>
              <w:rPr>
                <w:sz w:val="23"/>
                <w:szCs w:val="23"/>
              </w:rPr>
              <w:t>Sin observaciones</w:t>
            </w:r>
          </w:p>
        </w:tc>
      </w:tr>
      <w:tr w:rsidR="007266C2" w14:paraId="7029278B" w14:textId="43FEAA95" w:rsidTr="000E7804">
        <w:tc>
          <w:tcPr>
            <w:tcW w:w="4248" w:type="dxa"/>
          </w:tcPr>
          <w:p w14:paraId="383C8B98" w14:textId="02136996" w:rsidR="007266C2" w:rsidRDefault="00915DAE" w:rsidP="007266C2">
            <w:pPr>
              <w:rPr>
                <w:sz w:val="23"/>
                <w:szCs w:val="23"/>
              </w:rPr>
            </w:pPr>
            <w:r>
              <w:rPr>
                <w:sz w:val="23"/>
                <w:szCs w:val="23"/>
              </w:rPr>
              <w:t>Jupema</w:t>
            </w:r>
          </w:p>
        </w:tc>
        <w:tc>
          <w:tcPr>
            <w:tcW w:w="6804" w:type="dxa"/>
          </w:tcPr>
          <w:p w14:paraId="05C429BA" w14:textId="30081BB4" w:rsidR="007266C2" w:rsidRPr="00855265" w:rsidRDefault="00915DAE" w:rsidP="005F1303">
            <w:pPr>
              <w:spacing w:line="276" w:lineRule="auto"/>
              <w:contextualSpacing/>
              <w:jc w:val="center"/>
              <w:rPr>
                <w:sz w:val="23"/>
                <w:szCs w:val="23"/>
              </w:rPr>
            </w:pPr>
            <w:r>
              <w:rPr>
                <w:sz w:val="23"/>
                <w:szCs w:val="23"/>
              </w:rPr>
              <w:object w:dxaOrig="1520" w:dyaOrig="988" w14:anchorId="421BA228">
                <v:shape id="_x0000_i1028" type="#_x0000_t75" style="width:76.6pt;height:49.55pt" o:ole="">
                  <v:imagedata r:id="rId17" o:title=""/>
                </v:shape>
                <o:OLEObject Type="Embed" ProgID="AcroExch.Document.DC" ShapeID="_x0000_i1028" DrawAspect="Icon" ObjectID="_1810535953" r:id="rId18"/>
              </w:object>
            </w:r>
          </w:p>
        </w:tc>
        <w:tc>
          <w:tcPr>
            <w:tcW w:w="4252" w:type="dxa"/>
          </w:tcPr>
          <w:p w14:paraId="51818070" w14:textId="67BC4C52" w:rsidR="007266C2" w:rsidRDefault="00A32CCF" w:rsidP="007266C2">
            <w:pPr>
              <w:rPr>
                <w:sz w:val="23"/>
                <w:szCs w:val="23"/>
              </w:rPr>
            </w:pPr>
            <w:r>
              <w:rPr>
                <w:sz w:val="23"/>
                <w:szCs w:val="23"/>
              </w:rPr>
              <w:t>18 de febrero de 2025</w:t>
            </w:r>
          </w:p>
        </w:tc>
        <w:tc>
          <w:tcPr>
            <w:tcW w:w="3119" w:type="dxa"/>
          </w:tcPr>
          <w:p w14:paraId="1BE2FE82" w14:textId="7B2D4CF9" w:rsidR="007266C2" w:rsidRDefault="00A32CCF" w:rsidP="007266C2">
            <w:pPr>
              <w:rPr>
                <w:sz w:val="23"/>
                <w:szCs w:val="23"/>
              </w:rPr>
            </w:pPr>
            <w:r>
              <w:rPr>
                <w:sz w:val="23"/>
                <w:szCs w:val="23"/>
              </w:rPr>
              <w:t>Con observaciones</w:t>
            </w:r>
          </w:p>
        </w:tc>
      </w:tr>
      <w:tr w:rsidR="007266C2" w14:paraId="5C50B3B3" w14:textId="165272DC" w:rsidTr="000E7804">
        <w:tc>
          <w:tcPr>
            <w:tcW w:w="4248" w:type="dxa"/>
          </w:tcPr>
          <w:p w14:paraId="291F1968" w14:textId="0E7EE3E3" w:rsidR="007266C2" w:rsidRDefault="00A32CCF" w:rsidP="007266C2">
            <w:pPr>
              <w:rPr>
                <w:sz w:val="23"/>
                <w:szCs w:val="23"/>
              </w:rPr>
            </w:pPr>
            <w:r>
              <w:rPr>
                <w:sz w:val="23"/>
                <w:szCs w:val="23"/>
              </w:rPr>
              <w:t>FRE</w:t>
            </w:r>
          </w:p>
        </w:tc>
        <w:tc>
          <w:tcPr>
            <w:tcW w:w="6804" w:type="dxa"/>
          </w:tcPr>
          <w:p w14:paraId="291E6CA5" w14:textId="38600DA6" w:rsidR="007266C2" w:rsidRPr="00855265" w:rsidRDefault="00743F03" w:rsidP="005F1303">
            <w:pPr>
              <w:spacing w:line="276" w:lineRule="auto"/>
              <w:contextualSpacing/>
              <w:jc w:val="center"/>
              <w:rPr>
                <w:sz w:val="23"/>
                <w:szCs w:val="23"/>
              </w:rPr>
            </w:pPr>
            <w:r>
              <w:rPr>
                <w:sz w:val="23"/>
                <w:szCs w:val="23"/>
              </w:rPr>
              <w:object w:dxaOrig="1520" w:dyaOrig="988" w14:anchorId="57F860A3">
                <v:shape id="_x0000_i1029" type="#_x0000_t75" style="width:76.6pt;height:49.55pt" o:ole="">
                  <v:imagedata r:id="rId19" o:title=""/>
                </v:shape>
                <o:OLEObject Type="Embed" ProgID="AcroExch.Document.DC" ShapeID="_x0000_i1029" DrawAspect="Icon" ObjectID="_1810535954" r:id="rId20"/>
              </w:object>
            </w:r>
          </w:p>
        </w:tc>
        <w:tc>
          <w:tcPr>
            <w:tcW w:w="4252" w:type="dxa"/>
          </w:tcPr>
          <w:p w14:paraId="0F3AC2D2" w14:textId="13DDC5BC" w:rsidR="007266C2" w:rsidRDefault="0028737B" w:rsidP="007266C2">
            <w:pPr>
              <w:rPr>
                <w:sz w:val="23"/>
                <w:szCs w:val="23"/>
              </w:rPr>
            </w:pPr>
            <w:r>
              <w:rPr>
                <w:sz w:val="23"/>
                <w:szCs w:val="23"/>
              </w:rPr>
              <w:t>19 de febrero de 2025</w:t>
            </w:r>
          </w:p>
        </w:tc>
        <w:tc>
          <w:tcPr>
            <w:tcW w:w="3119" w:type="dxa"/>
          </w:tcPr>
          <w:p w14:paraId="740D159F" w14:textId="1F7E4D52" w:rsidR="007266C2" w:rsidRDefault="0028737B" w:rsidP="007266C2">
            <w:pPr>
              <w:rPr>
                <w:sz w:val="23"/>
                <w:szCs w:val="23"/>
              </w:rPr>
            </w:pPr>
            <w:r>
              <w:rPr>
                <w:sz w:val="23"/>
                <w:szCs w:val="23"/>
              </w:rPr>
              <w:t>Sin observaciones</w:t>
            </w:r>
          </w:p>
        </w:tc>
      </w:tr>
      <w:tr w:rsidR="008A3693" w14:paraId="453EC34D" w14:textId="77777777" w:rsidTr="000E7804">
        <w:tc>
          <w:tcPr>
            <w:tcW w:w="4248" w:type="dxa"/>
          </w:tcPr>
          <w:p w14:paraId="336E940F" w14:textId="2AFACD3D" w:rsidR="008A3693" w:rsidRDefault="008A3693" w:rsidP="008A3693">
            <w:pPr>
              <w:rPr>
                <w:sz w:val="23"/>
                <w:szCs w:val="23"/>
              </w:rPr>
            </w:pPr>
            <w:r>
              <w:rPr>
                <w:sz w:val="23"/>
                <w:szCs w:val="23"/>
              </w:rPr>
              <w:t>Junafo</w:t>
            </w:r>
          </w:p>
        </w:tc>
        <w:tc>
          <w:tcPr>
            <w:tcW w:w="6804" w:type="dxa"/>
          </w:tcPr>
          <w:p w14:paraId="3432D951" w14:textId="0F41A0DA" w:rsidR="008A3693" w:rsidRDefault="008A3693" w:rsidP="008A3693">
            <w:pPr>
              <w:spacing w:line="276" w:lineRule="auto"/>
              <w:contextualSpacing/>
              <w:jc w:val="center"/>
              <w:rPr>
                <w:sz w:val="23"/>
                <w:szCs w:val="23"/>
              </w:rPr>
            </w:pPr>
            <w:r>
              <w:rPr>
                <w:sz w:val="23"/>
                <w:szCs w:val="23"/>
              </w:rPr>
              <w:object w:dxaOrig="1520" w:dyaOrig="988" w14:anchorId="72A06B4F">
                <v:shape id="_x0000_i1030" type="#_x0000_t75" style="width:76.6pt;height:49.55pt" o:ole="">
                  <v:imagedata r:id="rId21" o:title=""/>
                </v:shape>
                <o:OLEObject Type="Embed" ProgID="AcroExch.Document.DC" ShapeID="_x0000_i1030" DrawAspect="Icon" ObjectID="_1810535955" r:id="rId22"/>
              </w:object>
            </w:r>
          </w:p>
        </w:tc>
        <w:tc>
          <w:tcPr>
            <w:tcW w:w="4252" w:type="dxa"/>
          </w:tcPr>
          <w:p w14:paraId="1DC7D869" w14:textId="63C47514" w:rsidR="008A3693" w:rsidRDefault="008A3693" w:rsidP="008A3693">
            <w:pPr>
              <w:rPr>
                <w:sz w:val="23"/>
                <w:szCs w:val="23"/>
              </w:rPr>
            </w:pPr>
            <w:r w:rsidRPr="00C32272">
              <w:rPr>
                <w:sz w:val="23"/>
                <w:szCs w:val="23"/>
              </w:rPr>
              <w:t xml:space="preserve">20 de </w:t>
            </w:r>
            <w:r>
              <w:rPr>
                <w:sz w:val="23"/>
                <w:szCs w:val="23"/>
              </w:rPr>
              <w:t>febrero de 2025</w:t>
            </w:r>
          </w:p>
        </w:tc>
        <w:tc>
          <w:tcPr>
            <w:tcW w:w="3119" w:type="dxa"/>
          </w:tcPr>
          <w:p w14:paraId="16C601C6" w14:textId="02CC6EB7" w:rsidR="008A3693" w:rsidRDefault="008A3693" w:rsidP="008A3693">
            <w:pPr>
              <w:rPr>
                <w:sz w:val="23"/>
                <w:szCs w:val="23"/>
              </w:rPr>
            </w:pPr>
            <w:r>
              <w:rPr>
                <w:sz w:val="23"/>
                <w:szCs w:val="23"/>
              </w:rPr>
              <w:t>Sin observaciones</w:t>
            </w:r>
          </w:p>
        </w:tc>
      </w:tr>
      <w:tr w:rsidR="008C647B" w14:paraId="3DCD4D5C" w14:textId="77777777" w:rsidTr="000E7804">
        <w:tc>
          <w:tcPr>
            <w:tcW w:w="4248" w:type="dxa"/>
          </w:tcPr>
          <w:p w14:paraId="064D224A" w14:textId="36217373" w:rsidR="008C647B" w:rsidRDefault="005E2BB6" w:rsidP="007266C2">
            <w:pPr>
              <w:rPr>
                <w:sz w:val="23"/>
                <w:szCs w:val="23"/>
              </w:rPr>
            </w:pPr>
            <w:r>
              <w:rPr>
                <w:sz w:val="23"/>
                <w:szCs w:val="23"/>
              </w:rPr>
              <w:t>FBNCR</w:t>
            </w:r>
          </w:p>
        </w:tc>
        <w:tc>
          <w:tcPr>
            <w:tcW w:w="6804" w:type="dxa"/>
          </w:tcPr>
          <w:p w14:paraId="582928C7" w14:textId="13E5EFC0" w:rsidR="008C647B" w:rsidRPr="00FD5277" w:rsidRDefault="005E2BB6" w:rsidP="005F1303">
            <w:pPr>
              <w:spacing w:line="276" w:lineRule="auto"/>
              <w:contextualSpacing/>
              <w:jc w:val="center"/>
              <w:rPr>
                <w:sz w:val="23"/>
                <w:szCs w:val="23"/>
              </w:rPr>
            </w:pPr>
            <w:r>
              <w:rPr>
                <w:sz w:val="23"/>
                <w:szCs w:val="23"/>
              </w:rPr>
              <w:object w:dxaOrig="1520" w:dyaOrig="988" w14:anchorId="772B4C39">
                <v:shape id="_x0000_i1031" type="#_x0000_t75" style="width:76.6pt;height:49.55pt" o:ole="">
                  <v:imagedata r:id="rId23" o:title=""/>
                </v:shape>
                <o:OLEObject Type="Embed" ProgID="AcroExch.Document.DC" ShapeID="_x0000_i1031" DrawAspect="Icon" ObjectID="_1810535956" r:id="rId24"/>
              </w:object>
            </w:r>
          </w:p>
        </w:tc>
        <w:tc>
          <w:tcPr>
            <w:tcW w:w="4252" w:type="dxa"/>
          </w:tcPr>
          <w:p w14:paraId="3E0E4777" w14:textId="27DD31AA" w:rsidR="008C647B" w:rsidRDefault="004B4967" w:rsidP="004B4967">
            <w:pPr>
              <w:spacing w:line="360" w:lineRule="auto"/>
              <w:rPr>
                <w:sz w:val="23"/>
                <w:szCs w:val="23"/>
              </w:rPr>
            </w:pPr>
            <w:r>
              <w:rPr>
                <w:sz w:val="23"/>
                <w:szCs w:val="23"/>
              </w:rPr>
              <w:t>20 de febrero de 2025</w:t>
            </w:r>
          </w:p>
        </w:tc>
        <w:tc>
          <w:tcPr>
            <w:tcW w:w="3119" w:type="dxa"/>
          </w:tcPr>
          <w:p w14:paraId="44D86CA8" w14:textId="6BD15287" w:rsidR="008C647B" w:rsidRPr="00AB575A" w:rsidRDefault="008C647B" w:rsidP="007266C2">
            <w:pPr>
              <w:rPr>
                <w:sz w:val="23"/>
                <w:szCs w:val="23"/>
              </w:rPr>
            </w:pPr>
            <w:r>
              <w:rPr>
                <w:sz w:val="23"/>
                <w:szCs w:val="23"/>
              </w:rPr>
              <w:t>Con observaciones</w:t>
            </w:r>
          </w:p>
        </w:tc>
      </w:tr>
      <w:tr w:rsidR="004A65F8" w14:paraId="34718EC5" w14:textId="77777777" w:rsidTr="000E7804">
        <w:tc>
          <w:tcPr>
            <w:tcW w:w="4248" w:type="dxa"/>
          </w:tcPr>
          <w:p w14:paraId="16670223" w14:textId="35BE32AF" w:rsidR="004A65F8" w:rsidRDefault="002B020D" w:rsidP="007266C2">
            <w:pPr>
              <w:rPr>
                <w:sz w:val="23"/>
                <w:szCs w:val="23"/>
              </w:rPr>
            </w:pPr>
            <w:r>
              <w:rPr>
                <w:sz w:val="23"/>
                <w:szCs w:val="23"/>
              </w:rPr>
              <w:lastRenderedPageBreak/>
              <w:t>BNVital</w:t>
            </w:r>
          </w:p>
        </w:tc>
        <w:tc>
          <w:tcPr>
            <w:tcW w:w="6804" w:type="dxa"/>
          </w:tcPr>
          <w:p w14:paraId="08C9B75C" w14:textId="4B2BF488" w:rsidR="004A65F8" w:rsidRPr="008C647B" w:rsidRDefault="002B020D" w:rsidP="005F1303">
            <w:pPr>
              <w:spacing w:line="276" w:lineRule="auto"/>
              <w:contextualSpacing/>
              <w:jc w:val="center"/>
              <w:rPr>
                <w:sz w:val="23"/>
                <w:szCs w:val="23"/>
              </w:rPr>
            </w:pPr>
            <w:r>
              <w:rPr>
                <w:sz w:val="23"/>
                <w:szCs w:val="23"/>
              </w:rPr>
              <w:object w:dxaOrig="1520" w:dyaOrig="988" w14:anchorId="7050DDD2">
                <v:shape id="_x0000_i1032" type="#_x0000_t75" style="width:76.6pt;height:49.55pt" o:ole="">
                  <v:imagedata r:id="rId25" o:title=""/>
                </v:shape>
                <o:OLEObject Type="Embed" ProgID="AcroExch.Document.DC" ShapeID="_x0000_i1032" DrawAspect="Icon" ObjectID="_1810535957" r:id="rId26"/>
              </w:object>
            </w:r>
          </w:p>
        </w:tc>
        <w:tc>
          <w:tcPr>
            <w:tcW w:w="4252" w:type="dxa"/>
          </w:tcPr>
          <w:p w14:paraId="3D8BF234" w14:textId="4FBBAF4F" w:rsidR="004A65F8" w:rsidRDefault="003B2540" w:rsidP="007266C2">
            <w:pPr>
              <w:rPr>
                <w:sz w:val="23"/>
                <w:szCs w:val="23"/>
              </w:rPr>
            </w:pPr>
            <w:r>
              <w:rPr>
                <w:sz w:val="23"/>
                <w:szCs w:val="23"/>
              </w:rPr>
              <w:t>20 de febrero de 2025</w:t>
            </w:r>
          </w:p>
        </w:tc>
        <w:tc>
          <w:tcPr>
            <w:tcW w:w="3119" w:type="dxa"/>
          </w:tcPr>
          <w:p w14:paraId="3CD78E0E" w14:textId="0C2CB6D1" w:rsidR="004A65F8" w:rsidRDefault="003B2540" w:rsidP="007266C2">
            <w:pPr>
              <w:rPr>
                <w:sz w:val="23"/>
                <w:szCs w:val="23"/>
              </w:rPr>
            </w:pPr>
            <w:r>
              <w:rPr>
                <w:sz w:val="23"/>
                <w:szCs w:val="23"/>
              </w:rPr>
              <w:t>Con observaciones</w:t>
            </w:r>
          </w:p>
        </w:tc>
      </w:tr>
      <w:tr w:rsidR="008C647B" w14:paraId="76A74CC5" w14:textId="77777777" w:rsidTr="000E7804">
        <w:tc>
          <w:tcPr>
            <w:tcW w:w="4248" w:type="dxa"/>
          </w:tcPr>
          <w:p w14:paraId="7D17E95A" w14:textId="02E53F4F" w:rsidR="008C647B" w:rsidRDefault="003B2540" w:rsidP="007266C2">
            <w:pPr>
              <w:rPr>
                <w:sz w:val="23"/>
                <w:szCs w:val="23"/>
              </w:rPr>
            </w:pPr>
            <w:r>
              <w:rPr>
                <w:sz w:val="23"/>
                <w:szCs w:val="23"/>
              </w:rPr>
              <w:t>Vida Plena</w:t>
            </w:r>
          </w:p>
        </w:tc>
        <w:tc>
          <w:tcPr>
            <w:tcW w:w="6804" w:type="dxa"/>
          </w:tcPr>
          <w:p w14:paraId="196026FF" w14:textId="7B861299" w:rsidR="008C647B" w:rsidRPr="008C647B" w:rsidRDefault="003B2540" w:rsidP="005F1303">
            <w:pPr>
              <w:spacing w:line="276" w:lineRule="auto"/>
              <w:contextualSpacing/>
              <w:jc w:val="center"/>
              <w:rPr>
                <w:sz w:val="23"/>
                <w:szCs w:val="23"/>
              </w:rPr>
            </w:pPr>
            <w:r>
              <w:rPr>
                <w:sz w:val="23"/>
                <w:szCs w:val="23"/>
              </w:rPr>
              <w:object w:dxaOrig="1520" w:dyaOrig="988" w14:anchorId="61846FEA">
                <v:shape id="_x0000_i1033" type="#_x0000_t75" style="width:76.6pt;height:49.55pt" o:ole="">
                  <v:imagedata r:id="rId27" o:title=""/>
                </v:shape>
                <o:OLEObject Type="Embed" ProgID="AcroExch.Document.DC" ShapeID="_x0000_i1033" DrawAspect="Icon" ObjectID="_1810535958" r:id="rId28"/>
              </w:object>
            </w:r>
          </w:p>
        </w:tc>
        <w:tc>
          <w:tcPr>
            <w:tcW w:w="4252" w:type="dxa"/>
          </w:tcPr>
          <w:p w14:paraId="18C4BD83" w14:textId="0B6891B2" w:rsidR="004A65F8" w:rsidRDefault="005F25A6" w:rsidP="007266C2">
            <w:pPr>
              <w:rPr>
                <w:sz w:val="23"/>
                <w:szCs w:val="23"/>
              </w:rPr>
            </w:pPr>
            <w:r>
              <w:rPr>
                <w:sz w:val="23"/>
                <w:szCs w:val="23"/>
              </w:rPr>
              <w:t>20 de febrero de 2025</w:t>
            </w:r>
          </w:p>
        </w:tc>
        <w:tc>
          <w:tcPr>
            <w:tcW w:w="3119" w:type="dxa"/>
          </w:tcPr>
          <w:p w14:paraId="4EA6F8E5" w14:textId="79367F6D" w:rsidR="008C647B" w:rsidRDefault="005F25A6" w:rsidP="007266C2">
            <w:pPr>
              <w:rPr>
                <w:sz w:val="23"/>
                <w:szCs w:val="23"/>
              </w:rPr>
            </w:pPr>
            <w:r>
              <w:rPr>
                <w:sz w:val="23"/>
                <w:szCs w:val="23"/>
              </w:rPr>
              <w:t>Sin observaciones</w:t>
            </w:r>
          </w:p>
        </w:tc>
      </w:tr>
      <w:tr w:rsidR="005F25A6" w14:paraId="767E434C" w14:textId="77777777" w:rsidTr="000E7804">
        <w:tc>
          <w:tcPr>
            <w:tcW w:w="4248" w:type="dxa"/>
          </w:tcPr>
          <w:p w14:paraId="37E28E81" w14:textId="6DD1AA8D" w:rsidR="005F25A6" w:rsidRDefault="005F25A6" w:rsidP="007266C2">
            <w:pPr>
              <w:rPr>
                <w:sz w:val="23"/>
                <w:szCs w:val="23"/>
              </w:rPr>
            </w:pPr>
            <w:r>
              <w:rPr>
                <w:sz w:val="23"/>
                <w:szCs w:val="23"/>
              </w:rPr>
              <w:t>OPC CCSS</w:t>
            </w:r>
          </w:p>
        </w:tc>
        <w:bookmarkStart w:id="0" w:name="_MON_1802863695"/>
        <w:bookmarkEnd w:id="0"/>
        <w:tc>
          <w:tcPr>
            <w:tcW w:w="6804" w:type="dxa"/>
          </w:tcPr>
          <w:p w14:paraId="0981BEDD" w14:textId="361D0D95" w:rsidR="005F25A6" w:rsidRDefault="005F25A6" w:rsidP="005F1303">
            <w:pPr>
              <w:spacing w:line="276" w:lineRule="auto"/>
              <w:contextualSpacing/>
              <w:jc w:val="center"/>
              <w:rPr>
                <w:sz w:val="23"/>
                <w:szCs w:val="23"/>
              </w:rPr>
            </w:pPr>
            <w:r>
              <w:rPr>
                <w:sz w:val="23"/>
                <w:szCs w:val="23"/>
              </w:rPr>
              <w:object w:dxaOrig="1520" w:dyaOrig="988" w14:anchorId="139ECEFE">
                <v:shape id="_x0000_i1034" type="#_x0000_t75" style="width:76.6pt;height:49.55pt" o:ole="">
                  <v:imagedata r:id="rId29" o:title=""/>
                </v:shape>
                <o:OLEObject Type="Embed" ProgID="Word.Document.12" ShapeID="_x0000_i1034" DrawAspect="Icon" ObjectID="_1810535959" r:id="rId30">
                  <o:FieldCodes>\s</o:FieldCodes>
                </o:OLEObject>
              </w:object>
            </w:r>
          </w:p>
        </w:tc>
        <w:tc>
          <w:tcPr>
            <w:tcW w:w="4252" w:type="dxa"/>
          </w:tcPr>
          <w:p w14:paraId="5183C926" w14:textId="41F89A04" w:rsidR="005F25A6" w:rsidRDefault="00B73DDA" w:rsidP="007266C2">
            <w:pPr>
              <w:rPr>
                <w:sz w:val="23"/>
                <w:szCs w:val="23"/>
              </w:rPr>
            </w:pPr>
            <w:r>
              <w:rPr>
                <w:sz w:val="23"/>
                <w:szCs w:val="23"/>
              </w:rPr>
              <w:t>20 de febrero de 2025</w:t>
            </w:r>
          </w:p>
        </w:tc>
        <w:tc>
          <w:tcPr>
            <w:tcW w:w="3119" w:type="dxa"/>
          </w:tcPr>
          <w:p w14:paraId="47C89EBB" w14:textId="2A0E939E" w:rsidR="005F25A6" w:rsidRDefault="00B73DDA" w:rsidP="007266C2">
            <w:pPr>
              <w:rPr>
                <w:sz w:val="23"/>
                <w:szCs w:val="23"/>
              </w:rPr>
            </w:pPr>
            <w:r>
              <w:rPr>
                <w:sz w:val="23"/>
                <w:szCs w:val="23"/>
              </w:rPr>
              <w:t>Con observaciones</w:t>
            </w:r>
          </w:p>
        </w:tc>
      </w:tr>
      <w:tr w:rsidR="00B73DDA" w14:paraId="416F9D7F" w14:textId="77777777" w:rsidTr="000E7804">
        <w:tc>
          <w:tcPr>
            <w:tcW w:w="4248" w:type="dxa"/>
          </w:tcPr>
          <w:p w14:paraId="0C3868F7" w14:textId="7CB02B43" w:rsidR="00B73DDA" w:rsidRDefault="00B73DDA" w:rsidP="007266C2">
            <w:pPr>
              <w:rPr>
                <w:sz w:val="23"/>
                <w:szCs w:val="23"/>
              </w:rPr>
            </w:pPr>
            <w:r>
              <w:rPr>
                <w:sz w:val="23"/>
                <w:szCs w:val="23"/>
              </w:rPr>
              <w:t>Popular Pensiones</w:t>
            </w:r>
          </w:p>
        </w:tc>
        <w:tc>
          <w:tcPr>
            <w:tcW w:w="6804" w:type="dxa"/>
          </w:tcPr>
          <w:p w14:paraId="6B1F8460" w14:textId="497DDFA5" w:rsidR="00B73DDA" w:rsidRDefault="00B73DDA" w:rsidP="005F1303">
            <w:pPr>
              <w:spacing w:line="276" w:lineRule="auto"/>
              <w:contextualSpacing/>
              <w:jc w:val="center"/>
              <w:rPr>
                <w:sz w:val="23"/>
                <w:szCs w:val="23"/>
              </w:rPr>
            </w:pPr>
            <w:r>
              <w:rPr>
                <w:sz w:val="23"/>
                <w:szCs w:val="23"/>
              </w:rPr>
              <w:object w:dxaOrig="1520" w:dyaOrig="988" w14:anchorId="7CF9A756">
                <v:shape id="_x0000_i1035" type="#_x0000_t75" style="width:76.6pt;height:49.55pt" o:ole="">
                  <v:imagedata r:id="rId31" o:title=""/>
                </v:shape>
                <o:OLEObject Type="Embed" ProgID="AcroExch.Document.DC" ShapeID="_x0000_i1035" DrawAspect="Icon" ObjectID="_1810535960" r:id="rId32"/>
              </w:object>
            </w:r>
          </w:p>
        </w:tc>
        <w:tc>
          <w:tcPr>
            <w:tcW w:w="4252" w:type="dxa"/>
          </w:tcPr>
          <w:p w14:paraId="33263D01" w14:textId="36D19796" w:rsidR="00B73DDA" w:rsidRDefault="00231A1F" w:rsidP="007266C2">
            <w:pPr>
              <w:rPr>
                <w:sz w:val="23"/>
                <w:szCs w:val="23"/>
              </w:rPr>
            </w:pPr>
            <w:r>
              <w:rPr>
                <w:sz w:val="23"/>
                <w:szCs w:val="23"/>
              </w:rPr>
              <w:t>21 de febrero de 2025</w:t>
            </w:r>
          </w:p>
        </w:tc>
        <w:tc>
          <w:tcPr>
            <w:tcW w:w="3119" w:type="dxa"/>
          </w:tcPr>
          <w:p w14:paraId="5CFF1904" w14:textId="6108FB75" w:rsidR="00B73DDA" w:rsidRDefault="00231A1F" w:rsidP="007266C2">
            <w:pPr>
              <w:rPr>
                <w:sz w:val="23"/>
                <w:szCs w:val="23"/>
              </w:rPr>
            </w:pPr>
            <w:r>
              <w:rPr>
                <w:sz w:val="23"/>
                <w:szCs w:val="23"/>
              </w:rPr>
              <w:t>Con observaciones</w:t>
            </w:r>
          </w:p>
        </w:tc>
      </w:tr>
      <w:tr w:rsidR="00231A1F" w14:paraId="4BD9884F" w14:textId="77777777" w:rsidTr="000E7804">
        <w:tc>
          <w:tcPr>
            <w:tcW w:w="4248" w:type="dxa"/>
          </w:tcPr>
          <w:p w14:paraId="4EBFA215" w14:textId="379CCEDC" w:rsidR="00231A1F" w:rsidRDefault="00231A1F" w:rsidP="007266C2">
            <w:pPr>
              <w:rPr>
                <w:sz w:val="23"/>
                <w:szCs w:val="23"/>
              </w:rPr>
            </w:pPr>
            <w:r>
              <w:rPr>
                <w:sz w:val="23"/>
                <w:szCs w:val="23"/>
              </w:rPr>
              <w:t>BAC San José Pensiones</w:t>
            </w:r>
          </w:p>
        </w:tc>
        <w:tc>
          <w:tcPr>
            <w:tcW w:w="6804" w:type="dxa"/>
          </w:tcPr>
          <w:p w14:paraId="28B9E514" w14:textId="268C2D1A" w:rsidR="00231A1F" w:rsidRDefault="0094766A" w:rsidP="005F1303">
            <w:pPr>
              <w:spacing w:line="276" w:lineRule="auto"/>
              <w:contextualSpacing/>
              <w:jc w:val="center"/>
              <w:rPr>
                <w:sz w:val="23"/>
                <w:szCs w:val="23"/>
              </w:rPr>
            </w:pPr>
            <w:r>
              <w:rPr>
                <w:sz w:val="23"/>
                <w:szCs w:val="23"/>
              </w:rPr>
              <w:object w:dxaOrig="1520" w:dyaOrig="988" w14:anchorId="6AEE03A9">
                <v:shape id="_x0000_i1036" type="#_x0000_t75" style="width:76.6pt;height:49.55pt" o:ole="">
                  <v:imagedata r:id="rId33" o:title=""/>
                </v:shape>
                <o:OLEObject Type="Embed" ProgID="AcroExch.Document.DC" ShapeID="_x0000_i1036" DrawAspect="Icon" ObjectID="_1810535961" r:id="rId34"/>
              </w:object>
            </w:r>
          </w:p>
        </w:tc>
        <w:tc>
          <w:tcPr>
            <w:tcW w:w="4252" w:type="dxa"/>
          </w:tcPr>
          <w:p w14:paraId="7E95F4BF" w14:textId="3A6F2328" w:rsidR="00231A1F" w:rsidRDefault="0094766A" w:rsidP="007266C2">
            <w:pPr>
              <w:rPr>
                <w:sz w:val="23"/>
                <w:szCs w:val="23"/>
              </w:rPr>
            </w:pPr>
            <w:r>
              <w:rPr>
                <w:sz w:val="23"/>
                <w:szCs w:val="23"/>
              </w:rPr>
              <w:t>21 de febrero de 2025</w:t>
            </w:r>
          </w:p>
        </w:tc>
        <w:tc>
          <w:tcPr>
            <w:tcW w:w="3119" w:type="dxa"/>
          </w:tcPr>
          <w:p w14:paraId="59DB4456" w14:textId="4CAD5ED7" w:rsidR="00231A1F" w:rsidRDefault="0094766A" w:rsidP="007266C2">
            <w:pPr>
              <w:rPr>
                <w:sz w:val="23"/>
                <w:szCs w:val="23"/>
              </w:rPr>
            </w:pPr>
            <w:r>
              <w:rPr>
                <w:sz w:val="23"/>
                <w:szCs w:val="23"/>
              </w:rPr>
              <w:t>Con observaciones</w:t>
            </w:r>
          </w:p>
        </w:tc>
      </w:tr>
    </w:tbl>
    <w:p w14:paraId="0C1228E4" w14:textId="77777777" w:rsidR="00D924CE" w:rsidRDefault="00D924CE" w:rsidP="00E06CA2">
      <w:pPr>
        <w:rPr>
          <w:b/>
          <w:bCs/>
        </w:rPr>
      </w:pPr>
    </w:p>
    <w:p w14:paraId="5F139232" w14:textId="0615C423" w:rsidR="009A2031" w:rsidRDefault="009A2031" w:rsidP="00E06CA2">
      <w:pPr>
        <w:rPr>
          <w:b/>
          <w:bCs/>
        </w:rPr>
      </w:pPr>
      <w:r>
        <w:rPr>
          <w:b/>
          <w:bCs/>
        </w:rPr>
        <w:t xml:space="preserve">Análisis comparativo: </w:t>
      </w:r>
    </w:p>
    <w:p w14:paraId="2BBC9A69" w14:textId="77777777" w:rsidR="00D924CE" w:rsidRPr="009A2031" w:rsidRDefault="00D924CE" w:rsidP="00E06CA2">
      <w:pPr>
        <w:rPr>
          <w:b/>
          <w:bCs/>
        </w:rPr>
      </w:pPr>
    </w:p>
    <w:tbl>
      <w:tblPr>
        <w:tblStyle w:val="Tablaconcuadrculaclara1"/>
        <w:tblW w:w="5000" w:type="pct"/>
        <w:shd w:val="clear" w:color="auto" w:fill="FFFFFF" w:themeFill="background1"/>
        <w:tblLook w:val="01E0" w:firstRow="1" w:lastRow="1" w:firstColumn="1" w:lastColumn="1" w:noHBand="0" w:noVBand="0"/>
      </w:tblPr>
      <w:tblGrid>
        <w:gridCol w:w="4730"/>
        <w:gridCol w:w="4734"/>
        <w:gridCol w:w="4565"/>
        <w:gridCol w:w="4681"/>
      </w:tblGrid>
      <w:tr w:rsidR="00CA0DC3" w:rsidRPr="00142CA1" w14:paraId="3DE98F90" w14:textId="16C9B3EC" w:rsidTr="00D924CE">
        <w:trPr>
          <w:trHeight w:val="410"/>
        </w:trPr>
        <w:tc>
          <w:tcPr>
            <w:tcW w:w="1264" w:type="pct"/>
            <w:shd w:val="clear" w:color="auto" w:fill="B4C6E7" w:themeFill="accent1" w:themeFillTint="66"/>
          </w:tcPr>
          <w:p w14:paraId="44C0CF7B" w14:textId="3BF3C611" w:rsidR="00CA0DC3" w:rsidRPr="00142CA1" w:rsidRDefault="00CA0DC3" w:rsidP="00716E13">
            <w:pPr>
              <w:pStyle w:val="TableParagraph"/>
              <w:spacing w:before="120" w:after="120"/>
              <w:ind w:right="98"/>
              <w:jc w:val="center"/>
              <w:rPr>
                <w:b/>
                <w:color w:val="0C0C0C"/>
              </w:rPr>
            </w:pPr>
            <w:r w:rsidRPr="00142CA1">
              <w:rPr>
                <w:b/>
                <w:color w:val="0C0C0C"/>
              </w:rPr>
              <w:t xml:space="preserve">TEXTO </w:t>
            </w:r>
            <w:r w:rsidR="003C5BA8">
              <w:rPr>
                <w:b/>
                <w:color w:val="0C0C0C"/>
              </w:rPr>
              <w:t>CONSULTADO</w:t>
            </w:r>
            <w:r w:rsidR="00AB734E" w:rsidRPr="00142CA1">
              <w:rPr>
                <w:b/>
                <w:color w:val="0C0C0C"/>
              </w:rPr>
              <w:t xml:space="preserve"> </w:t>
            </w:r>
            <w:r w:rsidRPr="00142CA1">
              <w:rPr>
                <w:b/>
                <w:color w:val="0C0C0C"/>
              </w:rPr>
              <w:t xml:space="preserve"> </w:t>
            </w:r>
          </w:p>
        </w:tc>
        <w:tc>
          <w:tcPr>
            <w:tcW w:w="1265" w:type="pct"/>
            <w:shd w:val="clear" w:color="auto" w:fill="B4C6E7" w:themeFill="accent1" w:themeFillTint="66"/>
          </w:tcPr>
          <w:p w14:paraId="33E46EDC" w14:textId="66C1A270" w:rsidR="00CA0DC3" w:rsidRPr="00142CA1" w:rsidRDefault="00531877" w:rsidP="00716E13">
            <w:pPr>
              <w:pStyle w:val="TableParagraph"/>
              <w:spacing w:before="120" w:after="120"/>
              <w:ind w:right="193"/>
              <w:jc w:val="center"/>
              <w:rPr>
                <w:b/>
                <w:color w:val="0C0C0C"/>
              </w:rPr>
            </w:pPr>
            <w:r w:rsidRPr="00142CA1">
              <w:rPr>
                <w:b/>
                <w:color w:val="0C0C0C"/>
              </w:rPr>
              <w:t>Observaciones</w:t>
            </w:r>
          </w:p>
        </w:tc>
        <w:tc>
          <w:tcPr>
            <w:tcW w:w="1220" w:type="pct"/>
            <w:shd w:val="clear" w:color="auto" w:fill="B4C6E7" w:themeFill="accent1" w:themeFillTint="66"/>
          </w:tcPr>
          <w:p w14:paraId="5D7DCB35" w14:textId="6F9CD463" w:rsidR="00CA0DC3" w:rsidRPr="00142CA1" w:rsidRDefault="00531877" w:rsidP="00716E13">
            <w:pPr>
              <w:pStyle w:val="TableParagraph"/>
              <w:spacing w:before="120" w:after="120"/>
              <w:ind w:right="98"/>
              <w:jc w:val="center"/>
              <w:rPr>
                <w:b/>
                <w:color w:val="0C0C0C"/>
              </w:rPr>
            </w:pPr>
            <w:r w:rsidRPr="00142CA1">
              <w:rPr>
                <w:b/>
                <w:color w:val="0C0C0C"/>
              </w:rPr>
              <w:t>Respuesta a la observación</w:t>
            </w:r>
          </w:p>
        </w:tc>
        <w:tc>
          <w:tcPr>
            <w:tcW w:w="1251" w:type="pct"/>
            <w:shd w:val="clear" w:color="auto" w:fill="B4C6E7" w:themeFill="accent1" w:themeFillTint="66"/>
          </w:tcPr>
          <w:p w14:paraId="530834C2" w14:textId="7C34475D" w:rsidR="00CA0DC3" w:rsidRPr="00142CA1" w:rsidRDefault="007D6E1D" w:rsidP="00716E13">
            <w:pPr>
              <w:pStyle w:val="TableParagraph"/>
              <w:spacing w:before="120" w:after="120"/>
              <w:ind w:right="98"/>
              <w:jc w:val="center"/>
              <w:rPr>
                <w:b/>
                <w:color w:val="0C0C0C"/>
              </w:rPr>
            </w:pPr>
            <w:r w:rsidRPr="00142CA1">
              <w:rPr>
                <w:b/>
                <w:color w:val="0C0C0C"/>
              </w:rPr>
              <w:t xml:space="preserve">TEXTO FINAL </w:t>
            </w:r>
          </w:p>
        </w:tc>
      </w:tr>
      <w:tr w:rsidR="00D924CE" w:rsidRPr="00142CA1" w14:paraId="078988FA" w14:textId="77777777" w:rsidTr="00D924CE">
        <w:trPr>
          <w:trHeight w:val="410"/>
        </w:trPr>
        <w:tc>
          <w:tcPr>
            <w:tcW w:w="1264" w:type="pct"/>
            <w:shd w:val="clear" w:color="auto" w:fill="auto"/>
          </w:tcPr>
          <w:p w14:paraId="3D003B1B" w14:textId="77777777" w:rsidR="00D924CE" w:rsidRDefault="0045136B" w:rsidP="00D924CE">
            <w:pPr>
              <w:pStyle w:val="SupenEncabezado"/>
              <w:spacing w:line="240" w:lineRule="auto"/>
              <w:rPr>
                <w:rStyle w:val="SupenEncabezadoCar"/>
                <w:b/>
                <w:bCs/>
              </w:rPr>
            </w:pPr>
            <w:sdt>
              <w:sdtPr>
                <w:rPr>
                  <w:rStyle w:val="SupenEncabezadoCar"/>
                  <w:b/>
                  <w:bCs/>
                </w:rPr>
                <w:alias w:val="Código"/>
                <w:tag w:val="A"/>
                <w:id w:val="-82148751"/>
                <w:placeholder>
                  <w:docPart w:val="E89F25C01ADA442EB82298A7FC16E4B4"/>
                </w:placeholder>
                <w:text/>
              </w:sdtPr>
              <w:sdtEndPr>
                <w:rPr>
                  <w:rStyle w:val="SupenEncabezadoCar"/>
                </w:rPr>
              </w:sdtEndPr>
              <w:sdtContent>
                <w:r w:rsidR="00D924CE" w:rsidRPr="007C71BE">
                  <w:rPr>
                    <w:rStyle w:val="SupenEncabezadoCar"/>
                    <w:b/>
                    <w:bCs/>
                  </w:rPr>
                  <w:t>SP-A-</w:t>
                </w:r>
              </w:sdtContent>
            </w:sdt>
          </w:p>
          <w:p w14:paraId="0837F3A7" w14:textId="6810EA3C" w:rsidR="00D924CE" w:rsidRPr="00083652" w:rsidRDefault="00D924CE" w:rsidP="00D924CE">
            <w:pPr>
              <w:jc w:val="center"/>
              <w:rPr>
                <w:b/>
                <w:bCs/>
              </w:rPr>
            </w:pPr>
            <w:r w:rsidRPr="00643FFD">
              <w:rPr>
                <w:b/>
                <w:bCs/>
              </w:rPr>
              <w:t>Reforma el Acuerdo SP-A-133-2009</w:t>
            </w:r>
          </w:p>
          <w:p w14:paraId="60FF1A7B" w14:textId="0B9ED3F6" w:rsidR="00D924CE" w:rsidRPr="00083652" w:rsidRDefault="00D924CE" w:rsidP="00D924CE">
            <w:pPr>
              <w:jc w:val="both"/>
            </w:pPr>
            <w:r w:rsidRPr="00BD0C19">
              <w:t>Superintendencia de Pensiones, al ser las</w:t>
            </w:r>
            <w:r>
              <w:t xml:space="preserve">… </w:t>
            </w:r>
            <w:r w:rsidRPr="00BD0C19">
              <w:t xml:space="preserve">horas </w:t>
            </w:r>
            <w:r>
              <w:t>d</w:t>
            </w:r>
            <w:r w:rsidRPr="00BD0C19">
              <w:t>el día</w:t>
            </w:r>
            <w:r>
              <w:t>…</w:t>
            </w:r>
            <w:r w:rsidRPr="00BD0C19">
              <w:t>de</w:t>
            </w:r>
            <w:r>
              <w:t>…</w:t>
            </w:r>
            <w:r w:rsidRPr="00BD0C19">
              <w:t xml:space="preserve"> de</w:t>
            </w:r>
            <w:r>
              <w:t xml:space="preserve"> dos mil veinticuatro.</w:t>
            </w:r>
          </w:p>
        </w:tc>
        <w:tc>
          <w:tcPr>
            <w:tcW w:w="1265" w:type="pct"/>
            <w:shd w:val="clear" w:color="auto" w:fill="auto"/>
          </w:tcPr>
          <w:p w14:paraId="35A7C996" w14:textId="3A5DF076" w:rsidR="00D924CE" w:rsidRPr="00142CA1" w:rsidRDefault="00D924CE" w:rsidP="00D924CE">
            <w:pPr>
              <w:pStyle w:val="TableParagraph"/>
              <w:spacing w:before="120" w:after="120"/>
              <w:ind w:right="193"/>
              <w:jc w:val="both"/>
              <w:rPr>
                <w:b/>
                <w:color w:val="0C0C0C"/>
              </w:rPr>
            </w:pPr>
          </w:p>
        </w:tc>
        <w:tc>
          <w:tcPr>
            <w:tcW w:w="1220" w:type="pct"/>
            <w:shd w:val="clear" w:color="auto" w:fill="auto"/>
          </w:tcPr>
          <w:p w14:paraId="00ED3E5C" w14:textId="797D6DDA" w:rsidR="00D924CE" w:rsidRPr="00142CA1" w:rsidRDefault="00D924CE" w:rsidP="00D924CE">
            <w:pPr>
              <w:pStyle w:val="TableParagraph"/>
              <w:spacing w:before="120" w:after="120"/>
              <w:ind w:right="98"/>
              <w:jc w:val="both"/>
              <w:rPr>
                <w:bCs/>
                <w:color w:val="0C0C0C"/>
              </w:rPr>
            </w:pPr>
          </w:p>
        </w:tc>
        <w:tc>
          <w:tcPr>
            <w:tcW w:w="1251" w:type="pct"/>
            <w:shd w:val="clear" w:color="auto" w:fill="auto"/>
          </w:tcPr>
          <w:p w14:paraId="1DCB339E" w14:textId="77777777" w:rsidR="00D924CE" w:rsidRDefault="0045136B" w:rsidP="00D924CE">
            <w:pPr>
              <w:pStyle w:val="SupenEncabezado"/>
              <w:spacing w:line="240" w:lineRule="auto"/>
              <w:rPr>
                <w:rStyle w:val="SupenEncabezadoCar"/>
                <w:b/>
                <w:bCs/>
              </w:rPr>
            </w:pPr>
            <w:sdt>
              <w:sdtPr>
                <w:rPr>
                  <w:rStyle w:val="SupenEncabezadoCar"/>
                  <w:b/>
                  <w:bCs/>
                </w:rPr>
                <w:alias w:val="Código"/>
                <w:tag w:val="A"/>
                <w:id w:val="1362172906"/>
                <w:placeholder>
                  <w:docPart w:val="FE8912030ECB436492A3BCE2078CE62D"/>
                </w:placeholder>
                <w:text/>
              </w:sdtPr>
              <w:sdtEndPr>
                <w:rPr>
                  <w:rStyle w:val="SupenEncabezadoCar"/>
                </w:rPr>
              </w:sdtEndPr>
              <w:sdtContent>
                <w:r w:rsidR="00D924CE" w:rsidRPr="007C71BE">
                  <w:rPr>
                    <w:rStyle w:val="SupenEncabezadoCar"/>
                    <w:b/>
                    <w:bCs/>
                  </w:rPr>
                  <w:t>SP-A-</w:t>
                </w:r>
              </w:sdtContent>
            </w:sdt>
          </w:p>
          <w:p w14:paraId="1787EA59" w14:textId="77777777" w:rsidR="00D924CE" w:rsidRPr="00083652" w:rsidRDefault="00D924CE" w:rsidP="00D924CE">
            <w:pPr>
              <w:jc w:val="center"/>
              <w:rPr>
                <w:b/>
                <w:bCs/>
              </w:rPr>
            </w:pPr>
            <w:r w:rsidRPr="00643FFD">
              <w:rPr>
                <w:b/>
                <w:bCs/>
              </w:rPr>
              <w:t>Reforma el Acuerdo SP-A-133-2009</w:t>
            </w:r>
          </w:p>
          <w:p w14:paraId="287E121C" w14:textId="543629C7" w:rsidR="00D924CE" w:rsidRPr="00142CA1" w:rsidRDefault="00D924CE" w:rsidP="00D924CE">
            <w:pPr>
              <w:pStyle w:val="TableParagraph"/>
              <w:spacing w:before="120" w:after="120"/>
              <w:ind w:right="98"/>
              <w:jc w:val="both"/>
              <w:rPr>
                <w:b/>
                <w:color w:val="0C0C0C"/>
              </w:rPr>
            </w:pPr>
            <w:r w:rsidRPr="00BD0C19">
              <w:t>Superintendencia de Pensiones, al ser las</w:t>
            </w:r>
            <w:r>
              <w:t xml:space="preserve">… </w:t>
            </w:r>
            <w:r w:rsidRPr="00BD0C19">
              <w:t xml:space="preserve">horas </w:t>
            </w:r>
            <w:r>
              <w:t>d</w:t>
            </w:r>
            <w:r w:rsidRPr="00BD0C19">
              <w:t>el día</w:t>
            </w:r>
            <w:r>
              <w:t>…</w:t>
            </w:r>
            <w:r w:rsidRPr="00BD0C19">
              <w:t>de</w:t>
            </w:r>
            <w:r>
              <w:t>…</w:t>
            </w:r>
            <w:r w:rsidRPr="00BD0C19">
              <w:t xml:space="preserve"> de</w:t>
            </w:r>
            <w:r>
              <w:t xml:space="preserve"> dos mil veinticuatro.</w:t>
            </w:r>
          </w:p>
        </w:tc>
      </w:tr>
      <w:tr w:rsidR="00D924CE" w:rsidRPr="00142CA1" w14:paraId="2459988F" w14:textId="77777777" w:rsidTr="00D924CE">
        <w:trPr>
          <w:trHeight w:val="410"/>
        </w:trPr>
        <w:tc>
          <w:tcPr>
            <w:tcW w:w="1264" w:type="pct"/>
            <w:shd w:val="clear" w:color="auto" w:fill="auto"/>
          </w:tcPr>
          <w:p w14:paraId="725E491F" w14:textId="2A8C949B" w:rsidR="00D924CE" w:rsidRPr="00B93A6C" w:rsidRDefault="00D924CE" w:rsidP="00D924CE">
            <w:pPr>
              <w:jc w:val="center"/>
              <w:rPr>
                <w:b/>
                <w:bCs/>
              </w:rPr>
            </w:pPr>
            <w:r w:rsidRPr="00CB18F5">
              <w:rPr>
                <w:rFonts w:asciiTheme="minorHAnsi" w:hAnsiTheme="minorHAnsi" w:cstheme="minorHAnsi"/>
                <w:b/>
                <w:bCs/>
              </w:rPr>
              <w:t>CONSIDERANDO:</w:t>
            </w:r>
            <w:r>
              <w:rPr>
                <w:b/>
                <w:bCs/>
              </w:rPr>
              <w:tab/>
            </w:r>
          </w:p>
        </w:tc>
        <w:tc>
          <w:tcPr>
            <w:tcW w:w="1265" w:type="pct"/>
            <w:shd w:val="clear" w:color="auto" w:fill="auto"/>
          </w:tcPr>
          <w:p w14:paraId="26281782" w14:textId="6FA1EF58" w:rsidR="00D924CE" w:rsidRPr="00142CA1" w:rsidRDefault="00D924CE" w:rsidP="00D924CE">
            <w:pPr>
              <w:jc w:val="both"/>
              <w:rPr>
                <w:bCs/>
                <w:color w:val="0C0C0C"/>
                <w:sz w:val="22"/>
                <w:szCs w:val="22"/>
              </w:rPr>
            </w:pPr>
          </w:p>
        </w:tc>
        <w:tc>
          <w:tcPr>
            <w:tcW w:w="1220" w:type="pct"/>
            <w:shd w:val="clear" w:color="auto" w:fill="auto"/>
          </w:tcPr>
          <w:p w14:paraId="6B1AA9C5" w14:textId="5BEC4931" w:rsidR="00D924CE" w:rsidRPr="00142CA1" w:rsidRDefault="00D924CE" w:rsidP="00D924CE">
            <w:pPr>
              <w:pStyle w:val="paragraph"/>
              <w:spacing w:before="0" w:beforeAutospacing="0" w:after="0" w:afterAutospacing="0"/>
              <w:ind w:right="90"/>
              <w:jc w:val="both"/>
              <w:textAlignment w:val="baseline"/>
              <w:rPr>
                <w:b/>
                <w:color w:val="0C0C0C"/>
                <w:sz w:val="22"/>
                <w:szCs w:val="22"/>
              </w:rPr>
            </w:pPr>
          </w:p>
        </w:tc>
        <w:tc>
          <w:tcPr>
            <w:tcW w:w="1251" w:type="pct"/>
            <w:shd w:val="clear" w:color="auto" w:fill="auto"/>
          </w:tcPr>
          <w:p w14:paraId="78EFD8B5" w14:textId="470237A1" w:rsidR="00D924CE" w:rsidRPr="00142CA1" w:rsidRDefault="00D924CE" w:rsidP="00D924CE">
            <w:pPr>
              <w:pStyle w:val="TableParagraph"/>
              <w:spacing w:before="120" w:after="120"/>
              <w:ind w:right="98"/>
              <w:rPr>
                <w:b/>
                <w:color w:val="0C0C0C"/>
              </w:rPr>
            </w:pPr>
            <w:r w:rsidRPr="00CB18F5">
              <w:rPr>
                <w:rFonts w:asciiTheme="minorHAnsi" w:hAnsiTheme="minorHAnsi" w:cstheme="minorHAnsi"/>
                <w:b/>
                <w:bCs/>
              </w:rPr>
              <w:t>CONSIDERANDO:</w:t>
            </w:r>
            <w:r>
              <w:rPr>
                <w:b/>
                <w:bCs/>
              </w:rPr>
              <w:tab/>
            </w:r>
          </w:p>
        </w:tc>
      </w:tr>
      <w:tr w:rsidR="00D924CE" w:rsidRPr="00142CA1" w14:paraId="49738165" w14:textId="2D55420F" w:rsidTr="00D924CE">
        <w:trPr>
          <w:trHeight w:val="410"/>
        </w:trPr>
        <w:tc>
          <w:tcPr>
            <w:tcW w:w="1264" w:type="pct"/>
            <w:shd w:val="clear" w:color="auto" w:fill="FFFFFF" w:themeFill="background1"/>
          </w:tcPr>
          <w:p w14:paraId="443562F3" w14:textId="3561B02F" w:rsidR="00D924CE" w:rsidRPr="00142CA1" w:rsidRDefault="00D924CE" w:rsidP="00D924CE">
            <w:pPr>
              <w:pStyle w:val="TableParagraph"/>
              <w:numPr>
                <w:ilvl w:val="0"/>
                <w:numId w:val="24"/>
              </w:numPr>
              <w:spacing w:before="120" w:after="120"/>
              <w:ind w:right="98"/>
              <w:jc w:val="both"/>
              <w:rPr>
                <w:bCs/>
                <w:color w:val="0C0C0C"/>
                <w:lang w:val="es-ES"/>
              </w:rPr>
            </w:pPr>
            <w:r w:rsidRPr="0066208F">
              <w:t xml:space="preserve">El artículo 38 inciso f) de la ley N° 7523, Régimen Privado de Pensiones Complementarias, atribuye al Superintendente la facultad de adoptar las acciones necesarias para el cumplimiento efectivo de las funciones de autorización, </w:t>
            </w:r>
            <w:r w:rsidRPr="0066208F">
              <w:lastRenderedPageBreak/>
              <w:t>regulación y supervisión que le competen a la Superintendencia.</w:t>
            </w:r>
          </w:p>
        </w:tc>
        <w:tc>
          <w:tcPr>
            <w:tcW w:w="1265" w:type="pct"/>
            <w:shd w:val="clear" w:color="auto" w:fill="FFFFFF" w:themeFill="background1"/>
          </w:tcPr>
          <w:p w14:paraId="622A8CDE" w14:textId="1FA7F207" w:rsidR="00D924CE" w:rsidRPr="00142CA1" w:rsidRDefault="00D924CE" w:rsidP="00D924CE">
            <w:pPr>
              <w:pStyle w:val="TableParagraph"/>
              <w:spacing w:before="120" w:after="120"/>
              <w:ind w:left="0" w:right="98"/>
              <w:jc w:val="both"/>
              <w:rPr>
                <w:bCs/>
                <w:color w:val="0C0C0C"/>
                <w:lang w:val="es-ES"/>
              </w:rPr>
            </w:pPr>
          </w:p>
        </w:tc>
        <w:tc>
          <w:tcPr>
            <w:tcW w:w="1220" w:type="pct"/>
            <w:shd w:val="clear" w:color="auto" w:fill="FFFFFF" w:themeFill="background1"/>
          </w:tcPr>
          <w:p w14:paraId="156B1E3B" w14:textId="12C0C687" w:rsidR="00D924CE" w:rsidRPr="00142CA1" w:rsidRDefault="00D924CE" w:rsidP="00D924CE">
            <w:pPr>
              <w:pStyle w:val="TableParagraph"/>
              <w:spacing w:before="120" w:after="120"/>
              <w:ind w:right="98"/>
              <w:jc w:val="both"/>
              <w:rPr>
                <w:bCs/>
                <w:color w:val="0C0C0C"/>
                <w:lang w:val="es-ES"/>
              </w:rPr>
            </w:pPr>
          </w:p>
        </w:tc>
        <w:tc>
          <w:tcPr>
            <w:tcW w:w="1251" w:type="pct"/>
            <w:shd w:val="clear" w:color="auto" w:fill="FFFFFF" w:themeFill="background1"/>
          </w:tcPr>
          <w:p w14:paraId="3AD4141D" w14:textId="683FE502" w:rsidR="00D924CE" w:rsidRPr="00142CA1" w:rsidRDefault="00D924CE" w:rsidP="00D924CE">
            <w:pPr>
              <w:pStyle w:val="TableParagraph"/>
              <w:numPr>
                <w:ilvl w:val="0"/>
                <w:numId w:val="27"/>
              </w:numPr>
              <w:spacing w:before="120" w:after="120"/>
              <w:ind w:right="98"/>
              <w:jc w:val="both"/>
              <w:rPr>
                <w:bCs/>
                <w:color w:val="0C0C0C"/>
                <w:lang w:val="es-ES"/>
              </w:rPr>
            </w:pPr>
            <w:r w:rsidRPr="0066208F">
              <w:t xml:space="preserve">El artículo 38 inciso f) de la ley N° 7523, Régimen Privado de Pensiones Complementarias, atribuye al Superintendente la facultad de adoptar las acciones necesarias para el cumplimiento efectivo de las funciones </w:t>
            </w:r>
            <w:r w:rsidRPr="0066208F">
              <w:lastRenderedPageBreak/>
              <w:t>de autorización, regulación y supervisión que le competen a la Superintendencia.</w:t>
            </w:r>
          </w:p>
        </w:tc>
      </w:tr>
      <w:tr w:rsidR="00D924CE" w:rsidRPr="00142CA1" w14:paraId="556D28DD" w14:textId="57F606A1" w:rsidTr="00D924CE">
        <w:trPr>
          <w:trHeight w:val="410"/>
        </w:trPr>
        <w:tc>
          <w:tcPr>
            <w:tcW w:w="1264" w:type="pct"/>
            <w:shd w:val="clear" w:color="auto" w:fill="FFFFFF" w:themeFill="background1"/>
          </w:tcPr>
          <w:p w14:paraId="4F1801C1" w14:textId="5E0BCCBA" w:rsidR="00D924CE" w:rsidRPr="00855BDA" w:rsidRDefault="00D924CE" w:rsidP="00D924CE">
            <w:pPr>
              <w:pStyle w:val="TableParagraph"/>
              <w:numPr>
                <w:ilvl w:val="0"/>
                <w:numId w:val="24"/>
              </w:numPr>
              <w:spacing w:before="120" w:after="120"/>
              <w:ind w:right="98"/>
              <w:jc w:val="both"/>
            </w:pPr>
            <w:r w:rsidRPr="0066208F">
              <w:lastRenderedPageBreak/>
              <w:t>El inciso r) del artículo 38 antes mencionado, establece como una atribución del Superintendente, dictar normas específicas sobre el contenido, la forma o la periodicidad con que las entidades supervisadas deben proporcionarle información jurídica, económica y financiera, así como cualquier otra que considere de importancia, con el fin de que exista información suficiente y confiable sobre su situación.</w:t>
            </w:r>
          </w:p>
        </w:tc>
        <w:tc>
          <w:tcPr>
            <w:tcW w:w="1265" w:type="pct"/>
            <w:shd w:val="clear" w:color="auto" w:fill="FFFFFF" w:themeFill="background1"/>
          </w:tcPr>
          <w:p w14:paraId="7959A398" w14:textId="6D9B68CB" w:rsidR="00D924CE" w:rsidRPr="00142CA1" w:rsidRDefault="00D924CE" w:rsidP="00D924CE">
            <w:pPr>
              <w:pStyle w:val="TableParagraph"/>
              <w:spacing w:before="120" w:after="120"/>
              <w:ind w:right="98"/>
              <w:jc w:val="both"/>
            </w:pPr>
          </w:p>
        </w:tc>
        <w:tc>
          <w:tcPr>
            <w:tcW w:w="1220" w:type="pct"/>
            <w:shd w:val="clear" w:color="auto" w:fill="FFFFFF" w:themeFill="background1"/>
          </w:tcPr>
          <w:p w14:paraId="7EE5EAC9" w14:textId="20A6B876" w:rsidR="00D924CE" w:rsidRPr="00142CA1" w:rsidRDefault="00D924CE" w:rsidP="00D924CE">
            <w:pPr>
              <w:pStyle w:val="TableParagraph"/>
              <w:spacing w:before="120" w:after="120"/>
              <w:ind w:right="98"/>
              <w:jc w:val="both"/>
            </w:pPr>
          </w:p>
        </w:tc>
        <w:tc>
          <w:tcPr>
            <w:tcW w:w="1251" w:type="pct"/>
            <w:shd w:val="clear" w:color="auto" w:fill="FFFFFF" w:themeFill="background1"/>
          </w:tcPr>
          <w:p w14:paraId="146935BE" w14:textId="5C602311" w:rsidR="00D924CE" w:rsidRPr="00855BDA" w:rsidRDefault="00D924CE" w:rsidP="00D924CE">
            <w:pPr>
              <w:pStyle w:val="TableParagraph"/>
              <w:numPr>
                <w:ilvl w:val="0"/>
                <w:numId w:val="27"/>
              </w:numPr>
              <w:spacing w:before="120" w:after="120"/>
              <w:ind w:right="98"/>
              <w:jc w:val="both"/>
            </w:pPr>
            <w:r w:rsidRPr="0066208F">
              <w:t>El inciso r) del artículo 38 antes mencionado, establece como una atribución del Superintendente, dictar normas específicas sobre el contenido, la forma o la periodicidad con que las entidades supervisadas deben proporcionarle información jurídica, económica y financiera, así como cualquier otra que considere de importancia, con el fin de que exista información suficiente y confiable sobre su situación.</w:t>
            </w:r>
          </w:p>
        </w:tc>
      </w:tr>
      <w:tr w:rsidR="00D924CE" w:rsidRPr="00142CA1" w14:paraId="4A2140B7" w14:textId="77777777" w:rsidTr="00D924CE">
        <w:trPr>
          <w:trHeight w:val="410"/>
        </w:trPr>
        <w:tc>
          <w:tcPr>
            <w:tcW w:w="1264" w:type="pct"/>
            <w:shd w:val="clear" w:color="auto" w:fill="FFFFFF" w:themeFill="background1"/>
          </w:tcPr>
          <w:p w14:paraId="7BCA6501" w14:textId="43ACC62D" w:rsidR="00D924CE" w:rsidRPr="00142CA1" w:rsidRDefault="00D924CE" w:rsidP="00D924CE">
            <w:pPr>
              <w:pStyle w:val="TableParagraph"/>
              <w:numPr>
                <w:ilvl w:val="0"/>
                <w:numId w:val="24"/>
              </w:numPr>
              <w:spacing w:before="120" w:after="120"/>
              <w:ind w:right="98"/>
              <w:jc w:val="both"/>
            </w:pPr>
            <w:r w:rsidRPr="00855BDA">
              <w:t>El artículo 180 de la Ley Reguladora del Mercado de Valores, establece que: “La Superintendencia General de Entidades Financieras, la Superintendencia General de Valores y la Superintendencia de Pensiones podrán utilizar medios electrónicos o magnéticos de transmisión y almacenamiento de datos, para solicitar información a las entidades fiscalizadas y para mantener sus archivos, actas y demás documentos. La información así mantenida tendrá valor probatorio equivalente al de los documentos para todos los efectos legales”.</w:t>
            </w:r>
          </w:p>
        </w:tc>
        <w:tc>
          <w:tcPr>
            <w:tcW w:w="1265" w:type="pct"/>
            <w:shd w:val="clear" w:color="auto" w:fill="FFFFFF" w:themeFill="background1"/>
          </w:tcPr>
          <w:p w14:paraId="1E91D459" w14:textId="77777777" w:rsidR="00D924CE" w:rsidRPr="00855BDA" w:rsidRDefault="00D924CE" w:rsidP="00D924CE">
            <w:pPr>
              <w:pStyle w:val="TableParagraph"/>
              <w:spacing w:before="120" w:after="120"/>
              <w:ind w:left="0" w:right="98"/>
              <w:jc w:val="both"/>
            </w:pPr>
          </w:p>
        </w:tc>
        <w:tc>
          <w:tcPr>
            <w:tcW w:w="1220" w:type="pct"/>
            <w:shd w:val="clear" w:color="auto" w:fill="FFFFFF" w:themeFill="background1"/>
          </w:tcPr>
          <w:p w14:paraId="5B8C0CE8" w14:textId="12DF2D78" w:rsidR="00D924CE" w:rsidRPr="00855BDA" w:rsidRDefault="00D924CE" w:rsidP="00D924CE">
            <w:pPr>
              <w:pStyle w:val="TableParagraph"/>
              <w:spacing w:before="120" w:after="120"/>
              <w:ind w:left="0" w:right="98"/>
              <w:jc w:val="both"/>
            </w:pPr>
          </w:p>
        </w:tc>
        <w:tc>
          <w:tcPr>
            <w:tcW w:w="1251" w:type="pct"/>
            <w:shd w:val="clear" w:color="auto" w:fill="FFFFFF" w:themeFill="background1"/>
          </w:tcPr>
          <w:p w14:paraId="26D8116D" w14:textId="6F386486" w:rsidR="00D924CE" w:rsidRPr="00855BDA" w:rsidRDefault="00D924CE" w:rsidP="00D924CE">
            <w:pPr>
              <w:pStyle w:val="TableParagraph"/>
              <w:numPr>
                <w:ilvl w:val="0"/>
                <w:numId w:val="27"/>
              </w:numPr>
              <w:spacing w:before="120" w:after="120"/>
              <w:ind w:right="98"/>
              <w:jc w:val="both"/>
            </w:pPr>
            <w:r w:rsidRPr="00855BDA">
              <w:t>El artículo 180 de la Ley Reguladora del Mercado de Valores, establece que: “La Superintendencia General de Entidades Financieras, la Superintendencia General de Valores y la Superintendencia de Pensiones podrán utilizar medios electrónicos o magnéticos de transmisión y almacenamiento de datos, para solicitar información a las entidades fiscalizadas y para mantener sus archivos, actas y demás documentos. La información así mantenida tendrá valor probatorio equivalente al de los documentos para todos los efectos legales”.</w:t>
            </w:r>
          </w:p>
        </w:tc>
      </w:tr>
      <w:tr w:rsidR="00D924CE" w:rsidRPr="00142CA1" w14:paraId="55A2D9CD" w14:textId="77777777" w:rsidTr="00D924CE">
        <w:trPr>
          <w:trHeight w:val="410"/>
        </w:trPr>
        <w:tc>
          <w:tcPr>
            <w:tcW w:w="1264" w:type="pct"/>
            <w:shd w:val="clear" w:color="auto" w:fill="FFFFFF" w:themeFill="background1"/>
          </w:tcPr>
          <w:p w14:paraId="17A5F663" w14:textId="1CEB369E" w:rsidR="00D924CE" w:rsidRPr="00C819FA" w:rsidRDefault="00D924CE" w:rsidP="00D924CE">
            <w:pPr>
              <w:pStyle w:val="TableParagraph"/>
              <w:numPr>
                <w:ilvl w:val="0"/>
                <w:numId w:val="24"/>
              </w:numPr>
              <w:spacing w:before="120" w:after="120"/>
              <w:ind w:right="98"/>
              <w:jc w:val="both"/>
            </w:pPr>
            <w:r w:rsidRPr="00C819FA">
              <w:t>A fin de mejorar el suministro de información oportuna y actualizada por parte de las entidades supervisadas es necesario disponer en el repositorio electrónico la versión vigente de varios documentos contractuales y regulatorios de las entidades supervisadas.</w:t>
            </w:r>
          </w:p>
        </w:tc>
        <w:tc>
          <w:tcPr>
            <w:tcW w:w="1265" w:type="pct"/>
            <w:shd w:val="clear" w:color="auto" w:fill="FFFFFF" w:themeFill="background1"/>
          </w:tcPr>
          <w:p w14:paraId="54E9E1E5" w14:textId="3B342AC0" w:rsidR="00D924CE" w:rsidRPr="00C819FA" w:rsidRDefault="00D924CE" w:rsidP="00D924CE">
            <w:pPr>
              <w:pStyle w:val="TableParagraph"/>
              <w:spacing w:before="120" w:after="120"/>
              <w:ind w:left="0" w:right="98"/>
              <w:jc w:val="both"/>
            </w:pPr>
          </w:p>
        </w:tc>
        <w:tc>
          <w:tcPr>
            <w:tcW w:w="1220" w:type="pct"/>
            <w:shd w:val="clear" w:color="auto" w:fill="FFFFFF" w:themeFill="background1"/>
          </w:tcPr>
          <w:p w14:paraId="2B8BF54B" w14:textId="24CFEE20" w:rsidR="00D924CE" w:rsidRPr="00C819FA" w:rsidRDefault="00D924CE" w:rsidP="00D924CE">
            <w:pPr>
              <w:pStyle w:val="TableParagraph"/>
              <w:spacing w:before="120" w:after="120"/>
              <w:ind w:left="0" w:right="98"/>
              <w:jc w:val="both"/>
            </w:pPr>
          </w:p>
        </w:tc>
        <w:tc>
          <w:tcPr>
            <w:tcW w:w="1251" w:type="pct"/>
            <w:shd w:val="clear" w:color="auto" w:fill="FFFFFF" w:themeFill="background1"/>
          </w:tcPr>
          <w:p w14:paraId="334E15B0" w14:textId="6648A06C" w:rsidR="00D924CE" w:rsidRPr="00C819FA" w:rsidRDefault="00D924CE" w:rsidP="00D924CE">
            <w:pPr>
              <w:pStyle w:val="TableParagraph"/>
              <w:numPr>
                <w:ilvl w:val="0"/>
                <w:numId w:val="27"/>
              </w:numPr>
              <w:spacing w:before="120" w:after="120"/>
              <w:ind w:right="98"/>
              <w:jc w:val="both"/>
            </w:pPr>
            <w:r w:rsidRPr="00C819FA">
              <w:t>A fin de mejorar el suministro de información oportuna y actualizada por parte de las entidades supervisadas es necesario disponer en el repositorio electrónico la versión vigente de varios documentos contractuales y regulatorios de las entidades supervisadas.</w:t>
            </w:r>
          </w:p>
        </w:tc>
      </w:tr>
      <w:tr w:rsidR="00D924CE" w:rsidRPr="00142CA1" w14:paraId="78B231C7" w14:textId="77777777" w:rsidTr="00D924CE">
        <w:trPr>
          <w:trHeight w:val="410"/>
        </w:trPr>
        <w:tc>
          <w:tcPr>
            <w:tcW w:w="1264" w:type="pct"/>
            <w:shd w:val="clear" w:color="auto" w:fill="FFFFFF" w:themeFill="background1"/>
          </w:tcPr>
          <w:p w14:paraId="4226F8FF" w14:textId="7714A9ED" w:rsidR="00D924CE" w:rsidRPr="004C18ED" w:rsidRDefault="00D924CE" w:rsidP="00D924CE">
            <w:pPr>
              <w:pStyle w:val="TableParagraph"/>
              <w:numPr>
                <w:ilvl w:val="0"/>
                <w:numId w:val="24"/>
              </w:numPr>
              <w:spacing w:before="120" w:after="120"/>
              <w:ind w:right="98"/>
              <w:jc w:val="both"/>
            </w:pPr>
            <w:r w:rsidRPr="004C18ED">
              <w:lastRenderedPageBreak/>
              <w:t>Considerando los diferentes formatos utilizados por las entidades supervisadas para el suministro de las actas del Órgano de dirección, comité de inversiones, comité de riesgos y otros comités, es necesario uniformar el formato del suministro de esa información.</w:t>
            </w:r>
          </w:p>
        </w:tc>
        <w:tc>
          <w:tcPr>
            <w:tcW w:w="1265" w:type="pct"/>
            <w:shd w:val="clear" w:color="auto" w:fill="FFFFFF" w:themeFill="background1"/>
          </w:tcPr>
          <w:p w14:paraId="6C2B210E" w14:textId="70FF32C3" w:rsidR="00D924CE" w:rsidRPr="004C18ED" w:rsidRDefault="00D924CE" w:rsidP="00D924CE">
            <w:pPr>
              <w:pStyle w:val="TableParagraph"/>
              <w:spacing w:before="120" w:after="120"/>
              <w:ind w:left="0" w:right="98"/>
              <w:jc w:val="both"/>
            </w:pPr>
          </w:p>
        </w:tc>
        <w:tc>
          <w:tcPr>
            <w:tcW w:w="1220" w:type="pct"/>
            <w:shd w:val="clear" w:color="auto" w:fill="FFFFFF" w:themeFill="background1"/>
          </w:tcPr>
          <w:p w14:paraId="4DA00ECB" w14:textId="57EEF5C6" w:rsidR="00D924CE" w:rsidRPr="004C18ED" w:rsidRDefault="00D924CE" w:rsidP="00D924CE">
            <w:pPr>
              <w:pStyle w:val="TableParagraph"/>
              <w:spacing w:before="120" w:after="120"/>
              <w:ind w:left="0" w:right="98"/>
              <w:jc w:val="both"/>
            </w:pPr>
          </w:p>
        </w:tc>
        <w:tc>
          <w:tcPr>
            <w:tcW w:w="1251" w:type="pct"/>
            <w:shd w:val="clear" w:color="auto" w:fill="FFFFFF" w:themeFill="background1"/>
          </w:tcPr>
          <w:p w14:paraId="10647391" w14:textId="7AA2CDDA" w:rsidR="00D924CE" w:rsidRPr="004C18ED" w:rsidRDefault="00D924CE" w:rsidP="00D924CE">
            <w:pPr>
              <w:pStyle w:val="TableParagraph"/>
              <w:numPr>
                <w:ilvl w:val="0"/>
                <w:numId w:val="27"/>
              </w:numPr>
              <w:spacing w:before="120" w:after="120"/>
              <w:ind w:right="98"/>
              <w:jc w:val="both"/>
            </w:pPr>
            <w:r w:rsidRPr="004C18ED">
              <w:t>Considerando los diferentes formatos utilizados por las entidades supervisadas para el suministro de las actas del Órgano de dirección, comité de inversiones, comité de riesgos y otros comités, es necesario uniformar el formato del suministro de esa información.</w:t>
            </w:r>
          </w:p>
        </w:tc>
      </w:tr>
      <w:tr w:rsidR="00D924CE" w:rsidRPr="00142CA1" w14:paraId="70A54670" w14:textId="77777777" w:rsidTr="00D924CE">
        <w:trPr>
          <w:trHeight w:val="410"/>
        </w:trPr>
        <w:tc>
          <w:tcPr>
            <w:tcW w:w="1264" w:type="pct"/>
            <w:shd w:val="clear" w:color="auto" w:fill="FFFFFF" w:themeFill="background1"/>
          </w:tcPr>
          <w:p w14:paraId="6FE2635B" w14:textId="7C90C7DD" w:rsidR="00D924CE" w:rsidRPr="00745D60" w:rsidRDefault="00D924CE" w:rsidP="00D924CE">
            <w:pPr>
              <w:jc w:val="center"/>
              <w:rPr>
                <w:rFonts w:asciiTheme="minorHAnsi" w:hAnsiTheme="minorHAnsi" w:cstheme="minorHAnsi"/>
                <w:b/>
                <w:bCs/>
              </w:rPr>
            </w:pPr>
            <w:r w:rsidRPr="00912BAB">
              <w:rPr>
                <w:rFonts w:asciiTheme="minorHAnsi" w:hAnsiTheme="minorHAnsi" w:cstheme="minorHAnsi"/>
                <w:b/>
                <w:bCs/>
              </w:rPr>
              <w:t>POR TANTO:</w:t>
            </w:r>
          </w:p>
        </w:tc>
        <w:tc>
          <w:tcPr>
            <w:tcW w:w="1265" w:type="pct"/>
            <w:shd w:val="clear" w:color="auto" w:fill="FFFFFF" w:themeFill="background1"/>
          </w:tcPr>
          <w:p w14:paraId="5B0A9085" w14:textId="42937326" w:rsidR="00D924CE" w:rsidRPr="00142CA1" w:rsidRDefault="00D924CE" w:rsidP="00D924CE">
            <w:pPr>
              <w:jc w:val="both"/>
              <w:rPr>
                <w:b/>
                <w:bCs/>
                <w:i/>
                <w:iCs/>
                <w:sz w:val="22"/>
                <w:szCs w:val="22"/>
              </w:rPr>
            </w:pPr>
          </w:p>
        </w:tc>
        <w:tc>
          <w:tcPr>
            <w:tcW w:w="1220" w:type="pct"/>
            <w:shd w:val="clear" w:color="auto" w:fill="FFFFFF" w:themeFill="background1"/>
          </w:tcPr>
          <w:p w14:paraId="3F571EE6" w14:textId="055796F5" w:rsidR="00D924CE" w:rsidRPr="00142CA1" w:rsidRDefault="00D924CE" w:rsidP="00D924CE">
            <w:pPr>
              <w:jc w:val="both"/>
              <w:rPr>
                <w:bCs/>
                <w:iCs/>
                <w:sz w:val="22"/>
                <w:szCs w:val="22"/>
              </w:rPr>
            </w:pPr>
          </w:p>
        </w:tc>
        <w:tc>
          <w:tcPr>
            <w:tcW w:w="1251" w:type="pct"/>
            <w:shd w:val="clear" w:color="auto" w:fill="FFFFFF" w:themeFill="background1"/>
          </w:tcPr>
          <w:p w14:paraId="0C493C91" w14:textId="3D34A3B0" w:rsidR="00D924CE" w:rsidRPr="00142CA1" w:rsidRDefault="00D924CE" w:rsidP="00D924CE">
            <w:pPr>
              <w:jc w:val="both"/>
              <w:rPr>
                <w:rFonts w:ascii="Arial" w:hAnsi="Arial" w:cs="Arial"/>
                <w:b/>
                <w:bCs/>
                <w:sz w:val="22"/>
                <w:szCs w:val="22"/>
              </w:rPr>
            </w:pPr>
            <w:r w:rsidRPr="00912BAB">
              <w:rPr>
                <w:rFonts w:asciiTheme="minorHAnsi" w:hAnsiTheme="minorHAnsi" w:cstheme="minorHAnsi"/>
                <w:b/>
                <w:bCs/>
              </w:rPr>
              <w:t>POR TANTO:</w:t>
            </w:r>
          </w:p>
        </w:tc>
      </w:tr>
      <w:tr w:rsidR="00D924CE" w:rsidRPr="004026A5" w14:paraId="5A0A7617" w14:textId="77777777" w:rsidTr="00D924CE">
        <w:trPr>
          <w:trHeight w:val="410"/>
        </w:trPr>
        <w:tc>
          <w:tcPr>
            <w:tcW w:w="1264" w:type="pct"/>
            <w:shd w:val="clear" w:color="auto" w:fill="FFFFFF" w:themeFill="background1"/>
          </w:tcPr>
          <w:p w14:paraId="2EE49A29" w14:textId="4B8DEE36" w:rsidR="00D924CE" w:rsidRPr="004026A5" w:rsidRDefault="00D924CE" w:rsidP="00D924CE">
            <w:pPr>
              <w:jc w:val="both"/>
              <w:rPr>
                <w:b/>
                <w:bCs/>
                <w:i/>
                <w:iCs/>
                <w:sz w:val="22"/>
                <w:szCs w:val="22"/>
              </w:rPr>
            </w:pPr>
            <w:r w:rsidRPr="004026A5">
              <w:rPr>
                <w:b/>
                <w:bCs/>
                <w:sz w:val="22"/>
                <w:szCs w:val="22"/>
              </w:rPr>
              <w:t>Primero</w:t>
            </w:r>
            <w:r w:rsidRPr="004026A5">
              <w:rPr>
                <w:sz w:val="22"/>
                <w:szCs w:val="22"/>
              </w:rPr>
              <w:t>: Se reforma el acuerdo SP-A-133-2009 “Disposiciones aplicables a las actas que deben llevar los órganos de dirección y los comités de riesgo y de inversiones de las entidades reguladas”, para que en adelante se denomine “Disposiciones aplicables a las actas que deben llevar los órganos de dirección y los comités de riesgo y de inversiones de las entidades reguladas y al registro de información relacionada sujeta a conocimiento de la SUPEN”</w:t>
            </w:r>
          </w:p>
        </w:tc>
        <w:tc>
          <w:tcPr>
            <w:tcW w:w="1265" w:type="pct"/>
            <w:shd w:val="clear" w:color="auto" w:fill="FFFFFF" w:themeFill="background1"/>
          </w:tcPr>
          <w:p w14:paraId="12FADB9B" w14:textId="79D85609" w:rsidR="00D924CE" w:rsidRPr="004026A5" w:rsidRDefault="00D924CE" w:rsidP="00D924CE">
            <w:pPr>
              <w:jc w:val="both"/>
              <w:rPr>
                <w:b/>
                <w:bCs/>
                <w:i/>
                <w:iCs/>
                <w:sz w:val="22"/>
                <w:szCs w:val="22"/>
              </w:rPr>
            </w:pPr>
          </w:p>
        </w:tc>
        <w:tc>
          <w:tcPr>
            <w:tcW w:w="1220" w:type="pct"/>
            <w:shd w:val="clear" w:color="auto" w:fill="FFFFFF" w:themeFill="background1"/>
          </w:tcPr>
          <w:p w14:paraId="3CC79270" w14:textId="0C46E94F" w:rsidR="00D924CE" w:rsidRPr="004026A5" w:rsidRDefault="00D924CE" w:rsidP="00D924CE">
            <w:pPr>
              <w:jc w:val="both"/>
              <w:rPr>
                <w:bCs/>
                <w:iCs/>
                <w:sz w:val="22"/>
                <w:szCs w:val="22"/>
              </w:rPr>
            </w:pPr>
          </w:p>
        </w:tc>
        <w:tc>
          <w:tcPr>
            <w:tcW w:w="1251" w:type="pct"/>
            <w:shd w:val="clear" w:color="auto" w:fill="FFFFFF" w:themeFill="background1"/>
          </w:tcPr>
          <w:p w14:paraId="4F49B751" w14:textId="4BAEB745" w:rsidR="00D924CE" w:rsidRPr="004026A5" w:rsidRDefault="00D924CE" w:rsidP="00D924CE">
            <w:pPr>
              <w:jc w:val="both"/>
              <w:rPr>
                <w:rFonts w:ascii="Arial" w:hAnsi="Arial" w:cs="Arial"/>
                <w:b/>
                <w:bCs/>
                <w:sz w:val="22"/>
                <w:szCs w:val="22"/>
              </w:rPr>
            </w:pPr>
            <w:r w:rsidRPr="004026A5">
              <w:rPr>
                <w:b/>
                <w:bCs/>
                <w:sz w:val="22"/>
                <w:szCs w:val="22"/>
              </w:rPr>
              <w:t>Primero</w:t>
            </w:r>
            <w:r w:rsidRPr="004026A5">
              <w:rPr>
                <w:sz w:val="22"/>
                <w:szCs w:val="22"/>
              </w:rPr>
              <w:t>: Se reforma el acuerdo SP-A-133-2009 “Disposiciones aplicables a las actas que deben llevar los órganos de dirección y los comités de riesgo y de inversiones de las entidades reguladas”, para que en adelante se denomine “Disposiciones aplicables a las actas que deben llevar los órganos de dirección y los comités de riesgo y de inversiones de las entidades reguladas y al registro de información relacionada sujeta a conocimiento de la SUPEN”</w:t>
            </w:r>
          </w:p>
        </w:tc>
      </w:tr>
      <w:tr w:rsidR="00D924CE" w:rsidRPr="004026A5" w14:paraId="1381AE0D" w14:textId="77777777" w:rsidTr="00D924CE">
        <w:trPr>
          <w:trHeight w:val="410"/>
        </w:trPr>
        <w:tc>
          <w:tcPr>
            <w:tcW w:w="1264" w:type="pct"/>
            <w:shd w:val="clear" w:color="auto" w:fill="FFFFFF" w:themeFill="background1"/>
          </w:tcPr>
          <w:p w14:paraId="04B0E02B" w14:textId="70ABBF28" w:rsidR="00D924CE" w:rsidRPr="00082EC9" w:rsidRDefault="00D924CE" w:rsidP="00D924CE">
            <w:pPr>
              <w:rPr>
                <w:b/>
                <w:bCs/>
                <w:i/>
                <w:iCs/>
              </w:rPr>
            </w:pPr>
            <w:r w:rsidRPr="00643FFD">
              <w:rPr>
                <w:b/>
                <w:bCs/>
              </w:rPr>
              <w:t>Segundo</w:t>
            </w:r>
            <w:r>
              <w:t xml:space="preserve">: </w:t>
            </w:r>
            <w:r w:rsidRPr="00643FFD">
              <w:t>Se agregue el inciso j al artículo 2 Requisitos que deben cumplir las actas, para que en lo sucesivo se lea:</w:t>
            </w:r>
            <w:r w:rsidRPr="00643FFD">
              <w:rPr>
                <w:b/>
                <w:bCs/>
                <w:i/>
                <w:iCs/>
              </w:rPr>
              <w:t xml:space="preserve"> </w:t>
            </w:r>
          </w:p>
        </w:tc>
        <w:tc>
          <w:tcPr>
            <w:tcW w:w="1265" w:type="pct"/>
            <w:shd w:val="clear" w:color="auto" w:fill="FFFFFF" w:themeFill="background1"/>
          </w:tcPr>
          <w:p w14:paraId="109473B7" w14:textId="77777777" w:rsidR="00D924CE" w:rsidRPr="004026A5" w:rsidRDefault="00D924CE" w:rsidP="00D924CE">
            <w:pPr>
              <w:jc w:val="both"/>
              <w:rPr>
                <w:b/>
                <w:bCs/>
                <w:i/>
                <w:iCs/>
                <w:sz w:val="22"/>
                <w:szCs w:val="22"/>
              </w:rPr>
            </w:pPr>
          </w:p>
        </w:tc>
        <w:tc>
          <w:tcPr>
            <w:tcW w:w="1220" w:type="pct"/>
            <w:shd w:val="clear" w:color="auto" w:fill="FFFFFF" w:themeFill="background1"/>
          </w:tcPr>
          <w:p w14:paraId="2A27FFC2" w14:textId="77777777" w:rsidR="00D924CE" w:rsidRPr="004026A5" w:rsidRDefault="00D924CE" w:rsidP="00D924CE">
            <w:pPr>
              <w:jc w:val="both"/>
              <w:rPr>
                <w:bCs/>
                <w:iCs/>
                <w:sz w:val="22"/>
                <w:szCs w:val="22"/>
              </w:rPr>
            </w:pPr>
          </w:p>
        </w:tc>
        <w:tc>
          <w:tcPr>
            <w:tcW w:w="1251" w:type="pct"/>
            <w:shd w:val="clear" w:color="auto" w:fill="FFFFFF" w:themeFill="background1"/>
          </w:tcPr>
          <w:p w14:paraId="5B8B8BDE" w14:textId="3D768704" w:rsidR="00D924CE" w:rsidRPr="004026A5" w:rsidRDefault="00D924CE" w:rsidP="00D924CE">
            <w:pPr>
              <w:jc w:val="both"/>
              <w:rPr>
                <w:rFonts w:ascii="Arial" w:hAnsi="Arial" w:cs="Arial"/>
                <w:b/>
                <w:bCs/>
                <w:sz w:val="22"/>
                <w:szCs w:val="22"/>
              </w:rPr>
            </w:pPr>
            <w:r w:rsidRPr="00643FFD">
              <w:rPr>
                <w:b/>
                <w:bCs/>
              </w:rPr>
              <w:t>Segundo</w:t>
            </w:r>
            <w:r>
              <w:t xml:space="preserve">: </w:t>
            </w:r>
            <w:r w:rsidRPr="00643FFD">
              <w:t>Se agregue el inciso j al artículo 2 Requisitos que deben cumplir las actas, para que en lo sucesivo se lea:</w:t>
            </w:r>
            <w:r w:rsidRPr="00643FFD">
              <w:rPr>
                <w:b/>
                <w:bCs/>
                <w:i/>
                <w:iCs/>
              </w:rPr>
              <w:t xml:space="preserve"> </w:t>
            </w:r>
          </w:p>
        </w:tc>
      </w:tr>
      <w:tr w:rsidR="00D924CE" w:rsidRPr="004026A5" w14:paraId="325370E0" w14:textId="77777777" w:rsidTr="00D924CE">
        <w:trPr>
          <w:trHeight w:val="410"/>
        </w:trPr>
        <w:tc>
          <w:tcPr>
            <w:tcW w:w="1264" w:type="pct"/>
            <w:shd w:val="clear" w:color="auto" w:fill="FFFFFF" w:themeFill="background1"/>
          </w:tcPr>
          <w:p w14:paraId="461E0CFA" w14:textId="77777777" w:rsidR="00D924CE" w:rsidRDefault="00D924CE" w:rsidP="00D924CE">
            <w:pPr>
              <w:ind w:left="708"/>
              <w:rPr>
                <w:b/>
                <w:bCs/>
                <w:i/>
                <w:iCs/>
              </w:rPr>
            </w:pPr>
            <w:r w:rsidRPr="003E76B0">
              <w:rPr>
                <w:b/>
                <w:bCs/>
                <w:i/>
                <w:iCs/>
              </w:rPr>
              <w:t>Artículo 2.  Requisitos que deben cumplir las actas</w:t>
            </w:r>
          </w:p>
          <w:p w14:paraId="09E4B73A" w14:textId="77777777" w:rsidR="00D924CE" w:rsidRPr="003E76B0" w:rsidRDefault="00D924CE" w:rsidP="00D924CE">
            <w:pPr>
              <w:ind w:left="708"/>
              <w:rPr>
                <w:b/>
                <w:bCs/>
                <w:i/>
                <w:iCs/>
              </w:rPr>
            </w:pPr>
            <w:r>
              <w:rPr>
                <w:b/>
                <w:bCs/>
                <w:i/>
                <w:iCs/>
              </w:rPr>
              <w:t>[…]</w:t>
            </w:r>
          </w:p>
          <w:p w14:paraId="2655EED5" w14:textId="77777777" w:rsidR="00D924CE" w:rsidRDefault="00D924CE" w:rsidP="00D924CE">
            <w:pPr>
              <w:ind w:left="708"/>
              <w:jc w:val="both"/>
              <w:rPr>
                <w:i/>
                <w:iCs/>
              </w:rPr>
            </w:pPr>
            <w:r w:rsidRPr="00BB2A0F">
              <w:rPr>
                <w:i/>
                <w:iCs/>
              </w:rPr>
              <w:t>j.</w:t>
            </w:r>
            <w:r w:rsidRPr="00BB2A0F">
              <w:rPr>
                <w:i/>
                <w:iCs/>
              </w:rPr>
              <w:tab/>
              <w:t xml:space="preserve">El acta debe ser </w:t>
            </w:r>
            <w:r w:rsidRPr="00A720E7">
              <w:rPr>
                <w:i/>
                <w:iCs/>
              </w:rPr>
              <w:t xml:space="preserve">almacenada en el repositorio o carpeta que para tales efectos se sirva indicar el secretario del órgano de dirección de conformidad con lo dispuesto en el inciso f) del artículo 4 del presente acuerdo </w:t>
            </w:r>
            <w:r w:rsidRPr="00BB2A0F">
              <w:rPr>
                <w:i/>
                <w:iCs/>
              </w:rPr>
              <w:t>en archivo formato PDF. Su contenido debe ser en formato texto, con excepción a información gráfica, la cual puede ser en formato imagen.</w:t>
            </w:r>
          </w:p>
          <w:p w14:paraId="20AA3F52" w14:textId="64EECDD9" w:rsidR="00D924CE" w:rsidRPr="00AC235A" w:rsidRDefault="00D924CE" w:rsidP="00D924CE">
            <w:pPr>
              <w:ind w:left="708"/>
              <w:jc w:val="both"/>
              <w:rPr>
                <w:i/>
                <w:iCs/>
              </w:rPr>
            </w:pPr>
            <w:r>
              <w:rPr>
                <w:i/>
                <w:iCs/>
              </w:rPr>
              <w:t>[…]</w:t>
            </w:r>
          </w:p>
        </w:tc>
        <w:tc>
          <w:tcPr>
            <w:tcW w:w="1265" w:type="pct"/>
            <w:shd w:val="clear" w:color="auto" w:fill="FFFFFF" w:themeFill="background1"/>
          </w:tcPr>
          <w:p w14:paraId="3E4BFF49" w14:textId="77777777" w:rsidR="00D924CE" w:rsidRPr="004026A5" w:rsidRDefault="00D924CE" w:rsidP="00D924CE">
            <w:pPr>
              <w:jc w:val="both"/>
              <w:rPr>
                <w:b/>
                <w:bCs/>
                <w:i/>
                <w:iCs/>
                <w:sz w:val="22"/>
                <w:szCs w:val="22"/>
              </w:rPr>
            </w:pPr>
          </w:p>
        </w:tc>
        <w:tc>
          <w:tcPr>
            <w:tcW w:w="1220" w:type="pct"/>
            <w:shd w:val="clear" w:color="auto" w:fill="FFFFFF" w:themeFill="background1"/>
          </w:tcPr>
          <w:p w14:paraId="048D6CD7" w14:textId="77777777" w:rsidR="00D924CE" w:rsidRPr="004026A5" w:rsidRDefault="00D924CE" w:rsidP="00D924CE">
            <w:pPr>
              <w:jc w:val="both"/>
              <w:rPr>
                <w:bCs/>
                <w:iCs/>
                <w:sz w:val="22"/>
                <w:szCs w:val="22"/>
              </w:rPr>
            </w:pPr>
          </w:p>
        </w:tc>
        <w:tc>
          <w:tcPr>
            <w:tcW w:w="1251" w:type="pct"/>
            <w:shd w:val="clear" w:color="auto" w:fill="FFFFFF" w:themeFill="background1"/>
          </w:tcPr>
          <w:p w14:paraId="7963C961" w14:textId="77777777" w:rsidR="00D924CE" w:rsidRDefault="00D924CE" w:rsidP="00D924CE">
            <w:pPr>
              <w:ind w:left="708"/>
              <w:rPr>
                <w:b/>
                <w:bCs/>
                <w:i/>
                <w:iCs/>
              </w:rPr>
            </w:pPr>
            <w:r w:rsidRPr="003E76B0">
              <w:rPr>
                <w:b/>
                <w:bCs/>
                <w:i/>
                <w:iCs/>
              </w:rPr>
              <w:t>Artículo 2.  Requisitos que deben cumplir las actas</w:t>
            </w:r>
          </w:p>
          <w:p w14:paraId="043181DB" w14:textId="77777777" w:rsidR="00D924CE" w:rsidRPr="003E76B0" w:rsidRDefault="00D924CE" w:rsidP="00D924CE">
            <w:pPr>
              <w:ind w:left="708"/>
              <w:rPr>
                <w:b/>
                <w:bCs/>
                <w:i/>
                <w:iCs/>
              </w:rPr>
            </w:pPr>
            <w:r>
              <w:rPr>
                <w:b/>
                <w:bCs/>
                <w:i/>
                <w:iCs/>
              </w:rPr>
              <w:t>[…]</w:t>
            </w:r>
          </w:p>
          <w:p w14:paraId="7A4F6C85" w14:textId="77777777" w:rsidR="00D924CE" w:rsidRDefault="00D924CE" w:rsidP="00D924CE">
            <w:pPr>
              <w:ind w:left="708"/>
              <w:jc w:val="both"/>
              <w:rPr>
                <w:i/>
                <w:iCs/>
              </w:rPr>
            </w:pPr>
            <w:r w:rsidRPr="00BB2A0F">
              <w:rPr>
                <w:i/>
                <w:iCs/>
              </w:rPr>
              <w:t>j.</w:t>
            </w:r>
            <w:r w:rsidRPr="00BB2A0F">
              <w:rPr>
                <w:i/>
                <w:iCs/>
              </w:rPr>
              <w:tab/>
              <w:t xml:space="preserve">El acta debe ser </w:t>
            </w:r>
            <w:r w:rsidRPr="00A720E7">
              <w:rPr>
                <w:i/>
                <w:iCs/>
              </w:rPr>
              <w:t xml:space="preserve">almacenada en el repositorio o carpeta que para tales efectos se sirva indicar el secretario del órgano de dirección de conformidad con lo dispuesto en el inciso f) del artículo 4 del presente acuerdo </w:t>
            </w:r>
            <w:r w:rsidRPr="00BB2A0F">
              <w:rPr>
                <w:i/>
                <w:iCs/>
              </w:rPr>
              <w:t>en archivo formato PDF. Su contenido debe ser en formato texto, con excepción a información gráfica, la cual puede ser en formato imagen.</w:t>
            </w:r>
          </w:p>
          <w:p w14:paraId="40951500" w14:textId="540332D6" w:rsidR="00D924CE" w:rsidRPr="004026A5" w:rsidRDefault="00D924CE" w:rsidP="00D924CE">
            <w:pPr>
              <w:jc w:val="both"/>
              <w:rPr>
                <w:rFonts w:ascii="Arial" w:hAnsi="Arial" w:cs="Arial"/>
                <w:b/>
                <w:bCs/>
                <w:sz w:val="22"/>
                <w:szCs w:val="22"/>
              </w:rPr>
            </w:pPr>
            <w:r>
              <w:rPr>
                <w:i/>
                <w:iCs/>
              </w:rPr>
              <w:t>[…]</w:t>
            </w:r>
          </w:p>
        </w:tc>
      </w:tr>
      <w:tr w:rsidR="00D924CE" w:rsidRPr="004026A5" w14:paraId="4A3C9B4B" w14:textId="77777777" w:rsidTr="00D924CE">
        <w:trPr>
          <w:trHeight w:val="410"/>
        </w:trPr>
        <w:tc>
          <w:tcPr>
            <w:tcW w:w="1264" w:type="pct"/>
            <w:shd w:val="clear" w:color="auto" w:fill="FFFFFF" w:themeFill="background1"/>
          </w:tcPr>
          <w:p w14:paraId="278C1D1B" w14:textId="6A044473" w:rsidR="00D924CE" w:rsidRPr="00F43C7D" w:rsidRDefault="00D924CE" w:rsidP="00D924CE">
            <w:pPr>
              <w:jc w:val="both"/>
            </w:pPr>
            <w:r w:rsidRPr="00643FFD">
              <w:rPr>
                <w:b/>
                <w:bCs/>
              </w:rPr>
              <w:lastRenderedPageBreak/>
              <w:t>Tercero</w:t>
            </w:r>
            <w:r>
              <w:t xml:space="preserve">: </w:t>
            </w:r>
            <w:r w:rsidRPr="00643FFD">
              <w:t>Se agrega un artículo 11 al acuerdo objeto de la presente reforma</w:t>
            </w:r>
            <w:r>
              <w:t>,</w:t>
            </w:r>
            <w:r w:rsidRPr="00643FFD">
              <w:t xml:space="preserve"> que se leerá de la siguiente forma:</w:t>
            </w:r>
          </w:p>
        </w:tc>
        <w:tc>
          <w:tcPr>
            <w:tcW w:w="1265" w:type="pct"/>
            <w:shd w:val="clear" w:color="auto" w:fill="FFFFFF" w:themeFill="background1"/>
          </w:tcPr>
          <w:p w14:paraId="45456535" w14:textId="77777777" w:rsidR="00D924CE" w:rsidRPr="004026A5" w:rsidRDefault="00D924CE" w:rsidP="00D924CE">
            <w:pPr>
              <w:jc w:val="both"/>
              <w:rPr>
                <w:b/>
                <w:bCs/>
                <w:i/>
                <w:iCs/>
                <w:sz w:val="22"/>
                <w:szCs w:val="22"/>
              </w:rPr>
            </w:pPr>
          </w:p>
        </w:tc>
        <w:tc>
          <w:tcPr>
            <w:tcW w:w="1220" w:type="pct"/>
            <w:shd w:val="clear" w:color="auto" w:fill="FFFFFF" w:themeFill="background1"/>
          </w:tcPr>
          <w:p w14:paraId="12487846" w14:textId="77777777" w:rsidR="00D924CE" w:rsidRPr="004026A5" w:rsidRDefault="00D924CE" w:rsidP="00D924CE">
            <w:pPr>
              <w:jc w:val="both"/>
              <w:rPr>
                <w:bCs/>
                <w:iCs/>
                <w:sz w:val="22"/>
                <w:szCs w:val="22"/>
              </w:rPr>
            </w:pPr>
          </w:p>
        </w:tc>
        <w:tc>
          <w:tcPr>
            <w:tcW w:w="1251" w:type="pct"/>
            <w:shd w:val="clear" w:color="auto" w:fill="FFFFFF" w:themeFill="background1"/>
          </w:tcPr>
          <w:p w14:paraId="013ADCFE" w14:textId="0B168646" w:rsidR="00D924CE" w:rsidRPr="004026A5" w:rsidRDefault="00D924CE" w:rsidP="00D924CE">
            <w:pPr>
              <w:jc w:val="both"/>
              <w:rPr>
                <w:rFonts w:ascii="Arial" w:hAnsi="Arial" w:cs="Arial"/>
                <w:b/>
                <w:bCs/>
                <w:sz w:val="22"/>
                <w:szCs w:val="22"/>
              </w:rPr>
            </w:pPr>
            <w:r w:rsidRPr="00643FFD">
              <w:rPr>
                <w:b/>
                <w:bCs/>
              </w:rPr>
              <w:t>Tercero</w:t>
            </w:r>
            <w:r>
              <w:t xml:space="preserve">: </w:t>
            </w:r>
            <w:r w:rsidRPr="00643FFD">
              <w:t>Se agrega un artículo 11 al acuerdo objeto de la presente reforma</w:t>
            </w:r>
            <w:r>
              <w:t>,</w:t>
            </w:r>
            <w:r w:rsidRPr="00643FFD">
              <w:t xml:space="preserve"> que se leerá de la siguiente forma:</w:t>
            </w:r>
          </w:p>
        </w:tc>
      </w:tr>
      <w:tr w:rsidR="00D924CE" w:rsidRPr="004026A5" w14:paraId="7BCF67F0" w14:textId="77777777" w:rsidTr="00D924CE">
        <w:trPr>
          <w:trHeight w:val="410"/>
        </w:trPr>
        <w:tc>
          <w:tcPr>
            <w:tcW w:w="1264" w:type="pct"/>
            <w:shd w:val="clear" w:color="auto" w:fill="FFFFFF" w:themeFill="background1"/>
          </w:tcPr>
          <w:p w14:paraId="4832E689" w14:textId="77777777" w:rsidR="00D924CE" w:rsidRPr="003E76B0" w:rsidRDefault="00D924CE" w:rsidP="00D924CE">
            <w:pPr>
              <w:ind w:left="708"/>
              <w:rPr>
                <w:b/>
                <w:bCs/>
                <w:i/>
                <w:iCs/>
              </w:rPr>
            </w:pPr>
            <w:r w:rsidRPr="003E76B0">
              <w:rPr>
                <w:b/>
                <w:bCs/>
                <w:i/>
                <w:iCs/>
              </w:rPr>
              <w:t>Artículo 11. Carpeta “</w:t>
            </w:r>
            <w:r>
              <w:rPr>
                <w:b/>
                <w:bCs/>
                <w:i/>
                <w:iCs/>
              </w:rPr>
              <w:t>Gobierno</w:t>
            </w:r>
            <w:r w:rsidRPr="003E76B0">
              <w:rPr>
                <w:b/>
                <w:bCs/>
                <w:i/>
                <w:iCs/>
              </w:rPr>
              <w:t>”</w:t>
            </w:r>
          </w:p>
          <w:p w14:paraId="63C2E8CA" w14:textId="77777777" w:rsidR="00D924CE" w:rsidRPr="00D20CBD" w:rsidRDefault="00D924CE" w:rsidP="00D924CE">
            <w:pPr>
              <w:ind w:left="708"/>
              <w:jc w:val="both"/>
              <w:rPr>
                <w:i/>
                <w:iCs/>
              </w:rPr>
            </w:pPr>
            <w:r w:rsidRPr="003E76B0">
              <w:rPr>
                <w:i/>
                <w:iCs/>
              </w:rPr>
              <w:t xml:space="preserve">En el </w:t>
            </w:r>
            <w:r w:rsidRPr="00D20CBD">
              <w:rPr>
                <w:i/>
                <w:iCs/>
              </w:rPr>
              <w:t>repositorio que para los efectos del inciso f) del artículo 4 anterior, se designe por parte del órgano de dirección, la entidad supervisada debe incluir una carpeta con el nombre “</w:t>
            </w:r>
            <w:r>
              <w:rPr>
                <w:i/>
                <w:iCs/>
              </w:rPr>
              <w:t>Gobierno</w:t>
            </w:r>
            <w:r w:rsidRPr="00D20CBD">
              <w:rPr>
                <w:i/>
                <w:iCs/>
              </w:rPr>
              <w:t>” que incluya (al menos) la versión vigente de los siguientes documentos, cuando corresponda:</w:t>
            </w:r>
          </w:p>
          <w:p w14:paraId="4769711D"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Reglamento del fondo colectivo o fondo especial</w:t>
            </w:r>
          </w:p>
          <w:p w14:paraId="3325364F"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Plan estratégico institucional y la asignación estratégica de activos</w:t>
            </w:r>
          </w:p>
          <w:p w14:paraId="35A14732" w14:textId="77777777" w:rsidR="00D924CE" w:rsidRPr="00D20CBD" w:rsidRDefault="00D924CE" w:rsidP="00D924CE">
            <w:pPr>
              <w:widowControl w:val="0"/>
              <w:numPr>
                <w:ilvl w:val="0"/>
                <w:numId w:val="26"/>
              </w:numPr>
              <w:tabs>
                <w:tab w:val="clear" w:pos="720"/>
                <w:tab w:val="num" w:pos="1788"/>
              </w:tabs>
              <w:autoSpaceDE w:val="0"/>
              <w:autoSpaceDN w:val="0"/>
              <w:ind w:left="2124" w:hanging="696"/>
              <w:rPr>
                <w:i/>
                <w:iCs/>
              </w:rPr>
            </w:pPr>
            <w:r w:rsidRPr="00D20CBD">
              <w:rPr>
                <w:i/>
                <w:iCs/>
              </w:rPr>
              <w:t>Plan operativo</w:t>
            </w:r>
          </w:p>
          <w:p w14:paraId="0735227B"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Plan de tecnologías de información</w:t>
            </w:r>
          </w:p>
          <w:p w14:paraId="1C788FF1"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Plan de continuidad del negocio</w:t>
            </w:r>
          </w:p>
          <w:p w14:paraId="5836E06C"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Plan de contingencia</w:t>
            </w:r>
          </w:p>
          <w:p w14:paraId="4C4C8133"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Política de inversión y de liquidez</w:t>
            </w:r>
          </w:p>
          <w:p w14:paraId="2E0565EF"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Política de revalorización de pensiones (fondos colectivos)</w:t>
            </w:r>
          </w:p>
          <w:p w14:paraId="20244496"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Política de solvencia (fondos colectivos)</w:t>
            </w:r>
          </w:p>
          <w:p w14:paraId="2A680243"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Política de conflictos de interés</w:t>
            </w:r>
          </w:p>
          <w:p w14:paraId="732BA106"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Política de idoneidad</w:t>
            </w:r>
          </w:p>
          <w:p w14:paraId="6BCD5777"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Política de evaluación del desempeño</w:t>
            </w:r>
          </w:p>
          <w:p w14:paraId="3FA16CD6"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 xml:space="preserve">Manual de políticas y </w:t>
            </w:r>
            <w:r w:rsidRPr="00D20CBD">
              <w:rPr>
                <w:i/>
                <w:iCs/>
              </w:rPr>
              <w:lastRenderedPageBreak/>
              <w:t>procedimientos de cumplimiento (Ley 7786)</w:t>
            </w:r>
          </w:p>
          <w:p w14:paraId="2ED92A48"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Marco de gestión de riesgo y la declaración de apetito de riesgo</w:t>
            </w:r>
          </w:p>
          <w:p w14:paraId="5C37CC25"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Código de gobierno corporativo</w:t>
            </w:r>
          </w:p>
          <w:p w14:paraId="639F85ED"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Código de ética</w:t>
            </w:r>
          </w:p>
          <w:p w14:paraId="79E1B0CF"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Acuerdos del Órgano de dirección sobre los modelos de negocios (NIIF 9) aprobados</w:t>
            </w:r>
          </w:p>
          <w:p w14:paraId="6248DBA0"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Metodologías asociadas a la cuantificación del riesgo de crédito (pérdidas esperadas y evaluación de emisores), riesgo de mercado, riesgo de liquidez y riesgo operativo</w:t>
            </w:r>
          </w:p>
          <w:p w14:paraId="201E6EA8"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Plan de capacitación anual</w:t>
            </w:r>
          </w:p>
          <w:p w14:paraId="4A87DB3A"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Contratos</w:t>
            </w:r>
            <w:r w:rsidRPr="006C73B8">
              <w:rPr>
                <w:i/>
                <w:iCs/>
                <w:color w:val="FF0000"/>
              </w:rPr>
              <w:t xml:space="preserve"> </w:t>
            </w:r>
            <w:r w:rsidRPr="00D20CBD">
              <w:rPr>
                <w:i/>
                <w:iCs/>
              </w:rPr>
              <w:t>y acuerdos de servicios</w:t>
            </w:r>
            <w:r>
              <w:rPr>
                <w:i/>
                <w:iCs/>
              </w:rPr>
              <w:t xml:space="preserve"> </w:t>
            </w:r>
            <w:r w:rsidRPr="00975D8B">
              <w:rPr>
                <w:i/>
                <w:iCs/>
              </w:rPr>
              <w:t>vigentes</w:t>
            </w:r>
            <w:r>
              <w:rPr>
                <w:i/>
                <w:iCs/>
              </w:rPr>
              <w:t>, así como el documento que consigne el acto de aprobación externa cuando corresponda.</w:t>
            </w:r>
          </w:p>
          <w:p w14:paraId="58F222C0" w14:textId="77777777" w:rsidR="00D924CE" w:rsidRDefault="00D924CE" w:rsidP="00D924CE">
            <w:pPr>
              <w:ind w:left="1068"/>
              <w:jc w:val="both"/>
              <w:rPr>
                <w:i/>
                <w:iCs/>
              </w:rPr>
            </w:pPr>
          </w:p>
          <w:p w14:paraId="5C2C020E" w14:textId="77777777" w:rsidR="00D924CE" w:rsidRDefault="00D924CE" w:rsidP="00D924CE">
            <w:pPr>
              <w:ind w:left="1068"/>
              <w:jc w:val="both"/>
              <w:rPr>
                <w:i/>
                <w:iCs/>
              </w:rPr>
            </w:pPr>
            <w:r w:rsidRPr="00D20CBD">
              <w:rPr>
                <w:i/>
                <w:iCs/>
              </w:rPr>
              <w:t xml:space="preserve">Es deber de cada </w:t>
            </w:r>
            <w:r w:rsidRPr="003E76B0">
              <w:rPr>
                <w:i/>
                <w:iCs/>
              </w:rPr>
              <w:t xml:space="preserve">entidad supervisada, la actualización oportuna de esta documentación de manera que en ese repositorio se mantendrá únicamente la versión vigente de esos documentos. </w:t>
            </w:r>
            <w:r>
              <w:rPr>
                <w:i/>
                <w:iCs/>
              </w:rPr>
              <w:t xml:space="preserve">Por tanto, se presume que la información consignada es la vigente en ese momento, sin perjuicio del ejercicio de las </w:t>
            </w:r>
            <w:r>
              <w:rPr>
                <w:i/>
                <w:iCs/>
              </w:rPr>
              <w:lastRenderedPageBreak/>
              <w:t>potestades de supervisión que corresponden a la Superintendencia para su verificación.</w:t>
            </w:r>
          </w:p>
          <w:p w14:paraId="1F57B8EA" w14:textId="77777777" w:rsidR="00D924CE" w:rsidRDefault="00D924CE" w:rsidP="00D924CE">
            <w:pPr>
              <w:ind w:left="1068"/>
              <w:jc w:val="both"/>
              <w:rPr>
                <w:i/>
                <w:iCs/>
              </w:rPr>
            </w:pPr>
          </w:p>
          <w:p w14:paraId="035DBD15" w14:textId="77777777" w:rsidR="00D924CE" w:rsidRPr="000D2987" w:rsidRDefault="00D924CE" w:rsidP="00D924CE">
            <w:pPr>
              <w:ind w:left="1068"/>
              <w:jc w:val="both"/>
              <w:rPr>
                <w:i/>
                <w:iCs/>
              </w:rPr>
            </w:pPr>
            <w:r w:rsidRPr="003E76B0">
              <w:rPr>
                <w:i/>
                <w:iCs/>
              </w:rPr>
              <w:t xml:space="preserve">El formato de estos documentos debe ser el mismo señalado para las actas en el </w:t>
            </w:r>
            <w:r w:rsidRPr="000D2987">
              <w:rPr>
                <w:i/>
                <w:iCs/>
              </w:rPr>
              <w:t>inciso j del artículo 2.</w:t>
            </w:r>
          </w:p>
          <w:p w14:paraId="3E2B7A76" w14:textId="77777777" w:rsidR="00D924CE" w:rsidRDefault="00D924CE" w:rsidP="00D924CE">
            <w:pPr>
              <w:ind w:left="1068"/>
              <w:jc w:val="both"/>
              <w:rPr>
                <w:i/>
                <w:iCs/>
              </w:rPr>
            </w:pPr>
          </w:p>
          <w:p w14:paraId="2505E4AC" w14:textId="77777777" w:rsidR="00D924CE" w:rsidRPr="000D2987" w:rsidRDefault="00D924CE" w:rsidP="00D924CE">
            <w:pPr>
              <w:ind w:left="1068"/>
              <w:jc w:val="both"/>
              <w:rPr>
                <w:i/>
                <w:iCs/>
              </w:rPr>
            </w:pPr>
            <w:r w:rsidRPr="000D2987">
              <w:rPr>
                <w:i/>
                <w:iCs/>
              </w:rPr>
              <w:t>Cada vez que la entidad actualice o sustituya algún documento, debe remitir a la Superintendencia de Pensiones mediante los canales formales de comunicación el detalle y naturaleza del cambio; indicando el número de acta, fecha y el número de acuerdo, o en su defecto, el mecanismo de oficialización del cambio.</w:t>
            </w:r>
          </w:p>
          <w:p w14:paraId="6E227239" w14:textId="77777777" w:rsidR="00D924CE" w:rsidRDefault="00D924CE" w:rsidP="00D924CE">
            <w:pPr>
              <w:ind w:left="1068"/>
              <w:jc w:val="both"/>
              <w:rPr>
                <w:i/>
                <w:iCs/>
              </w:rPr>
            </w:pPr>
          </w:p>
          <w:p w14:paraId="3A84E972" w14:textId="77777777" w:rsidR="00D924CE" w:rsidRPr="000D2987" w:rsidRDefault="00D924CE" w:rsidP="00D924CE">
            <w:pPr>
              <w:ind w:left="1068"/>
              <w:jc w:val="both"/>
              <w:rPr>
                <w:i/>
                <w:iCs/>
              </w:rPr>
            </w:pPr>
            <w:r w:rsidRPr="000D2987">
              <w:rPr>
                <w:i/>
                <w:iCs/>
              </w:rPr>
              <w:t>En caso de que en un mismo documento institucional concurran varios de los documentos indicados, complementariamente la entidad supervisada deberá informar cuál de los documentos ha sido ajustado.</w:t>
            </w:r>
          </w:p>
          <w:p w14:paraId="17FC9441" w14:textId="77777777" w:rsidR="00D924CE" w:rsidRDefault="00D924CE" w:rsidP="00D924CE">
            <w:pPr>
              <w:ind w:left="1068"/>
              <w:jc w:val="both"/>
              <w:rPr>
                <w:i/>
                <w:iCs/>
              </w:rPr>
            </w:pPr>
          </w:p>
          <w:p w14:paraId="37C415E4" w14:textId="168C60EA" w:rsidR="00D924CE" w:rsidRPr="002265C3" w:rsidRDefault="00D924CE" w:rsidP="00D924CE">
            <w:pPr>
              <w:ind w:left="1068"/>
              <w:jc w:val="both"/>
              <w:rPr>
                <w:i/>
                <w:iCs/>
              </w:rPr>
            </w:pPr>
            <w:r w:rsidRPr="000D2987">
              <w:rPr>
                <w:i/>
                <w:iCs/>
              </w:rPr>
              <w:t>Mediante un acto debidamente motivado, SUPEN comunicará la inclusión de nuevos documentos requeridos en este repositorio, o la eliminación de alguno de ellos.</w:t>
            </w:r>
          </w:p>
        </w:tc>
        <w:tc>
          <w:tcPr>
            <w:tcW w:w="1265" w:type="pct"/>
            <w:shd w:val="clear" w:color="auto" w:fill="FFFFFF" w:themeFill="background1"/>
          </w:tcPr>
          <w:p w14:paraId="08253347" w14:textId="4D3A6F90" w:rsidR="00D924CE" w:rsidRPr="00C25BA7" w:rsidRDefault="00D924CE" w:rsidP="00D924CE">
            <w:pPr>
              <w:jc w:val="both"/>
              <w:rPr>
                <w:b/>
                <w:bCs/>
                <w:i/>
                <w:iCs/>
                <w:sz w:val="22"/>
                <w:szCs w:val="22"/>
              </w:rPr>
            </w:pPr>
            <w:r w:rsidRPr="00C25BA7">
              <w:rPr>
                <w:b/>
                <w:bCs/>
                <w:i/>
                <w:iCs/>
                <w:sz w:val="22"/>
                <w:szCs w:val="22"/>
              </w:rPr>
              <w:lastRenderedPageBreak/>
              <w:t>FBNCR y BNVital</w:t>
            </w:r>
          </w:p>
          <w:p w14:paraId="7F82B01D" w14:textId="77777777" w:rsidR="00D924CE" w:rsidRDefault="00D924CE" w:rsidP="00D924CE">
            <w:pPr>
              <w:jc w:val="both"/>
              <w:rPr>
                <w:i/>
                <w:iCs/>
                <w:sz w:val="22"/>
                <w:szCs w:val="22"/>
              </w:rPr>
            </w:pPr>
            <w:r w:rsidRPr="00C25BA7">
              <w:rPr>
                <w:i/>
                <w:iCs/>
                <w:sz w:val="22"/>
                <w:szCs w:val="22"/>
              </w:rPr>
              <w:t>Se sugiere una valoración de esta disposición ya que adicional a la carga de la información en la carpeta “Gobierno” hay que comunicar esta actualización al ente regulador, siendo que, existe la posibilidad de incorporar estos datos (acta, acuerdo, fecha de actualización, mecanismo de oficialización del cambio) dentro del mismo documento.</w:t>
            </w:r>
          </w:p>
          <w:p w14:paraId="6CF2ADC1" w14:textId="77777777" w:rsidR="00D924CE" w:rsidRDefault="00D924CE" w:rsidP="00D924CE">
            <w:pPr>
              <w:jc w:val="both"/>
              <w:rPr>
                <w:i/>
                <w:iCs/>
                <w:sz w:val="22"/>
                <w:szCs w:val="22"/>
              </w:rPr>
            </w:pPr>
          </w:p>
          <w:p w14:paraId="37C629EA" w14:textId="4FA47837" w:rsidR="00D924CE" w:rsidRPr="00CB3A16" w:rsidRDefault="00D924CE" w:rsidP="00D924CE">
            <w:pPr>
              <w:jc w:val="both"/>
              <w:rPr>
                <w:b/>
                <w:bCs/>
                <w:i/>
                <w:iCs/>
                <w:sz w:val="22"/>
                <w:szCs w:val="22"/>
              </w:rPr>
            </w:pPr>
            <w:r w:rsidRPr="00CB3A16">
              <w:rPr>
                <w:b/>
                <w:bCs/>
                <w:i/>
                <w:iCs/>
                <w:sz w:val="22"/>
                <w:szCs w:val="22"/>
              </w:rPr>
              <w:t>OPC CCSS</w:t>
            </w:r>
          </w:p>
          <w:p w14:paraId="720AA4FE" w14:textId="77777777" w:rsidR="00D924CE" w:rsidRPr="00CB3A16" w:rsidRDefault="00D924CE" w:rsidP="00D924CE">
            <w:pPr>
              <w:jc w:val="both"/>
              <w:rPr>
                <w:bCs/>
                <w:i/>
                <w:iCs/>
                <w:sz w:val="22"/>
                <w:szCs w:val="22"/>
              </w:rPr>
            </w:pPr>
            <w:r w:rsidRPr="00CB3A16">
              <w:rPr>
                <w:bCs/>
                <w:i/>
                <w:iCs/>
                <w:sz w:val="22"/>
                <w:szCs w:val="22"/>
              </w:rPr>
              <w:t>Se indica en el Artículo 11. Carpeta Gobierno que la carpeta “Gobierno” debe contener un listado de documentos en su versión vigente, cuando corresponda. No obstante, alguno de los documentos mencionados puede estar declarado como confidencial por la Operadora, y para ser compartido requiere de la autorización previa de la Junta Directiva, al ser esta información sensible para el negocio.</w:t>
            </w:r>
          </w:p>
          <w:p w14:paraId="1D68A0F5" w14:textId="77777777" w:rsidR="00D924CE" w:rsidRPr="00CB3A16" w:rsidRDefault="00D924CE" w:rsidP="00D924CE">
            <w:pPr>
              <w:jc w:val="both"/>
              <w:rPr>
                <w:bCs/>
                <w:i/>
                <w:iCs/>
                <w:sz w:val="22"/>
                <w:szCs w:val="22"/>
              </w:rPr>
            </w:pPr>
          </w:p>
          <w:p w14:paraId="51F39412" w14:textId="77777777" w:rsidR="00D924CE" w:rsidRPr="00CB3A16" w:rsidRDefault="00D924CE" w:rsidP="00D924CE">
            <w:pPr>
              <w:jc w:val="both"/>
              <w:rPr>
                <w:bCs/>
                <w:i/>
                <w:iCs/>
                <w:sz w:val="22"/>
                <w:szCs w:val="22"/>
              </w:rPr>
            </w:pPr>
            <w:r w:rsidRPr="00CB3A16">
              <w:rPr>
                <w:bCs/>
                <w:i/>
                <w:iCs/>
                <w:sz w:val="22"/>
                <w:szCs w:val="22"/>
              </w:rPr>
              <w:t>Asimismo, la Operadora cuenta con un Sistema de Gestión de Calidad robusto, en el cual cada vez que un documento sufre alguna actualización se detalla en el apartado CONTROL DE VERSIONES Y REVISIONES que contempla lo que esta reforma  plantea: el detalle y naturaleza del cambio; indicando el número de acta, fecha y el número de acuerdo, o en su defecto, el mecanismo de oficialización del cambio, siendo que, el remitir un comunicado representa un aumento en la carga operativa de los responsables, así como un reproceso de la información.</w:t>
            </w:r>
          </w:p>
          <w:p w14:paraId="5C8849E5" w14:textId="77777777" w:rsidR="00D924CE" w:rsidRDefault="00D924CE" w:rsidP="00D924CE">
            <w:pPr>
              <w:jc w:val="both"/>
              <w:rPr>
                <w:b/>
                <w:bCs/>
                <w:i/>
                <w:iCs/>
                <w:sz w:val="22"/>
                <w:szCs w:val="22"/>
              </w:rPr>
            </w:pPr>
          </w:p>
          <w:p w14:paraId="37AF921F" w14:textId="77777777" w:rsidR="00D924CE" w:rsidRDefault="00D924CE" w:rsidP="00D924CE">
            <w:pPr>
              <w:jc w:val="both"/>
              <w:rPr>
                <w:b/>
                <w:bCs/>
                <w:i/>
                <w:iCs/>
                <w:sz w:val="22"/>
                <w:szCs w:val="22"/>
              </w:rPr>
            </w:pPr>
          </w:p>
          <w:p w14:paraId="554A996B" w14:textId="071099F1" w:rsidR="00D924CE" w:rsidRPr="00730661" w:rsidRDefault="00D924CE" w:rsidP="00D924CE">
            <w:pPr>
              <w:jc w:val="both"/>
              <w:rPr>
                <w:i/>
                <w:iCs/>
                <w:sz w:val="22"/>
                <w:szCs w:val="22"/>
              </w:rPr>
            </w:pPr>
            <w:r>
              <w:rPr>
                <w:b/>
                <w:bCs/>
                <w:i/>
                <w:iCs/>
                <w:sz w:val="22"/>
                <w:szCs w:val="22"/>
              </w:rPr>
              <w:t>Popular Pensiones</w:t>
            </w:r>
          </w:p>
          <w:p w14:paraId="788896FA" w14:textId="679E4E80" w:rsidR="00D924CE" w:rsidRPr="004026A5" w:rsidRDefault="00D924CE" w:rsidP="00D924CE">
            <w:pPr>
              <w:jc w:val="both"/>
              <w:rPr>
                <w:b/>
                <w:bCs/>
                <w:i/>
                <w:iCs/>
                <w:sz w:val="22"/>
                <w:szCs w:val="22"/>
              </w:rPr>
            </w:pPr>
            <w:r w:rsidRPr="00730661">
              <w:rPr>
                <w:i/>
                <w:iCs/>
                <w:sz w:val="22"/>
                <w:szCs w:val="22"/>
              </w:rPr>
              <w:lastRenderedPageBreak/>
              <w:t>[…] referente a la creación de la carpeta denominada “Gobierno” y a los documentos que deben subirse a esta, se debe considerar la confidencialidad que debe prevalecer ante los documentos relacionados con la estrategia de las Operadoras de Pensiones, por lo que, los accesos al personal de la Supen deberán ser limitados al equipo de supervisión; tal y como se mantiene para el actual repositorio de actas.</w:t>
            </w:r>
          </w:p>
        </w:tc>
        <w:tc>
          <w:tcPr>
            <w:tcW w:w="1220" w:type="pct"/>
            <w:shd w:val="clear" w:color="auto" w:fill="FFFFFF" w:themeFill="background1"/>
          </w:tcPr>
          <w:p w14:paraId="18B98C68" w14:textId="77777777" w:rsidR="00D924CE" w:rsidRDefault="00D924CE" w:rsidP="00D924CE">
            <w:pPr>
              <w:jc w:val="both"/>
              <w:rPr>
                <w:bCs/>
                <w:iCs/>
                <w:sz w:val="22"/>
                <w:szCs w:val="22"/>
              </w:rPr>
            </w:pPr>
            <w:r>
              <w:rPr>
                <w:bCs/>
                <w:iCs/>
                <w:sz w:val="22"/>
                <w:szCs w:val="22"/>
              </w:rPr>
              <w:lastRenderedPageBreak/>
              <w:t>No se acepta. La comunicación no sustituye la disponibilidad del documento en el repositorio.</w:t>
            </w:r>
          </w:p>
          <w:p w14:paraId="02E1D3C5" w14:textId="77777777" w:rsidR="00D924CE" w:rsidRDefault="00D924CE" w:rsidP="00D924CE">
            <w:pPr>
              <w:jc w:val="both"/>
              <w:rPr>
                <w:bCs/>
                <w:iCs/>
                <w:sz w:val="22"/>
                <w:szCs w:val="22"/>
              </w:rPr>
            </w:pPr>
          </w:p>
          <w:p w14:paraId="28B1437F" w14:textId="77777777" w:rsidR="00D924CE" w:rsidRDefault="00D924CE" w:rsidP="00D924CE">
            <w:pPr>
              <w:jc w:val="both"/>
              <w:rPr>
                <w:bCs/>
                <w:iCs/>
                <w:sz w:val="22"/>
                <w:szCs w:val="22"/>
              </w:rPr>
            </w:pPr>
          </w:p>
          <w:p w14:paraId="7ED78BBD" w14:textId="77777777" w:rsidR="00D924CE" w:rsidRDefault="00D924CE" w:rsidP="00D924CE">
            <w:pPr>
              <w:jc w:val="both"/>
              <w:rPr>
                <w:bCs/>
                <w:iCs/>
                <w:sz w:val="22"/>
                <w:szCs w:val="22"/>
              </w:rPr>
            </w:pPr>
          </w:p>
          <w:p w14:paraId="0B2366FF" w14:textId="77777777" w:rsidR="00D924CE" w:rsidRDefault="00D924CE" w:rsidP="00D924CE">
            <w:pPr>
              <w:jc w:val="both"/>
              <w:rPr>
                <w:bCs/>
                <w:iCs/>
                <w:sz w:val="22"/>
                <w:szCs w:val="22"/>
              </w:rPr>
            </w:pPr>
          </w:p>
          <w:p w14:paraId="064B6360" w14:textId="77777777" w:rsidR="00D924CE" w:rsidRDefault="00D924CE" w:rsidP="00D924CE">
            <w:pPr>
              <w:jc w:val="both"/>
              <w:rPr>
                <w:bCs/>
                <w:iCs/>
                <w:sz w:val="22"/>
                <w:szCs w:val="22"/>
              </w:rPr>
            </w:pPr>
          </w:p>
          <w:p w14:paraId="6F3AEA57" w14:textId="77777777" w:rsidR="00D924CE" w:rsidRDefault="00D924CE" w:rsidP="00D924CE">
            <w:pPr>
              <w:jc w:val="both"/>
              <w:rPr>
                <w:bCs/>
                <w:iCs/>
                <w:sz w:val="22"/>
                <w:szCs w:val="22"/>
              </w:rPr>
            </w:pPr>
          </w:p>
          <w:p w14:paraId="37DE99D8" w14:textId="77777777" w:rsidR="00D924CE" w:rsidRDefault="00D924CE" w:rsidP="00D924CE">
            <w:pPr>
              <w:jc w:val="both"/>
              <w:rPr>
                <w:bCs/>
                <w:iCs/>
                <w:sz w:val="22"/>
                <w:szCs w:val="22"/>
              </w:rPr>
            </w:pPr>
          </w:p>
          <w:p w14:paraId="0D2F3A43" w14:textId="77777777" w:rsidR="00D924CE" w:rsidRDefault="00D924CE" w:rsidP="00D924CE">
            <w:pPr>
              <w:jc w:val="both"/>
              <w:rPr>
                <w:bCs/>
                <w:iCs/>
                <w:sz w:val="22"/>
                <w:szCs w:val="22"/>
              </w:rPr>
            </w:pPr>
          </w:p>
          <w:p w14:paraId="50DC112A" w14:textId="77777777" w:rsidR="00D924CE" w:rsidRDefault="00D924CE" w:rsidP="00D924CE">
            <w:pPr>
              <w:jc w:val="both"/>
              <w:rPr>
                <w:bCs/>
                <w:iCs/>
                <w:sz w:val="22"/>
                <w:szCs w:val="22"/>
              </w:rPr>
            </w:pPr>
          </w:p>
          <w:p w14:paraId="3D4CF405" w14:textId="77777777" w:rsidR="00D924CE" w:rsidRDefault="00D924CE" w:rsidP="00D924CE">
            <w:pPr>
              <w:jc w:val="both"/>
              <w:rPr>
                <w:bCs/>
                <w:iCs/>
                <w:sz w:val="22"/>
                <w:szCs w:val="22"/>
              </w:rPr>
            </w:pPr>
            <w:r>
              <w:rPr>
                <w:bCs/>
                <w:iCs/>
                <w:sz w:val="22"/>
                <w:szCs w:val="22"/>
              </w:rPr>
              <w:t>No se acepta. El órgano de dirección no es ajeno a lo dispuesto en este acuerdo. Por el contrario, le corresponde velar por su cumplimiento ya que se encuentra dentro de las facultades del superintendente (ver considerando 2).</w:t>
            </w:r>
          </w:p>
          <w:p w14:paraId="171C69B0" w14:textId="3037372E" w:rsidR="00D924CE" w:rsidRPr="00105AB4" w:rsidRDefault="00D924CE" w:rsidP="00D924CE">
            <w:pPr>
              <w:rPr>
                <w:bCs/>
                <w:iCs/>
                <w:sz w:val="22"/>
                <w:szCs w:val="22"/>
              </w:rPr>
            </w:pPr>
            <w:r>
              <w:rPr>
                <w:bCs/>
                <w:iCs/>
                <w:sz w:val="22"/>
                <w:szCs w:val="22"/>
              </w:rPr>
              <w:t>Por su parte, la razón de estos documentos surge de la potestad conferida por ley para “A</w:t>
            </w:r>
            <w:r w:rsidRPr="00105AB4">
              <w:rPr>
                <w:bCs/>
                <w:iCs/>
                <w:sz w:val="22"/>
                <w:szCs w:val="22"/>
              </w:rPr>
              <w:t xml:space="preserve">doptar todas las acciones necesarias para el </w:t>
            </w:r>
            <w:r>
              <w:rPr>
                <w:bCs/>
                <w:iCs/>
                <w:sz w:val="22"/>
                <w:szCs w:val="22"/>
              </w:rPr>
              <w:t>c</w:t>
            </w:r>
            <w:r w:rsidRPr="00105AB4">
              <w:rPr>
                <w:bCs/>
                <w:iCs/>
                <w:sz w:val="22"/>
                <w:szCs w:val="22"/>
              </w:rPr>
              <w:t>umplimiento efectivo de las funciones de autorización,</w:t>
            </w:r>
            <w:r>
              <w:rPr>
                <w:bCs/>
                <w:iCs/>
                <w:sz w:val="22"/>
                <w:szCs w:val="22"/>
              </w:rPr>
              <w:t xml:space="preserve"> </w:t>
            </w:r>
            <w:r w:rsidRPr="00105AB4">
              <w:rPr>
                <w:bCs/>
                <w:iCs/>
                <w:sz w:val="22"/>
                <w:szCs w:val="22"/>
              </w:rPr>
              <w:t>regulación, supervisión y fiscalización que le</w:t>
            </w:r>
            <w:r>
              <w:rPr>
                <w:bCs/>
                <w:iCs/>
                <w:sz w:val="22"/>
                <w:szCs w:val="22"/>
              </w:rPr>
              <w:t xml:space="preserve"> </w:t>
            </w:r>
            <w:r w:rsidRPr="00105AB4">
              <w:rPr>
                <w:bCs/>
                <w:iCs/>
                <w:sz w:val="22"/>
                <w:szCs w:val="22"/>
              </w:rPr>
              <w:t>competen a la Superintendencia, según esta ley y</w:t>
            </w:r>
            <w:r>
              <w:rPr>
                <w:bCs/>
                <w:iCs/>
                <w:sz w:val="22"/>
                <w:szCs w:val="22"/>
              </w:rPr>
              <w:t xml:space="preserve"> </w:t>
            </w:r>
            <w:r w:rsidRPr="00105AB4">
              <w:rPr>
                <w:bCs/>
                <w:iCs/>
                <w:sz w:val="22"/>
                <w:szCs w:val="22"/>
              </w:rPr>
              <w:t>las normas emitidas por el Consejo Nacional</w:t>
            </w:r>
            <w:r>
              <w:rPr>
                <w:bCs/>
                <w:iCs/>
                <w:sz w:val="22"/>
                <w:szCs w:val="22"/>
              </w:rPr>
              <w:t>” (ver considerando 3). En ese sentido, la documentación solicitada solo puede ser utilizada por la Superintendencia para fines de supervisión, lo que limita su divulgación u otros usos.</w:t>
            </w:r>
          </w:p>
          <w:p w14:paraId="500CCA2F" w14:textId="77777777" w:rsidR="00D924CE" w:rsidRDefault="00D924CE" w:rsidP="00D924CE">
            <w:pPr>
              <w:jc w:val="both"/>
              <w:rPr>
                <w:bCs/>
                <w:iCs/>
                <w:sz w:val="22"/>
                <w:szCs w:val="22"/>
              </w:rPr>
            </w:pPr>
          </w:p>
          <w:p w14:paraId="67F53F17" w14:textId="77777777" w:rsidR="00D924CE" w:rsidRDefault="00D924CE" w:rsidP="00D924CE">
            <w:pPr>
              <w:jc w:val="both"/>
              <w:rPr>
                <w:bCs/>
                <w:iCs/>
                <w:sz w:val="22"/>
                <w:szCs w:val="22"/>
              </w:rPr>
            </w:pPr>
          </w:p>
          <w:p w14:paraId="0D8709C0" w14:textId="77777777" w:rsidR="00D924CE" w:rsidRDefault="00D924CE" w:rsidP="00D924CE">
            <w:pPr>
              <w:jc w:val="both"/>
              <w:rPr>
                <w:bCs/>
                <w:iCs/>
                <w:sz w:val="22"/>
                <w:szCs w:val="22"/>
              </w:rPr>
            </w:pPr>
          </w:p>
          <w:p w14:paraId="29A1FEEA" w14:textId="77777777" w:rsidR="00D924CE" w:rsidRDefault="00D924CE" w:rsidP="00D924CE">
            <w:pPr>
              <w:jc w:val="both"/>
              <w:rPr>
                <w:bCs/>
                <w:iCs/>
                <w:sz w:val="22"/>
                <w:szCs w:val="22"/>
              </w:rPr>
            </w:pPr>
          </w:p>
          <w:p w14:paraId="62051224" w14:textId="77777777" w:rsidR="00D924CE" w:rsidRDefault="00D924CE" w:rsidP="00D924CE">
            <w:pPr>
              <w:jc w:val="both"/>
              <w:rPr>
                <w:bCs/>
                <w:iCs/>
                <w:sz w:val="22"/>
                <w:szCs w:val="22"/>
              </w:rPr>
            </w:pPr>
          </w:p>
          <w:p w14:paraId="4C0F8597" w14:textId="77777777" w:rsidR="00D924CE" w:rsidRDefault="00D924CE" w:rsidP="00D924CE">
            <w:pPr>
              <w:jc w:val="both"/>
              <w:rPr>
                <w:bCs/>
                <w:iCs/>
                <w:sz w:val="22"/>
                <w:szCs w:val="22"/>
              </w:rPr>
            </w:pPr>
          </w:p>
          <w:p w14:paraId="22F1C410" w14:textId="77777777" w:rsidR="00D924CE" w:rsidRDefault="00D924CE" w:rsidP="00D924CE">
            <w:pPr>
              <w:jc w:val="both"/>
              <w:rPr>
                <w:bCs/>
                <w:iCs/>
                <w:sz w:val="22"/>
                <w:szCs w:val="22"/>
              </w:rPr>
            </w:pPr>
          </w:p>
          <w:p w14:paraId="5A1DFB88" w14:textId="77777777" w:rsidR="00D924CE" w:rsidRDefault="00D924CE" w:rsidP="00D924CE">
            <w:pPr>
              <w:jc w:val="both"/>
              <w:rPr>
                <w:bCs/>
                <w:iCs/>
                <w:sz w:val="22"/>
                <w:szCs w:val="22"/>
              </w:rPr>
            </w:pPr>
          </w:p>
          <w:p w14:paraId="1019A9A9" w14:textId="77777777" w:rsidR="00D924CE" w:rsidRDefault="00D924CE" w:rsidP="00D924CE">
            <w:pPr>
              <w:jc w:val="both"/>
              <w:rPr>
                <w:bCs/>
                <w:iCs/>
                <w:sz w:val="22"/>
                <w:szCs w:val="22"/>
              </w:rPr>
            </w:pPr>
          </w:p>
          <w:p w14:paraId="7996D85E" w14:textId="0AE17B6E" w:rsidR="00D924CE" w:rsidRDefault="00D924CE" w:rsidP="00D924CE">
            <w:pPr>
              <w:jc w:val="both"/>
              <w:rPr>
                <w:bCs/>
                <w:iCs/>
                <w:sz w:val="22"/>
                <w:szCs w:val="22"/>
              </w:rPr>
            </w:pPr>
            <w:r>
              <w:rPr>
                <w:bCs/>
                <w:iCs/>
                <w:sz w:val="22"/>
                <w:szCs w:val="22"/>
              </w:rPr>
              <w:t xml:space="preserve">Se acepta sin necesidad de cambios: </w:t>
            </w:r>
          </w:p>
          <w:p w14:paraId="2AF79459" w14:textId="688B0AA4" w:rsidR="00D924CE" w:rsidRPr="00105AB4" w:rsidRDefault="00D924CE" w:rsidP="00D924CE">
            <w:pPr>
              <w:rPr>
                <w:bCs/>
                <w:iCs/>
                <w:sz w:val="22"/>
                <w:szCs w:val="22"/>
              </w:rPr>
            </w:pPr>
            <w:r>
              <w:rPr>
                <w:bCs/>
                <w:iCs/>
                <w:sz w:val="22"/>
                <w:szCs w:val="22"/>
              </w:rPr>
              <w:t>La razón de estos documentos surge de la potestad conferida por ley para “A</w:t>
            </w:r>
            <w:r w:rsidRPr="00105AB4">
              <w:rPr>
                <w:bCs/>
                <w:iCs/>
                <w:sz w:val="22"/>
                <w:szCs w:val="22"/>
              </w:rPr>
              <w:t xml:space="preserve">doptar todas las acciones necesarias para el </w:t>
            </w:r>
            <w:r>
              <w:rPr>
                <w:bCs/>
                <w:iCs/>
                <w:sz w:val="22"/>
                <w:szCs w:val="22"/>
              </w:rPr>
              <w:t>c</w:t>
            </w:r>
            <w:r w:rsidRPr="00105AB4">
              <w:rPr>
                <w:bCs/>
                <w:iCs/>
                <w:sz w:val="22"/>
                <w:szCs w:val="22"/>
              </w:rPr>
              <w:t>umplimiento efectivo de las funciones de autorización,</w:t>
            </w:r>
            <w:r>
              <w:rPr>
                <w:bCs/>
                <w:iCs/>
                <w:sz w:val="22"/>
                <w:szCs w:val="22"/>
              </w:rPr>
              <w:t xml:space="preserve"> </w:t>
            </w:r>
            <w:r w:rsidRPr="00105AB4">
              <w:rPr>
                <w:bCs/>
                <w:iCs/>
                <w:sz w:val="22"/>
                <w:szCs w:val="22"/>
              </w:rPr>
              <w:t>regulación, supervisión y fiscalización que le</w:t>
            </w:r>
            <w:r>
              <w:rPr>
                <w:bCs/>
                <w:iCs/>
                <w:sz w:val="22"/>
                <w:szCs w:val="22"/>
              </w:rPr>
              <w:t xml:space="preserve"> </w:t>
            </w:r>
            <w:r w:rsidRPr="00105AB4">
              <w:rPr>
                <w:bCs/>
                <w:iCs/>
                <w:sz w:val="22"/>
                <w:szCs w:val="22"/>
              </w:rPr>
              <w:t>competen a la Superintendencia, según esta ley y</w:t>
            </w:r>
            <w:r>
              <w:rPr>
                <w:bCs/>
                <w:iCs/>
                <w:sz w:val="22"/>
                <w:szCs w:val="22"/>
              </w:rPr>
              <w:t xml:space="preserve"> </w:t>
            </w:r>
            <w:r w:rsidRPr="00105AB4">
              <w:rPr>
                <w:bCs/>
                <w:iCs/>
                <w:sz w:val="22"/>
                <w:szCs w:val="22"/>
              </w:rPr>
              <w:t>las normas emitidas por el Consejo Nacional</w:t>
            </w:r>
            <w:r>
              <w:rPr>
                <w:bCs/>
                <w:iCs/>
                <w:sz w:val="22"/>
                <w:szCs w:val="22"/>
              </w:rPr>
              <w:t>” (ver considerando 3). En ese sentido, la documentación solicitada solo puede ser utilizada por la Superintendencia para fines de supervisión, lo que limita su divulgación u otros usos.</w:t>
            </w:r>
          </w:p>
          <w:p w14:paraId="2B14FC24" w14:textId="4BB79E90" w:rsidR="00D924CE" w:rsidRPr="004026A5" w:rsidRDefault="00D924CE" w:rsidP="00D924CE">
            <w:pPr>
              <w:jc w:val="both"/>
              <w:rPr>
                <w:bCs/>
                <w:iCs/>
                <w:sz w:val="22"/>
                <w:szCs w:val="22"/>
              </w:rPr>
            </w:pPr>
          </w:p>
        </w:tc>
        <w:tc>
          <w:tcPr>
            <w:tcW w:w="1251" w:type="pct"/>
            <w:shd w:val="clear" w:color="auto" w:fill="FFFFFF" w:themeFill="background1"/>
          </w:tcPr>
          <w:p w14:paraId="01704542" w14:textId="77777777" w:rsidR="00D924CE" w:rsidRPr="003E76B0" w:rsidRDefault="00D924CE" w:rsidP="00D924CE">
            <w:pPr>
              <w:ind w:left="708"/>
              <w:rPr>
                <w:b/>
                <w:bCs/>
                <w:i/>
                <w:iCs/>
              </w:rPr>
            </w:pPr>
            <w:r w:rsidRPr="003E76B0">
              <w:rPr>
                <w:b/>
                <w:bCs/>
                <w:i/>
                <w:iCs/>
              </w:rPr>
              <w:lastRenderedPageBreak/>
              <w:t>Artículo 11. Carpeta “</w:t>
            </w:r>
            <w:r>
              <w:rPr>
                <w:b/>
                <w:bCs/>
                <w:i/>
                <w:iCs/>
              </w:rPr>
              <w:t>Gobierno</w:t>
            </w:r>
            <w:r w:rsidRPr="003E76B0">
              <w:rPr>
                <w:b/>
                <w:bCs/>
                <w:i/>
                <w:iCs/>
              </w:rPr>
              <w:t>”</w:t>
            </w:r>
          </w:p>
          <w:p w14:paraId="4B1DAFCC" w14:textId="77777777" w:rsidR="00D924CE" w:rsidRPr="00D20CBD" w:rsidRDefault="00D924CE" w:rsidP="00D924CE">
            <w:pPr>
              <w:ind w:left="708"/>
              <w:jc w:val="both"/>
              <w:rPr>
                <w:i/>
                <w:iCs/>
              </w:rPr>
            </w:pPr>
            <w:r w:rsidRPr="003E76B0">
              <w:rPr>
                <w:i/>
                <w:iCs/>
              </w:rPr>
              <w:t xml:space="preserve">En el </w:t>
            </w:r>
            <w:r w:rsidRPr="00D20CBD">
              <w:rPr>
                <w:i/>
                <w:iCs/>
              </w:rPr>
              <w:t>repositorio que para los efectos del inciso f) del artículo 4 anterior, se designe por parte del órgano de dirección, la entidad supervisada debe incluir una carpeta con el nombre “</w:t>
            </w:r>
            <w:r>
              <w:rPr>
                <w:i/>
                <w:iCs/>
              </w:rPr>
              <w:t>Gobierno</w:t>
            </w:r>
            <w:r w:rsidRPr="00D20CBD">
              <w:rPr>
                <w:i/>
                <w:iCs/>
              </w:rPr>
              <w:t>” que incluya (al menos) la versión vigente de los siguientes documentos, cuando corresponda:</w:t>
            </w:r>
          </w:p>
          <w:p w14:paraId="4CEDEF24"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Reglamento del fondo colectivo o fondo especial</w:t>
            </w:r>
          </w:p>
          <w:p w14:paraId="5EFC08B3"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Plan estratégico institucional y la asignación estratégica de activos</w:t>
            </w:r>
          </w:p>
          <w:p w14:paraId="05E6A5F4" w14:textId="77777777" w:rsidR="00D924CE" w:rsidRPr="00D20CBD" w:rsidRDefault="00D924CE" w:rsidP="00D924CE">
            <w:pPr>
              <w:widowControl w:val="0"/>
              <w:numPr>
                <w:ilvl w:val="0"/>
                <w:numId w:val="26"/>
              </w:numPr>
              <w:tabs>
                <w:tab w:val="clear" w:pos="720"/>
                <w:tab w:val="num" w:pos="1788"/>
              </w:tabs>
              <w:autoSpaceDE w:val="0"/>
              <w:autoSpaceDN w:val="0"/>
              <w:ind w:left="2124" w:hanging="696"/>
              <w:rPr>
                <w:i/>
                <w:iCs/>
              </w:rPr>
            </w:pPr>
            <w:r w:rsidRPr="00D20CBD">
              <w:rPr>
                <w:i/>
                <w:iCs/>
              </w:rPr>
              <w:t>Plan operativo</w:t>
            </w:r>
          </w:p>
          <w:p w14:paraId="7C793CD5"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Plan de tecnologías de información</w:t>
            </w:r>
          </w:p>
          <w:p w14:paraId="521FA440"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Plan de continuidad del negocio</w:t>
            </w:r>
          </w:p>
          <w:p w14:paraId="22ED023E"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Plan de contingencia</w:t>
            </w:r>
          </w:p>
          <w:p w14:paraId="797BD9F0"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Política de inversión y de liquidez</w:t>
            </w:r>
          </w:p>
          <w:p w14:paraId="1F64CF17"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Política de revalorización de pensiones (fondos colectivos)</w:t>
            </w:r>
          </w:p>
          <w:p w14:paraId="7969656A"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Política de solvencia (fondos colectivos)</w:t>
            </w:r>
          </w:p>
          <w:p w14:paraId="5B649F53"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Política de conflictos de interés</w:t>
            </w:r>
          </w:p>
          <w:p w14:paraId="3E410AE5"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Política de idoneidad</w:t>
            </w:r>
          </w:p>
          <w:p w14:paraId="604BC191"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Política de evaluación del desempeño</w:t>
            </w:r>
          </w:p>
          <w:p w14:paraId="554DB15D"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 xml:space="preserve">Manual de políticas y </w:t>
            </w:r>
            <w:r w:rsidRPr="00D20CBD">
              <w:rPr>
                <w:i/>
                <w:iCs/>
              </w:rPr>
              <w:lastRenderedPageBreak/>
              <w:t>procedimientos de cumplimiento (Ley 7786)</w:t>
            </w:r>
          </w:p>
          <w:p w14:paraId="209A26E3"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Marco de gestión de riesgo y la declaración de apetito de riesgo</w:t>
            </w:r>
          </w:p>
          <w:p w14:paraId="54D28DBB"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Código de gobierno corporativo</w:t>
            </w:r>
          </w:p>
          <w:p w14:paraId="2C9432C6"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Código de ética</w:t>
            </w:r>
          </w:p>
          <w:p w14:paraId="4C6CA8BA"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Acuerdos del Órgano de dirección sobre los modelos de negocios (NIIF 9) aprobados</w:t>
            </w:r>
          </w:p>
          <w:p w14:paraId="7F91B664"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Metodologías asociadas a la cuantificación del riesgo de crédito (pérdidas esperadas y evaluación de emisores), riesgo de mercado, riesgo de liquidez y riesgo operativo</w:t>
            </w:r>
          </w:p>
          <w:p w14:paraId="140F1DD5"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Plan de capacitación anual</w:t>
            </w:r>
          </w:p>
          <w:p w14:paraId="22F81F77" w14:textId="77777777" w:rsidR="00D924CE" w:rsidRPr="00D20CBD" w:rsidRDefault="00D924CE" w:rsidP="00D924CE">
            <w:pPr>
              <w:widowControl w:val="0"/>
              <w:numPr>
                <w:ilvl w:val="0"/>
                <w:numId w:val="26"/>
              </w:numPr>
              <w:tabs>
                <w:tab w:val="clear" w:pos="720"/>
                <w:tab w:val="num" w:pos="1788"/>
              </w:tabs>
              <w:autoSpaceDE w:val="0"/>
              <w:autoSpaceDN w:val="0"/>
              <w:ind w:left="1788"/>
              <w:rPr>
                <w:i/>
                <w:iCs/>
              </w:rPr>
            </w:pPr>
            <w:r w:rsidRPr="00D20CBD">
              <w:rPr>
                <w:i/>
                <w:iCs/>
              </w:rPr>
              <w:t>Contratos</w:t>
            </w:r>
            <w:r w:rsidRPr="006C73B8">
              <w:rPr>
                <w:i/>
                <w:iCs/>
                <w:color w:val="FF0000"/>
              </w:rPr>
              <w:t xml:space="preserve"> </w:t>
            </w:r>
            <w:r w:rsidRPr="00D20CBD">
              <w:rPr>
                <w:i/>
                <w:iCs/>
              </w:rPr>
              <w:t>y acuerdos de servicios</w:t>
            </w:r>
            <w:r>
              <w:rPr>
                <w:i/>
                <w:iCs/>
              </w:rPr>
              <w:t xml:space="preserve"> </w:t>
            </w:r>
            <w:r w:rsidRPr="00975D8B">
              <w:rPr>
                <w:i/>
                <w:iCs/>
              </w:rPr>
              <w:t>vigentes</w:t>
            </w:r>
            <w:r>
              <w:rPr>
                <w:i/>
                <w:iCs/>
              </w:rPr>
              <w:t>, así como el documento que consigne el acto de aprobación externa cuando corresponda.</w:t>
            </w:r>
          </w:p>
          <w:p w14:paraId="23DBDCB8" w14:textId="77777777" w:rsidR="00D924CE" w:rsidRDefault="00D924CE" w:rsidP="00D924CE">
            <w:pPr>
              <w:ind w:left="1068"/>
              <w:jc w:val="both"/>
              <w:rPr>
                <w:i/>
                <w:iCs/>
              </w:rPr>
            </w:pPr>
          </w:p>
          <w:p w14:paraId="44AF3312" w14:textId="77777777" w:rsidR="00D924CE" w:rsidRDefault="00D924CE" w:rsidP="00D924CE">
            <w:pPr>
              <w:ind w:left="1068"/>
              <w:jc w:val="both"/>
              <w:rPr>
                <w:i/>
                <w:iCs/>
              </w:rPr>
            </w:pPr>
            <w:r w:rsidRPr="00D20CBD">
              <w:rPr>
                <w:i/>
                <w:iCs/>
              </w:rPr>
              <w:t xml:space="preserve">Es deber de cada </w:t>
            </w:r>
            <w:r w:rsidRPr="003E76B0">
              <w:rPr>
                <w:i/>
                <w:iCs/>
              </w:rPr>
              <w:t xml:space="preserve">entidad supervisada, la actualización oportuna de esta documentación de manera que en ese repositorio se mantendrá únicamente la versión vigente de esos documentos. </w:t>
            </w:r>
            <w:r>
              <w:rPr>
                <w:i/>
                <w:iCs/>
              </w:rPr>
              <w:t xml:space="preserve">Por tanto, se presume que la información consignada es la vigente en ese momento, sin perjuicio del ejercicio de las </w:t>
            </w:r>
            <w:r>
              <w:rPr>
                <w:i/>
                <w:iCs/>
              </w:rPr>
              <w:lastRenderedPageBreak/>
              <w:t>potestades de supervisión que corresponden a la Superintendencia para su verificación.</w:t>
            </w:r>
          </w:p>
          <w:p w14:paraId="1047042C" w14:textId="77777777" w:rsidR="00D924CE" w:rsidRDefault="00D924CE" w:rsidP="00D924CE">
            <w:pPr>
              <w:ind w:left="1068"/>
              <w:jc w:val="both"/>
              <w:rPr>
                <w:i/>
                <w:iCs/>
              </w:rPr>
            </w:pPr>
          </w:p>
          <w:p w14:paraId="0F77BC2B" w14:textId="77777777" w:rsidR="00D924CE" w:rsidRPr="000D2987" w:rsidRDefault="00D924CE" w:rsidP="00D924CE">
            <w:pPr>
              <w:ind w:left="1068"/>
              <w:jc w:val="both"/>
              <w:rPr>
                <w:i/>
                <w:iCs/>
              </w:rPr>
            </w:pPr>
            <w:r w:rsidRPr="003E76B0">
              <w:rPr>
                <w:i/>
                <w:iCs/>
              </w:rPr>
              <w:t xml:space="preserve">El formato de estos documentos debe ser el mismo señalado para las actas en el </w:t>
            </w:r>
            <w:r w:rsidRPr="000D2987">
              <w:rPr>
                <w:i/>
                <w:iCs/>
              </w:rPr>
              <w:t>inciso j del artículo 2.</w:t>
            </w:r>
          </w:p>
          <w:p w14:paraId="7F7A693A" w14:textId="77777777" w:rsidR="00D924CE" w:rsidRDefault="00D924CE" w:rsidP="00D924CE">
            <w:pPr>
              <w:ind w:left="1068"/>
              <w:jc w:val="both"/>
              <w:rPr>
                <w:i/>
                <w:iCs/>
              </w:rPr>
            </w:pPr>
          </w:p>
          <w:p w14:paraId="1623CB56" w14:textId="77777777" w:rsidR="00D924CE" w:rsidRPr="000D2987" w:rsidRDefault="00D924CE" w:rsidP="00D924CE">
            <w:pPr>
              <w:ind w:left="1068"/>
              <w:jc w:val="both"/>
              <w:rPr>
                <w:i/>
                <w:iCs/>
              </w:rPr>
            </w:pPr>
            <w:r w:rsidRPr="000D2987">
              <w:rPr>
                <w:i/>
                <w:iCs/>
              </w:rPr>
              <w:t>Cada vez que la entidad actualice o sustituya algún documento, debe remitir a la Superintendencia de Pensiones mediante los canales formales de comunicación el detalle y naturaleza del cambio; indicando el número de acta, fecha y el número de acuerdo, o en su defecto, el mecanismo de oficialización del cambio.</w:t>
            </w:r>
          </w:p>
          <w:p w14:paraId="763C600E" w14:textId="77777777" w:rsidR="00D924CE" w:rsidRDefault="00D924CE" w:rsidP="00D924CE">
            <w:pPr>
              <w:ind w:left="1068"/>
              <w:jc w:val="both"/>
              <w:rPr>
                <w:i/>
                <w:iCs/>
              </w:rPr>
            </w:pPr>
          </w:p>
          <w:p w14:paraId="053DF3AC" w14:textId="77777777" w:rsidR="00D924CE" w:rsidRPr="000D2987" w:rsidRDefault="00D924CE" w:rsidP="00D924CE">
            <w:pPr>
              <w:ind w:left="1068"/>
              <w:jc w:val="both"/>
              <w:rPr>
                <w:i/>
                <w:iCs/>
              </w:rPr>
            </w:pPr>
            <w:r w:rsidRPr="000D2987">
              <w:rPr>
                <w:i/>
                <w:iCs/>
              </w:rPr>
              <w:t>En caso de que en un mismo documento institucional concurran varios de los documentos indicados, complementariamente la entidad supervisada deberá informar cuál de los documentos ha sido ajustado.</w:t>
            </w:r>
          </w:p>
          <w:p w14:paraId="34B9C741" w14:textId="77777777" w:rsidR="00D924CE" w:rsidRDefault="00D924CE" w:rsidP="00D924CE">
            <w:pPr>
              <w:ind w:left="1068"/>
              <w:jc w:val="both"/>
              <w:rPr>
                <w:i/>
                <w:iCs/>
              </w:rPr>
            </w:pPr>
          </w:p>
          <w:p w14:paraId="5F19CCB7" w14:textId="561DE42D" w:rsidR="00D924CE" w:rsidRPr="004026A5" w:rsidRDefault="00D924CE" w:rsidP="00D924CE">
            <w:pPr>
              <w:ind w:left="1068"/>
              <w:jc w:val="both"/>
              <w:rPr>
                <w:rFonts w:ascii="Arial" w:hAnsi="Arial" w:cs="Arial"/>
                <w:b/>
                <w:bCs/>
                <w:sz w:val="22"/>
                <w:szCs w:val="22"/>
              </w:rPr>
            </w:pPr>
            <w:r w:rsidRPr="000D2987">
              <w:rPr>
                <w:i/>
                <w:iCs/>
              </w:rPr>
              <w:t>Mediante un acto debidamente motivado, SUPEN comunicará la inclusión de nuevos documentos requeridos en este repositorio, o la eliminación de alguno de ellos.</w:t>
            </w:r>
          </w:p>
        </w:tc>
      </w:tr>
      <w:tr w:rsidR="00D924CE" w:rsidRPr="004026A5" w14:paraId="0D0FAEC8" w14:textId="77777777" w:rsidTr="00D924CE">
        <w:trPr>
          <w:trHeight w:val="410"/>
        </w:trPr>
        <w:tc>
          <w:tcPr>
            <w:tcW w:w="1264" w:type="pct"/>
            <w:shd w:val="clear" w:color="auto" w:fill="FFFFFF" w:themeFill="background1"/>
          </w:tcPr>
          <w:p w14:paraId="35413168" w14:textId="0AACCD8B" w:rsidR="00D924CE" w:rsidRPr="00306FED" w:rsidRDefault="00D924CE" w:rsidP="00D924CE">
            <w:pPr>
              <w:jc w:val="both"/>
              <w:rPr>
                <w:i/>
                <w:iCs/>
              </w:rPr>
            </w:pPr>
            <w:r w:rsidRPr="00643FFD">
              <w:rPr>
                <w:b/>
                <w:bCs/>
              </w:rPr>
              <w:lastRenderedPageBreak/>
              <w:t>Cuarto:</w:t>
            </w:r>
            <w:r>
              <w:t xml:space="preserve"> </w:t>
            </w:r>
            <w:r w:rsidRPr="00643FFD">
              <w:t>Se modifica el nombre del Transitorio para que en lo sucesivo se lea: “Transitorio I”.</w:t>
            </w:r>
          </w:p>
        </w:tc>
        <w:tc>
          <w:tcPr>
            <w:tcW w:w="1265" w:type="pct"/>
            <w:shd w:val="clear" w:color="auto" w:fill="FFFFFF" w:themeFill="background1"/>
          </w:tcPr>
          <w:p w14:paraId="21112386" w14:textId="77777777" w:rsidR="00D924CE" w:rsidRPr="004026A5" w:rsidRDefault="00D924CE" w:rsidP="00D924CE">
            <w:pPr>
              <w:jc w:val="both"/>
              <w:rPr>
                <w:b/>
                <w:bCs/>
                <w:i/>
                <w:iCs/>
                <w:sz w:val="22"/>
                <w:szCs w:val="22"/>
              </w:rPr>
            </w:pPr>
          </w:p>
        </w:tc>
        <w:tc>
          <w:tcPr>
            <w:tcW w:w="1220" w:type="pct"/>
            <w:shd w:val="clear" w:color="auto" w:fill="FFFFFF" w:themeFill="background1"/>
          </w:tcPr>
          <w:p w14:paraId="298C7CC2" w14:textId="77777777" w:rsidR="00D924CE" w:rsidRPr="004026A5" w:rsidRDefault="00D924CE" w:rsidP="00D924CE">
            <w:pPr>
              <w:jc w:val="both"/>
              <w:rPr>
                <w:bCs/>
                <w:iCs/>
                <w:sz w:val="22"/>
                <w:szCs w:val="22"/>
              </w:rPr>
            </w:pPr>
          </w:p>
        </w:tc>
        <w:tc>
          <w:tcPr>
            <w:tcW w:w="1251" w:type="pct"/>
            <w:shd w:val="clear" w:color="auto" w:fill="FFFFFF" w:themeFill="background1"/>
          </w:tcPr>
          <w:p w14:paraId="0D9AF758" w14:textId="39A26D4C" w:rsidR="00D924CE" w:rsidRPr="004026A5" w:rsidRDefault="00D924CE" w:rsidP="00D924CE">
            <w:pPr>
              <w:jc w:val="both"/>
              <w:rPr>
                <w:rFonts w:ascii="Arial" w:hAnsi="Arial" w:cs="Arial"/>
                <w:b/>
                <w:bCs/>
                <w:sz w:val="22"/>
                <w:szCs w:val="22"/>
              </w:rPr>
            </w:pPr>
            <w:r w:rsidRPr="00643FFD">
              <w:rPr>
                <w:b/>
                <w:bCs/>
              </w:rPr>
              <w:t>Cuarto:</w:t>
            </w:r>
            <w:r>
              <w:t xml:space="preserve"> </w:t>
            </w:r>
            <w:r w:rsidRPr="00643FFD">
              <w:t>Se modifica el nombre del Transitorio para que en lo sucesivo se lea: “Transitorio I”.</w:t>
            </w:r>
          </w:p>
        </w:tc>
      </w:tr>
      <w:tr w:rsidR="00D924CE" w:rsidRPr="00142CA1" w14:paraId="564E7C1A" w14:textId="77777777" w:rsidTr="00D924CE">
        <w:trPr>
          <w:trHeight w:val="410"/>
        </w:trPr>
        <w:tc>
          <w:tcPr>
            <w:tcW w:w="1264" w:type="pct"/>
            <w:shd w:val="clear" w:color="auto" w:fill="auto"/>
          </w:tcPr>
          <w:p w14:paraId="0D48DD2A" w14:textId="77777777" w:rsidR="00D924CE" w:rsidRPr="00643FFD" w:rsidRDefault="00D924CE" w:rsidP="00D924CE">
            <w:pPr>
              <w:widowControl w:val="0"/>
              <w:autoSpaceDE w:val="0"/>
              <w:autoSpaceDN w:val="0"/>
            </w:pPr>
            <w:r w:rsidRPr="00643FFD">
              <w:rPr>
                <w:b/>
                <w:bCs/>
              </w:rPr>
              <w:lastRenderedPageBreak/>
              <w:t>Quinto</w:t>
            </w:r>
            <w:r>
              <w:t xml:space="preserve">: </w:t>
            </w:r>
            <w:r w:rsidRPr="00643FFD">
              <w:t>Se agrega un transitorio II para que en lo sucesivo se lea:</w:t>
            </w:r>
          </w:p>
          <w:p w14:paraId="3F59567F" w14:textId="77777777" w:rsidR="00D924CE" w:rsidRDefault="00D924CE" w:rsidP="00D924CE">
            <w:pPr>
              <w:pStyle w:val="Prrafodelista"/>
              <w:ind w:left="1416"/>
              <w:rPr>
                <w:rFonts w:cs="Times New Roman"/>
                <w:i/>
                <w:iCs/>
                <w:szCs w:val="24"/>
              </w:rPr>
            </w:pPr>
          </w:p>
          <w:p w14:paraId="61580F7D" w14:textId="77777777" w:rsidR="00D924CE" w:rsidRPr="00C91A37" w:rsidRDefault="00D924CE" w:rsidP="00D924CE">
            <w:pPr>
              <w:pStyle w:val="Prrafodelista"/>
              <w:ind w:left="1416"/>
              <w:rPr>
                <w:rFonts w:ascii="Times New Roman" w:hAnsi="Times New Roman" w:cs="Times New Roman"/>
                <w:i/>
                <w:iCs/>
                <w:szCs w:val="24"/>
              </w:rPr>
            </w:pPr>
            <w:r w:rsidRPr="00C91A37">
              <w:rPr>
                <w:rFonts w:ascii="Times New Roman" w:hAnsi="Times New Roman" w:cs="Times New Roman"/>
                <w:i/>
                <w:iCs/>
                <w:szCs w:val="24"/>
              </w:rPr>
              <w:t>Transitorio II:  Las entidades supervisadas disponen de 15 días hábiles luego de la entrada en vigor de la reforma a este acuerdo para completar los documentos indicados en el artículo 11.</w:t>
            </w:r>
          </w:p>
          <w:p w14:paraId="29134D31" w14:textId="77777777" w:rsidR="00D924CE" w:rsidRPr="00037EB1" w:rsidRDefault="00D924CE" w:rsidP="00D924CE">
            <w:pPr>
              <w:contextualSpacing/>
              <w:jc w:val="both"/>
              <w:rPr>
                <w:b/>
                <w:i/>
                <w:iCs/>
                <w:color w:val="000000" w:themeColor="text1"/>
                <w:sz w:val="22"/>
                <w:szCs w:val="22"/>
                <w:lang w:val="es-ES"/>
              </w:rPr>
            </w:pPr>
          </w:p>
        </w:tc>
        <w:tc>
          <w:tcPr>
            <w:tcW w:w="1265" w:type="pct"/>
            <w:shd w:val="clear" w:color="auto" w:fill="auto"/>
          </w:tcPr>
          <w:p w14:paraId="016D97E5" w14:textId="39242273" w:rsidR="00D924CE" w:rsidRPr="00C25BA7" w:rsidRDefault="00D924CE" w:rsidP="00D924CE">
            <w:pPr>
              <w:jc w:val="both"/>
              <w:rPr>
                <w:b/>
                <w:bCs/>
                <w:i/>
                <w:iCs/>
                <w:sz w:val="22"/>
                <w:szCs w:val="22"/>
              </w:rPr>
            </w:pPr>
            <w:r w:rsidRPr="00C25BA7">
              <w:rPr>
                <w:b/>
                <w:bCs/>
                <w:i/>
                <w:iCs/>
                <w:sz w:val="22"/>
                <w:szCs w:val="22"/>
              </w:rPr>
              <w:t>FBNCR y BN</w:t>
            </w:r>
            <w:r>
              <w:rPr>
                <w:b/>
                <w:bCs/>
                <w:i/>
                <w:iCs/>
                <w:sz w:val="22"/>
                <w:szCs w:val="22"/>
              </w:rPr>
              <w:t xml:space="preserve"> </w:t>
            </w:r>
            <w:r w:rsidRPr="00C25BA7">
              <w:rPr>
                <w:b/>
                <w:bCs/>
                <w:i/>
                <w:iCs/>
                <w:sz w:val="22"/>
                <w:szCs w:val="22"/>
              </w:rPr>
              <w:t>Vital</w:t>
            </w:r>
          </w:p>
          <w:p w14:paraId="64851D13" w14:textId="53A49CBB" w:rsidR="00D924CE" w:rsidRPr="006C4940" w:rsidRDefault="00D924CE" w:rsidP="00D924CE">
            <w:pPr>
              <w:jc w:val="both"/>
              <w:rPr>
                <w:sz w:val="22"/>
                <w:szCs w:val="22"/>
              </w:rPr>
            </w:pPr>
            <w:r w:rsidRPr="00C60B34">
              <w:rPr>
                <w:sz w:val="22"/>
                <w:szCs w:val="22"/>
              </w:rPr>
              <w:t>Se concediera prudente un plazo mayor a 15 días, con el fin de contar con las herramientas y permisos necesarios para cumplir con lo solicitado.</w:t>
            </w:r>
          </w:p>
        </w:tc>
        <w:tc>
          <w:tcPr>
            <w:tcW w:w="1220" w:type="pct"/>
            <w:shd w:val="clear" w:color="auto" w:fill="auto"/>
          </w:tcPr>
          <w:p w14:paraId="61B95EA8" w14:textId="39A59DE2" w:rsidR="00D924CE" w:rsidRPr="00142CA1" w:rsidRDefault="00D924CE" w:rsidP="00D924CE">
            <w:pPr>
              <w:jc w:val="both"/>
              <w:rPr>
                <w:bCs/>
                <w:iCs/>
                <w:sz w:val="22"/>
                <w:szCs w:val="22"/>
              </w:rPr>
            </w:pPr>
            <w:r>
              <w:rPr>
                <w:bCs/>
                <w:iCs/>
                <w:sz w:val="22"/>
                <w:szCs w:val="22"/>
              </w:rPr>
              <w:t>Se acepta, tomando en cuenta la experiencia de la entidad en el proceso operativo.</w:t>
            </w:r>
          </w:p>
        </w:tc>
        <w:tc>
          <w:tcPr>
            <w:tcW w:w="1251" w:type="pct"/>
            <w:shd w:val="clear" w:color="auto" w:fill="auto"/>
          </w:tcPr>
          <w:p w14:paraId="2AAD01B1" w14:textId="77777777" w:rsidR="00D924CE" w:rsidRPr="00643FFD" w:rsidRDefault="00D924CE" w:rsidP="00D924CE">
            <w:pPr>
              <w:widowControl w:val="0"/>
              <w:autoSpaceDE w:val="0"/>
              <w:autoSpaceDN w:val="0"/>
            </w:pPr>
            <w:r w:rsidRPr="00643FFD">
              <w:rPr>
                <w:b/>
                <w:bCs/>
              </w:rPr>
              <w:t>Quinto</w:t>
            </w:r>
            <w:r>
              <w:t xml:space="preserve">: </w:t>
            </w:r>
            <w:r w:rsidRPr="00643FFD">
              <w:t>Se agrega un transitorio II para que en lo sucesivo se lea:</w:t>
            </w:r>
          </w:p>
          <w:p w14:paraId="4A26A3E4" w14:textId="77777777" w:rsidR="00D924CE" w:rsidRDefault="00D924CE" w:rsidP="00D924CE">
            <w:pPr>
              <w:pStyle w:val="Prrafodelista"/>
              <w:ind w:left="1416"/>
              <w:rPr>
                <w:rFonts w:cs="Times New Roman"/>
                <w:i/>
                <w:iCs/>
                <w:szCs w:val="24"/>
              </w:rPr>
            </w:pPr>
          </w:p>
          <w:p w14:paraId="476A2B55" w14:textId="672534D5" w:rsidR="00D924CE" w:rsidRPr="00D711D3" w:rsidRDefault="00D924CE" w:rsidP="00D924CE">
            <w:pPr>
              <w:pStyle w:val="Prrafodelista"/>
              <w:ind w:left="1416"/>
              <w:rPr>
                <w:rFonts w:ascii="Times New Roman" w:hAnsi="Times New Roman" w:cs="Times New Roman"/>
                <w:i/>
                <w:iCs/>
                <w:color w:val="FF0000"/>
                <w:szCs w:val="24"/>
              </w:rPr>
            </w:pPr>
            <w:r w:rsidRPr="00D711D3">
              <w:rPr>
                <w:rFonts w:ascii="Times New Roman" w:hAnsi="Times New Roman" w:cs="Times New Roman"/>
                <w:i/>
                <w:iCs/>
                <w:color w:val="FF0000"/>
                <w:szCs w:val="24"/>
              </w:rPr>
              <w:t>Transitorio II:  Las entidades supervisadas disponen de 30 días naturales luego de la entrada en vigor de la reforma a este acuerdo para completar los documentos indicados en el artículo 11.</w:t>
            </w:r>
          </w:p>
          <w:p w14:paraId="1F713D6F" w14:textId="77777777" w:rsidR="00D924CE" w:rsidRPr="00523649" w:rsidRDefault="00D924CE" w:rsidP="00D924CE">
            <w:pPr>
              <w:jc w:val="both"/>
              <w:rPr>
                <w:rFonts w:ascii="Arial" w:hAnsi="Arial" w:cs="Arial"/>
                <w:b/>
                <w:bCs/>
                <w:sz w:val="22"/>
                <w:szCs w:val="22"/>
                <w:lang w:val="es-ES"/>
              </w:rPr>
            </w:pPr>
          </w:p>
        </w:tc>
      </w:tr>
      <w:tr w:rsidR="00D924CE" w:rsidRPr="00142CA1" w14:paraId="36E02B09" w14:textId="77777777" w:rsidTr="00D924CE">
        <w:trPr>
          <w:trHeight w:val="410"/>
        </w:trPr>
        <w:tc>
          <w:tcPr>
            <w:tcW w:w="1264" w:type="pct"/>
            <w:shd w:val="clear" w:color="auto" w:fill="auto"/>
          </w:tcPr>
          <w:p w14:paraId="336018BC" w14:textId="77777777" w:rsidR="00D924CE" w:rsidRDefault="00D924CE" w:rsidP="00D924CE">
            <w:r>
              <w:t>Rige un mes a partir de su publicación en el diario oficial La Gaceta.</w:t>
            </w:r>
          </w:p>
          <w:p w14:paraId="386739C9" w14:textId="77777777" w:rsidR="00D924CE" w:rsidRPr="00142CA1" w:rsidRDefault="00D924CE" w:rsidP="00D924CE">
            <w:pPr>
              <w:contextualSpacing/>
              <w:jc w:val="both"/>
              <w:rPr>
                <w:b/>
                <w:i/>
                <w:iCs/>
                <w:color w:val="000000" w:themeColor="text1"/>
                <w:sz w:val="22"/>
                <w:szCs w:val="22"/>
              </w:rPr>
            </w:pPr>
          </w:p>
        </w:tc>
        <w:tc>
          <w:tcPr>
            <w:tcW w:w="1265" w:type="pct"/>
            <w:shd w:val="clear" w:color="auto" w:fill="auto"/>
          </w:tcPr>
          <w:p w14:paraId="6B20B19A" w14:textId="77777777" w:rsidR="00D924CE" w:rsidRPr="006C4940" w:rsidRDefault="00D924CE" w:rsidP="00D924CE">
            <w:pPr>
              <w:rPr>
                <w:sz w:val="22"/>
                <w:szCs w:val="22"/>
              </w:rPr>
            </w:pPr>
          </w:p>
        </w:tc>
        <w:tc>
          <w:tcPr>
            <w:tcW w:w="1220" w:type="pct"/>
            <w:shd w:val="clear" w:color="auto" w:fill="auto"/>
          </w:tcPr>
          <w:p w14:paraId="604A5C20" w14:textId="77777777" w:rsidR="00D924CE" w:rsidRPr="00142CA1" w:rsidRDefault="00D924CE" w:rsidP="00D924CE">
            <w:pPr>
              <w:jc w:val="both"/>
              <w:rPr>
                <w:bCs/>
                <w:iCs/>
                <w:sz w:val="22"/>
                <w:szCs w:val="22"/>
              </w:rPr>
            </w:pPr>
          </w:p>
        </w:tc>
        <w:tc>
          <w:tcPr>
            <w:tcW w:w="1251" w:type="pct"/>
            <w:shd w:val="clear" w:color="auto" w:fill="auto"/>
          </w:tcPr>
          <w:p w14:paraId="1FBD2925" w14:textId="77777777" w:rsidR="00D924CE" w:rsidRPr="00142CA1" w:rsidRDefault="00D924CE" w:rsidP="00D924CE">
            <w:pPr>
              <w:jc w:val="both"/>
              <w:rPr>
                <w:rFonts w:ascii="Arial" w:hAnsi="Arial" w:cs="Arial"/>
                <w:b/>
                <w:bCs/>
                <w:sz w:val="22"/>
                <w:szCs w:val="22"/>
              </w:rPr>
            </w:pPr>
          </w:p>
        </w:tc>
      </w:tr>
      <w:tr w:rsidR="00D924CE" w:rsidRPr="00142CA1" w14:paraId="6D81A7BA" w14:textId="77777777" w:rsidTr="00D924CE">
        <w:trPr>
          <w:trHeight w:val="410"/>
        </w:trPr>
        <w:tc>
          <w:tcPr>
            <w:tcW w:w="1264" w:type="pct"/>
            <w:shd w:val="clear" w:color="auto" w:fill="D9E2F3" w:themeFill="accent1" w:themeFillTint="33"/>
          </w:tcPr>
          <w:p w14:paraId="3560DBCC" w14:textId="7237B93D" w:rsidR="00D924CE" w:rsidRPr="00142CA1" w:rsidRDefault="00D924CE" w:rsidP="00D924CE">
            <w:pPr>
              <w:contextualSpacing/>
              <w:jc w:val="both"/>
              <w:rPr>
                <w:b/>
                <w:i/>
                <w:iCs/>
                <w:color w:val="000000" w:themeColor="text1"/>
                <w:sz w:val="22"/>
                <w:szCs w:val="22"/>
              </w:rPr>
            </w:pPr>
            <w:r>
              <w:rPr>
                <w:b/>
                <w:i/>
                <w:iCs/>
                <w:color w:val="000000" w:themeColor="text1"/>
                <w:sz w:val="22"/>
                <w:szCs w:val="22"/>
              </w:rPr>
              <w:t>Observaciones generales</w:t>
            </w:r>
          </w:p>
        </w:tc>
        <w:tc>
          <w:tcPr>
            <w:tcW w:w="1265" w:type="pct"/>
            <w:shd w:val="clear" w:color="auto" w:fill="D9E2F3" w:themeFill="accent1" w:themeFillTint="33"/>
          </w:tcPr>
          <w:p w14:paraId="5FDCFFE4" w14:textId="77777777" w:rsidR="00D924CE" w:rsidRPr="006C4940" w:rsidRDefault="00D924CE" w:rsidP="00D924CE">
            <w:pPr>
              <w:rPr>
                <w:sz w:val="22"/>
                <w:szCs w:val="22"/>
              </w:rPr>
            </w:pPr>
          </w:p>
        </w:tc>
        <w:tc>
          <w:tcPr>
            <w:tcW w:w="1220" w:type="pct"/>
            <w:shd w:val="clear" w:color="auto" w:fill="D9E2F3" w:themeFill="accent1" w:themeFillTint="33"/>
          </w:tcPr>
          <w:p w14:paraId="3C51C56A" w14:textId="77777777" w:rsidR="00D924CE" w:rsidRPr="00142CA1" w:rsidRDefault="00D924CE" w:rsidP="00D924CE">
            <w:pPr>
              <w:jc w:val="both"/>
              <w:rPr>
                <w:bCs/>
                <w:iCs/>
                <w:sz w:val="22"/>
                <w:szCs w:val="22"/>
              </w:rPr>
            </w:pPr>
          </w:p>
        </w:tc>
        <w:tc>
          <w:tcPr>
            <w:tcW w:w="1251" w:type="pct"/>
            <w:shd w:val="clear" w:color="auto" w:fill="D9E2F3" w:themeFill="accent1" w:themeFillTint="33"/>
          </w:tcPr>
          <w:p w14:paraId="280F4974" w14:textId="77777777" w:rsidR="00D924CE" w:rsidRPr="00142CA1" w:rsidRDefault="00D924CE" w:rsidP="00D924CE">
            <w:pPr>
              <w:jc w:val="both"/>
              <w:rPr>
                <w:rFonts w:ascii="Arial" w:hAnsi="Arial" w:cs="Arial"/>
                <w:b/>
                <w:bCs/>
                <w:sz w:val="22"/>
                <w:szCs w:val="22"/>
              </w:rPr>
            </w:pPr>
          </w:p>
        </w:tc>
      </w:tr>
      <w:tr w:rsidR="00D924CE" w:rsidRPr="00142CA1" w14:paraId="3BE4D6FC" w14:textId="77777777" w:rsidTr="00D924CE">
        <w:trPr>
          <w:trHeight w:val="410"/>
        </w:trPr>
        <w:tc>
          <w:tcPr>
            <w:tcW w:w="1264" w:type="pct"/>
            <w:shd w:val="clear" w:color="auto" w:fill="auto"/>
          </w:tcPr>
          <w:p w14:paraId="5C0604BC" w14:textId="53DD599D" w:rsidR="00D924CE" w:rsidRPr="00AB5CE4" w:rsidRDefault="00D924CE" w:rsidP="00D924CE">
            <w:pPr>
              <w:jc w:val="both"/>
              <w:rPr>
                <w:i/>
                <w:iCs/>
                <w:sz w:val="22"/>
                <w:szCs w:val="22"/>
              </w:rPr>
            </w:pPr>
            <w:r>
              <w:rPr>
                <w:i/>
                <w:iCs/>
                <w:sz w:val="22"/>
                <w:szCs w:val="22"/>
              </w:rPr>
              <w:t>JUPEMA</w:t>
            </w:r>
          </w:p>
        </w:tc>
        <w:tc>
          <w:tcPr>
            <w:tcW w:w="1265" w:type="pct"/>
            <w:shd w:val="clear" w:color="auto" w:fill="auto"/>
          </w:tcPr>
          <w:p w14:paraId="6DF0805A" w14:textId="6DC3BF9D" w:rsidR="00D924CE" w:rsidRPr="00142CA1" w:rsidRDefault="00D924CE" w:rsidP="00D924CE">
            <w:pPr>
              <w:jc w:val="both"/>
              <w:rPr>
                <w:sz w:val="22"/>
                <w:szCs w:val="22"/>
              </w:rPr>
            </w:pPr>
            <w:r>
              <w:rPr>
                <w:i/>
                <w:iCs/>
                <w:sz w:val="22"/>
                <w:szCs w:val="22"/>
              </w:rPr>
              <w:t>“[…]</w:t>
            </w:r>
            <w:r w:rsidRPr="00AB5CE4">
              <w:rPr>
                <w:i/>
                <w:iCs/>
                <w:sz w:val="22"/>
                <w:szCs w:val="22"/>
              </w:rPr>
              <w:t>para JUPEMA resulta necesario que se nos indique, si la SUPEN brinda a las entidades supervisadas la garantía de que los medios utilizados para la remisión de información cumplen con las normativas de protección de la información a nivel de seguridad, acceso, confidencialidad y confiabilidad. Esto resulta fundamental, dado que los informes y actas remitidos contienen información sensible”.</w:t>
            </w:r>
          </w:p>
        </w:tc>
        <w:tc>
          <w:tcPr>
            <w:tcW w:w="1220" w:type="pct"/>
            <w:shd w:val="clear" w:color="auto" w:fill="auto"/>
          </w:tcPr>
          <w:p w14:paraId="3E78F7A7" w14:textId="5438B71D" w:rsidR="00D924CE" w:rsidRPr="00142CA1" w:rsidRDefault="00D924CE" w:rsidP="00D924CE">
            <w:pPr>
              <w:rPr>
                <w:bCs/>
                <w:iCs/>
                <w:sz w:val="22"/>
                <w:szCs w:val="22"/>
              </w:rPr>
            </w:pPr>
            <w:r>
              <w:rPr>
                <w:bCs/>
                <w:iCs/>
                <w:sz w:val="22"/>
                <w:szCs w:val="22"/>
              </w:rPr>
              <w:t>La razón de estos documentos surge de la potestad conferida por ley para “A</w:t>
            </w:r>
            <w:r w:rsidRPr="00105AB4">
              <w:rPr>
                <w:bCs/>
                <w:iCs/>
                <w:sz w:val="22"/>
                <w:szCs w:val="22"/>
              </w:rPr>
              <w:t xml:space="preserve">doptar todas las acciones necesarias para el </w:t>
            </w:r>
            <w:r>
              <w:rPr>
                <w:bCs/>
                <w:iCs/>
                <w:sz w:val="22"/>
                <w:szCs w:val="22"/>
              </w:rPr>
              <w:t>c</w:t>
            </w:r>
            <w:r w:rsidRPr="00105AB4">
              <w:rPr>
                <w:bCs/>
                <w:iCs/>
                <w:sz w:val="22"/>
                <w:szCs w:val="22"/>
              </w:rPr>
              <w:t>umplimiento efectivo de las funciones de autorización,</w:t>
            </w:r>
            <w:r>
              <w:rPr>
                <w:bCs/>
                <w:iCs/>
                <w:sz w:val="22"/>
                <w:szCs w:val="22"/>
              </w:rPr>
              <w:t xml:space="preserve"> </w:t>
            </w:r>
            <w:r w:rsidRPr="00105AB4">
              <w:rPr>
                <w:bCs/>
                <w:iCs/>
                <w:sz w:val="22"/>
                <w:szCs w:val="22"/>
              </w:rPr>
              <w:t>regulación, supervisión y fiscalización que le</w:t>
            </w:r>
            <w:r>
              <w:rPr>
                <w:bCs/>
                <w:iCs/>
                <w:sz w:val="22"/>
                <w:szCs w:val="22"/>
              </w:rPr>
              <w:t xml:space="preserve"> </w:t>
            </w:r>
            <w:r w:rsidRPr="00105AB4">
              <w:rPr>
                <w:bCs/>
                <w:iCs/>
                <w:sz w:val="22"/>
                <w:szCs w:val="22"/>
              </w:rPr>
              <w:t>competen a la Superintendencia, según esta ley y</w:t>
            </w:r>
            <w:r>
              <w:rPr>
                <w:bCs/>
                <w:iCs/>
                <w:sz w:val="22"/>
                <w:szCs w:val="22"/>
              </w:rPr>
              <w:t xml:space="preserve"> </w:t>
            </w:r>
            <w:r w:rsidRPr="00105AB4">
              <w:rPr>
                <w:bCs/>
                <w:iCs/>
                <w:sz w:val="22"/>
                <w:szCs w:val="22"/>
              </w:rPr>
              <w:t>las normas emitidas por el Consejo Nacional</w:t>
            </w:r>
            <w:r>
              <w:rPr>
                <w:bCs/>
                <w:iCs/>
                <w:sz w:val="22"/>
                <w:szCs w:val="22"/>
              </w:rPr>
              <w:t>” (ver considerando 3). En ese sentido, la documentación solicitada solo puede ser utilizada por la Superintendencia para fines de supervisión, lo que limita su divulgación u otros usos. La información solicitada por este acuerdo tiene el mismo tratamiento que otra información solicitada para efectos de supervisión.</w:t>
            </w:r>
          </w:p>
        </w:tc>
        <w:tc>
          <w:tcPr>
            <w:tcW w:w="1251" w:type="pct"/>
            <w:shd w:val="clear" w:color="auto" w:fill="auto"/>
          </w:tcPr>
          <w:p w14:paraId="41C19E5B" w14:textId="77777777" w:rsidR="00D924CE" w:rsidRPr="00142CA1" w:rsidRDefault="00D924CE" w:rsidP="00D924CE">
            <w:pPr>
              <w:jc w:val="both"/>
              <w:rPr>
                <w:rFonts w:ascii="Arial" w:hAnsi="Arial" w:cs="Arial"/>
                <w:b/>
                <w:bCs/>
                <w:sz w:val="22"/>
                <w:szCs w:val="22"/>
              </w:rPr>
            </w:pPr>
          </w:p>
        </w:tc>
      </w:tr>
    </w:tbl>
    <w:p w14:paraId="26C790D7" w14:textId="72E4B512" w:rsidR="00BB48A5" w:rsidRPr="00B036D0" w:rsidRDefault="00B036D0" w:rsidP="00E06CA2">
      <w:pPr>
        <w:rPr>
          <w:b/>
          <w:bCs/>
        </w:rPr>
      </w:pPr>
      <w:r w:rsidRPr="00B036D0">
        <w:rPr>
          <w:b/>
          <w:bCs/>
        </w:rPr>
        <w:t xml:space="preserve">Anexos: </w:t>
      </w:r>
      <w:r w:rsidR="009F7546">
        <w:rPr>
          <w:b/>
          <w:bCs/>
        </w:rPr>
        <w:t xml:space="preserve"> </w:t>
      </w:r>
    </w:p>
    <w:p w14:paraId="2C896726" w14:textId="77777777" w:rsidR="00D924CE" w:rsidRDefault="00D924CE" w:rsidP="00E06CA2">
      <w:pPr>
        <w:rPr>
          <w:b/>
          <w:bCs/>
        </w:rPr>
      </w:pPr>
    </w:p>
    <w:p w14:paraId="12F20BB0" w14:textId="7F5CF755" w:rsidR="004A28A1" w:rsidRDefault="00B036D0" w:rsidP="00E06CA2">
      <w:pPr>
        <w:rPr>
          <w:b/>
          <w:bCs/>
        </w:rPr>
      </w:pPr>
      <w:r w:rsidRPr="006D5034">
        <w:rPr>
          <w:b/>
          <w:bCs/>
        </w:rPr>
        <w:t>Oficio de</w:t>
      </w:r>
      <w:r w:rsidR="003E737A">
        <w:rPr>
          <w:b/>
          <w:bCs/>
        </w:rPr>
        <w:t xml:space="preserve"> remisión del texto en</w:t>
      </w:r>
      <w:r w:rsidRPr="006D5034">
        <w:rPr>
          <w:b/>
          <w:bCs/>
        </w:rPr>
        <w:t xml:space="preserve"> consulta externa: </w:t>
      </w:r>
      <w:r w:rsidR="001F732E">
        <w:rPr>
          <w:b/>
          <w:bCs/>
        </w:rPr>
        <w:t xml:space="preserve"> </w:t>
      </w:r>
      <w:r w:rsidR="00BA48F1">
        <w:rPr>
          <w:b/>
          <w:bCs/>
        </w:rPr>
        <w:t xml:space="preserve"> </w:t>
      </w:r>
    </w:p>
    <w:p w14:paraId="7D784A12" w14:textId="77777777" w:rsidR="00D924CE" w:rsidRDefault="00D924CE" w:rsidP="00E06CA2"/>
    <w:bookmarkStart w:id="1" w:name="_MON_1802864380"/>
    <w:bookmarkEnd w:id="1"/>
    <w:p w14:paraId="600A71B8" w14:textId="14E39814" w:rsidR="00BB48A5" w:rsidRDefault="001E72C8" w:rsidP="00E06CA2">
      <w:r>
        <w:object w:dxaOrig="1520" w:dyaOrig="988" w14:anchorId="24580C9B">
          <v:shape id="_x0000_i1037" type="#_x0000_t75" style="width:76.6pt;height:49.55pt" o:ole="">
            <v:imagedata r:id="rId35" o:title=""/>
          </v:shape>
          <o:OLEObject Type="Embed" ProgID="Word.Document.12" ShapeID="_x0000_i1037" DrawAspect="Icon" ObjectID="_1810535962" r:id="rId36">
            <o:FieldCodes>\s</o:FieldCodes>
          </o:OLEObject>
        </w:object>
      </w:r>
    </w:p>
    <w:sectPr w:rsidR="00BB48A5" w:rsidSect="009C0E4C">
      <w:headerReference w:type="even" r:id="rId37"/>
      <w:headerReference w:type="default" r:id="rId38"/>
      <w:footerReference w:type="even" r:id="rId39"/>
      <w:footerReference w:type="default" r:id="rId40"/>
      <w:headerReference w:type="first" r:id="rId41"/>
      <w:footerReference w:type="first" r:id="rId42"/>
      <w:pgSz w:w="20160" w:h="12240" w:orient="landscape" w:code="5"/>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DFF9F" w14:textId="77777777" w:rsidR="00B12D8D" w:rsidRDefault="00B12D8D" w:rsidP="00730F2B">
      <w:r>
        <w:separator/>
      </w:r>
    </w:p>
  </w:endnote>
  <w:endnote w:type="continuationSeparator" w:id="0">
    <w:p w14:paraId="2992C1E3" w14:textId="77777777" w:rsidR="00B12D8D" w:rsidRDefault="00B12D8D" w:rsidP="00730F2B">
      <w:r>
        <w:continuationSeparator/>
      </w:r>
    </w:p>
  </w:endnote>
  <w:endnote w:type="continuationNotice" w:id="1">
    <w:p w14:paraId="6BE66FB6" w14:textId="77777777" w:rsidR="00B12D8D" w:rsidRDefault="00B12D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23C0E" w14:textId="77777777" w:rsidR="001D452B" w:rsidRDefault="001D452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9A05" w14:textId="134700E0" w:rsidR="001D452B" w:rsidRDefault="001D452B">
    <w:pPr>
      <w:pStyle w:val="Piedepgina"/>
    </w:pPr>
    <w:r>
      <w:rPr>
        <w:noProof/>
      </w:rPr>
      <mc:AlternateContent>
        <mc:Choice Requires="wps">
          <w:drawing>
            <wp:anchor distT="0" distB="0" distL="114300" distR="114300" simplePos="0" relativeHeight="251658240" behindDoc="0" locked="0" layoutInCell="0" allowOverlap="1" wp14:anchorId="25F94048" wp14:editId="275C0FF7">
              <wp:simplePos x="0" y="0"/>
              <wp:positionH relativeFrom="page">
                <wp:posOffset>0</wp:posOffset>
              </wp:positionH>
              <wp:positionV relativeFrom="page">
                <wp:posOffset>7308215</wp:posOffset>
              </wp:positionV>
              <wp:extent cx="12801600" cy="273050"/>
              <wp:effectExtent l="0" t="0" r="0" b="12700"/>
              <wp:wrapNone/>
              <wp:docPr id="1" name="MSIPCMcc084f118d97c3bdcd0e89da" descr="{&quot;HashCode&quot;:1186230005,&quot;Height&quot;:612.0,&quot;Width&quot;:1008.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28016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75E92A" w14:textId="4FCAE28B" w:rsidR="001D452B" w:rsidRPr="001D452B" w:rsidRDefault="001D452B" w:rsidP="001D452B">
                          <w:pPr>
                            <w:jc w:val="center"/>
                            <w:rPr>
                              <w:rFonts w:ascii="Calibri" w:hAnsi="Calibri" w:cs="Calibri"/>
                              <w:color w:val="000000"/>
                              <w:sz w:val="20"/>
                            </w:rPr>
                          </w:pPr>
                          <w:r w:rsidRPr="001D452B">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5F94048" id="_x0000_t202" coordsize="21600,21600" o:spt="202" path="m,l,21600r21600,l21600,xe">
              <v:stroke joinstyle="miter"/>
              <v:path gradientshapeok="t" o:connecttype="rect"/>
            </v:shapetype>
            <v:shape id="MSIPCMcc084f118d97c3bdcd0e89da" o:spid="_x0000_s1026" type="#_x0000_t202" alt="{&quot;HashCode&quot;:1186230005,&quot;Height&quot;:612.0,&quot;Width&quot;:1008.0,&quot;Placement&quot;:&quot;Footer&quot;,&quot;Index&quot;:&quot;Primary&quot;,&quot;Section&quot;:1,&quot;Top&quot;:0.0,&quot;Left&quot;:0.0}" style="position:absolute;margin-left:0;margin-top:575.45pt;width:14in;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" o:allowincell="f" filled="f" stroked="f" strokeweight=".5pt">
              <v:textbox inset=",0,,0">
                <w:txbxContent>
                  <w:p w14:paraId="4F75E92A" w14:textId="4FCAE28B" w:rsidR="001D452B" w:rsidRPr="001D452B" w:rsidRDefault="001D452B" w:rsidP="001D452B">
                    <w:pPr>
                      <w:jc w:val="center"/>
                      <w:rPr>
                        <w:rFonts w:ascii="Calibri" w:hAnsi="Calibri" w:cs="Calibri"/>
                        <w:color w:val="000000"/>
                        <w:sz w:val="20"/>
                      </w:rPr>
                    </w:pPr>
                    <w:r w:rsidRPr="001D452B">
                      <w:rPr>
                        <w:rFonts w:ascii="Calibri" w:hAnsi="Calibri" w:cs="Calibri"/>
                        <w:color w:val="000000"/>
                        <w:sz w:val="2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BD8F2" w14:textId="77777777" w:rsidR="001D452B" w:rsidRDefault="001D45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B1D50" w14:textId="77777777" w:rsidR="00B12D8D" w:rsidRDefault="00B12D8D" w:rsidP="00730F2B">
      <w:r>
        <w:separator/>
      </w:r>
    </w:p>
  </w:footnote>
  <w:footnote w:type="continuationSeparator" w:id="0">
    <w:p w14:paraId="0A21D371" w14:textId="77777777" w:rsidR="00B12D8D" w:rsidRDefault="00B12D8D" w:rsidP="00730F2B">
      <w:r>
        <w:continuationSeparator/>
      </w:r>
    </w:p>
  </w:footnote>
  <w:footnote w:type="continuationNotice" w:id="1">
    <w:p w14:paraId="36D8FF9C" w14:textId="77777777" w:rsidR="00B12D8D" w:rsidRDefault="00B12D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1D25" w14:textId="77777777" w:rsidR="001D452B" w:rsidRDefault="001D452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14E0" w14:textId="77777777" w:rsidR="001D452B" w:rsidRDefault="001D452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CE326" w14:textId="77777777" w:rsidR="001D452B" w:rsidRDefault="001D452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123D"/>
    <w:multiLevelType w:val="hybridMultilevel"/>
    <w:tmpl w:val="E7A444A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E2D0780"/>
    <w:multiLevelType w:val="hybridMultilevel"/>
    <w:tmpl w:val="4CF029AE"/>
    <w:lvl w:ilvl="0" w:tplc="76CC0E5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F2A7A45"/>
    <w:multiLevelType w:val="hybridMultilevel"/>
    <w:tmpl w:val="AF9A3360"/>
    <w:lvl w:ilvl="0" w:tplc="232C96E8">
      <w:start w:val="2"/>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59C2F4E"/>
    <w:multiLevelType w:val="hybridMultilevel"/>
    <w:tmpl w:val="2E6A00E8"/>
    <w:lvl w:ilvl="0" w:tplc="CA62908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EA136BF"/>
    <w:multiLevelType w:val="hybridMultilevel"/>
    <w:tmpl w:val="9598805E"/>
    <w:lvl w:ilvl="0" w:tplc="140A000F">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EAF466F"/>
    <w:multiLevelType w:val="hybridMultilevel"/>
    <w:tmpl w:val="360E2D78"/>
    <w:lvl w:ilvl="0" w:tplc="ADDA04A2">
      <w:start w:val="1"/>
      <w:numFmt w:val="decimal"/>
      <w:lvlText w:val="%1."/>
      <w:lvlJc w:val="left"/>
      <w:pPr>
        <w:ind w:left="467" w:hanging="360"/>
      </w:pPr>
      <w:rPr>
        <w:rFonts w:hint="default"/>
        <w:color w:val="auto"/>
      </w:rPr>
    </w:lvl>
    <w:lvl w:ilvl="1" w:tplc="140A0019" w:tentative="1">
      <w:start w:val="1"/>
      <w:numFmt w:val="lowerLetter"/>
      <w:lvlText w:val="%2."/>
      <w:lvlJc w:val="left"/>
      <w:pPr>
        <w:ind w:left="1187" w:hanging="360"/>
      </w:pPr>
    </w:lvl>
    <w:lvl w:ilvl="2" w:tplc="140A001B" w:tentative="1">
      <w:start w:val="1"/>
      <w:numFmt w:val="lowerRoman"/>
      <w:lvlText w:val="%3."/>
      <w:lvlJc w:val="right"/>
      <w:pPr>
        <w:ind w:left="1907" w:hanging="180"/>
      </w:pPr>
    </w:lvl>
    <w:lvl w:ilvl="3" w:tplc="140A000F" w:tentative="1">
      <w:start w:val="1"/>
      <w:numFmt w:val="decimal"/>
      <w:lvlText w:val="%4."/>
      <w:lvlJc w:val="left"/>
      <w:pPr>
        <w:ind w:left="2627" w:hanging="360"/>
      </w:pPr>
    </w:lvl>
    <w:lvl w:ilvl="4" w:tplc="140A0019" w:tentative="1">
      <w:start w:val="1"/>
      <w:numFmt w:val="lowerLetter"/>
      <w:lvlText w:val="%5."/>
      <w:lvlJc w:val="left"/>
      <w:pPr>
        <w:ind w:left="3347" w:hanging="360"/>
      </w:pPr>
    </w:lvl>
    <w:lvl w:ilvl="5" w:tplc="140A001B" w:tentative="1">
      <w:start w:val="1"/>
      <w:numFmt w:val="lowerRoman"/>
      <w:lvlText w:val="%6."/>
      <w:lvlJc w:val="right"/>
      <w:pPr>
        <w:ind w:left="4067" w:hanging="180"/>
      </w:pPr>
    </w:lvl>
    <w:lvl w:ilvl="6" w:tplc="140A000F" w:tentative="1">
      <w:start w:val="1"/>
      <w:numFmt w:val="decimal"/>
      <w:lvlText w:val="%7."/>
      <w:lvlJc w:val="left"/>
      <w:pPr>
        <w:ind w:left="4787" w:hanging="360"/>
      </w:pPr>
    </w:lvl>
    <w:lvl w:ilvl="7" w:tplc="140A0019" w:tentative="1">
      <w:start w:val="1"/>
      <w:numFmt w:val="lowerLetter"/>
      <w:lvlText w:val="%8."/>
      <w:lvlJc w:val="left"/>
      <w:pPr>
        <w:ind w:left="5507" w:hanging="360"/>
      </w:pPr>
    </w:lvl>
    <w:lvl w:ilvl="8" w:tplc="140A001B" w:tentative="1">
      <w:start w:val="1"/>
      <w:numFmt w:val="lowerRoman"/>
      <w:lvlText w:val="%9."/>
      <w:lvlJc w:val="right"/>
      <w:pPr>
        <w:ind w:left="6227" w:hanging="180"/>
      </w:pPr>
    </w:lvl>
  </w:abstractNum>
  <w:abstractNum w:abstractNumId="6" w15:restartNumberingAfterBreak="0">
    <w:nsid w:val="1FE66943"/>
    <w:multiLevelType w:val="multilevel"/>
    <w:tmpl w:val="340CF7B6"/>
    <w:lvl w:ilvl="0">
      <w:start w:val="1"/>
      <w:numFmt w:val="decimal"/>
      <w:pStyle w:val="Ttulo1"/>
      <w:lvlText w:val="%1."/>
      <w:lvlJc w:val="left"/>
      <w:pPr>
        <w:tabs>
          <w:tab w:val="num" w:pos="720"/>
        </w:tabs>
        <w:ind w:left="720" w:hanging="720"/>
      </w:pPr>
      <w:rPr>
        <w:rFonts w:ascii="Arial" w:hAnsi="Arial" w:hint="default"/>
        <w:b/>
        <w:i w:val="0"/>
        <w:vanish w:val="0"/>
        <w:color w:val="010000"/>
        <w:sz w:val="22"/>
        <w:u w:val="none"/>
      </w:rPr>
    </w:lvl>
    <w:lvl w:ilvl="1">
      <w:start w:val="1"/>
      <w:numFmt w:val="decimal"/>
      <w:pStyle w:val="Ttulo2"/>
      <w:lvlText w:val="%1.%2"/>
      <w:lvlJc w:val="left"/>
      <w:pPr>
        <w:tabs>
          <w:tab w:val="num" w:pos="5670"/>
        </w:tabs>
        <w:ind w:left="5670" w:hanging="720"/>
      </w:pPr>
      <w:rPr>
        <w:rFonts w:ascii="Arial" w:hAnsi="Arial" w:hint="default"/>
        <w:b/>
        <w:bCs w:val="0"/>
        <w:i w:val="0"/>
        <w:vanish w:val="0"/>
        <w:color w:val="010000"/>
        <w:sz w:val="20"/>
        <w:szCs w:val="20"/>
        <w:u w:val="none"/>
      </w:rPr>
    </w:lvl>
    <w:lvl w:ilvl="2">
      <w:start w:val="1"/>
      <w:numFmt w:val="lowerLetter"/>
      <w:pStyle w:val="Ttulo3"/>
      <w:lvlText w:val="(%3)"/>
      <w:lvlJc w:val="left"/>
      <w:pPr>
        <w:tabs>
          <w:tab w:val="num" w:pos="1440"/>
        </w:tabs>
        <w:ind w:left="1440" w:hanging="720"/>
      </w:pPr>
      <w:rPr>
        <w:rFonts w:ascii="Arial" w:hAnsi="Arial" w:hint="default"/>
        <w:b w:val="0"/>
        <w:i w:val="0"/>
        <w:caps w:val="0"/>
        <w:vanish w:val="0"/>
        <w:color w:val="010000"/>
        <w:sz w:val="22"/>
        <w:u w:val="none"/>
      </w:rPr>
    </w:lvl>
    <w:lvl w:ilvl="3">
      <w:start w:val="1"/>
      <w:numFmt w:val="lowerRoman"/>
      <w:pStyle w:val="Ttulo4"/>
      <w:lvlText w:val="(%4)"/>
      <w:lvlJc w:val="left"/>
      <w:pPr>
        <w:tabs>
          <w:tab w:val="num" w:pos="2160"/>
        </w:tabs>
        <w:ind w:left="2160" w:hanging="720"/>
      </w:pPr>
      <w:rPr>
        <w:rFonts w:ascii="Arial" w:hAnsi="Arial" w:hint="default"/>
        <w:b w:val="0"/>
        <w:i w:val="0"/>
        <w:vanish w:val="0"/>
        <w:color w:val="010000"/>
        <w:sz w:val="22"/>
        <w:u w:val="none"/>
      </w:rPr>
    </w:lvl>
    <w:lvl w:ilvl="4">
      <w:start w:val="1"/>
      <w:numFmt w:val="upperLetter"/>
      <w:pStyle w:val="Ttulo5"/>
      <w:lvlText w:val="(%5)"/>
      <w:lvlJc w:val="left"/>
      <w:pPr>
        <w:tabs>
          <w:tab w:val="num" w:pos="2880"/>
        </w:tabs>
        <w:ind w:left="2880" w:hanging="720"/>
      </w:pPr>
      <w:rPr>
        <w:rFonts w:ascii="Arial" w:hAnsi="Arial" w:hint="default"/>
        <w:b w:val="0"/>
        <w:i w:val="0"/>
        <w:vanish w:val="0"/>
        <w:color w:val="010000"/>
        <w:sz w:val="22"/>
        <w:u w:val="none"/>
      </w:rPr>
    </w:lvl>
    <w:lvl w:ilvl="5">
      <w:start w:val="1"/>
      <w:numFmt w:val="decimal"/>
      <w:pStyle w:val="Ttulo6"/>
      <w:lvlText w:val="(%6)"/>
      <w:lvlJc w:val="left"/>
      <w:pPr>
        <w:tabs>
          <w:tab w:val="num" w:pos="3600"/>
        </w:tabs>
        <w:ind w:left="3600" w:hanging="720"/>
      </w:pPr>
      <w:rPr>
        <w:rFonts w:ascii="Arial" w:hAnsi="Arial" w:hint="default"/>
        <w:b w:val="0"/>
        <w:i w:val="0"/>
        <w:vanish w:val="0"/>
        <w:color w:val="010000"/>
        <w:sz w:val="22"/>
        <w:u w:val="none"/>
      </w:rPr>
    </w:lvl>
    <w:lvl w:ilvl="6">
      <w:start w:val="1"/>
      <w:numFmt w:val="lowerLetter"/>
      <w:lvlText w:val="%7."/>
      <w:lvlJc w:val="left"/>
      <w:pPr>
        <w:tabs>
          <w:tab w:val="num" w:pos="5760"/>
        </w:tabs>
        <w:ind w:left="720" w:firstLine="4320"/>
      </w:pPr>
      <w:rPr>
        <w:rFonts w:hint="default"/>
        <w:vanish w:val="0"/>
        <w:color w:val="010000"/>
        <w:u w:val="none"/>
      </w:rPr>
    </w:lvl>
    <w:lvl w:ilvl="7">
      <w:start w:val="1"/>
      <w:numFmt w:val="lowerRoman"/>
      <w:lvlText w:val="%8."/>
      <w:lvlJc w:val="left"/>
      <w:pPr>
        <w:tabs>
          <w:tab w:val="num" w:pos="6480"/>
        </w:tabs>
        <w:ind w:left="720" w:firstLine="5040"/>
      </w:pPr>
      <w:rPr>
        <w:rFonts w:hint="default"/>
        <w:vanish w:val="0"/>
        <w:color w:val="010000"/>
        <w:u w:val="none"/>
      </w:rPr>
    </w:lvl>
    <w:lvl w:ilvl="8">
      <w:start w:val="1"/>
      <w:numFmt w:val="decimal"/>
      <w:lvlText w:val="%9)"/>
      <w:lvlJc w:val="left"/>
      <w:pPr>
        <w:tabs>
          <w:tab w:val="num" w:pos="7200"/>
        </w:tabs>
        <w:ind w:left="720" w:firstLine="5760"/>
      </w:pPr>
      <w:rPr>
        <w:rFonts w:hint="default"/>
        <w:vanish w:val="0"/>
        <w:color w:val="010000"/>
        <w:u w:val="none"/>
      </w:rPr>
    </w:lvl>
  </w:abstractNum>
  <w:abstractNum w:abstractNumId="7" w15:restartNumberingAfterBreak="0">
    <w:nsid w:val="2017446F"/>
    <w:multiLevelType w:val="hybridMultilevel"/>
    <w:tmpl w:val="9B8A7466"/>
    <w:lvl w:ilvl="0" w:tplc="D8EA0BF2">
      <w:start w:val="1"/>
      <w:numFmt w:val="decimal"/>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29D2AB3"/>
    <w:multiLevelType w:val="hybridMultilevel"/>
    <w:tmpl w:val="AC6AD058"/>
    <w:lvl w:ilvl="0" w:tplc="F0E05ED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3176B65"/>
    <w:multiLevelType w:val="hybridMultilevel"/>
    <w:tmpl w:val="00CCE38E"/>
    <w:lvl w:ilvl="0" w:tplc="0E14531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802681F"/>
    <w:multiLevelType w:val="hybridMultilevel"/>
    <w:tmpl w:val="A41EB838"/>
    <w:lvl w:ilvl="0" w:tplc="C7F6D9F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93E4391"/>
    <w:multiLevelType w:val="hybridMultilevel"/>
    <w:tmpl w:val="886E48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953587B"/>
    <w:multiLevelType w:val="hybridMultilevel"/>
    <w:tmpl w:val="6E1A5628"/>
    <w:lvl w:ilvl="0" w:tplc="1AC44AA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C611F61"/>
    <w:multiLevelType w:val="hybridMultilevel"/>
    <w:tmpl w:val="EC96EC4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EC837FE"/>
    <w:multiLevelType w:val="hybridMultilevel"/>
    <w:tmpl w:val="A684A81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06F2525"/>
    <w:multiLevelType w:val="hybridMultilevel"/>
    <w:tmpl w:val="7B525F76"/>
    <w:lvl w:ilvl="0" w:tplc="38F0970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E7C4253"/>
    <w:multiLevelType w:val="hybridMultilevel"/>
    <w:tmpl w:val="7044657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36E57E3"/>
    <w:multiLevelType w:val="hybridMultilevel"/>
    <w:tmpl w:val="BCD60744"/>
    <w:lvl w:ilvl="0" w:tplc="1994818E">
      <w:start w:val="14"/>
      <w:numFmt w:val="lowerRoman"/>
      <w:lvlText w:val="%1."/>
      <w:lvlJc w:val="left"/>
      <w:pPr>
        <w:ind w:left="822" w:hanging="456"/>
      </w:pPr>
      <w:rPr>
        <w:rFonts w:ascii="Times New Roman" w:eastAsia="Times New Roman" w:hAnsi="Times New Roman" w:cs="Times New Roman" w:hint="default"/>
        <w:b/>
        <w:bCs/>
        <w:w w:val="100"/>
        <w:sz w:val="24"/>
        <w:szCs w:val="24"/>
        <w:lang w:val="es-ES" w:eastAsia="en-US" w:bidi="ar-SA"/>
      </w:rPr>
    </w:lvl>
    <w:lvl w:ilvl="1" w:tplc="BA98E76E">
      <w:numFmt w:val="bullet"/>
      <w:lvlText w:val="•"/>
      <w:lvlJc w:val="left"/>
      <w:pPr>
        <w:ind w:left="1644" w:hanging="456"/>
      </w:pPr>
      <w:rPr>
        <w:rFonts w:hint="default"/>
        <w:lang w:val="es-ES" w:eastAsia="en-US" w:bidi="ar-SA"/>
      </w:rPr>
    </w:lvl>
    <w:lvl w:ilvl="2" w:tplc="E4F631E6">
      <w:numFmt w:val="bullet"/>
      <w:lvlText w:val="•"/>
      <w:lvlJc w:val="left"/>
      <w:pPr>
        <w:ind w:left="2468" w:hanging="456"/>
      </w:pPr>
      <w:rPr>
        <w:rFonts w:hint="default"/>
        <w:lang w:val="es-ES" w:eastAsia="en-US" w:bidi="ar-SA"/>
      </w:rPr>
    </w:lvl>
    <w:lvl w:ilvl="3" w:tplc="C5BAE92E">
      <w:numFmt w:val="bullet"/>
      <w:lvlText w:val="•"/>
      <w:lvlJc w:val="left"/>
      <w:pPr>
        <w:ind w:left="3292" w:hanging="456"/>
      </w:pPr>
      <w:rPr>
        <w:rFonts w:hint="default"/>
        <w:lang w:val="es-ES" w:eastAsia="en-US" w:bidi="ar-SA"/>
      </w:rPr>
    </w:lvl>
    <w:lvl w:ilvl="4" w:tplc="0EA87E34">
      <w:numFmt w:val="bullet"/>
      <w:lvlText w:val="•"/>
      <w:lvlJc w:val="left"/>
      <w:pPr>
        <w:ind w:left="4116" w:hanging="456"/>
      </w:pPr>
      <w:rPr>
        <w:rFonts w:hint="default"/>
        <w:lang w:val="es-ES" w:eastAsia="en-US" w:bidi="ar-SA"/>
      </w:rPr>
    </w:lvl>
    <w:lvl w:ilvl="5" w:tplc="EDACA156">
      <w:numFmt w:val="bullet"/>
      <w:lvlText w:val="•"/>
      <w:lvlJc w:val="left"/>
      <w:pPr>
        <w:ind w:left="4940" w:hanging="456"/>
      </w:pPr>
      <w:rPr>
        <w:rFonts w:hint="default"/>
        <w:lang w:val="es-ES" w:eastAsia="en-US" w:bidi="ar-SA"/>
      </w:rPr>
    </w:lvl>
    <w:lvl w:ilvl="6" w:tplc="DE8C412E">
      <w:numFmt w:val="bullet"/>
      <w:lvlText w:val="•"/>
      <w:lvlJc w:val="left"/>
      <w:pPr>
        <w:ind w:left="5764" w:hanging="456"/>
      </w:pPr>
      <w:rPr>
        <w:rFonts w:hint="default"/>
        <w:lang w:val="es-ES" w:eastAsia="en-US" w:bidi="ar-SA"/>
      </w:rPr>
    </w:lvl>
    <w:lvl w:ilvl="7" w:tplc="0A42CF5C">
      <w:numFmt w:val="bullet"/>
      <w:lvlText w:val="•"/>
      <w:lvlJc w:val="left"/>
      <w:pPr>
        <w:ind w:left="6588" w:hanging="456"/>
      </w:pPr>
      <w:rPr>
        <w:rFonts w:hint="default"/>
        <w:lang w:val="es-ES" w:eastAsia="en-US" w:bidi="ar-SA"/>
      </w:rPr>
    </w:lvl>
    <w:lvl w:ilvl="8" w:tplc="B8CE5CFE">
      <w:numFmt w:val="bullet"/>
      <w:lvlText w:val="•"/>
      <w:lvlJc w:val="left"/>
      <w:pPr>
        <w:ind w:left="7412" w:hanging="456"/>
      </w:pPr>
      <w:rPr>
        <w:rFonts w:hint="default"/>
        <w:lang w:val="es-ES" w:eastAsia="en-US" w:bidi="ar-SA"/>
      </w:rPr>
    </w:lvl>
  </w:abstractNum>
  <w:abstractNum w:abstractNumId="18" w15:restartNumberingAfterBreak="0">
    <w:nsid w:val="5B0F2A63"/>
    <w:multiLevelType w:val="hybridMultilevel"/>
    <w:tmpl w:val="93245CCA"/>
    <w:lvl w:ilvl="0" w:tplc="03BA66E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D252240"/>
    <w:multiLevelType w:val="hybridMultilevel"/>
    <w:tmpl w:val="544E9586"/>
    <w:lvl w:ilvl="0" w:tplc="98D6E82E">
      <w:start w:val="1"/>
      <w:numFmt w:val="bullet"/>
      <w:lvlText w:val="-"/>
      <w:lvlJc w:val="left"/>
      <w:pPr>
        <w:tabs>
          <w:tab w:val="num" w:pos="720"/>
        </w:tabs>
        <w:ind w:left="720" w:hanging="360"/>
      </w:pPr>
      <w:rPr>
        <w:rFonts w:ascii="Times New Roman" w:hAnsi="Times New Roman" w:hint="default"/>
      </w:rPr>
    </w:lvl>
    <w:lvl w:ilvl="1" w:tplc="BEECF998" w:tentative="1">
      <w:start w:val="1"/>
      <w:numFmt w:val="bullet"/>
      <w:lvlText w:val="-"/>
      <w:lvlJc w:val="left"/>
      <w:pPr>
        <w:tabs>
          <w:tab w:val="num" w:pos="1440"/>
        </w:tabs>
        <w:ind w:left="1440" w:hanging="360"/>
      </w:pPr>
      <w:rPr>
        <w:rFonts w:ascii="Times New Roman" w:hAnsi="Times New Roman" w:hint="default"/>
      </w:rPr>
    </w:lvl>
    <w:lvl w:ilvl="2" w:tplc="E368B95A" w:tentative="1">
      <w:start w:val="1"/>
      <w:numFmt w:val="bullet"/>
      <w:lvlText w:val="-"/>
      <w:lvlJc w:val="left"/>
      <w:pPr>
        <w:tabs>
          <w:tab w:val="num" w:pos="2160"/>
        </w:tabs>
        <w:ind w:left="2160" w:hanging="360"/>
      </w:pPr>
      <w:rPr>
        <w:rFonts w:ascii="Times New Roman" w:hAnsi="Times New Roman" w:hint="default"/>
      </w:rPr>
    </w:lvl>
    <w:lvl w:ilvl="3" w:tplc="247E65C6" w:tentative="1">
      <w:start w:val="1"/>
      <w:numFmt w:val="bullet"/>
      <w:lvlText w:val="-"/>
      <w:lvlJc w:val="left"/>
      <w:pPr>
        <w:tabs>
          <w:tab w:val="num" w:pos="2880"/>
        </w:tabs>
        <w:ind w:left="2880" w:hanging="360"/>
      </w:pPr>
      <w:rPr>
        <w:rFonts w:ascii="Times New Roman" w:hAnsi="Times New Roman" w:hint="default"/>
      </w:rPr>
    </w:lvl>
    <w:lvl w:ilvl="4" w:tplc="E3CA448E" w:tentative="1">
      <w:start w:val="1"/>
      <w:numFmt w:val="bullet"/>
      <w:lvlText w:val="-"/>
      <w:lvlJc w:val="left"/>
      <w:pPr>
        <w:tabs>
          <w:tab w:val="num" w:pos="3600"/>
        </w:tabs>
        <w:ind w:left="3600" w:hanging="360"/>
      </w:pPr>
      <w:rPr>
        <w:rFonts w:ascii="Times New Roman" w:hAnsi="Times New Roman" w:hint="default"/>
      </w:rPr>
    </w:lvl>
    <w:lvl w:ilvl="5" w:tplc="76F63294" w:tentative="1">
      <w:start w:val="1"/>
      <w:numFmt w:val="bullet"/>
      <w:lvlText w:val="-"/>
      <w:lvlJc w:val="left"/>
      <w:pPr>
        <w:tabs>
          <w:tab w:val="num" w:pos="4320"/>
        </w:tabs>
        <w:ind w:left="4320" w:hanging="360"/>
      </w:pPr>
      <w:rPr>
        <w:rFonts w:ascii="Times New Roman" w:hAnsi="Times New Roman" w:hint="default"/>
      </w:rPr>
    </w:lvl>
    <w:lvl w:ilvl="6" w:tplc="A0DEDD22" w:tentative="1">
      <w:start w:val="1"/>
      <w:numFmt w:val="bullet"/>
      <w:lvlText w:val="-"/>
      <w:lvlJc w:val="left"/>
      <w:pPr>
        <w:tabs>
          <w:tab w:val="num" w:pos="5040"/>
        </w:tabs>
        <w:ind w:left="5040" w:hanging="360"/>
      </w:pPr>
      <w:rPr>
        <w:rFonts w:ascii="Times New Roman" w:hAnsi="Times New Roman" w:hint="default"/>
      </w:rPr>
    </w:lvl>
    <w:lvl w:ilvl="7" w:tplc="1D9EA13E" w:tentative="1">
      <w:start w:val="1"/>
      <w:numFmt w:val="bullet"/>
      <w:lvlText w:val="-"/>
      <w:lvlJc w:val="left"/>
      <w:pPr>
        <w:tabs>
          <w:tab w:val="num" w:pos="5760"/>
        </w:tabs>
        <w:ind w:left="5760" w:hanging="360"/>
      </w:pPr>
      <w:rPr>
        <w:rFonts w:ascii="Times New Roman" w:hAnsi="Times New Roman" w:hint="default"/>
      </w:rPr>
    </w:lvl>
    <w:lvl w:ilvl="8" w:tplc="435EBE1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EE66D14"/>
    <w:multiLevelType w:val="hybridMultilevel"/>
    <w:tmpl w:val="DEFE7B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60AE4892"/>
    <w:multiLevelType w:val="hybridMultilevel"/>
    <w:tmpl w:val="AA16BF16"/>
    <w:lvl w:ilvl="0" w:tplc="2BE2DD7A">
      <w:start w:val="2"/>
      <w:numFmt w:val="decimal"/>
      <w:lvlText w:val="%1."/>
      <w:lvlJc w:val="left"/>
      <w:pPr>
        <w:ind w:left="822" w:hanging="360"/>
      </w:pPr>
      <w:rPr>
        <w:rFonts w:ascii="Times New Roman" w:eastAsia="Times New Roman" w:hAnsi="Times New Roman" w:cs="Times New Roman" w:hint="default"/>
        <w:w w:val="100"/>
        <w:sz w:val="24"/>
        <w:szCs w:val="24"/>
        <w:lang w:val="es-ES" w:eastAsia="en-US" w:bidi="ar-SA"/>
      </w:rPr>
    </w:lvl>
    <w:lvl w:ilvl="1" w:tplc="343AEC1E">
      <w:start w:val="1"/>
      <w:numFmt w:val="lowerLetter"/>
      <w:lvlText w:val="%2."/>
      <w:lvlJc w:val="left"/>
      <w:pPr>
        <w:ind w:left="1182" w:hanging="360"/>
      </w:pPr>
      <w:rPr>
        <w:rFonts w:ascii="Times New Roman" w:eastAsia="Times New Roman" w:hAnsi="Times New Roman" w:cs="Times New Roman" w:hint="default"/>
        <w:spacing w:val="-1"/>
        <w:w w:val="100"/>
        <w:sz w:val="24"/>
        <w:szCs w:val="24"/>
        <w:lang w:val="es-ES" w:eastAsia="en-US" w:bidi="ar-SA"/>
      </w:rPr>
    </w:lvl>
    <w:lvl w:ilvl="2" w:tplc="F2460B6C">
      <w:numFmt w:val="bullet"/>
      <w:lvlText w:val="•"/>
      <w:lvlJc w:val="left"/>
      <w:pPr>
        <w:ind w:left="2055" w:hanging="360"/>
      </w:pPr>
      <w:rPr>
        <w:rFonts w:hint="default"/>
        <w:lang w:val="es-ES" w:eastAsia="en-US" w:bidi="ar-SA"/>
      </w:rPr>
    </w:lvl>
    <w:lvl w:ilvl="3" w:tplc="AED81DF4">
      <w:numFmt w:val="bullet"/>
      <w:lvlText w:val="•"/>
      <w:lvlJc w:val="left"/>
      <w:pPr>
        <w:ind w:left="2931" w:hanging="360"/>
      </w:pPr>
      <w:rPr>
        <w:rFonts w:hint="default"/>
        <w:lang w:val="es-ES" w:eastAsia="en-US" w:bidi="ar-SA"/>
      </w:rPr>
    </w:lvl>
    <w:lvl w:ilvl="4" w:tplc="6FF2F0B6">
      <w:numFmt w:val="bullet"/>
      <w:lvlText w:val="•"/>
      <w:lvlJc w:val="left"/>
      <w:pPr>
        <w:ind w:left="3806" w:hanging="360"/>
      </w:pPr>
      <w:rPr>
        <w:rFonts w:hint="default"/>
        <w:lang w:val="es-ES" w:eastAsia="en-US" w:bidi="ar-SA"/>
      </w:rPr>
    </w:lvl>
    <w:lvl w:ilvl="5" w:tplc="1FD6C950">
      <w:numFmt w:val="bullet"/>
      <w:lvlText w:val="•"/>
      <w:lvlJc w:val="left"/>
      <w:pPr>
        <w:ind w:left="4682" w:hanging="360"/>
      </w:pPr>
      <w:rPr>
        <w:rFonts w:hint="default"/>
        <w:lang w:val="es-ES" w:eastAsia="en-US" w:bidi="ar-SA"/>
      </w:rPr>
    </w:lvl>
    <w:lvl w:ilvl="6" w:tplc="9476F3FE">
      <w:numFmt w:val="bullet"/>
      <w:lvlText w:val="•"/>
      <w:lvlJc w:val="left"/>
      <w:pPr>
        <w:ind w:left="5557" w:hanging="360"/>
      </w:pPr>
      <w:rPr>
        <w:rFonts w:hint="default"/>
        <w:lang w:val="es-ES" w:eastAsia="en-US" w:bidi="ar-SA"/>
      </w:rPr>
    </w:lvl>
    <w:lvl w:ilvl="7" w:tplc="E4F05A48">
      <w:numFmt w:val="bullet"/>
      <w:lvlText w:val="•"/>
      <w:lvlJc w:val="left"/>
      <w:pPr>
        <w:ind w:left="6433" w:hanging="360"/>
      </w:pPr>
      <w:rPr>
        <w:rFonts w:hint="default"/>
        <w:lang w:val="es-ES" w:eastAsia="en-US" w:bidi="ar-SA"/>
      </w:rPr>
    </w:lvl>
    <w:lvl w:ilvl="8" w:tplc="DAF2EFEA">
      <w:numFmt w:val="bullet"/>
      <w:lvlText w:val="•"/>
      <w:lvlJc w:val="left"/>
      <w:pPr>
        <w:ind w:left="7308" w:hanging="360"/>
      </w:pPr>
      <w:rPr>
        <w:rFonts w:hint="default"/>
        <w:lang w:val="es-ES" w:eastAsia="en-US" w:bidi="ar-SA"/>
      </w:rPr>
    </w:lvl>
  </w:abstractNum>
  <w:abstractNum w:abstractNumId="22" w15:restartNumberingAfterBreak="0">
    <w:nsid w:val="626E6865"/>
    <w:multiLevelType w:val="hybridMultilevel"/>
    <w:tmpl w:val="14508E1E"/>
    <w:lvl w:ilvl="0" w:tplc="D584D68A">
      <w:start w:val="2"/>
      <w:numFmt w:val="lowerLetter"/>
      <w:lvlText w:val="%1."/>
      <w:lvlJc w:val="left"/>
      <w:pPr>
        <w:ind w:left="462" w:hanging="360"/>
      </w:pPr>
      <w:rPr>
        <w:rFonts w:hint="default"/>
      </w:rPr>
    </w:lvl>
    <w:lvl w:ilvl="1" w:tplc="140A0019" w:tentative="1">
      <w:start w:val="1"/>
      <w:numFmt w:val="lowerLetter"/>
      <w:lvlText w:val="%2."/>
      <w:lvlJc w:val="left"/>
      <w:pPr>
        <w:ind w:left="1182" w:hanging="360"/>
      </w:pPr>
    </w:lvl>
    <w:lvl w:ilvl="2" w:tplc="140A001B" w:tentative="1">
      <w:start w:val="1"/>
      <w:numFmt w:val="lowerRoman"/>
      <w:lvlText w:val="%3."/>
      <w:lvlJc w:val="right"/>
      <w:pPr>
        <w:ind w:left="1902" w:hanging="180"/>
      </w:pPr>
    </w:lvl>
    <w:lvl w:ilvl="3" w:tplc="140A000F" w:tentative="1">
      <w:start w:val="1"/>
      <w:numFmt w:val="decimal"/>
      <w:lvlText w:val="%4."/>
      <w:lvlJc w:val="left"/>
      <w:pPr>
        <w:ind w:left="2622" w:hanging="360"/>
      </w:pPr>
    </w:lvl>
    <w:lvl w:ilvl="4" w:tplc="140A0019" w:tentative="1">
      <w:start w:val="1"/>
      <w:numFmt w:val="lowerLetter"/>
      <w:lvlText w:val="%5."/>
      <w:lvlJc w:val="left"/>
      <w:pPr>
        <w:ind w:left="3342" w:hanging="360"/>
      </w:pPr>
    </w:lvl>
    <w:lvl w:ilvl="5" w:tplc="140A001B" w:tentative="1">
      <w:start w:val="1"/>
      <w:numFmt w:val="lowerRoman"/>
      <w:lvlText w:val="%6."/>
      <w:lvlJc w:val="right"/>
      <w:pPr>
        <w:ind w:left="4062" w:hanging="180"/>
      </w:pPr>
    </w:lvl>
    <w:lvl w:ilvl="6" w:tplc="140A000F" w:tentative="1">
      <w:start w:val="1"/>
      <w:numFmt w:val="decimal"/>
      <w:lvlText w:val="%7."/>
      <w:lvlJc w:val="left"/>
      <w:pPr>
        <w:ind w:left="4782" w:hanging="360"/>
      </w:pPr>
    </w:lvl>
    <w:lvl w:ilvl="7" w:tplc="140A0019" w:tentative="1">
      <w:start w:val="1"/>
      <w:numFmt w:val="lowerLetter"/>
      <w:lvlText w:val="%8."/>
      <w:lvlJc w:val="left"/>
      <w:pPr>
        <w:ind w:left="5502" w:hanging="360"/>
      </w:pPr>
    </w:lvl>
    <w:lvl w:ilvl="8" w:tplc="140A001B" w:tentative="1">
      <w:start w:val="1"/>
      <w:numFmt w:val="lowerRoman"/>
      <w:lvlText w:val="%9."/>
      <w:lvlJc w:val="right"/>
      <w:pPr>
        <w:ind w:left="6222" w:hanging="180"/>
      </w:pPr>
    </w:lvl>
  </w:abstractNum>
  <w:abstractNum w:abstractNumId="23" w15:restartNumberingAfterBreak="0">
    <w:nsid w:val="63EC127E"/>
    <w:multiLevelType w:val="hybridMultilevel"/>
    <w:tmpl w:val="060A130A"/>
    <w:lvl w:ilvl="0" w:tplc="55A65B8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AC44299"/>
    <w:multiLevelType w:val="hybridMultilevel"/>
    <w:tmpl w:val="BF6663F8"/>
    <w:lvl w:ilvl="0" w:tplc="140A000F">
      <w:start w:val="1"/>
      <w:numFmt w:val="decimal"/>
      <w:lvlText w:val="%1."/>
      <w:lvlJc w:val="left"/>
      <w:pPr>
        <w:ind w:left="827" w:hanging="360"/>
      </w:pPr>
    </w:lvl>
    <w:lvl w:ilvl="1" w:tplc="140A0019" w:tentative="1">
      <w:start w:val="1"/>
      <w:numFmt w:val="lowerLetter"/>
      <w:lvlText w:val="%2."/>
      <w:lvlJc w:val="left"/>
      <w:pPr>
        <w:ind w:left="1547" w:hanging="360"/>
      </w:pPr>
    </w:lvl>
    <w:lvl w:ilvl="2" w:tplc="140A001B" w:tentative="1">
      <w:start w:val="1"/>
      <w:numFmt w:val="lowerRoman"/>
      <w:lvlText w:val="%3."/>
      <w:lvlJc w:val="right"/>
      <w:pPr>
        <w:ind w:left="2267" w:hanging="180"/>
      </w:pPr>
    </w:lvl>
    <w:lvl w:ilvl="3" w:tplc="140A000F" w:tentative="1">
      <w:start w:val="1"/>
      <w:numFmt w:val="decimal"/>
      <w:lvlText w:val="%4."/>
      <w:lvlJc w:val="left"/>
      <w:pPr>
        <w:ind w:left="2987" w:hanging="360"/>
      </w:pPr>
    </w:lvl>
    <w:lvl w:ilvl="4" w:tplc="140A0019" w:tentative="1">
      <w:start w:val="1"/>
      <w:numFmt w:val="lowerLetter"/>
      <w:lvlText w:val="%5."/>
      <w:lvlJc w:val="left"/>
      <w:pPr>
        <w:ind w:left="3707" w:hanging="360"/>
      </w:pPr>
    </w:lvl>
    <w:lvl w:ilvl="5" w:tplc="140A001B" w:tentative="1">
      <w:start w:val="1"/>
      <w:numFmt w:val="lowerRoman"/>
      <w:lvlText w:val="%6."/>
      <w:lvlJc w:val="right"/>
      <w:pPr>
        <w:ind w:left="4427" w:hanging="180"/>
      </w:pPr>
    </w:lvl>
    <w:lvl w:ilvl="6" w:tplc="140A000F" w:tentative="1">
      <w:start w:val="1"/>
      <w:numFmt w:val="decimal"/>
      <w:lvlText w:val="%7."/>
      <w:lvlJc w:val="left"/>
      <w:pPr>
        <w:ind w:left="5147" w:hanging="360"/>
      </w:pPr>
    </w:lvl>
    <w:lvl w:ilvl="7" w:tplc="140A0019" w:tentative="1">
      <w:start w:val="1"/>
      <w:numFmt w:val="lowerLetter"/>
      <w:lvlText w:val="%8."/>
      <w:lvlJc w:val="left"/>
      <w:pPr>
        <w:ind w:left="5867" w:hanging="360"/>
      </w:pPr>
    </w:lvl>
    <w:lvl w:ilvl="8" w:tplc="140A001B" w:tentative="1">
      <w:start w:val="1"/>
      <w:numFmt w:val="lowerRoman"/>
      <w:lvlText w:val="%9."/>
      <w:lvlJc w:val="right"/>
      <w:pPr>
        <w:ind w:left="6587" w:hanging="180"/>
      </w:pPr>
    </w:lvl>
  </w:abstractNum>
  <w:abstractNum w:abstractNumId="25" w15:restartNumberingAfterBreak="0">
    <w:nsid w:val="783B4BFE"/>
    <w:multiLevelType w:val="hybridMultilevel"/>
    <w:tmpl w:val="1C58D01E"/>
    <w:lvl w:ilvl="0" w:tplc="92541B2A">
      <w:start w:val="1"/>
      <w:numFmt w:val="lowerRoman"/>
      <w:lvlText w:val="%1)"/>
      <w:lvlJc w:val="left"/>
      <w:pPr>
        <w:ind w:left="1518" w:hanging="708"/>
      </w:pPr>
      <w:rPr>
        <w:rFonts w:ascii="Times New Roman" w:eastAsia="Times New Roman" w:hAnsi="Times New Roman" w:cs="Times New Roman" w:hint="default"/>
        <w:b/>
        <w:bCs/>
        <w:w w:val="99"/>
        <w:sz w:val="24"/>
        <w:szCs w:val="24"/>
        <w:lang w:val="es-ES" w:eastAsia="en-US" w:bidi="ar-SA"/>
      </w:rPr>
    </w:lvl>
    <w:lvl w:ilvl="1" w:tplc="5D5633E4">
      <w:numFmt w:val="bullet"/>
      <w:lvlText w:val="•"/>
      <w:lvlJc w:val="left"/>
      <w:pPr>
        <w:ind w:left="2274" w:hanging="708"/>
      </w:pPr>
      <w:rPr>
        <w:rFonts w:hint="default"/>
        <w:lang w:val="es-ES" w:eastAsia="en-US" w:bidi="ar-SA"/>
      </w:rPr>
    </w:lvl>
    <w:lvl w:ilvl="2" w:tplc="19CE7108">
      <w:numFmt w:val="bullet"/>
      <w:lvlText w:val="•"/>
      <w:lvlJc w:val="left"/>
      <w:pPr>
        <w:ind w:left="3028" w:hanging="708"/>
      </w:pPr>
      <w:rPr>
        <w:rFonts w:hint="default"/>
        <w:lang w:val="es-ES" w:eastAsia="en-US" w:bidi="ar-SA"/>
      </w:rPr>
    </w:lvl>
    <w:lvl w:ilvl="3" w:tplc="B044998A">
      <w:numFmt w:val="bullet"/>
      <w:lvlText w:val="•"/>
      <w:lvlJc w:val="left"/>
      <w:pPr>
        <w:ind w:left="3782" w:hanging="708"/>
      </w:pPr>
      <w:rPr>
        <w:rFonts w:hint="default"/>
        <w:lang w:val="es-ES" w:eastAsia="en-US" w:bidi="ar-SA"/>
      </w:rPr>
    </w:lvl>
    <w:lvl w:ilvl="4" w:tplc="A860EBCC">
      <w:numFmt w:val="bullet"/>
      <w:lvlText w:val="•"/>
      <w:lvlJc w:val="left"/>
      <w:pPr>
        <w:ind w:left="4536" w:hanging="708"/>
      </w:pPr>
      <w:rPr>
        <w:rFonts w:hint="default"/>
        <w:lang w:val="es-ES" w:eastAsia="en-US" w:bidi="ar-SA"/>
      </w:rPr>
    </w:lvl>
    <w:lvl w:ilvl="5" w:tplc="88F0EFFA">
      <w:numFmt w:val="bullet"/>
      <w:lvlText w:val="•"/>
      <w:lvlJc w:val="left"/>
      <w:pPr>
        <w:ind w:left="5290" w:hanging="708"/>
      </w:pPr>
      <w:rPr>
        <w:rFonts w:hint="default"/>
        <w:lang w:val="es-ES" w:eastAsia="en-US" w:bidi="ar-SA"/>
      </w:rPr>
    </w:lvl>
    <w:lvl w:ilvl="6" w:tplc="0DAA8174">
      <w:numFmt w:val="bullet"/>
      <w:lvlText w:val="•"/>
      <w:lvlJc w:val="left"/>
      <w:pPr>
        <w:ind w:left="6044" w:hanging="708"/>
      </w:pPr>
      <w:rPr>
        <w:rFonts w:hint="default"/>
        <w:lang w:val="es-ES" w:eastAsia="en-US" w:bidi="ar-SA"/>
      </w:rPr>
    </w:lvl>
    <w:lvl w:ilvl="7" w:tplc="D16A5A76">
      <w:numFmt w:val="bullet"/>
      <w:lvlText w:val="•"/>
      <w:lvlJc w:val="left"/>
      <w:pPr>
        <w:ind w:left="6798" w:hanging="708"/>
      </w:pPr>
      <w:rPr>
        <w:rFonts w:hint="default"/>
        <w:lang w:val="es-ES" w:eastAsia="en-US" w:bidi="ar-SA"/>
      </w:rPr>
    </w:lvl>
    <w:lvl w:ilvl="8" w:tplc="E676E910">
      <w:numFmt w:val="bullet"/>
      <w:lvlText w:val="•"/>
      <w:lvlJc w:val="left"/>
      <w:pPr>
        <w:ind w:left="7552" w:hanging="708"/>
      </w:pPr>
      <w:rPr>
        <w:rFonts w:hint="default"/>
        <w:lang w:val="es-ES" w:eastAsia="en-US" w:bidi="ar-SA"/>
      </w:rPr>
    </w:lvl>
  </w:abstractNum>
  <w:abstractNum w:abstractNumId="26" w15:restartNumberingAfterBreak="0">
    <w:nsid w:val="7A3B002C"/>
    <w:multiLevelType w:val="hybridMultilevel"/>
    <w:tmpl w:val="9822C7F6"/>
    <w:lvl w:ilvl="0" w:tplc="AB64A106">
      <w:start w:val="1"/>
      <w:numFmt w:val="lowerRoman"/>
      <w:lvlText w:val="%1."/>
      <w:lvlJc w:val="left"/>
      <w:pPr>
        <w:ind w:left="1070" w:hanging="71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16cid:durableId="484979227">
    <w:abstractNumId w:val="6"/>
  </w:num>
  <w:num w:numId="2" w16cid:durableId="1909337140">
    <w:abstractNumId w:val="22"/>
  </w:num>
  <w:num w:numId="3" w16cid:durableId="890771216">
    <w:abstractNumId w:val="7"/>
  </w:num>
  <w:num w:numId="4" w16cid:durableId="50353161">
    <w:abstractNumId w:val="21"/>
  </w:num>
  <w:num w:numId="5" w16cid:durableId="1584530161">
    <w:abstractNumId w:val="17"/>
  </w:num>
  <w:num w:numId="6" w16cid:durableId="1792896514">
    <w:abstractNumId w:val="25"/>
  </w:num>
  <w:num w:numId="7" w16cid:durableId="1766533393">
    <w:abstractNumId w:val="8"/>
  </w:num>
  <w:num w:numId="8" w16cid:durableId="431828259">
    <w:abstractNumId w:val="9"/>
  </w:num>
  <w:num w:numId="9" w16cid:durableId="2064937284">
    <w:abstractNumId w:val="23"/>
  </w:num>
  <w:num w:numId="10" w16cid:durableId="1815947760">
    <w:abstractNumId w:val="3"/>
  </w:num>
  <w:num w:numId="11" w16cid:durableId="628126908">
    <w:abstractNumId w:val="15"/>
  </w:num>
  <w:num w:numId="12" w16cid:durableId="66340597">
    <w:abstractNumId w:val="18"/>
  </w:num>
  <w:num w:numId="13" w16cid:durableId="1331447073">
    <w:abstractNumId w:val="10"/>
  </w:num>
  <w:num w:numId="14" w16cid:durableId="1183858281">
    <w:abstractNumId w:val="1"/>
  </w:num>
  <w:num w:numId="15" w16cid:durableId="365954244">
    <w:abstractNumId w:val="16"/>
  </w:num>
  <w:num w:numId="16" w16cid:durableId="139737768">
    <w:abstractNumId w:val="11"/>
  </w:num>
  <w:num w:numId="17" w16cid:durableId="296960949">
    <w:abstractNumId w:val="0"/>
  </w:num>
  <w:num w:numId="18" w16cid:durableId="1132819612">
    <w:abstractNumId w:val="12"/>
  </w:num>
  <w:num w:numId="19" w16cid:durableId="1921937188">
    <w:abstractNumId w:val="14"/>
  </w:num>
  <w:num w:numId="20" w16cid:durableId="14654651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13604455">
    <w:abstractNumId w:val="2"/>
  </w:num>
  <w:num w:numId="22" w16cid:durableId="1566138149">
    <w:abstractNumId w:val="20"/>
  </w:num>
  <w:num w:numId="23" w16cid:durableId="984578738">
    <w:abstractNumId w:val="4"/>
  </w:num>
  <w:num w:numId="24" w16cid:durableId="673801027">
    <w:abstractNumId w:val="5"/>
  </w:num>
  <w:num w:numId="25" w16cid:durableId="276910096">
    <w:abstractNumId w:val="13"/>
  </w:num>
  <w:num w:numId="26" w16cid:durableId="1429155791">
    <w:abstractNumId w:val="19"/>
  </w:num>
  <w:num w:numId="27" w16cid:durableId="100882777">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09"/>
  <w:hyphenationZone w:val="425"/>
  <w:characterSpacingControl w:val="doNotCompress"/>
  <w:hdrShapeDefaults>
    <o:shapedefaults v:ext="edit" spidmax="206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8A2"/>
    <w:rsid w:val="00001486"/>
    <w:rsid w:val="0000168E"/>
    <w:rsid w:val="00001B3B"/>
    <w:rsid w:val="00001CED"/>
    <w:rsid w:val="00002304"/>
    <w:rsid w:val="0000393E"/>
    <w:rsid w:val="0000454C"/>
    <w:rsid w:val="0000741C"/>
    <w:rsid w:val="0000757A"/>
    <w:rsid w:val="00007C69"/>
    <w:rsid w:val="00007C8A"/>
    <w:rsid w:val="00010D49"/>
    <w:rsid w:val="000111B4"/>
    <w:rsid w:val="0001135E"/>
    <w:rsid w:val="000119FF"/>
    <w:rsid w:val="000124EF"/>
    <w:rsid w:val="00015EE8"/>
    <w:rsid w:val="00015FA9"/>
    <w:rsid w:val="0001683B"/>
    <w:rsid w:val="000201A0"/>
    <w:rsid w:val="0002192A"/>
    <w:rsid w:val="00022B6B"/>
    <w:rsid w:val="00022E7B"/>
    <w:rsid w:val="00023D22"/>
    <w:rsid w:val="000242B5"/>
    <w:rsid w:val="00024A9D"/>
    <w:rsid w:val="000259E6"/>
    <w:rsid w:val="00030CD2"/>
    <w:rsid w:val="00030E7A"/>
    <w:rsid w:val="00033168"/>
    <w:rsid w:val="0003340C"/>
    <w:rsid w:val="0003403D"/>
    <w:rsid w:val="00035333"/>
    <w:rsid w:val="00035A39"/>
    <w:rsid w:val="0003606D"/>
    <w:rsid w:val="00036A78"/>
    <w:rsid w:val="000376D7"/>
    <w:rsid w:val="00037EB1"/>
    <w:rsid w:val="00037FF1"/>
    <w:rsid w:val="000400DB"/>
    <w:rsid w:val="000403ED"/>
    <w:rsid w:val="000405D7"/>
    <w:rsid w:val="00040C35"/>
    <w:rsid w:val="00040ED3"/>
    <w:rsid w:val="00041C30"/>
    <w:rsid w:val="00043309"/>
    <w:rsid w:val="00043B35"/>
    <w:rsid w:val="00043FFF"/>
    <w:rsid w:val="0004432B"/>
    <w:rsid w:val="000443FD"/>
    <w:rsid w:val="00044426"/>
    <w:rsid w:val="00046011"/>
    <w:rsid w:val="00047972"/>
    <w:rsid w:val="00053518"/>
    <w:rsid w:val="0005400A"/>
    <w:rsid w:val="000547E1"/>
    <w:rsid w:val="00054DCB"/>
    <w:rsid w:val="0005584A"/>
    <w:rsid w:val="00056163"/>
    <w:rsid w:val="0005744B"/>
    <w:rsid w:val="00060E7C"/>
    <w:rsid w:val="00060F7F"/>
    <w:rsid w:val="000612BD"/>
    <w:rsid w:val="00061CC2"/>
    <w:rsid w:val="0006236D"/>
    <w:rsid w:val="00064451"/>
    <w:rsid w:val="00065208"/>
    <w:rsid w:val="00066D77"/>
    <w:rsid w:val="00066DC0"/>
    <w:rsid w:val="000677B9"/>
    <w:rsid w:val="000705CB"/>
    <w:rsid w:val="00070D31"/>
    <w:rsid w:val="00070D6B"/>
    <w:rsid w:val="00070FBF"/>
    <w:rsid w:val="000711B1"/>
    <w:rsid w:val="0007127F"/>
    <w:rsid w:val="00071629"/>
    <w:rsid w:val="00071824"/>
    <w:rsid w:val="000725C9"/>
    <w:rsid w:val="00072652"/>
    <w:rsid w:val="00073141"/>
    <w:rsid w:val="000738C4"/>
    <w:rsid w:val="0008138E"/>
    <w:rsid w:val="00082B9A"/>
    <w:rsid w:val="00082EC9"/>
    <w:rsid w:val="00083652"/>
    <w:rsid w:val="00083757"/>
    <w:rsid w:val="00084B45"/>
    <w:rsid w:val="00084CCA"/>
    <w:rsid w:val="00085198"/>
    <w:rsid w:val="0008554C"/>
    <w:rsid w:val="00086C8C"/>
    <w:rsid w:val="00087173"/>
    <w:rsid w:val="00092FBE"/>
    <w:rsid w:val="0009491C"/>
    <w:rsid w:val="0009707B"/>
    <w:rsid w:val="000976CD"/>
    <w:rsid w:val="00097BE7"/>
    <w:rsid w:val="000A00D2"/>
    <w:rsid w:val="000A0F83"/>
    <w:rsid w:val="000A1A90"/>
    <w:rsid w:val="000A1C06"/>
    <w:rsid w:val="000A219B"/>
    <w:rsid w:val="000A268E"/>
    <w:rsid w:val="000A2E30"/>
    <w:rsid w:val="000A4332"/>
    <w:rsid w:val="000A5FC4"/>
    <w:rsid w:val="000A60A2"/>
    <w:rsid w:val="000A63C2"/>
    <w:rsid w:val="000A64EF"/>
    <w:rsid w:val="000A6AC0"/>
    <w:rsid w:val="000A6D2F"/>
    <w:rsid w:val="000A76A3"/>
    <w:rsid w:val="000B2CBF"/>
    <w:rsid w:val="000B2D08"/>
    <w:rsid w:val="000B452B"/>
    <w:rsid w:val="000B4D7E"/>
    <w:rsid w:val="000B4F4A"/>
    <w:rsid w:val="000B5B7F"/>
    <w:rsid w:val="000B5CF2"/>
    <w:rsid w:val="000B60C4"/>
    <w:rsid w:val="000B648C"/>
    <w:rsid w:val="000B768F"/>
    <w:rsid w:val="000C1DD2"/>
    <w:rsid w:val="000C2B1B"/>
    <w:rsid w:val="000C2D7F"/>
    <w:rsid w:val="000C31C6"/>
    <w:rsid w:val="000C3A30"/>
    <w:rsid w:val="000C53DF"/>
    <w:rsid w:val="000C5581"/>
    <w:rsid w:val="000C6110"/>
    <w:rsid w:val="000C64D2"/>
    <w:rsid w:val="000C6C1F"/>
    <w:rsid w:val="000C6FA3"/>
    <w:rsid w:val="000D00D8"/>
    <w:rsid w:val="000D0D1D"/>
    <w:rsid w:val="000D1711"/>
    <w:rsid w:val="000D1DDA"/>
    <w:rsid w:val="000D2119"/>
    <w:rsid w:val="000D2CF6"/>
    <w:rsid w:val="000D365F"/>
    <w:rsid w:val="000D3E7E"/>
    <w:rsid w:val="000D54C2"/>
    <w:rsid w:val="000D5FEE"/>
    <w:rsid w:val="000D6797"/>
    <w:rsid w:val="000D70F4"/>
    <w:rsid w:val="000D72D4"/>
    <w:rsid w:val="000D736B"/>
    <w:rsid w:val="000D77D8"/>
    <w:rsid w:val="000D7865"/>
    <w:rsid w:val="000D7F74"/>
    <w:rsid w:val="000E25DD"/>
    <w:rsid w:val="000E362C"/>
    <w:rsid w:val="000E3E7A"/>
    <w:rsid w:val="000E4F22"/>
    <w:rsid w:val="000E509A"/>
    <w:rsid w:val="000E5A5F"/>
    <w:rsid w:val="000E737A"/>
    <w:rsid w:val="000E7804"/>
    <w:rsid w:val="000E7DB4"/>
    <w:rsid w:val="000F1154"/>
    <w:rsid w:val="000F164B"/>
    <w:rsid w:val="000F19DE"/>
    <w:rsid w:val="000F2467"/>
    <w:rsid w:val="000F2C8D"/>
    <w:rsid w:val="000F4068"/>
    <w:rsid w:val="000F44E6"/>
    <w:rsid w:val="000F4513"/>
    <w:rsid w:val="000F4DA5"/>
    <w:rsid w:val="000F6270"/>
    <w:rsid w:val="000F652B"/>
    <w:rsid w:val="000F66B6"/>
    <w:rsid w:val="000F72B7"/>
    <w:rsid w:val="000F762B"/>
    <w:rsid w:val="000F7AF8"/>
    <w:rsid w:val="000F7BB0"/>
    <w:rsid w:val="001003ED"/>
    <w:rsid w:val="0010108B"/>
    <w:rsid w:val="001017C4"/>
    <w:rsid w:val="00103213"/>
    <w:rsid w:val="00104B0F"/>
    <w:rsid w:val="001058A7"/>
    <w:rsid w:val="00105AB4"/>
    <w:rsid w:val="00106BE4"/>
    <w:rsid w:val="00106F2B"/>
    <w:rsid w:val="0010717A"/>
    <w:rsid w:val="0010721D"/>
    <w:rsid w:val="001075EF"/>
    <w:rsid w:val="00110BAA"/>
    <w:rsid w:val="0011188D"/>
    <w:rsid w:val="00111CD7"/>
    <w:rsid w:val="00111ECB"/>
    <w:rsid w:val="001147A9"/>
    <w:rsid w:val="00114892"/>
    <w:rsid w:val="00115149"/>
    <w:rsid w:val="00115587"/>
    <w:rsid w:val="00115802"/>
    <w:rsid w:val="00115857"/>
    <w:rsid w:val="00116013"/>
    <w:rsid w:val="00117105"/>
    <w:rsid w:val="00117E3A"/>
    <w:rsid w:val="00120194"/>
    <w:rsid w:val="00120F05"/>
    <w:rsid w:val="00121006"/>
    <w:rsid w:val="00121C6E"/>
    <w:rsid w:val="001230BC"/>
    <w:rsid w:val="0012363E"/>
    <w:rsid w:val="001248E9"/>
    <w:rsid w:val="00124DCD"/>
    <w:rsid w:val="0012628E"/>
    <w:rsid w:val="00130014"/>
    <w:rsid w:val="00130E5D"/>
    <w:rsid w:val="001320BC"/>
    <w:rsid w:val="0013277A"/>
    <w:rsid w:val="00132DFC"/>
    <w:rsid w:val="00133179"/>
    <w:rsid w:val="00133471"/>
    <w:rsid w:val="001349CF"/>
    <w:rsid w:val="00134B35"/>
    <w:rsid w:val="00134E4A"/>
    <w:rsid w:val="00135227"/>
    <w:rsid w:val="00135932"/>
    <w:rsid w:val="00136A50"/>
    <w:rsid w:val="001375CC"/>
    <w:rsid w:val="001422D2"/>
    <w:rsid w:val="0014272B"/>
    <w:rsid w:val="001429F2"/>
    <w:rsid w:val="00142CA1"/>
    <w:rsid w:val="00142DA3"/>
    <w:rsid w:val="001430AF"/>
    <w:rsid w:val="001432BE"/>
    <w:rsid w:val="001433FD"/>
    <w:rsid w:val="001441BE"/>
    <w:rsid w:val="001447BB"/>
    <w:rsid w:val="00144D03"/>
    <w:rsid w:val="00145646"/>
    <w:rsid w:val="001458D2"/>
    <w:rsid w:val="00145F87"/>
    <w:rsid w:val="00145FE5"/>
    <w:rsid w:val="00146338"/>
    <w:rsid w:val="001468C0"/>
    <w:rsid w:val="00146937"/>
    <w:rsid w:val="0015116E"/>
    <w:rsid w:val="00151730"/>
    <w:rsid w:val="001525EC"/>
    <w:rsid w:val="001532F9"/>
    <w:rsid w:val="0015360F"/>
    <w:rsid w:val="00153A7D"/>
    <w:rsid w:val="00154886"/>
    <w:rsid w:val="00154A20"/>
    <w:rsid w:val="00154A4D"/>
    <w:rsid w:val="0015546F"/>
    <w:rsid w:val="00160353"/>
    <w:rsid w:val="001604B4"/>
    <w:rsid w:val="00161046"/>
    <w:rsid w:val="0016126F"/>
    <w:rsid w:val="00162ADA"/>
    <w:rsid w:val="001632EA"/>
    <w:rsid w:val="00163753"/>
    <w:rsid w:val="0016383C"/>
    <w:rsid w:val="001648BD"/>
    <w:rsid w:val="00164A21"/>
    <w:rsid w:val="0016501F"/>
    <w:rsid w:val="0016660D"/>
    <w:rsid w:val="00166929"/>
    <w:rsid w:val="00167E34"/>
    <w:rsid w:val="00171890"/>
    <w:rsid w:val="0017204F"/>
    <w:rsid w:val="00172580"/>
    <w:rsid w:val="001727D7"/>
    <w:rsid w:val="0017330E"/>
    <w:rsid w:val="001738F0"/>
    <w:rsid w:val="00173B4F"/>
    <w:rsid w:val="001742DF"/>
    <w:rsid w:val="001745ED"/>
    <w:rsid w:val="0017496C"/>
    <w:rsid w:val="00174CED"/>
    <w:rsid w:val="0017565C"/>
    <w:rsid w:val="00175921"/>
    <w:rsid w:val="00175A10"/>
    <w:rsid w:val="00181031"/>
    <w:rsid w:val="00181D68"/>
    <w:rsid w:val="001820F9"/>
    <w:rsid w:val="0018345C"/>
    <w:rsid w:val="001844E4"/>
    <w:rsid w:val="0018542F"/>
    <w:rsid w:val="00187825"/>
    <w:rsid w:val="00187C1E"/>
    <w:rsid w:val="00187DA5"/>
    <w:rsid w:val="001901DB"/>
    <w:rsid w:val="001904EC"/>
    <w:rsid w:val="001919A9"/>
    <w:rsid w:val="001939D2"/>
    <w:rsid w:val="00193AC0"/>
    <w:rsid w:val="00194529"/>
    <w:rsid w:val="00194742"/>
    <w:rsid w:val="00194CA2"/>
    <w:rsid w:val="00194F3A"/>
    <w:rsid w:val="00195BB2"/>
    <w:rsid w:val="00196212"/>
    <w:rsid w:val="001977B3"/>
    <w:rsid w:val="00197BC9"/>
    <w:rsid w:val="001A0041"/>
    <w:rsid w:val="001A0156"/>
    <w:rsid w:val="001A0E85"/>
    <w:rsid w:val="001A38BA"/>
    <w:rsid w:val="001A3C68"/>
    <w:rsid w:val="001A3C6A"/>
    <w:rsid w:val="001A4149"/>
    <w:rsid w:val="001A4377"/>
    <w:rsid w:val="001A4858"/>
    <w:rsid w:val="001A5558"/>
    <w:rsid w:val="001A6728"/>
    <w:rsid w:val="001A6DB3"/>
    <w:rsid w:val="001A72CA"/>
    <w:rsid w:val="001A7D1D"/>
    <w:rsid w:val="001B01E8"/>
    <w:rsid w:val="001B07EA"/>
    <w:rsid w:val="001B1601"/>
    <w:rsid w:val="001B16B5"/>
    <w:rsid w:val="001B171F"/>
    <w:rsid w:val="001B19E4"/>
    <w:rsid w:val="001B2E72"/>
    <w:rsid w:val="001B3D42"/>
    <w:rsid w:val="001B4AB8"/>
    <w:rsid w:val="001B59D2"/>
    <w:rsid w:val="001B5F30"/>
    <w:rsid w:val="001B6004"/>
    <w:rsid w:val="001B60BE"/>
    <w:rsid w:val="001B62D0"/>
    <w:rsid w:val="001B64F4"/>
    <w:rsid w:val="001B6A96"/>
    <w:rsid w:val="001B6C17"/>
    <w:rsid w:val="001B7080"/>
    <w:rsid w:val="001C0181"/>
    <w:rsid w:val="001C0345"/>
    <w:rsid w:val="001C035A"/>
    <w:rsid w:val="001C0CEE"/>
    <w:rsid w:val="001C2090"/>
    <w:rsid w:val="001C44EF"/>
    <w:rsid w:val="001C4EB3"/>
    <w:rsid w:val="001C4EE2"/>
    <w:rsid w:val="001C50E3"/>
    <w:rsid w:val="001C5296"/>
    <w:rsid w:val="001C5ED4"/>
    <w:rsid w:val="001C6820"/>
    <w:rsid w:val="001C6BF6"/>
    <w:rsid w:val="001C6CBC"/>
    <w:rsid w:val="001C742A"/>
    <w:rsid w:val="001C7965"/>
    <w:rsid w:val="001D0052"/>
    <w:rsid w:val="001D03FB"/>
    <w:rsid w:val="001D2246"/>
    <w:rsid w:val="001D254B"/>
    <w:rsid w:val="001D364B"/>
    <w:rsid w:val="001D415B"/>
    <w:rsid w:val="001D452B"/>
    <w:rsid w:val="001D4832"/>
    <w:rsid w:val="001D5703"/>
    <w:rsid w:val="001D6857"/>
    <w:rsid w:val="001D76AF"/>
    <w:rsid w:val="001E0372"/>
    <w:rsid w:val="001E0867"/>
    <w:rsid w:val="001E31E3"/>
    <w:rsid w:val="001E33E2"/>
    <w:rsid w:val="001E4580"/>
    <w:rsid w:val="001E4D36"/>
    <w:rsid w:val="001E51AA"/>
    <w:rsid w:val="001E53A8"/>
    <w:rsid w:val="001E5DCC"/>
    <w:rsid w:val="001E6E81"/>
    <w:rsid w:val="001E72C8"/>
    <w:rsid w:val="001E7A78"/>
    <w:rsid w:val="001E7B5E"/>
    <w:rsid w:val="001F00F5"/>
    <w:rsid w:val="001F070C"/>
    <w:rsid w:val="001F1DAC"/>
    <w:rsid w:val="001F2086"/>
    <w:rsid w:val="001F2F1B"/>
    <w:rsid w:val="001F38E4"/>
    <w:rsid w:val="001F3DBC"/>
    <w:rsid w:val="001F4481"/>
    <w:rsid w:val="001F4938"/>
    <w:rsid w:val="001F4F36"/>
    <w:rsid w:val="001F60A5"/>
    <w:rsid w:val="001F660B"/>
    <w:rsid w:val="001F6699"/>
    <w:rsid w:val="001F732E"/>
    <w:rsid w:val="001F78FA"/>
    <w:rsid w:val="00200C0C"/>
    <w:rsid w:val="00201737"/>
    <w:rsid w:val="00202A86"/>
    <w:rsid w:val="00204CA9"/>
    <w:rsid w:val="0020548B"/>
    <w:rsid w:val="00205B80"/>
    <w:rsid w:val="00205C24"/>
    <w:rsid w:val="00205EE0"/>
    <w:rsid w:val="0020746E"/>
    <w:rsid w:val="00207DD4"/>
    <w:rsid w:val="002107E0"/>
    <w:rsid w:val="00210AFD"/>
    <w:rsid w:val="002112C9"/>
    <w:rsid w:val="0021243F"/>
    <w:rsid w:val="00212775"/>
    <w:rsid w:val="00213222"/>
    <w:rsid w:val="00213D35"/>
    <w:rsid w:val="00214C53"/>
    <w:rsid w:val="0021548B"/>
    <w:rsid w:val="00215B87"/>
    <w:rsid w:val="00215CE3"/>
    <w:rsid w:val="002169F6"/>
    <w:rsid w:val="00217CF6"/>
    <w:rsid w:val="00217E6F"/>
    <w:rsid w:val="00222A55"/>
    <w:rsid w:val="00223109"/>
    <w:rsid w:val="002237A3"/>
    <w:rsid w:val="00223BC9"/>
    <w:rsid w:val="00224210"/>
    <w:rsid w:val="00224405"/>
    <w:rsid w:val="002250FC"/>
    <w:rsid w:val="002265C3"/>
    <w:rsid w:val="002265D7"/>
    <w:rsid w:val="00227360"/>
    <w:rsid w:val="00227EC3"/>
    <w:rsid w:val="002300F4"/>
    <w:rsid w:val="0023037B"/>
    <w:rsid w:val="00230A7D"/>
    <w:rsid w:val="00230AD0"/>
    <w:rsid w:val="0023145E"/>
    <w:rsid w:val="00231606"/>
    <w:rsid w:val="0023161E"/>
    <w:rsid w:val="00231A1F"/>
    <w:rsid w:val="00232F0C"/>
    <w:rsid w:val="002334EA"/>
    <w:rsid w:val="002337D9"/>
    <w:rsid w:val="00233829"/>
    <w:rsid w:val="00233B65"/>
    <w:rsid w:val="00233CFB"/>
    <w:rsid w:val="00234A33"/>
    <w:rsid w:val="00234E7D"/>
    <w:rsid w:val="00234EAB"/>
    <w:rsid w:val="00235EAB"/>
    <w:rsid w:val="002361DA"/>
    <w:rsid w:val="00237F9F"/>
    <w:rsid w:val="0024041E"/>
    <w:rsid w:val="00241A27"/>
    <w:rsid w:val="0024229E"/>
    <w:rsid w:val="00242E58"/>
    <w:rsid w:val="00242E89"/>
    <w:rsid w:val="00243978"/>
    <w:rsid w:val="00243AF6"/>
    <w:rsid w:val="00244247"/>
    <w:rsid w:val="00244687"/>
    <w:rsid w:val="0024524B"/>
    <w:rsid w:val="0024534A"/>
    <w:rsid w:val="00245370"/>
    <w:rsid w:val="002464E8"/>
    <w:rsid w:val="00247A48"/>
    <w:rsid w:val="00247DE1"/>
    <w:rsid w:val="00250171"/>
    <w:rsid w:val="00251B9D"/>
    <w:rsid w:val="00251F04"/>
    <w:rsid w:val="002529FC"/>
    <w:rsid w:val="00252CB5"/>
    <w:rsid w:val="00252F06"/>
    <w:rsid w:val="00253222"/>
    <w:rsid w:val="002535B0"/>
    <w:rsid w:val="00253CC1"/>
    <w:rsid w:val="00255ABD"/>
    <w:rsid w:val="0025659E"/>
    <w:rsid w:val="0026012E"/>
    <w:rsid w:val="00260143"/>
    <w:rsid w:val="002604CB"/>
    <w:rsid w:val="00260785"/>
    <w:rsid w:val="00260D2C"/>
    <w:rsid w:val="00262FF3"/>
    <w:rsid w:val="00263313"/>
    <w:rsid w:val="00263512"/>
    <w:rsid w:val="0026371B"/>
    <w:rsid w:val="00263924"/>
    <w:rsid w:val="002641ED"/>
    <w:rsid w:val="002642E6"/>
    <w:rsid w:val="00264679"/>
    <w:rsid w:val="0026550D"/>
    <w:rsid w:val="0026669C"/>
    <w:rsid w:val="00267497"/>
    <w:rsid w:val="002675FE"/>
    <w:rsid w:val="002676B0"/>
    <w:rsid w:val="00267F91"/>
    <w:rsid w:val="002703A7"/>
    <w:rsid w:val="002706A2"/>
    <w:rsid w:val="00270971"/>
    <w:rsid w:val="00270C4B"/>
    <w:rsid w:val="00271AF6"/>
    <w:rsid w:val="00271BCF"/>
    <w:rsid w:val="00272485"/>
    <w:rsid w:val="0027366C"/>
    <w:rsid w:val="00273750"/>
    <w:rsid w:val="0027407C"/>
    <w:rsid w:val="002741C9"/>
    <w:rsid w:val="00274706"/>
    <w:rsid w:val="00274CC1"/>
    <w:rsid w:val="00274F60"/>
    <w:rsid w:val="002750B8"/>
    <w:rsid w:val="0027533F"/>
    <w:rsid w:val="0027599B"/>
    <w:rsid w:val="00276B52"/>
    <w:rsid w:val="00277590"/>
    <w:rsid w:val="00277DFB"/>
    <w:rsid w:val="00280993"/>
    <w:rsid w:val="00283A8F"/>
    <w:rsid w:val="00284E01"/>
    <w:rsid w:val="002853CD"/>
    <w:rsid w:val="002857EB"/>
    <w:rsid w:val="00285B46"/>
    <w:rsid w:val="00286F7F"/>
    <w:rsid w:val="0028737B"/>
    <w:rsid w:val="002876A4"/>
    <w:rsid w:val="00287C6C"/>
    <w:rsid w:val="00287F45"/>
    <w:rsid w:val="00290554"/>
    <w:rsid w:val="00290B26"/>
    <w:rsid w:val="0029147D"/>
    <w:rsid w:val="00291848"/>
    <w:rsid w:val="00291D3C"/>
    <w:rsid w:val="00292D4D"/>
    <w:rsid w:val="00292DDD"/>
    <w:rsid w:val="00293B90"/>
    <w:rsid w:val="00293C02"/>
    <w:rsid w:val="002A020B"/>
    <w:rsid w:val="002A1146"/>
    <w:rsid w:val="002A174F"/>
    <w:rsid w:val="002A1CEA"/>
    <w:rsid w:val="002A226C"/>
    <w:rsid w:val="002A359D"/>
    <w:rsid w:val="002A441A"/>
    <w:rsid w:val="002A47B3"/>
    <w:rsid w:val="002A57BE"/>
    <w:rsid w:val="002A66F3"/>
    <w:rsid w:val="002A6C75"/>
    <w:rsid w:val="002B020D"/>
    <w:rsid w:val="002B06C4"/>
    <w:rsid w:val="002B186B"/>
    <w:rsid w:val="002B2731"/>
    <w:rsid w:val="002B3611"/>
    <w:rsid w:val="002B37E4"/>
    <w:rsid w:val="002B3834"/>
    <w:rsid w:val="002B49FE"/>
    <w:rsid w:val="002B52DF"/>
    <w:rsid w:val="002B6B36"/>
    <w:rsid w:val="002B72C5"/>
    <w:rsid w:val="002C0829"/>
    <w:rsid w:val="002C0ADD"/>
    <w:rsid w:val="002C222E"/>
    <w:rsid w:val="002C253B"/>
    <w:rsid w:val="002C26AB"/>
    <w:rsid w:val="002C520A"/>
    <w:rsid w:val="002C5D4E"/>
    <w:rsid w:val="002C681F"/>
    <w:rsid w:val="002D02FF"/>
    <w:rsid w:val="002D0BA6"/>
    <w:rsid w:val="002D15D0"/>
    <w:rsid w:val="002D2664"/>
    <w:rsid w:val="002D2831"/>
    <w:rsid w:val="002D2C6B"/>
    <w:rsid w:val="002D3AA5"/>
    <w:rsid w:val="002D45B5"/>
    <w:rsid w:val="002D4D40"/>
    <w:rsid w:val="002D5098"/>
    <w:rsid w:val="002D51C8"/>
    <w:rsid w:val="002D5366"/>
    <w:rsid w:val="002D6879"/>
    <w:rsid w:val="002E0EBA"/>
    <w:rsid w:val="002E1DDF"/>
    <w:rsid w:val="002E2487"/>
    <w:rsid w:val="002E24B4"/>
    <w:rsid w:val="002E26CF"/>
    <w:rsid w:val="002E2D2E"/>
    <w:rsid w:val="002E3A76"/>
    <w:rsid w:val="002E629A"/>
    <w:rsid w:val="002E73B8"/>
    <w:rsid w:val="002E7552"/>
    <w:rsid w:val="002F0001"/>
    <w:rsid w:val="002F003F"/>
    <w:rsid w:val="002F0BB6"/>
    <w:rsid w:val="002F215C"/>
    <w:rsid w:val="002F25A3"/>
    <w:rsid w:val="002F301B"/>
    <w:rsid w:val="002F3D3B"/>
    <w:rsid w:val="002F3D84"/>
    <w:rsid w:val="002F4285"/>
    <w:rsid w:val="002F4380"/>
    <w:rsid w:val="002F44F5"/>
    <w:rsid w:val="002F666D"/>
    <w:rsid w:val="002F68E5"/>
    <w:rsid w:val="002F7C15"/>
    <w:rsid w:val="002F7D11"/>
    <w:rsid w:val="003001E6"/>
    <w:rsid w:val="003003B3"/>
    <w:rsid w:val="003003EF"/>
    <w:rsid w:val="003015D3"/>
    <w:rsid w:val="00301699"/>
    <w:rsid w:val="003027C1"/>
    <w:rsid w:val="00302D0C"/>
    <w:rsid w:val="003034ED"/>
    <w:rsid w:val="00303B3A"/>
    <w:rsid w:val="00304783"/>
    <w:rsid w:val="003055C2"/>
    <w:rsid w:val="00305C0F"/>
    <w:rsid w:val="00306634"/>
    <w:rsid w:val="00306FED"/>
    <w:rsid w:val="00307B43"/>
    <w:rsid w:val="00310785"/>
    <w:rsid w:val="00310A02"/>
    <w:rsid w:val="00313DC1"/>
    <w:rsid w:val="00314B37"/>
    <w:rsid w:val="00315741"/>
    <w:rsid w:val="00316E29"/>
    <w:rsid w:val="003172B4"/>
    <w:rsid w:val="00320E7C"/>
    <w:rsid w:val="0032193C"/>
    <w:rsid w:val="00322869"/>
    <w:rsid w:val="00322883"/>
    <w:rsid w:val="00322A03"/>
    <w:rsid w:val="00322FEE"/>
    <w:rsid w:val="00324D51"/>
    <w:rsid w:val="0032556E"/>
    <w:rsid w:val="003262FF"/>
    <w:rsid w:val="00326678"/>
    <w:rsid w:val="00327B5C"/>
    <w:rsid w:val="00327B99"/>
    <w:rsid w:val="0033010F"/>
    <w:rsid w:val="00331098"/>
    <w:rsid w:val="00331525"/>
    <w:rsid w:val="00332A96"/>
    <w:rsid w:val="00334C04"/>
    <w:rsid w:val="00334CFC"/>
    <w:rsid w:val="00335FFC"/>
    <w:rsid w:val="00337A0E"/>
    <w:rsid w:val="003406E5"/>
    <w:rsid w:val="003408F1"/>
    <w:rsid w:val="003409A3"/>
    <w:rsid w:val="00340E4D"/>
    <w:rsid w:val="003416A6"/>
    <w:rsid w:val="00342060"/>
    <w:rsid w:val="00342C20"/>
    <w:rsid w:val="00342C37"/>
    <w:rsid w:val="0034335F"/>
    <w:rsid w:val="003445BF"/>
    <w:rsid w:val="00344756"/>
    <w:rsid w:val="00344C2B"/>
    <w:rsid w:val="003466F4"/>
    <w:rsid w:val="00346D5E"/>
    <w:rsid w:val="00347DD3"/>
    <w:rsid w:val="0035002E"/>
    <w:rsid w:val="00351472"/>
    <w:rsid w:val="00351823"/>
    <w:rsid w:val="003533A3"/>
    <w:rsid w:val="0035350F"/>
    <w:rsid w:val="00353B53"/>
    <w:rsid w:val="00354A47"/>
    <w:rsid w:val="003551E8"/>
    <w:rsid w:val="0035521B"/>
    <w:rsid w:val="00356023"/>
    <w:rsid w:val="00356500"/>
    <w:rsid w:val="003574B1"/>
    <w:rsid w:val="00357E17"/>
    <w:rsid w:val="00357ECF"/>
    <w:rsid w:val="00360010"/>
    <w:rsid w:val="003608B3"/>
    <w:rsid w:val="0036113B"/>
    <w:rsid w:val="003615D4"/>
    <w:rsid w:val="003618A6"/>
    <w:rsid w:val="00361AF1"/>
    <w:rsid w:val="00361ED6"/>
    <w:rsid w:val="00362429"/>
    <w:rsid w:val="00362E81"/>
    <w:rsid w:val="003631AB"/>
    <w:rsid w:val="0036436C"/>
    <w:rsid w:val="003646AF"/>
    <w:rsid w:val="0036556C"/>
    <w:rsid w:val="00366FE3"/>
    <w:rsid w:val="0036707A"/>
    <w:rsid w:val="00371B72"/>
    <w:rsid w:val="00371DD4"/>
    <w:rsid w:val="0037231B"/>
    <w:rsid w:val="003729D4"/>
    <w:rsid w:val="0037372E"/>
    <w:rsid w:val="00374EF7"/>
    <w:rsid w:val="00375415"/>
    <w:rsid w:val="00375DB1"/>
    <w:rsid w:val="0037638F"/>
    <w:rsid w:val="0037739D"/>
    <w:rsid w:val="00377615"/>
    <w:rsid w:val="00380A68"/>
    <w:rsid w:val="003823B1"/>
    <w:rsid w:val="003831A5"/>
    <w:rsid w:val="00383AB0"/>
    <w:rsid w:val="00383D49"/>
    <w:rsid w:val="0038427A"/>
    <w:rsid w:val="00385081"/>
    <w:rsid w:val="00386C3A"/>
    <w:rsid w:val="00387674"/>
    <w:rsid w:val="00390238"/>
    <w:rsid w:val="00391317"/>
    <w:rsid w:val="0039136E"/>
    <w:rsid w:val="00392230"/>
    <w:rsid w:val="00393D79"/>
    <w:rsid w:val="00393E2D"/>
    <w:rsid w:val="003942AA"/>
    <w:rsid w:val="0039595C"/>
    <w:rsid w:val="00395FC1"/>
    <w:rsid w:val="003960E8"/>
    <w:rsid w:val="003A0A62"/>
    <w:rsid w:val="003A0FD5"/>
    <w:rsid w:val="003A1A60"/>
    <w:rsid w:val="003A32E6"/>
    <w:rsid w:val="003A37BB"/>
    <w:rsid w:val="003A4009"/>
    <w:rsid w:val="003A4A96"/>
    <w:rsid w:val="003A6088"/>
    <w:rsid w:val="003A68FE"/>
    <w:rsid w:val="003A69A4"/>
    <w:rsid w:val="003A6E02"/>
    <w:rsid w:val="003A7054"/>
    <w:rsid w:val="003A780E"/>
    <w:rsid w:val="003B0B52"/>
    <w:rsid w:val="003B13E0"/>
    <w:rsid w:val="003B2540"/>
    <w:rsid w:val="003B2F4A"/>
    <w:rsid w:val="003B3A44"/>
    <w:rsid w:val="003B4826"/>
    <w:rsid w:val="003B5FFC"/>
    <w:rsid w:val="003B7725"/>
    <w:rsid w:val="003C084C"/>
    <w:rsid w:val="003C1203"/>
    <w:rsid w:val="003C247E"/>
    <w:rsid w:val="003C415E"/>
    <w:rsid w:val="003C4782"/>
    <w:rsid w:val="003C4A5B"/>
    <w:rsid w:val="003C4C60"/>
    <w:rsid w:val="003C4D40"/>
    <w:rsid w:val="003C59D4"/>
    <w:rsid w:val="003C5BA8"/>
    <w:rsid w:val="003D02E5"/>
    <w:rsid w:val="003D0C5A"/>
    <w:rsid w:val="003D13AF"/>
    <w:rsid w:val="003D166A"/>
    <w:rsid w:val="003D20C3"/>
    <w:rsid w:val="003D276C"/>
    <w:rsid w:val="003D29B0"/>
    <w:rsid w:val="003D2FDD"/>
    <w:rsid w:val="003D3038"/>
    <w:rsid w:val="003D38A2"/>
    <w:rsid w:val="003D4ABB"/>
    <w:rsid w:val="003D4D3A"/>
    <w:rsid w:val="003D5643"/>
    <w:rsid w:val="003D6355"/>
    <w:rsid w:val="003D656E"/>
    <w:rsid w:val="003D7024"/>
    <w:rsid w:val="003D75B9"/>
    <w:rsid w:val="003E0521"/>
    <w:rsid w:val="003E0B8F"/>
    <w:rsid w:val="003E1371"/>
    <w:rsid w:val="003E17A6"/>
    <w:rsid w:val="003E1FB4"/>
    <w:rsid w:val="003E2E2D"/>
    <w:rsid w:val="003E3E14"/>
    <w:rsid w:val="003E3E31"/>
    <w:rsid w:val="003E41AF"/>
    <w:rsid w:val="003E4CF6"/>
    <w:rsid w:val="003E737A"/>
    <w:rsid w:val="003F0643"/>
    <w:rsid w:val="003F07FD"/>
    <w:rsid w:val="003F0837"/>
    <w:rsid w:val="003F2A01"/>
    <w:rsid w:val="003F2DAF"/>
    <w:rsid w:val="003F3F36"/>
    <w:rsid w:val="003F4039"/>
    <w:rsid w:val="003F4293"/>
    <w:rsid w:val="003F470A"/>
    <w:rsid w:val="003F5107"/>
    <w:rsid w:val="003F6942"/>
    <w:rsid w:val="003F6B01"/>
    <w:rsid w:val="003F6D91"/>
    <w:rsid w:val="003F6DA7"/>
    <w:rsid w:val="003F78CE"/>
    <w:rsid w:val="003F7A13"/>
    <w:rsid w:val="00400C78"/>
    <w:rsid w:val="00401266"/>
    <w:rsid w:val="00401E39"/>
    <w:rsid w:val="004026A5"/>
    <w:rsid w:val="00403118"/>
    <w:rsid w:val="00403A6C"/>
    <w:rsid w:val="00404853"/>
    <w:rsid w:val="00404F05"/>
    <w:rsid w:val="00405DAA"/>
    <w:rsid w:val="00405E4D"/>
    <w:rsid w:val="00406124"/>
    <w:rsid w:val="004063BA"/>
    <w:rsid w:val="00407084"/>
    <w:rsid w:val="00407EAF"/>
    <w:rsid w:val="0041029F"/>
    <w:rsid w:val="004104BC"/>
    <w:rsid w:val="00410D31"/>
    <w:rsid w:val="004126FE"/>
    <w:rsid w:val="0041298D"/>
    <w:rsid w:val="00413611"/>
    <w:rsid w:val="00414C68"/>
    <w:rsid w:val="00415187"/>
    <w:rsid w:val="00415291"/>
    <w:rsid w:val="0041670F"/>
    <w:rsid w:val="004168A5"/>
    <w:rsid w:val="00417455"/>
    <w:rsid w:val="00417AFF"/>
    <w:rsid w:val="00417BD5"/>
    <w:rsid w:val="00420E67"/>
    <w:rsid w:val="00421946"/>
    <w:rsid w:val="00422755"/>
    <w:rsid w:val="00422A1C"/>
    <w:rsid w:val="00422EA9"/>
    <w:rsid w:val="00423453"/>
    <w:rsid w:val="004234F1"/>
    <w:rsid w:val="00423792"/>
    <w:rsid w:val="004238DD"/>
    <w:rsid w:val="00423A80"/>
    <w:rsid w:val="00423CC1"/>
    <w:rsid w:val="004243A3"/>
    <w:rsid w:val="00425145"/>
    <w:rsid w:val="00425BC2"/>
    <w:rsid w:val="00425C58"/>
    <w:rsid w:val="00427BEA"/>
    <w:rsid w:val="004310E0"/>
    <w:rsid w:val="0043138D"/>
    <w:rsid w:val="004316D2"/>
    <w:rsid w:val="0043232D"/>
    <w:rsid w:val="0043399E"/>
    <w:rsid w:val="00434626"/>
    <w:rsid w:val="00434AD3"/>
    <w:rsid w:val="00434F12"/>
    <w:rsid w:val="004364DA"/>
    <w:rsid w:val="00436E42"/>
    <w:rsid w:val="00437090"/>
    <w:rsid w:val="004378B0"/>
    <w:rsid w:val="00437D40"/>
    <w:rsid w:val="004420F8"/>
    <w:rsid w:val="0044263E"/>
    <w:rsid w:val="004426B1"/>
    <w:rsid w:val="0044339D"/>
    <w:rsid w:val="0044341B"/>
    <w:rsid w:val="00443DE3"/>
    <w:rsid w:val="00444233"/>
    <w:rsid w:val="00445D7B"/>
    <w:rsid w:val="00447163"/>
    <w:rsid w:val="00447AFD"/>
    <w:rsid w:val="00450BBD"/>
    <w:rsid w:val="004510B8"/>
    <w:rsid w:val="0045136B"/>
    <w:rsid w:val="004525B4"/>
    <w:rsid w:val="00453C55"/>
    <w:rsid w:val="00454281"/>
    <w:rsid w:val="00456109"/>
    <w:rsid w:val="004561CC"/>
    <w:rsid w:val="004565AF"/>
    <w:rsid w:val="00456CF8"/>
    <w:rsid w:val="00460DCB"/>
    <w:rsid w:val="0046163D"/>
    <w:rsid w:val="00461E3F"/>
    <w:rsid w:val="00463D4B"/>
    <w:rsid w:val="00465FCE"/>
    <w:rsid w:val="004713A8"/>
    <w:rsid w:val="00471F2E"/>
    <w:rsid w:val="00472059"/>
    <w:rsid w:val="00472990"/>
    <w:rsid w:val="00472AFD"/>
    <w:rsid w:val="00474566"/>
    <w:rsid w:val="00475CAE"/>
    <w:rsid w:val="00475F45"/>
    <w:rsid w:val="00476C59"/>
    <w:rsid w:val="004771C8"/>
    <w:rsid w:val="0047735D"/>
    <w:rsid w:val="00477A28"/>
    <w:rsid w:val="00480386"/>
    <w:rsid w:val="0048069E"/>
    <w:rsid w:val="00482186"/>
    <w:rsid w:val="00482676"/>
    <w:rsid w:val="00482B49"/>
    <w:rsid w:val="0048397B"/>
    <w:rsid w:val="00483DB3"/>
    <w:rsid w:val="00485A1A"/>
    <w:rsid w:val="004863A9"/>
    <w:rsid w:val="004865BD"/>
    <w:rsid w:val="00486B85"/>
    <w:rsid w:val="004877B5"/>
    <w:rsid w:val="00490539"/>
    <w:rsid w:val="00490B11"/>
    <w:rsid w:val="0049441D"/>
    <w:rsid w:val="00494E27"/>
    <w:rsid w:val="00494F7E"/>
    <w:rsid w:val="00494FCD"/>
    <w:rsid w:val="0049553F"/>
    <w:rsid w:val="00496E00"/>
    <w:rsid w:val="00497C52"/>
    <w:rsid w:val="004A19EA"/>
    <w:rsid w:val="004A2617"/>
    <w:rsid w:val="004A28A1"/>
    <w:rsid w:val="004A3BF8"/>
    <w:rsid w:val="004A4583"/>
    <w:rsid w:val="004A47EA"/>
    <w:rsid w:val="004A4D26"/>
    <w:rsid w:val="004A4FE1"/>
    <w:rsid w:val="004A553F"/>
    <w:rsid w:val="004A65F8"/>
    <w:rsid w:val="004A669A"/>
    <w:rsid w:val="004A6F8D"/>
    <w:rsid w:val="004A6FAF"/>
    <w:rsid w:val="004B1E35"/>
    <w:rsid w:val="004B397D"/>
    <w:rsid w:val="004B3A02"/>
    <w:rsid w:val="004B471E"/>
    <w:rsid w:val="004B4967"/>
    <w:rsid w:val="004B5C26"/>
    <w:rsid w:val="004B5D20"/>
    <w:rsid w:val="004B61C3"/>
    <w:rsid w:val="004B636D"/>
    <w:rsid w:val="004C036B"/>
    <w:rsid w:val="004C05C8"/>
    <w:rsid w:val="004C0766"/>
    <w:rsid w:val="004C152F"/>
    <w:rsid w:val="004C18ED"/>
    <w:rsid w:val="004C2991"/>
    <w:rsid w:val="004C2F5A"/>
    <w:rsid w:val="004C3CE6"/>
    <w:rsid w:val="004C3F37"/>
    <w:rsid w:val="004C409B"/>
    <w:rsid w:val="004C6E37"/>
    <w:rsid w:val="004C7ACC"/>
    <w:rsid w:val="004D01BF"/>
    <w:rsid w:val="004D0652"/>
    <w:rsid w:val="004D09AA"/>
    <w:rsid w:val="004D14C1"/>
    <w:rsid w:val="004D19E4"/>
    <w:rsid w:val="004D32F5"/>
    <w:rsid w:val="004D4245"/>
    <w:rsid w:val="004D463F"/>
    <w:rsid w:val="004D52E0"/>
    <w:rsid w:val="004D6867"/>
    <w:rsid w:val="004D6932"/>
    <w:rsid w:val="004D725A"/>
    <w:rsid w:val="004D79D7"/>
    <w:rsid w:val="004E0166"/>
    <w:rsid w:val="004E020B"/>
    <w:rsid w:val="004E0C83"/>
    <w:rsid w:val="004E1DE3"/>
    <w:rsid w:val="004E1F84"/>
    <w:rsid w:val="004E2B84"/>
    <w:rsid w:val="004E2BBF"/>
    <w:rsid w:val="004E3502"/>
    <w:rsid w:val="004E3FD0"/>
    <w:rsid w:val="004E4536"/>
    <w:rsid w:val="004E4EB9"/>
    <w:rsid w:val="004E63D8"/>
    <w:rsid w:val="004E6679"/>
    <w:rsid w:val="004E66A1"/>
    <w:rsid w:val="004E7032"/>
    <w:rsid w:val="004E7769"/>
    <w:rsid w:val="004E7891"/>
    <w:rsid w:val="004F0071"/>
    <w:rsid w:val="004F021A"/>
    <w:rsid w:val="004F0908"/>
    <w:rsid w:val="004F0E9D"/>
    <w:rsid w:val="004F0FE5"/>
    <w:rsid w:val="004F21C8"/>
    <w:rsid w:val="004F2807"/>
    <w:rsid w:val="004F31DD"/>
    <w:rsid w:val="004F42C8"/>
    <w:rsid w:val="004F43EF"/>
    <w:rsid w:val="004F47F3"/>
    <w:rsid w:val="004F4CE6"/>
    <w:rsid w:val="004F50B5"/>
    <w:rsid w:val="004F512A"/>
    <w:rsid w:val="004F5EF9"/>
    <w:rsid w:val="004F646E"/>
    <w:rsid w:val="004F6A6A"/>
    <w:rsid w:val="004F79C0"/>
    <w:rsid w:val="00501832"/>
    <w:rsid w:val="00501B19"/>
    <w:rsid w:val="00502278"/>
    <w:rsid w:val="00502425"/>
    <w:rsid w:val="005031DC"/>
    <w:rsid w:val="0050428A"/>
    <w:rsid w:val="00504D87"/>
    <w:rsid w:val="00505DA6"/>
    <w:rsid w:val="00506030"/>
    <w:rsid w:val="00506560"/>
    <w:rsid w:val="00506C4C"/>
    <w:rsid w:val="0050735D"/>
    <w:rsid w:val="00507BC0"/>
    <w:rsid w:val="00507F9D"/>
    <w:rsid w:val="00510230"/>
    <w:rsid w:val="0051090E"/>
    <w:rsid w:val="00511D98"/>
    <w:rsid w:val="00511F6E"/>
    <w:rsid w:val="005124D0"/>
    <w:rsid w:val="005125DB"/>
    <w:rsid w:val="00512691"/>
    <w:rsid w:val="00515147"/>
    <w:rsid w:val="00515B84"/>
    <w:rsid w:val="00515C6B"/>
    <w:rsid w:val="0051630A"/>
    <w:rsid w:val="005164CB"/>
    <w:rsid w:val="00516549"/>
    <w:rsid w:val="00516583"/>
    <w:rsid w:val="00517251"/>
    <w:rsid w:val="00517D1B"/>
    <w:rsid w:val="00517DC1"/>
    <w:rsid w:val="00520718"/>
    <w:rsid w:val="00520A18"/>
    <w:rsid w:val="00520E99"/>
    <w:rsid w:val="005223CD"/>
    <w:rsid w:val="00522DCD"/>
    <w:rsid w:val="0052321B"/>
    <w:rsid w:val="00523649"/>
    <w:rsid w:val="005239B2"/>
    <w:rsid w:val="00523E2F"/>
    <w:rsid w:val="00524D0A"/>
    <w:rsid w:val="005253FB"/>
    <w:rsid w:val="00526EF3"/>
    <w:rsid w:val="00527A58"/>
    <w:rsid w:val="00530825"/>
    <w:rsid w:val="005312A0"/>
    <w:rsid w:val="00531877"/>
    <w:rsid w:val="00531C4D"/>
    <w:rsid w:val="00532CBA"/>
    <w:rsid w:val="0053569B"/>
    <w:rsid w:val="0053643A"/>
    <w:rsid w:val="00536947"/>
    <w:rsid w:val="00536D5F"/>
    <w:rsid w:val="005372A9"/>
    <w:rsid w:val="00537A89"/>
    <w:rsid w:val="00541D23"/>
    <w:rsid w:val="005421FE"/>
    <w:rsid w:val="00542F8B"/>
    <w:rsid w:val="00543DE9"/>
    <w:rsid w:val="00545178"/>
    <w:rsid w:val="00545458"/>
    <w:rsid w:val="0054673D"/>
    <w:rsid w:val="00546A96"/>
    <w:rsid w:val="0055111E"/>
    <w:rsid w:val="00552A25"/>
    <w:rsid w:val="00552D64"/>
    <w:rsid w:val="00553C08"/>
    <w:rsid w:val="0055434E"/>
    <w:rsid w:val="0055436A"/>
    <w:rsid w:val="00554632"/>
    <w:rsid w:val="005549BE"/>
    <w:rsid w:val="0055544B"/>
    <w:rsid w:val="00555A8A"/>
    <w:rsid w:val="00556508"/>
    <w:rsid w:val="005567EE"/>
    <w:rsid w:val="0055764F"/>
    <w:rsid w:val="00557687"/>
    <w:rsid w:val="00557B63"/>
    <w:rsid w:val="00557C6C"/>
    <w:rsid w:val="00557DE6"/>
    <w:rsid w:val="005610CE"/>
    <w:rsid w:val="005617F7"/>
    <w:rsid w:val="00562600"/>
    <w:rsid w:val="005626D5"/>
    <w:rsid w:val="005627D4"/>
    <w:rsid w:val="00562D84"/>
    <w:rsid w:val="00563121"/>
    <w:rsid w:val="0056392F"/>
    <w:rsid w:val="005643E2"/>
    <w:rsid w:val="00564C17"/>
    <w:rsid w:val="005651C0"/>
    <w:rsid w:val="0056592B"/>
    <w:rsid w:val="00566032"/>
    <w:rsid w:val="0056656C"/>
    <w:rsid w:val="00566A23"/>
    <w:rsid w:val="0056726D"/>
    <w:rsid w:val="005676F3"/>
    <w:rsid w:val="0056778F"/>
    <w:rsid w:val="00567A7E"/>
    <w:rsid w:val="0057231E"/>
    <w:rsid w:val="005725E7"/>
    <w:rsid w:val="00572869"/>
    <w:rsid w:val="00573785"/>
    <w:rsid w:val="00575C3A"/>
    <w:rsid w:val="005760BB"/>
    <w:rsid w:val="00576B51"/>
    <w:rsid w:val="0057791B"/>
    <w:rsid w:val="00582396"/>
    <w:rsid w:val="005823AF"/>
    <w:rsid w:val="00582CEB"/>
    <w:rsid w:val="0058338C"/>
    <w:rsid w:val="005834F4"/>
    <w:rsid w:val="005834FA"/>
    <w:rsid w:val="005850A9"/>
    <w:rsid w:val="005864EC"/>
    <w:rsid w:val="00587284"/>
    <w:rsid w:val="00587801"/>
    <w:rsid w:val="00587E85"/>
    <w:rsid w:val="00587F76"/>
    <w:rsid w:val="00590A1B"/>
    <w:rsid w:val="00590D61"/>
    <w:rsid w:val="0059120A"/>
    <w:rsid w:val="00591C23"/>
    <w:rsid w:val="005921EE"/>
    <w:rsid w:val="0059243B"/>
    <w:rsid w:val="005926C5"/>
    <w:rsid w:val="005929F2"/>
    <w:rsid w:val="00592A67"/>
    <w:rsid w:val="00594A4F"/>
    <w:rsid w:val="00595AB7"/>
    <w:rsid w:val="00595ADA"/>
    <w:rsid w:val="005972A1"/>
    <w:rsid w:val="005A0ABF"/>
    <w:rsid w:val="005A0B8E"/>
    <w:rsid w:val="005A2633"/>
    <w:rsid w:val="005A3417"/>
    <w:rsid w:val="005A4A1D"/>
    <w:rsid w:val="005A52FA"/>
    <w:rsid w:val="005A5C7D"/>
    <w:rsid w:val="005B0477"/>
    <w:rsid w:val="005B07B5"/>
    <w:rsid w:val="005B07FF"/>
    <w:rsid w:val="005B1623"/>
    <w:rsid w:val="005B2049"/>
    <w:rsid w:val="005B228B"/>
    <w:rsid w:val="005B2AB3"/>
    <w:rsid w:val="005B5A6E"/>
    <w:rsid w:val="005B64BB"/>
    <w:rsid w:val="005B72C0"/>
    <w:rsid w:val="005C17A7"/>
    <w:rsid w:val="005C1DF4"/>
    <w:rsid w:val="005C3F92"/>
    <w:rsid w:val="005C4B78"/>
    <w:rsid w:val="005C4DF2"/>
    <w:rsid w:val="005C5C8F"/>
    <w:rsid w:val="005C7B42"/>
    <w:rsid w:val="005C7B4C"/>
    <w:rsid w:val="005D0B88"/>
    <w:rsid w:val="005D109D"/>
    <w:rsid w:val="005D21EC"/>
    <w:rsid w:val="005D23D7"/>
    <w:rsid w:val="005D26D6"/>
    <w:rsid w:val="005D2E82"/>
    <w:rsid w:val="005D32AE"/>
    <w:rsid w:val="005D3840"/>
    <w:rsid w:val="005D42AE"/>
    <w:rsid w:val="005D5411"/>
    <w:rsid w:val="005D544D"/>
    <w:rsid w:val="005D64FE"/>
    <w:rsid w:val="005D6885"/>
    <w:rsid w:val="005D7D6B"/>
    <w:rsid w:val="005D7E45"/>
    <w:rsid w:val="005E126E"/>
    <w:rsid w:val="005E1EE0"/>
    <w:rsid w:val="005E297E"/>
    <w:rsid w:val="005E2BB6"/>
    <w:rsid w:val="005E3733"/>
    <w:rsid w:val="005E37BF"/>
    <w:rsid w:val="005E48DE"/>
    <w:rsid w:val="005E4918"/>
    <w:rsid w:val="005E4FF4"/>
    <w:rsid w:val="005E5DA6"/>
    <w:rsid w:val="005E68DF"/>
    <w:rsid w:val="005E6C7F"/>
    <w:rsid w:val="005E715C"/>
    <w:rsid w:val="005F1303"/>
    <w:rsid w:val="005F185B"/>
    <w:rsid w:val="005F25A6"/>
    <w:rsid w:val="005F295F"/>
    <w:rsid w:val="005F2D6C"/>
    <w:rsid w:val="005F334C"/>
    <w:rsid w:val="005F37B1"/>
    <w:rsid w:val="005F40FC"/>
    <w:rsid w:val="005F5991"/>
    <w:rsid w:val="005F62DC"/>
    <w:rsid w:val="005F6F5C"/>
    <w:rsid w:val="005F7282"/>
    <w:rsid w:val="005F7DC0"/>
    <w:rsid w:val="005F7EEC"/>
    <w:rsid w:val="006004AB"/>
    <w:rsid w:val="00600AE2"/>
    <w:rsid w:val="00601A1C"/>
    <w:rsid w:val="00602E74"/>
    <w:rsid w:val="00603248"/>
    <w:rsid w:val="0060383B"/>
    <w:rsid w:val="00603CAC"/>
    <w:rsid w:val="0060421F"/>
    <w:rsid w:val="00605133"/>
    <w:rsid w:val="00605BB5"/>
    <w:rsid w:val="00605C9B"/>
    <w:rsid w:val="006061C3"/>
    <w:rsid w:val="00606F8C"/>
    <w:rsid w:val="00607FB8"/>
    <w:rsid w:val="00610C41"/>
    <w:rsid w:val="00611CAE"/>
    <w:rsid w:val="00611D85"/>
    <w:rsid w:val="00611D96"/>
    <w:rsid w:val="00612295"/>
    <w:rsid w:val="00612A53"/>
    <w:rsid w:val="00612F0D"/>
    <w:rsid w:val="00613220"/>
    <w:rsid w:val="00613857"/>
    <w:rsid w:val="00613BFC"/>
    <w:rsid w:val="00613E43"/>
    <w:rsid w:val="0061482E"/>
    <w:rsid w:val="0061589F"/>
    <w:rsid w:val="00615B4A"/>
    <w:rsid w:val="00615EA9"/>
    <w:rsid w:val="00620625"/>
    <w:rsid w:val="006209D0"/>
    <w:rsid w:val="006211E7"/>
    <w:rsid w:val="00621B14"/>
    <w:rsid w:val="00623E7F"/>
    <w:rsid w:val="0062637B"/>
    <w:rsid w:val="0062689A"/>
    <w:rsid w:val="006318E5"/>
    <w:rsid w:val="006325A1"/>
    <w:rsid w:val="006329A6"/>
    <w:rsid w:val="006332FF"/>
    <w:rsid w:val="0063358D"/>
    <w:rsid w:val="00633A1B"/>
    <w:rsid w:val="00634749"/>
    <w:rsid w:val="00635639"/>
    <w:rsid w:val="00635715"/>
    <w:rsid w:val="006375EC"/>
    <w:rsid w:val="00637640"/>
    <w:rsid w:val="006403D5"/>
    <w:rsid w:val="006405FB"/>
    <w:rsid w:val="006413BF"/>
    <w:rsid w:val="00642855"/>
    <w:rsid w:val="00642AAB"/>
    <w:rsid w:val="006441B2"/>
    <w:rsid w:val="006443F5"/>
    <w:rsid w:val="00644539"/>
    <w:rsid w:val="00644559"/>
    <w:rsid w:val="00644A91"/>
    <w:rsid w:val="00644D7A"/>
    <w:rsid w:val="00645656"/>
    <w:rsid w:val="006469D3"/>
    <w:rsid w:val="00646FFA"/>
    <w:rsid w:val="00650ECF"/>
    <w:rsid w:val="0065220B"/>
    <w:rsid w:val="00652821"/>
    <w:rsid w:val="00652D43"/>
    <w:rsid w:val="006532C1"/>
    <w:rsid w:val="00653E02"/>
    <w:rsid w:val="00653F7C"/>
    <w:rsid w:val="006552EB"/>
    <w:rsid w:val="0065581A"/>
    <w:rsid w:val="006560A9"/>
    <w:rsid w:val="006562FB"/>
    <w:rsid w:val="00657BD4"/>
    <w:rsid w:val="00660649"/>
    <w:rsid w:val="00660E83"/>
    <w:rsid w:val="00661016"/>
    <w:rsid w:val="00661474"/>
    <w:rsid w:val="00662E5A"/>
    <w:rsid w:val="00663F6A"/>
    <w:rsid w:val="006640D2"/>
    <w:rsid w:val="00664458"/>
    <w:rsid w:val="00664943"/>
    <w:rsid w:val="00664D6B"/>
    <w:rsid w:val="00665688"/>
    <w:rsid w:val="00665BD6"/>
    <w:rsid w:val="00665DDB"/>
    <w:rsid w:val="0066656E"/>
    <w:rsid w:val="00666F33"/>
    <w:rsid w:val="006675A5"/>
    <w:rsid w:val="00667DFD"/>
    <w:rsid w:val="00667F2B"/>
    <w:rsid w:val="00671939"/>
    <w:rsid w:val="00671D02"/>
    <w:rsid w:val="00671EA7"/>
    <w:rsid w:val="006725F2"/>
    <w:rsid w:val="00672BBC"/>
    <w:rsid w:val="0067395D"/>
    <w:rsid w:val="006747AD"/>
    <w:rsid w:val="00675A32"/>
    <w:rsid w:val="006760CE"/>
    <w:rsid w:val="00680BE6"/>
    <w:rsid w:val="00680E66"/>
    <w:rsid w:val="00681CB0"/>
    <w:rsid w:val="00681D2F"/>
    <w:rsid w:val="00681D49"/>
    <w:rsid w:val="006821BC"/>
    <w:rsid w:val="006828F2"/>
    <w:rsid w:val="00684A4A"/>
    <w:rsid w:val="00684E7A"/>
    <w:rsid w:val="00684E8F"/>
    <w:rsid w:val="0068625B"/>
    <w:rsid w:val="0068786D"/>
    <w:rsid w:val="00691481"/>
    <w:rsid w:val="0069206B"/>
    <w:rsid w:val="00692212"/>
    <w:rsid w:val="006930DA"/>
    <w:rsid w:val="0069341D"/>
    <w:rsid w:val="00694522"/>
    <w:rsid w:val="006949B3"/>
    <w:rsid w:val="0069514A"/>
    <w:rsid w:val="00695296"/>
    <w:rsid w:val="00695A54"/>
    <w:rsid w:val="00696A52"/>
    <w:rsid w:val="006A002C"/>
    <w:rsid w:val="006A00EA"/>
    <w:rsid w:val="006A0769"/>
    <w:rsid w:val="006A275B"/>
    <w:rsid w:val="006A3721"/>
    <w:rsid w:val="006A44EB"/>
    <w:rsid w:val="006A4682"/>
    <w:rsid w:val="006A519A"/>
    <w:rsid w:val="006A57FC"/>
    <w:rsid w:val="006A5D30"/>
    <w:rsid w:val="006A5FA9"/>
    <w:rsid w:val="006A614F"/>
    <w:rsid w:val="006A65D0"/>
    <w:rsid w:val="006A6B54"/>
    <w:rsid w:val="006A761E"/>
    <w:rsid w:val="006A7B31"/>
    <w:rsid w:val="006A7EA8"/>
    <w:rsid w:val="006B06E6"/>
    <w:rsid w:val="006B1278"/>
    <w:rsid w:val="006B1EC4"/>
    <w:rsid w:val="006B22EF"/>
    <w:rsid w:val="006B2550"/>
    <w:rsid w:val="006B26F4"/>
    <w:rsid w:val="006B2706"/>
    <w:rsid w:val="006B3196"/>
    <w:rsid w:val="006B3BCF"/>
    <w:rsid w:val="006B4DD9"/>
    <w:rsid w:val="006B576F"/>
    <w:rsid w:val="006B59CF"/>
    <w:rsid w:val="006B72B5"/>
    <w:rsid w:val="006C061A"/>
    <w:rsid w:val="006C07F1"/>
    <w:rsid w:val="006C0F42"/>
    <w:rsid w:val="006C11C7"/>
    <w:rsid w:val="006C16A3"/>
    <w:rsid w:val="006C3CA8"/>
    <w:rsid w:val="006C4017"/>
    <w:rsid w:val="006C4940"/>
    <w:rsid w:val="006C4DE0"/>
    <w:rsid w:val="006C6C73"/>
    <w:rsid w:val="006C7801"/>
    <w:rsid w:val="006C7DC4"/>
    <w:rsid w:val="006D0486"/>
    <w:rsid w:val="006D04E6"/>
    <w:rsid w:val="006D0F5A"/>
    <w:rsid w:val="006D1885"/>
    <w:rsid w:val="006D1F01"/>
    <w:rsid w:val="006D33A3"/>
    <w:rsid w:val="006D5034"/>
    <w:rsid w:val="006D5045"/>
    <w:rsid w:val="006D6B52"/>
    <w:rsid w:val="006D70EF"/>
    <w:rsid w:val="006D7250"/>
    <w:rsid w:val="006D73CE"/>
    <w:rsid w:val="006D7474"/>
    <w:rsid w:val="006E3432"/>
    <w:rsid w:val="006E372C"/>
    <w:rsid w:val="006E3A9A"/>
    <w:rsid w:val="006E3FB0"/>
    <w:rsid w:val="006E41C8"/>
    <w:rsid w:val="006E69EC"/>
    <w:rsid w:val="006E7093"/>
    <w:rsid w:val="006E7ECE"/>
    <w:rsid w:val="006F0FC9"/>
    <w:rsid w:val="006F1099"/>
    <w:rsid w:val="006F21B5"/>
    <w:rsid w:val="006F4354"/>
    <w:rsid w:val="006F4F47"/>
    <w:rsid w:val="006F53BA"/>
    <w:rsid w:val="006F53D4"/>
    <w:rsid w:val="006F66EB"/>
    <w:rsid w:val="006F6E0F"/>
    <w:rsid w:val="007003EA"/>
    <w:rsid w:val="00700C36"/>
    <w:rsid w:val="00701D30"/>
    <w:rsid w:val="007026E7"/>
    <w:rsid w:val="00702A99"/>
    <w:rsid w:val="00703495"/>
    <w:rsid w:val="007035F5"/>
    <w:rsid w:val="00703B91"/>
    <w:rsid w:val="0070412A"/>
    <w:rsid w:val="00704271"/>
    <w:rsid w:val="0070429D"/>
    <w:rsid w:val="00704583"/>
    <w:rsid w:val="00704765"/>
    <w:rsid w:val="0070516F"/>
    <w:rsid w:val="00705287"/>
    <w:rsid w:val="0070528D"/>
    <w:rsid w:val="00705AA8"/>
    <w:rsid w:val="00705E96"/>
    <w:rsid w:val="00705F0C"/>
    <w:rsid w:val="00706037"/>
    <w:rsid w:val="00706487"/>
    <w:rsid w:val="0070769A"/>
    <w:rsid w:val="00707882"/>
    <w:rsid w:val="00707FFE"/>
    <w:rsid w:val="007113CE"/>
    <w:rsid w:val="00711996"/>
    <w:rsid w:val="00712067"/>
    <w:rsid w:val="00715460"/>
    <w:rsid w:val="0071559F"/>
    <w:rsid w:val="007155EF"/>
    <w:rsid w:val="007160AB"/>
    <w:rsid w:val="00717399"/>
    <w:rsid w:val="007211DD"/>
    <w:rsid w:val="00722F6F"/>
    <w:rsid w:val="00723554"/>
    <w:rsid w:val="00724038"/>
    <w:rsid w:val="00724567"/>
    <w:rsid w:val="007248A3"/>
    <w:rsid w:val="007266C2"/>
    <w:rsid w:val="007267B6"/>
    <w:rsid w:val="007278E8"/>
    <w:rsid w:val="007303B9"/>
    <w:rsid w:val="00730661"/>
    <w:rsid w:val="00730F2B"/>
    <w:rsid w:val="0073195D"/>
    <w:rsid w:val="0073242A"/>
    <w:rsid w:val="0073261C"/>
    <w:rsid w:val="007328F1"/>
    <w:rsid w:val="00732932"/>
    <w:rsid w:val="00733398"/>
    <w:rsid w:val="00733820"/>
    <w:rsid w:val="00734694"/>
    <w:rsid w:val="0073739E"/>
    <w:rsid w:val="00737AF8"/>
    <w:rsid w:val="0074017D"/>
    <w:rsid w:val="00741C4C"/>
    <w:rsid w:val="007428AD"/>
    <w:rsid w:val="00743F03"/>
    <w:rsid w:val="00744D58"/>
    <w:rsid w:val="00745537"/>
    <w:rsid w:val="00745D60"/>
    <w:rsid w:val="00747DF2"/>
    <w:rsid w:val="00750514"/>
    <w:rsid w:val="00751525"/>
    <w:rsid w:val="007515C1"/>
    <w:rsid w:val="00751C92"/>
    <w:rsid w:val="0075327A"/>
    <w:rsid w:val="00753375"/>
    <w:rsid w:val="00754135"/>
    <w:rsid w:val="00754617"/>
    <w:rsid w:val="007555E8"/>
    <w:rsid w:val="007568CB"/>
    <w:rsid w:val="00757068"/>
    <w:rsid w:val="007576B4"/>
    <w:rsid w:val="00757871"/>
    <w:rsid w:val="00760352"/>
    <w:rsid w:val="00760418"/>
    <w:rsid w:val="00760B15"/>
    <w:rsid w:val="0076159F"/>
    <w:rsid w:val="00762183"/>
    <w:rsid w:val="00762475"/>
    <w:rsid w:val="007627C0"/>
    <w:rsid w:val="00763013"/>
    <w:rsid w:val="00763101"/>
    <w:rsid w:val="007637C2"/>
    <w:rsid w:val="007644A4"/>
    <w:rsid w:val="007649A8"/>
    <w:rsid w:val="00765328"/>
    <w:rsid w:val="0076563F"/>
    <w:rsid w:val="0076573B"/>
    <w:rsid w:val="00765AB6"/>
    <w:rsid w:val="0076791A"/>
    <w:rsid w:val="00767942"/>
    <w:rsid w:val="00770225"/>
    <w:rsid w:val="00770A22"/>
    <w:rsid w:val="00770D73"/>
    <w:rsid w:val="0077120D"/>
    <w:rsid w:val="00771AB2"/>
    <w:rsid w:val="00771D7A"/>
    <w:rsid w:val="007720EF"/>
    <w:rsid w:val="007721D4"/>
    <w:rsid w:val="00772656"/>
    <w:rsid w:val="00773512"/>
    <w:rsid w:val="00773948"/>
    <w:rsid w:val="00774782"/>
    <w:rsid w:val="00774831"/>
    <w:rsid w:val="00775800"/>
    <w:rsid w:val="007762D1"/>
    <w:rsid w:val="00776544"/>
    <w:rsid w:val="00776A67"/>
    <w:rsid w:val="00777D4A"/>
    <w:rsid w:val="007804C7"/>
    <w:rsid w:val="00780729"/>
    <w:rsid w:val="00780810"/>
    <w:rsid w:val="00781C9F"/>
    <w:rsid w:val="007835E9"/>
    <w:rsid w:val="00783737"/>
    <w:rsid w:val="00783876"/>
    <w:rsid w:val="0078452A"/>
    <w:rsid w:val="00784744"/>
    <w:rsid w:val="00784821"/>
    <w:rsid w:val="00785FA0"/>
    <w:rsid w:val="00786279"/>
    <w:rsid w:val="007869F7"/>
    <w:rsid w:val="0078741D"/>
    <w:rsid w:val="00790515"/>
    <w:rsid w:val="00790AE0"/>
    <w:rsid w:val="00792BFC"/>
    <w:rsid w:val="00792C05"/>
    <w:rsid w:val="00794071"/>
    <w:rsid w:val="00795472"/>
    <w:rsid w:val="007956B1"/>
    <w:rsid w:val="00795DBC"/>
    <w:rsid w:val="00796B1D"/>
    <w:rsid w:val="00796E26"/>
    <w:rsid w:val="00796FE2"/>
    <w:rsid w:val="0079720B"/>
    <w:rsid w:val="007A1C6F"/>
    <w:rsid w:val="007A1DB0"/>
    <w:rsid w:val="007A265B"/>
    <w:rsid w:val="007A3676"/>
    <w:rsid w:val="007A3E0C"/>
    <w:rsid w:val="007A4C60"/>
    <w:rsid w:val="007A543E"/>
    <w:rsid w:val="007A5EDC"/>
    <w:rsid w:val="007A6233"/>
    <w:rsid w:val="007A643F"/>
    <w:rsid w:val="007A6898"/>
    <w:rsid w:val="007A72A3"/>
    <w:rsid w:val="007A7424"/>
    <w:rsid w:val="007B03BB"/>
    <w:rsid w:val="007B0BBE"/>
    <w:rsid w:val="007B0D5B"/>
    <w:rsid w:val="007B1294"/>
    <w:rsid w:val="007B1C5B"/>
    <w:rsid w:val="007B1D46"/>
    <w:rsid w:val="007B1E1A"/>
    <w:rsid w:val="007B25DE"/>
    <w:rsid w:val="007B2644"/>
    <w:rsid w:val="007B2BC8"/>
    <w:rsid w:val="007B2F73"/>
    <w:rsid w:val="007B42B3"/>
    <w:rsid w:val="007B468C"/>
    <w:rsid w:val="007B561C"/>
    <w:rsid w:val="007B604D"/>
    <w:rsid w:val="007B643A"/>
    <w:rsid w:val="007B74ED"/>
    <w:rsid w:val="007B7B50"/>
    <w:rsid w:val="007C088F"/>
    <w:rsid w:val="007C1673"/>
    <w:rsid w:val="007C1922"/>
    <w:rsid w:val="007C26F0"/>
    <w:rsid w:val="007C36F7"/>
    <w:rsid w:val="007C3C56"/>
    <w:rsid w:val="007C41FF"/>
    <w:rsid w:val="007C5645"/>
    <w:rsid w:val="007C57FE"/>
    <w:rsid w:val="007C591C"/>
    <w:rsid w:val="007C6C41"/>
    <w:rsid w:val="007C73C2"/>
    <w:rsid w:val="007C7B64"/>
    <w:rsid w:val="007D003F"/>
    <w:rsid w:val="007D0E43"/>
    <w:rsid w:val="007D0E6D"/>
    <w:rsid w:val="007D3DAC"/>
    <w:rsid w:val="007D3E89"/>
    <w:rsid w:val="007D4236"/>
    <w:rsid w:val="007D48CE"/>
    <w:rsid w:val="007D5AEB"/>
    <w:rsid w:val="007D6E1D"/>
    <w:rsid w:val="007D7102"/>
    <w:rsid w:val="007D7CED"/>
    <w:rsid w:val="007E0EEF"/>
    <w:rsid w:val="007E1DCE"/>
    <w:rsid w:val="007E201D"/>
    <w:rsid w:val="007E4654"/>
    <w:rsid w:val="007E53C1"/>
    <w:rsid w:val="007E571D"/>
    <w:rsid w:val="007E70AC"/>
    <w:rsid w:val="007E7965"/>
    <w:rsid w:val="007F1133"/>
    <w:rsid w:val="007F44C7"/>
    <w:rsid w:val="007F59F8"/>
    <w:rsid w:val="007F625C"/>
    <w:rsid w:val="008001B6"/>
    <w:rsid w:val="008003EB"/>
    <w:rsid w:val="008022A4"/>
    <w:rsid w:val="00802E53"/>
    <w:rsid w:val="008038A8"/>
    <w:rsid w:val="00804606"/>
    <w:rsid w:val="0080463E"/>
    <w:rsid w:val="008053FF"/>
    <w:rsid w:val="008059C2"/>
    <w:rsid w:val="00806560"/>
    <w:rsid w:val="00806852"/>
    <w:rsid w:val="00806E1E"/>
    <w:rsid w:val="008079E5"/>
    <w:rsid w:val="00811720"/>
    <w:rsid w:val="00812FCB"/>
    <w:rsid w:val="008135DF"/>
    <w:rsid w:val="00813B8F"/>
    <w:rsid w:val="00815897"/>
    <w:rsid w:val="008173CC"/>
    <w:rsid w:val="00817C82"/>
    <w:rsid w:val="008222FC"/>
    <w:rsid w:val="00824E0F"/>
    <w:rsid w:val="008257BC"/>
    <w:rsid w:val="008262CD"/>
    <w:rsid w:val="00826B12"/>
    <w:rsid w:val="00826B70"/>
    <w:rsid w:val="00827BE0"/>
    <w:rsid w:val="00827FE1"/>
    <w:rsid w:val="00830177"/>
    <w:rsid w:val="00830378"/>
    <w:rsid w:val="008304F9"/>
    <w:rsid w:val="008307E2"/>
    <w:rsid w:val="008309A3"/>
    <w:rsid w:val="00830CEF"/>
    <w:rsid w:val="00831EC2"/>
    <w:rsid w:val="008324E7"/>
    <w:rsid w:val="008329A6"/>
    <w:rsid w:val="00832C3B"/>
    <w:rsid w:val="00832DE2"/>
    <w:rsid w:val="008332CE"/>
    <w:rsid w:val="008332FE"/>
    <w:rsid w:val="0083578E"/>
    <w:rsid w:val="00835A2E"/>
    <w:rsid w:val="00835BF9"/>
    <w:rsid w:val="00835F93"/>
    <w:rsid w:val="0083788F"/>
    <w:rsid w:val="0084089F"/>
    <w:rsid w:val="00841BBF"/>
    <w:rsid w:val="00841EBE"/>
    <w:rsid w:val="00843600"/>
    <w:rsid w:val="00843701"/>
    <w:rsid w:val="00843B42"/>
    <w:rsid w:val="00843CFA"/>
    <w:rsid w:val="00844228"/>
    <w:rsid w:val="008462AD"/>
    <w:rsid w:val="00850017"/>
    <w:rsid w:val="008508D1"/>
    <w:rsid w:val="0085244F"/>
    <w:rsid w:val="00855265"/>
    <w:rsid w:val="008558B1"/>
    <w:rsid w:val="00855BDA"/>
    <w:rsid w:val="008560EB"/>
    <w:rsid w:val="00857609"/>
    <w:rsid w:val="008576E5"/>
    <w:rsid w:val="00857730"/>
    <w:rsid w:val="0085787D"/>
    <w:rsid w:val="00857E46"/>
    <w:rsid w:val="008603F2"/>
    <w:rsid w:val="008613F0"/>
    <w:rsid w:val="0086281D"/>
    <w:rsid w:val="00863D6E"/>
    <w:rsid w:val="008644EE"/>
    <w:rsid w:val="00864DD6"/>
    <w:rsid w:val="00864FE2"/>
    <w:rsid w:val="00865371"/>
    <w:rsid w:val="00865AA1"/>
    <w:rsid w:val="00866745"/>
    <w:rsid w:val="00866F78"/>
    <w:rsid w:val="00867A0A"/>
    <w:rsid w:val="00867C25"/>
    <w:rsid w:val="00867DE5"/>
    <w:rsid w:val="00867F00"/>
    <w:rsid w:val="0087018C"/>
    <w:rsid w:val="008703E1"/>
    <w:rsid w:val="00870D3C"/>
    <w:rsid w:val="008721C8"/>
    <w:rsid w:val="008732E1"/>
    <w:rsid w:val="0087349C"/>
    <w:rsid w:val="008748A4"/>
    <w:rsid w:val="0087504E"/>
    <w:rsid w:val="008750C2"/>
    <w:rsid w:val="00875131"/>
    <w:rsid w:val="00875519"/>
    <w:rsid w:val="00875AFF"/>
    <w:rsid w:val="008768C1"/>
    <w:rsid w:val="00876E9E"/>
    <w:rsid w:val="00877132"/>
    <w:rsid w:val="00877365"/>
    <w:rsid w:val="008776A1"/>
    <w:rsid w:val="00880038"/>
    <w:rsid w:val="00880C11"/>
    <w:rsid w:val="0088162B"/>
    <w:rsid w:val="00881737"/>
    <w:rsid w:val="0088220A"/>
    <w:rsid w:val="00884064"/>
    <w:rsid w:val="00884238"/>
    <w:rsid w:val="00886084"/>
    <w:rsid w:val="00886685"/>
    <w:rsid w:val="00886E3A"/>
    <w:rsid w:val="00887AED"/>
    <w:rsid w:val="008907D5"/>
    <w:rsid w:val="00890A42"/>
    <w:rsid w:val="00890AEC"/>
    <w:rsid w:val="00890F38"/>
    <w:rsid w:val="00893D72"/>
    <w:rsid w:val="00894ACD"/>
    <w:rsid w:val="00895B72"/>
    <w:rsid w:val="00896546"/>
    <w:rsid w:val="008978DC"/>
    <w:rsid w:val="0089793B"/>
    <w:rsid w:val="008A177A"/>
    <w:rsid w:val="008A263B"/>
    <w:rsid w:val="008A2793"/>
    <w:rsid w:val="008A29C6"/>
    <w:rsid w:val="008A2D67"/>
    <w:rsid w:val="008A3693"/>
    <w:rsid w:val="008A3DEE"/>
    <w:rsid w:val="008A46AA"/>
    <w:rsid w:val="008A4783"/>
    <w:rsid w:val="008A5D08"/>
    <w:rsid w:val="008A61BC"/>
    <w:rsid w:val="008A6A57"/>
    <w:rsid w:val="008B0602"/>
    <w:rsid w:val="008B06D2"/>
    <w:rsid w:val="008B1465"/>
    <w:rsid w:val="008B2E58"/>
    <w:rsid w:val="008B393C"/>
    <w:rsid w:val="008B3DB3"/>
    <w:rsid w:val="008B5D0E"/>
    <w:rsid w:val="008B65A1"/>
    <w:rsid w:val="008B6E73"/>
    <w:rsid w:val="008B7A26"/>
    <w:rsid w:val="008C06E2"/>
    <w:rsid w:val="008C0BD2"/>
    <w:rsid w:val="008C1286"/>
    <w:rsid w:val="008C132C"/>
    <w:rsid w:val="008C2112"/>
    <w:rsid w:val="008C2129"/>
    <w:rsid w:val="008C2424"/>
    <w:rsid w:val="008C376A"/>
    <w:rsid w:val="008C5F02"/>
    <w:rsid w:val="008C647B"/>
    <w:rsid w:val="008C7272"/>
    <w:rsid w:val="008D06FE"/>
    <w:rsid w:val="008D1224"/>
    <w:rsid w:val="008D1FA4"/>
    <w:rsid w:val="008D2754"/>
    <w:rsid w:val="008D3ACF"/>
    <w:rsid w:val="008D3B58"/>
    <w:rsid w:val="008D3C1C"/>
    <w:rsid w:val="008D4537"/>
    <w:rsid w:val="008D4A50"/>
    <w:rsid w:val="008E017B"/>
    <w:rsid w:val="008E1456"/>
    <w:rsid w:val="008E1565"/>
    <w:rsid w:val="008E1BE3"/>
    <w:rsid w:val="008E1C15"/>
    <w:rsid w:val="008E2159"/>
    <w:rsid w:val="008E233C"/>
    <w:rsid w:val="008E26F8"/>
    <w:rsid w:val="008E2899"/>
    <w:rsid w:val="008E29C1"/>
    <w:rsid w:val="008E29F4"/>
    <w:rsid w:val="008E34FA"/>
    <w:rsid w:val="008E35AB"/>
    <w:rsid w:val="008E3A41"/>
    <w:rsid w:val="008E3E1D"/>
    <w:rsid w:val="008E451E"/>
    <w:rsid w:val="008E500D"/>
    <w:rsid w:val="008E604F"/>
    <w:rsid w:val="008E6A7B"/>
    <w:rsid w:val="008F05C5"/>
    <w:rsid w:val="008F2A7F"/>
    <w:rsid w:val="008F2FD3"/>
    <w:rsid w:val="008F652F"/>
    <w:rsid w:val="008F701B"/>
    <w:rsid w:val="008F7351"/>
    <w:rsid w:val="00900309"/>
    <w:rsid w:val="00900329"/>
    <w:rsid w:val="009015DD"/>
    <w:rsid w:val="00902FB6"/>
    <w:rsid w:val="009037DC"/>
    <w:rsid w:val="00903FEE"/>
    <w:rsid w:val="009044F6"/>
    <w:rsid w:val="009047CD"/>
    <w:rsid w:val="00904CE3"/>
    <w:rsid w:val="009050CA"/>
    <w:rsid w:val="00905F30"/>
    <w:rsid w:val="0090657F"/>
    <w:rsid w:val="00907A3E"/>
    <w:rsid w:val="00907CEC"/>
    <w:rsid w:val="00907FBE"/>
    <w:rsid w:val="00910666"/>
    <w:rsid w:val="00911A16"/>
    <w:rsid w:val="00911CF9"/>
    <w:rsid w:val="00912E32"/>
    <w:rsid w:val="00912FC7"/>
    <w:rsid w:val="009131E3"/>
    <w:rsid w:val="00913796"/>
    <w:rsid w:val="00913DD8"/>
    <w:rsid w:val="00913E04"/>
    <w:rsid w:val="00914348"/>
    <w:rsid w:val="00914FAE"/>
    <w:rsid w:val="00915A74"/>
    <w:rsid w:val="00915DAE"/>
    <w:rsid w:val="00917D11"/>
    <w:rsid w:val="0092038A"/>
    <w:rsid w:val="00920DBE"/>
    <w:rsid w:val="00920F65"/>
    <w:rsid w:val="009221ED"/>
    <w:rsid w:val="00922BBA"/>
    <w:rsid w:val="009239A0"/>
    <w:rsid w:val="0092497C"/>
    <w:rsid w:val="00924BFB"/>
    <w:rsid w:val="00925138"/>
    <w:rsid w:val="00927465"/>
    <w:rsid w:val="00927DBA"/>
    <w:rsid w:val="00932133"/>
    <w:rsid w:val="009333BA"/>
    <w:rsid w:val="009335E9"/>
    <w:rsid w:val="009356BC"/>
    <w:rsid w:val="00935EC4"/>
    <w:rsid w:val="0093606F"/>
    <w:rsid w:val="00936BB7"/>
    <w:rsid w:val="009376D9"/>
    <w:rsid w:val="0094005D"/>
    <w:rsid w:val="009403D6"/>
    <w:rsid w:val="00940F37"/>
    <w:rsid w:val="0094766A"/>
    <w:rsid w:val="009477CD"/>
    <w:rsid w:val="00947A09"/>
    <w:rsid w:val="00950575"/>
    <w:rsid w:val="009511DD"/>
    <w:rsid w:val="009524CA"/>
    <w:rsid w:val="00952A85"/>
    <w:rsid w:val="00952A93"/>
    <w:rsid w:val="00952D66"/>
    <w:rsid w:val="00953FDC"/>
    <w:rsid w:val="00954675"/>
    <w:rsid w:val="00954C23"/>
    <w:rsid w:val="00954C72"/>
    <w:rsid w:val="009557A2"/>
    <w:rsid w:val="009565A3"/>
    <w:rsid w:val="009566AD"/>
    <w:rsid w:val="009567F7"/>
    <w:rsid w:val="00956B12"/>
    <w:rsid w:val="00957AF1"/>
    <w:rsid w:val="0096184C"/>
    <w:rsid w:val="00961E22"/>
    <w:rsid w:val="009626C7"/>
    <w:rsid w:val="00962A97"/>
    <w:rsid w:val="009640EF"/>
    <w:rsid w:val="00964D7E"/>
    <w:rsid w:val="00965FF7"/>
    <w:rsid w:val="0096744B"/>
    <w:rsid w:val="00967AED"/>
    <w:rsid w:val="00970F67"/>
    <w:rsid w:val="00971201"/>
    <w:rsid w:val="00971205"/>
    <w:rsid w:val="009723B2"/>
    <w:rsid w:val="009739C9"/>
    <w:rsid w:val="009743DA"/>
    <w:rsid w:val="00974C5A"/>
    <w:rsid w:val="00974FD6"/>
    <w:rsid w:val="009751C6"/>
    <w:rsid w:val="00975D1A"/>
    <w:rsid w:val="00976028"/>
    <w:rsid w:val="00977DCF"/>
    <w:rsid w:val="00981143"/>
    <w:rsid w:val="009817F4"/>
    <w:rsid w:val="0098313A"/>
    <w:rsid w:val="00983EDC"/>
    <w:rsid w:val="00985722"/>
    <w:rsid w:val="00985C99"/>
    <w:rsid w:val="00985EB0"/>
    <w:rsid w:val="00987857"/>
    <w:rsid w:val="00990A02"/>
    <w:rsid w:val="00992043"/>
    <w:rsid w:val="009924EC"/>
    <w:rsid w:val="00992961"/>
    <w:rsid w:val="00992984"/>
    <w:rsid w:val="009934FC"/>
    <w:rsid w:val="00993EED"/>
    <w:rsid w:val="00994426"/>
    <w:rsid w:val="0099583C"/>
    <w:rsid w:val="009A0C06"/>
    <w:rsid w:val="009A1D2F"/>
    <w:rsid w:val="009A2031"/>
    <w:rsid w:val="009A3AC7"/>
    <w:rsid w:val="009A49A6"/>
    <w:rsid w:val="009A53CA"/>
    <w:rsid w:val="009A60D2"/>
    <w:rsid w:val="009A6CE5"/>
    <w:rsid w:val="009A73FF"/>
    <w:rsid w:val="009A7D49"/>
    <w:rsid w:val="009B0E71"/>
    <w:rsid w:val="009B14AF"/>
    <w:rsid w:val="009B16A8"/>
    <w:rsid w:val="009B1D02"/>
    <w:rsid w:val="009B1E2F"/>
    <w:rsid w:val="009B2064"/>
    <w:rsid w:val="009B2656"/>
    <w:rsid w:val="009B277A"/>
    <w:rsid w:val="009B3B9F"/>
    <w:rsid w:val="009B4FD5"/>
    <w:rsid w:val="009B7A7C"/>
    <w:rsid w:val="009C06AD"/>
    <w:rsid w:val="009C0E4C"/>
    <w:rsid w:val="009C16E9"/>
    <w:rsid w:val="009C2416"/>
    <w:rsid w:val="009C3543"/>
    <w:rsid w:val="009C3AA2"/>
    <w:rsid w:val="009C531A"/>
    <w:rsid w:val="009C5362"/>
    <w:rsid w:val="009C5CA3"/>
    <w:rsid w:val="009C60AB"/>
    <w:rsid w:val="009C7069"/>
    <w:rsid w:val="009C7A5E"/>
    <w:rsid w:val="009C7BE7"/>
    <w:rsid w:val="009D0885"/>
    <w:rsid w:val="009D145E"/>
    <w:rsid w:val="009D1D18"/>
    <w:rsid w:val="009D20D4"/>
    <w:rsid w:val="009D31F5"/>
    <w:rsid w:val="009D34F7"/>
    <w:rsid w:val="009D3DAD"/>
    <w:rsid w:val="009D4C15"/>
    <w:rsid w:val="009D4ECB"/>
    <w:rsid w:val="009D5C3F"/>
    <w:rsid w:val="009D615E"/>
    <w:rsid w:val="009D6228"/>
    <w:rsid w:val="009D6E1E"/>
    <w:rsid w:val="009E00AE"/>
    <w:rsid w:val="009E0450"/>
    <w:rsid w:val="009E0950"/>
    <w:rsid w:val="009E0F11"/>
    <w:rsid w:val="009E0FBC"/>
    <w:rsid w:val="009E1924"/>
    <w:rsid w:val="009E2316"/>
    <w:rsid w:val="009E3D9B"/>
    <w:rsid w:val="009E4F44"/>
    <w:rsid w:val="009E59C2"/>
    <w:rsid w:val="009E6D48"/>
    <w:rsid w:val="009E6EC2"/>
    <w:rsid w:val="009E7F19"/>
    <w:rsid w:val="009E7FCB"/>
    <w:rsid w:val="009F0EE6"/>
    <w:rsid w:val="009F0EF4"/>
    <w:rsid w:val="009F0F34"/>
    <w:rsid w:val="009F21F4"/>
    <w:rsid w:val="009F31AA"/>
    <w:rsid w:val="009F356A"/>
    <w:rsid w:val="009F366D"/>
    <w:rsid w:val="009F4922"/>
    <w:rsid w:val="009F4C1C"/>
    <w:rsid w:val="009F531A"/>
    <w:rsid w:val="009F5956"/>
    <w:rsid w:val="009F5B51"/>
    <w:rsid w:val="009F6248"/>
    <w:rsid w:val="009F7546"/>
    <w:rsid w:val="009F7BC7"/>
    <w:rsid w:val="00A00BE4"/>
    <w:rsid w:val="00A01526"/>
    <w:rsid w:val="00A02434"/>
    <w:rsid w:val="00A02996"/>
    <w:rsid w:val="00A03284"/>
    <w:rsid w:val="00A04102"/>
    <w:rsid w:val="00A04B8F"/>
    <w:rsid w:val="00A0723D"/>
    <w:rsid w:val="00A074A3"/>
    <w:rsid w:val="00A0770F"/>
    <w:rsid w:val="00A07F07"/>
    <w:rsid w:val="00A1118C"/>
    <w:rsid w:val="00A12856"/>
    <w:rsid w:val="00A129AF"/>
    <w:rsid w:val="00A12A3E"/>
    <w:rsid w:val="00A13B24"/>
    <w:rsid w:val="00A142E9"/>
    <w:rsid w:val="00A1442F"/>
    <w:rsid w:val="00A14A13"/>
    <w:rsid w:val="00A14EA2"/>
    <w:rsid w:val="00A158A5"/>
    <w:rsid w:val="00A15D48"/>
    <w:rsid w:val="00A160F0"/>
    <w:rsid w:val="00A1631E"/>
    <w:rsid w:val="00A16DCC"/>
    <w:rsid w:val="00A1707D"/>
    <w:rsid w:val="00A1734C"/>
    <w:rsid w:val="00A17489"/>
    <w:rsid w:val="00A176E6"/>
    <w:rsid w:val="00A17857"/>
    <w:rsid w:val="00A17B80"/>
    <w:rsid w:val="00A208A6"/>
    <w:rsid w:val="00A208DC"/>
    <w:rsid w:val="00A218AC"/>
    <w:rsid w:val="00A21CD4"/>
    <w:rsid w:val="00A221C5"/>
    <w:rsid w:val="00A22AB3"/>
    <w:rsid w:val="00A22C7E"/>
    <w:rsid w:val="00A2324F"/>
    <w:rsid w:val="00A24F30"/>
    <w:rsid w:val="00A26A27"/>
    <w:rsid w:val="00A26CA6"/>
    <w:rsid w:val="00A2789D"/>
    <w:rsid w:val="00A27B24"/>
    <w:rsid w:val="00A27BD1"/>
    <w:rsid w:val="00A3120E"/>
    <w:rsid w:val="00A317D9"/>
    <w:rsid w:val="00A3212E"/>
    <w:rsid w:val="00A323AC"/>
    <w:rsid w:val="00A32430"/>
    <w:rsid w:val="00A32CCF"/>
    <w:rsid w:val="00A33AC0"/>
    <w:rsid w:val="00A33BE2"/>
    <w:rsid w:val="00A33E49"/>
    <w:rsid w:val="00A33FAF"/>
    <w:rsid w:val="00A3403F"/>
    <w:rsid w:val="00A34FA9"/>
    <w:rsid w:val="00A35EA3"/>
    <w:rsid w:val="00A36E46"/>
    <w:rsid w:val="00A401F4"/>
    <w:rsid w:val="00A41646"/>
    <w:rsid w:val="00A42A4D"/>
    <w:rsid w:val="00A43C3D"/>
    <w:rsid w:val="00A440C2"/>
    <w:rsid w:val="00A45265"/>
    <w:rsid w:val="00A46D59"/>
    <w:rsid w:val="00A4737E"/>
    <w:rsid w:val="00A47790"/>
    <w:rsid w:val="00A47AF1"/>
    <w:rsid w:val="00A47C54"/>
    <w:rsid w:val="00A50436"/>
    <w:rsid w:val="00A50AD9"/>
    <w:rsid w:val="00A51B10"/>
    <w:rsid w:val="00A51FBC"/>
    <w:rsid w:val="00A52685"/>
    <w:rsid w:val="00A52F94"/>
    <w:rsid w:val="00A53F06"/>
    <w:rsid w:val="00A557C5"/>
    <w:rsid w:val="00A55D94"/>
    <w:rsid w:val="00A606AE"/>
    <w:rsid w:val="00A60726"/>
    <w:rsid w:val="00A607D0"/>
    <w:rsid w:val="00A60BEE"/>
    <w:rsid w:val="00A60FE5"/>
    <w:rsid w:val="00A62272"/>
    <w:rsid w:val="00A626B0"/>
    <w:rsid w:val="00A63615"/>
    <w:rsid w:val="00A63B3A"/>
    <w:rsid w:val="00A63DBE"/>
    <w:rsid w:val="00A643AB"/>
    <w:rsid w:val="00A64AF2"/>
    <w:rsid w:val="00A652BE"/>
    <w:rsid w:val="00A658ED"/>
    <w:rsid w:val="00A65E96"/>
    <w:rsid w:val="00A663EA"/>
    <w:rsid w:val="00A66F40"/>
    <w:rsid w:val="00A67DD4"/>
    <w:rsid w:val="00A700C9"/>
    <w:rsid w:val="00A70A43"/>
    <w:rsid w:val="00A71962"/>
    <w:rsid w:val="00A72316"/>
    <w:rsid w:val="00A72328"/>
    <w:rsid w:val="00A7304F"/>
    <w:rsid w:val="00A73214"/>
    <w:rsid w:val="00A740D5"/>
    <w:rsid w:val="00A747B2"/>
    <w:rsid w:val="00A74F96"/>
    <w:rsid w:val="00A756CB"/>
    <w:rsid w:val="00A75C4C"/>
    <w:rsid w:val="00A76090"/>
    <w:rsid w:val="00A76333"/>
    <w:rsid w:val="00A763BA"/>
    <w:rsid w:val="00A76FFE"/>
    <w:rsid w:val="00A800F0"/>
    <w:rsid w:val="00A8077A"/>
    <w:rsid w:val="00A8089D"/>
    <w:rsid w:val="00A81BF0"/>
    <w:rsid w:val="00A81D67"/>
    <w:rsid w:val="00A820F4"/>
    <w:rsid w:val="00A83F26"/>
    <w:rsid w:val="00A8437D"/>
    <w:rsid w:val="00A84400"/>
    <w:rsid w:val="00A84C57"/>
    <w:rsid w:val="00A84CAD"/>
    <w:rsid w:val="00A86E38"/>
    <w:rsid w:val="00A86ED6"/>
    <w:rsid w:val="00A870C2"/>
    <w:rsid w:val="00A87596"/>
    <w:rsid w:val="00A879EC"/>
    <w:rsid w:val="00A916ED"/>
    <w:rsid w:val="00A925DB"/>
    <w:rsid w:val="00A9293C"/>
    <w:rsid w:val="00A92A0F"/>
    <w:rsid w:val="00A934CD"/>
    <w:rsid w:val="00A93D18"/>
    <w:rsid w:val="00A93F71"/>
    <w:rsid w:val="00A95210"/>
    <w:rsid w:val="00A95534"/>
    <w:rsid w:val="00A96E5E"/>
    <w:rsid w:val="00A97791"/>
    <w:rsid w:val="00A977E6"/>
    <w:rsid w:val="00A97A09"/>
    <w:rsid w:val="00AA2331"/>
    <w:rsid w:val="00AA23DF"/>
    <w:rsid w:val="00AA2587"/>
    <w:rsid w:val="00AA35F5"/>
    <w:rsid w:val="00AA3E5B"/>
    <w:rsid w:val="00AA40C8"/>
    <w:rsid w:val="00AA413B"/>
    <w:rsid w:val="00AA4485"/>
    <w:rsid w:val="00AA4CBD"/>
    <w:rsid w:val="00AA53A5"/>
    <w:rsid w:val="00AA5D35"/>
    <w:rsid w:val="00AA60E0"/>
    <w:rsid w:val="00AA62CB"/>
    <w:rsid w:val="00AA6E2F"/>
    <w:rsid w:val="00AA7A8C"/>
    <w:rsid w:val="00AB0CB4"/>
    <w:rsid w:val="00AB11CB"/>
    <w:rsid w:val="00AB165F"/>
    <w:rsid w:val="00AB16DE"/>
    <w:rsid w:val="00AB1E44"/>
    <w:rsid w:val="00AB352A"/>
    <w:rsid w:val="00AB3C44"/>
    <w:rsid w:val="00AB491D"/>
    <w:rsid w:val="00AB4BF0"/>
    <w:rsid w:val="00AB519E"/>
    <w:rsid w:val="00AB56F0"/>
    <w:rsid w:val="00AB5834"/>
    <w:rsid w:val="00AB5CE4"/>
    <w:rsid w:val="00AB61D8"/>
    <w:rsid w:val="00AB734E"/>
    <w:rsid w:val="00AB76C6"/>
    <w:rsid w:val="00AC05EB"/>
    <w:rsid w:val="00AC0C27"/>
    <w:rsid w:val="00AC235A"/>
    <w:rsid w:val="00AC2BFD"/>
    <w:rsid w:val="00AC30BB"/>
    <w:rsid w:val="00AC3F26"/>
    <w:rsid w:val="00AC4889"/>
    <w:rsid w:val="00AC4C4C"/>
    <w:rsid w:val="00AC5076"/>
    <w:rsid w:val="00AC563A"/>
    <w:rsid w:val="00AC66A6"/>
    <w:rsid w:val="00AC6EFB"/>
    <w:rsid w:val="00AC73B2"/>
    <w:rsid w:val="00AC76C1"/>
    <w:rsid w:val="00AC7D56"/>
    <w:rsid w:val="00AD0172"/>
    <w:rsid w:val="00AD08FD"/>
    <w:rsid w:val="00AD1558"/>
    <w:rsid w:val="00AD1C4B"/>
    <w:rsid w:val="00AD3645"/>
    <w:rsid w:val="00AD4CAA"/>
    <w:rsid w:val="00AD6B40"/>
    <w:rsid w:val="00AD7084"/>
    <w:rsid w:val="00AD72CB"/>
    <w:rsid w:val="00AE06AD"/>
    <w:rsid w:val="00AE08F6"/>
    <w:rsid w:val="00AE0C64"/>
    <w:rsid w:val="00AE25D6"/>
    <w:rsid w:val="00AE2EE2"/>
    <w:rsid w:val="00AE33ED"/>
    <w:rsid w:val="00AE482C"/>
    <w:rsid w:val="00AE4B03"/>
    <w:rsid w:val="00AE596B"/>
    <w:rsid w:val="00AE6380"/>
    <w:rsid w:val="00AE7AA6"/>
    <w:rsid w:val="00AE7FE1"/>
    <w:rsid w:val="00AF1BAB"/>
    <w:rsid w:val="00AF1F71"/>
    <w:rsid w:val="00AF208E"/>
    <w:rsid w:val="00AF24DE"/>
    <w:rsid w:val="00AF297C"/>
    <w:rsid w:val="00AF3DD8"/>
    <w:rsid w:val="00AF3DD9"/>
    <w:rsid w:val="00AF47A8"/>
    <w:rsid w:val="00AF783E"/>
    <w:rsid w:val="00AF7A1E"/>
    <w:rsid w:val="00B000E2"/>
    <w:rsid w:val="00B00FDB"/>
    <w:rsid w:val="00B00FEF"/>
    <w:rsid w:val="00B01CE8"/>
    <w:rsid w:val="00B01E96"/>
    <w:rsid w:val="00B0235F"/>
    <w:rsid w:val="00B036D0"/>
    <w:rsid w:val="00B0405B"/>
    <w:rsid w:val="00B04A24"/>
    <w:rsid w:val="00B04CA3"/>
    <w:rsid w:val="00B04EBA"/>
    <w:rsid w:val="00B06F59"/>
    <w:rsid w:val="00B079FD"/>
    <w:rsid w:val="00B07C1B"/>
    <w:rsid w:val="00B07DA4"/>
    <w:rsid w:val="00B103EC"/>
    <w:rsid w:val="00B10C5C"/>
    <w:rsid w:val="00B11010"/>
    <w:rsid w:val="00B120F2"/>
    <w:rsid w:val="00B121F1"/>
    <w:rsid w:val="00B123CB"/>
    <w:rsid w:val="00B1258A"/>
    <w:rsid w:val="00B1281F"/>
    <w:rsid w:val="00B12D0F"/>
    <w:rsid w:val="00B12D8D"/>
    <w:rsid w:val="00B143A0"/>
    <w:rsid w:val="00B14E1B"/>
    <w:rsid w:val="00B15976"/>
    <w:rsid w:val="00B16808"/>
    <w:rsid w:val="00B179F8"/>
    <w:rsid w:val="00B2187B"/>
    <w:rsid w:val="00B22C7F"/>
    <w:rsid w:val="00B22EA2"/>
    <w:rsid w:val="00B235DE"/>
    <w:rsid w:val="00B23B97"/>
    <w:rsid w:val="00B24205"/>
    <w:rsid w:val="00B24576"/>
    <w:rsid w:val="00B26985"/>
    <w:rsid w:val="00B26F38"/>
    <w:rsid w:val="00B30CDB"/>
    <w:rsid w:val="00B33866"/>
    <w:rsid w:val="00B3399A"/>
    <w:rsid w:val="00B33A2A"/>
    <w:rsid w:val="00B3489F"/>
    <w:rsid w:val="00B34FCC"/>
    <w:rsid w:val="00B35581"/>
    <w:rsid w:val="00B35925"/>
    <w:rsid w:val="00B36B06"/>
    <w:rsid w:val="00B370D9"/>
    <w:rsid w:val="00B372E0"/>
    <w:rsid w:val="00B3747B"/>
    <w:rsid w:val="00B377A4"/>
    <w:rsid w:val="00B4044A"/>
    <w:rsid w:val="00B40ABB"/>
    <w:rsid w:val="00B42FB5"/>
    <w:rsid w:val="00B4420D"/>
    <w:rsid w:val="00B44B1A"/>
    <w:rsid w:val="00B44F82"/>
    <w:rsid w:val="00B4508B"/>
    <w:rsid w:val="00B45DCA"/>
    <w:rsid w:val="00B52445"/>
    <w:rsid w:val="00B53296"/>
    <w:rsid w:val="00B533BA"/>
    <w:rsid w:val="00B53556"/>
    <w:rsid w:val="00B53691"/>
    <w:rsid w:val="00B53D78"/>
    <w:rsid w:val="00B54698"/>
    <w:rsid w:val="00B54929"/>
    <w:rsid w:val="00B54AA3"/>
    <w:rsid w:val="00B5565D"/>
    <w:rsid w:val="00B55CBE"/>
    <w:rsid w:val="00B55E8B"/>
    <w:rsid w:val="00B561A6"/>
    <w:rsid w:val="00B56FF3"/>
    <w:rsid w:val="00B57005"/>
    <w:rsid w:val="00B57744"/>
    <w:rsid w:val="00B57E5A"/>
    <w:rsid w:val="00B60C9F"/>
    <w:rsid w:val="00B615A2"/>
    <w:rsid w:val="00B62B47"/>
    <w:rsid w:val="00B63709"/>
    <w:rsid w:val="00B64184"/>
    <w:rsid w:val="00B653A5"/>
    <w:rsid w:val="00B65448"/>
    <w:rsid w:val="00B66854"/>
    <w:rsid w:val="00B67187"/>
    <w:rsid w:val="00B709D9"/>
    <w:rsid w:val="00B723BB"/>
    <w:rsid w:val="00B72414"/>
    <w:rsid w:val="00B73955"/>
    <w:rsid w:val="00B73D4B"/>
    <w:rsid w:val="00B73DDA"/>
    <w:rsid w:val="00B742AE"/>
    <w:rsid w:val="00B7445F"/>
    <w:rsid w:val="00B7483F"/>
    <w:rsid w:val="00B76013"/>
    <w:rsid w:val="00B76BA6"/>
    <w:rsid w:val="00B76CA2"/>
    <w:rsid w:val="00B76D0A"/>
    <w:rsid w:val="00B77B11"/>
    <w:rsid w:val="00B77B8D"/>
    <w:rsid w:val="00B8033B"/>
    <w:rsid w:val="00B8065A"/>
    <w:rsid w:val="00B80681"/>
    <w:rsid w:val="00B8180A"/>
    <w:rsid w:val="00B81E0A"/>
    <w:rsid w:val="00B826D1"/>
    <w:rsid w:val="00B83E8A"/>
    <w:rsid w:val="00B851F3"/>
    <w:rsid w:val="00B855CB"/>
    <w:rsid w:val="00B85A8A"/>
    <w:rsid w:val="00B86CE8"/>
    <w:rsid w:val="00B86E6F"/>
    <w:rsid w:val="00B87A90"/>
    <w:rsid w:val="00B87D18"/>
    <w:rsid w:val="00B913B6"/>
    <w:rsid w:val="00B9191F"/>
    <w:rsid w:val="00B92503"/>
    <w:rsid w:val="00B92DDB"/>
    <w:rsid w:val="00B92F5D"/>
    <w:rsid w:val="00B92FF5"/>
    <w:rsid w:val="00B933AC"/>
    <w:rsid w:val="00B93A6C"/>
    <w:rsid w:val="00B94854"/>
    <w:rsid w:val="00B955CC"/>
    <w:rsid w:val="00B958C4"/>
    <w:rsid w:val="00B961E8"/>
    <w:rsid w:val="00B97930"/>
    <w:rsid w:val="00B97CD9"/>
    <w:rsid w:val="00BA0734"/>
    <w:rsid w:val="00BA12ED"/>
    <w:rsid w:val="00BA39E2"/>
    <w:rsid w:val="00BA3AB1"/>
    <w:rsid w:val="00BA48F1"/>
    <w:rsid w:val="00BA67A1"/>
    <w:rsid w:val="00BA6CE0"/>
    <w:rsid w:val="00BA7A46"/>
    <w:rsid w:val="00BA7DD0"/>
    <w:rsid w:val="00BB0028"/>
    <w:rsid w:val="00BB2985"/>
    <w:rsid w:val="00BB3A97"/>
    <w:rsid w:val="00BB3B08"/>
    <w:rsid w:val="00BB3D44"/>
    <w:rsid w:val="00BB4519"/>
    <w:rsid w:val="00BB48A5"/>
    <w:rsid w:val="00BB5271"/>
    <w:rsid w:val="00BB5642"/>
    <w:rsid w:val="00BB5F87"/>
    <w:rsid w:val="00BB6181"/>
    <w:rsid w:val="00BC045C"/>
    <w:rsid w:val="00BC1B10"/>
    <w:rsid w:val="00BC20CF"/>
    <w:rsid w:val="00BC3358"/>
    <w:rsid w:val="00BC36AB"/>
    <w:rsid w:val="00BC38AC"/>
    <w:rsid w:val="00BC3BF5"/>
    <w:rsid w:val="00BC4A19"/>
    <w:rsid w:val="00BC4CAE"/>
    <w:rsid w:val="00BC4F45"/>
    <w:rsid w:val="00BC50BA"/>
    <w:rsid w:val="00BC5413"/>
    <w:rsid w:val="00BC58DB"/>
    <w:rsid w:val="00BC5F8F"/>
    <w:rsid w:val="00BC6C2B"/>
    <w:rsid w:val="00BC7201"/>
    <w:rsid w:val="00BD03D2"/>
    <w:rsid w:val="00BD0623"/>
    <w:rsid w:val="00BD1BA4"/>
    <w:rsid w:val="00BD2266"/>
    <w:rsid w:val="00BD2365"/>
    <w:rsid w:val="00BD46E1"/>
    <w:rsid w:val="00BD4A5E"/>
    <w:rsid w:val="00BD5D64"/>
    <w:rsid w:val="00BD5F72"/>
    <w:rsid w:val="00BE00AA"/>
    <w:rsid w:val="00BE03F2"/>
    <w:rsid w:val="00BE06F6"/>
    <w:rsid w:val="00BE156C"/>
    <w:rsid w:val="00BE1B64"/>
    <w:rsid w:val="00BE5E63"/>
    <w:rsid w:val="00BE6613"/>
    <w:rsid w:val="00BF17C7"/>
    <w:rsid w:val="00BF464C"/>
    <w:rsid w:val="00BF4DAA"/>
    <w:rsid w:val="00BF64D6"/>
    <w:rsid w:val="00BF6DE7"/>
    <w:rsid w:val="00BF7394"/>
    <w:rsid w:val="00BF772D"/>
    <w:rsid w:val="00C00CEC"/>
    <w:rsid w:val="00C013E9"/>
    <w:rsid w:val="00C02C57"/>
    <w:rsid w:val="00C03608"/>
    <w:rsid w:val="00C0376C"/>
    <w:rsid w:val="00C0394B"/>
    <w:rsid w:val="00C04F80"/>
    <w:rsid w:val="00C05016"/>
    <w:rsid w:val="00C065F6"/>
    <w:rsid w:val="00C07CC2"/>
    <w:rsid w:val="00C07D8D"/>
    <w:rsid w:val="00C10231"/>
    <w:rsid w:val="00C10D15"/>
    <w:rsid w:val="00C12113"/>
    <w:rsid w:val="00C1243B"/>
    <w:rsid w:val="00C12F0E"/>
    <w:rsid w:val="00C14340"/>
    <w:rsid w:val="00C145ED"/>
    <w:rsid w:val="00C14735"/>
    <w:rsid w:val="00C1588F"/>
    <w:rsid w:val="00C159A7"/>
    <w:rsid w:val="00C16CB8"/>
    <w:rsid w:val="00C174A6"/>
    <w:rsid w:val="00C17845"/>
    <w:rsid w:val="00C178C7"/>
    <w:rsid w:val="00C21855"/>
    <w:rsid w:val="00C22097"/>
    <w:rsid w:val="00C2312D"/>
    <w:rsid w:val="00C23AF5"/>
    <w:rsid w:val="00C23B7A"/>
    <w:rsid w:val="00C23FD7"/>
    <w:rsid w:val="00C246D5"/>
    <w:rsid w:val="00C24BB8"/>
    <w:rsid w:val="00C24C3A"/>
    <w:rsid w:val="00C250CB"/>
    <w:rsid w:val="00C251CA"/>
    <w:rsid w:val="00C25BA7"/>
    <w:rsid w:val="00C260E2"/>
    <w:rsid w:val="00C27C28"/>
    <w:rsid w:val="00C305FD"/>
    <w:rsid w:val="00C30841"/>
    <w:rsid w:val="00C30D28"/>
    <w:rsid w:val="00C32272"/>
    <w:rsid w:val="00C323CB"/>
    <w:rsid w:val="00C33A3F"/>
    <w:rsid w:val="00C34B12"/>
    <w:rsid w:val="00C351F6"/>
    <w:rsid w:val="00C36CE2"/>
    <w:rsid w:val="00C40B59"/>
    <w:rsid w:val="00C41163"/>
    <w:rsid w:val="00C413E5"/>
    <w:rsid w:val="00C4246B"/>
    <w:rsid w:val="00C42819"/>
    <w:rsid w:val="00C43C2B"/>
    <w:rsid w:val="00C451F3"/>
    <w:rsid w:val="00C45E39"/>
    <w:rsid w:val="00C465E0"/>
    <w:rsid w:val="00C46C45"/>
    <w:rsid w:val="00C46E4D"/>
    <w:rsid w:val="00C476D5"/>
    <w:rsid w:val="00C514A3"/>
    <w:rsid w:val="00C5215A"/>
    <w:rsid w:val="00C52260"/>
    <w:rsid w:val="00C53280"/>
    <w:rsid w:val="00C53A3B"/>
    <w:rsid w:val="00C54B2B"/>
    <w:rsid w:val="00C55901"/>
    <w:rsid w:val="00C55B18"/>
    <w:rsid w:val="00C55D71"/>
    <w:rsid w:val="00C57408"/>
    <w:rsid w:val="00C57675"/>
    <w:rsid w:val="00C6073F"/>
    <w:rsid w:val="00C60B34"/>
    <w:rsid w:val="00C614D2"/>
    <w:rsid w:val="00C61F90"/>
    <w:rsid w:val="00C6316E"/>
    <w:rsid w:val="00C64A93"/>
    <w:rsid w:val="00C65814"/>
    <w:rsid w:val="00C674C7"/>
    <w:rsid w:val="00C67CE9"/>
    <w:rsid w:val="00C7067C"/>
    <w:rsid w:val="00C70B78"/>
    <w:rsid w:val="00C70B8B"/>
    <w:rsid w:val="00C70D3F"/>
    <w:rsid w:val="00C71DED"/>
    <w:rsid w:val="00C726D5"/>
    <w:rsid w:val="00C730A9"/>
    <w:rsid w:val="00C737D1"/>
    <w:rsid w:val="00C74292"/>
    <w:rsid w:val="00C7438C"/>
    <w:rsid w:val="00C75508"/>
    <w:rsid w:val="00C7553B"/>
    <w:rsid w:val="00C769D0"/>
    <w:rsid w:val="00C76AD6"/>
    <w:rsid w:val="00C7777D"/>
    <w:rsid w:val="00C801D3"/>
    <w:rsid w:val="00C802E6"/>
    <w:rsid w:val="00C819FA"/>
    <w:rsid w:val="00C821A7"/>
    <w:rsid w:val="00C83ACF"/>
    <w:rsid w:val="00C83DEC"/>
    <w:rsid w:val="00C842C9"/>
    <w:rsid w:val="00C84757"/>
    <w:rsid w:val="00C84928"/>
    <w:rsid w:val="00C84A0B"/>
    <w:rsid w:val="00C85566"/>
    <w:rsid w:val="00C856CD"/>
    <w:rsid w:val="00C8616E"/>
    <w:rsid w:val="00C8706C"/>
    <w:rsid w:val="00C907BA"/>
    <w:rsid w:val="00C91060"/>
    <w:rsid w:val="00C91A37"/>
    <w:rsid w:val="00C93017"/>
    <w:rsid w:val="00C93252"/>
    <w:rsid w:val="00C94C2E"/>
    <w:rsid w:val="00C961E3"/>
    <w:rsid w:val="00C97DB3"/>
    <w:rsid w:val="00CA0DC3"/>
    <w:rsid w:val="00CA1443"/>
    <w:rsid w:val="00CA21B2"/>
    <w:rsid w:val="00CA2484"/>
    <w:rsid w:val="00CA2DD4"/>
    <w:rsid w:val="00CA2FCB"/>
    <w:rsid w:val="00CA32E4"/>
    <w:rsid w:val="00CA3841"/>
    <w:rsid w:val="00CA385F"/>
    <w:rsid w:val="00CA4466"/>
    <w:rsid w:val="00CA5C0B"/>
    <w:rsid w:val="00CA63BA"/>
    <w:rsid w:val="00CA7562"/>
    <w:rsid w:val="00CB0F5C"/>
    <w:rsid w:val="00CB13F9"/>
    <w:rsid w:val="00CB15CC"/>
    <w:rsid w:val="00CB1F5A"/>
    <w:rsid w:val="00CB2410"/>
    <w:rsid w:val="00CB2955"/>
    <w:rsid w:val="00CB3A16"/>
    <w:rsid w:val="00CB43FB"/>
    <w:rsid w:val="00CB5394"/>
    <w:rsid w:val="00CB569A"/>
    <w:rsid w:val="00CB69D2"/>
    <w:rsid w:val="00CB6E14"/>
    <w:rsid w:val="00CC01B7"/>
    <w:rsid w:val="00CC1110"/>
    <w:rsid w:val="00CC208F"/>
    <w:rsid w:val="00CC20A9"/>
    <w:rsid w:val="00CC43A4"/>
    <w:rsid w:val="00CC48BC"/>
    <w:rsid w:val="00CC6B29"/>
    <w:rsid w:val="00CC6C14"/>
    <w:rsid w:val="00CC798B"/>
    <w:rsid w:val="00CC7A77"/>
    <w:rsid w:val="00CD110C"/>
    <w:rsid w:val="00CD304D"/>
    <w:rsid w:val="00CD34E4"/>
    <w:rsid w:val="00CD35A7"/>
    <w:rsid w:val="00CD4560"/>
    <w:rsid w:val="00CD49DD"/>
    <w:rsid w:val="00CD601F"/>
    <w:rsid w:val="00CD63F3"/>
    <w:rsid w:val="00CD6B75"/>
    <w:rsid w:val="00CD6BE3"/>
    <w:rsid w:val="00CD7FBE"/>
    <w:rsid w:val="00CE1A7E"/>
    <w:rsid w:val="00CE27C3"/>
    <w:rsid w:val="00CE3176"/>
    <w:rsid w:val="00CE328E"/>
    <w:rsid w:val="00CE4891"/>
    <w:rsid w:val="00CE7522"/>
    <w:rsid w:val="00CE7A50"/>
    <w:rsid w:val="00CE7C49"/>
    <w:rsid w:val="00CF0303"/>
    <w:rsid w:val="00CF0443"/>
    <w:rsid w:val="00CF053C"/>
    <w:rsid w:val="00CF08D1"/>
    <w:rsid w:val="00CF0FC8"/>
    <w:rsid w:val="00CF16ED"/>
    <w:rsid w:val="00CF1B43"/>
    <w:rsid w:val="00CF3B69"/>
    <w:rsid w:val="00CF3BD1"/>
    <w:rsid w:val="00CF4FE7"/>
    <w:rsid w:val="00CF5038"/>
    <w:rsid w:val="00CF5D48"/>
    <w:rsid w:val="00CF70CA"/>
    <w:rsid w:val="00CF7C4A"/>
    <w:rsid w:val="00CF7F6D"/>
    <w:rsid w:val="00D0009B"/>
    <w:rsid w:val="00D00CBF"/>
    <w:rsid w:val="00D00FC9"/>
    <w:rsid w:val="00D0102D"/>
    <w:rsid w:val="00D011FD"/>
    <w:rsid w:val="00D01836"/>
    <w:rsid w:val="00D022F1"/>
    <w:rsid w:val="00D02987"/>
    <w:rsid w:val="00D03F0F"/>
    <w:rsid w:val="00D04743"/>
    <w:rsid w:val="00D050A4"/>
    <w:rsid w:val="00D052E2"/>
    <w:rsid w:val="00D05A6F"/>
    <w:rsid w:val="00D06427"/>
    <w:rsid w:val="00D0657D"/>
    <w:rsid w:val="00D1127F"/>
    <w:rsid w:val="00D12149"/>
    <w:rsid w:val="00D12E57"/>
    <w:rsid w:val="00D12FCF"/>
    <w:rsid w:val="00D13041"/>
    <w:rsid w:val="00D13366"/>
    <w:rsid w:val="00D13FE4"/>
    <w:rsid w:val="00D142B9"/>
    <w:rsid w:val="00D14F7F"/>
    <w:rsid w:val="00D151C3"/>
    <w:rsid w:val="00D16424"/>
    <w:rsid w:val="00D16E5D"/>
    <w:rsid w:val="00D20018"/>
    <w:rsid w:val="00D20B90"/>
    <w:rsid w:val="00D20F15"/>
    <w:rsid w:val="00D223AE"/>
    <w:rsid w:val="00D236A9"/>
    <w:rsid w:val="00D236E2"/>
    <w:rsid w:val="00D23E92"/>
    <w:rsid w:val="00D24209"/>
    <w:rsid w:val="00D2479D"/>
    <w:rsid w:val="00D24D95"/>
    <w:rsid w:val="00D250A2"/>
    <w:rsid w:val="00D26426"/>
    <w:rsid w:val="00D26D3E"/>
    <w:rsid w:val="00D26E17"/>
    <w:rsid w:val="00D274B0"/>
    <w:rsid w:val="00D27724"/>
    <w:rsid w:val="00D27866"/>
    <w:rsid w:val="00D27E61"/>
    <w:rsid w:val="00D30347"/>
    <w:rsid w:val="00D30C3D"/>
    <w:rsid w:val="00D30E12"/>
    <w:rsid w:val="00D3198B"/>
    <w:rsid w:val="00D32F67"/>
    <w:rsid w:val="00D33315"/>
    <w:rsid w:val="00D33692"/>
    <w:rsid w:val="00D35997"/>
    <w:rsid w:val="00D361BA"/>
    <w:rsid w:val="00D369BC"/>
    <w:rsid w:val="00D379A7"/>
    <w:rsid w:val="00D40244"/>
    <w:rsid w:val="00D41033"/>
    <w:rsid w:val="00D41E53"/>
    <w:rsid w:val="00D426A0"/>
    <w:rsid w:val="00D42AC2"/>
    <w:rsid w:val="00D44654"/>
    <w:rsid w:val="00D44A31"/>
    <w:rsid w:val="00D45479"/>
    <w:rsid w:val="00D463DF"/>
    <w:rsid w:val="00D46DE9"/>
    <w:rsid w:val="00D502E2"/>
    <w:rsid w:val="00D50D76"/>
    <w:rsid w:val="00D515EA"/>
    <w:rsid w:val="00D52207"/>
    <w:rsid w:val="00D536AA"/>
    <w:rsid w:val="00D5442F"/>
    <w:rsid w:val="00D55682"/>
    <w:rsid w:val="00D56CAE"/>
    <w:rsid w:val="00D60275"/>
    <w:rsid w:val="00D61075"/>
    <w:rsid w:val="00D616D9"/>
    <w:rsid w:val="00D61E0A"/>
    <w:rsid w:val="00D627D3"/>
    <w:rsid w:val="00D628CF"/>
    <w:rsid w:val="00D63830"/>
    <w:rsid w:val="00D63A35"/>
    <w:rsid w:val="00D63F6B"/>
    <w:rsid w:val="00D64071"/>
    <w:rsid w:val="00D64A2B"/>
    <w:rsid w:val="00D6704E"/>
    <w:rsid w:val="00D67527"/>
    <w:rsid w:val="00D67B65"/>
    <w:rsid w:val="00D70414"/>
    <w:rsid w:val="00D711D3"/>
    <w:rsid w:val="00D7184A"/>
    <w:rsid w:val="00D71E78"/>
    <w:rsid w:val="00D721CA"/>
    <w:rsid w:val="00D72B42"/>
    <w:rsid w:val="00D72C23"/>
    <w:rsid w:val="00D73029"/>
    <w:rsid w:val="00D73723"/>
    <w:rsid w:val="00D74B0F"/>
    <w:rsid w:val="00D75EE5"/>
    <w:rsid w:val="00D7632B"/>
    <w:rsid w:val="00D77390"/>
    <w:rsid w:val="00D77794"/>
    <w:rsid w:val="00D77A32"/>
    <w:rsid w:val="00D77A3B"/>
    <w:rsid w:val="00D801E0"/>
    <w:rsid w:val="00D80BAF"/>
    <w:rsid w:val="00D80C83"/>
    <w:rsid w:val="00D81FAF"/>
    <w:rsid w:val="00D83366"/>
    <w:rsid w:val="00D83D3F"/>
    <w:rsid w:val="00D841DA"/>
    <w:rsid w:val="00D858EB"/>
    <w:rsid w:val="00D86612"/>
    <w:rsid w:val="00D86F2C"/>
    <w:rsid w:val="00D90A22"/>
    <w:rsid w:val="00D91CEE"/>
    <w:rsid w:val="00D924CE"/>
    <w:rsid w:val="00D93208"/>
    <w:rsid w:val="00D93C93"/>
    <w:rsid w:val="00D93EFF"/>
    <w:rsid w:val="00D94FBD"/>
    <w:rsid w:val="00D95FCF"/>
    <w:rsid w:val="00D967BE"/>
    <w:rsid w:val="00D968A7"/>
    <w:rsid w:val="00DA021F"/>
    <w:rsid w:val="00DA14A3"/>
    <w:rsid w:val="00DA1A5E"/>
    <w:rsid w:val="00DA25AF"/>
    <w:rsid w:val="00DA27EE"/>
    <w:rsid w:val="00DA3065"/>
    <w:rsid w:val="00DA353E"/>
    <w:rsid w:val="00DA3D74"/>
    <w:rsid w:val="00DA6951"/>
    <w:rsid w:val="00DA69E5"/>
    <w:rsid w:val="00DA73D1"/>
    <w:rsid w:val="00DA7FC9"/>
    <w:rsid w:val="00DB05A2"/>
    <w:rsid w:val="00DB1529"/>
    <w:rsid w:val="00DB2081"/>
    <w:rsid w:val="00DB20A3"/>
    <w:rsid w:val="00DB2449"/>
    <w:rsid w:val="00DB2EE1"/>
    <w:rsid w:val="00DB3375"/>
    <w:rsid w:val="00DB5316"/>
    <w:rsid w:val="00DB5F54"/>
    <w:rsid w:val="00DB6E0E"/>
    <w:rsid w:val="00DB73BA"/>
    <w:rsid w:val="00DB7C7A"/>
    <w:rsid w:val="00DB7D56"/>
    <w:rsid w:val="00DC019B"/>
    <w:rsid w:val="00DC3035"/>
    <w:rsid w:val="00DC368D"/>
    <w:rsid w:val="00DC3906"/>
    <w:rsid w:val="00DC3FC9"/>
    <w:rsid w:val="00DC462D"/>
    <w:rsid w:val="00DC4A00"/>
    <w:rsid w:val="00DC5515"/>
    <w:rsid w:val="00DC57BC"/>
    <w:rsid w:val="00DC626B"/>
    <w:rsid w:val="00DC6DAA"/>
    <w:rsid w:val="00DC75E4"/>
    <w:rsid w:val="00DC7EF4"/>
    <w:rsid w:val="00DD1224"/>
    <w:rsid w:val="00DD242F"/>
    <w:rsid w:val="00DD33E1"/>
    <w:rsid w:val="00DD3767"/>
    <w:rsid w:val="00DD468B"/>
    <w:rsid w:val="00DD4893"/>
    <w:rsid w:val="00DD48B9"/>
    <w:rsid w:val="00DD73AB"/>
    <w:rsid w:val="00DD7CAC"/>
    <w:rsid w:val="00DE032E"/>
    <w:rsid w:val="00DE0400"/>
    <w:rsid w:val="00DE1983"/>
    <w:rsid w:val="00DE209A"/>
    <w:rsid w:val="00DE25C1"/>
    <w:rsid w:val="00DE28A6"/>
    <w:rsid w:val="00DE3059"/>
    <w:rsid w:val="00DE431E"/>
    <w:rsid w:val="00DE4D99"/>
    <w:rsid w:val="00DE53AE"/>
    <w:rsid w:val="00DE579A"/>
    <w:rsid w:val="00DE6D4D"/>
    <w:rsid w:val="00DF0B05"/>
    <w:rsid w:val="00DF0CD8"/>
    <w:rsid w:val="00DF12A7"/>
    <w:rsid w:val="00DF17B5"/>
    <w:rsid w:val="00DF2F0D"/>
    <w:rsid w:val="00DF3073"/>
    <w:rsid w:val="00DF44E7"/>
    <w:rsid w:val="00DF46E2"/>
    <w:rsid w:val="00DF4ACB"/>
    <w:rsid w:val="00DF6DC6"/>
    <w:rsid w:val="00DF72CC"/>
    <w:rsid w:val="00DF7E4A"/>
    <w:rsid w:val="00DF7F9F"/>
    <w:rsid w:val="00E004F2"/>
    <w:rsid w:val="00E0145A"/>
    <w:rsid w:val="00E01989"/>
    <w:rsid w:val="00E01FCB"/>
    <w:rsid w:val="00E02A71"/>
    <w:rsid w:val="00E03997"/>
    <w:rsid w:val="00E03C22"/>
    <w:rsid w:val="00E03D46"/>
    <w:rsid w:val="00E04A09"/>
    <w:rsid w:val="00E06653"/>
    <w:rsid w:val="00E06CA2"/>
    <w:rsid w:val="00E07A8C"/>
    <w:rsid w:val="00E07D5F"/>
    <w:rsid w:val="00E10342"/>
    <w:rsid w:val="00E11BFE"/>
    <w:rsid w:val="00E124B1"/>
    <w:rsid w:val="00E128D1"/>
    <w:rsid w:val="00E140FD"/>
    <w:rsid w:val="00E141C5"/>
    <w:rsid w:val="00E14E4B"/>
    <w:rsid w:val="00E14F96"/>
    <w:rsid w:val="00E15751"/>
    <w:rsid w:val="00E1642B"/>
    <w:rsid w:val="00E173D5"/>
    <w:rsid w:val="00E20167"/>
    <w:rsid w:val="00E20777"/>
    <w:rsid w:val="00E21AC3"/>
    <w:rsid w:val="00E2212B"/>
    <w:rsid w:val="00E22477"/>
    <w:rsid w:val="00E23A14"/>
    <w:rsid w:val="00E24489"/>
    <w:rsid w:val="00E244DF"/>
    <w:rsid w:val="00E252D4"/>
    <w:rsid w:val="00E2537F"/>
    <w:rsid w:val="00E254C5"/>
    <w:rsid w:val="00E258DC"/>
    <w:rsid w:val="00E259E8"/>
    <w:rsid w:val="00E25F4E"/>
    <w:rsid w:val="00E266BC"/>
    <w:rsid w:val="00E301B7"/>
    <w:rsid w:val="00E30FD0"/>
    <w:rsid w:val="00E31519"/>
    <w:rsid w:val="00E3173C"/>
    <w:rsid w:val="00E32216"/>
    <w:rsid w:val="00E32417"/>
    <w:rsid w:val="00E328E1"/>
    <w:rsid w:val="00E32908"/>
    <w:rsid w:val="00E32D03"/>
    <w:rsid w:val="00E32F78"/>
    <w:rsid w:val="00E33FE2"/>
    <w:rsid w:val="00E34BA9"/>
    <w:rsid w:val="00E351FC"/>
    <w:rsid w:val="00E36443"/>
    <w:rsid w:val="00E37B27"/>
    <w:rsid w:val="00E41427"/>
    <w:rsid w:val="00E41E6D"/>
    <w:rsid w:val="00E424D5"/>
    <w:rsid w:val="00E43C3D"/>
    <w:rsid w:val="00E4545A"/>
    <w:rsid w:val="00E463C3"/>
    <w:rsid w:val="00E478B3"/>
    <w:rsid w:val="00E47FAC"/>
    <w:rsid w:val="00E508C9"/>
    <w:rsid w:val="00E50BED"/>
    <w:rsid w:val="00E516CA"/>
    <w:rsid w:val="00E52064"/>
    <w:rsid w:val="00E53D86"/>
    <w:rsid w:val="00E5406E"/>
    <w:rsid w:val="00E56B43"/>
    <w:rsid w:val="00E56EB5"/>
    <w:rsid w:val="00E6178E"/>
    <w:rsid w:val="00E61C55"/>
    <w:rsid w:val="00E623B6"/>
    <w:rsid w:val="00E627BF"/>
    <w:rsid w:val="00E62DEC"/>
    <w:rsid w:val="00E636E7"/>
    <w:rsid w:val="00E64478"/>
    <w:rsid w:val="00E65312"/>
    <w:rsid w:val="00E6545B"/>
    <w:rsid w:val="00E665BA"/>
    <w:rsid w:val="00E666D6"/>
    <w:rsid w:val="00E66A0A"/>
    <w:rsid w:val="00E66E0B"/>
    <w:rsid w:val="00E71421"/>
    <w:rsid w:val="00E71685"/>
    <w:rsid w:val="00E71DE1"/>
    <w:rsid w:val="00E72C01"/>
    <w:rsid w:val="00E72FFC"/>
    <w:rsid w:val="00E730EF"/>
    <w:rsid w:val="00E749C9"/>
    <w:rsid w:val="00E750FA"/>
    <w:rsid w:val="00E75716"/>
    <w:rsid w:val="00E76952"/>
    <w:rsid w:val="00E76DF9"/>
    <w:rsid w:val="00E7709E"/>
    <w:rsid w:val="00E77569"/>
    <w:rsid w:val="00E777CC"/>
    <w:rsid w:val="00E80D68"/>
    <w:rsid w:val="00E81D3C"/>
    <w:rsid w:val="00E81E61"/>
    <w:rsid w:val="00E81FE9"/>
    <w:rsid w:val="00E8377D"/>
    <w:rsid w:val="00E83868"/>
    <w:rsid w:val="00E853A5"/>
    <w:rsid w:val="00E85C43"/>
    <w:rsid w:val="00E86635"/>
    <w:rsid w:val="00E8736F"/>
    <w:rsid w:val="00E90373"/>
    <w:rsid w:val="00E91453"/>
    <w:rsid w:val="00E917D9"/>
    <w:rsid w:val="00E9328E"/>
    <w:rsid w:val="00E9330C"/>
    <w:rsid w:val="00E952CF"/>
    <w:rsid w:val="00E95786"/>
    <w:rsid w:val="00E9641A"/>
    <w:rsid w:val="00E96864"/>
    <w:rsid w:val="00E96E8D"/>
    <w:rsid w:val="00E9703D"/>
    <w:rsid w:val="00E97525"/>
    <w:rsid w:val="00E97D1C"/>
    <w:rsid w:val="00E97DFF"/>
    <w:rsid w:val="00EA11F0"/>
    <w:rsid w:val="00EA1C3F"/>
    <w:rsid w:val="00EA21E5"/>
    <w:rsid w:val="00EA3FB5"/>
    <w:rsid w:val="00EA4E10"/>
    <w:rsid w:val="00EA5BD7"/>
    <w:rsid w:val="00EB0395"/>
    <w:rsid w:val="00EB03D6"/>
    <w:rsid w:val="00EB16AF"/>
    <w:rsid w:val="00EB213F"/>
    <w:rsid w:val="00EB22B5"/>
    <w:rsid w:val="00EB2EB8"/>
    <w:rsid w:val="00EB66AC"/>
    <w:rsid w:val="00EB7903"/>
    <w:rsid w:val="00EB7F23"/>
    <w:rsid w:val="00EC0366"/>
    <w:rsid w:val="00EC192B"/>
    <w:rsid w:val="00EC22A5"/>
    <w:rsid w:val="00EC249B"/>
    <w:rsid w:val="00EC33B3"/>
    <w:rsid w:val="00EC3CCE"/>
    <w:rsid w:val="00EC4FBD"/>
    <w:rsid w:val="00EC4FFA"/>
    <w:rsid w:val="00EC500F"/>
    <w:rsid w:val="00EC501D"/>
    <w:rsid w:val="00EC5711"/>
    <w:rsid w:val="00EC596C"/>
    <w:rsid w:val="00EC6594"/>
    <w:rsid w:val="00ED02B2"/>
    <w:rsid w:val="00ED04A8"/>
    <w:rsid w:val="00ED06E3"/>
    <w:rsid w:val="00ED2F1E"/>
    <w:rsid w:val="00ED313E"/>
    <w:rsid w:val="00ED3FA5"/>
    <w:rsid w:val="00ED52CD"/>
    <w:rsid w:val="00ED5749"/>
    <w:rsid w:val="00ED5BD8"/>
    <w:rsid w:val="00ED63AA"/>
    <w:rsid w:val="00ED6BE6"/>
    <w:rsid w:val="00ED72F7"/>
    <w:rsid w:val="00EE04CE"/>
    <w:rsid w:val="00EE12BF"/>
    <w:rsid w:val="00EE1352"/>
    <w:rsid w:val="00EE17BD"/>
    <w:rsid w:val="00EE1CD5"/>
    <w:rsid w:val="00EE206F"/>
    <w:rsid w:val="00EE2A23"/>
    <w:rsid w:val="00EE2C6A"/>
    <w:rsid w:val="00EE415C"/>
    <w:rsid w:val="00EE4200"/>
    <w:rsid w:val="00EE4954"/>
    <w:rsid w:val="00EE52C7"/>
    <w:rsid w:val="00EE631F"/>
    <w:rsid w:val="00EE65E6"/>
    <w:rsid w:val="00EE66DB"/>
    <w:rsid w:val="00EE6A85"/>
    <w:rsid w:val="00EE7F10"/>
    <w:rsid w:val="00EF0B4D"/>
    <w:rsid w:val="00EF280E"/>
    <w:rsid w:val="00EF3090"/>
    <w:rsid w:val="00EF3183"/>
    <w:rsid w:val="00EF3315"/>
    <w:rsid w:val="00EF3545"/>
    <w:rsid w:val="00EF43C8"/>
    <w:rsid w:val="00EF4CE0"/>
    <w:rsid w:val="00EF52C1"/>
    <w:rsid w:val="00EF66CD"/>
    <w:rsid w:val="00EF6939"/>
    <w:rsid w:val="00EF74D9"/>
    <w:rsid w:val="00EF7EF2"/>
    <w:rsid w:val="00F01B18"/>
    <w:rsid w:val="00F029F7"/>
    <w:rsid w:val="00F03AFD"/>
    <w:rsid w:val="00F07BBA"/>
    <w:rsid w:val="00F07D86"/>
    <w:rsid w:val="00F10445"/>
    <w:rsid w:val="00F10593"/>
    <w:rsid w:val="00F121AF"/>
    <w:rsid w:val="00F12ACD"/>
    <w:rsid w:val="00F12D75"/>
    <w:rsid w:val="00F15653"/>
    <w:rsid w:val="00F15DCE"/>
    <w:rsid w:val="00F16D82"/>
    <w:rsid w:val="00F2054C"/>
    <w:rsid w:val="00F209BC"/>
    <w:rsid w:val="00F211B6"/>
    <w:rsid w:val="00F2400B"/>
    <w:rsid w:val="00F24D90"/>
    <w:rsid w:val="00F26F7C"/>
    <w:rsid w:val="00F26FF9"/>
    <w:rsid w:val="00F27692"/>
    <w:rsid w:val="00F27C3D"/>
    <w:rsid w:val="00F3045A"/>
    <w:rsid w:val="00F30590"/>
    <w:rsid w:val="00F30F57"/>
    <w:rsid w:val="00F316AF"/>
    <w:rsid w:val="00F33290"/>
    <w:rsid w:val="00F33942"/>
    <w:rsid w:val="00F33EE5"/>
    <w:rsid w:val="00F35975"/>
    <w:rsid w:val="00F35AD7"/>
    <w:rsid w:val="00F35C2E"/>
    <w:rsid w:val="00F360C5"/>
    <w:rsid w:val="00F361D5"/>
    <w:rsid w:val="00F361FC"/>
    <w:rsid w:val="00F36E32"/>
    <w:rsid w:val="00F36FA9"/>
    <w:rsid w:val="00F370F8"/>
    <w:rsid w:val="00F37322"/>
    <w:rsid w:val="00F376D3"/>
    <w:rsid w:val="00F40FD9"/>
    <w:rsid w:val="00F42104"/>
    <w:rsid w:val="00F43A2F"/>
    <w:rsid w:val="00F43C7D"/>
    <w:rsid w:val="00F43F3C"/>
    <w:rsid w:val="00F44AB6"/>
    <w:rsid w:val="00F44F63"/>
    <w:rsid w:val="00F456BA"/>
    <w:rsid w:val="00F4617B"/>
    <w:rsid w:val="00F46892"/>
    <w:rsid w:val="00F46FC6"/>
    <w:rsid w:val="00F4763D"/>
    <w:rsid w:val="00F5061D"/>
    <w:rsid w:val="00F5420C"/>
    <w:rsid w:val="00F54624"/>
    <w:rsid w:val="00F5470A"/>
    <w:rsid w:val="00F548CB"/>
    <w:rsid w:val="00F565EC"/>
    <w:rsid w:val="00F566BC"/>
    <w:rsid w:val="00F56CF1"/>
    <w:rsid w:val="00F570FD"/>
    <w:rsid w:val="00F57A3B"/>
    <w:rsid w:val="00F61827"/>
    <w:rsid w:val="00F61992"/>
    <w:rsid w:val="00F61FE2"/>
    <w:rsid w:val="00F62DD3"/>
    <w:rsid w:val="00F64602"/>
    <w:rsid w:val="00F64CC1"/>
    <w:rsid w:val="00F659C6"/>
    <w:rsid w:val="00F65C0D"/>
    <w:rsid w:val="00F66207"/>
    <w:rsid w:val="00F67CA0"/>
    <w:rsid w:val="00F703F8"/>
    <w:rsid w:val="00F70C86"/>
    <w:rsid w:val="00F7154C"/>
    <w:rsid w:val="00F71BFF"/>
    <w:rsid w:val="00F72171"/>
    <w:rsid w:val="00F72963"/>
    <w:rsid w:val="00F733A8"/>
    <w:rsid w:val="00F73E85"/>
    <w:rsid w:val="00F74F92"/>
    <w:rsid w:val="00F76385"/>
    <w:rsid w:val="00F7677E"/>
    <w:rsid w:val="00F7690F"/>
    <w:rsid w:val="00F804B6"/>
    <w:rsid w:val="00F8060A"/>
    <w:rsid w:val="00F806F2"/>
    <w:rsid w:val="00F81918"/>
    <w:rsid w:val="00F81A05"/>
    <w:rsid w:val="00F81E2A"/>
    <w:rsid w:val="00F82187"/>
    <w:rsid w:val="00F82518"/>
    <w:rsid w:val="00F82683"/>
    <w:rsid w:val="00F82884"/>
    <w:rsid w:val="00F82DFD"/>
    <w:rsid w:val="00F84DAD"/>
    <w:rsid w:val="00F853DA"/>
    <w:rsid w:val="00F85813"/>
    <w:rsid w:val="00F85E4E"/>
    <w:rsid w:val="00F85ED3"/>
    <w:rsid w:val="00F86A15"/>
    <w:rsid w:val="00F87E22"/>
    <w:rsid w:val="00F9081B"/>
    <w:rsid w:val="00F9082D"/>
    <w:rsid w:val="00F91129"/>
    <w:rsid w:val="00F917E1"/>
    <w:rsid w:val="00F93FB4"/>
    <w:rsid w:val="00F97684"/>
    <w:rsid w:val="00FA0D4B"/>
    <w:rsid w:val="00FA0EBE"/>
    <w:rsid w:val="00FA25B5"/>
    <w:rsid w:val="00FA2A38"/>
    <w:rsid w:val="00FA2FCE"/>
    <w:rsid w:val="00FA38CB"/>
    <w:rsid w:val="00FA4572"/>
    <w:rsid w:val="00FA46A0"/>
    <w:rsid w:val="00FA4C0C"/>
    <w:rsid w:val="00FA5419"/>
    <w:rsid w:val="00FA595C"/>
    <w:rsid w:val="00FA5A2B"/>
    <w:rsid w:val="00FA5D6B"/>
    <w:rsid w:val="00FA6C12"/>
    <w:rsid w:val="00FA7253"/>
    <w:rsid w:val="00FA747F"/>
    <w:rsid w:val="00FB08E9"/>
    <w:rsid w:val="00FB0BD2"/>
    <w:rsid w:val="00FB249D"/>
    <w:rsid w:val="00FB2810"/>
    <w:rsid w:val="00FB2817"/>
    <w:rsid w:val="00FB394C"/>
    <w:rsid w:val="00FB48B3"/>
    <w:rsid w:val="00FB4C70"/>
    <w:rsid w:val="00FB4D12"/>
    <w:rsid w:val="00FB5E19"/>
    <w:rsid w:val="00FC0653"/>
    <w:rsid w:val="00FC14A8"/>
    <w:rsid w:val="00FC1DC3"/>
    <w:rsid w:val="00FC29C9"/>
    <w:rsid w:val="00FC2D35"/>
    <w:rsid w:val="00FC3366"/>
    <w:rsid w:val="00FC3FCE"/>
    <w:rsid w:val="00FC40EB"/>
    <w:rsid w:val="00FC4268"/>
    <w:rsid w:val="00FC49CF"/>
    <w:rsid w:val="00FC4F92"/>
    <w:rsid w:val="00FC6572"/>
    <w:rsid w:val="00FC6E14"/>
    <w:rsid w:val="00FC7490"/>
    <w:rsid w:val="00FC780F"/>
    <w:rsid w:val="00FC7A54"/>
    <w:rsid w:val="00FD10FA"/>
    <w:rsid w:val="00FD1EF4"/>
    <w:rsid w:val="00FD22D7"/>
    <w:rsid w:val="00FD299D"/>
    <w:rsid w:val="00FD4E73"/>
    <w:rsid w:val="00FD5277"/>
    <w:rsid w:val="00FD59F3"/>
    <w:rsid w:val="00FD66F8"/>
    <w:rsid w:val="00FD6F5D"/>
    <w:rsid w:val="00FE0BEA"/>
    <w:rsid w:val="00FE158C"/>
    <w:rsid w:val="00FE2449"/>
    <w:rsid w:val="00FE28F5"/>
    <w:rsid w:val="00FE3309"/>
    <w:rsid w:val="00FE37D3"/>
    <w:rsid w:val="00FE3E59"/>
    <w:rsid w:val="00FE3ECF"/>
    <w:rsid w:val="00FE5066"/>
    <w:rsid w:val="00FE54A0"/>
    <w:rsid w:val="00FE5726"/>
    <w:rsid w:val="00FE5967"/>
    <w:rsid w:val="00FE5EDC"/>
    <w:rsid w:val="00FE61FE"/>
    <w:rsid w:val="00FE6C0C"/>
    <w:rsid w:val="00FE6D39"/>
    <w:rsid w:val="00FE7193"/>
    <w:rsid w:val="00FE7D03"/>
    <w:rsid w:val="00FF030D"/>
    <w:rsid w:val="00FF0B73"/>
    <w:rsid w:val="00FF2B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BEC5660"/>
  <w15:docId w15:val="{AE4FE717-8126-47C6-8436-8420977E5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E5"/>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Ttulo2"/>
    <w:link w:val="Ttulo1Car"/>
    <w:qFormat/>
    <w:rsid w:val="003D7024"/>
    <w:pPr>
      <w:keepNext/>
      <w:keepLines/>
      <w:numPr>
        <w:numId w:val="1"/>
      </w:numPr>
      <w:tabs>
        <w:tab w:val="clear" w:pos="720"/>
      </w:tabs>
      <w:spacing w:before="240"/>
      <w:jc w:val="both"/>
      <w:outlineLvl w:val="0"/>
    </w:pPr>
    <w:rPr>
      <w:rFonts w:ascii="Arial" w:hAnsi="Arial" w:cs="Arial"/>
      <w:b/>
      <w:bCs/>
      <w:sz w:val="22"/>
      <w:szCs w:val="28"/>
      <w:lang w:val="en-US" w:eastAsia="en-US"/>
    </w:rPr>
  </w:style>
  <w:style w:type="paragraph" w:styleId="Ttulo2">
    <w:name w:val="heading 2"/>
    <w:basedOn w:val="Normal"/>
    <w:link w:val="Ttulo2Car"/>
    <w:qFormat/>
    <w:rsid w:val="003D7024"/>
    <w:pPr>
      <w:keepNext/>
      <w:numPr>
        <w:ilvl w:val="1"/>
        <w:numId w:val="1"/>
      </w:numPr>
      <w:spacing w:before="240"/>
      <w:jc w:val="both"/>
      <w:outlineLvl w:val="1"/>
    </w:pPr>
    <w:rPr>
      <w:rFonts w:ascii="Arial" w:hAnsi="Arial" w:cs="Arial"/>
      <w:b/>
      <w:bCs/>
      <w:sz w:val="22"/>
      <w:szCs w:val="26"/>
      <w:lang w:val="en-US" w:eastAsia="en-US"/>
    </w:rPr>
  </w:style>
  <w:style w:type="paragraph" w:styleId="Ttulo3">
    <w:name w:val="heading 3"/>
    <w:basedOn w:val="Normal"/>
    <w:link w:val="Ttulo3Car"/>
    <w:qFormat/>
    <w:rsid w:val="003D7024"/>
    <w:pPr>
      <w:numPr>
        <w:ilvl w:val="2"/>
        <w:numId w:val="1"/>
      </w:numPr>
      <w:spacing w:before="240"/>
      <w:jc w:val="both"/>
      <w:outlineLvl w:val="2"/>
    </w:pPr>
    <w:rPr>
      <w:rFonts w:ascii="Arial" w:hAnsi="Arial" w:cs="Arial"/>
      <w:bCs/>
      <w:sz w:val="22"/>
      <w:lang w:val="en-US" w:eastAsia="en-US"/>
    </w:rPr>
  </w:style>
  <w:style w:type="paragraph" w:styleId="Ttulo4">
    <w:name w:val="heading 4"/>
    <w:basedOn w:val="Normal"/>
    <w:link w:val="Ttulo4Car"/>
    <w:qFormat/>
    <w:rsid w:val="003D7024"/>
    <w:pPr>
      <w:numPr>
        <w:ilvl w:val="3"/>
        <w:numId w:val="1"/>
      </w:numPr>
      <w:tabs>
        <w:tab w:val="clear" w:pos="2160"/>
      </w:tabs>
      <w:spacing w:before="240"/>
      <w:jc w:val="both"/>
      <w:outlineLvl w:val="3"/>
    </w:pPr>
    <w:rPr>
      <w:rFonts w:ascii="Arial" w:hAnsi="Arial" w:cs="Arial"/>
      <w:bCs/>
      <w:iCs/>
      <w:sz w:val="22"/>
      <w:lang w:val="en-US" w:eastAsia="en-US"/>
    </w:rPr>
  </w:style>
  <w:style w:type="paragraph" w:styleId="Ttulo5">
    <w:name w:val="heading 5"/>
    <w:basedOn w:val="Normal"/>
    <w:link w:val="Ttulo5Car"/>
    <w:qFormat/>
    <w:rsid w:val="003D7024"/>
    <w:pPr>
      <w:numPr>
        <w:ilvl w:val="4"/>
        <w:numId w:val="1"/>
      </w:numPr>
      <w:tabs>
        <w:tab w:val="clear" w:pos="2880"/>
      </w:tabs>
      <w:spacing w:before="240"/>
      <w:jc w:val="both"/>
      <w:outlineLvl w:val="4"/>
    </w:pPr>
    <w:rPr>
      <w:rFonts w:ascii="Arial" w:hAnsi="Arial" w:cs="Arial"/>
      <w:sz w:val="22"/>
      <w:lang w:val="en-US" w:eastAsia="en-US"/>
    </w:rPr>
  </w:style>
  <w:style w:type="paragraph" w:styleId="Ttulo6">
    <w:name w:val="heading 6"/>
    <w:basedOn w:val="Normal"/>
    <w:link w:val="Ttulo6Car"/>
    <w:qFormat/>
    <w:rsid w:val="003D7024"/>
    <w:pPr>
      <w:numPr>
        <w:ilvl w:val="5"/>
        <w:numId w:val="1"/>
      </w:numPr>
      <w:tabs>
        <w:tab w:val="clear" w:pos="3600"/>
      </w:tabs>
      <w:spacing w:before="240"/>
      <w:jc w:val="both"/>
      <w:outlineLvl w:val="5"/>
    </w:pPr>
    <w:rPr>
      <w:rFonts w:ascii="Arial" w:hAnsi="Arial" w:cs="Arial"/>
      <w:iCs/>
      <w:sz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3D38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D38A2"/>
    <w:pPr>
      <w:widowControl w:val="0"/>
      <w:autoSpaceDE w:val="0"/>
      <w:autoSpaceDN w:val="0"/>
    </w:pPr>
    <w:rPr>
      <w:rFonts w:ascii="Arial" w:eastAsia="Arial" w:hAnsi="Arial" w:cs="Arial"/>
      <w:i/>
      <w:sz w:val="22"/>
      <w:szCs w:val="22"/>
      <w:lang w:eastAsia="es-CR" w:bidi="es-CR"/>
    </w:rPr>
  </w:style>
  <w:style w:type="character" w:customStyle="1" w:styleId="TextoindependienteCar">
    <w:name w:val="Texto independiente Car"/>
    <w:basedOn w:val="Fuentedeprrafopredeter"/>
    <w:link w:val="Textoindependiente"/>
    <w:uiPriority w:val="1"/>
    <w:rsid w:val="003D38A2"/>
    <w:rPr>
      <w:rFonts w:ascii="Arial" w:eastAsia="Arial" w:hAnsi="Arial" w:cs="Arial"/>
      <w:i/>
      <w:lang w:eastAsia="es-CR" w:bidi="es-CR"/>
    </w:rPr>
  </w:style>
  <w:style w:type="paragraph" w:customStyle="1" w:styleId="TableParagraph">
    <w:name w:val="Table Paragraph"/>
    <w:basedOn w:val="Normal"/>
    <w:uiPriority w:val="1"/>
    <w:qFormat/>
    <w:rsid w:val="003D38A2"/>
    <w:pPr>
      <w:widowControl w:val="0"/>
      <w:autoSpaceDE w:val="0"/>
      <w:autoSpaceDN w:val="0"/>
      <w:ind w:left="107"/>
    </w:pPr>
    <w:rPr>
      <w:sz w:val="22"/>
      <w:szCs w:val="22"/>
      <w:lang w:eastAsia="es-CR" w:bidi="es-CR"/>
    </w:rPr>
  </w:style>
  <w:style w:type="character" w:customStyle="1" w:styleId="grame">
    <w:name w:val="grame"/>
    <w:basedOn w:val="Fuentedeprrafopredeter"/>
    <w:rsid w:val="00EE206F"/>
  </w:style>
  <w:style w:type="character" w:customStyle="1" w:styleId="apple-converted-space">
    <w:name w:val="apple-converted-space"/>
    <w:basedOn w:val="Fuentedeprrafopredeter"/>
    <w:rsid w:val="00EE206F"/>
  </w:style>
  <w:style w:type="paragraph" w:styleId="NormalWeb">
    <w:name w:val="Normal (Web)"/>
    <w:basedOn w:val="Normal"/>
    <w:uiPriority w:val="99"/>
    <w:unhideWhenUsed/>
    <w:rsid w:val="007C41FF"/>
    <w:pPr>
      <w:spacing w:before="100" w:beforeAutospacing="1" w:after="100" w:afterAutospacing="1"/>
    </w:pPr>
    <w:rPr>
      <w:lang w:eastAsia="es-CR"/>
    </w:rPr>
  </w:style>
  <w:style w:type="table" w:customStyle="1" w:styleId="Tablaconcuadrculaclara1">
    <w:name w:val="Tabla con cuadrícula clara1"/>
    <w:basedOn w:val="Tablanormal"/>
    <w:uiPriority w:val="40"/>
    <w:rsid w:val="005665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basedOn w:val="Normal"/>
    <w:rsid w:val="0056656C"/>
    <w:pPr>
      <w:spacing w:before="100" w:beforeAutospacing="1" w:after="100" w:afterAutospacing="1"/>
    </w:pPr>
  </w:style>
  <w:style w:type="paragraph" w:styleId="Prrafodelista">
    <w:name w:val="List Paragraph"/>
    <w:aliases w:val="Informe"/>
    <w:basedOn w:val="Normal"/>
    <w:link w:val="PrrafodelistaCar"/>
    <w:uiPriority w:val="34"/>
    <w:qFormat/>
    <w:rsid w:val="00785FA0"/>
    <w:pPr>
      <w:widowControl w:val="0"/>
      <w:autoSpaceDE w:val="0"/>
      <w:autoSpaceDN w:val="0"/>
      <w:ind w:left="116" w:right="737"/>
      <w:jc w:val="both"/>
    </w:pPr>
    <w:rPr>
      <w:rFonts w:ascii="Arial MT" w:eastAsia="Arial MT" w:hAnsi="Arial MT" w:cs="Arial MT"/>
      <w:sz w:val="22"/>
      <w:szCs w:val="22"/>
      <w:lang w:val="es-ES" w:eastAsia="en-US"/>
    </w:rPr>
  </w:style>
  <w:style w:type="character" w:styleId="Hipervnculo">
    <w:name w:val="Hyperlink"/>
    <w:basedOn w:val="Fuentedeprrafopredeter"/>
    <w:uiPriority w:val="99"/>
    <w:unhideWhenUsed/>
    <w:rsid w:val="0016383C"/>
    <w:rPr>
      <w:color w:val="0563C1" w:themeColor="hyperlink"/>
      <w:u w:val="single"/>
    </w:rPr>
  </w:style>
  <w:style w:type="character" w:customStyle="1" w:styleId="spelle">
    <w:name w:val="spelle"/>
    <w:basedOn w:val="Fuentedeprrafopredeter"/>
    <w:rsid w:val="00C726D5"/>
  </w:style>
  <w:style w:type="paragraph" w:customStyle="1" w:styleId="pa7">
    <w:name w:val="pa7"/>
    <w:basedOn w:val="Normal"/>
    <w:rsid w:val="00FE3ECF"/>
    <w:pPr>
      <w:spacing w:before="100" w:beforeAutospacing="1" w:after="100" w:afterAutospacing="1"/>
    </w:pPr>
    <w:rPr>
      <w:lang w:val="es-ES" w:eastAsia="es-ES"/>
    </w:rPr>
  </w:style>
  <w:style w:type="character" w:styleId="Hipervnculovisitado">
    <w:name w:val="FollowedHyperlink"/>
    <w:basedOn w:val="Fuentedeprrafopredeter"/>
    <w:uiPriority w:val="99"/>
    <w:semiHidden/>
    <w:unhideWhenUsed/>
    <w:rsid w:val="0092038A"/>
    <w:rPr>
      <w:color w:val="954F72" w:themeColor="followedHyperlink"/>
      <w:u w:val="single"/>
    </w:rPr>
  </w:style>
  <w:style w:type="character" w:customStyle="1" w:styleId="Ttulo1Car">
    <w:name w:val="Título 1 Car"/>
    <w:basedOn w:val="Fuentedeprrafopredeter"/>
    <w:link w:val="Ttulo1"/>
    <w:rsid w:val="003D7024"/>
    <w:rPr>
      <w:rFonts w:ascii="Arial" w:eastAsia="Times New Roman" w:hAnsi="Arial" w:cs="Arial"/>
      <w:b/>
      <w:bCs/>
      <w:szCs w:val="28"/>
      <w:lang w:val="en-US"/>
    </w:rPr>
  </w:style>
  <w:style w:type="character" w:customStyle="1" w:styleId="Ttulo2Car">
    <w:name w:val="Título 2 Car"/>
    <w:basedOn w:val="Fuentedeprrafopredeter"/>
    <w:link w:val="Ttulo2"/>
    <w:rsid w:val="003D7024"/>
    <w:rPr>
      <w:rFonts w:ascii="Arial" w:eastAsia="Times New Roman" w:hAnsi="Arial" w:cs="Arial"/>
      <w:b/>
      <w:bCs/>
      <w:szCs w:val="26"/>
      <w:lang w:val="en-US"/>
    </w:rPr>
  </w:style>
  <w:style w:type="character" w:customStyle="1" w:styleId="Ttulo3Car">
    <w:name w:val="Título 3 Car"/>
    <w:basedOn w:val="Fuentedeprrafopredeter"/>
    <w:link w:val="Ttulo3"/>
    <w:rsid w:val="003D7024"/>
    <w:rPr>
      <w:rFonts w:ascii="Arial" w:eastAsia="Times New Roman" w:hAnsi="Arial" w:cs="Arial"/>
      <w:bCs/>
      <w:szCs w:val="24"/>
      <w:lang w:val="en-US"/>
    </w:rPr>
  </w:style>
  <w:style w:type="character" w:customStyle="1" w:styleId="Ttulo4Car">
    <w:name w:val="Título 4 Car"/>
    <w:basedOn w:val="Fuentedeprrafopredeter"/>
    <w:link w:val="Ttulo4"/>
    <w:rsid w:val="003D7024"/>
    <w:rPr>
      <w:rFonts w:ascii="Arial" w:eastAsia="Times New Roman" w:hAnsi="Arial" w:cs="Arial"/>
      <w:bCs/>
      <w:iCs/>
      <w:szCs w:val="24"/>
      <w:lang w:val="en-US"/>
    </w:rPr>
  </w:style>
  <w:style w:type="character" w:customStyle="1" w:styleId="Ttulo5Car">
    <w:name w:val="Título 5 Car"/>
    <w:basedOn w:val="Fuentedeprrafopredeter"/>
    <w:link w:val="Ttulo5"/>
    <w:rsid w:val="003D7024"/>
    <w:rPr>
      <w:rFonts w:ascii="Arial" w:eastAsia="Times New Roman" w:hAnsi="Arial" w:cs="Arial"/>
      <w:szCs w:val="24"/>
      <w:lang w:val="en-US"/>
    </w:rPr>
  </w:style>
  <w:style w:type="character" w:customStyle="1" w:styleId="Ttulo6Car">
    <w:name w:val="Título 6 Car"/>
    <w:basedOn w:val="Fuentedeprrafopredeter"/>
    <w:link w:val="Ttulo6"/>
    <w:rsid w:val="003D7024"/>
    <w:rPr>
      <w:rFonts w:ascii="Arial" w:eastAsia="Times New Roman" w:hAnsi="Arial" w:cs="Arial"/>
      <w:iCs/>
      <w:szCs w:val="24"/>
      <w:lang w:val="en-US"/>
    </w:rPr>
  </w:style>
  <w:style w:type="character" w:styleId="Refdecomentario">
    <w:name w:val="annotation reference"/>
    <w:basedOn w:val="Fuentedeprrafopredeter"/>
    <w:uiPriority w:val="99"/>
    <w:semiHidden/>
    <w:unhideWhenUsed/>
    <w:rsid w:val="00664943"/>
    <w:rPr>
      <w:sz w:val="16"/>
      <w:szCs w:val="16"/>
    </w:rPr>
  </w:style>
  <w:style w:type="paragraph" w:styleId="Textocomentario">
    <w:name w:val="annotation text"/>
    <w:basedOn w:val="Normal"/>
    <w:link w:val="TextocomentarioCar"/>
    <w:uiPriority w:val="99"/>
    <w:unhideWhenUsed/>
    <w:rsid w:val="00664943"/>
    <w:pPr>
      <w:spacing w:after="200"/>
    </w:pPr>
    <w:rPr>
      <w:rFonts w:eastAsiaTheme="minorEastAsia"/>
      <w:sz w:val="20"/>
      <w:szCs w:val="20"/>
      <w:lang w:eastAsia="es-CR"/>
    </w:rPr>
  </w:style>
  <w:style w:type="character" w:customStyle="1" w:styleId="TextocomentarioCar">
    <w:name w:val="Texto comentario Car"/>
    <w:basedOn w:val="Fuentedeprrafopredeter"/>
    <w:link w:val="Textocomentario"/>
    <w:uiPriority w:val="99"/>
    <w:rsid w:val="00664943"/>
    <w:rPr>
      <w:rFonts w:ascii="Times New Roman" w:eastAsiaTheme="minorEastAsia" w:hAnsi="Times New Roman" w:cs="Times New Roman"/>
      <w:sz w:val="20"/>
      <w:szCs w:val="20"/>
      <w:lang w:eastAsia="es-CR"/>
    </w:rPr>
  </w:style>
  <w:style w:type="paragraph" w:styleId="Textonotapie">
    <w:name w:val="footnote text"/>
    <w:basedOn w:val="Normal"/>
    <w:link w:val="TextonotapieCar"/>
    <w:semiHidden/>
    <w:unhideWhenUsed/>
    <w:rsid w:val="00F804B6"/>
    <w:rPr>
      <w:sz w:val="20"/>
      <w:szCs w:val="20"/>
      <w:lang w:val="es-ES" w:eastAsia="es-ES"/>
    </w:rPr>
  </w:style>
  <w:style w:type="character" w:customStyle="1" w:styleId="TextonotapieCar">
    <w:name w:val="Texto nota pie Car"/>
    <w:basedOn w:val="Fuentedeprrafopredeter"/>
    <w:link w:val="Textonotapie"/>
    <w:semiHidden/>
    <w:rsid w:val="00F804B6"/>
    <w:rPr>
      <w:rFonts w:ascii="Times New Roman" w:eastAsia="Times New Roman" w:hAnsi="Times New Roman" w:cs="Times New Roman"/>
      <w:sz w:val="20"/>
      <w:szCs w:val="20"/>
      <w:lang w:val="es-ES" w:eastAsia="es-ES"/>
    </w:rPr>
  </w:style>
  <w:style w:type="character" w:styleId="Refdenotaalpie">
    <w:name w:val="footnote reference"/>
    <w:semiHidden/>
    <w:unhideWhenUsed/>
    <w:rsid w:val="00F804B6"/>
    <w:rPr>
      <w:vertAlign w:val="superscript"/>
    </w:rPr>
  </w:style>
  <w:style w:type="character" w:styleId="nfasis">
    <w:name w:val="Emphasis"/>
    <w:basedOn w:val="Fuentedeprrafopredeter"/>
    <w:uiPriority w:val="20"/>
    <w:qFormat/>
    <w:rsid w:val="00A64AF2"/>
    <w:rPr>
      <w:i/>
      <w:iCs/>
    </w:rPr>
  </w:style>
  <w:style w:type="character" w:styleId="Textoennegrita">
    <w:name w:val="Strong"/>
    <w:basedOn w:val="Fuentedeprrafopredeter"/>
    <w:uiPriority w:val="22"/>
    <w:qFormat/>
    <w:rsid w:val="00A64AF2"/>
    <w:rPr>
      <w:b/>
      <w:bCs/>
    </w:rPr>
  </w:style>
  <w:style w:type="paragraph" w:customStyle="1" w:styleId="Default0">
    <w:name w:val="Default"/>
    <w:rsid w:val="004E66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rrafodelistaCar">
    <w:name w:val="Párrafo de lista Car"/>
    <w:aliases w:val="Informe Car"/>
    <w:link w:val="Prrafodelista"/>
    <w:uiPriority w:val="34"/>
    <w:rsid w:val="001320BC"/>
    <w:rPr>
      <w:rFonts w:ascii="Arial MT" w:eastAsia="Arial MT" w:hAnsi="Arial MT" w:cs="Arial MT"/>
      <w:lang w:val="es-ES"/>
    </w:rPr>
  </w:style>
  <w:style w:type="character" w:customStyle="1" w:styleId="ui-provider">
    <w:name w:val="ui-provider"/>
    <w:basedOn w:val="Fuentedeprrafopredeter"/>
    <w:rsid w:val="00A50436"/>
  </w:style>
  <w:style w:type="paragraph" w:styleId="Encabezado">
    <w:name w:val="header"/>
    <w:basedOn w:val="Normal"/>
    <w:link w:val="EncabezadoCar"/>
    <w:uiPriority w:val="99"/>
    <w:unhideWhenUsed/>
    <w:rsid w:val="001D452B"/>
    <w:pPr>
      <w:tabs>
        <w:tab w:val="center" w:pos="4419"/>
        <w:tab w:val="right" w:pos="8838"/>
      </w:tabs>
    </w:pPr>
  </w:style>
  <w:style w:type="character" w:customStyle="1" w:styleId="EncabezadoCar">
    <w:name w:val="Encabezado Car"/>
    <w:basedOn w:val="Fuentedeprrafopredeter"/>
    <w:link w:val="Encabezado"/>
    <w:uiPriority w:val="99"/>
    <w:rsid w:val="001D452B"/>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1D452B"/>
    <w:pPr>
      <w:tabs>
        <w:tab w:val="center" w:pos="4419"/>
        <w:tab w:val="right" w:pos="8838"/>
      </w:tabs>
    </w:pPr>
  </w:style>
  <w:style w:type="character" w:customStyle="1" w:styleId="PiedepginaCar">
    <w:name w:val="Pie de página Car"/>
    <w:basedOn w:val="Fuentedeprrafopredeter"/>
    <w:link w:val="Piedepgina"/>
    <w:uiPriority w:val="99"/>
    <w:rsid w:val="001D452B"/>
    <w:rPr>
      <w:rFonts w:ascii="Times New Roman" w:eastAsia="Times New Roman" w:hAnsi="Times New Roman" w:cs="Times New Roman"/>
      <w:sz w:val="24"/>
      <w:szCs w:val="24"/>
      <w:lang w:eastAsia="es-MX"/>
    </w:rPr>
  </w:style>
  <w:style w:type="table" w:styleId="Tablaconcuadrcula">
    <w:name w:val="Table Grid"/>
    <w:basedOn w:val="Tablanormal"/>
    <w:uiPriority w:val="39"/>
    <w:rsid w:val="00BB4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01CED"/>
    <w:pPr>
      <w:spacing w:before="100" w:beforeAutospacing="1" w:after="100" w:afterAutospacing="1"/>
    </w:pPr>
    <w:rPr>
      <w:lang w:eastAsia="es-CR"/>
    </w:rPr>
  </w:style>
  <w:style w:type="character" w:customStyle="1" w:styleId="normaltextrun">
    <w:name w:val="normaltextrun"/>
    <w:basedOn w:val="Fuentedeprrafopredeter"/>
    <w:rsid w:val="00001CED"/>
  </w:style>
  <w:style w:type="character" w:customStyle="1" w:styleId="eop">
    <w:name w:val="eop"/>
    <w:basedOn w:val="Fuentedeprrafopredeter"/>
    <w:rsid w:val="00001CED"/>
  </w:style>
  <w:style w:type="paragraph" w:customStyle="1" w:styleId="SupenEncabezado">
    <w:name w:val="Supen_Encabezado"/>
    <w:next w:val="Normal"/>
    <w:link w:val="SupenEncabezadoCar"/>
    <w:autoRedefine/>
    <w:qFormat/>
    <w:rsid w:val="00253222"/>
    <w:pPr>
      <w:spacing w:after="0" w:line="360" w:lineRule="auto"/>
      <w:jc w:val="center"/>
    </w:pPr>
    <w:rPr>
      <w:rFonts w:ascii="Times New Roman" w:hAnsi="Times New Roman"/>
      <w:sz w:val="24"/>
      <w:lang w:val="es-ES"/>
    </w:rPr>
  </w:style>
  <w:style w:type="character" w:customStyle="1" w:styleId="SupenEncabezadoCar">
    <w:name w:val="Supen_Encabezado Car"/>
    <w:basedOn w:val="Fuentedeprrafopredeter"/>
    <w:link w:val="SupenEncabezado"/>
    <w:rsid w:val="00253222"/>
    <w:rPr>
      <w:rFonts w:ascii="Times New Roman" w:hAnsi="Times New Roman"/>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6164">
      <w:bodyDiv w:val="1"/>
      <w:marLeft w:val="0"/>
      <w:marRight w:val="0"/>
      <w:marTop w:val="0"/>
      <w:marBottom w:val="0"/>
      <w:divBdr>
        <w:top w:val="none" w:sz="0" w:space="0" w:color="auto"/>
        <w:left w:val="none" w:sz="0" w:space="0" w:color="auto"/>
        <w:bottom w:val="none" w:sz="0" w:space="0" w:color="auto"/>
        <w:right w:val="none" w:sz="0" w:space="0" w:color="auto"/>
      </w:divBdr>
    </w:div>
    <w:div w:id="17123458">
      <w:bodyDiv w:val="1"/>
      <w:marLeft w:val="0"/>
      <w:marRight w:val="0"/>
      <w:marTop w:val="0"/>
      <w:marBottom w:val="0"/>
      <w:divBdr>
        <w:top w:val="none" w:sz="0" w:space="0" w:color="auto"/>
        <w:left w:val="none" w:sz="0" w:space="0" w:color="auto"/>
        <w:bottom w:val="none" w:sz="0" w:space="0" w:color="auto"/>
        <w:right w:val="none" w:sz="0" w:space="0" w:color="auto"/>
      </w:divBdr>
      <w:divsChild>
        <w:div w:id="703605145">
          <w:marLeft w:val="0"/>
          <w:marRight w:val="0"/>
          <w:marTop w:val="0"/>
          <w:marBottom w:val="0"/>
          <w:divBdr>
            <w:top w:val="none" w:sz="0" w:space="0" w:color="auto"/>
            <w:left w:val="none" w:sz="0" w:space="0" w:color="auto"/>
            <w:bottom w:val="none" w:sz="0" w:space="0" w:color="auto"/>
            <w:right w:val="none" w:sz="0" w:space="0" w:color="auto"/>
          </w:divBdr>
        </w:div>
        <w:div w:id="1843618189">
          <w:marLeft w:val="0"/>
          <w:marRight w:val="0"/>
          <w:marTop w:val="0"/>
          <w:marBottom w:val="0"/>
          <w:divBdr>
            <w:top w:val="none" w:sz="0" w:space="0" w:color="auto"/>
            <w:left w:val="none" w:sz="0" w:space="0" w:color="auto"/>
            <w:bottom w:val="none" w:sz="0" w:space="0" w:color="auto"/>
            <w:right w:val="none" w:sz="0" w:space="0" w:color="auto"/>
          </w:divBdr>
        </w:div>
      </w:divsChild>
    </w:div>
    <w:div w:id="19478491">
      <w:bodyDiv w:val="1"/>
      <w:marLeft w:val="0"/>
      <w:marRight w:val="0"/>
      <w:marTop w:val="0"/>
      <w:marBottom w:val="0"/>
      <w:divBdr>
        <w:top w:val="none" w:sz="0" w:space="0" w:color="auto"/>
        <w:left w:val="none" w:sz="0" w:space="0" w:color="auto"/>
        <w:bottom w:val="none" w:sz="0" w:space="0" w:color="auto"/>
        <w:right w:val="none" w:sz="0" w:space="0" w:color="auto"/>
      </w:divBdr>
    </w:div>
    <w:div w:id="24719545">
      <w:bodyDiv w:val="1"/>
      <w:marLeft w:val="0"/>
      <w:marRight w:val="0"/>
      <w:marTop w:val="0"/>
      <w:marBottom w:val="0"/>
      <w:divBdr>
        <w:top w:val="none" w:sz="0" w:space="0" w:color="auto"/>
        <w:left w:val="none" w:sz="0" w:space="0" w:color="auto"/>
        <w:bottom w:val="none" w:sz="0" w:space="0" w:color="auto"/>
        <w:right w:val="none" w:sz="0" w:space="0" w:color="auto"/>
      </w:divBdr>
      <w:divsChild>
        <w:div w:id="414744124">
          <w:marLeft w:val="0"/>
          <w:marRight w:val="0"/>
          <w:marTop w:val="0"/>
          <w:marBottom w:val="0"/>
          <w:divBdr>
            <w:top w:val="none" w:sz="0" w:space="0" w:color="auto"/>
            <w:left w:val="none" w:sz="0" w:space="0" w:color="auto"/>
            <w:bottom w:val="none" w:sz="0" w:space="0" w:color="auto"/>
            <w:right w:val="none" w:sz="0" w:space="0" w:color="auto"/>
          </w:divBdr>
        </w:div>
        <w:div w:id="1582332650">
          <w:marLeft w:val="0"/>
          <w:marRight w:val="0"/>
          <w:marTop w:val="0"/>
          <w:marBottom w:val="0"/>
          <w:divBdr>
            <w:top w:val="none" w:sz="0" w:space="0" w:color="auto"/>
            <w:left w:val="none" w:sz="0" w:space="0" w:color="auto"/>
            <w:bottom w:val="none" w:sz="0" w:space="0" w:color="auto"/>
            <w:right w:val="none" w:sz="0" w:space="0" w:color="auto"/>
          </w:divBdr>
        </w:div>
      </w:divsChild>
    </w:div>
    <w:div w:id="25496301">
      <w:bodyDiv w:val="1"/>
      <w:marLeft w:val="0"/>
      <w:marRight w:val="0"/>
      <w:marTop w:val="0"/>
      <w:marBottom w:val="0"/>
      <w:divBdr>
        <w:top w:val="none" w:sz="0" w:space="0" w:color="auto"/>
        <w:left w:val="none" w:sz="0" w:space="0" w:color="auto"/>
        <w:bottom w:val="none" w:sz="0" w:space="0" w:color="auto"/>
        <w:right w:val="none" w:sz="0" w:space="0" w:color="auto"/>
      </w:divBdr>
    </w:div>
    <w:div w:id="25570854">
      <w:bodyDiv w:val="1"/>
      <w:marLeft w:val="0"/>
      <w:marRight w:val="0"/>
      <w:marTop w:val="0"/>
      <w:marBottom w:val="0"/>
      <w:divBdr>
        <w:top w:val="none" w:sz="0" w:space="0" w:color="auto"/>
        <w:left w:val="none" w:sz="0" w:space="0" w:color="auto"/>
        <w:bottom w:val="none" w:sz="0" w:space="0" w:color="auto"/>
        <w:right w:val="none" w:sz="0" w:space="0" w:color="auto"/>
      </w:divBdr>
    </w:div>
    <w:div w:id="39522414">
      <w:bodyDiv w:val="1"/>
      <w:marLeft w:val="0"/>
      <w:marRight w:val="0"/>
      <w:marTop w:val="0"/>
      <w:marBottom w:val="0"/>
      <w:divBdr>
        <w:top w:val="none" w:sz="0" w:space="0" w:color="auto"/>
        <w:left w:val="none" w:sz="0" w:space="0" w:color="auto"/>
        <w:bottom w:val="none" w:sz="0" w:space="0" w:color="auto"/>
        <w:right w:val="none" w:sz="0" w:space="0" w:color="auto"/>
      </w:divBdr>
    </w:div>
    <w:div w:id="79328307">
      <w:bodyDiv w:val="1"/>
      <w:marLeft w:val="0"/>
      <w:marRight w:val="0"/>
      <w:marTop w:val="0"/>
      <w:marBottom w:val="0"/>
      <w:divBdr>
        <w:top w:val="none" w:sz="0" w:space="0" w:color="auto"/>
        <w:left w:val="none" w:sz="0" w:space="0" w:color="auto"/>
        <w:bottom w:val="none" w:sz="0" w:space="0" w:color="auto"/>
        <w:right w:val="none" w:sz="0" w:space="0" w:color="auto"/>
      </w:divBdr>
    </w:div>
    <w:div w:id="94404342">
      <w:bodyDiv w:val="1"/>
      <w:marLeft w:val="0"/>
      <w:marRight w:val="0"/>
      <w:marTop w:val="0"/>
      <w:marBottom w:val="0"/>
      <w:divBdr>
        <w:top w:val="none" w:sz="0" w:space="0" w:color="auto"/>
        <w:left w:val="none" w:sz="0" w:space="0" w:color="auto"/>
        <w:bottom w:val="none" w:sz="0" w:space="0" w:color="auto"/>
        <w:right w:val="none" w:sz="0" w:space="0" w:color="auto"/>
      </w:divBdr>
    </w:div>
    <w:div w:id="106580163">
      <w:bodyDiv w:val="1"/>
      <w:marLeft w:val="0"/>
      <w:marRight w:val="0"/>
      <w:marTop w:val="0"/>
      <w:marBottom w:val="0"/>
      <w:divBdr>
        <w:top w:val="none" w:sz="0" w:space="0" w:color="auto"/>
        <w:left w:val="none" w:sz="0" w:space="0" w:color="auto"/>
        <w:bottom w:val="none" w:sz="0" w:space="0" w:color="auto"/>
        <w:right w:val="none" w:sz="0" w:space="0" w:color="auto"/>
      </w:divBdr>
      <w:divsChild>
        <w:div w:id="479927603">
          <w:marLeft w:val="0"/>
          <w:marRight w:val="0"/>
          <w:marTop w:val="0"/>
          <w:marBottom w:val="0"/>
          <w:divBdr>
            <w:top w:val="none" w:sz="0" w:space="0" w:color="auto"/>
            <w:left w:val="none" w:sz="0" w:space="0" w:color="auto"/>
            <w:bottom w:val="none" w:sz="0" w:space="0" w:color="auto"/>
            <w:right w:val="none" w:sz="0" w:space="0" w:color="auto"/>
          </w:divBdr>
        </w:div>
        <w:div w:id="1172376747">
          <w:marLeft w:val="0"/>
          <w:marRight w:val="0"/>
          <w:marTop w:val="0"/>
          <w:marBottom w:val="0"/>
          <w:divBdr>
            <w:top w:val="none" w:sz="0" w:space="0" w:color="auto"/>
            <w:left w:val="none" w:sz="0" w:space="0" w:color="auto"/>
            <w:bottom w:val="none" w:sz="0" w:space="0" w:color="auto"/>
            <w:right w:val="none" w:sz="0" w:space="0" w:color="auto"/>
          </w:divBdr>
        </w:div>
      </w:divsChild>
    </w:div>
    <w:div w:id="125121605">
      <w:bodyDiv w:val="1"/>
      <w:marLeft w:val="0"/>
      <w:marRight w:val="0"/>
      <w:marTop w:val="0"/>
      <w:marBottom w:val="0"/>
      <w:divBdr>
        <w:top w:val="none" w:sz="0" w:space="0" w:color="auto"/>
        <w:left w:val="none" w:sz="0" w:space="0" w:color="auto"/>
        <w:bottom w:val="none" w:sz="0" w:space="0" w:color="auto"/>
        <w:right w:val="none" w:sz="0" w:space="0" w:color="auto"/>
      </w:divBdr>
    </w:div>
    <w:div w:id="138308339">
      <w:bodyDiv w:val="1"/>
      <w:marLeft w:val="0"/>
      <w:marRight w:val="0"/>
      <w:marTop w:val="0"/>
      <w:marBottom w:val="0"/>
      <w:divBdr>
        <w:top w:val="none" w:sz="0" w:space="0" w:color="auto"/>
        <w:left w:val="none" w:sz="0" w:space="0" w:color="auto"/>
        <w:bottom w:val="none" w:sz="0" w:space="0" w:color="auto"/>
        <w:right w:val="none" w:sz="0" w:space="0" w:color="auto"/>
      </w:divBdr>
    </w:div>
    <w:div w:id="166528183">
      <w:bodyDiv w:val="1"/>
      <w:marLeft w:val="0"/>
      <w:marRight w:val="0"/>
      <w:marTop w:val="0"/>
      <w:marBottom w:val="0"/>
      <w:divBdr>
        <w:top w:val="none" w:sz="0" w:space="0" w:color="auto"/>
        <w:left w:val="none" w:sz="0" w:space="0" w:color="auto"/>
        <w:bottom w:val="none" w:sz="0" w:space="0" w:color="auto"/>
        <w:right w:val="none" w:sz="0" w:space="0" w:color="auto"/>
      </w:divBdr>
    </w:div>
    <w:div w:id="178199282">
      <w:bodyDiv w:val="1"/>
      <w:marLeft w:val="0"/>
      <w:marRight w:val="0"/>
      <w:marTop w:val="0"/>
      <w:marBottom w:val="0"/>
      <w:divBdr>
        <w:top w:val="none" w:sz="0" w:space="0" w:color="auto"/>
        <w:left w:val="none" w:sz="0" w:space="0" w:color="auto"/>
        <w:bottom w:val="none" w:sz="0" w:space="0" w:color="auto"/>
        <w:right w:val="none" w:sz="0" w:space="0" w:color="auto"/>
      </w:divBdr>
    </w:div>
    <w:div w:id="178277218">
      <w:bodyDiv w:val="1"/>
      <w:marLeft w:val="0"/>
      <w:marRight w:val="0"/>
      <w:marTop w:val="0"/>
      <w:marBottom w:val="0"/>
      <w:divBdr>
        <w:top w:val="none" w:sz="0" w:space="0" w:color="auto"/>
        <w:left w:val="none" w:sz="0" w:space="0" w:color="auto"/>
        <w:bottom w:val="none" w:sz="0" w:space="0" w:color="auto"/>
        <w:right w:val="none" w:sz="0" w:space="0" w:color="auto"/>
      </w:divBdr>
      <w:divsChild>
        <w:div w:id="633756004">
          <w:marLeft w:val="0"/>
          <w:marRight w:val="0"/>
          <w:marTop w:val="0"/>
          <w:marBottom w:val="0"/>
          <w:divBdr>
            <w:top w:val="none" w:sz="0" w:space="0" w:color="auto"/>
            <w:left w:val="none" w:sz="0" w:space="0" w:color="auto"/>
            <w:bottom w:val="none" w:sz="0" w:space="0" w:color="auto"/>
            <w:right w:val="none" w:sz="0" w:space="0" w:color="auto"/>
          </w:divBdr>
        </w:div>
        <w:div w:id="54863528">
          <w:marLeft w:val="0"/>
          <w:marRight w:val="0"/>
          <w:marTop w:val="0"/>
          <w:marBottom w:val="0"/>
          <w:divBdr>
            <w:top w:val="none" w:sz="0" w:space="0" w:color="auto"/>
            <w:left w:val="none" w:sz="0" w:space="0" w:color="auto"/>
            <w:bottom w:val="none" w:sz="0" w:space="0" w:color="auto"/>
            <w:right w:val="none" w:sz="0" w:space="0" w:color="auto"/>
          </w:divBdr>
        </w:div>
      </w:divsChild>
    </w:div>
    <w:div w:id="218443623">
      <w:bodyDiv w:val="1"/>
      <w:marLeft w:val="0"/>
      <w:marRight w:val="0"/>
      <w:marTop w:val="0"/>
      <w:marBottom w:val="0"/>
      <w:divBdr>
        <w:top w:val="none" w:sz="0" w:space="0" w:color="auto"/>
        <w:left w:val="none" w:sz="0" w:space="0" w:color="auto"/>
        <w:bottom w:val="none" w:sz="0" w:space="0" w:color="auto"/>
        <w:right w:val="none" w:sz="0" w:space="0" w:color="auto"/>
      </w:divBdr>
      <w:divsChild>
        <w:div w:id="1080831412">
          <w:marLeft w:val="0"/>
          <w:marRight w:val="0"/>
          <w:marTop w:val="0"/>
          <w:marBottom w:val="0"/>
          <w:divBdr>
            <w:top w:val="none" w:sz="0" w:space="0" w:color="auto"/>
            <w:left w:val="none" w:sz="0" w:space="0" w:color="auto"/>
            <w:bottom w:val="none" w:sz="0" w:space="0" w:color="auto"/>
            <w:right w:val="none" w:sz="0" w:space="0" w:color="auto"/>
          </w:divBdr>
        </w:div>
        <w:div w:id="1859849174">
          <w:marLeft w:val="0"/>
          <w:marRight w:val="0"/>
          <w:marTop w:val="0"/>
          <w:marBottom w:val="0"/>
          <w:divBdr>
            <w:top w:val="none" w:sz="0" w:space="0" w:color="auto"/>
            <w:left w:val="none" w:sz="0" w:space="0" w:color="auto"/>
            <w:bottom w:val="none" w:sz="0" w:space="0" w:color="auto"/>
            <w:right w:val="none" w:sz="0" w:space="0" w:color="auto"/>
          </w:divBdr>
        </w:div>
      </w:divsChild>
    </w:div>
    <w:div w:id="222915455">
      <w:bodyDiv w:val="1"/>
      <w:marLeft w:val="0"/>
      <w:marRight w:val="0"/>
      <w:marTop w:val="0"/>
      <w:marBottom w:val="0"/>
      <w:divBdr>
        <w:top w:val="none" w:sz="0" w:space="0" w:color="auto"/>
        <w:left w:val="none" w:sz="0" w:space="0" w:color="auto"/>
        <w:bottom w:val="none" w:sz="0" w:space="0" w:color="auto"/>
        <w:right w:val="none" w:sz="0" w:space="0" w:color="auto"/>
      </w:divBdr>
    </w:div>
    <w:div w:id="281231391">
      <w:bodyDiv w:val="1"/>
      <w:marLeft w:val="0"/>
      <w:marRight w:val="0"/>
      <w:marTop w:val="0"/>
      <w:marBottom w:val="0"/>
      <w:divBdr>
        <w:top w:val="none" w:sz="0" w:space="0" w:color="auto"/>
        <w:left w:val="none" w:sz="0" w:space="0" w:color="auto"/>
        <w:bottom w:val="none" w:sz="0" w:space="0" w:color="auto"/>
        <w:right w:val="none" w:sz="0" w:space="0" w:color="auto"/>
      </w:divBdr>
    </w:div>
    <w:div w:id="282276463">
      <w:bodyDiv w:val="1"/>
      <w:marLeft w:val="0"/>
      <w:marRight w:val="0"/>
      <w:marTop w:val="0"/>
      <w:marBottom w:val="0"/>
      <w:divBdr>
        <w:top w:val="none" w:sz="0" w:space="0" w:color="auto"/>
        <w:left w:val="none" w:sz="0" w:space="0" w:color="auto"/>
        <w:bottom w:val="none" w:sz="0" w:space="0" w:color="auto"/>
        <w:right w:val="none" w:sz="0" w:space="0" w:color="auto"/>
      </w:divBdr>
    </w:div>
    <w:div w:id="306403059">
      <w:bodyDiv w:val="1"/>
      <w:marLeft w:val="0"/>
      <w:marRight w:val="0"/>
      <w:marTop w:val="0"/>
      <w:marBottom w:val="0"/>
      <w:divBdr>
        <w:top w:val="none" w:sz="0" w:space="0" w:color="auto"/>
        <w:left w:val="none" w:sz="0" w:space="0" w:color="auto"/>
        <w:bottom w:val="none" w:sz="0" w:space="0" w:color="auto"/>
        <w:right w:val="none" w:sz="0" w:space="0" w:color="auto"/>
      </w:divBdr>
      <w:divsChild>
        <w:div w:id="1390106133">
          <w:marLeft w:val="0"/>
          <w:marRight w:val="0"/>
          <w:marTop w:val="0"/>
          <w:marBottom w:val="0"/>
          <w:divBdr>
            <w:top w:val="none" w:sz="0" w:space="0" w:color="auto"/>
            <w:left w:val="none" w:sz="0" w:space="0" w:color="auto"/>
            <w:bottom w:val="none" w:sz="0" w:space="0" w:color="auto"/>
            <w:right w:val="none" w:sz="0" w:space="0" w:color="auto"/>
          </w:divBdr>
        </w:div>
        <w:div w:id="2137603270">
          <w:marLeft w:val="0"/>
          <w:marRight w:val="0"/>
          <w:marTop w:val="0"/>
          <w:marBottom w:val="0"/>
          <w:divBdr>
            <w:top w:val="none" w:sz="0" w:space="0" w:color="auto"/>
            <w:left w:val="none" w:sz="0" w:space="0" w:color="auto"/>
            <w:bottom w:val="none" w:sz="0" w:space="0" w:color="auto"/>
            <w:right w:val="none" w:sz="0" w:space="0" w:color="auto"/>
          </w:divBdr>
        </w:div>
      </w:divsChild>
    </w:div>
    <w:div w:id="320668955">
      <w:bodyDiv w:val="1"/>
      <w:marLeft w:val="0"/>
      <w:marRight w:val="0"/>
      <w:marTop w:val="0"/>
      <w:marBottom w:val="0"/>
      <w:divBdr>
        <w:top w:val="none" w:sz="0" w:space="0" w:color="auto"/>
        <w:left w:val="none" w:sz="0" w:space="0" w:color="auto"/>
        <w:bottom w:val="none" w:sz="0" w:space="0" w:color="auto"/>
        <w:right w:val="none" w:sz="0" w:space="0" w:color="auto"/>
      </w:divBdr>
      <w:divsChild>
        <w:div w:id="339115638">
          <w:marLeft w:val="737"/>
          <w:marRight w:val="851"/>
          <w:marTop w:val="0"/>
          <w:marBottom w:val="0"/>
          <w:divBdr>
            <w:top w:val="none" w:sz="0" w:space="0" w:color="auto"/>
            <w:left w:val="none" w:sz="0" w:space="0" w:color="auto"/>
            <w:bottom w:val="none" w:sz="0" w:space="0" w:color="auto"/>
            <w:right w:val="none" w:sz="0" w:space="0" w:color="auto"/>
          </w:divBdr>
        </w:div>
        <w:div w:id="727535787">
          <w:marLeft w:val="737"/>
          <w:marRight w:val="851"/>
          <w:marTop w:val="0"/>
          <w:marBottom w:val="0"/>
          <w:divBdr>
            <w:top w:val="none" w:sz="0" w:space="0" w:color="auto"/>
            <w:left w:val="none" w:sz="0" w:space="0" w:color="auto"/>
            <w:bottom w:val="none" w:sz="0" w:space="0" w:color="auto"/>
            <w:right w:val="none" w:sz="0" w:space="0" w:color="auto"/>
          </w:divBdr>
        </w:div>
        <w:div w:id="1301378430">
          <w:marLeft w:val="737"/>
          <w:marRight w:val="851"/>
          <w:marTop w:val="0"/>
          <w:marBottom w:val="0"/>
          <w:divBdr>
            <w:top w:val="none" w:sz="0" w:space="0" w:color="auto"/>
            <w:left w:val="none" w:sz="0" w:space="0" w:color="auto"/>
            <w:bottom w:val="none" w:sz="0" w:space="0" w:color="auto"/>
            <w:right w:val="none" w:sz="0" w:space="0" w:color="auto"/>
          </w:divBdr>
        </w:div>
        <w:div w:id="1733968641">
          <w:marLeft w:val="737"/>
          <w:marRight w:val="851"/>
          <w:marTop w:val="0"/>
          <w:marBottom w:val="0"/>
          <w:divBdr>
            <w:top w:val="none" w:sz="0" w:space="0" w:color="auto"/>
            <w:left w:val="none" w:sz="0" w:space="0" w:color="auto"/>
            <w:bottom w:val="none" w:sz="0" w:space="0" w:color="auto"/>
            <w:right w:val="none" w:sz="0" w:space="0" w:color="auto"/>
          </w:divBdr>
        </w:div>
      </w:divsChild>
    </w:div>
    <w:div w:id="367997930">
      <w:bodyDiv w:val="1"/>
      <w:marLeft w:val="0"/>
      <w:marRight w:val="0"/>
      <w:marTop w:val="0"/>
      <w:marBottom w:val="0"/>
      <w:divBdr>
        <w:top w:val="none" w:sz="0" w:space="0" w:color="auto"/>
        <w:left w:val="none" w:sz="0" w:space="0" w:color="auto"/>
        <w:bottom w:val="none" w:sz="0" w:space="0" w:color="auto"/>
        <w:right w:val="none" w:sz="0" w:space="0" w:color="auto"/>
      </w:divBdr>
    </w:div>
    <w:div w:id="417672144">
      <w:bodyDiv w:val="1"/>
      <w:marLeft w:val="0"/>
      <w:marRight w:val="0"/>
      <w:marTop w:val="0"/>
      <w:marBottom w:val="0"/>
      <w:divBdr>
        <w:top w:val="none" w:sz="0" w:space="0" w:color="auto"/>
        <w:left w:val="none" w:sz="0" w:space="0" w:color="auto"/>
        <w:bottom w:val="none" w:sz="0" w:space="0" w:color="auto"/>
        <w:right w:val="none" w:sz="0" w:space="0" w:color="auto"/>
      </w:divBdr>
    </w:div>
    <w:div w:id="431047175">
      <w:bodyDiv w:val="1"/>
      <w:marLeft w:val="0"/>
      <w:marRight w:val="0"/>
      <w:marTop w:val="0"/>
      <w:marBottom w:val="0"/>
      <w:divBdr>
        <w:top w:val="none" w:sz="0" w:space="0" w:color="auto"/>
        <w:left w:val="none" w:sz="0" w:space="0" w:color="auto"/>
        <w:bottom w:val="none" w:sz="0" w:space="0" w:color="auto"/>
        <w:right w:val="none" w:sz="0" w:space="0" w:color="auto"/>
      </w:divBdr>
      <w:divsChild>
        <w:div w:id="1648391110">
          <w:marLeft w:val="0"/>
          <w:marRight w:val="0"/>
          <w:marTop w:val="0"/>
          <w:marBottom w:val="0"/>
          <w:divBdr>
            <w:top w:val="none" w:sz="0" w:space="0" w:color="auto"/>
            <w:left w:val="none" w:sz="0" w:space="0" w:color="auto"/>
            <w:bottom w:val="none" w:sz="0" w:space="0" w:color="auto"/>
            <w:right w:val="none" w:sz="0" w:space="0" w:color="auto"/>
          </w:divBdr>
        </w:div>
        <w:div w:id="656885352">
          <w:marLeft w:val="0"/>
          <w:marRight w:val="0"/>
          <w:marTop w:val="0"/>
          <w:marBottom w:val="0"/>
          <w:divBdr>
            <w:top w:val="none" w:sz="0" w:space="0" w:color="auto"/>
            <w:left w:val="none" w:sz="0" w:space="0" w:color="auto"/>
            <w:bottom w:val="none" w:sz="0" w:space="0" w:color="auto"/>
            <w:right w:val="none" w:sz="0" w:space="0" w:color="auto"/>
          </w:divBdr>
        </w:div>
      </w:divsChild>
    </w:div>
    <w:div w:id="431560428">
      <w:bodyDiv w:val="1"/>
      <w:marLeft w:val="0"/>
      <w:marRight w:val="0"/>
      <w:marTop w:val="0"/>
      <w:marBottom w:val="0"/>
      <w:divBdr>
        <w:top w:val="none" w:sz="0" w:space="0" w:color="auto"/>
        <w:left w:val="none" w:sz="0" w:space="0" w:color="auto"/>
        <w:bottom w:val="none" w:sz="0" w:space="0" w:color="auto"/>
        <w:right w:val="none" w:sz="0" w:space="0" w:color="auto"/>
      </w:divBdr>
    </w:div>
    <w:div w:id="432213582">
      <w:bodyDiv w:val="1"/>
      <w:marLeft w:val="0"/>
      <w:marRight w:val="0"/>
      <w:marTop w:val="0"/>
      <w:marBottom w:val="0"/>
      <w:divBdr>
        <w:top w:val="none" w:sz="0" w:space="0" w:color="auto"/>
        <w:left w:val="none" w:sz="0" w:space="0" w:color="auto"/>
        <w:bottom w:val="none" w:sz="0" w:space="0" w:color="auto"/>
        <w:right w:val="none" w:sz="0" w:space="0" w:color="auto"/>
      </w:divBdr>
    </w:div>
    <w:div w:id="438333544">
      <w:bodyDiv w:val="1"/>
      <w:marLeft w:val="0"/>
      <w:marRight w:val="0"/>
      <w:marTop w:val="0"/>
      <w:marBottom w:val="0"/>
      <w:divBdr>
        <w:top w:val="none" w:sz="0" w:space="0" w:color="auto"/>
        <w:left w:val="none" w:sz="0" w:space="0" w:color="auto"/>
        <w:bottom w:val="none" w:sz="0" w:space="0" w:color="auto"/>
        <w:right w:val="none" w:sz="0" w:space="0" w:color="auto"/>
      </w:divBdr>
    </w:div>
    <w:div w:id="445273473">
      <w:bodyDiv w:val="1"/>
      <w:marLeft w:val="0"/>
      <w:marRight w:val="0"/>
      <w:marTop w:val="0"/>
      <w:marBottom w:val="0"/>
      <w:divBdr>
        <w:top w:val="none" w:sz="0" w:space="0" w:color="auto"/>
        <w:left w:val="none" w:sz="0" w:space="0" w:color="auto"/>
        <w:bottom w:val="none" w:sz="0" w:space="0" w:color="auto"/>
        <w:right w:val="none" w:sz="0" w:space="0" w:color="auto"/>
      </w:divBdr>
      <w:divsChild>
        <w:div w:id="926155326">
          <w:marLeft w:val="0"/>
          <w:marRight w:val="0"/>
          <w:marTop w:val="0"/>
          <w:marBottom w:val="0"/>
          <w:divBdr>
            <w:top w:val="none" w:sz="0" w:space="0" w:color="auto"/>
            <w:left w:val="none" w:sz="0" w:space="0" w:color="auto"/>
            <w:bottom w:val="none" w:sz="0" w:space="0" w:color="auto"/>
            <w:right w:val="none" w:sz="0" w:space="0" w:color="auto"/>
          </w:divBdr>
        </w:div>
        <w:div w:id="88309132">
          <w:marLeft w:val="0"/>
          <w:marRight w:val="0"/>
          <w:marTop w:val="0"/>
          <w:marBottom w:val="0"/>
          <w:divBdr>
            <w:top w:val="none" w:sz="0" w:space="0" w:color="auto"/>
            <w:left w:val="none" w:sz="0" w:space="0" w:color="auto"/>
            <w:bottom w:val="none" w:sz="0" w:space="0" w:color="auto"/>
            <w:right w:val="none" w:sz="0" w:space="0" w:color="auto"/>
          </w:divBdr>
        </w:div>
      </w:divsChild>
    </w:div>
    <w:div w:id="448205909">
      <w:bodyDiv w:val="1"/>
      <w:marLeft w:val="0"/>
      <w:marRight w:val="0"/>
      <w:marTop w:val="0"/>
      <w:marBottom w:val="0"/>
      <w:divBdr>
        <w:top w:val="none" w:sz="0" w:space="0" w:color="auto"/>
        <w:left w:val="none" w:sz="0" w:space="0" w:color="auto"/>
        <w:bottom w:val="none" w:sz="0" w:space="0" w:color="auto"/>
        <w:right w:val="none" w:sz="0" w:space="0" w:color="auto"/>
      </w:divBdr>
    </w:div>
    <w:div w:id="464933978">
      <w:bodyDiv w:val="1"/>
      <w:marLeft w:val="0"/>
      <w:marRight w:val="0"/>
      <w:marTop w:val="0"/>
      <w:marBottom w:val="0"/>
      <w:divBdr>
        <w:top w:val="none" w:sz="0" w:space="0" w:color="auto"/>
        <w:left w:val="none" w:sz="0" w:space="0" w:color="auto"/>
        <w:bottom w:val="none" w:sz="0" w:space="0" w:color="auto"/>
        <w:right w:val="none" w:sz="0" w:space="0" w:color="auto"/>
      </w:divBdr>
    </w:div>
    <w:div w:id="475295996">
      <w:bodyDiv w:val="1"/>
      <w:marLeft w:val="0"/>
      <w:marRight w:val="0"/>
      <w:marTop w:val="0"/>
      <w:marBottom w:val="0"/>
      <w:divBdr>
        <w:top w:val="none" w:sz="0" w:space="0" w:color="auto"/>
        <w:left w:val="none" w:sz="0" w:space="0" w:color="auto"/>
        <w:bottom w:val="none" w:sz="0" w:space="0" w:color="auto"/>
        <w:right w:val="none" w:sz="0" w:space="0" w:color="auto"/>
      </w:divBdr>
    </w:div>
    <w:div w:id="480275982">
      <w:bodyDiv w:val="1"/>
      <w:marLeft w:val="0"/>
      <w:marRight w:val="0"/>
      <w:marTop w:val="0"/>
      <w:marBottom w:val="0"/>
      <w:divBdr>
        <w:top w:val="none" w:sz="0" w:space="0" w:color="auto"/>
        <w:left w:val="none" w:sz="0" w:space="0" w:color="auto"/>
        <w:bottom w:val="none" w:sz="0" w:space="0" w:color="auto"/>
        <w:right w:val="none" w:sz="0" w:space="0" w:color="auto"/>
      </w:divBdr>
    </w:div>
    <w:div w:id="509174207">
      <w:bodyDiv w:val="1"/>
      <w:marLeft w:val="0"/>
      <w:marRight w:val="0"/>
      <w:marTop w:val="0"/>
      <w:marBottom w:val="0"/>
      <w:divBdr>
        <w:top w:val="none" w:sz="0" w:space="0" w:color="auto"/>
        <w:left w:val="none" w:sz="0" w:space="0" w:color="auto"/>
        <w:bottom w:val="none" w:sz="0" w:space="0" w:color="auto"/>
        <w:right w:val="none" w:sz="0" w:space="0" w:color="auto"/>
      </w:divBdr>
      <w:divsChild>
        <w:div w:id="397900558">
          <w:marLeft w:val="0"/>
          <w:marRight w:val="0"/>
          <w:marTop w:val="0"/>
          <w:marBottom w:val="0"/>
          <w:divBdr>
            <w:top w:val="none" w:sz="0" w:space="0" w:color="auto"/>
            <w:left w:val="none" w:sz="0" w:space="0" w:color="auto"/>
            <w:bottom w:val="none" w:sz="0" w:space="0" w:color="auto"/>
            <w:right w:val="none" w:sz="0" w:space="0" w:color="auto"/>
          </w:divBdr>
        </w:div>
        <w:div w:id="1845054100">
          <w:marLeft w:val="0"/>
          <w:marRight w:val="0"/>
          <w:marTop w:val="0"/>
          <w:marBottom w:val="0"/>
          <w:divBdr>
            <w:top w:val="none" w:sz="0" w:space="0" w:color="auto"/>
            <w:left w:val="none" w:sz="0" w:space="0" w:color="auto"/>
            <w:bottom w:val="none" w:sz="0" w:space="0" w:color="auto"/>
            <w:right w:val="none" w:sz="0" w:space="0" w:color="auto"/>
          </w:divBdr>
        </w:div>
      </w:divsChild>
    </w:div>
    <w:div w:id="523983813">
      <w:bodyDiv w:val="1"/>
      <w:marLeft w:val="0"/>
      <w:marRight w:val="0"/>
      <w:marTop w:val="0"/>
      <w:marBottom w:val="0"/>
      <w:divBdr>
        <w:top w:val="none" w:sz="0" w:space="0" w:color="auto"/>
        <w:left w:val="none" w:sz="0" w:space="0" w:color="auto"/>
        <w:bottom w:val="none" w:sz="0" w:space="0" w:color="auto"/>
        <w:right w:val="none" w:sz="0" w:space="0" w:color="auto"/>
      </w:divBdr>
    </w:div>
    <w:div w:id="585044081">
      <w:bodyDiv w:val="1"/>
      <w:marLeft w:val="0"/>
      <w:marRight w:val="0"/>
      <w:marTop w:val="0"/>
      <w:marBottom w:val="0"/>
      <w:divBdr>
        <w:top w:val="none" w:sz="0" w:space="0" w:color="auto"/>
        <w:left w:val="none" w:sz="0" w:space="0" w:color="auto"/>
        <w:bottom w:val="none" w:sz="0" w:space="0" w:color="auto"/>
        <w:right w:val="none" w:sz="0" w:space="0" w:color="auto"/>
      </w:divBdr>
    </w:div>
    <w:div w:id="590164457">
      <w:bodyDiv w:val="1"/>
      <w:marLeft w:val="0"/>
      <w:marRight w:val="0"/>
      <w:marTop w:val="0"/>
      <w:marBottom w:val="0"/>
      <w:divBdr>
        <w:top w:val="none" w:sz="0" w:space="0" w:color="auto"/>
        <w:left w:val="none" w:sz="0" w:space="0" w:color="auto"/>
        <w:bottom w:val="none" w:sz="0" w:space="0" w:color="auto"/>
        <w:right w:val="none" w:sz="0" w:space="0" w:color="auto"/>
      </w:divBdr>
    </w:div>
    <w:div w:id="604193821">
      <w:bodyDiv w:val="1"/>
      <w:marLeft w:val="0"/>
      <w:marRight w:val="0"/>
      <w:marTop w:val="0"/>
      <w:marBottom w:val="0"/>
      <w:divBdr>
        <w:top w:val="none" w:sz="0" w:space="0" w:color="auto"/>
        <w:left w:val="none" w:sz="0" w:space="0" w:color="auto"/>
        <w:bottom w:val="none" w:sz="0" w:space="0" w:color="auto"/>
        <w:right w:val="none" w:sz="0" w:space="0" w:color="auto"/>
      </w:divBdr>
      <w:divsChild>
        <w:div w:id="116072052">
          <w:marLeft w:val="0"/>
          <w:marRight w:val="0"/>
          <w:marTop w:val="0"/>
          <w:marBottom w:val="0"/>
          <w:divBdr>
            <w:top w:val="none" w:sz="0" w:space="0" w:color="auto"/>
            <w:left w:val="none" w:sz="0" w:space="0" w:color="auto"/>
            <w:bottom w:val="none" w:sz="0" w:space="0" w:color="auto"/>
            <w:right w:val="none" w:sz="0" w:space="0" w:color="auto"/>
          </w:divBdr>
        </w:div>
        <w:div w:id="1300762069">
          <w:marLeft w:val="0"/>
          <w:marRight w:val="0"/>
          <w:marTop w:val="0"/>
          <w:marBottom w:val="0"/>
          <w:divBdr>
            <w:top w:val="none" w:sz="0" w:space="0" w:color="auto"/>
            <w:left w:val="none" w:sz="0" w:space="0" w:color="auto"/>
            <w:bottom w:val="none" w:sz="0" w:space="0" w:color="auto"/>
            <w:right w:val="none" w:sz="0" w:space="0" w:color="auto"/>
          </w:divBdr>
        </w:div>
      </w:divsChild>
    </w:div>
    <w:div w:id="606470743">
      <w:bodyDiv w:val="1"/>
      <w:marLeft w:val="0"/>
      <w:marRight w:val="0"/>
      <w:marTop w:val="0"/>
      <w:marBottom w:val="0"/>
      <w:divBdr>
        <w:top w:val="none" w:sz="0" w:space="0" w:color="auto"/>
        <w:left w:val="none" w:sz="0" w:space="0" w:color="auto"/>
        <w:bottom w:val="none" w:sz="0" w:space="0" w:color="auto"/>
        <w:right w:val="none" w:sz="0" w:space="0" w:color="auto"/>
      </w:divBdr>
    </w:div>
    <w:div w:id="607661357">
      <w:bodyDiv w:val="1"/>
      <w:marLeft w:val="0"/>
      <w:marRight w:val="0"/>
      <w:marTop w:val="0"/>
      <w:marBottom w:val="0"/>
      <w:divBdr>
        <w:top w:val="none" w:sz="0" w:space="0" w:color="auto"/>
        <w:left w:val="none" w:sz="0" w:space="0" w:color="auto"/>
        <w:bottom w:val="none" w:sz="0" w:space="0" w:color="auto"/>
        <w:right w:val="none" w:sz="0" w:space="0" w:color="auto"/>
      </w:divBdr>
    </w:div>
    <w:div w:id="613094559">
      <w:bodyDiv w:val="1"/>
      <w:marLeft w:val="0"/>
      <w:marRight w:val="0"/>
      <w:marTop w:val="0"/>
      <w:marBottom w:val="0"/>
      <w:divBdr>
        <w:top w:val="none" w:sz="0" w:space="0" w:color="auto"/>
        <w:left w:val="none" w:sz="0" w:space="0" w:color="auto"/>
        <w:bottom w:val="none" w:sz="0" w:space="0" w:color="auto"/>
        <w:right w:val="none" w:sz="0" w:space="0" w:color="auto"/>
      </w:divBdr>
    </w:div>
    <w:div w:id="671295364">
      <w:bodyDiv w:val="1"/>
      <w:marLeft w:val="0"/>
      <w:marRight w:val="0"/>
      <w:marTop w:val="0"/>
      <w:marBottom w:val="0"/>
      <w:divBdr>
        <w:top w:val="none" w:sz="0" w:space="0" w:color="auto"/>
        <w:left w:val="none" w:sz="0" w:space="0" w:color="auto"/>
        <w:bottom w:val="none" w:sz="0" w:space="0" w:color="auto"/>
        <w:right w:val="none" w:sz="0" w:space="0" w:color="auto"/>
      </w:divBdr>
      <w:divsChild>
        <w:div w:id="718743478">
          <w:marLeft w:val="0"/>
          <w:marRight w:val="0"/>
          <w:marTop w:val="0"/>
          <w:marBottom w:val="0"/>
          <w:divBdr>
            <w:top w:val="none" w:sz="0" w:space="0" w:color="auto"/>
            <w:left w:val="none" w:sz="0" w:space="0" w:color="auto"/>
            <w:bottom w:val="none" w:sz="0" w:space="0" w:color="auto"/>
            <w:right w:val="none" w:sz="0" w:space="0" w:color="auto"/>
          </w:divBdr>
        </w:div>
        <w:div w:id="2096633578">
          <w:marLeft w:val="0"/>
          <w:marRight w:val="0"/>
          <w:marTop w:val="0"/>
          <w:marBottom w:val="0"/>
          <w:divBdr>
            <w:top w:val="none" w:sz="0" w:space="0" w:color="auto"/>
            <w:left w:val="none" w:sz="0" w:space="0" w:color="auto"/>
            <w:bottom w:val="none" w:sz="0" w:space="0" w:color="auto"/>
            <w:right w:val="none" w:sz="0" w:space="0" w:color="auto"/>
          </w:divBdr>
        </w:div>
      </w:divsChild>
    </w:div>
    <w:div w:id="700133777">
      <w:bodyDiv w:val="1"/>
      <w:marLeft w:val="0"/>
      <w:marRight w:val="0"/>
      <w:marTop w:val="0"/>
      <w:marBottom w:val="0"/>
      <w:divBdr>
        <w:top w:val="none" w:sz="0" w:space="0" w:color="auto"/>
        <w:left w:val="none" w:sz="0" w:space="0" w:color="auto"/>
        <w:bottom w:val="none" w:sz="0" w:space="0" w:color="auto"/>
        <w:right w:val="none" w:sz="0" w:space="0" w:color="auto"/>
      </w:divBdr>
    </w:div>
    <w:div w:id="723287604">
      <w:bodyDiv w:val="1"/>
      <w:marLeft w:val="0"/>
      <w:marRight w:val="0"/>
      <w:marTop w:val="0"/>
      <w:marBottom w:val="0"/>
      <w:divBdr>
        <w:top w:val="none" w:sz="0" w:space="0" w:color="auto"/>
        <w:left w:val="none" w:sz="0" w:space="0" w:color="auto"/>
        <w:bottom w:val="none" w:sz="0" w:space="0" w:color="auto"/>
        <w:right w:val="none" w:sz="0" w:space="0" w:color="auto"/>
      </w:divBdr>
    </w:div>
    <w:div w:id="729765599">
      <w:bodyDiv w:val="1"/>
      <w:marLeft w:val="0"/>
      <w:marRight w:val="0"/>
      <w:marTop w:val="0"/>
      <w:marBottom w:val="0"/>
      <w:divBdr>
        <w:top w:val="none" w:sz="0" w:space="0" w:color="auto"/>
        <w:left w:val="none" w:sz="0" w:space="0" w:color="auto"/>
        <w:bottom w:val="none" w:sz="0" w:space="0" w:color="auto"/>
        <w:right w:val="none" w:sz="0" w:space="0" w:color="auto"/>
      </w:divBdr>
    </w:div>
    <w:div w:id="735855760">
      <w:bodyDiv w:val="1"/>
      <w:marLeft w:val="0"/>
      <w:marRight w:val="0"/>
      <w:marTop w:val="0"/>
      <w:marBottom w:val="0"/>
      <w:divBdr>
        <w:top w:val="none" w:sz="0" w:space="0" w:color="auto"/>
        <w:left w:val="none" w:sz="0" w:space="0" w:color="auto"/>
        <w:bottom w:val="none" w:sz="0" w:space="0" w:color="auto"/>
        <w:right w:val="none" w:sz="0" w:space="0" w:color="auto"/>
      </w:divBdr>
      <w:divsChild>
        <w:div w:id="1118648606">
          <w:marLeft w:val="0"/>
          <w:marRight w:val="0"/>
          <w:marTop w:val="0"/>
          <w:marBottom w:val="0"/>
          <w:divBdr>
            <w:top w:val="none" w:sz="0" w:space="0" w:color="auto"/>
            <w:left w:val="none" w:sz="0" w:space="0" w:color="auto"/>
            <w:bottom w:val="none" w:sz="0" w:space="0" w:color="auto"/>
            <w:right w:val="none" w:sz="0" w:space="0" w:color="auto"/>
          </w:divBdr>
        </w:div>
        <w:div w:id="1593511194">
          <w:marLeft w:val="0"/>
          <w:marRight w:val="0"/>
          <w:marTop w:val="0"/>
          <w:marBottom w:val="0"/>
          <w:divBdr>
            <w:top w:val="none" w:sz="0" w:space="0" w:color="auto"/>
            <w:left w:val="none" w:sz="0" w:space="0" w:color="auto"/>
            <w:bottom w:val="none" w:sz="0" w:space="0" w:color="auto"/>
            <w:right w:val="none" w:sz="0" w:space="0" w:color="auto"/>
          </w:divBdr>
        </w:div>
      </w:divsChild>
    </w:div>
    <w:div w:id="769812352">
      <w:bodyDiv w:val="1"/>
      <w:marLeft w:val="0"/>
      <w:marRight w:val="0"/>
      <w:marTop w:val="0"/>
      <w:marBottom w:val="0"/>
      <w:divBdr>
        <w:top w:val="none" w:sz="0" w:space="0" w:color="auto"/>
        <w:left w:val="none" w:sz="0" w:space="0" w:color="auto"/>
        <w:bottom w:val="none" w:sz="0" w:space="0" w:color="auto"/>
        <w:right w:val="none" w:sz="0" w:space="0" w:color="auto"/>
      </w:divBdr>
      <w:divsChild>
        <w:div w:id="1634603475">
          <w:marLeft w:val="0"/>
          <w:marRight w:val="0"/>
          <w:marTop w:val="0"/>
          <w:marBottom w:val="0"/>
          <w:divBdr>
            <w:top w:val="none" w:sz="0" w:space="0" w:color="auto"/>
            <w:left w:val="none" w:sz="0" w:space="0" w:color="auto"/>
            <w:bottom w:val="none" w:sz="0" w:space="0" w:color="auto"/>
            <w:right w:val="none" w:sz="0" w:space="0" w:color="auto"/>
          </w:divBdr>
        </w:div>
        <w:div w:id="1284581120">
          <w:marLeft w:val="0"/>
          <w:marRight w:val="0"/>
          <w:marTop w:val="0"/>
          <w:marBottom w:val="0"/>
          <w:divBdr>
            <w:top w:val="none" w:sz="0" w:space="0" w:color="auto"/>
            <w:left w:val="none" w:sz="0" w:space="0" w:color="auto"/>
            <w:bottom w:val="none" w:sz="0" w:space="0" w:color="auto"/>
            <w:right w:val="none" w:sz="0" w:space="0" w:color="auto"/>
          </w:divBdr>
        </w:div>
        <w:div w:id="1320429515">
          <w:marLeft w:val="0"/>
          <w:marRight w:val="0"/>
          <w:marTop w:val="0"/>
          <w:marBottom w:val="0"/>
          <w:divBdr>
            <w:top w:val="none" w:sz="0" w:space="0" w:color="auto"/>
            <w:left w:val="none" w:sz="0" w:space="0" w:color="auto"/>
            <w:bottom w:val="none" w:sz="0" w:space="0" w:color="auto"/>
            <w:right w:val="none" w:sz="0" w:space="0" w:color="auto"/>
          </w:divBdr>
        </w:div>
      </w:divsChild>
    </w:div>
    <w:div w:id="835615305">
      <w:bodyDiv w:val="1"/>
      <w:marLeft w:val="0"/>
      <w:marRight w:val="0"/>
      <w:marTop w:val="0"/>
      <w:marBottom w:val="0"/>
      <w:divBdr>
        <w:top w:val="none" w:sz="0" w:space="0" w:color="auto"/>
        <w:left w:val="none" w:sz="0" w:space="0" w:color="auto"/>
        <w:bottom w:val="none" w:sz="0" w:space="0" w:color="auto"/>
        <w:right w:val="none" w:sz="0" w:space="0" w:color="auto"/>
      </w:divBdr>
      <w:divsChild>
        <w:div w:id="186410955">
          <w:marLeft w:val="0"/>
          <w:marRight w:val="0"/>
          <w:marTop w:val="0"/>
          <w:marBottom w:val="0"/>
          <w:divBdr>
            <w:top w:val="none" w:sz="0" w:space="0" w:color="auto"/>
            <w:left w:val="none" w:sz="0" w:space="0" w:color="auto"/>
            <w:bottom w:val="none" w:sz="0" w:space="0" w:color="auto"/>
            <w:right w:val="none" w:sz="0" w:space="0" w:color="auto"/>
          </w:divBdr>
        </w:div>
        <w:div w:id="1959680123">
          <w:marLeft w:val="0"/>
          <w:marRight w:val="0"/>
          <w:marTop w:val="0"/>
          <w:marBottom w:val="0"/>
          <w:divBdr>
            <w:top w:val="none" w:sz="0" w:space="0" w:color="auto"/>
            <w:left w:val="none" w:sz="0" w:space="0" w:color="auto"/>
            <w:bottom w:val="none" w:sz="0" w:space="0" w:color="auto"/>
            <w:right w:val="none" w:sz="0" w:space="0" w:color="auto"/>
          </w:divBdr>
        </w:div>
        <w:div w:id="164438019">
          <w:marLeft w:val="0"/>
          <w:marRight w:val="0"/>
          <w:marTop w:val="0"/>
          <w:marBottom w:val="0"/>
          <w:divBdr>
            <w:top w:val="none" w:sz="0" w:space="0" w:color="auto"/>
            <w:left w:val="none" w:sz="0" w:space="0" w:color="auto"/>
            <w:bottom w:val="none" w:sz="0" w:space="0" w:color="auto"/>
            <w:right w:val="none" w:sz="0" w:space="0" w:color="auto"/>
          </w:divBdr>
        </w:div>
      </w:divsChild>
    </w:div>
    <w:div w:id="875776344">
      <w:bodyDiv w:val="1"/>
      <w:marLeft w:val="0"/>
      <w:marRight w:val="0"/>
      <w:marTop w:val="0"/>
      <w:marBottom w:val="0"/>
      <w:divBdr>
        <w:top w:val="none" w:sz="0" w:space="0" w:color="auto"/>
        <w:left w:val="none" w:sz="0" w:space="0" w:color="auto"/>
        <w:bottom w:val="none" w:sz="0" w:space="0" w:color="auto"/>
        <w:right w:val="none" w:sz="0" w:space="0" w:color="auto"/>
      </w:divBdr>
    </w:div>
    <w:div w:id="904098084">
      <w:bodyDiv w:val="1"/>
      <w:marLeft w:val="0"/>
      <w:marRight w:val="0"/>
      <w:marTop w:val="0"/>
      <w:marBottom w:val="0"/>
      <w:divBdr>
        <w:top w:val="none" w:sz="0" w:space="0" w:color="auto"/>
        <w:left w:val="none" w:sz="0" w:space="0" w:color="auto"/>
        <w:bottom w:val="none" w:sz="0" w:space="0" w:color="auto"/>
        <w:right w:val="none" w:sz="0" w:space="0" w:color="auto"/>
      </w:divBdr>
    </w:div>
    <w:div w:id="908922100">
      <w:bodyDiv w:val="1"/>
      <w:marLeft w:val="0"/>
      <w:marRight w:val="0"/>
      <w:marTop w:val="0"/>
      <w:marBottom w:val="0"/>
      <w:divBdr>
        <w:top w:val="none" w:sz="0" w:space="0" w:color="auto"/>
        <w:left w:val="none" w:sz="0" w:space="0" w:color="auto"/>
        <w:bottom w:val="none" w:sz="0" w:space="0" w:color="auto"/>
        <w:right w:val="none" w:sz="0" w:space="0" w:color="auto"/>
      </w:divBdr>
    </w:div>
    <w:div w:id="927427988">
      <w:bodyDiv w:val="1"/>
      <w:marLeft w:val="0"/>
      <w:marRight w:val="0"/>
      <w:marTop w:val="0"/>
      <w:marBottom w:val="0"/>
      <w:divBdr>
        <w:top w:val="none" w:sz="0" w:space="0" w:color="auto"/>
        <w:left w:val="none" w:sz="0" w:space="0" w:color="auto"/>
        <w:bottom w:val="none" w:sz="0" w:space="0" w:color="auto"/>
        <w:right w:val="none" w:sz="0" w:space="0" w:color="auto"/>
      </w:divBdr>
      <w:divsChild>
        <w:div w:id="1675062513">
          <w:marLeft w:val="0"/>
          <w:marRight w:val="0"/>
          <w:marTop w:val="0"/>
          <w:marBottom w:val="0"/>
          <w:divBdr>
            <w:top w:val="none" w:sz="0" w:space="0" w:color="auto"/>
            <w:left w:val="none" w:sz="0" w:space="0" w:color="auto"/>
            <w:bottom w:val="none" w:sz="0" w:space="0" w:color="auto"/>
            <w:right w:val="none" w:sz="0" w:space="0" w:color="auto"/>
          </w:divBdr>
        </w:div>
        <w:div w:id="1971324753">
          <w:marLeft w:val="0"/>
          <w:marRight w:val="0"/>
          <w:marTop w:val="0"/>
          <w:marBottom w:val="0"/>
          <w:divBdr>
            <w:top w:val="none" w:sz="0" w:space="0" w:color="auto"/>
            <w:left w:val="none" w:sz="0" w:space="0" w:color="auto"/>
            <w:bottom w:val="none" w:sz="0" w:space="0" w:color="auto"/>
            <w:right w:val="none" w:sz="0" w:space="0" w:color="auto"/>
          </w:divBdr>
        </w:div>
      </w:divsChild>
    </w:div>
    <w:div w:id="935789058">
      <w:bodyDiv w:val="1"/>
      <w:marLeft w:val="0"/>
      <w:marRight w:val="0"/>
      <w:marTop w:val="0"/>
      <w:marBottom w:val="0"/>
      <w:divBdr>
        <w:top w:val="none" w:sz="0" w:space="0" w:color="auto"/>
        <w:left w:val="none" w:sz="0" w:space="0" w:color="auto"/>
        <w:bottom w:val="none" w:sz="0" w:space="0" w:color="auto"/>
        <w:right w:val="none" w:sz="0" w:space="0" w:color="auto"/>
      </w:divBdr>
    </w:div>
    <w:div w:id="951475434">
      <w:bodyDiv w:val="1"/>
      <w:marLeft w:val="0"/>
      <w:marRight w:val="0"/>
      <w:marTop w:val="0"/>
      <w:marBottom w:val="0"/>
      <w:divBdr>
        <w:top w:val="none" w:sz="0" w:space="0" w:color="auto"/>
        <w:left w:val="none" w:sz="0" w:space="0" w:color="auto"/>
        <w:bottom w:val="none" w:sz="0" w:space="0" w:color="auto"/>
        <w:right w:val="none" w:sz="0" w:space="0" w:color="auto"/>
      </w:divBdr>
    </w:div>
    <w:div w:id="976571716">
      <w:bodyDiv w:val="1"/>
      <w:marLeft w:val="0"/>
      <w:marRight w:val="0"/>
      <w:marTop w:val="0"/>
      <w:marBottom w:val="0"/>
      <w:divBdr>
        <w:top w:val="none" w:sz="0" w:space="0" w:color="auto"/>
        <w:left w:val="none" w:sz="0" w:space="0" w:color="auto"/>
        <w:bottom w:val="none" w:sz="0" w:space="0" w:color="auto"/>
        <w:right w:val="none" w:sz="0" w:space="0" w:color="auto"/>
      </w:divBdr>
      <w:divsChild>
        <w:div w:id="1197934236">
          <w:marLeft w:val="0"/>
          <w:marRight w:val="0"/>
          <w:marTop w:val="0"/>
          <w:marBottom w:val="0"/>
          <w:divBdr>
            <w:top w:val="none" w:sz="0" w:space="0" w:color="auto"/>
            <w:left w:val="none" w:sz="0" w:space="0" w:color="auto"/>
            <w:bottom w:val="none" w:sz="0" w:space="0" w:color="auto"/>
            <w:right w:val="none" w:sz="0" w:space="0" w:color="auto"/>
          </w:divBdr>
        </w:div>
        <w:div w:id="536282247">
          <w:marLeft w:val="0"/>
          <w:marRight w:val="0"/>
          <w:marTop w:val="0"/>
          <w:marBottom w:val="0"/>
          <w:divBdr>
            <w:top w:val="none" w:sz="0" w:space="0" w:color="auto"/>
            <w:left w:val="none" w:sz="0" w:space="0" w:color="auto"/>
            <w:bottom w:val="none" w:sz="0" w:space="0" w:color="auto"/>
            <w:right w:val="none" w:sz="0" w:space="0" w:color="auto"/>
          </w:divBdr>
        </w:div>
      </w:divsChild>
    </w:div>
    <w:div w:id="987976260">
      <w:bodyDiv w:val="1"/>
      <w:marLeft w:val="0"/>
      <w:marRight w:val="0"/>
      <w:marTop w:val="0"/>
      <w:marBottom w:val="0"/>
      <w:divBdr>
        <w:top w:val="none" w:sz="0" w:space="0" w:color="auto"/>
        <w:left w:val="none" w:sz="0" w:space="0" w:color="auto"/>
        <w:bottom w:val="none" w:sz="0" w:space="0" w:color="auto"/>
        <w:right w:val="none" w:sz="0" w:space="0" w:color="auto"/>
      </w:divBdr>
    </w:div>
    <w:div w:id="987980157">
      <w:bodyDiv w:val="1"/>
      <w:marLeft w:val="0"/>
      <w:marRight w:val="0"/>
      <w:marTop w:val="0"/>
      <w:marBottom w:val="0"/>
      <w:divBdr>
        <w:top w:val="none" w:sz="0" w:space="0" w:color="auto"/>
        <w:left w:val="none" w:sz="0" w:space="0" w:color="auto"/>
        <w:bottom w:val="none" w:sz="0" w:space="0" w:color="auto"/>
        <w:right w:val="none" w:sz="0" w:space="0" w:color="auto"/>
      </w:divBdr>
    </w:div>
    <w:div w:id="1019502722">
      <w:bodyDiv w:val="1"/>
      <w:marLeft w:val="0"/>
      <w:marRight w:val="0"/>
      <w:marTop w:val="0"/>
      <w:marBottom w:val="0"/>
      <w:divBdr>
        <w:top w:val="none" w:sz="0" w:space="0" w:color="auto"/>
        <w:left w:val="none" w:sz="0" w:space="0" w:color="auto"/>
        <w:bottom w:val="none" w:sz="0" w:space="0" w:color="auto"/>
        <w:right w:val="none" w:sz="0" w:space="0" w:color="auto"/>
      </w:divBdr>
    </w:div>
    <w:div w:id="1051347447">
      <w:bodyDiv w:val="1"/>
      <w:marLeft w:val="0"/>
      <w:marRight w:val="0"/>
      <w:marTop w:val="0"/>
      <w:marBottom w:val="0"/>
      <w:divBdr>
        <w:top w:val="none" w:sz="0" w:space="0" w:color="auto"/>
        <w:left w:val="none" w:sz="0" w:space="0" w:color="auto"/>
        <w:bottom w:val="none" w:sz="0" w:space="0" w:color="auto"/>
        <w:right w:val="none" w:sz="0" w:space="0" w:color="auto"/>
      </w:divBdr>
    </w:div>
    <w:div w:id="1079988215">
      <w:bodyDiv w:val="1"/>
      <w:marLeft w:val="0"/>
      <w:marRight w:val="0"/>
      <w:marTop w:val="0"/>
      <w:marBottom w:val="0"/>
      <w:divBdr>
        <w:top w:val="none" w:sz="0" w:space="0" w:color="auto"/>
        <w:left w:val="none" w:sz="0" w:space="0" w:color="auto"/>
        <w:bottom w:val="none" w:sz="0" w:space="0" w:color="auto"/>
        <w:right w:val="none" w:sz="0" w:space="0" w:color="auto"/>
      </w:divBdr>
    </w:div>
    <w:div w:id="1099519178">
      <w:bodyDiv w:val="1"/>
      <w:marLeft w:val="0"/>
      <w:marRight w:val="0"/>
      <w:marTop w:val="0"/>
      <w:marBottom w:val="0"/>
      <w:divBdr>
        <w:top w:val="none" w:sz="0" w:space="0" w:color="auto"/>
        <w:left w:val="none" w:sz="0" w:space="0" w:color="auto"/>
        <w:bottom w:val="none" w:sz="0" w:space="0" w:color="auto"/>
        <w:right w:val="none" w:sz="0" w:space="0" w:color="auto"/>
      </w:divBdr>
    </w:div>
    <w:div w:id="1102728013">
      <w:bodyDiv w:val="1"/>
      <w:marLeft w:val="0"/>
      <w:marRight w:val="0"/>
      <w:marTop w:val="0"/>
      <w:marBottom w:val="0"/>
      <w:divBdr>
        <w:top w:val="none" w:sz="0" w:space="0" w:color="auto"/>
        <w:left w:val="none" w:sz="0" w:space="0" w:color="auto"/>
        <w:bottom w:val="none" w:sz="0" w:space="0" w:color="auto"/>
        <w:right w:val="none" w:sz="0" w:space="0" w:color="auto"/>
      </w:divBdr>
    </w:div>
    <w:div w:id="1106971682">
      <w:bodyDiv w:val="1"/>
      <w:marLeft w:val="0"/>
      <w:marRight w:val="0"/>
      <w:marTop w:val="0"/>
      <w:marBottom w:val="0"/>
      <w:divBdr>
        <w:top w:val="none" w:sz="0" w:space="0" w:color="auto"/>
        <w:left w:val="none" w:sz="0" w:space="0" w:color="auto"/>
        <w:bottom w:val="none" w:sz="0" w:space="0" w:color="auto"/>
        <w:right w:val="none" w:sz="0" w:space="0" w:color="auto"/>
      </w:divBdr>
    </w:div>
    <w:div w:id="1130128456">
      <w:bodyDiv w:val="1"/>
      <w:marLeft w:val="0"/>
      <w:marRight w:val="0"/>
      <w:marTop w:val="0"/>
      <w:marBottom w:val="0"/>
      <w:divBdr>
        <w:top w:val="none" w:sz="0" w:space="0" w:color="auto"/>
        <w:left w:val="none" w:sz="0" w:space="0" w:color="auto"/>
        <w:bottom w:val="none" w:sz="0" w:space="0" w:color="auto"/>
        <w:right w:val="none" w:sz="0" w:space="0" w:color="auto"/>
      </w:divBdr>
      <w:divsChild>
        <w:div w:id="2103989653">
          <w:marLeft w:val="0"/>
          <w:marRight w:val="0"/>
          <w:marTop w:val="0"/>
          <w:marBottom w:val="0"/>
          <w:divBdr>
            <w:top w:val="none" w:sz="0" w:space="0" w:color="auto"/>
            <w:left w:val="none" w:sz="0" w:space="0" w:color="auto"/>
            <w:bottom w:val="none" w:sz="0" w:space="0" w:color="auto"/>
            <w:right w:val="none" w:sz="0" w:space="0" w:color="auto"/>
          </w:divBdr>
        </w:div>
        <w:div w:id="1659847196">
          <w:marLeft w:val="0"/>
          <w:marRight w:val="0"/>
          <w:marTop w:val="0"/>
          <w:marBottom w:val="0"/>
          <w:divBdr>
            <w:top w:val="none" w:sz="0" w:space="0" w:color="auto"/>
            <w:left w:val="none" w:sz="0" w:space="0" w:color="auto"/>
            <w:bottom w:val="none" w:sz="0" w:space="0" w:color="auto"/>
            <w:right w:val="none" w:sz="0" w:space="0" w:color="auto"/>
          </w:divBdr>
        </w:div>
      </w:divsChild>
    </w:div>
    <w:div w:id="1170675341">
      <w:bodyDiv w:val="1"/>
      <w:marLeft w:val="0"/>
      <w:marRight w:val="0"/>
      <w:marTop w:val="0"/>
      <w:marBottom w:val="0"/>
      <w:divBdr>
        <w:top w:val="none" w:sz="0" w:space="0" w:color="auto"/>
        <w:left w:val="none" w:sz="0" w:space="0" w:color="auto"/>
        <w:bottom w:val="none" w:sz="0" w:space="0" w:color="auto"/>
        <w:right w:val="none" w:sz="0" w:space="0" w:color="auto"/>
      </w:divBdr>
    </w:div>
    <w:div w:id="1181897476">
      <w:bodyDiv w:val="1"/>
      <w:marLeft w:val="0"/>
      <w:marRight w:val="0"/>
      <w:marTop w:val="0"/>
      <w:marBottom w:val="0"/>
      <w:divBdr>
        <w:top w:val="none" w:sz="0" w:space="0" w:color="auto"/>
        <w:left w:val="none" w:sz="0" w:space="0" w:color="auto"/>
        <w:bottom w:val="none" w:sz="0" w:space="0" w:color="auto"/>
        <w:right w:val="none" w:sz="0" w:space="0" w:color="auto"/>
      </w:divBdr>
    </w:div>
    <w:div w:id="1184443585">
      <w:bodyDiv w:val="1"/>
      <w:marLeft w:val="0"/>
      <w:marRight w:val="0"/>
      <w:marTop w:val="0"/>
      <w:marBottom w:val="0"/>
      <w:divBdr>
        <w:top w:val="none" w:sz="0" w:space="0" w:color="auto"/>
        <w:left w:val="none" w:sz="0" w:space="0" w:color="auto"/>
        <w:bottom w:val="none" w:sz="0" w:space="0" w:color="auto"/>
        <w:right w:val="none" w:sz="0" w:space="0" w:color="auto"/>
      </w:divBdr>
      <w:divsChild>
        <w:div w:id="632173296">
          <w:marLeft w:val="0"/>
          <w:marRight w:val="0"/>
          <w:marTop w:val="0"/>
          <w:marBottom w:val="0"/>
          <w:divBdr>
            <w:top w:val="none" w:sz="0" w:space="0" w:color="auto"/>
            <w:left w:val="none" w:sz="0" w:space="0" w:color="auto"/>
            <w:bottom w:val="none" w:sz="0" w:space="0" w:color="auto"/>
            <w:right w:val="none" w:sz="0" w:space="0" w:color="auto"/>
          </w:divBdr>
        </w:div>
        <w:div w:id="889801799">
          <w:marLeft w:val="0"/>
          <w:marRight w:val="0"/>
          <w:marTop w:val="0"/>
          <w:marBottom w:val="0"/>
          <w:divBdr>
            <w:top w:val="none" w:sz="0" w:space="0" w:color="auto"/>
            <w:left w:val="none" w:sz="0" w:space="0" w:color="auto"/>
            <w:bottom w:val="none" w:sz="0" w:space="0" w:color="auto"/>
            <w:right w:val="none" w:sz="0" w:space="0" w:color="auto"/>
          </w:divBdr>
        </w:div>
        <w:div w:id="1807431369">
          <w:marLeft w:val="0"/>
          <w:marRight w:val="0"/>
          <w:marTop w:val="0"/>
          <w:marBottom w:val="0"/>
          <w:divBdr>
            <w:top w:val="none" w:sz="0" w:space="0" w:color="auto"/>
            <w:left w:val="none" w:sz="0" w:space="0" w:color="auto"/>
            <w:bottom w:val="none" w:sz="0" w:space="0" w:color="auto"/>
            <w:right w:val="none" w:sz="0" w:space="0" w:color="auto"/>
          </w:divBdr>
        </w:div>
      </w:divsChild>
    </w:div>
    <w:div w:id="1203326663">
      <w:bodyDiv w:val="1"/>
      <w:marLeft w:val="0"/>
      <w:marRight w:val="0"/>
      <w:marTop w:val="0"/>
      <w:marBottom w:val="0"/>
      <w:divBdr>
        <w:top w:val="none" w:sz="0" w:space="0" w:color="auto"/>
        <w:left w:val="none" w:sz="0" w:space="0" w:color="auto"/>
        <w:bottom w:val="none" w:sz="0" w:space="0" w:color="auto"/>
        <w:right w:val="none" w:sz="0" w:space="0" w:color="auto"/>
      </w:divBdr>
    </w:div>
    <w:div w:id="1233661381">
      <w:bodyDiv w:val="1"/>
      <w:marLeft w:val="0"/>
      <w:marRight w:val="0"/>
      <w:marTop w:val="0"/>
      <w:marBottom w:val="0"/>
      <w:divBdr>
        <w:top w:val="none" w:sz="0" w:space="0" w:color="auto"/>
        <w:left w:val="none" w:sz="0" w:space="0" w:color="auto"/>
        <w:bottom w:val="none" w:sz="0" w:space="0" w:color="auto"/>
        <w:right w:val="none" w:sz="0" w:space="0" w:color="auto"/>
      </w:divBdr>
    </w:div>
    <w:div w:id="1276641367">
      <w:bodyDiv w:val="1"/>
      <w:marLeft w:val="0"/>
      <w:marRight w:val="0"/>
      <w:marTop w:val="0"/>
      <w:marBottom w:val="0"/>
      <w:divBdr>
        <w:top w:val="none" w:sz="0" w:space="0" w:color="auto"/>
        <w:left w:val="none" w:sz="0" w:space="0" w:color="auto"/>
        <w:bottom w:val="none" w:sz="0" w:space="0" w:color="auto"/>
        <w:right w:val="none" w:sz="0" w:space="0" w:color="auto"/>
      </w:divBdr>
    </w:div>
    <w:div w:id="1323050504">
      <w:bodyDiv w:val="1"/>
      <w:marLeft w:val="0"/>
      <w:marRight w:val="0"/>
      <w:marTop w:val="0"/>
      <w:marBottom w:val="0"/>
      <w:divBdr>
        <w:top w:val="none" w:sz="0" w:space="0" w:color="auto"/>
        <w:left w:val="none" w:sz="0" w:space="0" w:color="auto"/>
        <w:bottom w:val="none" w:sz="0" w:space="0" w:color="auto"/>
        <w:right w:val="none" w:sz="0" w:space="0" w:color="auto"/>
      </w:divBdr>
    </w:div>
    <w:div w:id="1373190578">
      <w:bodyDiv w:val="1"/>
      <w:marLeft w:val="0"/>
      <w:marRight w:val="0"/>
      <w:marTop w:val="0"/>
      <w:marBottom w:val="0"/>
      <w:divBdr>
        <w:top w:val="none" w:sz="0" w:space="0" w:color="auto"/>
        <w:left w:val="none" w:sz="0" w:space="0" w:color="auto"/>
        <w:bottom w:val="none" w:sz="0" w:space="0" w:color="auto"/>
        <w:right w:val="none" w:sz="0" w:space="0" w:color="auto"/>
      </w:divBdr>
    </w:div>
    <w:div w:id="1387948657">
      <w:bodyDiv w:val="1"/>
      <w:marLeft w:val="0"/>
      <w:marRight w:val="0"/>
      <w:marTop w:val="0"/>
      <w:marBottom w:val="0"/>
      <w:divBdr>
        <w:top w:val="none" w:sz="0" w:space="0" w:color="auto"/>
        <w:left w:val="none" w:sz="0" w:space="0" w:color="auto"/>
        <w:bottom w:val="none" w:sz="0" w:space="0" w:color="auto"/>
        <w:right w:val="none" w:sz="0" w:space="0" w:color="auto"/>
      </w:divBdr>
    </w:div>
    <w:div w:id="1434327556">
      <w:bodyDiv w:val="1"/>
      <w:marLeft w:val="0"/>
      <w:marRight w:val="0"/>
      <w:marTop w:val="0"/>
      <w:marBottom w:val="0"/>
      <w:divBdr>
        <w:top w:val="none" w:sz="0" w:space="0" w:color="auto"/>
        <w:left w:val="none" w:sz="0" w:space="0" w:color="auto"/>
        <w:bottom w:val="none" w:sz="0" w:space="0" w:color="auto"/>
        <w:right w:val="none" w:sz="0" w:space="0" w:color="auto"/>
      </w:divBdr>
    </w:div>
    <w:div w:id="1466269179">
      <w:bodyDiv w:val="1"/>
      <w:marLeft w:val="0"/>
      <w:marRight w:val="0"/>
      <w:marTop w:val="0"/>
      <w:marBottom w:val="0"/>
      <w:divBdr>
        <w:top w:val="none" w:sz="0" w:space="0" w:color="auto"/>
        <w:left w:val="none" w:sz="0" w:space="0" w:color="auto"/>
        <w:bottom w:val="none" w:sz="0" w:space="0" w:color="auto"/>
        <w:right w:val="none" w:sz="0" w:space="0" w:color="auto"/>
      </w:divBdr>
      <w:divsChild>
        <w:div w:id="1027606661">
          <w:marLeft w:val="0"/>
          <w:marRight w:val="0"/>
          <w:marTop w:val="0"/>
          <w:marBottom w:val="0"/>
          <w:divBdr>
            <w:top w:val="none" w:sz="0" w:space="0" w:color="auto"/>
            <w:left w:val="none" w:sz="0" w:space="0" w:color="auto"/>
            <w:bottom w:val="none" w:sz="0" w:space="0" w:color="auto"/>
            <w:right w:val="none" w:sz="0" w:space="0" w:color="auto"/>
          </w:divBdr>
        </w:div>
        <w:div w:id="1758749085">
          <w:marLeft w:val="0"/>
          <w:marRight w:val="0"/>
          <w:marTop w:val="0"/>
          <w:marBottom w:val="0"/>
          <w:divBdr>
            <w:top w:val="none" w:sz="0" w:space="0" w:color="auto"/>
            <w:left w:val="none" w:sz="0" w:space="0" w:color="auto"/>
            <w:bottom w:val="none" w:sz="0" w:space="0" w:color="auto"/>
            <w:right w:val="none" w:sz="0" w:space="0" w:color="auto"/>
          </w:divBdr>
        </w:div>
      </w:divsChild>
    </w:div>
    <w:div w:id="1565220433">
      <w:bodyDiv w:val="1"/>
      <w:marLeft w:val="0"/>
      <w:marRight w:val="0"/>
      <w:marTop w:val="0"/>
      <w:marBottom w:val="0"/>
      <w:divBdr>
        <w:top w:val="none" w:sz="0" w:space="0" w:color="auto"/>
        <w:left w:val="none" w:sz="0" w:space="0" w:color="auto"/>
        <w:bottom w:val="none" w:sz="0" w:space="0" w:color="auto"/>
        <w:right w:val="none" w:sz="0" w:space="0" w:color="auto"/>
      </w:divBdr>
    </w:div>
    <w:div w:id="1573471025">
      <w:bodyDiv w:val="1"/>
      <w:marLeft w:val="0"/>
      <w:marRight w:val="0"/>
      <w:marTop w:val="0"/>
      <w:marBottom w:val="0"/>
      <w:divBdr>
        <w:top w:val="none" w:sz="0" w:space="0" w:color="auto"/>
        <w:left w:val="none" w:sz="0" w:space="0" w:color="auto"/>
        <w:bottom w:val="none" w:sz="0" w:space="0" w:color="auto"/>
        <w:right w:val="none" w:sz="0" w:space="0" w:color="auto"/>
      </w:divBdr>
    </w:div>
    <w:div w:id="1580335345">
      <w:bodyDiv w:val="1"/>
      <w:marLeft w:val="0"/>
      <w:marRight w:val="0"/>
      <w:marTop w:val="0"/>
      <w:marBottom w:val="0"/>
      <w:divBdr>
        <w:top w:val="none" w:sz="0" w:space="0" w:color="auto"/>
        <w:left w:val="none" w:sz="0" w:space="0" w:color="auto"/>
        <w:bottom w:val="none" w:sz="0" w:space="0" w:color="auto"/>
        <w:right w:val="none" w:sz="0" w:space="0" w:color="auto"/>
      </w:divBdr>
    </w:div>
    <w:div w:id="1600790682">
      <w:bodyDiv w:val="1"/>
      <w:marLeft w:val="0"/>
      <w:marRight w:val="0"/>
      <w:marTop w:val="0"/>
      <w:marBottom w:val="0"/>
      <w:divBdr>
        <w:top w:val="none" w:sz="0" w:space="0" w:color="auto"/>
        <w:left w:val="none" w:sz="0" w:space="0" w:color="auto"/>
        <w:bottom w:val="none" w:sz="0" w:space="0" w:color="auto"/>
        <w:right w:val="none" w:sz="0" w:space="0" w:color="auto"/>
      </w:divBdr>
    </w:div>
    <w:div w:id="1615016917">
      <w:bodyDiv w:val="1"/>
      <w:marLeft w:val="0"/>
      <w:marRight w:val="0"/>
      <w:marTop w:val="0"/>
      <w:marBottom w:val="0"/>
      <w:divBdr>
        <w:top w:val="none" w:sz="0" w:space="0" w:color="auto"/>
        <w:left w:val="none" w:sz="0" w:space="0" w:color="auto"/>
        <w:bottom w:val="none" w:sz="0" w:space="0" w:color="auto"/>
        <w:right w:val="none" w:sz="0" w:space="0" w:color="auto"/>
      </w:divBdr>
    </w:div>
    <w:div w:id="1619295752">
      <w:bodyDiv w:val="1"/>
      <w:marLeft w:val="0"/>
      <w:marRight w:val="0"/>
      <w:marTop w:val="0"/>
      <w:marBottom w:val="0"/>
      <w:divBdr>
        <w:top w:val="none" w:sz="0" w:space="0" w:color="auto"/>
        <w:left w:val="none" w:sz="0" w:space="0" w:color="auto"/>
        <w:bottom w:val="none" w:sz="0" w:space="0" w:color="auto"/>
        <w:right w:val="none" w:sz="0" w:space="0" w:color="auto"/>
      </w:divBdr>
    </w:div>
    <w:div w:id="1716155167">
      <w:bodyDiv w:val="1"/>
      <w:marLeft w:val="0"/>
      <w:marRight w:val="0"/>
      <w:marTop w:val="0"/>
      <w:marBottom w:val="0"/>
      <w:divBdr>
        <w:top w:val="none" w:sz="0" w:space="0" w:color="auto"/>
        <w:left w:val="none" w:sz="0" w:space="0" w:color="auto"/>
        <w:bottom w:val="none" w:sz="0" w:space="0" w:color="auto"/>
        <w:right w:val="none" w:sz="0" w:space="0" w:color="auto"/>
      </w:divBdr>
      <w:divsChild>
        <w:div w:id="1158764608">
          <w:marLeft w:val="0"/>
          <w:marRight w:val="0"/>
          <w:marTop w:val="0"/>
          <w:marBottom w:val="0"/>
          <w:divBdr>
            <w:top w:val="none" w:sz="0" w:space="0" w:color="auto"/>
            <w:left w:val="none" w:sz="0" w:space="0" w:color="auto"/>
            <w:bottom w:val="none" w:sz="0" w:space="0" w:color="auto"/>
            <w:right w:val="none" w:sz="0" w:space="0" w:color="auto"/>
          </w:divBdr>
        </w:div>
        <w:div w:id="897474646">
          <w:marLeft w:val="0"/>
          <w:marRight w:val="0"/>
          <w:marTop w:val="0"/>
          <w:marBottom w:val="0"/>
          <w:divBdr>
            <w:top w:val="none" w:sz="0" w:space="0" w:color="auto"/>
            <w:left w:val="none" w:sz="0" w:space="0" w:color="auto"/>
            <w:bottom w:val="none" w:sz="0" w:space="0" w:color="auto"/>
            <w:right w:val="none" w:sz="0" w:space="0" w:color="auto"/>
          </w:divBdr>
        </w:div>
      </w:divsChild>
    </w:div>
    <w:div w:id="1724327823">
      <w:bodyDiv w:val="1"/>
      <w:marLeft w:val="0"/>
      <w:marRight w:val="0"/>
      <w:marTop w:val="0"/>
      <w:marBottom w:val="0"/>
      <w:divBdr>
        <w:top w:val="none" w:sz="0" w:space="0" w:color="auto"/>
        <w:left w:val="none" w:sz="0" w:space="0" w:color="auto"/>
        <w:bottom w:val="none" w:sz="0" w:space="0" w:color="auto"/>
        <w:right w:val="none" w:sz="0" w:space="0" w:color="auto"/>
      </w:divBdr>
    </w:div>
    <w:div w:id="1793934190">
      <w:bodyDiv w:val="1"/>
      <w:marLeft w:val="0"/>
      <w:marRight w:val="0"/>
      <w:marTop w:val="0"/>
      <w:marBottom w:val="0"/>
      <w:divBdr>
        <w:top w:val="none" w:sz="0" w:space="0" w:color="auto"/>
        <w:left w:val="none" w:sz="0" w:space="0" w:color="auto"/>
        <w:bottom w:val="none" w:sz="0" w:space="0" w:color="auto"/>
        <w:right w:val="none" w:sz="0" w:space="0" w:color="auto"/>
      </w:divBdr>
    </w:div>
    <w:div w:id="1818646364">
      <w:bodyDiv w:val="1"/>
      <w:marLeft w:val="0"/>
      <w:marRight w:val="0"/>
      <w:marTop w:val="0"/>
      <w:marBottom w:val="0"/>
      <w:divBdr>
        <w:top w:val="none" w:sz="0" w:space="0" w:color="auto"/>
        <w:left w:val="none" w:sz="0" w:space="0" w:color="auto"/>
        <w:bottom w:val="none" w:sz="0" w:space="0" w:color="auto"/>
        <w:right w:val="none" w:sz="0" w:space="0" w:color="auto"/>
      </w:divBdr>
    </w:div>
    <w:div w:id="1820993628">
      <w:bodyDiv w:val="1"/>
      <w:marLeft w:val="0"/>
      <w:marRight w:val="0"/>
      <w:marTop w:val="0"/>
      <w:marBottom w:val="0"/>
      <w:divBdr>
        <w:top w:val="none" w:sz="0" w:space="0" w:color="auto"/>
        <w:left w:val="none" w:sz="0" w:space="0" w:color="auto"/>
        <w:bottom w:val="none" w:sz="0" w:space="0" w:color="auto"/>
        <w:right w:val="none" w:sz="0" w:space="0" w:color="auto"/>
      </w:divBdr>
      <w:divsChild>
        <w:div w:id="1168132345">
          <w:marLeft w:val="0"/>
          <w:marRight w:val="0"/>
          <w:marTop w:val="0"/>
          <w:marBottom w:val="0"/>
          <w:divBdr>
            <w:top w:val="none" w:sz="0" w:space="0" w:color="auto"/>
            <w:left w:val="none" w:sz="0" w:space="0" w:color="auto"/>
            <w:bottom w:val="none" w:sz="0" w:space="0" w:color="auto"/>
            <w:right w:val="none" w:sz="0" w:space="0" w:color="auto"/>
          </w:divBdr>
        </w:div>
        <w:div w:id="583032007">
          <w:marLeft w:val="0"/>
          <w:marRight w:val="0"/>
          <w:marTop w:val="0"/>
          <w:marBottom w:val="0"/>
          <w:divBdr>
            <w:top w:val="none" w:sz="0" w:space="0" w:color="auto"/>
            <w:left w:val="none" w:sz="0" w:space="0" w:color="auto"/>
            <w:bottom w:val="none" w:sz="0" w:space="0" w:color="auto"/>
            <w:right w:val="none" w:sz="0" w:space="0" w:color="auto"/>
          </w:divBdr>
        </w:div>
      </w:divsChild>
    </w:div>
    <w:div w:id="1825465438">
      <w:bodyDiv w:val="1"/>
      <w:marLeft w:val="0"/>
      <w:marRight w:val="0"/>
      <w:marTop w:val="0"/>
      <w:marBottom w:val="0"/>
      <w:divBdr>
        <w:top w:val="none" w:sz="0" w:space="0" w:color="auto"/>
        <w:left w:val="none" w:sz="0" w:space="0" w:color="auto"/>
        <w:bottom w:val="none" w:sz="0" w:space="0" w:color="auto"/>
        <w:right w:val="none" w:sz="0" w:space="0" w:color="auto"/>
      </w:divBdr>
      <w:divsChild>
        <w:div w:id="180244803">
          <w:marLeft w:val="0"/>
          <w:marRight w:val="0"/>
          <w:marTop w:val="0"/>
          <w:marBottom w:val="0"/>
          <w:divBdr>
            <w:top w:val="none" w:sz="0" w:space="0" w:color="auto"/>
            <w:left w:val="none" w:sz="0" w:space="0" w:color="auto"/>
            <w:bottom w:val="none" w:sz="0" w:space="0" w:color="auto"/>
            <w:right w:val="none" w:sz="0" w:space="0" w:color="auto"/>
          </w:divBdr>
        </w:div>
        <w:div w:id="500126055">
          <w:marLeft w:val="0"/>
          <w:marRight w:val="0"/>
          <w:marTop w:val="0"/>
          <w:marBottom w:val="0"/>
          <w:divBdr>
            <w:top w:val="none" w:sz="0" w:space="0" w:color="auto"/>
            <w:left w:val="none" w:sz="0" w:space="0" w:color="auto"/>
            <w:bottom w:val="none" w:sz="0" w:space="0" w:color="auto"/>
            <w:right w:val="none" w:sz="0" w:space="0" w:color="auto"/>
          </w:divBdr>
        </w:div>
      </w:divsChild>
    </w:div>
    <w:div w:id="1831673331">
      <w:bodyDiv w:val="1"/>
      <w:marLeft w:val="0"/>
      <w:marRight w:val="0"/>
      <w:marTop w:val="0"/>
      <w:marBottom w:val="0"/>
      <w:divBdr>
        <w:top w:val="none" w:sz="0" w:space="0" w:color="auto"/>
        <w:left w:val="none" w:sz="0" w:space="0" w:color="auto"/>
        <w:bottom w:val="none" w:sz="0" w:space="0" w:color="auto"/>
        <w:right w:val="none" w:sz="0" w:space="0" w:color="auto"/>
      </w:divBdr>
      <w:divsChild>
        <w:div w:id="1559366824">
          <w:marLeft w:val="0"/>
          <w:marRight w:val="0"/>
          <w:marTop w:val="0"/>
          <w:marBottom w:val="0"/>
          <w:divBdr>
            <w:top w:val="none" w:sz="0" w:space="0" w:color="auto"/>
            <w:left w:val="none" w:sz="0" w:space="0" w:color="auto"/>
            <w:bottom w:val="none" w:sz="0" w:space="0" w:color="auto"/>
            <w:right w:val="none" w:sz="0" w:space="0" w:color="auto"/>
          </w:divBdr>
        </w:div>
        <w:div w:id="277296785">
          <w:marLeft w:val="0"/>
          <w:marRight w:val="0"/>
          <w:marTop w:val="0"/>
          <w:marBottom w:val="0"/>
          <w:divBdr>
            <w:top w:val="none" w:sz="0" w:space="0" w:color="auto"/>
            <w:left w:val="none" w:sz="0" w:space="0" w:color="auto"/>
            <w:bottom w:val="none" w:sz="0" w:space="0" w:color="auto"/>
            <w:right w:val="none" w:sz="0" w:space="0" w:color="auto"/>
          </w:divBdr>
        </w:div>
      </w:divsChild>
    </w:div>
    <w:div w:id="1895847916">
      <w:bodyDiv w:val="1"/>
      <w:marLeft w:val="0"/>
      <w:marRight w:val="0"/>
      <w:marTop w:val="0"/>
      <w:marBottom w:val="0"/>
      <w:divBdr>
        <w:top w:val="none" w:sz="0" w:space="0" w:color="auto"/>
        <w:left w:val="none" w:sz="0" w:space="0" w:color="auto"/>
        <w:bottom w:val="none" w:sz="0" w:space="0" w:color="auto"/>
        <w:right w:val="none" w:sz="0" w:space="0" w:color="auto"/>
      </w:divBdr>
    </w:div>
    <w:div w:id="1953322631">
      <w:bodyDiv w:val="1"/>
      <w:marLeft w:val="0"/>
      <w:marRight w:val="0"/>
      <w:marTop w:val="0"/>
      <w:marBottom w:val="0"/>
      <w:divBdr>
        <w:top w:val="none" w:sz="0" w:space="0" w:color="auto"/>
        <w:left w:val="none" w:sz="0" w:space="0" w:color="auto"/>
        <w:bottom w:val="none" w:sz="0" w:space="0" w:color="auto"/>
        <w:right w:val="none" w:sz="0" w:space="0" w:color="auto"/>
      </w:divBdr>
      <w:divsChild>
        <w:div w:id="427775505">
          <w:marLeft w:val="0"/>
          <w:marRight w:val="0"/>
          <w:marTop w:val="0"/>
          <w:marBottom w:val="0"/>
          <w:divBdr>
            <w:top w:val="none" w:sz="0" w:space="0" w:color="auto"/>
            <w:left w:val="none" w:sz="0" w:space="0" w:color="auto"/>
            <w:bottom w:val="none" w:sz="0" w:space="0" w:color="auto"/>
            <w:right w:val="none" w:sz="0" w:space="0" w:color="auto"/>
          </w:divBdr>
        </w:div>
        <w:div w:id="1616403872">
          <w:marLeft w:val="0"/>
          <w:marRight w:val="0"/>
          <w:marTop w:val="0"/>
          <w:marBottom w:val="0"/>
          <w:divBdr>
            <w:top w:val="none" w:sz="0" w:space="0" w:color="auto"/>
            <w:left w:val="none" w:sz="0" w:space="0" w:color="auto"/>
            <w:bottom w:val="none" w:sz="0" w:space="0" w:color="auto"/>
            <w:right w:val="none" w:sz="0" w:space="0" w:color="auto"/>
          </w:divBdr>
        </w:div>
      </w:divsChild>
    </w:div>
    <w:div w:id="1973903858">
      <w:bodyDiv w:val="1"/>
      <w:marLeft w:val="0"/>
      <w:marRight w:val="0"/>
      <w:marTop w:val="0"/>
      <w:marBottom w:val="0"/>
      <w:divBdr>
        <w:top w:val="none" w:sz="0" w:space="0" w:color="auto"/>
        <w:left w:val="none" w:sz="0" w:space="0" w:color="auto"/>
        <w:bottom w:val="none" w:sz="0" w:space="0" w:color="auto"/>
        <w:right w:val="none" w:sz="0" w:space="0" w:color="auto"/>
      </w:divBdr>
    </w:div>
    <w:div w:id="2020235033">
      <w:bodyDiv w:val="1"/>
      <w:marLeft w:val="0"/>
      <w:marRight w:val="0"/>
      <w:marTop w:val="0"/>
      <w:marBottom w:val="0"/>
      <w:divBdr>
        <w:top w:val="none" w:sz="0" w:space="0" w:color="auto"/>
        <w:left w:val="none" w:sz="0" w:space="0" w:color="auto"/>
        <w:bottom w:val="none" w:sz="0" w:space="0" w:color="auto"/>
        <w:right w:val="none" w:sz="0" w:space="0" w:color="auto"/>
      </w:divBdr>
    </w:div>
    <w:div w:id="2025784456">
      <w:bodyDiv w:val="1"/>
      <w:marLeft w:val="0"/>
      <w:marRight w:val="0"/>
      <w:marTop w:val="0"/>
      <w:marBottom w:val="0"/>
      <w:divBdr>
        <w:top w:val="none" w:sz="0" w:space="0" w:color="auto"/>
        <w:left w:val="none" w:sz="0" w:space="0" w:color="auto"/>
        <w:bottom w:val="none" w:sz="0" w:space="0" w:color="auto"/>
        <w:right w:val="none" w:sz="0" w:space="0" w:color="auto"/>
      </w:divBdr>
    </w:div>
    <w:div w:id="2046516380">
      <w:bodyDiv w:val="1"/>
      <w:marLeft w:val="0"/>
      <w:marRight w:val="0"/>
      <w:marTop w:val="0"/>
      <w:marBottom w:val="0"/>
      <w:divBdr>
        <w:top w:val="none" w:sz="0" w:space="0" w:color="auto"/>
        <w:left w:val="none" w:sz="0" w:space="0" w:color="auto"/>
        <w:bottom w:val="none" w:sz="0" w:space="0" w:color="auto"/>
        <w:right w:val="none" w:sz="0" w:space="0" w:color="auto"/>
      </w:divBdr>
      <w:divsChild>
        <w:div w:id="1004280321">
          <w:marLeft w:val="0"/>
          <w:marRight w:val="0"/>
          <w:marTop w:val="0"/>
          <w:marBottom w:val="0"/>
          <w:divBdr>
            <w:top w:val="none" w:sz="0" w:space="0" w:color="auto"/>
            <w:left w:val="none" w:sz="0" w:space="0" w:color="auto"/>
            <w:bottom w:val="none" w:sz="0" w:space="0" w:color="auto"/>
            <w:right w:val="none" w:sz="0" w:space="0" w:color="auto"/>
          </w:divBdr>
        </w:div>
        <w:div w:id="658004207">
          <w:marLeft w:val="0"/>
          <w:marRight w:val="0"/>
          <w:marTop w:val="0"/>
          <w:marBottom w:val="0"/>
          <w:divBdr>
            <w:top w:val="none" w:sz="0" w:space="0" w:color="auto"/>
            <w:left w:val="none" w:sz="0" w:space="0" w:color="auto"/>
            <w:bottom w:val="none" w:sz="0" w:space="0" w:color="auto"/>
            <w:right w:val="none" w:sz="0" w:space="0" w:color="auto"/>
          </w:divBdr>
        </w:div>
      </w:divsChild>
    </w:div>
    <w:div w:id="2046716295">
      <w:bodyDiv w:val="1"/>
      <w:marLeft w:val="0"/>
      <w:marRight w:val="0"/>
      <w:marTop w:val="0"/>
      <w:marBottom w:val="0"/>
      <w:divBdr>
        <w:top w:val="none" w:sz="0" w:space="0" w:color="auto"/>
        <w:left w:val="none" w:sz="0" w:space="0" w:color="auto"/>
        <w:bottom w:val="none" w:sz="0" w:space="0" w:color="auto"/>
        <w:right w:val="none" w:sz="0" w:space="0" w:color="auto"/>
      </w:divBdr>
      <w:divsChild>
        <w:div w:id="2100175116">
          <w:marLeft w:val="0"/>
          <w:marRight w:val="0"/>
          <w:marTop w:val="0"/>
          <w:marBottom w:val="0"/>
          <w:divBdr>
            <w:top w:val="none" w:sz="0" w:space="0" w:color="auto"/>
            <w:left w:val="none" w:sz="0" w:space="0" w:color="auto"/>
            <w:bottom w:val="none" w:sz="0" w:space="0" w:color="auto"/>
            <w:right w:val="none" w:sz="0" w:space="0" w:color="auto"/>
          </w:divBdr>
        </w:div>
        <w:div w:id="1569462143">
          <w:marLeft w:val="0"/>
          <w:marRight w:val="0"/>
          <w:marTop w:val="0"/>
          <w:marBottom w:val="0"/>
          <w:divBdr>
            <w:top w:val="none" w:sz="0" w:space="0" w:color="auto"/>
            <w:left w:val="none" w:sz="0" w:space="0" w:color="auto"/>
            <w:bottom w:val="none" w:sz="0" w:space="0" w:color="auto"/>
            <w:right w:val="none" w:sz="0" w:space="0" w:color="auto"/>
          </w:divBdr>
        </w:div>
      </w:divsChild>
    </w:div>
    <w:div w:id="2062902799">
      <w:bodyDiv w:val="1"/>
      <w:marLeft w:val="0"/>
      <w:marRight w:val="0"/>
      <w:marTop w:val="0"/>
      <w:marBottom w:val="0"/>
      <w:divBdr>
        <w:top w:val="none" w:sz="0" w:space="0" w:color="auto"/>
        <w:left w:val="none" w:sz="0" w:space="0" w:color="auto"/>
        <w:bottom w:val="none" w:sz="0" w:space="0" w:color="auto"/>
        <w:right w:val="none" w:sz="0" w:space="0" w:color="auto"/>
      </w:divBdr>
      <w:divsChild>
        <w:div w:id="2091583943">
          <w:marLeft w:val="0"/>
          <w:marRight w:val="0"/>
          <w:marTop w:val="0"/>
          <w:marBottom w:val="0"/>
          <w:divBdr>
            <w:top w:val="none" w:sz="0" w:space="0" w:color="auto"/>
            <w:left w:val="none" w:sz="0" w:space="0" w:color="auto"/>
            <w:bottom w:val="none" w:sz="0" w:space="0" w:color="auto"/>
            <w:right w:val="none" w:sz="0" w:space="0" w:color="auto"/>
          </w:divBdr>
        </w:div>
        <w:div w:id="887569338">
          <w:marLeft w:val="0"/>
          <w:marRight w:val="0"/>
          <w:marTop w:val="0"/>
          <w:marBottom w:val="0"/>
          <w:divBdr>
            <w:top w:val="none" w:sz="0" w:space="0" w:color="auto"/>
            <w:left w:val="none" w:sz="0" w:space="0" w:color="auto"/>
            <w:bottom w:val="none" w:sz="0" w:space="0" w:color="auto"/>
            <w:right w:val="none" w:sz="0" w:space="0" w:color="auto"/>
          </w:divBdr>
        </w:div>
      </w:divsChild>
    </w:div>
    <w:div w:id="2079135393">
      <w:bodyDiv w:val="1"/>
      <w:marLeft w:val="0"/>
      <w:marRight w:val="0"/>
      <w:marTop w:val="0"/>
      <w:marBottom w:val="0"/>
      <w:divBdr>
        <w:top w:val="none" w:sz="0" w:space="0" w:color="auto"/>
        <w:left w:val="none" w:sz="0" w:space="0" w:color="auto"/>
        <w:bottom w:val="none" w:sz="0" w:space="0" w:color="auto"/>
        <w:right w:val="none" w:sz="0" w:space="0" w:color="auto"/>
      </w:divBdr>
      <w:divsChild>
        <w:div w:id="1137646312">
          <w:marLeft w:val="0"/>
          <w:marRight w:val="0"/>
          <w:marTop w:val="0"/>
          <w:marBottom w:val="0"/>
          <w:divBdr>
            <w:top w:val="none" w:sz="0" w:space="0" w:color="auto"/>
            <w:left w:val="none" w:sz="0" w:space="0" w:color="auto"/>
            <w:bottom w:val="none" w:sz="0" w:space="0" w:color="auto"/>
            <w:right w:val="none" w:sz="0" w:space="0" w:color="auto"/>
          </w:divBdr>
        </w:div>
        <w:div w:id="1361203158">
          <w:marLeft w:val="0"/>
          <w:marRight w:val="0"/>
          <w:marTop w:val="0"/>
          <w:marBottom w:val="0"/>
          <w:divBdr>
            <w:top w:val="none" w:sz="0" w:space="0" w:color="auto"/>
            <w:left w:val="none" w:sz="0" w:space="0" w:color="auto"/>
            <w:bottom w:val="none" w:sz="0" w:space="0" w:color="auto"/>
            <w:right w:val="none" w:sz="0" w:space="0" w:color="auto"/>
          </w:divBdr>
        </w:div>
        <w:div w:id="1368750235">
          <w:marLeft w:val="0"/>
          <w:marRight w:val="0"/>
          <w:marTop w:val="0"/>
          <w:marBottom w:val="0"/>
          <w:divBdr>
            <w:top w:val="none" w:sz="0" w:space="0" w:color="auto"/>
            <w:left w:val="none" w:sz="0" w:space="0" w:color="auto"/>
            <w:bottom w:val="none" w:sz="0" w:space="0" w:color="auto"/>
            <w:right w:val="none" w:sz="0" w:space="0" w:color="auto"/>
          </w:divBdr>
        </w:div>
      </w:divsChild>
    </w:div>
    <w:div w:id="2104299185">
      <w:bodyDiv w:val="1"/>
      <w:marLeft w:val="0"/>
      <w:marRight w:val="0"/>
      <w:marTop w:val="0"/>
      <w:marBottom w:val="0"/>
      <w:divBdr>
        <w:top w:val="none" w:sz="0" w:space="0" w:color="auto"/>
        <w:left w:val="none" w:sz="0" w:space="0" w:color="auto"/>
        <w:bottom w:val="none" w:sz="0" w:space="0" w:color="auto"/>
        <w:right w:val="none" w:sz="0" w:space="0" w:color="auto"/>
      </w:divBdr>
    </w:div>
    <w:div w:id="2120178922">
      <w:bodyDiv w:val="1"/>
      <w:marLeft w:val="0"/>
      <w:marRight w:val="0"/>
      <w:marTop w:val="0"/>
      <w:marBottom w:val="0"/>
      <w:divBdr>
        <w:top w:val="none" w:sz="0" w:space="0" w:color="auto"/>
        <w:left w:val="none" w:sz="0" w:space="0" w:color="auto"/>
        <w:bottom w:val="none" w:sz="0" w:space="0" w:color="auto"/>
        <w:right w:val="none" w:sz="0" w:space="0" w:color="auto"/>
      </w:divBdr>
    </w:div>
    <w:div w:id="2127188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footer" Target="footer1.xml"/><Relationship Id="rId21" Type="http://schemas.openxmlformats.org/officeDocument/2006/relationships/image" Target="media/image6.emf"/><Relationship Id="rId34" Type="http://schemas.openxmlformats.org/officeDocument/2006/relationships/oleObject" Target="embeddings/oleObject11.bin"/><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oleObject" Target="embeddings/oleObject3.bin"/><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oleObject" Target="embeddings/oleObject7.bin"/><Relationship Id="rId32" Type="http://schemas.openxmlformats.org/officeDocument/2006/relationships/oleObject" Target="embeddings/oleObject10.bin"/><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oleObject" Target="embeddings/oleObject9.bin"/><Relationship Id="rId36" Type="http://schemas.openxmlformats.org/officeDocument/2006/relationships/package" Target="embeddings/Microsoft_Word_Document1.docx"/><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emf"/><Relationship Id="rId30" Type="http://schemas.openxmlformats.org/officeDocument/2006/relationships/package" Target="embeddings/Microsoft_Word_Document.docx"/><Relationship Id="rId35" Type="http://schemas.openxmlformats.org/officeDocument/2006/relationships/image" Target="media/image13.emf"/><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header" Target="header2.xml"/><Relationship Id="rId20" Type="http://schemas.openxmlformats.org/officeDocument/2006/relationships/oleObject" Target="embeddings/oleObject5.bin"/><Relationship Id="rId41"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9F25C01ADA442EB82298A7FC16E4B4"/>
        <w:category>
          <w:name w:val="General"/>
          <w:gallery w:val="placeholder"/>
        </w:category>
        <w:types>
          <w:type w:val="bbPlcHdr"/>
        </w:types>
        <w:behaviors>
          <w:behavior w:val="content"/>
        </w:behaviors>
        <w:guid w:val="{00411647-E9EB-44D8-A4E9-3185AECD00CD}"/>
      </w:docPartPr>
      <w:docPartBody>
        <w:p w:rsidR="006D4735" w:rsidRDefault="00CD012D" w:rsidP="00CD012D">
          <w:pPr>
            <w:pStyle w:val="E89F25C01ADA442EB82298A7FC16E4B4"/>
          </w:pPr>
          <w:r>
            <w:rPr>
              <w:rStyle w:val="Textodelmarcadordeposicin"/>
            </w:rPr>
            <w:t>Ingrese aquí el SP-A-</w:t>
          </w:r>
        </w:p>
      </w:docPartBody>
    </w:docPart>
    <w:docPart>
      <w:docPartPr>
        <w:name w:val="FE8912030ECB436492A3BCE2078CE62D"/>
        <w:category>
          <w:name w:val="General"/>
          <w:gallery w:val="placeholder"/>
        </w:category>
        <w:types>
          <w:type w:val="bbPlcHdr"/>
        </w:types>
        <w:behaviors>
          <w:behavior w:val="content"/>
        </w:behaviors>
        <w:guid w:val="{23738B59-C3EE-497A-80B5-8B0B93416F2C}"/>
      </w:docPartPr>
      <w:docPartBody>
        <w:p w:rsidR="006D4735" w:rsidRDefault="00CD012D" w:rsidP="00CD012D">
          <w:pPr>
            <w:pStyle w:val="FE8912030ECB436492A3BCE2078CE62D"/>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19"/>
    <w:rsid w:val="006D4735"/>
    <w:rsid w:val="00866F78"/>
    <w:rsid w:val="009269BF"/>
    <w:rsid w:val="009D6228"/>
    <w:rsid w:val="00AC2D6E"/>
    <w:rsid w:val="00C07D8D"/>
    <w:rsid w:val="00CD012D"/>
    <w:rsid w:val="00D05156"/>
    <w:rsid w:val="00DD1224"/>
    <w:rsid w:val="00F23F1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D012D"/>
    <w:rPr>
      <w:color w:val="808080"/>
    </w:rPr>
  </w:style>
  <w:style w:type="paragraph" w:customStyle="1" w:styleId="E89F25C01ADA442EB82298A7FC16E4B4">
    <w:name w:val="E89F25C01ADA442EB82298A7FC16E4B4"/>
    <w:rsid w:val="00CD012D"/>
  </w:style>
  <w:style w:type="paragraph" w:customStyle="1" w:styleId="FE8912030ECB436492A3BCE2078CE62D">
    <w:name w:val="FE8912030ECB436492A3BCE2078CE62D"/>
    <w:rsid w:val="00CD01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IdEvento xmlns="6ac3b616-3039-448c-a622-822692bef430" xsi:nil="true"/>
    <lcf76f155ced4ddcb4097134ff3c332f xmlns="6ac3b616-3039-448c-a622-822692bef430">
      <Terms xmlns="http://schemas.microsoft.com/office/infopath/2007/PartnerControls"/>
    </lcf76f155ced4ddcb4097134ff3c332f>
    <IdSession xmlns="6ac3b616-3039-448c-a622-822692bef430" xsi:nil="true"/>
    <TaxCatchAll xmlns="ef69d38d-c069-47fd-a86d-65acf93227a5" xsi:nil="true"/>
    <Estado xmlns="6ac3b616-3039-448c-a622-822692bef430" xsi:nil="true"/>
    <Evento xmlns="6ac3b616-3039-448c-a622-822692bef430">
      <Url>https://si.supen.fi.cr/Tramites/Tram_Detalle_Evento.aspx?evento=2025006430&amp;op=3</Url>
      <Description>2025006430</Description>
    </Evento>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67887440F83E44DBF6CC4DE0E9E9DD0" ma:contentTypeVersion="22" ma:contentTypeDescription="Crear nuevo documento." ma:contentTypeScope="" ma:versionID="a65bd15bd8c4d8065e6d2794053ef7ca">
  <xsd:schema xmlns:xsd="http://www.w3.org/2001/XMLSchema" xmlns:xs="http://www.w3.org/2001/XMLSchema" xmlns:p="http://schemas.microsoft.com/office/2006/metadata/properties" xmlns:ns2="6ac3b616-3039-448c-a622-822692bef430" xmlns:ns3="f98666fa-fc93-4cf2-9679-f47c1b2c9ba3" xmlns:ns4="ef69d38d-c069-47fd-a86d-65acf93227a5" targetNamespace="http://schemas.microsoft.com/office/2006/metadata/properties" ma:root="true" ma:fieldsID="68ed2f9491dd9555115d7741a0f9f394" ns2:_="" ns3:_="" ns4:_="">
    <xsd:import namespace="6ac3b616-3039-448c-a622-822692bef430"/>
    <xsd:import namespace="f98666fa-fc93-4cf2-9679-f47c1b2c9ba3"/>
    <xsd:import namespace="ef69d38d-c069-47fd-a86d-65acf93227a5"/>
    <xsd:element name="properties">
      <xsd:complexType>
        <xsd:sequence>
          <xsd:element name="documentManagement">
            <xsd:complexType>
              <xsd:all>
                <xsd:element ref="ns2:Evento" minOccurs="0"/>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3b616-3039-448c-a622-822692bef430"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b0adf84e-870a-453e-bcaf-71f8aafc26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Estado" ma:index="22" nillable="true" ma:displayName="Estado" ma:indexed="true" ma:internalName="Estado">
      <xsd:simpleType>
        <xsd:restriction base="dms:Text">
          <xsd:maxLength value="255"/>
        </xsd:restriction>
      </xsd:simpleType>
    </xsd:element>
    <xsd:element name="IdEvento" ma:index="23" nillable="true" ma:displayName="IdEvento" ma:indexed="true" ma:internalName="IdEvento">
      <xsd:simpleType>
        <xsd:restriction base="dms:Text">
          <xsd:maxLength value="255"/>
        </xsd:restriction>
      </xsd:simpleType>
    </xsd:element>
    <xsd:element name="IdSession" ma:index="24" nillable="true" ma:displayName="IdSession" ma:indexed="true" ma:internalName="IdSession">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8666fa-fc93-4cf2-9679-f47c1b2c9ba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970bbaf-580c-450a-8201-347f5afcb22f}" ma:internalName="TaxCatchAll" ma:showField="CatchAllData" ma:web="f98666fa-fc93-4cf2-9679-f47c1b2c9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DF3558-3FE0-4EE0-A4F7-4393ED7EA179}">
  <ds:schemaRefs>
    <ds:schemaRef ds:uri="http://schemas.microsoft.com/sharepoint/v3/contenttype/forms"/>
  </ds:schemaRefs>
</ds:datastoreItem>
</file>

<file path=customXml/itemProps2.xml><?xml version="1.0" encoding="utf-8"?>
<ds:datastoreItem xmlns:ds="http://schemas.openxmlformats.org/officeDocument/2006/customXml" ds:itemID="{1974D8D1-82F8-406A-839E-E6949E173BB6}">
  <ds:schemaRefs>
    <ds:schemaRef ds:uri="http://schemas.microsoft.com/office/2006/metadata/properties"/>
    <ds:schemaRef ds:uri="http://schemas.microsoft.com/office/infopath/2007/PartnerControls"/>
    <ds:schemaRef ds:uri="6ac3b616-3039-448c-a622-822692bef430"/>
    <ds:schemaRef ds:uri="ef69d38d-c069-47fd-a86d-65acf93227a5"/>
  </ds:schemaRefs>
</ds:datastoreItem>
</file>

<file path=customXml/itemProps3.xml><?xml version="1.0" encoding="utf-8"?>
<ds:datastoreItem xmlns:ds="http://schemas.openxmlformats.org/officeDocument/2006/customXml" ds:itemID="{292A958A-070D-4D5A-8093-16A26AC4F9F8}">
  <ds:schemaRefs>
    <ds:schemaRef ds:uri="http://schemas.openxmlformats.org/officeDocument/2006/bibliography"/>
  </ds:schemaRefs>
</ds:datastoreItem>
</file>

<file path=customXml/itemProps4.xml><?xml version="1.0" encoding="utf-8"?>
<ds:datastoreItem xmlns:ds="http://schemas.openxmlformats.org/officeDocument/2006/customXml" ds:itemID="{49B8CBCA-F4ED-4E28-9BEF-9641F75BC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3b616-3039-448c-a622-822692bef430"/>
    <ds:schemaRef ds:uri="f98666fa-fc93-4cf2-9679-f47c1b2c9ba3"/>
    <ds:schemaRef ds:uri="ef69d38d-c069-47fd-a86d-65acf9322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2752</Words>
  <Characters>15139</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Matriz consulta ext - Cuentas de orden.docx</vt:lpstr>
    </vt:vector>
  </TitlesOfParts>
  <Company/>
  <LinksUpToDate>false</LinksUpToDate>
  <CharactersWithSpaces>17856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consulta ext -Actas-SP-117-2025.docx</dc:title>
  <dc:creator>Jaky</dc:creator>
  <cp:lastModifiedBy>RODRIGUEZ BOVIERI GIANFRANCO</cp:lastModifiedBy>
  <cp:revision>2</cp:revision>
  <dcterms:created xsi:type="dcterms:W3CDTF">2025-06-04T15:53:00Z</dcterms:created>
  <dcterms:modified xsi:type="dcterms:W3CDTF">2025-06-04T15:53:00Z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2023-03-10T15:20:56Z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8d673284-55ab-4597-b161-0000892ce8aa</vt:lpwstr>
  </property>
  <property fmtid="{D5CDD505-2E9C-101B-9397-08002B2CF9AE}" pid="8" name="MSIP_Label_b8b4be34-365a-4a68-b9fb-75c1b6874315_ContentBits">
    <vt:lpwstr>2</vt:lpwstr>
  </property>
  <property fmtid="{D5CDD505-2E9C-101B-9397-08002B2CF9AE}" pid="9" name="ContentTypeId">
    <vt:lpwstr>0x010100F67887440F83E44DBF6CC4DE0E9E9DD0</vt:lpwstr>
  </property>
  <property fmtid="{D5CDD505-2E9C-101B-9397-08002B2CF9AE}" pid="10" name="MediaServiceImageTags">
    <vt:lpwstr/>
  </property>
</Properties>
</file>