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9F82B" w14:textId="62675A8F" w:rsidR="00A4778B" w:rsidRPr="002A27C5" w:rsidRDefault="001A6D9D" w:rsidP="006107A1">
      <w:pPr>
        <w:spacing w:line="240" w:lineRule="auto"/>
        <w:contextualSpacing/>
        <w:rPr>
          <w:rFonts w:ascii="Cambria" w:hAnsi="Cambria"/>
          <w:sz w:val="22"/>
        </w:rPr>
      </w:pPr>
      <w:r>
        <w:rPr>
          <w:rFonts w:ascii="Cambria" w:hAnsi="Cambria"/>
          <w:sz w:val="22"/>
        </w:rPr>
        <w:t xml:space="preserve"> </w:t>
      </w:r>
      <w:r>
        <w:rPr>
          <w:rFonts w:ascii="Cambria" w:hAnsi="Cambria"/>
          <w:sz w:val="22"/>
        </w:rPr>
        <w:tab/>
      </w:r>
    </w:p>
    <w:p w14:paraId="40E2311C" w14:textId="25B64C6B" w:rsidR="00A4778B" w:rsidRPr="002A27C5" w:rsidRDefault="008B0037" w:rsidP="006107A1">
      <w:pPr>
        <w:pStyle w:val="SupenEncabezado"/>
        <w:spacing w:line="240" w:lineRule="auto"/>
        <w:contextualSpacing/>
        <w:rPr>
          <w:rStyle w:val="SupenEncabezadoCar"/>
          <w:rFonts w:ascii="Cambria" w:hAnsi="Cambria"/>
          <w:sz w:val="22"/>
        </w:rPr>
      </w:pPr>
      <w:sdt>
        <w:sdtPr>
          <w:rPr>
            <w:rStyle w:val="SupenEncabezadoCar"/>
            <w:rFonts w:ascii="Cambria" w:hAnsi="Cambria"/>
            <w:sz w:val="22"/>
          </w:rPr>
          <w:alias w:val="Código"/>
          <w:tag w:val="A"/>
          <w:id w:val="1991359848"/>
          <w:lock w:val="sdtLocked"/>
          <w:placeholder>
            <w:docPart w:val="5133B443C32D4BBA84994ED17141131F"/>
          </w:placeholder>
          <w:text/>
        </w:sdtPr>
        <w:sdtEndPr>
          <w:rPr>
            <w:rStyle w:val="SupenEncabezadoCar"/>
          </w:rPr>
        </w:sdtEndPr>
        <w:sdtContent>
          <w:r w:rsidR="00C1677D">
            <w:rPr>
              <w:rStyle w:val="SupenEncabezadoCar"/>
              <w:rFonts w:ascii="Cambria" w:hAnsi="Cambria"/>
              <w:sz w:val="22"/>
            </w:rPr>
            <w:t xml:space="preserve">               </w:t>
          </w:r>
        </w:sdtContent>
      </w:sdt>
    </w:p>
    <w:p w14:paraId="1CDCC5F2" w14:textId="77777777" w:rsidR="00C1677D" w:rsidRPr="00C1677D" w:rsidRDefault="00C1677D" w:rsidP="00C1677D">
      <w:pPr>
        <w:spacing w:line="259" w:lineRule="auto"/>
        <w:jc w:val="center"/>
        <w:rPr>
          <w:rFonts w:ascii="Calibri" w:eastAsia="Calibri" w:hAnsi="Calibri" w:cs="Times New Roman"/>
          <w:b/>
          <w:bCs/>
          <w:sz w:val="28"/>
          <w:szCs w:val="28"/>
          <w:lang w:val="es-CR"/>
        </w:rPr>
      </w:pPr>
    </w:p>
    <w:p w14:paraId="5CA29640" w14:textId="77777777" w:rsidR="00C1677D" w:rsidRPr="00C1677D" w:rsidRDefault="00C1677D" w:rsidP="00C1677D">
      <w:pPr>
        <w:spacing w:line="259" w:lineRule="auto"/>
        <w:jc w:val="center"/>
        <w:rPr>
          <w:rFonts w:ascii="Calibri" w:eastAsia="Calibri" w:hAnsi="Calibri" w:cs="Times New Roman"/>
          <w:b/>
          <w:bCs/>
          <w:sz w:val="28"/>
          <w:szCs w:val="28"/>
          <w:lang w:val="es-CR"/>
        </w:rPr>
      </w:pPr>
      <w:r w:rsidRPr="00C1677D">
        <w:rPr>
          <w:rFonts w:ascii="Calibri" w:eastAsia="Calibri" w:hAnsi="Calibri" w:cs="Times New Roman"/>
          <w:b/>
          <w:bCs/>
          <w:sz w:val="28"/>
          <w:szCs w:val="28"/>
          <w:lang w:val="es-CR"/>
        </w:rPr>
        <w:t xml:space="preserve">MATRIZ DE OBSERVACIONES </w:t>
      </w:r>
    </w:p>
    <w:p w14:paraId="646AFE13" w14:textId="3568EF10" w:rsidR="00C1677D" w:rsidRPr="00C1677D" w:rsidRDefault="00C1677D" w:rsidP="00C1677D">
      <w:pPr>
        <w:spacing w:line="259" w:lineRule="auto"/>
        <w:jc w:val="center"/>
        <w:rPr>
          <w:rFonts w:ascii="Calibri" w:eastAsia="Calibri" w:hAnsi="Calibri" w:cs="Times New Roman"/>
          <w:b/>
          <w:bCs/>
          <w:sz w:val="28"/>
          <w:szCs w:val="28"/>
          <w:lang w:val="es-CR"/>
        </w:rPr>
      </w:pPr>
      <w:r w:rsidRPr="00C1677D">
        <w:rPr>
          <w:rFonts w:ascii="Calibri" w:eastAsia="Calibri" w:hAnsi="Calibri" w:cs="Times New Roman"/>
          <w:b/>
          <w:bCs/>
          <w:sz w:val="28"/>
          <w:szCs w:val="28"/>
          <w:lang w:val="es-CR"/>
        </w:rPr>
        <w:t xml:space="preserve">CONSULTA EXTERNA </w:t>
      </w:r>
      <w:r>
        <w:rPr>
          <w:rFonts w:ascii="Calibri" w:eastAsia="Calibri" w:hAnsi="Calibri" w:cs="Times New Roman"/>
          <w:b/>
          <w:bCs/>
          <w:sz w:val="28"/>
          <w:szCs w:val="28"/>
          <w:lang w:val="es-CR"/>
        </w:rPr>
        <w:t>Reforma SP-A-147 “</w:t>
      </w:r>
      <w:r w:rsidRPr="00C1677D">
        <w:rPr>
          <w:rFonts w:ascii="Calibri" w:eastAsia="Calibri" w:hAnsi="Calibri" w:cs="Times New Roman"/>
          <w:b/>
          <w:bCs/>
          <w:sz w:val="28"/>
          <w:szCs w:val="28"/>
          <w:lang w:val="es-CR"/>
        </w:rPr>
        <w:t>, relativo al establecimiento de los medios de pago del Fondo de Capitalización Laboral para aquellos afiliados que decidan hacer su retiro</w:t>
      </w:r>
      <w:r>
        <w:rPr>
          <w:rFonts w:ascii="Calibri" w:eastAsia="Calibri" w:hAnsi="Calibri" w:cs="Times New Roman"/>
          <w:b/>
          <w:bCs/>
          <w:sz w:val="28"/>
          <w:szCs w:val="28"/>
          <w:lang w:val="es-CR"/>
        </w:rPr>
        <w:t>”</w:t>
      </w:r>
    </w:p>
    <w:p w14:paraId="77A1FD29" w14:textId="0CAFA5CA" w:rsidR="00C1677D" w:rsidRPr="00C1677D" w:rsidRDefault="00C1677D" w:rsidP="00C1677D">
      <w:pPr>
        <w:spacing w:line="259" w:lineRule="auto"/>
        <w:jc w:val="center"/>
        <w:rPr>
          <w:rFonts w:ascii="Calibri" w:eastAsia="Calibri" w:hAnsi="Calibri" w:cs="Times New Roman"/>
          <w:b/>
          <w:bCs/>
          <w:sz w:val="28"/>
          <w:szCs w:val="28"/>
          <w:lang w:val="es-CR"/>
        </w:rPr>
      </w:pPr>
      <w:r w:rsidRPr="00C1677D">
        <w:rPr>
          <w:rFonts w:ascii="Calibri" w:eastAsia="Calibri" w:hAnsi="Calibri" w:cs="Times New Roman"/>
          <w:b/>
          <w:bCs/>
          <w:sz w:val="28"/>
          <w:szCs w:val="28"/>
          <w:lang w:val="es-CR"/>
        </w:rPr>
        <w:t>(Responde al oficio SP-</w:t>
      </w:r>
      <w:r w:rsidR="00D116D5">
        <w:rPr>
          <w:rFonts w:ascii="Calibri" w:eastAsia="Calibri" w:hAnsi="Calibri" w:cs="Times New Roman"/>
          <w:b/>
          <w:bCs/>
          <w:sz w:val="28"/>
          <w:szCs w:val="28"/>
          <w:lang w:val="es-CR"/>
        </w:rPr>
        <w:t>1427</w:t>
      </w:r>
      <w:r w:rsidRPr="00C1677D">
        <w:rPr>
          <w:rFonts w:ascii="Calibri" w:eastAsia="Calibri" w:hAnsi="Calibri" w:cs="Times New Roman"/>
          <w:b/>
          <w:bCs/>
          <w:sz w:val="28"/>
          <w:szCs w:val="28"/>
          <w:lang w:val="es-CR"/>
        </w:rPr>
        <w:t>-2024)</w:t>
      </w:r>
    </w:p>
    <w:p w14:paraId="1C79FB11" w14:textId="77777777" w:rsidR="00C1677D" w:rsidRPr="00C1677D" w:rsidRDefault="00C1677D" w:rsidP="00C1677D">
      <w:pPr>
        <w:spacing w:line="259" w:lineRule="auto"/>
        <w:jc w:val="center"/>
        <w:rPr>
          <w:rFonts w:ascii="Calibri" w:eastAsia="Calibri" w:hAnsi="Calibri" w:cs="Times New Roman"/>
          <w:b/>
          <w:bCs/>
          <w:sz w:val="28"/>
          <w:szCs w:val="28"/>
          <w:lang w:val="es-CR"/>
        </w:rPr>
      </w:pPr>
    </w:p>
    <w:p w14:paraId="0EA187AE" w14:textId="77777777" w:rsidR="00C1677D" w:rsidRPr="00C1677D" w:rsidRDefault="00C1677D" w:rsidP="00C1677D">
      <w:pPr>
        <w:spacing w:line="259" w:lineRule="auto"/>
        <w:jc w:val="center"/>
        <w:rPr>
          <w:rFonts w:ascii="Calibri" w:eastAsia="Calibri" w:hAnsi="Calibri" w:cs="Times New Roman"/>
          <w:b/>
          <w:bCs/>
          <w:sz w:val="28"/>
          <w:szCs w:val="28"/>
          <w:lang w:val="es-CR"/>
        </w:rPr>
      </w:pPr>
    </w:p>
    <w:p w14:paraId="65DEE325" w14:textId="77777777" w:rsidR="00C1677D" w:rsidRPr="00C1677D" w:rsidRDefault="00C1677D" w:rsidP="00C1677D">
      <w:pPr>
        <w:spacing w:after="160" w:line="259" w:lineRule="auto"/>
        <w:rPr>
          <w:rFonts w:ascii="Calibri" w:eastAsia="Calibri" w:hAnsi="Calibri" w:cs="Calibri"/>
          <w:sz w:val="22"/>
          <w:lang w:val="es-CR"/>
        </w:rPr>
      </w:pPr>
      <w:r w:rsidRPr="00C1677D">
        <w:rPr>
          <w:rFonts w:ascii="Calibri" w:eastAsia="Calibri" w:hAnsi="Calibri" w:cs="Calibri"/>
          <w:sz w:val="22"/>
          <w:lang w:val="es-CR"/>
        </w:rPr>
        <w:t xml:space="preserve"> </w:t>
      </w:r>
    </w:p>
    <w:p w14:paraId="32BCE07A" w14:textId="77777777" w:rsidR="00C1677D" w:rsidRPr="00C1677D" w:rsidRDefault="00C1677D" w:rsidP="00C1677D">
      <w:pPr>
        <w:spacing w:after="160" w:line="259" w:lineRule="auto"/>
        <w:rPr>
          <w:rFonts w:ascii="Arial" w:eastAsia="Calibri" w:hAnsi="Arial" w:cs="Arial"/>
          <w:b/>
          <w:bCs/>
          <w:sz w:val="20"/>
          <w:szCs w:val="20"/>
          <w:lang w:val="es-CR"/>
        </w:rPr>
      </w:pPr>
      <w:r w:rsidRPr="00C1677D">
        <w:rPr>
          <w:rFonts w:ascii="Arial" w:eastAsia="Calibri" w:hAnsi="Arial" w:cs="Arial"/>
          <w:b/>
          <w:bCs/>
          <w:sz w:val="20"/>
          <w:szCs w:val="20"/>
          <w:u w:val="single"/>
          <w:lang w:val="es-CR"/>
        </w:rPr>
        <w:t>Realizaron observaciones</w:t>
      </w:r>
      <w:r w:rsidRPr="00C1677D">
        <w:rPr>
          <w:rFonts w:ascii="Arial" w:eastAsia="Calibri" w:hAnsi="Arial" w:cs="Arial"/>
          <w:b/>
          <w:bCs/>
          <w:sz w:val="20"/>
          <w:szCs w:val="20"/>
          <w:lang w:val="es-CR"/>
        </w:rPr>
        <w:t>:</w:t>
      </w:r>
    </w:p>
    <w:tbl>
      <w:tblPr>
        <w:tblStyle w:val="Tablaconcuadrcula"/>
        <w:tblW w:w="0" w:type="auto"/>
        <w:tblInd w:w="720" w:type="dxa"/>
        <w:tblLook w:val="04A0" w:firstRow="1" w:lastRow="0" w:firstColumn="1" w:lastColumn="0" w:noHBand="0" w:noVBand="1"/>
      </w:tblPr>
      <w:tblGrid>
        <w:gridCol w:w="4804"/>
        <w:gridCol w:w="2551"/>
      </w:tblGrid>
      <w:tr w:rsidR="00820CF3" w:rsidRPr="00C1677D" w14:paraId="36B022C7" w14:textId="77777777" w:rsidTr="003D1596">
        <w:tc>
          <w:tcPr>
            <w:tcW w:w="4804" w:type="dxa"/>
          </w:tcPr>
          <w:p w14:paraId="2A62C8FE" w14:textId="77777777" w:rsidR="00820CF3" w:rsidRPr="00D00B6F" w:rsidRDefault="00820CF3" w:rsidP="003D1596">
            <w:pPr>
              <w:contextualSpacing/>
              <w:rPr>
                <w:rFonts w:ascii="Arial" w:eastAsia="Calibri" w:hAnsi="Arial" w:cs="Arial"/>
                <w:b/>
                <w:bCs/>
                <w:sz w:val="20"/>
                <w:szCs w:val="20"/>
                <w:lang w:val="en-US"/>
              </w:rPr>
            </w:pPr>
            <w:r w:rsidRPr="00D00B6F">
              <w:rPr>
                <w:rFonts w:ascii="Arial" w:eastAsia="Calibri" w:hAnsi="Arial" w:cs="Arial"/>
                <w:b/>
                <w:bCs/>
                <w:sz w:val="20"/>
                <w:szCs w:val="20"/>
                <w:lang w:val="en-US"/>
              </w:rPr>
              <w:t>CCSS OPC / GG-028-2025 / 17-01-2025</w:t>
            </w:r>
          </w:p>
          <w:p w14:paraId="2AC58D05" w14:textId="77777777" w:rsidR="00820CF3" w:rsidRPr="00D00B6F" w:rsidRDefault="00820CF3" w:rsidP="003D1596">
            <w:pPr>
              <w:contextualSpacing/>
              <w:rPr>
                <w:rFonts w:ascii="Arial" w:eastAsia="Calibri" w:hAnsi="Arial" w:cs="Arial"/>
                <w:b/>
                <w:bCs/>
                <w:sz w:val="20"/>
                <w:szCs w:val="20"/>
                <w:lang w:val="en-US"/>
              </w:rPr>
            </w:pPr>
            <w:r w:rsidRPr="00D00B6F">
              <w:rPr>
                <w:rFonts w:ascii="Arial" w:eastAsia="Calibri" w:hAnsi="Arial" w:cs="Arial"/>
                <w:b/>
                <w:bCs/>
                <w:sz w:val="20"/>
                <w:szCs w:val="20"/>
                <w:lang w:val="en-US"/>
              </w:rPr>
              <w:t>CCSS OPC / GG-144-2025 / 30-04-2025</w:t>
            </w:r>
          </w:p>
          <w:p w14:paraId="77BFBD00" w14:textId="77777777" w:rsidR="00820CF3" w:rsidRPr="00D00B6F" w:rsidRDefault="00820CF3" w:rsidP="003D1596">
            <w:pPr>
              <w:contextualSpacing/>
              <w:rPr>
                <w:rFonts w:ascii="Arial" w:eastAsia="Calibri" w:hAnsi="Arial" w:cs="Arial"/>
                <w:b/>
                <w:bCs/>
                <w:sz w:val="20"/>
                <w:szCs w:val="20"/>
                <w:lang w:val="en-US"/>
              </w:rPr>
            </w:pPr>
          </w:p>
          <w:p w14:paraId="11C28E15" w14:textId="77777777" w:rsidR="00820CF3" w:rsidRPr="00D00B6F" w:rsidRDefault="00820CF3" w:rsidP="003D1596">
            <w:pPr>
              <w:contextualSpacing/>
              <w:rPr>
                <w:rFonts w:ascii="Arial" w:eastAsia="Calibri" w:hAnsi="Arial" w:cs="Arial"/>
                <w:b/>
                <w:bCs/>
                <w:sz w:val="20"/>
                <w:szCs w:val="20"/>
                <w:lang w:val="en-US"/>
              </w:rPr>
            </w:pPr>
          </w:p>
        </w:tc>
        <w:tc>
          <w:tcPr>
            <w:tcW w:w="2551" w:type="dxa"/>
          </w:tcPr>
          <w:p w14:paraId="6FD17073" w14:textId="77777777" w:rsidR="00820CF3" w:rsidRDefault="00820CF3" w:rsidP="003D1596">
            <w:pPr>
              <w:contextualSpacing/>
              <w:rPr>
                <w:rFonts w:ascii="Arial" w:eastAsia="Calibri" w:hAnsi="Arial" w:cs="Arial"/>
                <w:b/>
                <w:bCs/>
                <w:sz w:val="20"/>
                <w:szCs w:val="20"/>
                <w:lang w:val="es-CR"/>
              </w:rPr>
            </w:pPr>
            <w:r>
              <w:rPr>
                <w:rFonts w:ascii="Arial" w:eastAsia="Calibri" w:hAnsi="Arial" w:cs="Arial"/>
                <w:b/>
                <w:bCs/>
                <w:sz w:val="20"/>
                <w:szCs w:val="20"/>
                <w:lang w:val="es-CR"/>
              </w:rPr>
              <w:object w:dxaOrig="1508" w:dyaOrig="984" w14:anchorId="4D263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1" o:title=""/>
                </v:shape>
                <o:OLEObject Type="Embed" ProgID="AcroExch.Document.DC" ShapeID="_x0000_i1025" DrawAspect="Icon" ObjectID="_1812373995" r:id="rId12"/>
              </w:object>
            </w:r>
          </w:p>
          <w:p w14:paraId="50D3EE27" w14:textId="77777777" w:rsidR="00820CF3" w:rsidRDefault="00820CF3" w:rsidP="003D1596">
            <w:pPr>
              <w:contextualSpacing/>
              <w:rPr>
                <w:rFonts w:ascii="Arial" w:eastAsia="Calibri" w:hAnsi="Arial" w:cs="Arial"/>
                <w:b/>
                <w:bCs/>
                <w:sz w:val="20"/>
                <w:szCs w:val="20"/>
                <w:lang w:val="es-CR"/>
              </w:rPr>
            </w:pPr>
          </w:p>
          <w:p w14:paraId="6D642A1A" w14:textId="77777777" w:rsidR="00820CF3" w:rsidRPr="00C1677D" w:rsidRDefault="00820CF3" w:rsidP="003D1596">
            <w:pPr>
              <w:contextualSpacing/>
              <w:rPr>
                <w:rFonts w:ascii="Arial" w:eastAsia="Calibri" w:hAnsi="Arial" w:cs="Arial"/>
                <w:b/>
                <w:bCs/>
                <w:sz w:val="20"/>
                <w:szCs w:val="20"/>
                <w:lang w:val="es-CR"/>
              </w:rPr>
            </w:pPr>
            <w:r>
              <w:rPr>
                <w:rFonts w:ascii="Arial" w:eastAsia="Aptos" w:hAnsi="Arial" w:cs="Arial"/>
                <w:b/>
                <w:bCs/>
                <w:color w:val="000000"/>
                <w:sz w:val="20"/>
                <w:szCs w:val="20"/>
                <w:lang w:val="es-CR"/>
              </w:rPr>
              <w:object w:dxaOrig="2667" w:dyaOrig="2076" w14:anchorId="4D87255C">
                <v:shape id="_x0000_i1026" type="#_x0000_t75" style="width:80.3pt;height:62.2pt" o:ole="">
                  <v:imagedata r:id="rId13" o:title=""/>
                </v:shape>
                <o:OLEObject Type="Embed" ProgID="AcroExch.Document.DC" ShapeID="_x0000_i1026" DrawAspect="Icon" ObjectID="_1812373996" r:id="rId14"/>
              </w:object>
            </w:r>
          </w:p>
        </w:tc>
      </w:tr>
      <w:tr w:rsidR="00820CF3" w:rsidRPr="00C1677D" w14:paraId="02962873" w14:textId="77777777" w:rsidTr="003D1596">
        <w:tc>
          <w:tcPr>
            <w:tcW w:w="4804" w:type="dxa"/>
          </w:tcPr>
          <w:p w14:paraId="1E330589" w14:textId="77777777" w:rsidR="00820CF3" w:rsidRPr="00C1677D" w:rsidRDefault="00820CF3" w:rsidP="003D1596">
            <w:pPr>
              <w:contextualSpacing/>
              <w:rPr>
                <w:rFonts w:ascii="Arial" w:eastAsia="Calibri" w:hAnsi="Arial" w:cs="Arial"/>
                <w:b/>
                <w:bCs/>
                <w:sz w:val="20"/>
                <w:szCs w:val="20"/>
                <w:lang w:val="es-CR"/>
              </w:rPr>
            </w:pPr>
            <w:r w:rsidRPr="00C1677D">
              <w:rPr>
                <w:rFonts w:ascii="Arial" w:eastAsia="Calibri" w:hAnsi="Arial" w:cs="Arial"/>
                <w:b/>
                <w:bCs/>
                <w:sz w:val="20"/>
                <w:szCs w:val="20"/>
                <w:lang w:val="es-CR"/>
              </w:rPr>
              <w:t xml:space="preserve">Popular OPC / </w:t>
            </w:r>
            <w:r w:rsidRPr="00EF077E">
              <w:rPr>
                <w:rFonts w:ascii="Arial" w:eastAsia="Calibri" w:hAnsi="Arial" w:cs="Arial"/>
                <w:b/>
                <w:bCs/>
                <w:sz w:val="20"/>
                <w:szCs w:val="20"/>
                <w:lang w:val="es-CR"/>
              </w:rPr>
              <w:t>PEN-0416-2025</w:t>
            </w:r>
            <w:r>
              <w:rPr>
                <w:rFonts w:ascii="Arial" w:eastAsia="Calibri" w:hAnsi="Arial" w:cs="Arial"/>
                <w:b/>
                <w:bCs/>
                <w:sz w:val="20"/>
                <w:szCs w:val="20"/>
                <w:lang w:val="es-CR"/>
              </w:rPr>
              <w:t>/ 12-05-2025</w:t>
            </w:r>
          </w:p>
        </w:tc>
        <w:tc>
          <w:tcPr>
            <w:tcW w:w="2551" w:type="dxa"/>
          </w:tcPr>
          <w:p w14:paraId="2668190F" w14:textId="77777777" w:rsidR="00820CF3" w:rsidRDefault="00820CF3" w:rsidP="003D1596">
            <w:pPr>
              <w:ind w:firstLine="708"/>
              <w:contextualSpacing/>
              <w:rPr>
                <w:rFonts w:ascii="Arial" w:eastAsia="Calibri" w:hAnsi="Arial" w:cs="Arial"/>
                <w:b/>
                <w:bCs/>
                <w:sz w:val="20"/>
                <w:szCs w:val="20"/>
                <w:lang w:val="es-CR"/>
              </w:rPr>
            </w:pPr>
            <w:r>
              <w:rPr>
                <w:rFonts w:ascii="Arial" w:eastAsia="Aptos" w:hAnsi="Arial" w:cs="Arial"/>
                <w:b/>
                <w:bCs/>
                <w:color w:val="000000"/>
                <w:sz w:val="20"/>
                <w:szCs w:val="20"/>
                <w:lang w:val="es-CR"/>
              </w:rPr>
              <w:object w:dxaOrig="2667" w:dyaOrig="2076" w14:anchorId="54B12199">
                <v:shape id="_x0000_i1027" type="#_x0000_t75" style="width:73.5pt;height:57pt" o:ole="">
                  <v:imagedata r:id="rId15" o:title=""/>
                </v:shape>
                <o:OLEObject Type="Embed" ProgID="AcroExch.Document.DC" ShapeID="_x0000_i1027" DrawAspect="Icon" ObjectID="_1812373997" r:id="rId16"/>
              </w:object>
            </w:r>
          </w:p>
        </w:tc>
      </w:tr>
    </w:tbl>
    <w:p w14:paraId="12FC8097" w14:textId="77777777" w:rsidR="00C1677D" w:rsidRPr="00C1677D" w:rsidRDefault="00C1677D" w:rsidP="00C1677D">
      <w:pPr>
        <w:spacing w:after="160" w:line="259" w:lineRule="auto"/>
        <w:rPr>
          <w:rFonts w:ascii="Arial" w:eastAsia="Calibri" w:hAnsi="Arial" w:cs="Arial"/>
          <w:sz w:val="20"/>
          <w:szCs w:val="20"/>
          <w:lang w:val="es-CR"/>
        </w:rPr>
      </w:pPr>
    </w:p>
    <w:p w14:paraId="24939512" w14:textId="77777777" w:rsidR="00C1677D" w:rsidRPr="00C1677D" w:rsidRDefault="00C1677D" w:rsidP="00C1677D">
      <w:pPr>
        <w:spacing w:after="160" w:line="259" w:lineRule="auto"/>
        <w:rPr>
          <w:rFonts w:ascii="Arial" w:eastAsia="Calibri" w:hAnsi="Arial" w:cs="Arial"/>
          <w:b/>
          <w:bCs/>
          <w:sz w:val="20"/>
          <w:szCs w:val="20"/>
          <w:lang w:val="en-US"/>
        </w:rPr>
      </w:pPr>
    </w:p>
    <w:p w14:paraId="4CCA93C1" w14:textId="77777777" w:rsidR="00C1677D" w:rsidRPr="00C1677D" w:rsidRDefault="00C1677D" w:rsidP="00C1677D">
      <w:pPr>
        <w:spacing w:after="160" w:line="259" w:lineRule="auto"/>
        <w:rPr>
          <w:rFonts w:ascii="Arial" w:eastAsia="Calibri" w:hAnsi="Arial" w:cs="Arial"/>
          <w:b/>
          <w:bCs/>
          <w:sz w:val="20"/>
          <w:szCs w:val="20"/>
          <w:lang w:val="es-CR"/>
        </w:rPr>
      </w:pPr>
      <w:r w:rsidRPr="00C1677D">
        <w:rPr>
          <w:rFonts w:ascii="Arial" w:eastAsia="Calibri" w:hAnsi="Arial" w:cs="Arial"/>
          <w:b/>
          <w:bCs/>
          <w:sz w:val="20"/>
          <w:szCs w:val="20"/>
          <w:u w:val="single"/>
          <w:lang w:val="es-CR"/>
        </w:rPr>
        <w:t>No tienen observaciones</w:t>
      </w:r>
      <w:r w:rsidRPr="00C1677D">
        <w:rPr>
          <w:rFonts w:ascii="Arial" w:eastAsia="Calibri" w:hAnsi="Arial" w:cs="Arial"/>
          <w:b/>
          <w:bCs/>
          <w:sz w:val="20"/>
          <w:szCs w:val="20"/>
          <w:lang w:val="es-CR"/>
        </w:rPr>
        <w:t>:</w:t>
      </w:r>
    </w:p>
    <w:p w14:paraId="12932025" w14:textId="77777777" w:rsidR="00C1677D" w:rsidRPr="00C1677D" w:rsidRDefault="00C1677D" w:rsidP="00C1677D">
      <w:pPr>
        <w:spacing w:after="160" w:line="259" w:lineRule="auto"/>
        <w:rPr>
          <w:rFonts w:ascii="Arial" w:eastAsia="Calibri" w:hAnsi="Arial" w:cs="Arial"/>
          <w:b/>
          <w:bCs/>
          <w:sz w:val="20"/>
          <w:szCs w:val="20"/>
          <w:lang w:val="es-CR"/>
        </w:rPr>
      </w:pPr>
    </w:p>
    <w:tbl>
      <w:tblPr>
        <w:tblStyle w:val="Tablaconcuadrcula"/>
        <w:tblW w:w="0" w:type="auto"/>
        <w:tblInd w:w="720" w:type="dxa"/>
        <w:tblLook w:val="04A0" w:firstRow="1" w:lastRow="0" w:firstColumn="1" w:lastColumn="0" w:noHBand="0" w:noVBand="1"/>
      </w:tblPr>
      <w:tblGrid>
        <w:gridCol w:w="5371"/>
        <w:gridCol w:w="1984"/>
      </w:tblGrid>
      <w:tr w:rsidR="00D459E2" w:rsidRPr="00C1677D" w14:paraId="6C9E0236" w14:textId="77777777" w:rsidTr="00710310">
        <w:tc>
          <w:tcPr>
            <w:tcW w:w="5371" w:type="dxa"/>
          </w:tcPr>
          <w:p w14:paraId="0194A6D8" w14:textId="77777777" w:rsidR="00D459E2" w:rsidRDefault="00D459E2" w:rsidP="00D459E2">
            <w:pPr>
              <w:contextualSpacing/>
              <w:rPr>
                <w:rFonts w:ascii="Arial" w:eastAsia="Calibri" w:hAnsi="Arial" w:cs="Arial"/>
                <w:b/>
                <w:bCs/>
                <w:sz w:val="20"/>
                <w:szCs w:val="20"/>
                <w:lang w:val="es-CR"/>
              </w:rPr>
            </w:pPr>
            <w:r w:rsidRPr="00C1677D">
              <w:rPr>
                <w:rFonts w:ascii="Arial" w:eastAsia="Calibri" w:hAnsi="Arial" w:cs="Arial"/>
                <w:b/>
                <w:bCs/>
                <w:sz w:val="20"/>
                <w:szCs w:val="20"/>
                <w:lang w:val="es-CR"/>
              </w:rPr>
              <w:t xml:space="preserve">Popular OPC / </w:t>
            </w:r>
            <w:r w:rsidRPr="007965D1">
              <w:rPr>
                <w:rFonts w:ascii="Arial" w:eastAsia="Calibri" w:hAnsi="Arial" w:cs="Arial"/>
                <w:b/>
                <w:bCs/>
                <w:sz w:val="20"/>
                <w:szCs w:val="20"/>
                <w:lang w:val="es-CR"/>
              </w:rPr>
              <w:t>PEN-1136-2024</w:t>
            </w:r>
            <w:r>
              <w:rPr>
                <w:rFonts w:ascii="Arial" w:eastAsia="Calibri" w:hAnsi="Arial" w:cs="Arial"/>
                <w:b/>
                <w:bCs/>
                <w:sz w:val="20"/>
                <w:szCs w:val="20"/>
                <w:lang w:val="es-CR"/>
              </w:rPr>
              <w:t xml:space="preserve"> / 20-12-2024</w:t>
            </w:r>
          </w:p>
          <w:p w14:paraId="77E77A2D" w14:textId="3ED16DE2" w:rsidR="00D459E2" w:rsidRPr="00C1677D" w:rsidRDefault="00D459E2" w:rsidP="00D459E2">
            <w:pPr>
              <w:contextualSpacing/>
              <w:rPr>
                <w:rFonts w:ascii="Arial" w:eastAsia="Calibri" w:hAnsi="Arial" w:cs="Arial"/>
                <w:b/>
                <w:bCs/>
                <w:sz w:val="20"/>
                <w:szCs w:val="20"/>
                <w:lang w:val="es-CR"/>
              </w:rPr>
            </w:pPr>
            <w:r w:rsidRPr="00C1677D">
              <w:rPr>
                <w:rFonts w:ascii="Arial" w:eastAsia="Calibri" w:hAnsi="Arial" w:cs="Arial"/>
                <w:b/>
                <w:bCs/>
                <w:sz w:val="20"/>
                <w:szCs w:val="20"/>
                <w:lang w:val="es-CR"/>
              </w:rPr>
              <w:t xml:space="preserve">Popular OPC / </w:t>
            </w:r>
            <w:r w:rsidRPr="00EF077E">
              <w:rPr>
                <w:rFonts w:ascii="Arial" w:eastAsia="Calibri" w:hAnsi="Arial" w:cs="Arial"/>
                <w:b/>
                <w:bCs/>
                <w:sz w:val="20"/>
                <w:szCs w:val="20"/>
                <w:lang w:val="es-CR"/>
              </w:rPr>
              <w:t>PEN-0416-2025</w:t>
            </w:r>
            <w:r>
              <w:rPr>
                <w:rFonts w:ascii="Arial" w:eastAsia="Calibri" w:hAnsi="Arial" w:cs="Arial"/>
                <w:b/>
                <w:bCs/>
                <w:sz w:val="20"/>
                <w:szCs w:val="20"/>
                <w:lang w:val="es-CR"/>
              </w:rPr>
              <w:t>/ 12-05-2025</w:t>
            </w:r>
          </w:p>
        </w:tc>
        <w:tc>
          <w:tcPr>
            <w:tcW w:w="1984" w:type="dxa"/>
          </w:tcPr>
          <w:p w14:paraId="070FC52D" w14:textId="77777777" w:rsidR="00D459E2" w:rsidRDefault="00D459E2" w:rsidP="00D459E2">
            <w:pPr>
              <w:autoSpaceDE w:val="0"/>
              <w:autoSpaceDN w:val="0"/>
              <w:adjustRightInd w:val="0"/>
              <w:rPr>
                <w:rFonts w:ascii="Arial" w:eastAsia="Aptos" w:hAnsi="Arial" w:cs="Arial"/>
                <w:b/>
                <w:bCs/>
                <w:color w:val="000000"/>
                <w:sz w:val="20"/>
                <w:szCs w:val="20"/>
                <w:lang w:val="es-CR"/>
              </w:rPr>
            </w:pPr>
            <w:r>
              <w:rPr>
                <w:rFonts w:ascii="Arial" w:eastAsia="Aptos" w:hAnsi="Arial" w:cs="Arial"/>
                <w:b/>
                <w:bCs/>
                <w:color w:val="000000"/>
                <w:sz w:val="20"/>
                <w:szCs w:val="20"/>
                <w:lang w:val="es-CR"/>
              </w:rPr>
              <w:object w:dxaOrig="1508" w:dyaOrig="984" w14:anchorId="2AC58703">
                <v:shape id="_x0000_i1028" type="#_x0000_t75" style="width:75.4pt;height:49.2pt" o:ole="">
                  <v:imagedata r:id="rId17" o:title=""/>
                </v:shape>
                <o:OLEObject Type="Embed" ProgID="AcroExch.Document.DC" ShapeID="_x0000_i1028" DrawAspect="Icon" ObjectID="_1812373998" r:id="rId18"/>
              </w:object>
            </w:r>
          </w:p>
          <w:p w14:paraId="0646FE7F" w14:textId="030C0BD2" w:rsidR="00D459E2" w:rsidRPr="00C1677D" w:rsidRDefault="00D459E2" w:rsidP="00D459E2">
            <w:pPr>
              <w:autoSpaceDE w:val="0"/>
              <w:autoSpaceDN w:val="0"/>
              <w:adjustRightInd w:val="0"/>
              <w:rPr>
                <w:rFonts w:ascii="Arial" w:eastAsia="Aptos" w:hAnsi="Arial" w:cs="Arial"/>
                <w:b/>
                <w:bCs/>
                <w:color w:val="000000"/>
                <w:sz w:val="20"/>
                <w:szCs w:val="20"/>
                <w:lang w:val="es-CR"/>
              </w:rPr>
            </w:pPr>
            <w:r>
              <w:rPr>
                <w:rFonts w:ascii="Arial" w:eastAsia="Aptos" w:hAnsi="Arial" w:cs="Arial"/>
                <w:b/>
                <w:bCs/>
                <w:color w:val="000000"/>
                <w:sz w:val="20"/>
                <w:szCs w:val="20"/>
                <w:lang w:val="es-CR"/>
              </w:rPr>
              <w:object w:dxaOrig="2667" w:dyaOrig="2076" w14:anchorId="76D93D40">
                <v:shape id="_x0000_i1029" type="#_x0000_t75" style="width:73.5pt;height:57pt" o:ole="">
                  <v:imagedata r:id="rId15" o:title=""/>
                </v:shape>
                <o:OLEObject Type="Embed" ProgID="AcroExch.Document.DC" ShapeID="_x0000_i1029" DrawAspect="Icon" ObjectID="_1812373999" r:id="rId19"/>
              </w:object>
            </w:r>
          </w:p>
        </w:tc>
      </w:tr>
      <w:tr w:rsidR="00C1677D" w:rsidRPr="00C1677D" w14:paraId="774E29B1" w14:textId="77777777" w:rsidTr="00710310">
        <w:tc>
          <w:tcPr>
            <w:tcW w:w="5371" w:type="dxa"/>
          </w:tcPr>
          <w:p w14:paraId="3144D46E" w14:textId="3E95C969" w:rsidR="00C1677D" w:rsidRPr="00C1677D" w:rsidRDefault="00C1677D" w:rsidP="00C1677D">
            <w:pPr>
              <w:contextualSpacing/>
              <w:rPr>
                <w:rFonts w:ascii="Arial" w:eastAsia="Calibri" w:hAnsi="Arial" w:cs="Arial"/>
                <w:b/>
                <w:bCs/>
                <w:sz w:val="20"/>
                <w:szCs w:val="20"/>
                <w:lang w:val="es-CR"/>
              </w:rPr>
            </w:pPr>
            <w:r w:rsidRPr="00C1677D">
              <w:rPr>
                <w:rFonts w:ascii="Arial" w:eastAsia="Calibri" w:hAnsi="Arial" w:cs="Arial"/>
                <w:b/>
                <w:bCs/>
                <w:sz w:val="20"/>
                <w:szCs w:val="20"/>
                <w:lang w:val="es-CR"/>
              </w:rPr>
              <w:t xml:space="preserve">BAC OPC / </w:t>
            </w:r>
            <w:r w:rsidR="004D1EF0" w:rsidRPr="004D1EF0">
              <w:rPr>
                <w:rFonts w:ascii="Arial" w:eastAsia="Calibri" w:hAnsi="Arial" w:cs="Arial"/>
                <w:b/>
                <w:bCs/>
                <w:sz w:val="20"/>
                <w:szCs w:val="20"/>
                <w:lang w:val="es-CR"/>
              </w:rPr>
              <w:t>BAC-OPC-004-2025</w:t>
            </w:r>
            <w:r w:rsidR="004D1EF0">
              <w:rPr>
                <w:rFonts w:ascii="Arial" w:eastAsia="Calibri" w:hAnsi="Arial" w:cs="Arial"/>
                <w:b/>
                <w:bCs/>
                <w:sz w:val="20"/>
                <w:szCs w:val="20"/>
                <w:lang w:val="es-CR"/>
              </w:rPr>
              <w:t xml:space="preserve"> / </w:t>
            </w:r>
            <w:r w:rsidR="002171D3">
              <w:rPr>
                <w:rFonts w:ascii="Arial" w:eastAsia="Calibri" w:hAnsi="Arial" w:cs="Arial"/>
                <w:b/>
                <w:bCs/>
                <w:sz w:val="20"/>
                <w:szCs w:val="20"/>
                <w:lang w:val="es-CR"/>
              </w:rPr>
              <w:t>06/01/2025</w:t>
            </w:r>
            <w:r w:rsidR="004D1EF0">
              <w:rPr>
                <w:rFonts w:ascii="Arial" w:eastAsia="Calibri" w:hAnsi="Arial" w:cs="Arial"/>
                <w:b/>
                <w:bCs/>
                <w:sz w:val="20"/>
                <w:szCs w:val="20"/>
                <w:lang w:val="es-CR"/>
              </w:rPr>
              <w:t xml:space="preserve"> </w:t>
            </w:r>
          </w:p>
        </w:tc>
        <w:tc>
          <w:tcPr>
            <w:tcW w:w="1984" w:type="dxa"/>
          </w:tcPr>
          <w:p w14:paraId="38964126" w14:textId="19CEE8DC" w:rsidR="00C1677D" w:rsidRPr="00C1677D" w:rsidRDefault="00A43E0B" w:rsidP="00C1677D">
            <w:pPr>
              <w:autoSpaceDE w:val="0"/>
              <w:autoSpaceDN w:val="0"/>
              <w:adjustRightInd w:val="0"/>
              <w:rPr>
                <w:rFonts w:ascii="Arial" w:eastAsia="Aptos" w:hAnsi="Arial" w:cs="Arial"/>
                <w:b/>
                <w:bCs/>
                <w:color w:val="000000"/>
                <w:sz w:val="20"/>
                <w:szCs w:val="20"/>
                <w:lang w:val="es-CR"/>
              </w:rPr>
            </w:pPr>
            <w:r>
              <w:rPr>
                <w:rFonts w:ascii="Arial" w:eastAsia="Aptos" w:hAnsi="Arial" w:cs="Arial"/>
                <w:b/>
                <w:bCs/>
                <w:color w:val="000000"/>
                <w:sz w:val="20"/>
                <w:szCs w:val="20"/>
                <w:lang w:val="es-CR"/>
              </w:rPr>
              <w:object w:dxaOrig="1508" w:dyaOrig="984" w14:anchorId="31C7FB91">
                <v:shape id="_x0000_i1030" type="#_x0000_t75" style="width:75.4pt;height:49.2pt" o:ole="">
                  <v:imagedata r:id="rId20" o:title=""/>
                </v:shape>
                <o:OLEObject Type="Embed" ProgID="AcroExch.Document.DC" ShapeID="_x0000_i1030" DrawAspect="Icon" ObjectID="_1812374000" r:id="rId21"/>
              </w:object>
            </w:r>
          </w:p>
        </w:tc>
      </w:tr>
      <w:tr w:rsidR="00AF1DD6" w:rsidRPr="00D9647B" w14:paraId="15648B0E" w14:textId="77777777" w:rsidTr="00710310">
        <w:tc>
          <w:tcPr>
            <w:tcW w:w="5371" w:type="dxa"/>
          </w:tcPr>
          <w:p w14:paraId="11034963" w14:textId="77777777" w:rsidR="00AF1DD6" w:rsidRDefault="00AF1DD6" w:rsidP="00AF1DD6">
            <w:pPr>
              <w:contextualSpacing/>
              <w:rPr>
                <w:rFonts w:ascii="Arial" w:eastAsia="Calibri" w:hAnsi="Arial" w:cs="Arial"/>
                <w:b/>
                <w:bCs/>
                <w:sz w:val="20"/>
                <w:szCs w:val="20"/>
                <w:lang w:val="en-US"/>
              </w:rPr>
            </w:pPr>
            <w:r w:rsidRPr="00C1677D">
              <w:rPr>
                <w:rFonts w:ascii="Arial" w:eastAsia="Calibri" w:hAnsi="Arial" w:cs="Arial"/>
                <w:b/>
                <w:bCs/>
                <w:sz w:val="20"/>
                <w:szCs w:val="20"/>
                <w:lang w:val="en-US"/>
              </w:rPr>
              <w:lastRenderedPageBreak/>
              <w:t xml:space="preserve">BN Vital OPC / </w:t>
            </w:r>
            <w:r w:rsidRPr="00AF1DD6">
              <w:rPr>
                <w:rFonts w:ascii="Arial" w:eastAsia="Calibri" w:hAnsi="Arial" w:cs="Arial"/>
                <w:b/>
                <w:bCs/>
                <w:sz w:val="20"/>
                <w:szCs w:val="20"/>
                <w:lang w:val="en-US"/>
              </w:rPr>
              <w:t>BNVital-GG-010-2025</w:t>
            </w:r>
            <w:r>
              <w:rPr>
                <w:rFonts w:ascii="Arial" w:eastAsia="Calibri" w:hAnsi="Arial" w:cs="Arial"/>
                <w:b/>
                <w:bCs/>
                <w:sz w:val="20"/>
                <w:szCs w:val="20"/>
                <w:lang w:val="en-US"/>
              </w:rPr>
              <w:t xml:space="preserve"> / </w:t>
            </w:r>
            <w:r w:rsidR="002E69FD">
              <w:rPr>
                <w:rFonts w:ascii="Arial" w:eastAsia="Calibri" w:hAnsi="Arial" w:cs="Arial"/>
                <w:b/>
                <w:bCs/>
                <w:sz w:val="20"/>
                <w:szCs w:val="20"/>
                <w:lang w:val="en-US"/>
              </w:rPr>
              <w:t>07-01-2025</w:t>
            </w:r>
          </w:p>
          <w:p w14:paraId="11F6DC4C" w14:textId="49D1053E" w:rsidR="000407EC" w:rsidRPr="000407EC" w:rsidRDefault="000407EC" w:rsidP="000407EC">
            <w:pPr>
              <w:contextualSpacing/>
              <w:rPr>
                <w:rFonts w:ascii="Arial" w:eastAsia="Calibri" w:hAnsi="Arial" w:cs="Arial"/>
                <w:b/>
                <w:bCs/>
                <w:sz w:val="20"/>
                <w:szCs w:val="20"/>
                <w:lang w:val="es-CR"/>
              </w:rPr>
            </w:pPr>
            <w:r w:rsidRPr="000407EC">
              <w:rPr>
                <w:rFonts w:ascii="Arial" w:eastAsia="Calibri" w:hAnsi="Arial" w:cs="Arial"/>
                <w:b/>
                <w:bCs/>
                <w:sz w:val="20"/>
                <w:szCs w:val="20"/>
                <w:lang w:val="es-CR"/>
              </w:rPr>
              <w:t xml:space="preserve">BN Vital OPC / Sin número / </w:t>
            </w:r>
            <w:r>
              <w:rPr>
                <w:rFonts w:ascii="Arial" w:eastAsia="Calibri" w:hAnsi="Arial" w:cs="Arial"/>
                <w:b/>
                <w:bCs/>
                <w:sz w:val="20"/>
                <w:szCs w:val="20"/>
                <w:lang w:val="es-CR"/>
              </w:rPr>
              <w:t>14</w:t>
            </w:r>
            <w:r w:rsidRPr="000407EC">
              <w:rPr>
                <w:rFonts w:ascii="Arial" w:eastAsia="Calibri" w:hAnsi="Arial" w:cs="Arial"/>
                <w:b/>
                <w:bCs/>
                <w:sz w:val="20"/>
                <w:szCs w:val="20"/>
                <w:lang w:val="es-CR"/>
              </w:rPr>
              <w:t>-0</w:t>
            </w:r>
            <w:r>
              <w:rPr>
                <w:rFonts w:ascii="Arial" w:eastAsia="Calibri" w:hAnsi="Arial" w:cs="Arial"/>
                <w:b/>
                <w:bCs/>
                <w:sz w:val="20"/>
                <w:szCs w:val="20"/>
                <w:lang w:val="es-CR"/>
              </w:rPr>
              <w:t>5</w:t>
            </w:r>
            <w:r w:rsidRPr="000407EC">
              <w:rPr>
                <w:rFonts w:ascii="Arial" w:eastAsia="Calibri" w:hAnsi="Arial" w:cs="Arial"/>
                <w:b/>
                <w:bCs/>
                <w:sz w:val="20"/>
                <w:szCs w:val="20"/>
                <w:lang w:val="es-CR"/>
              </w:rPr>
              <w:t>-2025</w:t>
            </w:r>
          </w:p>
          <w:p w14:paraId="77DDC2AA" w14:textId="77777777" w:rsidR="00343CCC" w:rsidRPr="000407EC" w:rsidRDefault="00343CCC" w:rsidP="00AF1DD6">
            <w:pPr>
              <w:contextualSpacing/>
              <w:rPr>
                <w:rFonts w:ascii="Arial" w:eastAsia="Calibri" w:hAnsi="Arial" w:cs="Arial"/>
                <w:b/>
                <w:bCs/>
                <w:sz w:val="20"/>
                <w:szCs w:val="20"/>
                <w:lang w:val="es-CR"/>
              </w:rPr>
            </w:pPr>
          </w:p>
          <w:p w14:paraId="475A4703" w14:textId="77777777" w:rsidR="00343CCC" w:rsidRPr="000407EC" w:rsidRDefault="00343CCC" w:rsidP="00AF1DD6">
            <w:pPr>
              <w:contextualSpacing/>
              <w:rPr>
                <w:rFonts w:ascii="Arial" w:eastAsia="Calibri" w:hAnsi="Arial" w:cs="Arial"/>
                <w:b/>
                <w:bCs/>
                <w:sz w:val="20"/>
                <w:szCs w:val="20"/>
                <w:lang w:val="es-CR"/>
              </w:rPr>
            </w:pPr>
          </w:p>
          <w:p w14:paraId="6C639C1F" w14:textId="422D2E11" w:rsidR="00343CCC" w:rsidRPr="000407EC" w:rsidRDefault="00343CCC" w:rsidP="00AF1DD6">
            <w:pPr>
              <w:contextualSpacing/>
              <w:rPr>
                <w:rFonts w:ascii="Arial" w:eastAsia="Calibri" w:hAnsi="Arial" w:cs="Arial"/>
                <w:b/>
                <w:bCs/>
                <w:sz w:val="20"/>
                <w:szCs w:val="20"/>
                <w:lang w:val="es-CR"/>
              </w:rPr>
            </w:pPr>
          </w:p>
        </w:tc>
        <w:tc>
          <w:tcPr>
            <w:tcW w:w="1984" w:type="dxa"/>
          </w:tcPr>
          <w:p w14:paraId="4469440D" w14:textId="20ECCA4E" w:rsidR="00AF1DD6" w:rsidRPr="00AF1DD6" w:rsidRDefault="00A43E0B" w:rsidP="00AF1DD6">
            <w:pPr>
              <w:autoSpaceDE w:val="0"/>
              <w:autoSpaceDN w:val="0"/>
              <w:adjustRightInd w:val="0"/>
              <w:rPr>
                <w:rFonts w:ascii="Arial" w:eastAsia="Aptos" w:hAnsi="Arial" w:cs="Arial"/>
                <w:b/>
                <w:bCs/>
                <w:color w:val="000000"/>
                <w:sz w:val="20"/>
                <w:szCs w:val="20"/>
                <w:lang w:val="en-US"/>
              </w:rPr>
            </w:pPr>
            <w:r>
              <w:rPr>
                <w:rFonts w:ascii="Arial" w:eastAsia="Aptos" w:hAnsi="Arial" w:cs="Arial"/>
                <w:b/>
                <w:bCs/>
                <w:color w:val="000000"/>
                <w:sz w:val="20"/>
                <w:szCs w:val="20"/>
                <w:lang w:val="en-US"/>
              </w:rPr>
              <w:object w:dxaOrig="1508" w:dyaOrig="984" w14:anchorId="3719D77F">
                <v:shape id="_x0000_i1031" type="#_x0000_t75" style="width:75.4pt;height:49.2pt" o:ole="">
                  <v:imagedata r:id="rId22" o:title=""/>
                </v:shape>
                <o:OLEObject Type="Embed" ProgID="AcroExch.Document.DC" ShapeID="_x0000_i1031" DrawAspect="Icon" ObjectID="_1812374001" r:id="rId23"/>
              </w:object>
            </w:r>
          </w:p>
        </w:tc>
      </w:tr>
      <w:tr w:rsidR="00710310" w:rsidRPr="00AF1DD6" w14:paraId="1B754D77" w14:textId="77777777" w:rsidTr="00710310">
        <w:tc>
          <w:tcPr>
            <w:tcW w:w="5371" w:type="dxa"/>
          </w:tcPr>
          <w:p w14:paraId="47EA6A60" w14:textId="28558BF6" w:rsidR="00710310" w:rsidRPr="00C1677D" w:rsidRDefault="00710310" w:rsidP="00710310">
            <w:pPr>
              <w:contextualSpacing/>
              <w:rPr>
                <w:rFonts w:ascii="Arial" w:eastAsia="Calibri" w:hAnsi="Arial" w:cs="Arial"/>
                <w:b/>
                <w:bCs/>
                <w:sz w:val="20"/>
                <w:szCs w:val="20"/>
                <w:lang w:val="en-US"/>
              </w:rPr>
            </w:pPr>
            <w:r w:rsidRPr="00C1677D">
              <w:rPr>
                <w:rFonts w:ascii="Arial" w:eastAsia="Calibri" w:hAnsi="Arial" w:cs="Arial"/>
                <w:b/>
                <w:bCs/>
                <w:sz w:val="20"/>
                <w:szCs w:val="20"/>
                <w:lang w:val="es-CR"/>
              </w:rPr>
              <w:t xml:space="preserve">Vida Plena OPC / </w:t>
            </w:r>
            <w:r w:rsidR="00894C65" w:rsidRPr="00894C65">
              <w:rPr>
                <w:rFonts w:ascii="Arial" w:eastAsia="Calibri" w:hAnsi="Arial" w:cs="Arial"/>
                <w:b/>
                <w:bCs/>
                <w:sz w:val="20"/>
                <w:szCs w:val="20"/>
                <w:lang w:val="es-CR"/>
              </w:rPr>
              <w:t>GG-005-2025</w:t>
            </w:r>
            <w:r w:rsidR="00894C65">
              <w:rPr>
                <w:rFonts w:ascii="Arial" w:eastAsia="Calibri" w:hAnsi="Arial" w:cs="Arial"/>
                <w:b/>
                <w:bCs/>
                <w:sz w:val="20"/>
                <w:szCs w:val="20"/>
                <w:lang w:val="es-CR"/>
              </w:rPr>
              <w:t xml:space="preserve"> / 08-01-2025</w:t>
            </w:r>
          </w:p>
        </w:tc>
        <w:tc>
          <w:tcPr>
            <w:tcW w:w="1984" w:type="dxa"/>
          </w:tcPr>
          <w:p w14:paraId="06FFB953" w14:textId="40116D50" w:rsidR="00710310" w:rsidRPr="00AF1DD6" w:rsidRDefault="00676DA5" w:rsidP="00710310">
            <w:pPr>
              <w:autoSpaceDE w:val="0"/>
              <w:autoSpaceDN w:val="0"/>
              <w:adjustRightInd w:val="0"/>
              <w:rPr>
                <w:rFonts w:ascii="Arial" w:eastAsia="Aptos" w:hAnsi="Arial" w:cs="Arial"/>
                <w:b/>
                <w:bCs/>
                <w:color w:val="000000"/>
                <w:sz w:val="20"/>
                <w:szCs w:val="20"/>
                <w:lang w:val="en-US"/>
              </w:rPr>
            </w:pPr>
            <w:r>
              <w:rPr>
                <w:rFonts w:ascii="Arial" w:eastAsia="Aptos" w:hAnsi="Arial" w:cs="Arial"/>
                <w:b/>
                <w:bCs/>
                <w:color w:val="000000"/>
                <w:sz w:val="20"/>
                <w:szCs w:val="20"/>
                <w:lang w:val="en-US"/>
              </w:rPr>
              <w:object w:dxaOrig="1376" w:dyaOrig="899" w14:anchorId="67555A69">
                <v:shape id="_x0000_i1032" type="#_x0000_t75" style="width:68.8pt;height:44.95pt" o:ole="">
                  <v:imagedata r:id="rId24" o:title=""/>
                </v:shape>
                <o:OLEObject Type="Embed" ProgID="AcroExch.Document.DC" ShapeID="_x0000_i1032" DrawAspect="Icon" ObjectID="_1812374002" r:id="rId25"/>
              </w:object>
            </w:r>
          </w:p>
        </w:tc>
      </w:tr>
      <w:tr w:rsidR="000C583A" w:rsidRPr="00C1677D" w14:paraId="24A051AA" w14:textId="77777777" w:rsidTr="00710310">
        <w:tc>
          <w:tcPr>
            <w:tcW w:w="5371" w:type="dxa"/>
          </w:tcPr>
          <w:p w14:paraId="0CA251CE" w14:textId="29547928" w:rsidR="000C583A" w:rsidRPr="00C1677D" w:rsidRDefault="000C583A" w:rsidP="000C583A">
            <w:pPr>
              <w:contextualSpacing/>
              <w:rPr>
                <w:rFonts w:ascii="Arial" w:eastAsia="Calibri" w:hAnsi="Arial" w:cs="Arial"/>
                <w:b/>
                <w:bCs/>
                <w:sz w:val="20"/>
                <w:szCs w:val="20"/>
                <w:lang w:val="es-CR"/>
              </w:rPr>
            </w:pPr>
            <w:r w:rsidRPr="00C1677D">
              <w:rPr>
                <w:rFonts w:ascii="Arial" w:eastAsia="Calibri" w:hAnsi="Arial" w:cs="Arial"/>
                <w:b/>
                <w:bCs/>
                <w:sz w:val="20"/>
                <w:szCs w:val="20"/>
                <w:lang w:val="es-CR"/>
              </w:rPr>
              <w:t xml:space="preserve">CCSS OPC / </w:t>
            </w:r>
            <w:r w:rsidR="00CC294A" w:rsidRPr="00CC294A">
              <w:rPr>
                <w:rFonts w:ascii="Arial" w:eastAsia="Calibri" w:hAnsi="Arial" w:cs="Arial"/>
                <w:b/>
                <w:bCs/>
                <w:sz w:val="20"/>
                <w:szCs w:val="20"/>
                <w:lang w:val="es-CR"/>
              </w:rPr>
              <w:t>GG-012-2025</w:t>
            </w:r>
            <w:r w:rsidR="00CC294A">
              <w:rPr>
                <w:rFonts w:ascii="Arial" w:eastAsia="Calibri" w:hAnsi="Arial" w:cs="Arial"/>
                <w:b/>
                <w:bCs/>
                <w:sz w:val="20"/>
                <w:szCs w:val="20"/>
                <w:lang w:val="es-CR"/>
              </w:rPr>
              <w:t xml:space="preserve"> / 13-01-2025</w:t>
            </w:r>
          </w:p>
        </w:tc>
        <w:bookmarkStart w:id="0" w:name="_MON_1803106835"/>
        <w:bookmarkEnd w:id="0"/>
        <w:tc>
          <w:tcPr>
            <w:tcW w:w="1984" w:type="dxa"/>
          </w:tcPr>
          <w:p w14:paraId="4A2911E5" w14:textId="2F65B716" w:rsidR="000C583A" w:rsidRPr="00C1677D" w:rsidRDefault="00AC3AF1" w:rsidP="000C583A">
            <w:pPr>
              <w:autoSpaceDE w:val="0"/>
              <w:autoSpaceDN w:val="0"/>
              <w:adjustRightInd w:val="0"/>
              <w:rPr>
                <w:rFonts w:ascii="Arial" w:eastAsia="Aptos" w:hAnsi="Arial" w:cs="Arial"/>
                <w:b/>
                <w:bCs/>
                <w:color w:val="000000"/>
                <w:sz w:val="20"/>
                <w:szCs w:val="20"/>
                <w:lang w:val="es-CR"/>
              </w:rPr>
            </w:pPr>
            <w:r>
              <w:rPr>
                <w:rFonts w:ascii="Arial" w:eastAsia="Aptos" w:hAnsi="Arial" w:cs="Arial"/>
                <w:b/>
                <w:bCs/>
                <w:color w:val="000000"/>
                <w:sz w:val="20"/>
                <w:szCs w:val="20"/>
                <w:lang w:val="es-CR"/>
              </w:rPr>
              <w:object w:dxaOrig="1508" w:dyaOrig="984" w14:anchorId="6C2DA5ED">
                <v:shape id="_x0000_i1033" type="#_x0000_t75" style="width:75.4pt;height:49.2pt" o:ole="">
                  <v:imagedata r:id="rId26" o:title=""/>
                </v:shape>
                <o:OLEObject Type="Embed" ProgID="Word.Document.12" ShapeID="_x0000_i1033" DrawAspect="Icon" ObjectID="_1812374003" r:id="rId27">
                  <o:FieldCodes>\s</o:FieldCodes>
                </o:OLEObject>
              </w:object>
            </w:r>
          </w:p>
        </w:tc>
      </w:tr>
      <w:tr w:rsidR="007253D3" w:rsidRPr="00C1677D" w14:paraId="1442EB9C" w14:textId="77777777" w:rsidTr="00710310">
        <w:tc>
          <w:tcPr>
            <w:tcW w:w="5371" w:type="dxa"/>
          </w:tcPr>
          <w:p w14:paraId="07A772F8" w14:textId="4E942448" w:rsidR="007253D3" w:rsidRPr="00C1677D" w:rsidRDefault="007D5913" w:rsidP="000C583A">
            <w:pPr>
              <w:contextualSpacing/>
              <w:rPr>
                <w:rFonts w:ascii="Arial" w:eastAsia="Calibri" w:hAnsi="Arial" w:cs="Arial"/>
                <w:b/>
                <w:bCs/>
                <w:sz w:val="20"/>
                <w:szCs w:val="20"/>
                <w:lang w:val="es-CR"/>
              </w:rPr>
            </w:pPr>
            <w:r>
              <w:rPr>
                <w:rFonts w:ascii="Arial" w:eastAsia="Calibri" w:hAnsi="Arial" w:cs="Arial"/>
                <w:b/>
                <w:bCs/>
                <w:sz w:val="20"/>
                <w:szCs w:val="20"/>
                <w:lang w:val="es-CR"/>
              </w:rPr>
              <w:t xml:space="preserve">ACOP / </w:t>
            </w:r>
            <w:r w:rsidR="004B4108" w:rsidRPr="004B4108">
              <w:rPr>
                <w:rFonts w:ascii="Arial" w:eastAsia="Calibri" w:hAnsi="Arial" w:cs="Arial"/>
                <w:b/>
                <w:bCs/>
                <w:sz w:val="20"/>
                <w:szCs w:val="20"/>
                <w:lang w:val="es-CR"/>
              </w:rPr>
              <w:t>ACOP-002-2025</w:t>
            </w:r>
            <w:r w:rsidR="004B4108">
              <w:rPr>
                <w:rFonts w:ascii="Arial" w:eastAsia="Calibri" w:hAnsi="Arial" w:cs="Arial"/>
                <w:b/>
                <w:bCs/>
                <w:sz w:val="20"/>
                <w:szCs w:val="20"/>
                <w:lang w:val="es-CR"/>
              </w:rPr>
              <w:t xml:space="preserve"> / </w:t>
            </w:r>
            <w:r w:rsidR="004B4108" w:rsidRPr="004B4108">
              <w:rPr>
                <w:rFonts w:ascii="Arial" w:eastAsia="Calibri" w:hAnsi="Arial" w:cs="Arial"/>
                <w:b/>
                <w:bCs/>
                <w:sz w:val="20"/>
                <w:szCs w:val="20"/>
                <w:lang w:val="es-CR"/>
              </w:rPr>
              <w:t xml:space="preserve">09 </w:t>
            </w:r>
            <w:r w:rsidR="004B4108">
              <w:rPr>
                <w:rFonts w:ascii="Arial" w:eastAsia="Calibri" w:hAnsi="Arial" w:cs="Arial"/>
                <w:b/>
                <w:bCs/>
                <w:sz w:val="20"/>
                <w:szCs w:val="20"/>
                <w:lang w:val="es-CR"/>
              </w:rPr>
              <w:t>-01-2025</w:t>
            </w:r>
            <w:r w:rsidR="004B4108" w:rsidRPr="004B4108">
              <w:rPr>
                <w:rFonts w:ascii="Arial" w:eastAsia="Calibri" w:hAnsi="Arial" w:cs="Arial"/>
                <w:b/>
                <w:bCs/>
                <w:sz w:val="20"/>
                <w:szCs w:val="20"/>
                <w:lang w:val="es-CR"/>
              </w:rPr>
              <w:t xml:space="preserve"> 2025</w:t>
            </w:r>
          </w:p>
        </w:tc>
        <w:tc>
          <w:tcPr>
            <w:tcW w:w="1984" w:type="dxa"/>
          </w:tcPr>
          <w:p w14:paraId="3DF2520F" w14:textId="6B313F7A" w:rsidR="007253D3" w:rsidRPr="00C1677D" w:rsidRDefault="00AC3AF1" w:rsidP="000C583A">
            <w:pPr>
              <w:autoSpaceDE w:val="0"/>
              <w:autoSpaceDN w:val="0"/>
              <w:adjustRightInd w:val="0"/>
              <w:rPr>
                <w:rFonts w:ascii="Arial" w:eastAsia="Aptos" w:hAnsi="Arial" w:cs="Arial"/>
                <w:b/>
                <w:bCs/>
                <w:color w:val="000000"/>
                <w:sz w:val="20"/>
                <w:szCs w:val="20"/>
                <w:lang w:val="es-CR"/>
              </w:rPr>
            </w:pPr>
            <w:r>
              <w:rPr>
                <w:rFonts w:ascii="Arial" w:eastAsia="Aptos" w:hAnsi="Arial" w:cs="Arial"/>
                <w:b/>
                <w:bCs/>
                <w:color w:val="000000"/>
                <w:sz w:val="20"/>
                <w:szCs w:val="20"/>
                <w:lang w:val="es-CR"/>
              </w:rPr>
              <w:object w:dxaOrig="1508" w:dyaOrig="984" w14:anchorId="5B5D2693">
                <v:shape id="_x0000_i1034" type="#_x0000_t75" style="width:75.4pt;height:49.2pt" o:ole="">
                  <v:imagedata r:id="rId28" o:title=""/>
                </v:shape>
                <o:OLEObject Type="Embed" ProgID="AcroExch.Document.DC" ShapeID="_x0000_i1034" DrawAspect="Icon" ObjectID="_1812374004" r:id="rId29"/>
              </w:object>
            </w:r>
          </w:p>
        </w:tc>
      </w:tr>
    </w:tbl>
    <w:p w14:paraId="3569A792" w14:textId="77777777" w:rsidR="00C1677D" w:rsidRPr="00C1677D" w:rsidRDefault="00C1677D" w:rsidP="00C1677D">
      <w:pPr>
        <w:spacing w:after="160" w:line="259" w:lineRule="auto"/>
        <w:ind w:left="720"/>
        <w:contextualSpacing/>
        <w:rPr>
          <w:rFonts w:ascii="Arial" w:eastAsia="Calibri" w:hAnsi="Arial" w:cs="Arial"/>
          <w:b/>
          <w:bCs/>
          <w:sz w:val="20"/>
          <w:szCs w:val="20"/>
          <w:lang w:val="es-CR"/>
        </w:rPr>
      </w:pPr>
    </w:p>
    <w:p w14:paraId="6F419386" w14:textId="77777777" w:rsidR="007E4689" w:rsidRDefault="007E4689" w:rsidP="006107A1">
      <w:pPr>
        <w:spacing w:line="240" w:lineRule="auto"/>
        <w:contextualSpacing/>
        <w:rPr>
          <w:rFonts w:ascii="Cambria" w:hAnsi="Cambria"/>
          <w:sz w:val="22"/>
        </w:rPr>
      </w:pPr>
    </w:p>
    <w:p w14:paraId="4BEEF79C" w14:textId="77777777" w:rsidR="007E4689" w:rsidRDefault="007E4689" w:rsidP="006107A1">
      <w:pPr>
        <w:spacing w:line="240" w:lineRule="auto"/>
        <w:contextualSpacing/>
        <w:rPr>
          <w:rFonts w:ascii="Cambria" w:hAnsi="Cambria"/>
          <w:sz w:val="22"/>
        </w:rPr>
      </w:pPr>
    </w:p>
    <w:p w14:paraId="7536CBFE" w14:textId="77777777" w:rsidR="002A27C5" w:rsidRPr="002A27C5" w:rsidRDefault="002A27C5" w:rsidP="006107A1">
      <w:pPr>
        <w:spacing w:line="240" w:lineRule="auto"/>
        <w:contextualSpacing/>
        <w:rPr>
          <w:rFonts w:ascii="Cambria" w:hAnsi="Cambria"/>
          <w:sz w:val="22"/>
        </w:rPr>
      </w:pPr>
    </w:p>
    <w:tbl>
      <w:tblPr>
        <w:tblStyle w:val="Tablaconcuadrcula"/>
        <w:tblW w:w="0" w:type="auto"/>
        <w:tblLook w:val="04A0" w:firstRow="1" w:lastRow="0" w:firstColumn="1" w:lastColumn="0" w:noHBand="0" w:noVBand="1"/>
      </w:tblPr>
      <w:tblGrid>
        <w:gridCol w:w="6147"/>
        <w:gridCol w:w="4940"/>
        <w:gridCol w:w="4940"/>
        <w:gridCol w:w="4940"/>
      </w:tblGrid>
      <w:tr w:rsidR="00C1677D" w:rsidRPr="007E4689" w14:paraId="5935ADFF" w14:textId="77777777" w:rsidTr="729307E3">
        <w:tc>
          <w:tcPr>
            <w:tcW w:w="6147" w:type="dxa"/>
            <w:shd w:val="clear" w:color="auto" w:fill="002060"/>
          </w:tcPr>
          <w:p w14:paraId="059A0FBA" w14:textId="77777777" w:rsidR="00C1677D" w:rsidRDefault="00C1677D" w:rsidP="00C1677D">
            <w:pPr>
              <w:spacing w:line="240" w:lineRule="auto"/>
              <w:contextualSpacing/>
              <w:jc w:val="center"/>
              <w:rPr>
                <w:rFonts w:ascii="Calibri" w:eastAsia="Calibri" w:hAnsi="Calibri" w:cs="Calibri"/>
                <w:b/>
                <w:bCs/>
                <w:iCs/>
                <w:color w:val="E7E6E6" w:themeColor="background2"/>
              </w:rPr>
            </w:pPr>
            <w:r w:rsidRPr="00967E91">
              <w:rPr>
                <w:rFonts w:ascii="Calibri" w:eastAsia="Calibri" w:hAnsi="Calibri" w:cs="Calibri"/>
                <w:b/>
                <w:bCs/>
                <w:iCs/>
                <w:color w:val="E7E6E6" w:themeColor="background2"/>
              </w:rPr>
              <w:t>TEXTO CONSULTADO</w:t>
            </w:r>
          </w:p>
          <w:p w14:paraId="22CEECFA" w14:textId="632ED6ED" w:rsidR="00C1677D" w:rsidRPr="007E4689" w:rsidRDefault="00C1677D" w:rsidP="00C1677D">
            <w:pPr>
              <w:spacing w:line="240" w:lineRule="auto"/>
              <w:contextualSpacing/>
              <w:jc w:val="center"/>
              <w:rPr>
                <w:rFonts w:ascii="Cambria" w:hAnsi="Cambria"/>
                <w:sz w:val="22"/>
              </w:rPr>
            </w:pPr>
          </w:p>
        </w:tc>
        <w:tc>
          <w:tcPr>
            <w:tcW w:w="4940" w:type="dxa"/>
            <w:shd w:val="clear" w:color="auto" w:fill="002060"/>
          </w:tcPr>
          <w:p w14:paraId="7765E76B" w14:textId="16F82E86" w:rsidR="00C1677D" w:rsidRPr="007E4689" w:rsidRDefault="00C1677D" w:rsidP="00C1677D">
            <w:pPr>
              <w:spacing w:line="240" w:lineRule="auto"/>
              <w:contextualSpacing/>
              <w:jc w:val="center"/>
              <w:rPr>
                <w:rFonts w:ascii="Cambria" w:hAnsi="Cambria"/>
                <w:sz w:val="22"/>
              </w:rPr>
            </w:pPr>
            <w:r w:rsidRPr="00967E91">
              <w:rPr>
                <w:rFonts w:ascii="Calibri" w:eastAsia="Calibri" w:hAnsi="Calibri" w:cs="Calibri"/>
                <w:b/>
                <w:bCs/>
                <w:iCs/>
                <w:color w:val="E7E6E6" w:themeColor="background2"/>
              </w:rPr>
              <w:t>OBSERVACIONES RECIBIDAS</w:t>
            </w:r>
          </w:p>
        </w:tc>
        <w:tc>
          <w:tcPr>
            <w:tcW w:w="4940" w:type="dxa"/>
            <w:shd w:val="clear" w:color="auto" w:fill="002060"/>
          </w:tcPr>
          <w:p w14:paraId="1B6BE158" w14:textId="4A1D77C9" w:rsidR="00C1677D" w:rsidRPr="007E4689" w:rsidRDefault="00C1677D" w:rsidP="00C1677D">
            <w:pPr>
              <w:spacing w:line="240" w:lineRule="auto"/>
              <w:contextualSpacing/>
              <w:jc w:val="center"/>
              <w:rPr>
                <w:rFonts w:ascii="Cambria" w:hAnsi="Cambria"/>
                <w:sz w:val="22"/>
              </w:rPr>
            </w:pPr>
            <w:r w:rsidRPr="00967E91">
              <w:rPr>
                <w:rFonts w:ascii="Calibri" w:eastAsia="Calibri" w:hAnsi="Calibri" w:cs="Calibri"/>
                <w:b/>
                <w:bCs/>
                <w:iCs/>
                <w:color w:val="E7E6E6" w:themeColor="background2"/>
              </w:rPr>
              <w:t>COMENTARIOS SUPEN</w:t>
            </w:r>
          </w:p>
        </w:tc>
        <w:tc>
          <w:tcPr>
            <w:tcW w:w="4940" w:type="dxa"/>
            <w:shd w:val="clear" w:color="auto" w:fill="002060"/>
          </w:tcPr>
          <w:p w14:paraId="14B0AEFC" w14:textId="67894132" w:rsidR="00C1677D" w:rsidRPr="007E4689" w:rsidRDefault="00C1677D" w:rsidP="00C1677D">
            <w:pPr>
              <w:spacing w:line="240" w:lineRule="auto"/>
              <w:contextualSpacing/>
              <w:jc w:val="center"/>
              <w:rPr>
                <w:rFonts w:ascii="Cambria" w:hAnsi="Cambria"/>
                <w:sz w:val="22"/>
              </w:rPr>
            </w:pPr>
            <w:r w:rsidRPr="00967E91">
              <w:rPr>
                <w:rFonts w:ascii="Calibri" w:eastAsia="Calibri" w:hAnsi="Calibri" w:cs="Calibri"/>
                <w:b/>
                <w:bCs/>
                <w:iCs/>
                <w:color w:val="E7E6E6" w:themeColor="background2"/>
              </w:rPr>
              <w:t>TEXTO FINAL</w:t>
            </w:r>
          </w:p>
        </w:tc>
      </w:tr>
      <w:tr w:rsidR="00F302A1" w:rsidRPr="007E4689" w14:paraId="54B32367" w14:textId="5B4C393F" w:rsidTr="729307E3">
        <w:tc>
          <w:tcPr>
            <w:tcW w:w="6147" w:type="dxa"/>
          </w:tcPr>
          <w:p w14:paraId="507C897B" w14:textId="77777777" w:rsidR="00F302A1" w:rsidRPr="007E4689" w:rsidRDefault="00F302A1" w:rsidP="00F302A1">
            <w:pPr>
              <w:spacing w:line="240" w:lineRule="auto"/>
              <w:contextualSpacing/>
              <w:jc w:val="both"/>
              <w:rPr>
                <w:rFonts w:ascii="Cambria" w:hAnsi="Cambria"/>
                <w:sz w:val="22"/>
              </w:rPr>
            </w:pPr>
            <w:r w:rsidRPr="007E4689">
              <w:rPr>
                <w:rFonts w:ascii="Cambria" w:hAnsi="Cambria"/>
                <w:sz w:val="22"/>
              </w:rPr>
              <w:t xml:space="preserve">Superintendencia de Pensiones, al ser las XXX horas y XXX minutos del día XXX de diciembre de 2024.   </w:t>
            </w:r>
          </w:p>
        </w:tc>
        <w:tc>
          <w:tcPr>
            <w:tcW w:w="4940" w:type="dxa"/>
          </w:tcPr>
          <w:p w14:paraId="396635F0" w14:textId="77777777" w:rsidR="00F302A1" w:rsidRPr="007E4689" w:rsidRDefault="00F302A1" w:rsidP="00F302A1">
            <w:pPr>
              <w:spacing w:line="240" w:lineRule="auto"/>
              <w:contextualSpacing/>
              <w:jc w:val="both"/>
              <w:rPr>
                <w:rFonts w:ascii="Cambria" w:hAnsi="Cambria"/>
                <w:sz w:val="22"/>
              </w:rPr>
            </w:pPr>
          </w:p>
        </w:tc>
        <w:tc>
          <w:tcPr>
            <w:tcW w:w="4940" w:type="dxa"/>
          </w:tcPr>
          <w:p w14:paraId="63DB14E2" w14:textId="77777777" w:rsidR="00F302A1" w:rsidRPr="007E4689" w:rsidRDefault="00F302A1" w:rsidP="00F302A1">
            <w:pPr>
              <w:spacing w:line="240" w:lineRule="auto"/>
              <w:contextualSpacing/>
              <w:jc w:val="both"/>
              <w:rPr>
                <w:rFonts w:ascii="Cambria" w:hAnsi="Cambria"/>
                <w:sz w:val="22"/>
              </w:rPr>
            </w:pPr>
          </w:p>
        </w:tc>
        <w:tc>
          <w:tcPr>
            <w:tcW w:w="4940" w:type="dxa"/>
          </w:tcPr>
          <w:p w14:paraId="163D1023" w14:textId="745D896F" w:rsidR="00F302A1" w:rsidRPr="007E4689" w:rsidRDefault="00F302A1" w:rsidP="00F302A1">
            <w:pPr>
              <w:spacing w:line="240" w:lineRule="auto"/>
              <w:contextualSpacing/>
              <w:jc w:val="both"/>
              <w:rPr>
                <w:rFonts w:ascii="Cambria" w:hAnsi="Cambria"/>
                <w:sz w:val="22"/>
              </w:rPr>
            </w:pPr>
            <w:r w:rsidRPr="007E4689">
              <w:rPr>
                <w:rFonts w:ascii="Cambria" w:hAnsi="Cambria"/>
                <w:sz w:val="22"/>
              </w:rPr>
              <w:t xml:space="preserve">Superintendencia de Pensiones, al ser las XXX horas y XXX minutos del día XXX de diciembre de 2024.   </w:t>
            </w:r>
          </w:p>
        </w:tc>
      </w:tr>
      <w:tr w:rsidR="00F302A1" w:rsidRPr="007E4689" w14:paraId="21E1B7A3" w14:textId="398888B6" w:rsidTr="729307E3">
        <w:tc>
          <w:tcPr>
            <w:tcW w:w="6147" w:type="dxa"/>
          </w:tcPr>
          <w:p w14:paraId="7F0C9CA1" w14:textId="77777777" w:rsidR="00F302A1" w:rsidRPr="007E4689" w:rsidRDefault="00F302A1" w:rsidP="00F302A1">
            <w:pPr>
              <w:spacing w:line="240" w:lineRule="auto"/>
              <w:contextualSpacing/>
              <w:rPr>
                <w:rFonts w:ascii="Cambria" w:eastAsia="Times New Roman" w:hAnsi="Cambria" w:cs="Arial"/>
                <w:b/>
                <w:sz w:val="22"/>
                <w:lang w:val="es-CR" w:eastAsia="es-ES"/>
              </w:rPr>
            </w:pPr>
            <w:r w:rsidRPr="007E4689">
              <w:rPr>
                <w:rFonts w:ascii="Cambria" w:eastAsia="Times New Roman" w:hAnsi="Cambria" w:cs="Arial"/>
                <w:b/>
                <w:sz w:val="22"/>
                <w:lang w:val="es-CR" w:eastAsia="es-ES"/>
              </w:rPr>
              <w:t>Considerando que,</w:t>
            </w:r>
          </w:p>
        </w:tc>
        <w:tc>
          <w:tcPr>
            <w:tcW w:w="4940" w:type="dxa"/>
          </w:tcPr>
          <w:p w14:paraId="1391414B" w14:textId="77777777" w:rsidR="00F302A1" w:rsidRPr="007E4689" w:rsidRDefault="00F302A1" w:rsidP="00F302A1">
            <w:pPr>
              <w:spacing w:line="240" w:lineRule="auto"/>
              <w:contextualSpacing/>
              <w:rPr>
                <w:rFonts w:ascii="Cambria" w:eastAsia="Times New Roman" w:hAnsi="Cambria" w:cs="Arial"/>
                <w:b/>
                <w:sz w:val="22"/>
                <w:lang w:val="es-CR" w:eastAsia="es-ES"/>
              </w:rPr>
            </w:pPr>
          </w:p>
        </w:tc>
        <w:tc>
          <w:tcPr>
            <w:tcW w:w="4940" w:type="dxa"/>
          </w:tcPr>
          <w:p w14:paraId="41B317B2" w14:textId="77777777" w:rsidR="00F302A1" w:rsidRPr="007E4689" w:rsidRDefault="00F302A1" w:rsidP="00F302A1">
            <w:pPr>
              <w:spacing w:line="240" w:lineRule="auto"/>
              <w:contextualSpacing/>
              <w:rPr>
                <w:rFonts w:ascii="Cambria" w:eastAsia="Times New Roman" w:hAnsi="Cambria" w:cs="Arial"/>
                <w:b/>
                <w:sz w:val="22"/>
                <w:lang w:val="es-CR" w:eastAsia="es-ES"/>
              </w:rPr>
            </w:pPr>
          </w:p>
        </w:tc>
        <w:tc>
          <w:tcPr>
            <w:tcW w:w="4940" w:type="dxa"/>
          </w:tcPr>
          <w:p w14:paraId="45F1833C" w14:textId="69B36786" w:rsidR="00F302A1" w:rsidRPr="007E4689" w:rsidRDefault="00F302A1" w:rsidP="00F302A1">
            <w:pPr>
              <w:spacing w:line="240" w:lineRule="auto"/>
              <w:contextualSpacing/>
              <w:rPr>
                <w:rFonts w:ascii="Cambria" w:eastAsia="Times New Roman" w:hAnsi="Cambria" w:cs="Arial"/>
                <w:b/>
                <w:sz w:val="22"/>
                <w:lang w:val="es-CR" w:eastAsia="es-ES"/>
              </w:rPr>
            </w:pPr>
            <w:r w:rsidRPr="007E4689">
              <w:rPr>
                <w:rFonts w:ascii="Cambria" w:eastAsia="Times New Roman" w:hAnsi="Cambria" w:cs="Arial"/>
                <w:b/>
                <w:sz w:val="22"/>
                <w:lang w:val="es-CR" w:eastAsia="es-ES"/>
              </w:rPr>
              <w:t>Considerando que,</w:t>
            </w:r>
          </w:p>
        </w:tc>
      </w:tr>
      <w:tr w:rsidR="00F302A1" w:rsidRPr="007E4689" w14:paraId="52C31059" w14:textId="4A2A47B7" w:rsidTr="729307E3">
        <w:tc>
          <w:tcPr>
            <w:tcW w:w="6147" w:type="dxa"/>
          </w:tcPr>
          <w:p w14:paraId="109582AE"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 xml:space="preserve">El artículo 33 de la </w:t>
            </w:r>
            <w:r w:rsidRPr="007E4689">
              <w:rPr>
                <w:rFonts w:ascii="Cambria" w:eastAsia="Times New Roman" w:hAnsi="Cambria" w:cs="Times New Roman"/>
                <w:i/>
                <w:sz w:val="22"/>
                <w:lang w:val="es-CR" w:eastAsia="es-ES"/>
              </w:rPr>
              <w:t>Ley N° 7523, Régimen Privado de Pensiones Complementarias,</w:t>
            </w:r>
            <w:r w:rsidRPr="007E4689">
              <w:rPr>
                <w:rFonts w:ascii="Cambria" w:eastAsia="Times New Roman" w:hAnsi="Cambria" w:cs="Times New Roman"/>
                <w:sz w:val="22"/>
                <w:lang w:val="es-CR" w:eastAsia="es-ES"/>
              </w:rPr>
              <w:t xml:space="preserve"> establece que la Superintendencia de Pensiones autorizará, regulará, supervisará y fiscalizará los planes, fondos y regímenes contemplados en esta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tc>
        <w:tc>
          <w:tcPr>
            <w:tcW w:w="4940" w:type="dxa"/>
          </w:tcPr>
          <w:p w14:paraId="448A6A97"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6EB07EAC"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530E1571" w14:textId="25321F65"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 xml:space="preserve">El artículo 33 de la </w:t>
            </w:r>
            <w:r w:rsidRPr="00CE2E9A">
              <w:rPr>
                <w:rFonts w:ascii="Cambria" w:eastAsia="Times New Roman" w:hAnsi="Cambria" w:cs="Times New Roman"/>
                <w:i/>
                <w:sz w:val="22"/>
                <w:lang w:val="es-CR" w:eastAsia="es-ES"/>
              </w:rPr>
              <w:t>Ley N° 7523, Régimen Privado de Pensiones Complementarias,</w:t>
            </w:r>
            <w:r w:rsidRPr="00CE2E9A">
              <w:rPr>
                <w:rFonts w:ascii="Cambria" w:eastAsia="Times New Roman" w:hAnsi="Cambria" w:cs="Times New Roman"/>
                <w:sz w:val="22"/>
                <w:lang w:val="es-CR" w:eastAsia="es-ES"/>
              </w:rPr>
              <w:t xml:space="preserve"> establece que la Superintendencia de Pensiones autorizará, regulará, supervisará y fiscalizará los planes, fondos y regímenes contemplados en esta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tc>
      </w:tr>
      <w:tr w:rsidR="00F302A1" w:rsidRPr="007E4689" w14:paraId="7E1E8280" w14:textId="46F6DD5B" w:rsidTr="729307E3">
        <w:tc>
          <w:tcPr>
            <w:tcW w:w="6147" w:type="dxa"/>
          </w:tcPr>
          <w:p w14:paraId="4EE3396A"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eastAsia="es-ES"/>
              </w:rPr>
            </w:pPr>
            <w:r w:rsidRPr="007E4689">
              <w:rPr>
                <w:rFonts w:ascii="Cambria" w:eastAsia="Times New Roman" w:hAnsi="Cambria" w:cs="Times New Roman"/>
                <w:sz w:val="22"/>
                <w:lang w:eastAsia="es-ES"/>
              </w:rPr>
              <w:t xml:space="preserve">El artículo 3 de la </w:t>
            </w:r>
            <w:r w:rsidRPr="007E4689">
              <w:rPr>
                <w:rFonts w:ascii="Cambria" w:eastAsia="Times New Roman" w:hAnsi="Cambria" w:cs="Times New Roman"/>
                <w:i/>
                <w:sz w:val="22"/>
                <w:lang w:eastAsia="es-ES"/>
              </w:rPr>
              <w:t>Ley N° 7983, Ley de Protección al Trabajador</w:t>
            </w:r>
            <w:r w:rsidRPr="007E4689">
              <w:rPr>
                <w:rFonts w:ascii="Cambria" w:eastAsia="Times New Roman" w:hAnsi="Cambria" w:cs="Times New Roman"/>
                <w:sz w:val="22"/>
                <w:lang w:eastAsia="es-ES"/>
              </w:rPr>
              <w:t xml:space="preserve">, establece que todo patrono, público o privado, aportará a un fondo de capitalización laboral (FCL) un uno punto cinco por ciento (1.5%) calculado sobre el salario </w:t>
            </w:r>
            <w:r w:rsidRPr="007E4689">
              <w:rPr>
                <w:rFonts w:ascii="Cambria" w:eastAsia="Times New Roman" w:hAnsi="Cambria" w:cs="Times New Roman"/>
                <w:sz w:val="22"/>
                <w:lang w:eastAsia="es-ES"/>
              </w:rPr>
              <w:lastRenderedPageBreak/>
              <w:t>mensual del trabajador, durante el tiempo que se mantenga la relación de trabajo y sin límite de años.</w:t>
            </w:r>
          </w:p>
        </w:tc>
        <w:tc>
          <w:tcPr>
            <w:tcW w:w="4940" w:type="dxa"/>
          </w:tcPr>
          <w:p w14:paraId="2BFC55DD" w14:textId="77777777" w:rsidR="00F302A1" w:rsidRPr="007E4689" w:rsidRDefault="00F302A1" w:rsidP="00F302A1">
            <w:pPr>
              <w:spacing w:line="240" w:lineRule="auto"/>
              <w:ind w:left="360"/>
              <w:contextualSpacing/>
              <w:jc w:val="both"/>
              <w:rPr>
                <w:rFonts w:ascii="Cambria" w:eastAsia="Times New Roman" w:hAnsi="Cambria" w:cs="Times New Roman"/>
                <w:sz w:val="22"/>
                <w:lang w:eastAsia="es-ES"/>
              </w:rPr>
            </w:pPr>
          </w:p>
        </w:tc>
        <w:tc>
          <w:tcPr>
            <w:tcW w:w="4940" w:type="dxa"/>
          </w:tcPr>
          <w:p w14:paraId="6EFC1BE3" w14:textId="77777777" w:rsidR="00F302A1" w:rsidRPr="007E4689" w:rsidRDefault="00F302A1" w:rsidP="00F302A1">
            <w:pPr>
              <w:spacing w:line="240" w:lineRule="auto"/>
              <w:ind w:left="360"/>
              <w:contextualSpacing/>
              <w:jc w:val="both"/>
              <w:rPr>
                <w:rFonts w:ascii="Cambria" w:eastAsia="Times New Roman" w:hAnsi="Cambria" w:cs="Times New Roman"/>
                <w:sz w:val="22"/>
                <w:lang w:eastAsia="es-ES"/>
              </w:rPr>
            </w:pPr>
          </w:p>
        </w:tc>
        <w:tc>
          <w:tcPr>
            <w:tcW w:w="4940" w:type="dxa"/>
          </w:tcPr>
          <w:p w14:paraId="0796B5F1" w14:textId="6C79350F"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eastAsia="es-ES"/>
              </w:rPr>
            </w:pPr>
            <w:r w:rsidRPr="00CE2E9A">
              <w:rPr>
                <w:rFonts w:ascii="Cambria" w:eastAsia="Times New Roman" w:hAnsi="Cambria" w:cs="Times New Roman"/>
                <w:sz w:val="22"/>
                <w:lang w:eastAsia="es-ES"/>
              </w:rPr>
              <w:t xml:space="preserve">El artículo 3 de la </w:t>
            </w:r>
            <w:r w:rsidRPr="00CE2E9A">
              <w:rPr>
                <w:rFonts w:ascii="Cambria" w:eastAsia="Times New Roman" w:hAnsi="Cambria" w:cs="Times New Roman"/>
                <w:i/>
                <w:sz w:val="22"/>
                <w:lang w:eastAsia="es-ES"/>
              </w:rPr>
              <w:t>Ley N° 7983, Ley de Protección al Trabajador</w:t>
            </w:r>
            <w:r w:rsidRPr="00CE2E9A">
              <w:rPr>
                <w:rFonts w:ascii="Cambria" w:eastAsia="Times New Roman" w:hAnsi="Cambria" w:cs="Times New Roman"/>
                <w:sz w:val="22"/>
                <w:lang w:eastAsia="es-ES"/>
              </w:rPr>
              <w:t xml:space="preserve">, establece que todo patrono, público o privado, aportará a un fondo de capitalización laboral (FCL) un uno punto cinco por ciento (1.5%) calculado sobre el salario </w:t>
            </w:r>
            <w:r w:rsidRPr="00CE2E9A">
              <w:rPr>
                <w:rFonts w:ascii="Cambria" w:eastAsia="Times New Roman" w:hAnsi="Cambria" w:cs="Times New Roman"/>
                <w:sz w:val="22"/>
                <w:lang w:eastAsia="es-ES"/>
              </w:rPr>
              <w:lastRenderedPageBreak/>
              <w:t>mensual del trabajador, durante el tiempo que se mantenga la relación de trabajo y sin límite de años.</w:t>
            </w:r>
          </w:p>
        </w:tc>
      </w:tr>
      <w:tr w:rsidR="00F302A1" w:rsidRPr="007E4689" w14:paraId="6293989E" w14:textId="6CCE0DE7" w:rsidTr="729307E3">
        <w:tc>
          <w:tcPr>
            <w:tcW w:w="6147" w:type="dxa"/>
          </w:tcPr>
          <w:p w14:paraId="20F498B8"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lastRenderedPageBreak/>
              <w:t xml:space="preserve">El artículo </w:t>
            </w:r>
            <w:bookmarkStart w:id="1" w:name="_Hlk181370138"/>
            <w:r w:rsidRPr="007E4689">
              <w:rPr>
                <w:rFonts w:ascii="Cambria" w:eastAsia="Times New Roman" w:hAnsi="Cambria" w:cs="Times New Roman"/>
                <w:sz w:val="22"/>
                <w:lang w:val="es-CR" w:eastAsia="es-ES"/>
              </w:rPr>
              <w:t>10 “Pago de recursos” del acuerdo SP-A-147, de las dieciséis horas del día siete de febrero del dos mil once</w:t>
            </w:r>
            <w:bookmarkEnd w:id="1"/>
            <w:r w:rsidRPr="007E4689">
              <w:rPr>
                <w:rFonts w:ascii="Cambria" w:eastAsia="Times New Roman" w:hAnsi="Cambria" w:cs="Times New Roman"/>
                <w:sz w:val="22"/>
                <w:lang w:val="es-CR" w:eastAsia="es-ES"/>
              </w:rPr>
              <w:t xml:space="preserve">, dispone que para realizar la entrega de los recursos de los afiliados que opten por el retiro de los recursos correspondientes al Fondo de Capitalización Laboral (FCL), las entidades autorizadas deberán poner a disposición de aquellos, al menos, los siguientes medios de pago: </w:t>
            </w:r>
          </w:p>
        </w:tc>
        <w:tc>
          <w:tcPr>
            <w:tcW w:w="4940" w:type="dxa"/>
          </w:tcPr>
          <w:p w14:paraId="7E1E5CC7"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0F1E2EFA"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37F837F3" w14:textId="615326A8"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 xml:space="preserve">El artículo 10 “Pago de recursos” del acuerdo SP-A-147, de las dieciséis horas del día siete de febrero del dos mil once, dispone que para realizar la entrega de los recursos de los afiliados que opten por el retiro de los recursos correspondientes al Fondo de Capitalización Laboral (FCL), las entidades autorizadas deberán poner a disposición de aquellos, al menos, los siguientes medios de pago: </w:t>
            </w:r>
          </w:p>
        </w:tc>
      </w:tr>
      <w:tr w:rsidR="00F302A1" w:rsidRPr="007E4689" w14:paraId="2C58B82A" w14:textId="46E83CBF" w:rsidTr="729307E3">
        <w:tc>
          <w:tcPr>
            <w:tcW w:w="6147" w:type="dxa"/>
          </w:tcPr>
          <w:p w14:paraId="78F6BA5F"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a.</w:t>
            </w:r>
            <w:r w:rsidRPr="007E4689">
              <w:rPr>
                <w:rFonts w:ascii="Cambria" w:eastAsia="Times New Roman" w:hAnsi="Cambria" w:cs="Times New Roman"/>
                <w:sz w:val="22"/>
                <w:lang w:val="es-CR" w:eastAsia="es-ES"/>
              </w:rPr>
              <w:tab/>
              <w:t>Transferencia electrónica a una cuenta del afiliado (cuenta cliente o cuenta bancaria).</w:t>
            </w:r>
          </w:p>
        </w:tc>
        <w:tc>
          <w:tcPr>
            <w:tcW w:w="4940" w:type="dxa"/>
          </w:tcPr>
          <w:p w14:paraId="652AE8AC"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21FC02D2"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566F3EB5" w14:textId="48413DB8"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a.</w:t>
            </w:r>
            <w:r w:rsidRPr="007E4689">
              <w:rPr>
                <w:rFonts w:ascii="Cambria" w:eastAsia="Times New Roman" w:hAnsi="Cambria" w:cs="Times New Roman"/>
                <w:sz w:val="22"/>
                <w:lang w:val="es-CR" w:eastAsia="es-ES"/>
              </w:rPr>
              <w:tab/>
              <w:t>Transferencia electrónica a una cuenta del afiliado (cuenta cliente o cuenta bancaria).</w:t>
            </w:r>
          </w:p>
        </w:tc>
      </w:tr>
      <w:tr w:rsidR="00F302A1" w:rsidRPr="007E4689" w14:paraId="5CF03435" w14:textId="04C57EFF" w:rsidTr="729307E3">
        <w:tc>
          <w:tcPr>
            <w:tcW w:w="6147" w:type="dxa"/>
          </w:tcPr>
          <w:p w14:paraId="629DDB3A"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b.</w:t>
            </w:r>
            <w:r w:rsidRPr="007E4689">
              <w:rPr>
                <w:rFonts w:ascii="Cambria" w:eastAsia="Times New Roman" w:hAnsi="Cambria" w:cs="Times New Roman"/>
                <w:sz w:val="22"/>
                <w:lang w:val="es-CR" w:eastAsia="es-ES"/>
              </w:rPr>
              <w:tab/>
              <w:t>Pago mediante cheque.</w:t>
            </w:r>
          </w:p>
        </w:tc>
        <w:tc>
          <w:tcPr>
            <w:tcW w:w="4940" w:type="dxa"/>
          </w:tcPr>
          <w:p w14:paraId="694F3902"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44B2AD92"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27A5BCED" w14:textId="625C5E05"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b.</w:t>
            </w:r>
            <w:r w:rsidRPr="007E4689">
              <w:rPr>
                <w:rFonts w:ascii="Cambria" w:eastAsia="Times New Roman" w:hAnsi="Cambria" w:cs="Times New Roman"/>
                <w:sz w:val="22"/>
                <w:lang w:val="es-CR" w:eastAsia="es-ES"/>
              </w:rPr>
              <w:tab/>
              <w:t>Pago mediante cheque.</w:t>
            </w:r>
          </w:p>
        </w:tc>
      </w:tr>
      <w:tr w:rsidR="00F302A1" w:rsidRPr="007E4689" w14:paraId="3AED7F70" w14:textId="45E0E6D7" w:rsidTr="729307E3">
        <w:tc>
          <w:tcPr>
            <w:tcW w:w="6147" w:type="dxa"/>
          </w:tcPr>
          <w:p w14:paraId="07C8BC53"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En lo que respecta al primero de dichos medios, se establece que la cuenta del afiliado en la cual se pueden depositar dichos recursos pueda ser a una cuenta que el afiliado tenga abierta en una entidad bancaria; o bien a una cuenta cliente que a diferencia de la anterior puede que no necesariamente corresponda a una entidad financiera regulada, si no a una empresa Proveedora de Servicios de Pago (PSP) afiliados al Sistema Nacional de Pagos Electrónicos (SINPE).</w:t>
            </w:r>
          </w:p>
        </w:tc>
        <w:tc>
          <w:tcPr>
            <w:tcW w:w="4940" w:type="dxa"/>
          </w:tcPr>
          <w:p w14:paraId="72E3F7AE"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7C8FA3C4"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60049D78" w14:textId="02B55654"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En lo que respecta al primero de dichos medios, se establece que la cuenta del afiliado en la cual se pueden depositar dichos recursos pueda ser a una cuenta que el afiliado tenga abierta en una entidad bancaria; o bien a una cuenta cliente que a diferencia de la anterior puede que no necesariamente corresponda a una entidad financiera regulada, si no a una empresa Proveedora de Servicios de Pago (PSP) afiliados al Sistema Nacional de Pagos Electrónicos (SINPE).</w:t>
            </w:r>
          </w:p>
        </w:tc>
      </w:tr>
      <w:tr w:rsidR="00F302A1" w:rsidRPr="007E4689" w14:paraId="1747BB00" w14:textId="12D914A3" w:rsidTr="729307E3">
        <w:tc>
          <w:tcPr>
            <w:tcW w:w="6147" w:type="dxa"/>
          </w:tcPr>
          <w:p w14:paraId="419F4C87"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 xml:space="preserve">Los PSP no son entidades financieras supervisadas, sin embargo el </w:t>
            </w:r>
            <w:r w:rsidRPr="007E4689">
              <w:rPr>
                <w:rFonts w:ascii="Cambria" w:eastAsia="Times New Roman" w:hAnsi="Cambria" w:cs="Times New Roman"/>
                <w:i/>
                <w:iCs/>
                <w:sz w:val="22"/>
                <w:lang w:val="es-CR" w:eastAsia="es-ES"/>
              </w:rPr>
              <w:t>“Reglamento del sistema de pagos”</w:t>
            </w:r>
            <w:r w:rsidRPr="007E4689">
              <w:rPr>
                <w:rStyle w:val="Refdenotaalpie"/>
                <w:rFonts w:ascii="Cambria" w:eastAsia="Times New Roman" w:hAnsi="Cambria" w:cs="Times New Roman"/>
                <w:i/>
                <w:iCs/>
                <w:sz w:val="22"/>
                <w:lang w:val="es-CR" w:eastAsia="es-ES"/>
              </w:rPr>
              <w:footnoteReference w:id="2"/>
            </w:r>
            <w:r w:rsidRPr="007E4689">
              <w:rPr>
                <w:rFonts w:ascii="Cambria" w:eastAsia="Times New Roman" w:hAnsi="Cambria" w:cs="Times New Roman"/>
                <w:sz w:val="22"/>
                <w:lang w:val="es-CR" w:eastAsia="es-ES"/>
              </w:rPr>
              <w:t xml:space="preserve"> les da la posibilidad de utilizar la plataforma tecnológica provista por el SINPE, para operar mediante lo que dicho reglamento denomina “cuentas de fondos” e incluso, permite la asignación de un número internacional de cuenta bancaria (IBAN, por sus siglas en inglés</w:t>
            </w:r>
            <w:r w:rsidRPr="007E4689">
              <w:rPr>
                <w:rStyle w:val="Refdenotaalpie"/>
                <w:rFonts w:ascii="Cambria" w:eastAsia="Times New Roman" w:hAnsi="Cambria" w:cs="Times New Roman"/>
                <w:sz w:val="22"/>
                <w:lang w:val="es-CR" w:eastAsia="es-ES"/>
              </w:rPr>
              <w:footnoteReference w:id="3"/>
            </w:r>
            <w:r w:rsidRPr="007E4689">
              <w:rPr>
                <w:rFonts w:ascii="Cambria" w:eastAsia="Times New Roman" w:hAnsi="Cambria" w:cs="Times New Roman"/>
                <w:sz w:val="22"/>
                <w:lang w:val="es-CR" w:eastAsia="es-ES"/>
              </w:rPr>
              <w:t>).</w:t>
            </w:r>
          </w:p>
        </w:tc>
        <w:tc>
          <w:tcPr>
            <w:tcW w:w="4940" w:type="dxa"/>
          </w:tcPr>
          <w:p w14:paraId="18B24CE6"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35B41FCD"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2CF97E2B" w14:textId="5C6ACBBA"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 xml:space="preserve">Los PSP no son entidades financieras supervisadas, sin embargo el </w:t>
            </w:r>
            <w:r w:rsidRPr="00CE2E9A">
              <w:rPr>
                <w:rFonts w:ascii="Cambria" w:eastAsia="Times New Roman" w:hAnsi="Cambria" w:cs="Times New Roman"/>
                <w:i/>
                <w:iCs/>
                <w:sz w:val="22"/>
                <w:lang w:val="es-CR" w:eastAsia="es-ES"/>
              </w:rPr>
              <w:t>“Reglamento del sistema de pagos”</w:t>
            </w:r>
            <w:r w:rsidRPr="007E4689">
              <w:rPr>
                <w:rStyle w:val="Refdenotaalpie"/>
                <w:rFonts w:ascii="Cambria" w:eastAsia="Times New Roman" w:hAnsi="Cambria" w:cs="Times New Roman"/>
                <w:i/>
                <w:iCs/>
                <w:sz w:val="22"/>
                <w:lang w:val="es-CR" w:eastAsia="es-ES"/>
              </w:rPr>
              <w:footnoteReference w:id="4"/>
            </w:r>
            <w:r w:rsidRPr="00CE2E9A">
              <w:rPr>
                <w:rFonts w:ascii="Cambria" w:eastAsia="Times New Roman" w:hAnsi="Cambria" w:cs="Times New Roman"/>
                <w:sz w:val="22"/>
                <w:lang w:val="es-CR" w:eastAsia="es-ES"/>
              </w:rPr>
              <w:t xml:space="preserve"> les da la posibilidad de utilizar la plataforma tecnológica provista por el SINPE, para operar mediante lo que dicho reglamento denomina “cuentas de fondos” e incluso, permite la asignación de un número internacional de cuenta bancaria (IBAN, por sus siglas en inglés</w:t>
            </w:r>
            <w:r w:rsidRPr="007E4689">
              <w:rPr>
                <w:rStyle w:val="Refdenotaalpie"/>
                <w:rFonts w:ascii="Cambria" w:eastAsia="Times New Roman" w:hAnsi="Cambria" w:cs="Times New Roman"/>
                <w:sz w:val="22"/>
                <w:lang w:val="es-CR" w:eastAsia="es-ES"/>
              </w:rPr>
              <w:footnoteReference w:id="5"/>
            </w:r>
            <w:r w:rsidRPr="00CE2E9A">
              <w:rPr>
                <w:rFonts w:ascii="Cambria" w:eastAsia="Times New Roman" w:hAnsi="Cambria" w:cs="Times New Roman"/>
                <w:sz w:val="22"/>
                <w:lang w:val="es-CR" w:eastAsia="es-ES"/>
              </w:rPr>
              <w:t>).</w:t>
            </w:r>
          </w:p>
        </w:tc>
      </w:tr>
      <w:tr w:rsidR="00F302A1" w:rsidRPr="007E4689" w14:paraId="36183805" w14:textId="38F40013" w:rsidTr="729307E3">
        <w:tc>
          <w:tcPr>
            <w:tcW w:w="6147" w:type="dxa"/>
          </w:tcPr>
          <w:p w14:paraId="6C488B63"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La situación descrita, representa un reto desde el punto de vista regulatorio y de cumplimiento, pues existe una limitación para los órganos de supervisión que les impide acceder a la información relativa a las transacciones de los PSP y por ende establecer una adecuada trazabilidad de dichas operaciones.</w:t>
            </w:r>
          </w:p>
        </w:tc>
        <w:tc>
          <w:tcPr>
            <w:tcW w:w="4940" w:type="dxa"/>
          </w:tcPr>
          <w:p w14:paraId="674B74B5"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1C77695F"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03B3A389" w14:textId="3EE564CD"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La situación descrita, representa un reto desde el punto de vista regulatorio y de cumplimiento, pues existe una limitación para los órganos de supervisión que les impide acceder a la información relativa a las transacciones de los PSP y por ende establecer una adecuada trazabilidad de dichas operaciones.</w:t>
            </w:r>
          </w:p>
        </w:tc>
      </w:tr>
      <w:tr w:rsidR="00F302A1" w:rsidRPr="007E4689" w14:paraId="4B8781AB" w14:textId="696A9026" w:rsidTr="729307E3">
        <w:tc>
          <w:tcPr>
            <w:tcW w:w="6147" w:type="dxa"/>
          </w:tcPr>
          <w:p w14:paraId="77387258" w14:textId="77777777" w:rsidR="00F302A1" w:rsidRPr="007E4689" w:rsidRDefault="00F302A1" w:rsidP="00F302A1">
            <w:pPr>
              <w:spacing w:line="240" w:lineRule="auto"/>
              <w:contextualSpacing/>
              <w:jc w:val="both"/>
              <w:rPr>
                <w:rFonts w:ascii="Cambria" w:eastAsia="Times New Roman" w:hAnsi="Cambria" w:cs="Times New Roman"/>
                <w:sz w:val="22"/>
                <w:lang w:eastAsia="es-ES"/>
              </w:rPr>
            </w:pPr>
            <w:r w:rsidRPr="007E4689">
              <w:rPr>
                <w:rFonts w:ascii="Cambria" w:eastAsia="Times New Roman" w:hAnsi="Cambria" w:cs="Times New Roman"/>
                <w:sz w:val="22"/>
                <w:lang w:val="es-CR" w:eastAsia="es-ES"/>
              </w:rPr>
              <w:t xml:space="preserve">Esta circunstancia le impide a la Superintendencia de Pensiones velar por los intereses de los afiliados al Fondo de Capitalización </w:t>
            </w:r>
            <w:r w:rsidRPr="007E4689">
              <w:rPr>
                <w:rFonts w:ascii="Cambria" w:eastAsia="Times New Roman" w:hAnsi="Cambria" w:cs="Times New Roman"/>
                <w:sz w:val="22"/>
                <w:lang w:val="es-CR" w:eastAsia="es-ES"/>
              </w:rPr>
              <w:lastRenderedPageBreak/>
              <w:t xml:space="preserve">Laboral, lo cual en última instancia es uno de sus fines primordiales. </w:t>
            </w:r>
          </w:p>
        </w:tc>
        <w:tc>
          <w:tcPr>
            <w:tcW w:w="4940" w:type="dxa"/>
          </w:tcPr>
          <w:p w14:paraId="7B780388"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636771E3" w14:textId="77777777" w:rsidR="00F302A1" w:rsidRPr="007E4689" w:rsidRDefault="00F302A1" w:rsidP="00F302A1">
            <w:pPr>
              <w:spacing w:line="240" w:lineRule="auto"/>
              <w:contextualSpacing/>
              <w:jc w:val="both"/>
              <w:rPr>
                <w:rFonts w:ascii="Cambria" w:eastAsia="Times New Roman" w:hAnsi="Cambria" w:cs="Times New Roman"/>
                <w:sz w:val="22"/>
                <w:lang w:val="es-CR" w:eastAsia="es-ES"/>
              </w:rPr>
            </w:pPr>
          </w:p>
        </w:tc>
        <w:tc>
          <w:tcPr>
            <w:tcW w:w="4940" w:type="dxa"/>
          </w:tcPr>
          <w:p w14:paraId="3828E5E9" w14:textId="4CBEA342" w:rsidR="00F302A1" w:rsidRPr="007E4689" w:rsidRDefault="00F302A1" w:rsidP="00F302A1">
            <w:p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 xml:space="preserve">Esta circunstancia le impide a la Superintendencia de Pensiones velar por los intereses de los afiliados </w:t>
            </w:r>
            <w:r w:rsidRPr="007E4689">
              <w:rPr>
                <w:rFonts w:ascii="Cambria" w:eastAsia="Times New Roman" w:hAnsi="Cambria" w:cs="Times New Roman"/>
                <w:sz w:val="22"/>
                <w:lang w:val="es-CR" w:eastAsia="es-ES"/>
              </w:rPr>
              <w:lastRenderedPageBreak/>
              <w:t xml:space="preserve">al Fondo de Capitalización Laboral, lo cual en última instancia es uno de sus fines primordiales. </w:t>
            </w:r>
          </w:p>
        </w:tc>
      </w:tr>
      <w:tr w:rsidR="00F302A1" w:rsidRPr="007E4689" w14:paraId="5D1DC6F5" w14:textId="6368599A" w:rsidTr="729307E3">
        <w:tc>
          <w:tcPr>
            <w:tcW w:w="6147" w:type="dxa"/>
          </w:tcPr>
          <w:p w14:paraId="2C0F2C28"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lastRenderedPageBreak/>
              <w:t xml:space="preserve">El panorama descrito llama la atención de la Superintendencia de Pensiones y ve con preocupación la utilización de cuentas de los PSP para el depósito por parte de las entidades autorizadas de los recursos correspondientes al FCL, al tratarse de organizaciones que no se encuentran sujetas a supervisión. </w:t>
            </w:r>
          </w:p>
        </w:tc>
        <w:tc>
          <w:tcPr>
            <w:tcW w:w="4940" w:type="dxa"/>
          </w:tcPr>
          <w:p w14:paraId="0FC185F8"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5656FCDC"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354244F5" w14:textId="6E81FE92"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 xml:space="preserve">El panorama descrito llama la atención de la Superintendencia de Pensiones y ve con preocupación la utilización de cuentas de los PSP para el depósito por parte de las entidades autorizadas de los recursos correspondientes al FCL, al tratarse de organizaciones que no se encuentran sujetas a supervisión. </w:t>
            </w:r>
          </w:p>
        </w:tc>
      </w:tr>
      <w:tr w:rsidR="00F302A1" w:rsidRPr="007E4689" w14:paraId="270A5235" w14:textId="7BF5A767" w:rsidTr="729307E3">
        <w:tc>
          <w:tcPr>
            <w:tcW w:w="6147" w:type="dxa"/>
          </w:tcPr>
          <w:p w14:paraId="259D852A"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En virtud de lo anterior y en protección de los afiliados, debe actualizarse y ajustarse la regulación relativa a la forma en que las entidades autorizadas deben tramitar y realizar la entrega de los recursos acumulados en las cuentas del Fondo de Capitalización Laboral, para cumplir con los propósitos para los que este beneficio fue creado.</w:t>
            </w:r>
          </w:p>
        </w:tc>
        <w:tc>
          <w:tcPr>
            <w:tcW w:w="4940" w:type="dxa"/>
          </w:tcPr>
          <w:p w14:paraId="1645BBBC"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0A40F56D"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1A241980" w14:textId="5EF2B2FB"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En virtud de lo anterior y en protección de los afiliados, debe actualizarse y ajustarse la regulación relativa a la forma en que las entidades autorizadas deben tramitar y realizar la entrega de los recursos acumulados en las cuentas del Fondo de Capitalización Laboral, para cumplir con los propósitos para los que este beneficio fue creado.</w:t>
            </w:r>
          </w:p>
        </w:tc>
      </w:tr>
      <w:tr w:rsidR="00F302A1" w:rsidRPr="007E4689" w14:paraId="760FCE6E" w14:textId="414245D0" w:rsidTr="729307E3">
        <w:tc>
          <w:tcPr>
            <w:tcW w:w="6147" w:type="dxa"/>
          </w:tcPr>
          <w:p w14:paraId="1C7600F7" w14:textId="77777777" w:rsidR="00F302A1" w:rsidRPr="007E4689" w:rsidRDefault="00F302A1" w:rsidP="00F302A1">
            <w:pPr>
              <w:numPr>
                <w:ilvl w:val="0"/>
                <w:numId w:val="1"/>
              </w:numPr>
              <w:spacing w:line="240" w:lineRule="auto"/>
              <w:contextualSpacing/>
              <w:jc w:val="both"/>
              <w:rPr>
                <w:rFonts w:ascii="Cambria" w:eastAsia="Times New Roman" w:hAnsi="Cambria" w:cs="Times New Roman"/>
                <w:sz w:val="22"/>
                <w:lang w:val="es-CR" w:eastAsia="es-ES"/>
              </w:rPr>
            </w:pPr>
            <w:r w:rsidRPr="007E4689">
              <w:rPr>
                <w:rFonts w:ascii="Cambria" w:eastAsia="Times New Roman" w:hAnsi="Cambria" w:cs="Times New Roman"/>
                <w:sz w:val="22"/>
                <w:lang w:val="es-CR" w:eastAsia="es-ES"/>
              </w:rPr>
              <w:t xml:space="preserve">De conformidad con lo previsto en el numeral 3, del artículo 361, de la Ley General de la Administración Pública, Ley 6227, se remite en consulta pública no vinculante, la presente propuesta de reforma, para que, dentro de un plazo de diez días hábiles, contado a partir del día siguiente a su publicación en el diario oficial La Gaceta, se remitan por escrito a la Superintendencia de Pensiones al correo electrónico </w:t>
            </w:r>
            <w:hyperlink r:id="rId30" w:history="1">
              <w:r w:rsidRPr="007E4689">
                <w:rPr>
                  <w:rStyle w:val="Hipervnculo"/>
                  <w:rFonts w:ascii="Cambria" w:eastAsia="Times New Roman" w:hAnsi="Cambria" w:cs="Times New Roman"/>
                  <w:sz w:val="22"/>
                  <w:lang w:val="es-CR" w:eastAsia="es-ES"/>
                </w:rPr>
                <w:t>supen@supen.fi.cr</w:t>
              </w:r>
            </w:hyperlink>
            <w:r w:rsidRPr="007E4689">
              <w:rPr>
                <w:rFonts w:ascii="Cambria" w:eastAsia="Times New Roman" w:hAnsi="Cambria" w:cs="Times New Roman"/>
                <w:sz w:val="22"/>
                <w:lang w:val="es-CR" w:eastAsia="es-ES"/>
              </w:rPr>
              <w:t>, los comentarios y observaciones, al siguiente texto:</w:t>
            </w:r>
          </w:p>
        </w:tc>
        <w:tc>
          <w:tcPr>
            <w:tcW w:w="4940" w:type="dxa"/>
          </w:tcPr>
          <w:p w14:paraId="75B201B0"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39DA0055" w14:textId="77777777" w:rsidR="00F302A1" w:rsidRPr="007E4689" w:rsidRDefault="00F302A1" w:rsidP="00F302A1">
            <w:pPr>
              <w:spacing w:line="240" w:lineRule="auto"/>
              <w:ind w:left="360"/>
              <w:contextualSpacing/>
              <w:jc w:val="both"/>
              <w:rPr>
                <w:rFonts w:ascii="Cambria" w:eastAsia="Times New Roman" w:hAnsi="Cambria" w:cs="Times New Roman"/>
                <w:sz w:val="22"/>
                <w:lang w:val="es-CR" w:eastAsia="es-ES"/>
              </w:rPr>
            </w:pPr>
          </w:p>
        </w:tc>
        <w:tc>
          <w:tcPr>
            <w:tcW w:w="4940" w:type="dxa"/>
          </w:tcPr>
          <w:p w14:paraId="267D24B7" w14:textId="04C4F52C" w:rsidR="00F302A1" w:rsidRPr="00CE2E9A" w:rsidRDefault="00F302A1" w:rsidP="00CE2E9A">
            <w:pPr>
              <w:pStyle w:val="Prrafodelista"/>
              <w:numPr>
                <w:ilvl w:val="0"/>
                <w:numId w:val="5"/>
              </w:numPr>
              <w:spacing w:line="240" w:lineRule="auto"/>
              <w:jc w:val="both"/>
              <w:rPr>
                <w:rFonts w:ascii="Cambria" w:eastAsia="Times New Roman" w:hAnsi="Cambria" w:cs="Times New Roman"/>
                <w:sz w:val="22"/>
                <w:lang w:val="es-CR" w:eastAsia="es-ES"/>
              </w:rPr>
            </w:pPr>
            <w:r w:rsidRPr="00CE2E9A">
              <w:rPr>
                <w:rFonts w:ascii="Cambria" w:eastAsia="Times New Roman" w:hAnsi="Cambria" w:cs="Times New Roman"/>
                <w:sz w:val="22"/>
                <w:lang w:val="es-CR" w:eastAsia="es-ES"/>
              </w:rPr>
              <w:t xml:space="preserve">De conformidad con lo previsto en el numeral 3, del artículo 361, de la Ley General de la Administración Pública, Ley 6227, se remite en consulta pública no vinculante, la presente propuesta de reforma, para que, dentro de un plazo de diez días hábiles, contado a partir del día siguiente a su publicación en el diario oficial La Gaceta, se remitan por escrito a la Superintendencia de Pensiones al correo electrónico </w:t>
            </w:r>
            <w:hyperlink r:id="rId31" w:history="1">
              <w:r w:rsidRPr="00CE2E9A">
                <w:rPr>
                  <w:rStyle w:val="Hipervnculo"/>
                  <w:rFonts w:ascii="Cambria" w:eastAsia="Times New Roman" w:hAnsi="Cambria" w:cs="Times New Roman"/>
                  <w:sz w:val="22"/>
                  <w:lang w:val="es-CR" w:eastAsia="es-ES"/>
                </w:rPr>
                <w:t>supen@supen.fi.cr</w:t>
              </w:r>
            </w:hyperlink>
            <w:r w:rsidRPr="00CE2E9A">
              <w:rPr>
                <w:rFonts w:ascii="Cambria" w:eastAsia="Times New Roman" w:hAnsi="Cambria" w:cs="Times New Roman"/>
                <w:sz w:val="22"/>
                <w:lang w:val="es-CR" w:eastAsia="es-ES"/>
              </w:rPr>
              <w:t>, los comentarios y observaciones, al siguiente texto:</w:t>
            </w:r>
          </w:p>
        </w:tc>
      </w:tr>
      <w:tr w:rsidR="00F302A1" w:rsidRPr="007E4689" w14:paraId="6DE0AC4D" w14:textId="40EB417E" w:rsidTr="729307E3">
        <w:tc>
          <w:tcPr>
            <w:tcW w:w="6147" w:type="dxa"/>
          </w:tcPr>
          <w:p w14:paraId="5B4E8211" w14:textId="77777777" w:rsidR="00F302A1" w:rsidRPr="007E4689" w:rsidRDefault="00F302A1" w:rsidP="00F302A1">
            <w:pPr>
              <w:spacing w:line="240" w:lineRule="auto"/>
              <w:contextualSpacing/>
              <w:jc w:val="center"/>
              <w:rPr>
                <w:rFonts w:ascii="Cambria" w:eastAsia="Times New Roman" w:hAnsi="Cambria" w:cs="Arial"/>
                <w:b/>
                <w:sz w:val="22"/>
                <w:lang w:val="es-CR" w:eastAsia="es-ES"/>
              </w:rPr>
            </w:pPr>
            <w:r w:rsidRPr="007E4689">
              <w:rPr>
                <w:rFonts w:ascii="Cambria" w:eastAsia="Times New Roman" w:hAnsi="Cambria" w:cs="Arial"/>
                <w:b/>
                <w:sz w:val="22"/>
                <w:lang w:val="es-CR" w:eastAsia="es-ES"/>
              </w:rPr>
              <w:t>Por tanto,</w:t>
            </w:r>
          </w:p>
        </w:tc>
        <w:tc>
          <w:tcPr>
            <w:tcW w:w="4940" w:type="dxa"/>
          </w:tcPr>
          <w:p w14:paraId="330E148E" w14:textId="77777777" w:rsidR="00F302A1" w:rsidRPr="007E4689" w:rsidRDefault="00F302A1" w:rsidP="00F302A1">
            <w:pPr>
              <w:spacing w:line="240" w:lineRule="auto"/>
              <w:contextualSpacing/>
              <w:jc w:val="center"/>
              <w:rPr>
                <w:rFonts w:ascii="Cambria" w:eastAsia="Times New Roman" w:hAnsi="Cambria" w:cs="Arial"/>
                <w:b/>
                <w:sz w:val="22"/>
                <w:lang w:val="es-CR" w:eastAsia="es-ES"/>
              </w:rPr>
            </w:pPr>
          </w:p>
        </w:tc>
        <w:tc>
          <w:tcPr>
            <w:tcW w:w="4940" w:type="dxa"/>
          </w:tcPr>
          <w:p w14:paraId="20915DC2" w14:textId="77777777" w:rsidR="00F302A1" w:rsidRPr="007E4689" w:rsidRDefault="00F302A1" w:rsidP="00F302A1">
            <w:pPr>
              <w:spacing w:line="240" w:lineRule="auto"/>
              <w:contextualSpacing/>
              <w:jc w:val="center"/>
              <w:rPr>
                <w:rFonts w:ascii="Cambria" w:eastAsia="Times New Roman" w:hAnsi="Cambria" w:cs="Arial"/>
                <w:b/>
                <w:sz w:val="22"/>
                <w:lang w:val="es-CR" w:eastAsia="es-ES"/>
              </w:rPr>
            </w:pPr>
          </w:p>
        </w:tc>
        <w:tc>
          <w:tcPr>
            <w:tcW w:w="4940" w:type="dxa"/>
          </w:tcPr>
          <w:p w14:paraId="1C3C45E2" w14:textId="40C1F7A3" w:rsidR="00F302A1" w:rsidRPr="007E4689" w:rsidRDefault="00F302A1" w:rsidP="00F302A1">
            <w:pPr>
              <w:spacing w:line="240" w:lineRule="auto"/>
              <w:contextualSpacing/>
              <w:jc w:val="center"/>
              <w:rPr>
                <w:rFonts w:ascii="Cambria" w:eastAsia="Times New Roman" w:hAnsi="Cambria" w:cs="Arial"/>
                <w:b/>
                <w:sz w:val="22"/>
                <w:lang w:val="es-CR" w:eastAsia="es-ES"/>
              </w:rPr>
            </w:pPr>
            <w:r w:rsidRPr="007E4689">
              <w:rPr>
                <w:rFonts w:ascii="Cambria" w:eastAsia="Times New Roman" w:hAnsi="Cambria" w:cs="Arial"/>
                <w:b/>
                <w:sz w:val="22"/>
                <w:lang w:val="es-CR" w:eastAsia="es-ES"/>
              </w:rPr>
              <w:t>Por tanto,</w:t>
            </w:r>
          </w:p>
        </w:tc>
      </w:tr>
      <w:tr w:rsidR="00F302A1" w:rsidRPr="007E4689" w14:paraId="332F5A43" w14:textId="35764BFA" w:rsidTr="729307E3">
        <w:tc>
          <w:tcPr>
            <w:tcW w:w="6147" w:type="dxa"/>
          </w:tcPr>
          <w:p w14:paraId="28C89CAD" w14:textId="77777777" w:rsidR="00F302A1" w:rsidRPr="007E4689" w:rsidRDefault="00F302A1" w:rsidP="00F302A1">
            <w:pPr>
              <w:spacing w:line="240" w:lineRule="auto"/>
              <w:contextualSpacing/>
              <w:jc w:val="both"/>
              <w:rPr>
                <w:rFonts w:ascii="Cambria" w:hAnsi="Cambria" w:cs="Times New Roman"/>
                <w:sz w:val="22"/>
              </w:rPr>
            </w:pPr>
            <w:r w:rsidRPr="007E4689">
              <w:rPr>
                <w:rFonts w:ascii="Cambria" w:hAnsi="Cambria" w:cs="Times New Roman"/>
                <w:sz w:val="22"/>
              </w:rPr>
              <w:t>Se reforma el artículo 10 “Pago de recursos” del acuerdo SP-A-147, de las dieciséis horas del día siete de febrero del dos mil once, para que en lo sucesivo se lea de la siguiente manera:</w:t>
            </w:r>
          </w:p>
        </w:tc>
        <w:tc>
          <w:tcPr>
            <w:tcW w:w="4940" w:type="dxa"/>
          </w:tcPr>
          <w:p w14:paraId="289C11B3" w14:textId="77777777" w:rsidR="00F302A1" w:rsidRPr="007E4689" w:rsidRDefault="00F302A1" w:rsidP="00F302A1">
            <w:pPr>
              <w:spacing w:line="240" w:lineRule="auto"/>
              <w:contextualSpacing/>
              <w:jc w:val="both"/>
              <w:rPr>
                <w:rFonts w:ascii="Cambria" w:hAnsi="Cambria" w:cs="Times New Roman"/>
                <w:sz w:val="22"/>
              </w:rPr>
            </w:pPr>
          </w:p>
        </w:tc>
        <w:tc>
          <w:tcPr>
            <w:tcW w:w="4940" w:type="dxa"/>
          </w:tcPr>
          <w:p w14:paraId="2D332B62" w14:textId="77777777" w:rsidR="00F302A1" w:rsidRPr="007E4689" w:rsidRDefault="00F302A1" w:rsidP="00F302A1">
            <w:pPr>
              <w:spacing w:line="240" w:lineRule="auto"/>
              <w:contextualSpacing/>
              <w:jc w:val="both"/>
              <w:rPr>
                <w:rFonts w:ascii="Cambria" w:hAnsi="Cambria" w:cs="Times New Roman"/>
                <w:sz w:val="22"/>
              </w:rPr>
            </w:pPr>
          </w:p>
        </w:tc>
        <w:tc>
          <w:tcPr>
            <w:tcW w:w="4940" w:type="dxa"/>
          </w:tcPr>
          <w:p w14:paraId="164D7FA1" w14:textId="55A13B0F" w:rsidR="00F302A1" w:rsidRPr="007E4689" w:rsidRDefault="00F302A1" w:rsidP="00F302A1">
            <w:pPr>
              <w:spacing w:line="240" w:lineRule="auto"/>
              <w:contextualSpacing/>
              <w:jc w:val="both"/>
              <w:rPr>
                <w:rFonts w:ascii="Cambria" w:hAnsi="Cambria" w:cs="Times New Roman"/>
                <w:sz w:val="22"/>
              </w:rPr>
            </w:pPr>
            <w:r w:rsidRPr="007E4689">
              <w:rPr>
                <w:rFonts w:ascii="Cambria" w:hAnsi="Cambria" w:cs="Times New Roman"/>
                <w:sz w:val="22"/>
              </w:rPr>
              <w:t>Se reforma el artículo 10 “Pago de recursos” del acuerdo SP-A-147, de las dieciséis horas del día siete de febrero del dos mil once, para que en lo sucesivo se lea de la siguiente manera:</w:t>
            </w:r>
          </w:p>
        </w:tc>
      </w:tr>
      <w:tr w:rsidR="00F302A1" w:rsidRPr="007E4689" w14:paraId="3E637E18" w14:textId="706D0682" w:rsidTr="729307E3">
        <w:tc>
          <w:tcPr>
            <w:tcW w:w="6147" w:type="dxa"/>
          </w:tcPr>
          <w:p w14:paraId="7B95D6EF" w14:textId="77777777" w:rsidR="00F302A1" w:rsidRPr="007E4689" w:rsidRDefault="00F302A1" w:rsidP="00F302A1">
            <w:pPr>
              <w:spacing w:line="240" w:lineRule="auto"/>
              <w:jc w:val="both"/>
              <w:rPr>
                <w:rFonts w:ascii="Cambria" w:eastAsia="Times New Roman" w:hAnsi="Cambria" w:cs="Times New Roman"/>
                <w:b/>
                <w:i/>
                <w:iCs/>
                <w:sz w:val="22"/>
                <w:lang w:eastAsia="es-ES"/>
              </w:rPr>
            </w:pPr>
            <w:r w:rsidRPr="007E4689">
              <w:rPr>
                <w:rFonts w:ascii="Cambria" w:eastAsia="Times New Roman" w:hAnsi="Cambria" w:cs="Times New Roman"/>
                <w:b/>
                <w:i/>
                <w:iCs/>
                <w:sz w:val="22"/>
                <w:lang w:eastAsia="es-ES"/>
              </w:rPr>
              <w:t xml:space="preserve">               10 Pago de recursos</w:t>
            </w:r>
          </w:p>
        </w:tc>
        <w:tc>
          <w:tcPr>
            <w:tcW w:w="4940" w:type="dxa"/>
          </w:tcPr>
          <w:p w14:paraId="76D9D07D" w14:textId="77777777" w:rsidR="00F302A1" w:rsidRPr="007E4689" w:rsidRDefault="00F302A1" w:rsidP="00F302A1">
            <w:pPr>
              <w:spacing w:line="240" w:lineRule="auto"/>
              <w:jc w:val="both"/>
              <w:rPr>
                <w:rFonts w:ascii="Cambria" w:eastAsia="Times New Roman" w:hAnsi="Cambria" w:cs="Times New Roman"/>
                <w:b/>
                <w:i/>
                <w:iCs/>
                <w:sz w:val="22"/>
                <w:lang w:eastAsia="es-ES"/>
              </w:rPr>
            </w:pPr>
          </w:p>
        </w:tc>
        <w:tc>
          <w:tcPr>
            <w:tcW w:w="4940" w:type="dxa"/>
          </w:tcPr>
          <w:p w14:paraId="34C9B4A6" w14:textId="77777777" w:rsidR="00F302A1" w:rsidRPr="007E4689" w:rsidRDefault="00F302A1" w:rsidP="00F302A1">
            <w:pPr>
              <w:spacing w:line="240" w:lineRule="auto"/>
              <w:jc w:val="both"/>
              <w:rPr>
                <w:rFonts w:ascii="Cambria" w:eastAsia="Times New Roman" w:hAnsi="Cambria" w:cs="Times New Roman"/>
                <w:b/>
                <w:i/>
                <w:iCs/>
                <w:sz w:val="22"/>
                <w:lang w:eastAsia="es-ES"/>
              </w:rPr>
            </w:pPr>
          </w:p>
        </w:tc>
        <w:tc>
          <w:tcPr>
            <w:tcW w:w="4940" w:type="dxa"/>
          </w:tcPr>
          <w:p w14:paraId="219F8DB5" w14:textId="760E94F3" w:rsidR="00F302A1" w:rsidRPr="007E4689" w:rsidRDefault="00F302A1" w:rsidP="00F302A1">
            <w:pPr>
              <w:spacing w:line="240" w:lineRule="auto"/>
              <w:jc w:val="both"/>
              <w:rPr>
                <w:rFonts w:ascii="Cambria" w:eastAsia="Times New Roman" w:hAnsi="Cambria" w:cs="Times New Roman"/>
                <w:b/>
                <w:i/>
                <w:iCs/>
                <w:sz w:val="22"/>
                <w:lang w:eastAsia="es-ES"/>
              </w:rPr>
            </w:pPr>
            <w:r w:rsidRPr="007E4689">
              <w:rPr>
                <w:rFonts w:ascii="Cambria" w:eastAsia="Times New Roman" w:hAnsi="Cambria" w:cs="Times New Roman"/>
                <w:b/>
                <w:i/>
                <w:iCs/>
                <w:sz w:val="22"/>
                <w:lang w:eastAsia="es-ES"/>
              </w:rPr>
              <w:t xml:space="preserve">               10 Pago de recursos</w:t>
            </w:r>
          </w:p>
        </w:tc>
      </w:tr>
      <w:tr w:rsidR="00F302A1" w:rsidRPr="007E4689" w14:paraId="53D61339" w14:textId="324DF99E" w:rsidTr="729307E3">
        <w:tc>
          <w:tcPr>
            <w:tcW w:w="6147" w:type="dxa"/>
          </w:tcPr>
          <w:p w14:paraId="11891ACE"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Para realizar la entrega de los recursos a los afiliados que opten por el retiro de los recursos, las entidades autorizadas deberán poner a disposición de aquellos, al menos, los siguientes medios de pago:</w:t>
            </w:r>
          </w:p>
        </w:tc>
        <w:tc>
          <w:tcPr>
            <w:tcW w:w="4940" w:type="dxa"/>
          </w:tcPr>
          <w:p w14:paraId="437FBA8A"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6B243E48"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746DF8A3" w14:textId="30740E3A"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Para realizar la entrega de los recursos a los afiliados que opten por el retiro de los recursos, las entidades autorizadas deberán poner a disposición de aquellos, al menos, los siguientes medios de pago:</w:t>
            </w:r>
          </w:p>
        </w:tc>
      </w:tr>
      <w:tr w:rsidR="00F302A1" w:rsidRPr="007E4689" w14:paraId="06D16E72" w14:textId="2D6086CD" w:rsidTr="729307E3">
        <w:tc>
          <w:tcPr>
            <w:tcW w:w="6147" w:type="dxa"/>
          </w:tcPr>
          <w:p w14:paraId="0AFC2984" w14:textId="77777777" w:rsidR="00F302A1" w:rsidRPr="007E4689" w:rsidRDefault="00F302A1" w:rsidP="00F302A1">
            <w:pPr>
              <w:numPr>
                <w:ilvl w:val="0"/>
                <w:numId w:val="2"/>
              </w:numPr>
              <w:spacing w:line="240" w:lineRule="auto"/>
              <w:contextualSpacing/>
              <w:jc w:val="both"/>
              <w:rPr>
                <w:rFonts w:ascii="Cambria" w:eastAsia="Times New Roman" w:hAnsi="Cambria" w:cs="Times New Roman"/>
                <w:i/>
                <w:iCs/>
                <w:sz w:val="22"/>
                <w:lang w:eastAsia="es-ES"/>
              </w:rPr>
            </w:pPr>
            <w:r w:rsidRPr="007E4689">
              <w:rPr>
                <w:rFonts w:ascii="Cambria" w:eastAsia="Times New Roman" w:hAnsi="Cambria" w:cs="Times New Roman"/>
                <w:i/>
                <w:iCs/>
                <w:sz w:val="22"/>
                <w:lang w:eastAsia="es-ES"/>
              </w:rPr>
              <w:t>Transferencia electrónica a una cuenta del afiliado en una entidad supervisada por la Superintendencia General de Entidades Financieras.</w:t>
            </w:r>
          </w:p>
        </w:tc>
        <w:tc>
          <w:tcPr>
            <w:tcW w:w="4940" w:type="dxa"/>
          </w:tcPr>
          <w:p w14:paraId="02C0CF5B" w14:textId="77777777" w:rsidR="00F302A1" w:rsidRPr="002E3F12" w:rsidRDefault="00F302A1" w:rsidP="00F302A1">
            <w:pPr>
              <w:spacing w:line="240" w:lineRule="auto"/>
              <w:contextualSpacing/>
              <w:jc w:val="both"/>
              <w:rPr>
                <w:rFonts w:eastAsia="Times New Roman" w:cs="Times New Roman"/>
                <w:b/>
                <w:bCs/>
                <w:sz w:val="22"/>
                <w:lang w:eastAsia="es-ES"/>
              </w:rPr>
            </w:pPr>
            <w:r w:rsidRPr="002E3F12">
              <w:rPr>
                <w:rFonts w:eastAsia="Times New Roman" w:cs="Times New Roman"/>
                <w:b/>
                <w:bCs/>
                <w:sz w:val="22"/>
                <w:lang w:eastAsia="es-ES"/>
              </w:rPr>
              <w:t xml:space="preserve">[CCSS OPC] </w:t>
            </w:r>
          </w:p>
          <w:p w14:paraId="4E7372B4" w14:textId="77777777" w:rsidR="00F302A1" w:rsidRPr="008C59D1" w:rsidRDefault="00F302A1" w:rsidP="00F302A1">
            <w:pPr>
              <w:spacing w:line="240" w:lineRule="auto"/>
              <w:jc w:val="both"/>
              <w:textAlignment w:val="baseline"/>
              <w:rPr>
                <w:rFonts w:eastAsia="Times New Roman" w:cs="Times New Roman"/>
                <w:sz w:val="22"/>
                <w:lang w:val="es-CR" w:eastAsia="es-CR"/>
              </w:rPr>
            </w:pPr>
            <w:r w:rsidRPr="008C59D1">
              <w:rPr>
                <w:rFonts w:eastAsia="Times New Roman" w:cs="Times New Roman"/>
                <w:sz w:val="22"/>
                <w:lang w:val="es-CR" w:eastAsia="es-CR"/>
              </w:rPr>
              <w:t>Al respecto, y el complemento al GG-012-25, le comento que hicimos una revisión del eventual impacto y encontramos una situación particular con la Asociación Solidarista de Empleados de la CCSS (ASECCSS) y es que muchos de los trabajadores de la CCSS tienen únicamente cuentas en ASECCSS y es justamente en varios casos esa cuenta la que proporcionan para el retiro del FCL por quinquenio.</w:t>
            </w:r>
          </w:p>
          <w:p w14:paraId="3E044CBE" w14:textId="77777777" w:rsidR="00F302A1" w:rsidRPr="008C59D1" w:rsidRDefault="00F302A1" w:rsidP="00F302A1">
            <w:pPr>
              <w:spacing w:line="240" w:lineRule="auto"/>
              <w:jc w:val="both"/>
              <w:textAlignment w:val="baseline"/>
              <w:rPr>
                <w:rFonts w:eastAsia="Times New Roman" w:cs="Times New Roman"/>
                <w:sz w:val="22"/>
                <w:lang w:val="es-CR" w:eastAsia="es-CR"/>
              </w:rPr>
            </w:pPr>
          </w:p>
          <w:p w14:paraId="4600D756" w14:textId="77777777" w:rsidR="00F302A1" w:rsidRPr="008C59D1" w:rsidRDefault="00F302A1" w:rsidP="00F302A1">
            <w:pPr>
              <w:spacing w:line="240" w:lineRule="auto"/>
              <w:jc w:val="both"/>
              <w:textAlignment w:val="baseline"/>
              <w:rPr>
                <w:rFonts w:eastAsia="Times New Roman" w:cs="Times New Roman"/>
                <w:sz w:val="22"/>
                <w:lang w:val="es-CR" w:eastAsia="es-CR"/>
              </w:rPr>
            </w:pPr>
            <w:r w:rsidRPr="008C59D1">
              <w:rPr>
                <w:rFonts w:eastAsia="Times New Roman" w:cs="Times New Roman"/>
                <w:sz w:val="22"/>
                <w:lang w:val="es-CR" w:eastAsia="es-CR"/>
              </w:rPr>
              <w:lastRenderedPageBreak/>
              <w:t>Dado lo anterior, solicitamos respetuosamente a su representada valorar incluir las cuentas de ASECCSS como parte de las autorizadas para el pago del FCL, esto porque ASECCSS no es precisamente una empresa Proveedora de Servicios de Pago (PSP), su mercado de afiliados está plenamente identificado (trabajadores de la CCSS y de la OPC-CCSS) y excluirla de la posibilidad de que sus cuentas sean usadas por sus afiliados para el pago del FCL podría generar molestias en afiliados.</w:t>
            </w:r>
          </w:p>
          <w:p w14:paraId="426E5FBA" w14:textId="77777777" w:rsidR="00F302A1" w:rsidRDefault="00F302A1" w:rsidP="00F302A1">
            <w:pPr>
              <w:spacing w:line="240" w:lineRule="auto"/>
              <w:jc w:val="both"/>
              <w:textAlignment w:val="baseline"/>
              <w:rPr>
                <w:rFonts w:eastAsia="Times New Roman" w:cs="Times New Roman"/>
                <w:sz w:val="22"/>
                <w:lang w:val="es-CR" w:eastAsia="es-CR"/>
              </w:rPr>
            </w:pPr>
            <w:r w:rsidRPr="008C59D1">
              <w:rPr>
                <w:rFonts w:eastAsia="Times New Roman" w:cs="Times New Roman"/>
                <w:sz w:val="22"/>
                <w:lang w:val="es-CR" w:eastAsia="es-CR"/>
              </w:rPr>
              <w:t xml:space="preserve">ASECCSS se encuentra debidamente supervisada por la Superintendencia General de Entidades Financieras (SUGEF) en relación con la normativa de Legitimación de Capitales, debido a que son oferentes de crédito.  Adjunto remito nota enviada por parte de ASECCSS para que sea considerada. Dado que el cambio normativo se encuentra en consulta, actualmente las cuentas bancarias en ASECCSS sí se aceptan para pagos vía transferencia del FCL. </w:t>
            </w:r>
          </w:p>
          <w:p w14:paraId="322CE3A6" w14:textId="77777777" w:rsidR="00F302A1" w:rsidRDefault="00F302A1" w:rsidP="00F302A1">
            <w:pPr>
              <w:spacing w:line="240" w:lineRule="auto"/>
              <w:jc w:val="both"/>
              <w:textAlignment w:val="baseline"/>
              <w:rPr>
                <w:rFonts w:eastAsia="Times New Roman" w:cs="Times New Roman"/>
                <w:sz w:val="22"/>
                <w:lang w:val="es-CR" w:eastAsia="es-CR"/>
              </w:rPr>
            </w:pPr>
          </w:p>
          <w:p w14:paraId="43310210" w14:textId="68F24986" w:rsidR="00F302A1" w:rsidRPr="008C59D1" w:rsidRDefault="00F302A1" w:rsidP="00F302A1">
            <w:pPr>
              <w:spacing w:line="240" w:lineRule="auto"/>
              <w:jc w:val="both"/>
              <w:textAlignment w:val="baseline"/>
              <w:rPr>
                <w:rFonts w:eastAsia="Times New Roman" w:cs="Times New Roman"/>
                <w:sz w:val="22"/>
                <w:lang w:val="es-CR" w:eastAsia="es-CR"/>
              </w:rPr>
            </w:pPr>
            <w:r>
              <w:rPr>
                <w:rFonts w:eastAsia="Times New Roman" w:cs="Times New Roman"/>
                <w:sz w:val="22"/>
                <w:lang w:val="es-CR" w:eastAsia="es-CR"/>
              </w:rPr>
              <w:object w:dxaOrig="1536" w:dyaOrig="998" w14:anchorId="31FB7A90">
                <v:shape id="_x0000_i1035" type="#_x0000_t75" style="width:76.8pt;height:49.9pt" o:ole="">
                  <v:imagedata r:id="rId32" o:title=""/>
                </v:shape>
                <o:OLEObject Type="Embed" ProgID="AcroExch.Document.DC" ShapeID="_x0000_i1035" DrawAspect="Icon" ObjectID="_1812374005" r:id="rId33"/>
              </w:object>
            </w:r>
          </w:p>
          <w:p w14:paraId="57772AF0" w14:textId="77777777" w:rsidR="00F302A1" w:rsidRPr="008C59D1" w:rsidRDefault="00F302A1" w:rsidP="00F302A1">
            <w:pPr>
              <w:spacing w:line="240" w:lineRule="auto"/>
              <w:contextualSpacing/>
              <w:jc w:val="both"/>
              <w:rPr>
                <w:rFonts w:ascii="Cambria" w:eastAsia="Times New Roman" w:hAnsi="Cambria" w:cs="Times New Roman"/>
                <w:b/>
                <w:bCs/>
                <w:sz w:val="22"/>
                <w:lang w:val="es-CR" w:eastAsia="es-ES"/>
              </w:rPr>
            </w:pPr>
          </w:p>
          <w:p w14:paraId="7AD0154E" w14:textId="6B0CED83" w:rsidR="00F302A1" w:rsidRPr="00661F6D" w:rsidRDefault="00F302A1" w:rsidP="00F302A1">
            <w:pPr>
              <w:spacing w:line="240" w:lineRule="auto"/>
              <w:contextualSpacing/>
              <w:jc w:val="both"/>
              <w:rPr>
                <w:rFonts w:ascii="Cambria" w:eastAsia="Times New Roman" w:hAnsi="Cambria" w:cs="Times New Roman"/>
                <w:b/>
                <w:bCs/>
                <w:sz w:val="22"/>
                <w:lang w:eastAsia="es-ES"/>
              </w:rPr>
            </w:pPr>
          </w:p>
        </w:tc>
        <w:tc>
          <w:tcPr>
            <w:tcW w:w="4940" w:type="dxa"/>
          </w:tcPr>
          <w:p w14:paraId="6A8677E0" w14:textId="5E7C84E7" w:rsidR="00F302A1" w:rsidRDefault="00F302A1" w:rsidP="00F302A1">
            <w:pPr>
              <w:spacing w:line="240" w:lineRule="auto"/>
              <w:contextualSpacing/>
              <w:jc w:val="both"/>
              <w:rPr>
                <w:rFonts w:ascii="Cambria" w:eastAsia="Times New Roman" w:hAnsi="Cambria" w:cs="Times New Roman"/>
                <w:b/>
                <w:bCs/>
                <w:sz w:val="22"/>
                <w:lang w:eastAsia="es-ES"/>
              </w:rPr>
            </w:pPr>
            <w:r>
              <w:rPr>
                <w:rFonts w:ascii="Cambria" w:eastAsia="Times New Roman" w:hAnsi="Cambria" w:cs="Times New Roman"/>
                <w:b/>
                <w:bCs/>
                <w:sz w:val="22"/>
                <w:lang w:eastAsia="es-ES"/>
              </w:rPr>
              <w:lastRenderedPageBreak/>
              <w:t>SE RECHAZA.</w:t>
            </w:r>
          </w:p>
          <w:p w14:paraId="061A418C" w14:textId="77777777" w:rsidR="00F302A1" w:rsidRDefault="00F302A1" w:rsidP="00F302A1">
            <w:pPr>
              <w:spacing w:line="240" w:lineRule="auto"/>
              <w:contextualSpacing/>
              <w:jc w:val="both"/>
              <w:rPr>
                <w:rFonts w:ascii="Cambria" w:eastAsia="Times New Roman" w:hAnsi="Cambria" w:cs="Times New Roman"/>
                <w:b/>
                <w:bCs/>
                <w:sz w:val="22"/>
                <w:lang w:eastAsia="es-ES"/>
              </w:rPr>
            </w:pPr>
          </w:p>
          <w:p w14:paraId="3ABDC347" w14:textId="4CD9FD83" w:rsidR="00F302A1" w:rsidRPr="00D9647B" w:rsidRDefault="00F302A1" w:rsidP="729307E3">
            <w:pPr>
              <w:spacing w:line="240" w:lineRule="auto"/>
              <w:contextualSpacing/>
              <w:jc w:val="both"/>
              <w:rPr>
                <w:rFonts w:ascii="Cambria" w:eastAsia="Times New Roman" w:hAnsi="Cambria" w:cs="Times New Roman"/>
                <w:b/>
                <w:bCs/>
                <w:sz w:val="22"/>
                <w:lang w:eastAsia="es-ES"/>
              </w:rPr>
            </w:pPr>
            <w:r w:rsidRPr="729307E3">
              <w:rPr>
                <w:rFonts w:ascii="Cambria" w:eastAsia="Times New Roman" w:hAnsi="Cambria" w:cs="Times New Roman"/>
                <w:sz w:val="22"/>
                <w:lang w:val="es-CR" w:eastAsia="es-ES"/>
              </w:rPr>
              <w:t>Si bien ASECCSS no es precisamente una empresa Proveedora de Servicios de Pago existe la misma limitación que ofrecen estas en cuanto</w:t>
            </w:r>
            <w:r w:rsidR="00EF7F96">
              <w:rPr>
                <w:rFonts w:ascii="Cambria" w:eastAsia="Times New Roman" w:hAnsi="Cambria" w:cs="Times New Roman"/>
                <w:sz w:val="22"/>
                <w:lang w:val="es-CR" w:eastAsia="es-ES"/>
              </w:rPr>
              <w:t xml:space="preserve"> a que</w:t>
            </w:r>
            <w:r w:rsidR="004C508F">
              <w:rPr>
                <w:rFonts w:ascii="Cambria" w:eastAsia="Times New Roman" w:hAnsi="Cambria" w:cs="Times New Roman"/>
                <w:sz w:val="22"/>
                <w:lang w:val="es-CR" w:eastAsia="es-ES"/>
              </w:rPr>
              <w:t xml:space="preserve"> </w:t>
            </w:r>
            <w:r w:rsidRPr="729307E3">
              <w:rPr>
                <w:rFonts w:ascii="Cambria" w:eastAsia="Times New Roman" w:hAnsi="Cambria" w:cs="Times New Roman"/>
                <w:sz w:val="22"/>
                <w:lang w:val="es-CR" w:eastAsia="es-ES"/>
              </w:rPr>
              <w:t>no es posible para los órganos de supervisión acceder a la información relativa a sus transacciones y por ende establecer una adecuada trazabilidad de dichas operaciones.</w:t>
            </w:r>
          </w:p>
        </w:tc>
        <w:tc>
          <w:tcPr>
            <w:tcW w:w="4940" w:type="dxa"/>
          </w:tcPr>
          <w:p w14:paraId="6B203991" w14:textId="55781001" w:rsidR="00F302A1" w:rsidRPr="003C628E" w:rsidRDefault="003C628E" w:rsidP="003C628E">
            <w:pPr>
              <w:spacing w:line="240" w:lineRule="auto"/>
              <w:jc w:val="both"/>
              <w:rPr>
                <w:rFonts w:ascii="Cambria" w:eastAsia="Times New Roman" w:hAnsi="Cambria" w:cs="Times New Roman"/>
                <w:i/>
                <w:iCs/>
                <w:sz w:val="22"/>
                <w:lang w:eastAsia="es-ES"/>
              </w:rPr>
            </w:pPr>
            <w:r>
              <w:rPr>
                <w:rFonts w:ascii="Cambria" w:eastAsia="Times New Roman" w:hAnsi="Cambria" w:cs="Times New Roman"/>
                <w:i/>
                <w:iCs/>
                <w:sz w:val="22"/>
                <w:lang w:eastAsia="es-ES"/>
              </w:rPr>
              <w:t xml:space="preserve">a. </w:t>
            </w:r>
            <w:r w:rsidR="00F302A1" w:rsidRPr="003C628E">
              <w:rPr>
                <w:rFonts w:ascii="Cambria" w:eastAsia="Times New Roman" w:hAnsi="Cambria" w:cs="Times New Roman"/>
                <w:i/>
                <w:iCs/>
                <w:sz w:val="22"/>
                <w:lang w:eastAsia="es-ES"/>
              </w:rPr>
              <w:t>Transferencia electrónica a una cuenta del afiliado en una entidad supervisada por la Superintendencia General de Entidades Financieras.</w:t>
            </w:r>
          </w:p>
        </w:tc>
      </w:tr>
      <w:tr w:rsidR="00F302A1" w:rsidRPr="007E4689" w14:paraId="69EBD2CB" w14:textId="4E4D5A60" w:rsidTr="729307E3">
        <w:tc>
          <w:tcPr>
            <w:tcW w:w="6147" w:type="dxa"/>
          </w:tcPr>
          <w:p w14:paraId="2B86B573" w14:textId="77777777" w:rsidR="00F302A1" w:rsidRPr="007E4689" w:rsidRDefault="00F302A1" w:rsidP="00F302A1">
            <w:pPr>
              <w:spacing w:line="240" w:lineRule="auto"/>
              <w:contextualSpacing/>
              <w:jc w:val="both"/>
              <w:rPr>
                <w:rFonts w:ascii="Cambria" w:eastAsia="Times New Roman" w:hAnsi="Cambria" w:cs="Times New Roman"/>
                <w:i/>
                <w:iCs/>
                <w:sz w:val="22"/>
                <w:lang w:eastAsia="es-ES"/>
              </w:rPr>
            </w:pPr>
          </w:p>
        </w:tc>
        <w:tc>
          <w:tcPr>
            <w:tcW w:w="4940" w:type="dxa"/>
          </w:tcPr>
          <w:p w14:paraId="005FB0C0" w14:textId="77777777" w:rsidR="005672B7" w:rsidRPr="00E05DEB" w:rsidRDefault="005672B7" w:rsidP="005672B7">
            <w:pPr>
              <w:autoSpaceDE w:val="0"/>
              <w:autoSpaceDN w:val="0"/>
              <w:adjustRightInd w:val="0"/>
              <w:jc w:val="both"/>
              <w:rPr>
                <w:rFonts w:ascii="Arial" w:hAnsi="Arial" w:cs="Arial"/>
                <w:b/>
                <w:bCs/>
                <w:lang w:eastAsia="es-ES"/>
              </w:rPr>
            </w:pPr>
            <w:r w:rsidRPr="00E05DEB">
              <w:rPr>
                <w:rFonts w:eastAsia="Times New Roman" w:cs="Times New Roman"/>
                <w:b/>
                <w:bCs/>
                <w:sz w:val="22"/>
                <w:lang w:eastAsia="es-ES"/>
              </w:rPr>
              <w:t xml:space="preserve">[CCSS OPC / </w:t>
            </w:r>
            <w:r w:rsidRPr="00E05DEB">
              <w:rPr>
                <w:rFonts w:ascii="Arial" w:hAnsi="Arial" w:cs="Arial"/>
                <w:b/>
                <w:bCs/>
                <w:color w:val="000000" w:themeColor="text1"/>
                <w:sz w:val="22"/>
                <w:lang w:eastAsia="es-ES"/>
              </w:rPr>
              <w:t>GG-144-2025</w:t>
            </w:r>
            <w:r w:rsidRPr="00E05DEB">
              <w:rPr>
                <w:rFonts w:eastAsia="Times New Roman" w:cs="Times New Roman"/>
                <w:b/>
                <w:bCs/>
                <w:sz w:val="22"/>
                <w:lang w:eastAsia="es-ES"/>
              </w:rPr>
              <w:t xml:space="preserve">] </w:t>
            </w:r>
          </w:p>
          <w:p w14:paraId="720C69AC" w14:textId="77777777" w:rsidR="005672B7" w:rsidRPr="008C59D1" w:rsidRDefault="005672B7" w:rsidP="005672B7">
            <w:pPr>
              <w:spacing w:line="240" w:lineRule="auto"/>
              <w:jc w:val="both"/>
              <w:textAlignment w:val="baseline"/>
              <w:rPr>
                <w:rFonts w:eastAsia="Times New Roman" w:cs="Times New Roman"/>
                <w:sz w:val="22"/>
                <w:lang w:val="es-CR" w:eastAsia="es-CR"/>
              </w:rPr>
            </w:pPr>
          </w:p>
          <w:p w14:paraId="613EE6F7" w14:textId="77777777" w:rsidR="005672B7" w:rsidRPr="0005685B" w:rsidRDefault="005672B7" w:rsidP="005672B7">
            <w:pPr>
              <w:spacing w:line="240" w:lineRule="auto"/>
              <w:contextualSpacing/>
              <w:jc w:val="both"/>
              <w:rPr>
                <w:rFonts w:ascii="Cambria" w:eastAsia="Times New Roman" w:hAnsi="Cambria" w:cs="Times New Roman"/>
                <w:sz w:val="22"/>
                <w:lang w:val="es-CR" w:eastAsia="es-ES"/>
              </w:rPr>
            </w:pPr>
            <w:r w:rsidRPr="0005685B">
              <w:rPr>
                <w:rFonts w:ascii="Cambria" w:eastAsia="Times New Roman" w:hAnsi="Cambria" w:cs="Times New Roman"/>
                <w:sz w:val="22"/>
                <w:lang w:val="es-CR" w:eastAsia="es-ES"/>
              </w:rPr>
              <w:t xml:space="preserve">Me permito referirme a la publicación en La Gaceta N.º 76 del martes 29 de abril del 2025, sobre la reforma del acuerdo del Superintendente SP-A-147-2011. Al respecto, mediante el GG-012-2025 del 13 de enero del 2025, esta Gerencia envió la respuesta al SP-1427-24 que corresponde a la propuesta de modificación al Artículo 10 del SP-A-147-2011 con las observaciones correspondientes. </w:t>
            </w:r>
          </w:p>
          <w:p w14:paraId="4B60621E" w14:textId="77777777" w:rsidR="005672B7" w:rsidRPr="0005685B" w:rsidRDefault="005672B7" w:rsidP="005672B7">
            <w:pPr>
              <w:spacing w:line="240" w:lineRule="auto"/>
              <w:contextualSpacing/>
              <w:jc w:val="both"/>
              <w:rPr>
                <w:rFonts w:ascii="Cambria" w:eastAsia="Times New Roman" w:hAnsi="Cambria" w:cs="Times New Roman"/>
                <w:sz w:val="22"/>
                <w:lang w:val="es-CR" w:eastAsia="es-ES"/>
              </w:rPr>
            </w:pPr>
            <w:r w:rsidRPr="0005685B">
              <w:rPr>
                <w:rFonts w:ascii="Cambria" w:eastAsia="Times New Roman" w:hAnsi="Cambria" w:cs="Times New Roman"/>
                <w:sz w:val="22"/>
                <w:lang w:val="es-CR" w:eastAsia="es-ES"/>
              </w:rPr>
              <w:t>En complemento, el 20 de enero del 2025 se remitió el GG-028-25 Información Complementaria al GG-012-25 en relación con Pagos del FCL a Cuentas de ASECCSS, donde se expuso el caso de las cuentas de la Asociación Solidarista de Empleados de la CCSS (ASECCSS) y es que muchos de los trabajadores de la CCSS tienen únicamente cuentas en ASECCSS, están plenamente identificados como dueños de la cuenta y es justamente en varios casos esa cuenta  la que proporcionan para el retiro del FCL por quinquenio.</w:t>
            </w:r>
          </w:p>
          <w:p w14:paraId="7B2DB011" w14:textId="77777777" w:rsidR="005672B7" w:rsidRPr="0005685B" w:rsidRDefault="005672B7" w:rsidP="005672B7">
            <w:pPr>
              <w:spacing w:line="240" w:lineRule="auto"/>
              <w:contextualSpacing/>
              <w:jc w:val="both"/>
              <w:rPr>
                <w:rFonts w:ascii="Cambria" w:eastAsia="Times New Roman" w:hAnsi="Cambria" w:cs="Times New Roman"/>
                <w:sz w:val="22"/>
                <w:lang w:val="es-CR" w:eastAsia="es-ES"/>
              </w:rPr>
            </w:pPr>
            <w:r w:rsidRPr="0005685B">
              <w:rPr>
                <w:rFonts w:ascii="Cambria" w:eastAsia="Times New Roman" w:hAnsi="Cambria" w:cs="Times New Roman"/>
                <w:sz w:val="22"/>
                <w:lang w:val="es-CR" w:eastAsia="es-ES"/>
              </w:rPr>
              <w:lastRenderedPageBreak/>
              <w:t xml:space="preserve">Al respecto, nuestra posición ya manifestada previamente, sigue siendo de apoyo a la reforma con el objetivo de buscar la protección de los recursos de afiliados. Asimismo, se sugirió muy respetuosamente, que la reforma se extienda también a los pagos del Régimen Obligatorio de Pensión Complementaria, pues los pensionados también merecen la misma protección de sus recursos. </w:t>
            </w:r>
          </w:p>
          <w:p w14:paraId="7F7DF0CF" w14:textId="77777777" w:rsidR="005672B7" w:rsidRPr="0005685B" w:rsidRDefault="005672B7" w:rsidP="005672B7">
            <w:pPr>
              <w:spacing w:line="240" w:lineRule="auto"/>
              <w:contextualSpacing/>
              <w:jc w:val="both"/>
              <w:rPr>
                <w:rFonts w:ascii="Cambria" w:eastAsia="Times New Roman" w:hAnsi="Cambria" w:cs="Times New Roman"/>
                <w:sz w:val="22"/>
                <w:lang w:val="es-CR" w:eastAsia="es-ES"/>
              </w:rPr>
            </w:pPr>
            <w:r w:rsidRPr="0005685B">
              <w:rPr>
                <w:rFonts w:ascii="Cambria" w:eastAsia="Times New Roman" w:hAnsi="Cambria" w:cs="Times New Roman"/>
                <w:sz w:val="22"/>
                <w:lang w:val="es-CR" w:eastAsia="es-ES"/>
              </w:rPr>
              <w:t>Dado lo anterior, solicitamos respetuosamente a la Superintendencia de Pensiones tomar en cuenta lo informado en ambos oficios remitidos.</w:t>
            </w:r>
          </w:p>
          <w:p w14:paraId="5460155C" w14:textId="77777777" w:rsidR="00F302A1" w:rsidRPr="005672B7"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4884585B" w14:textId="77777777" w:rsidR="0041437C" w:rsidRPr="0005685B" w:rsidRDefault="0041437C" w:rsidP="0041437C">
            <w:pPr>
              <w:spacing w:line="240" w:lineRule="auto"/>
              <w:contextualSpacing/>
              <w:jc w:val="both"/>
              <w:rPr>
                <w:rFonts w:ascii="Cambria" w:eastAsia="Times New Roman" w:hAnsi="Cambria" w:cs="Times New Roman"/>
                <w:b/>
                <w:bCs/>
                <w:sz w:val="22"/>
                <w:lang w:val="es-CR" w:eastAsia="es-ES"/>
              </w:rPr>
            </w:pPr>
            <w:r>
              <w:rPr>
                <w:rFonts w:ascii="Cambria" w:eastAsia="Times New Roman" w:hAnsi="Cambria" w:cs="Times New Roman"/>
                <w:b/>
                <w:bCs/>
                <w:sz w:val="22"/>
                <w:lang w:val="es-CR" w:eastAsia="es-ES"/>
              </w:rPr>
              <w:lastRenderedPageBreak/>
              <w:t>SE ACLARA</w:t>
            </w:r>
          </w:p>
          <w:p w14:paraId="2C824AF9" w14:textId="77777777" w:rsidR="0041437C" w:rsidRDefault="0041437C" w:rsidP="0041437C">
            <w:pPr>
              <w:spacing w:line="240" w:lineRule="auto"/>
              <w:contextualSpacing/>
              <w:jc w:val="both"/>
              <w:rPr>
                <w:rFonts w:ascii="Cambria" w:eastAsia="Times New Roman" w:hAnsi="Cambria" w:cs="Times New Roman"/>
                <w:b/>
                <w:bCs/>
                <w:sz w:val="22"/>
                <w:lang w:eastAsia="es-ES"/>
              </w:rPr>
            </w:pPr>
          </w:p>
          <w:p w14:paraId="1D83009C" w14:textId="77777777" w:rsidR="0041437C" w:rsidRDefault="0041437C" w:rsidP="0041437C">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En atención al primer punto de este oficio se reitera lo indicado arriba en el sentido de que:</w:t>
            </w:r>
          </w:p>
          <w:p w14:paraId="3798C99A" w14:textId="77777777" w:rsidR="0041437C" w:rsidRDefault="0041437C" w:rsidP="0041437C">
            <w:pPr>
              <w:spacing w:line="240" w:lineRule="auto"/>
              <w:contextualSpacing/>
              <w:jc w:val="both"/>
              <w:rPr>
                <w:rFonts w:ascii="Cambria" w:eastAsia="Times New Roman" w:hAnsi="Cambria" w:cs="Times New Roman"/>
                <w:i/>
                <w:iCs/>
                <w:sz w:val="22"/>
                <w:lang w:eastAsia="es-ES"/>
              </w:rPr>
            </w:pPr>
            <w:r w:rsidRPr="00B76D85">
              <w:rPr>
                <w:rFonts w:ascii="Cambria" w:eastAsia="Times New Roman" w:hAnsi="Cambria" w:cs="Times New Roman"/>
                <w:i/>
                <w:iCs/>
                <w:sz w:val="22"/>
                <w:lang w:eastAsia="es-ES"/>
              </w:rPr>
              <w:t>Si bien  ASECCSS no es precisamente una empresa Proveedora de Servicios de Pago existe la misma limitación que ofrecen estas en cuanto no es posible para los órganos de supervisión acceder a la información relativa a sus transacciones de los y por ende establecer una adecuada trazabilidad de dichas operaciones.</w:t>
            </w:r>
          </w:p>
          <w:p w14:paraId="37C0AF2F" w14:textId="77777777" w:rsidR="0041437C" w:rsidRDefault="0041437C" w:rsidP="0041437C">
            <w:pPr>
              <w:spacing w:line="240" w:lineRule="auto"/>
              <w:contextualSpacing/>
              <w:jc w:val="both"/>
              <w:rPr>
                <w:rFonts w:ascii="Cambria" w:eastAsia="Times New Roman" w:hAnsi="Cambria" w:cs="Times New Roman"/>
                <w:i/>
                <w:iCs/>
                <w:sz w:val="22"/>
                <w:lang w:eastAsia="es-ES"/>
              </w:rPr>
            </w:pPr>
            <w:r>
              <w:rPr>
                <w:rFonts w:ascii="Cambria" w:eastAsia="Times New Roman" w:hAnsi="Cambria" w:cs="Times New Roman"/>
                <w:sz w:val="22"/>
                <w:lang w:eastAsia="es-ES"/>
              </w:rPr>
              <w:t>En cuanto al segundo punto del presente oficio, relativo a que “</w:t>
            </w:r>
            <w:r w:rsidRPr="00916E20">
              <w:rPr>
                <w:rFonts w:ascii="Cambria" w:eastAsia="Times New Roman" w:hAnsi="Cambria" w:cs="Times New Roman"/>
                <w:i/>
                <w:iCs/>
                <w:sz w:val="22"/>
                <w:lang w:eastAsia="es-ES"/>
              </w:rPr>
              <w:t>la reforma se extienda también a los pagos del Régimen Obligatorio de Pensión Complementaria, pues los pensionados también merecen la misma protección de sus recursos.”</w:t>
            </w:r>
          </w:p>
          <w:p w14:paraId="7A76C371" w14:textId="77777777" w:rsidR="0041437C" w:rsidRDefault="0041437C" w:rsidP="0041437C">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Debe aclararse que lo indicado no forma parte del objeto del presente acuerdo ni tampoco del acuerdo que por el presente se pretenden modificar.</w:t>
            </w:r>
          </w:p>
          <w:p w14:paraId="34F7A7C8" w14:textId="36F1DA32" w:rsidR="0041437C" w:rsidRDefault="00FC02BA" w:rsidP="0041437C">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lastRenderedPageBreak/>
              <w:t>D</w:t>
            </w:r>
            <w:r w:rsidR="0041437C">
              <w:rPr>
                <w:rFonts w:ascii="Cambria" w:eastAsia="Times New Roman" w:hAnsi="Cambria" w:cs="Times New Roman"/>
                <w:sz w:val="22"/>
                <w:lang w:eastAsia="es-ES"/>
              </w:rPr>
              <w:t>ebe tomarse en cuenta que el SP-A-147, tiene como objeto establecer los medios de retiro del FCL por el cumplimiento del quinquenio.</w:t>
            </w:r>
          </w:p>
          <w:p w14:paraId="24085E56" w14:textId="47EA445D" w:rsidR="00F302A1" w:rsidRPr="007E4689" w:rsidRDefault="0041437C" w:rsidP="0041437C">
            <w:pPr>
              <w:spacing w:line="240" w:lineRule="auto"/>
              <w:contextualSpacing/>
              <w:jc w:val="both"/>
              <w:rPr>
                <w:rFonts w:ascii="Cambria" w:eastAsia="Times New Roman" w:hAnsi="Cambria" w:cs="Times New Roman"/>
                <w:i/>
                <w:iCs/>
                <w:sz w:val="22"/>
                <w:lang w:eastAsia="es-ES"/>
              </w:rPr>
            </w:pPr>
            <w:r>
              <w:rPr>
                <w:rFonts w:ascii="Cambria" w:eastAsia="Times New Roman" w:hAnsi="Cambria" w:cs="Times New Roman"/>
                <w:sz w:val="22"/>
                <w:lang w:eastAsia="es-ES"/>
              </w:rPr>
              <w:t>En este sentido se toma nota de lo solicitado para valorarlo en una futura reforma de este acuerdo o bien en la emisión de uno nuevo.</w:t>
            </w:r>
          </w:p>
        </w:tc>
        <w:tc>
          <w:tcPr>
            <w:tcW w:w="4940" w:type="dxa"/>
          </w:tcPr>
          <w:p w14:paraId="0890E188" w14:textId="77777777" w:rsidR="00F302A1" w:rsidRPr="007E4689" w:rsidRDefault="00F302A1" w:rsidP="00F302A1">
            <w:pPr>
              <w:spacing w:line="240" w:lineRule="auto"/>
              <w:contextualSpacing/>
              <w:jc w:val="both"/>
              <w:rPr>
                <w:rFonts w:ascii="Cambria" w:eastAsia="Times New Roman" w:hAnsi="Cambria" w:cs="Times New Roman"/>
                <w:i/>
                <w:iCs/>
                <w:sz w:val="22"/>
                <w:lang w:eastAsia="es-ES"/>
              </w:rPr>
            </w:pPr>
          </w:p>
        </w:tc>
      </w:tr>
      <w:tr w:rsidR="00AE01A9" w:rsidRPr="007E4689" w14:paraId="063DCE7A" w14:textId="77777777" w:rsidTr="729307E3">
        <w:tc>
          <w:tcPr>
            <w:tcW w:w="6147" w:type="dxa"/>
          </w:tcPr>
          <w:p w14:paraId="687E69A3" w14:textId="77777777" w:rsidR="00AE01A9" w:rsidRPr="007E4689" w:rsidRDefault="00AE01A9" w:rsidP="00F302A1">
            <w:pPr>
              <w:spacing w:line="240" w:lineRule="auto"/>
              <w:contextualSpacing/>
              <w:jc w:val="both"/>
              <w:rPr>
                <w:rFonts w:ascii="Cambria" w:eastAsia="Times New Roman" w:hAnsi="Cambria" w:cs="Times New Roman"/>
                <w:i/>
                <w:iCs/>
                <w:sz w:val="22"/>
                <w:lang w:eastAsia="es-ES"/>
              </w:rPr>
            </w:pPr>
          </w:p>
        </w:tc>
        <w:tc>
          <w:tcPr>
            <w:tcW w:w="4940" w:type="dxa"/>
          </w:tcPr>
          <w:p w14:paraId="4A11185A" w14:textId="77777777" w:rsidR="001416DC" w:rsidRDefault="001416DC" w:rsidP="0056783F">
            <w:pPr>
              <w:spacing w:line="240" w:lineRule="auto"/>
              <w:contextualSpacing/>
              <w:jc w:val="both"/>
              <w:rPr>
                <w:rFonts w:ascii="Cambria" w:eastAsia="Times New Roman" w:hAnsi="Cambria" w:cs="Times New Roman"/>
                <w:b/>
                <w:bCs/>
                <w:sz w:val="22"/>
                <w:lang w:eastAsia="es-ES"/>
              </w:rPr>
            </w:pPr>
            <w:r w:rsidRPr="008C0CD7">
              <w:rPr>
                <w:rFonts w:ascii="Cambria" w:eastAsia="Times New Roman" w:hAnsi="Cambria" w:cs="Times New Roman"/>
                <w:b/>
                <w:bCs/>
                <w:sz w:val="22"/>
                <w:lang w:eastAsia="es-ES"/>
              </w:rPr>
              <w:t xml:space="preserve">[POPULAR </w:t>
            </w:r>
            <w:r>
              <w:rPr>
                <w:rFonts w:ascii="Cambria" w:eastAsia="Times New Roman" w:hAnsi="Cambria" w:cs="Times New Roman"/>
                <w:b/>
                <w:bCs/>
                <w:sz w:val="22"/>
                <w:lang w:eastAsia="es-ES"/>
              </w:rPr>
              <w:t>OPC</w:t>
            </w:r>
            <w:r w:rsidRPr="008C0CD7">
              <w:rPr>
                <w:rFonts w:ascii="Cambria" w:eastAsia="Times New Roman" w:hAnsi="Cambria" w:cs="Times New Roman"/>
                <w:b/>
                <w:bCs/>
                <w:sz w:val="22"/>
                <w:lang w:eastAsia="es-ES"/>
              </w:rPr>
              <w:t>]</w:t>
            </w:r>
          </w:p>
          <w:p w14:paraId="23A0F093" w14:textId="77777777" w:rsidR="00AE01A9" w:rsidRDefault="00AE01A9" w:rsidP="0056783F">
            <w:pPr>
              <w:autoSpaceDE w:val="0"/>
              <w:autoSpaceDN w:val="0"/>
              <w:adjustRightInd w:val="0"/>
              <w:spacing w:line="240" w:lineRule="auto"/>
              <w:jc w:val="both"/>
              <w:rPr>
                <w:rFonts w:eastAsia="Times New Roman" w:cs="Times New Roman"/>
                <w:b/>
                <w:bCs/>
                <w:sz w:val="22"/>
                <w:lang w:eastAsia="es-ES"/>
              </w:rPr>
            </w:pPr>
          </w:p>
          <w:p w14:paraId="4FB3CDB5" w14:textId="77777777" w:rsidR="00000FED" w:rsidRPr="00000FED" w:rsidRDefault="00000FED" w:rsidP="0056783F">
            <w:pPr>
              <w:autoSpaceDE w:val="0"/>
              <w:autoSpaceDN w:val="0"/>
              <w:adjustRightInd w:val="0"/>
              <w:spacing w:line="240" w:lineRule="auto"/>
              <w:jc w:val="both"/>
              <w:rPr>
                <w:rFonts w:eastAsia="Times New Roman" w:cs="Times New Roman"/>
                <w:sz w:val="22"/>
                <w:lang w:eastAsia="es-ES"/>
              </w:rPr>
            </w:pPr>
            <w:r w:rsidRPr="00000FED">
              <w:rPr>
                <w:rFonts w:eastAsia="Times New Roman" w:cs="Times New Roman"/>
                <w:sz w:val="22"/>
                <w:lang w:eastAsia="es-ES"/>
              </w:rPr>
              <w:t>Se procedió a realizar una revisión de la modificación propuesta y se llegó a la conclusión de que no se presentan observaciones en cuanto al fondo de la reforma planteada, la cual se considera pertinente y alineada con el objetivo de fortalecer la protección de los recursos que los afiliados soliciten por concepto de Quinquenio en el Fondo de Capitalización Laboral y garantizar la trazabilidad de los pagos realizados a estos.</w:t>
            </w:r>
          </w:p>
          <w:p w14:paraId="3FE77AAF" w14:textId="77777777" w:rsidR="00000FED" w:rsidRPr="00000FED" w:rsidRDefault="00000FED" w:rsidP="0056783F">
            <w:pPr>
              <w:autoSpaceDE w:val="0"/>
              <w:autoSpaceDN w:val="0"/>
              <w:adjustRightInd w:val="0"/>
              <w:spacing w:line="240" w:lineRule="auto"/>
              <w:jc w:val="both"/>
              <w:rPr>
                <w:rFonts w:eastAsia="Times New Roman" w:cs="Times New Roman"/>
                <w:sz w:val="22"/>
                <w:lang w:eastAsia="es-ES"/>
              </w:rPr>
            </w:pPr>
            <w:r w:rsidRPr="00000FED">
              <w:rPr>
                <w:rFonts w:eastAsia="Times New Roman" w:cs="Times New Roman"/>
                <w:sz w:val="22"/>
                <w:lang w:eastAsia="es-ES"/>
              </w:rPr>
              <w:t>En línea con lo anterior, nos parece importante, que se considere la posibilidad de incorporar esta forma de mitigar los riesgos, extendiendo esta medida a los otros tipos de pago de los retiros de FCL, del Régimen Obligatorio de Pensión Complementaria y de los Fondos Voluntarios administrados por las Operadoras.</w:t>
            </w:r>
          </w:p>
          <w:p w14:paraId="54A791F7" w14:textId="2E5A74ED" w:rsidR="00000FED" w:rsidRPr="00E05DEB" w:rsidRDefault="00000FED" w:rsidP="0056783F">
            <w:pPr>
              <w:autoSpaceDE w:val="0"/>
              <w:autoSpaceDN w:val="0"/>
              <w:adjustRightInd w:val="0"/>
              <w:spacing w:line="240" w:lineRule="auto"/>
              <w:jc w:val="both"/>
              <w:rPr>
                <w:rFonts w:eastAsia="Times New Roman" w:cs="Times New Roman"/>
                <w:b/>
                <w:bCs/>
                <w:sz w:val="22"/>
                <w:lang w:eastAsia="es-ES"/>
              </w:rPr>
            </w:pPr>
            <w:r w:rsidRPr="00000FED">
              <w:rPr>
                <w:rFonts w:eastAsia="Times New Roman" w:cs="Times New Roman"/>
                <w:sz w:val="22"/>
                <w:lang w:eastAsia="es-ES"/>
              </w:rPr>
              <w:t>Adicionalmente, consideramos importante que se aclare la fuente del listado donde se identificaran las entidades Supervisadas por la Superintendencia General de Entidades Financieras ya que, en los considerandos de la propuesta, solo se mencionan los Proveedores de Servicios de Pago (PSP), sin embargo, existen otras entidades que están autorizadas a nivel de SINPE y no están incluidas como entidades Supervisadas en el listado publicado por Superintendencia General de Entidades Financieras.</w:t>
            </w:r>
          </w:p>
        </w:tc>
        <w:tc>
          <w:tcPr>
            <w:tcW w:w="4940" w:type="dxa"/>
          </w:tcPr>
          <w:p w14:paraId="0842D1EA" w14:textId="77777777" w:rsidR="0056783F" w:rsidRDefault="0056783F" w:rsidP="0056783F">
            <w:pPr>
              <w:spacing w:line="240" w:lineRule="auto"/>
              <w:contextualSpacing/>
              <w:jc w:val="both"/>
              <w:rPr>
                <w:rFonts w:ascii="Cambria" w:eastAsia="Times New Roman" w:hAnsi="Cambria" w:cs="Times New Roman"/>
                <w:b/>
                <w:bCs/>
                <w:sz w:val="22"/>
                <w:lang w:eastAsia="es-ES"/>
              </w:rPr>
            </w:pPr>
            <w:r w:rsidRPr="008C0CD7">
              <w:rPr>
                <w:rFonts w:ascii="Cambria" w:eastAsia="Times New Roman" w:hAnsi="Cambria" w:cs="Times New Roman"/>
                <w:b/>
                <w:bCs/>
                <w:sz w:val="22"/>
                <w:lang w:eastAsia="es-ES"/>
              </w:rPr>
              <w:t>SE ACLARA</w:t>
            </w:r>
          </w:p>
          <w:p w14:paraId="067BBC0D" w14:textId="77777777" w:rsidR="0056783F" w:rsidRDefault="0056783F" w:rsidP="0056783F">
            <w:pPr>
              <w:spacing w:line="240" w:lineRule="auto"/>
              <w:contextualSpacing/>
              <w:jc w:val="both"/>
              <w:rPr>
                <w:rFonts w:ascii="Cambria" w:eastAsia="Times New Roman" w:hAnsi="Cambria" w:cs="Times New Roman"/>
                <w:b/>
                <w:bCs/>
                <w:sz w:val="22"/>
                <w:lang w:eastAsia="es-ES"/>
              </w:rPr>
            </w:pPr>
          </w:p>
          <w:p w14:paraId="53EA017C" w14:textId="145054CB" w:rsidR="0056783F" w:rsidRDefault="0056783F" w:rsidP="0056783F">
            <w:pPr>
              <w:spacing w:line="240" w:lineRule="auto"/>
              <w:contextualSpacing/>
              <w:jc w:val="both"/>
              <w:rPr>
                <w:rFonts w:ascii="Cambria" w:eastAsia="Times New Roman" w:hAnsi="Cambria" w:cs="Times New Roman"/>
                <w:i/>
                <w:iCs/>
                <w:sz w:val="22"/>
                <w:lang w:eastAsia="es-ES"/>
              </w:rPr>
            </w:pPr>
            <w:r>
              <w:rPr>
                <w:rFonts w:ascii="Cambria" w:eastAsia="Times New Roman" w:hAnsi="Cambria" w:cs="Times New Roman"/>
                <w:sz w:val="22"/>
                <w:lang w:eastAsia="es-ES"/>
              </w:rPr>
              <w:t>En cuanto a la primera observación del presente oficio, relativo a que “</w:t>
            </w:r>
            <w:r w:rsidRPr="00566501">
              <w:rPr>
                <w:rFonts w:ascii="Cambria" w:eastAsia="Times New Roman" w:hAnsi="Cambria" w:cs="Times New Roman"/>
                <w:i/>
                <w:iCs/>
                <w:sz w:val="22"/>
                <w:lang w:eastAsia="es-ES"/>
              </w:rPr>
              <w:t>nos parece importante, que se considere la posibilidad de incorporar esta forma de mitigar los riesgos, extendiendo esta medida a los otros tipos de pago de los retiros de FCL, del Régimen Obligatorio de Pensión Complementaria y de los Fondos Voluntarios administrados por las Operadoras</w:t>
            </w:r>
            <w:r w:rsidRPr="00916E20">
              <w:rPr>
                <w:rFonts w:ascii="Cambria" w:eastAsia="Times New Roman" w:hAnsi="Cambria" w:cs="Times New Roman"/>
                <w:i/>
                <w:iCs/>
                <w:sz w:val="22"/>
                <w:lang w:eastAsia="es-ES"/>
              </w:rPr>
              <w:t>.”</w:t>
            </w:r>
          </w:p>
          <w:p w14:paraId="037CBF9E" w14:textId="77777777" w:rsidR="0056783F" w:rsidRDefault="0056783F" w:rsidP="0056783F">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Debe aclararse que lo indicado no forma parte del objeto del presente acuerdo ni tampoco del acuerdo que por el presente se pretenden modificar.</w:t>
            </w:r>
          </w:p>
          <w:p w14:paraId="32D12E9C" w14:textId="77777777" w:rsidR="0056783F" w:rsidRDefault="0056783F" w:rsidP="0056783F">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Debe tomarse en cuenta que el SP-A-147, tiene como objeto establecer los medios de retiro del FCL por el cumplimiento del quinquenio.</w:t>
            </w:r>
          </w:p>
          <w:p w14:paraId="7F7D3EBB" w14:textId="230E40C7" w:rsidR="0056783F" w:rsidRDefault="0056783F" w:rsidP="0056783F">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En este sentido se toma nota de lo solicitado para valorarlo en una futura reforma de este acuerdo o bien en la emisión de uno nuevo.</w:t>
            </w:r>
          </w:p>
          <w:p w14:paraId="63493D41" w14:textId="77777777" w:rsidR="0056783F" w:rsidRDefault="0056783F" w:rsidP="0056783F">
            <w:pPr>
              <w:spacing w:line="240" w:lineRule="auto"/>
              <w:contextualSpacing/>
              <w:jc w:val="both"/>
              <w:rPr>
                <w:rFonts w:ascii="Cambria" w:eastAsia="Times New Roman" w:hAnsi="Cambria" w:cs="Times New Roman"/>
                <w:sz w:val="22"/>
                <w:lang w:eastAsia="es-ES"/>
              </w:rPr>
            </w:pPr>
            <w:r>
              <w:rPr>
                <w:rFonts w:ascii="Cambria" w:eastAsia="Times New Roman" w:hAnsi="Cambria" w:cs="Times New Roman"/>
                <w:sz w:val="22"/>
                <w:lang w:eastAsia="es-ES"/>
              </w:rPr>
              <w:t>En cuanto a la segunda observación, la cual indica:</w:t>
            </w:r>
          </w:p>
          <w:p w14:paraId="58B10F02" w14:textId="77777777" w:rsidR="0056783F" w:rsidRDefault="0056783F" w:rsidP="0056783F">
            <w:pPr>
              <w:spacing w:line="240" w:lineRule="auto"/>
              <w:contextualSpacing/>
              <w:jc w:val="both"/>
              <w:rPr>
                <w:rFonts w:ascii="Cambria" w:eastAsia="Times New Roman" w:hAnsi="Cambria" w:cs="Times New Roman"/>
                <w:i/>
                <w:iCs/>
                <w:sz w:val="22"/>
                <w:lang w:eastAsia="es-ES"/>
              </w:rPr>
            </w:pPr>
            <w:r w:rsidRPr="00300DB7">
              <w:rPr>
                <w:rFonts w:ascii="Cambria" w:eastAsia="Times New Roman" w:hAnsi="Cambria" w:cs="Times New Roman"/>
                <w:i/>
                <w:iCs/>
                <w:sz w:val="22"/>
                <w:lang w:eastAsia="es-ES"/>
              </w:rPr>
              <w:t>“</w:t>
            </w:r>
            <w:r w:rsidRPr="00300DB7">
              <w:rPr>
                <w:rFonts w:ascii="Cambria" w:eastAsia="Times New Roman" w:hAnsi="Cambria" w:cs="Times New Roman"/>
                <w:i/>
                <w:iCs/>
                <w:sz w:val="22"/>
                <w:lang w:val="es-CR" w:eastAsia="es-ES"/>
              </w:rPr>
              <w:t>consideramos importante que se aclare la fuente del listado donde se identificaran las entidades Supervisadas por la Superintendencia General de Entidades Financieras ya que, en los considerandos de la propuesta, solo se mencionan los Proveedores de Servicios de Pago (PSP), sin embargo, existen otras entidades que están autorizadas a nivel de SINPE y no están incluidas como entidades Supervisadas en el listado publicado por Superintendencia General de Entidades Financieras.</w:t>
            </w:r>
            <w:r w:rsidRPr="00300DB7">
              <w:rPr>
                <w:rFonts w:ascii="Cambria" w:eastAsia="Times New Roman" w:hAnsi="Cambria" w:cs="Times New Roman"/>
                <w:i/>
                <w:iCs/>
                <w:sz w:val="22"/>
                <w:lang w:eastAsia="es-ES"/>
              </w:rPr>
              <w:t>”</w:t>
            </w:r>
          </w:p>
          <w:p w14:paraId="726AF5E4" w14:textId="77777777" w:rsidR="0056783F" w:rsidRPr="0006090B" w:rsidRDefault="0056783F" w:rsidP="0056783F">
            <w:pPr>
              <w:spacing w:line="240" w:lineRule="auto"/>
              <w:contextualSpacing/>
              <w:jc w:val="both"/>
              <w:rPr>
                <w:rFonts w:ascii="Cambria" w:eastAsia="Times New Roman" w:hAnsi="Cambria" w:cs="Times New Roman"/>
                <w:sz w:val="22"/>
                <w:lang w:val="es-CR" w:eastAsia="es-ES"/>
              </w:rPr>
            </w:pPr>
            <w:r>
              <w:rPr>
                <w:rFonts w:ascii="Cambria" w:eastAsia="Times New Roman" w:hAnsi="Cambria" w:cs="Times New Roman"/>
                <w:sz w:val="22"/>
                <w:lang w:eastAsia="es-ES"/>
              </w:rPr>
              <w:t xml:space="preserve">En este sentido el objeto de la presente reforma es limitar el uso de las cuentas únicamente a aquellas </w:t>
            </w:r>
            <w:r>
              <w:rPr>
                <w:rFonts w:ascii="Cambria" w:eastAsia="Times New Roman" w:hAnsi="Cambria" w:cs="Times New Roman"/>
                <w:sz w:val="22"/>
                <w:lang w:eastAsia="es-ES"/>
              </w:rPr>
              <w:lastRenderedPageBreak/>
              <w:t>que pertenezcan a entidades supervisadas por SUGEF.</w:t>
            </w:r>
          </w:p>
          <w:p w14:paraId="3B97A552" w14:textId="77777777" w:rsidR="00AE01A9" w:rsidRDefault="00AE01A9" w:rsidP="0041437C">
            <w:pPr>
              <w:spacing w:line="240" w:lineRule="auto"/>
              <w:contextualSpacing/>
              <w:jc w:val="both"/>
              <w:rPr>
                <w:rFonts w:ascii="Cambria" w:eastAsia="Times New Roman" w:hAnsi="Cambria" w:cs="Times New Roman"/>
                <w:b/>
                <w:bCs/>
                <w:sz w:val="22"/>
                <w:lang w:val="es-CR" w:eastAsia="es-ES"/>
              </w:rPr>
            </w:pPr>
          </w:p>
        </w:tc>
        <w:tc>
          <w:tcPr>
            <w:tcW w:w="4940" w:type="dxa"/>
          </w:tcPr>
          <w:p w14:paraId="43AE068B" w14:textId="77777777" w:rsidR="00AE01A9" w:rsidRPr="007E4689" w:rsidRDefault="00AE01A9" w:rsidP="00F302A1">
            <w:pPr>
              <w:spacing w:line="240" w:lineRule="auto"/>
              <w:contextualSpacing/>
              <w:jc w:val="both"/>
              <w:rPr>
                <w:rFonts w:ascii="Cambria" w:eastAsia="Times New Roman" w:hAnsi="Cambria" w:cs="Times New Roman"/>
                <w:i/>
                <w:iCs/>
                <w:sz w:val="22"/>
                <w:lang w:eastAsia="es-ES"/>
              </w:rPr>
            </w:pPr>
          </w:p>
        </w:tc>
      </w:tr>
      <w:tr w:rsidR="00F302A1" w:rsidRPr="007E4689" w14:paraId="5B4D9C81" w14:textId="3928CAEA" w:rsidTr="729307E3">
        <w:tc>
          <w:tcPr>
            <w:tcW w:w="6147" w:type="dxa"/>
          </w:tcPr>
          <w:p w14:paraId="1702A3AB" w14:textId="77777777" w:rsidR="00F302A1" w:rsidRPr="007E4689" w:rsidRDefault="00F302A1" w:rsidP="00F302A1">
            <w:pPr>
              <w:numPr>
                <w:ilvl w:val="0"/>
                <w:numId w:val="2"/>
              </w:num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Pago mediante cheque girado a nombre del afiliado.</w:t>
            </w:r>
          </w:p>
        </w:tc>
        <w:tc>
          <w:tcPr>
            <w:tcW w:w="4940" w:type="dxa"/>
          </w:tcPr>
          <w:p w14:paraId="43D319E6" w14:textId="77777777" w:rsidR="00F302A1" w:rsidRPr="007E4689" w:rsidRDefault="00F302A1" w:rsidP="00F302A1">
            <w:pPr>
              <w:spacing w:line="240" w:lineRule="auto"/>
              <w:ind w:left="1068"/>
              <w:contextualSpacing/>
              <w:jc w:val="both"/>
              <w:rPr>
                <w:rFonts w:ascii="Cambria" w:eastAsia="Times New Roman" w:hAnsi="Cambria" w:cs="Times New Roman"/>
                <w:i/>
                <w:iCs/>
                <w:sz w:val="22"/>
                <w:lang w:val="es-CR" w:eastAsia="es-ES"/>
              </w:rPr>
            </w:pPr>
          </w:p>
        </w:tc>
        <w:tc>
          <w:tcPr>
            <w:tcW w:w="4940" w:type="dxa"/>
          </w:tcPr>
          <w:p w14:paraId="5C840FED" w14:textId="77777777" w:rsidR="00F302A1" w:rsidRPr="007E4689" w:rsidRDefault="00F302A1" w:rsidP="00F302A1">
            <w:pPr>
              <w:spacing w:line="240" w:lineRule="auto"/>
              <w:ind w:left="1068"/>
              <w:contextualSpacing/>
              <w:jc w:val="both"/>
              <w:rPr>
                <w:rFonts w:ascii="Cambria" w:eastAsia="Times New Roman" w:hAnsi="Cambria" w:cs="Times New Roman"/>
                <w:i/>
                <w:iCs/>
                <w:sz w:val="22"/>
                <w:lang w:val="es-CR" w:eastAsia="es-ES"/>
              </w:rPr>
            </w:pPr>
          </w:p>
        </w:tc>
        <w:tc>
          <w:tcPr>
            <w:tcW w:w="4940" w:type="dxa"/>
          </w:tcPr>
          <w:p w14:paraId="6CFD48CC" w14:textId="51F10BFC" w:rsidR="00F302A1" w:rsidRPr="003C628E" w:rsidRDefault="00F302A1" w:rsidP="003C628E">
            <w:pPr>
              <w:pStyle w:val="Prrafodelista"/>
              <w:numPr>
                <w:ilvl w:val="0"/>
                <w:numId w:val="7"/>
              </w:numPr>
              <w:spacing w:line="240" w:lineRule="auto"/>
              <w:jc w:val="both"/>
              <w:rPr>
                <w:rFonts w:ascii="Cambria" w:eastAsia="Times New Roman" w:hAnsi="Cambria" w:cs="Times New Roman"/>
                <w:i/>
                <w:iCs/>
                <w:sz w:val="22"/>
                <w:lang w:val="es-CR" w:eastAsia="es-ES"/>
              </w:rPr>
            </w:pPr>
            <w:r w:rsidRPr="003C628E">
              <w:rPr>
                <w:rFonts w:ascii="Cambria" w:eastAsia="Times New Roman" w:hAnsi="Cambria" w:cs="Times New Roman"/>
                <w:i/>
                <w:iCs/>
                <w:sz w:val="22"/>
                <w:lang w:val="es-CR" w:eastAsia="es-ES"/>
              </w:rPr>
              <w:t>Pago mediante cheque girado a nombre del afiliado.</w:t>
            </w:r>
          </w:p>
        </w:tc>
      </w:tr>
      <w:tr w:rsidR="00F302A1" w:rsidRPr="007E4689" w14:paraId="052F15CD" w14:textId="2BEB58E4" w:rsidTr="729307E3">
        <w:tc>
          <w:tcPr>
            <w:tcW w:w="6147" w:type="dxa"/>
          </w:tcPr>
          <w:p w14:paraId="2F52590D"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Si alguna entidad autorizada opta por medios de pago distintos a los antes indicados, deberá remitir formal solicitud a la Superintendencia de Pensiones para su autorización, con el propósito de que esta última determine si se trata de un medio que pueda ser objeto de supervisión.</w:t>
            </w:r>
          </w:p>
        </w:tc>
        <w:tc>
          <w:tcPr>
            <w:tcW w:w="4940" w:type="dxa"/>
          </w:tcPr>
          <w:p w14:paraId="13350C09"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5A3F4840"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7EBDECEE" w14:textId="5081B900"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Si alguna entidad autorizada opta por medios de pago distintos a los antes indicados, deberá remitir formal solicitud a la Superintendencia de Pensiones para su autorización, con el propósito de que esta última determine si se trata de un medio que pueda ser objeto de supervisión.</w:t>
            </w:r>
          </w:p>
        </w:tc>
      </w:tr>
      <w:tr w:rsidR="00F302A1" w:rsidRPr="007E4689" w14:paraId="3BAB9067" w14:textId="4D9FF85C" w:rsidTr="729307E3">
        <w:tc>
          <w:tcPr>
            <w:tcW w:w="6147" w:type="dxa"/>
          </w:tcPr>
          <w:p w14:paraId="26343395"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Los recursos deberán entregarse o transferirse al afiliado en la misma moneda del fondo administrado.</w:t>
            </w:r>
          </w:p>
        </w:tc>
        <w:tc>
          <w:tcPr>
            <w:tcW w:w="4940" w:type="dxa"/>
          </w:tcPr>
          <w:p w14:paraId="575CE68E"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08C8338B"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0D07B7D2" w14:textId="5C403FF6"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Los recursos deberán entregarse o transferirse al afiliado en la misma moneda del fondo administrado.</w:t>
            </w:r>
          </w:p>
        </w:tc>
      </w:tr>
      <w:tr w:rsidR="00F302A1" w:rsidRPr="007E4689" w14:paraId="25B84919" w14:textId="6E381BDA" w:rsidTr="729307E3">
        <w:tc>
          <w:tcPr>
            <w:tcW w:w="6147" w:type="dxa"/>
          </w:tcPr>
          <w:p w14:paraId="24D8A17F"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No podrá realizarse discriminación alguna entre los afiliados en función del medio de pago que éstos elijan.</w:t>
            </w:r>
          </w:p>
        </w:tc>
        <w:tc>
          <w:tcPr>
            <w:tcW w:w="4940" w:type="dxa"/>
          </w:tcPr>
          <w:p w14:paraId="3BB90165"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6AF90725" w14:textId="77777777"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p>
        </w:tc>
        <w:tc>
          <w:tcPr>
            <w:tcW w:w="4940" w:type="dxa"/>
          </w:tcPr>
          <w:p w14:paraId="79916185" w14:textId="3E7E8FAE" w:rsidR="00F302A1" w:rsidRPr="007E4689" w:rsidRDefault="00F302A1" w:rsidP="00F302A1">
            <w:pPr>
              <w:spacing w:line="240" w:lineRule="auto"/>
              <w:contextualSpacing/>
              <w:jc w:val="both"/>
              <w:rPr>
                <w:rFonts w:ascii="Cambria" w:eastAsia="Times New Roman" w:hAnsi="Cambria" w:cs="Times New Roman"/>
                <w:i/>
                <w:iCs/>
                <w:sz w:val="22"/>
                <w:lang w:val="es-CR" w:eastAsia="es-ES"/>
              </w:rPr>
            </w:pPr>
            <w:r w:rsidRPr="007E4689">
              <w:rPr>
                <w:rFonts w:ascii="Cambria" w:eastAsia="Times New Roman" w:hAnsi="Cambria" w:cs="Times New Roman"/>
                <w:i/>
                <w:iCs/>
                <w:sz w:val="22"/>
                <w:lang w:val="es-CR" w:eastAsia="es-ES"/>
              </w:rPr>
              <w:t>No podrá realizarse discriminación alguna entre los afiliados en función del medio de pago que éstos elijan.</w:t>
            </w:r>
          </w:p>
        </w:tc>
      </w:tr>
      <w:tr w:rsidR="00F302A1" w:rsidRPr="007E4689" w14:paraId="5436418F" w14:textId="7B954FCE" w:rsidTr="729307E3">
        <w:tc>
          <w:tcPr>
            <w:tcW w:w="6147" w:type="dxa"/>
          </w:tcPr>
          <w:p w14:paraId="221329C5" w14:textId="77777777" w:rsidR="00F302A1" w:rsidRPr="007E4689" w:rsidRDefault="00F302A1" w:rsidP="00F302A1">
            <w:pPr>
              <w:spacing w:line="240" w:lineRule="auto"/>
              <w:contextualSpacing/>
              <w:rPr>
                <w:rFonts w:ascii="Cambria" w:hAnsi="Cambria"/>
                <w:sz w:val="22"/>
              </w:rPr>
            </w:pPr>
            <w:r w:rsidRPr="007E4689">
              <w:rPr>
                <w:rFonts w:ascii="Cambria" w:hAnsi="Cambria"/>
                <w:sz w:val="22"/>
              </w:rPr>
              <w:t>Rige a partir de su publicación en el Diario oficial la Gaceta.</w:t>
            </w:r>
          </w:p>
        </w:tc>
        <w:tc>
          <w:tcPr>
            <w:tcW w:w="4940" w:type="dxa"/>
          </w:tcPr>
          <w:p w14:paraId="298C6713" w14:textId="77777777" w:rsidR="00F302A1" w:rsidRPr="007E4689" w:rsidRDefault="00F302A1" w:rsidP="00F302A1">
            <w:pPr>
              <w:spacing w:line="240" w:lineRule="auto"/>
              <w:contextualSpacing/>
              <w:rPr>
                <w:rFonts w:ascii="Cambria" w:hAnsi="Cambria"/>
                <w:sz w:val="22"/>
              </w:rPr>
            </w:pPr>
          </w:p>
        </w:tc>
        <w:tc>
          <w:tcPr>
            <w:tcW w:w="4940" w:type="dxa"/>
          </w:tcPr>
          <w:p w14:paraId="6BC1F1C9" w14:textId="77777777" w:rsidR="00F302A1" w:rsidRPr="007E4689" w:rsidRDefault="00F302A1" w:rsidP="00F302A1">
            <w:pPr>
              <w:spacing w:line="240" w:lineRule="auto"/>
              <w:contextualSpacing/>
              <w:rPr>
                <w:rFonts w:ascii="Cambria" w:hAnsi="Cambria"/>
                <w:sz w:val="22"/>
              </w:rPr>
            </w:pPr>
          </w:p>
        </w:tc>
        <w:tc>
          <w:tcPr>
            <w:tcW w:w="4940" w:type="dxa"/>
          </w:tcPr>
          <w:p w14:paraId="2A2396FC" w14:textId="6B74E933" w:rsidR="00F302A1" w:rsidRPr="007E4689" w:rsidRDefault="00F302A1" w:rsidP="00F302A1">
            <w:pPr>
              <w:spacing w:line="240" w:lineRule="auto"/>
              <w:contextualSpacing/>
              <w:rPr>
                <w:rFonts w:ascii="Cambria" w:hAnsi="Cambria"/>
                <w:sz w:val="22"/>
              </w:rPr>
            </w:pPr>
            <w:r w:rsidRPr="007E4689">
              <w:rPr>
                <w:rFonts w:ascii="Cambria" w:hAnsi="Cambria"/>
                <w:sz w:val="22"/>
              </w:rPr>
              <w:t>Rige a partir de su publicación en el Diario oficial la Gaceta.</w:t>
            </w:r>
          </w:p>
        </w:tc>
      </w:tr>
      <w:tr w:rsidR="00F302A1" w:rsidRPr="007E4689" w14:paraId="3B480795" w14:textId="1127FD12" w:rsidTr="729307E3">
        <w:tc>
          <w:tcPr>
            <w:tcW w:w="6147" w:type="dxa"/>
          </w:tcPr>
          <w:p w14:paraId="2511E9EE" w14:textId="77777777" w:rsidR="00F302A1" w:rsidRPr="007E4689" w:rsidRDefault="00F302A1" w:rsidP="00F302A1">
            <w:pPr>
              <w:spacing w:line="240" w:lineRule="auto"/>
              <w:contextualSpacing/>
              <w:rPr>
                <w:rFonts w:ascii="Cambria" w:hAnsi="Cambria"/>
                <w:sz w:val="22"/>
              </w:rPr>
            </w:pPr>
            <w:r w:rsidRPr="007E4689">
              <w:rPr>
                <w:rFonts w:ascii="Cambria" w:hAnsi="Cambria"/>
                <w:sz w:val="22"/>
              </w:rPr>
              <w:t>Comuníquese.</w:t>
            </w:r>
          </w:p>
        </w:tc>
        <w:tc>
          <w:tcPr>
            <w:tcW w:w="4940" w:type="dxa"/>
          </w:tcPr>
          <w:p w14:paraId="36DFB278" w14:textId="77777777" w:rsidR="00F302A1" w:rsidRPr="007E4689" w:rsidRDefault="00F302A1" w:rsidP="00F302A1">
            <w:pPr>
              <w:spacing w:line="240" w:lineRule="auto"/>
              <w:contextualSpacing/>
              <w:rPr>
                <w:rFonts w:ascii="Cambria" w:hAnsi="Cambria"/>
                <w:sz w:val="22"/>
              </w:rPr>
            </w:pPr>
          </w:p>
        </w:tc>
        <w:tc>
          <w:tcPr>
            <w:tcW w:w="4940" w:type="dxa"/>
          </w:tcPr>
          <w:p w14:paraId="63BBF8E9" w14:textId="77777777" w:rsidR="00F302A1" w:rsidRPr="007E4689" w:rsidRDefault="00F302A1" w:rsidP="00F302A1">
            <w:pPr>
              <w:spacing w:line="240" w:lineRule="auto"/>
              <w:contextualSpacing/>
              <w:rPr>
                <w:rFonts w:ascii="Cambria" w:hAnsi="Cambria"/>
                <w:sz w:val="22"/>
              </w:rPr>
            </w:pPr>
          </w:p>
        </w:tc>
        <w:tc>
          <w:tcPr>
            <w:tcW w:w="4940" w:type="dxa"/>
          </w:tcPr>
          <w:p w14:paraId="4624656B" w14:textId="048622A7" w:rsidR="00F302A1" w:rsidRPr="007E4689" w:rsidRDefault="00F302A1" w:rsidP="00F302A1">
            <w:pPr>
              <w:spacing w:line="240" w:lineRule="auto"/>
              <w:contextualSpacing/>
              <w:rPr>
                <w:rFonts w:ascii="Cambria" w:hAnsi="Cambria"/>
                <w:sz w:val="22"/>
              </w:rPr>
            </w:pPr>
            <w:r w:rsidRPr="007E4689">
              <w:rPr>
                <w:rFonts w:ascii="Cambria" w:hAnsi="Cambria"/>
                <w:sz w:val="22"/>
              </w:rPr>
              <w:t>Comuníquese.</w:t>
            </w:r>
          </w:p>
        </w:tc>
      </w:tr>
    </w:tbl>
    <w:p w14:paraId="7B46EDD2" w14:textId="77777777" w:rsidR="00A0168D" w:rsidRDefault="00A0168D" w:rsidP="006107A1">
      <w:pPr>
        <w:spacing w:line="240" w:lineRule="auto"/>
        <w:contextualSpacing/>
        <w:rPr>
          <w:rFonts w:ascii="Cambria" w:hAnsi="Cambria"/>
          <w:sz w:val="22"/>
        </w:rPr>
      </w:pPr>
    </w:p>
    <w:p w14:paraId="6B1E8BF2" w14:textId="77777777" w:rsidR="002663DF" w:rsidRPr="002A27C5" w:rsidRDefault="002663DF" w:rsidP="006107A1">
      <w:pPr>
        <w:spacing w:line="240" w:lineRule="auto"/>
        <w:contextualSpacing/>
        <w:rPr>
          <w:rFonts w:ascii="Cambria" w:hAnsi="Cambria"/>
          <w:sz w:val="22"/>
        </w:rPr>
      </w:pPr>
    </w:p>
    <w:sectPr w:rsidR="002663DF" w:rsidRPr="002A27C5" w:rsidSect="00C1677D">
      <w:headerReference w:type="default" r:id="rId34"/>
      <w:footerReference w:type="even" r:id="rId35"/>
      <w:footerReference w:type="default" r:id="rId36"/>
      <w:headerReference w:type="first" r:id="rId37"/>
      <w:footerReference w:type="first" r:id="rId38"/>
      <w:pgSz w:w="23811" w:h="16838" w:orient="landscape" w:code="8"/>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8CEE" w14:textId="77777777" w:rsidR="007F3DEF" w:rsidRDefault="007F3DEF" w:rsidP="00011FAB">
      <w:pPr>
        <w:spacing w:line="240" w:lineRule="auto"/>
      </w:pPr>
      <w:r>
        <w:separator/>
      </w:r>
    </w:p>
  </w:endnote>
  <w:endnote w:type="continuationSeparator" w:id="0">
    <w:p w14:paraId="6E5D6813" w14:textId="77777777" w:rsidR="007F3DEF" w:rsidRDefault="007F3DEF" w:rsidP="00011FAB">
      <w:pPr>
        <w:spacing w:line="240" w:lineRule="auto"/>
      </w:pPr>
      <w:r>
        <w:continuationSeparator/>
      </w:r>
    </w:p>
  </w:endnote>
  <w:endnote w:type="continuationNotice" w:id="1">
    <w:p w14:paraId="7C221D6A" w14:textId="77777777" w:rsidR="007F3DEF" w:rsidRDefault="007F3D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A6B8" w14:textId="77777777" w:rsidR="005B623A" w:rsidRDefault="005B623A">
    <w:pPr>
      <w:pStyle w:val="Piedepgina"/>
    </w:pPr>
    <w:r>
      <w:rPr>
        <w:noProof/>
      </w:rPr>
      <mc:AlternateContent>
        <mc:Choice Requires="wps">
          <w:drawing>
            <wp:anchor distT="0" distB="0" distL="0" distR="0" simplePos="0" relativeHeight="251658245" behindDoc="0" locked="0" layoutInCell="1" allowOverlap="1" wp14:anchorId="087C66C3" wp14:editId="277EEE97">
              <wp:simplePos x="635" y="635"/>
              <wp:positionH relativeFrom="page">
                <wp:align>center</wp:align>
              </wp:positionH>
              <wp:positionV relativeFrom="page">
                <wp:align>bottom</wp:align>
              </wp:positionV>
              <wp:extent cx="609600" cy="422910"/>
              <wp:effectExtent l="0" t="0" r="0" b="0"/>
              <wp:wrapNone/>
              <wp:docPr id="34735485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11816301"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7C66C3"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11816301"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9B2E" w14:textId="77777777" w:rsidR="003621B6" w:rsidRDefault="005B623A"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4B93EB56" wp14:editId="04B82796">
              <wp:simplePos x="635" y="635"/>
              <wp:positionH relativeFrom="page">
                <wp:align>center</wp:align>
              </wp:positionH>
              <wp:positionV relativeFrom="page">
                <wp:align>bottom</wp:align>
              </wp:positionV>
              <wp:extent cx="609600" cy="422910"/>
              <wp:effectExtent l="0" t="0" r="0" b="0"/>
              <wp:wrapNone/>
              <wp:docPr id="195243361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7A1A49FF"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93EB56"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7A1A49FF"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p w14:paraId="6699F186" w14:textId="77777777"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4D88" w14:textId="77777777" w:rsidR="003621B6" w:rsidRDefault="005B623A"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4854EA45" wp14:editId="7CAC2F75">
              <wp:simplePos x="1076325" y="9239250"/>
              <wp:positionH relativeFrom="page">
                <wp:align>center</wp:align>
              </wp:positionH>
              <wp:positionV relativeFrom="page">
                <wp:align>bottom</wp:align>
              </wp:positionV>
              <wp:extent cx="609600" cy="422910"/>
              <wp:effectExtent l="0" t="0" r="0" b="0"/>
              <wp:wrapNone/>
              <wp:docPr id="1751385929"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53A7809C"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54EA45"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53A7809C" w14:textId="77777777"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p w14:paraId="71D1313F"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D5AD" w14:textId="77777777" w:rsidR="007F3DEF" w:rsidRDefault="007F3DEF" w:rsidP="00011FAB">
      <w:pPr>
        <w:spacing w:line="240" w:lineRule="auto"/>
      </w:pPr>
      <w:r>
        <w:separator/>
      </w:r>
    </w:p>
  </w:footnote>
  <w:footnote w:type="continuationSeparator" w:id="0">
    <w:p w14:paraId="6F61F2E8" w14:textId="77777777" w:rsidR="007F3DEF" w:rsidRDefault="007F3DEF" w:rsidP="00011FAB">
      <w:pPr>
        <w:spacing w:line="240" w:lineRule="auto"/>
      </w:pPr>
      <w:r>
        <w:continuationSeparator/>
      </w:r>
    </w:p>
  </w:footnote>
  <w:footnote w:type="continuationNotice" w:id="1">
    <w:p w14:paraId="63BE013E" w14:textId="77777777" w:rsidR="007F3DEF" w:rsidRDefault="007F3DEF">
      <w:pPr>
        <w:spacing w:line="240" w:lineRule="auto"/>
      </w:pPr>
    </w:p>
  </w:footnote>
  <w:footnote w:id="2">
    <w:p w14:paraId="5557BAD7" w14:textId="77777777" w:rsidR="00F302A1" w:rsidRPr="00D53337" w:rsidRDefault="00F302A1" w:rsidP="008D278F">
      <w:pPr>
        <w:pStyle w:val="Textonotapie"/>
        <w:jc w:val="both"/>
        <w:rPr>
          <w:lang w:val="es-CR"/>
        </w:rPr>
      </w:pPr>
      <w:r>
        <w:rPr>
          <w:rStyle w:val="Refdenotaalpie"/>
        </w:rPr>
        <w:footnoteRef/>
      </w:r>
      <w:r>
        <w:t xml:space="preserve"> Aprobado en </w:t>
      </w:r>
      <w:r w:rsidRPr="00606928">
        <w:t>sesión N° 5213 del 1° de setiembre de 2004, y publicado en La Gaceta N° 180 del 14 de setiembre de 2004</w:t>
      </w:r>
      <w:r>
        <w:t>.</w:t>
      </w:r>
    </w:p>
  </w:footnote>
  <w:footnote w:id="3">
    <w:p w14:paraId="21A7B089" w14:textId="77777777" w:rsidR="00F302A1" w:rsidRPr="00E61D9C" w:rsidRDefault="00F302A1">
      <w:pPr>
        <w:pStyle w:val="Textonotapie"/>
      </w:pPr>
      <w:r w:rsidRPr="00E61D9C">
        <w:rPr>
          <w:rStyle w:val="Refdenotaalpie"/>
        </w:rPr>
        <w:footnoteRef/>
      </w:r>
      <w:r w:rsidRPr="00E61D9C">
        <w:rPr>
          <w:rStyle w:val="Refdenotaalpie"/>
        </w:rPr>
        <w:t xml:space="preserve"> </w:t>
      </w:r>
      <w:r w:rsidRPr="00E61D9C">
        <w:t>International Bank Account Number.</w:t>
      </w:r>
    </w:p>
  </w:footnote>
  <w:footnote w:id="4">
    <w:p w14:paraId="08167E54" w14:textId="77777777" w:rsidR="00F302A1" w:rsidRPr="00D53337" w:rsidRDefault="00F302A1" w:rsidP="008D278F">
      <w:pPr>
        <w:pStyle w:val="Textonotapie"/>
        <w:jc w:val="both"/>
        <w:rPr>
          <w:lang w:val="es-CR"/>
        </w:rPr>
      </w:pPr>
      <w:r>
        <w:rPr>
          <w:rStyle w:val="Refdenotaalpie"/>
        </w:rPr>
        <w:footnoteRef/>
      </w:r>
      <w:r>
        <w:t xml:space="preserve"> Aprobado en </w:t>
      </w:r>
      <w:r w:rsidRPr="00606928">
        <w:t>sesión N° 5213 del 1° de setiembre de 2004, y publicado en La Gaceta N° 180 del 14 de setiembre de 2004</w:t>
      </w:r>
      <w:r>
        <w:t>.</w:t>
      </w:r>
    </w:p>
  </w:footnote>
  <w:footnote w:id="5">
    <w:p w14:paraId="61F90D98" w14:textId="77777777" w:rsidR="00F302A1" w:rsidRPr="00E61D9C" w:rsidRDefault="00F302A1">
      <w:pPr>
        <w:pStyle w:val="Textonotapie"/>
      </w:pPr>
      <w:r w:rsidRPr="00E61D9C">
        <w:rPr>
          <w:rStyle w:val="Refdenotaalpie"/>
        </w:rPr>
        <w:footnoteRef/>
      </w:r>
      <w:r w:rsidRPr="00E61D9C">
        <w:rPr>
          <w:rStyle w:val="Refdenotaalpie"/>
        </w:rPr>
        <w:t xml:space="preserve"> </w:t>
      </w:r>
      <w:r w:rsidRPr="00E61D9C">
        <w:t>International Bank Account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2595" w14:textId="77777777" w:rsidR="0075244F" w:rsidRDefault="0067350A" w:rsidP="0075244F">
    <w:pPr>
      <w:pStyle w:val="Encabezado"/>
      <w:rPr>
        <w:sz w:val="22"/>
      </w:rPr>
    </w:pPr>
    <w:r>
      <w:rPr>
        <w:noProof/>
      </w:rPr>
      <w:drawing>
        <wp:anchor distT="0" distB="0" distL="114300" distR="114300" simplePos="0" relativeHeight="251658240" behindDoc="1" locked="0" layoutInCell="1" allowOverlap="1" wp14:anchorId="001AB077" wp14:editId="1AF087A8">
          <wp:simplePos x="0" y="0"/>
          <wp:positionH relativeFrom="margin">
            <wp:align>right</wp:align>
          </wp:positionH>
          <wp:positionV relativeFrom="paragraph">
            <wp:posOffset>-39163</wp:posOffset>
          </wp:positionV>
          <wp:extent cx="866140" cy="567690"/>
          <wp:effectExtent l="0" t="0" r="0" b="3810"/>
          <wp:wrapNone/>
          <wp:docPr id="963531854" name="Imagen 963531854"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1890FFA1" wp14:editId="0DAB8790">
          <wp:simplePos x="0" y="0"/>
          <wp:positionH relativeFrom="column">
            <wp:posOffset>-185420</wp:posOffset>
          </wp:positionH>
          <wp:positionV relativeFrom="paragraph">
            <wp:posOffset>-227330</wp:posOffset>
          </wp:positionV>
          <wp:extent cx="1931035" cy="742950"/>
          <wp:effectExtent l="0" t="0" r="0" b="0"/>
          <wp:wrapSquare wrapText="bothSides"/>
          <wp:docPr id="334151823" name="Imagen 334151823"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4BFE6BB7" w14:textId="77777777" w:rsidR="00D766AB" w:rsidRDefault="00D766AB" w:rsidP="00D766AB">
    <w:pPr>
      <w:pStyle w:val="Encabezado"/>
    </w:pPr>
    <w:r>
      <w:tab/>
    </w:r>
    <w:r>
      <w:tab/>
    </w:r>
  </w:p>
  <w:p w14:paraId="7A773A39" w14:textId="77777777" w:rsidR="00D766AB" w:rsidRDefault="00D766AB" w:rsidP="00D766AB">
    <w:pPr>
      <w:pStyle w:val="Encabezado"/>
    </w:pPr>
  </w:p>
  <w:p w14:paraId="4B018861" w14:textId="77777777" w:rsidR="0075244F" w:rsidRPr="00310D45" w:rsidRDefault="0075244F" w:rsidP="00D766AB">
    <w:pPr>
      <w:pStyle w:val="Encabezado"/>
    </w:pPr>
  </w:p>
  <w:p w14:paraId="14D9CBD4" w14:textId="2F8AFA1C"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noProof/>
        <w:szCs w:val="24"/>
      </w:rPr>
      <w:fldChar w:fldCharType="end"/>
    </w:r>
  </w:p>
  <w:p w14:paraId="026D4EA6"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66EE67C"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9679" w14:textId="7777777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27D35F7D" wp14:editId="73030883">
          <wp:simplePos x="0" y="0"/>
          <wp:positionH relativeFrom="column">
            <wp:posOffset>-185420</wp:posOffset>
          </wp:positionH>
          <wp:positionV relativeFrom="paragraph">
            <wp:posOffset>-227330</wp:posOffset>
          </wp:positionV>
          <wp:extent cx="1931035" cy="742950"/>
          <wp:effectExtent l="0" t="0" r="0" b="0"/>
          <wp:wrapSquare wrapText="bothSides"/>
          <wp:docPr id="1307687992" name="Imagen 130768799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566A7C14" wp14:editId="4E26FA16">
          <wp:simplePos x="0" y="0"/>
          <wp:positionH relativeFrom="margin">
            <wp:align>right</wp:align>
          </wp:positionH>
          <wp:positionV relativeFrom="paragraph">
            <wp:posOffset>-127635</wp:posOffset>
          </wp:positionV>
          <wp:extent cx="901700" cy="585470"/>
          <wp:effectExtent l="0" t="0" r="0" b="5080"/>
          <wp:wrapNone/>
          <wp:docPr id="1470491336" name="Imagen 1470491336"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277F7B85" w14:textId="77777777"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20"/>
    <w:multiLevelType w:val="hybridMultilevel"/>
    <w:tmpl w:val="519662E4"/>
    <w:lvl w:ilvl="0" w:tplc="95D82AE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3391B07"/>
    <w:multiLevelType w:val="hybridMultilevel"/>
    <w:tmpl w:val="62F0319E"/>
    <w:lvl w:ilvl="0" w:tplc="804A2066">
      <w:start w:val="10"/>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51BE3D59"/>
    <w:multiLevelType w:val="hybridMultilevel"/>
    <w:tmpl w:val="B560D7F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5D7BA0"/>
    <w:multiLevelType w:val="hybridMultilevel"/>
    <w:tmpl w:val="7A26868A"/>
    <w:lvl w:ilvl="0" w:tplc="5D4A4308">
      <w:start w:val="1"/>
      <w:numFmt w:val="decimal"/>
      <w:lvlText w:val="%1."/>
      <w:lvlJc w:val="left"/>
      <w:pPr>
        <w:tabs>
          <w:tab w:val="num" w:pos="720"/>
        </w:tabs>
        <w:ind w:left="0" w:firstLine="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5E09532E"/>
    <w:multiLevelType w:val="hybridMultilevel"/>
    <w:tmpl w:val="B398669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3312332"/>
    <w:multiLevelType w:val="hybridMultilevel"/>
    <w:tmpl w:val="DFEAD5FE"/>
    <w:lvl w:ilvl="0" w:tplc="EBA6F38E">
      <w:start w:val="2"/>
      <w:numFmt w:val="lowerLetter"/>
      <w:lvlText w:val="%1."/>
      <w:lvlJc w:val="left"/>
      <w:pPr>
        <w:ind w:left="1068" w:hanging="360"/>
      </w:pPr>
      <w:rPr>
        <w:rFonts w:ascii="Cambria" w:eastAsia="Calibri" w:hAnsi="Cambri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6747FE6"/>
    <w:multiLevelType w:val="hybridMultilevel"/>
    <w:tmpl w:val="517EB36E"/>
    <w:lvl w:ilvl="0" w:tplc="FF5E6816">
      <w:start w:val="1"/>
      <w:numFmt w:val="lowerLetter"/>
      <w:lvlText w:val="%1."/>
      <w:lvlJc w:val="left"/>
      <w:pPr>
        <w:ind w:left="1068" w:hanging="360"/>
      </w:pPr>
      <w:rPr>
        <w:rFonts w:ascii="Cambria" w:eastAsia="Calibri" w:hAnsi="Cambria" w:cs="Times New Roman"/>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53201348">
    <w:abstractNumId w:val="2"/>
  </w:num>
  <w:num w:numId="2" w16cid:durableId="325011506">
    <w:abstractNumId w:val="6"/>
  </w:num>
  <w:num w:numId="3" w16cid:durableId="204022212">
    <w:abstractNumId w:val="0"/>
  </w:num>
  <w:num w:numId="4" w16cid:durableId="444813151">
    <w:abstractNumId w:val="1"/>
  </w:num>
  <w:num w:numId="5" w16cid:durableId="695423373">
    <w:abstractNumId w:val="3"/>
  </w:num>
  <w:num w:numId="6" w16cid:durableId="1457717456">
    <w:abstractNumId w:val="4"/>
  </w:num>
  <w:num w:numId="7" w16cid:durableId="4670924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ttachedTemplate r:id="rId1"/>
  <w:defaultTabStop w:val="708"/>
  <w:hyphenationZone w:val="425"/>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01CC"/>
    <w:rsid w:val="000006EA"/>
    <w:rsid w:val="00000DF7"/>
    <w:rsid w:val="00000FED"/>
    <w:rsid w:val="00011E0A"/>
    <w:rsid w:val="00011FAB"/>
    <w:rsid w:val="00013A4E"/>
    <w:rsid w:val="000151D7"/>
    <w:rsid w:val="00017C50"/>
    <w:rsid w:val="00017D1D"/>
    <w:rsid w:val="00021ADD"/>
    <w:rsid w:val="000340D7"/>
    <w:rsid w:val="000407EC"/>
    <w:rsid w:val="00041856"/>
    <w:rsid w:val="000421CB"/>
    <w:rsid w:val="00055A98"/>
    <w:rsid w:val="0006650E"/>
    <w:rsid w:val="00067162"/>
    <w:rsid w:val="0007242E"/>
    <w:rsid w:val="0008410F"/>
    <w:rsid w:val="00085B4A"/>
    <w:rsid w:val="00092413"/>
    <w:rsid w:val="00092B79"/>
    <w:rsid w:val="00095A2B"/>
    <w:rsid w:val="000A4608"/>
    <w:rsid w:val="000B0DDD"/>
    <w:rsid w:val="000B685D"/>
    <w:rsid w:val="000B6DCC"/>
    <w:rsid w:val="000C2A1F"/>
    <w:rsid w:val="000C583A"/>
    <w:rsid w:val="000C7630"/>
    <w:rsid w:val="000D29C0"/>
    <w:rsid w:val="000D5653"/>
    <w:rsid w:val="000E4900"/>
    <w:rsid w:val="000F20BC"/>
    <w:rsid w:val="000F575B"/>
    <w:rsid w:val="00106081"/>
    <w:rsid w:val="00107ED5"/>
    <w:rsid w:val="00110C5D"/>
    <w:rsid w:val="00111BF1"/>
    <w:rsid w:val="00112362"/>
    <w:rsid w:val="0011330D"/>
    <w:rsid w:val="00113649"/>
    <w:rsid w:val="00117B1D"/>
    <w:rsid w:val="00122854"/>
    <w:rsid w:val="001238F2"/>
    <w:rsid w:val="00134816"/>
    <w:rsid w:val="00136CB1"/>
    <w:rsid w:val="001416DC"/>
    <w:rsid w:val="001538F5"/>
    <w:rsid w:val="001572C1"/>
    <w:rsid w:val="00157430"/>
    <w:rsid w:val="00160289"/>
    <w:rsid w:val="00161F15"/>
    <w:rsid w:val="00173F0C"/>
    <w:rsid w:val="00175E2D"/>
    <w:rsid w:val="00176C48"/>
    <w:rsid w:val="00180513"/>
    <w:rsid w:val="00196B8A"/>
    <w:rsid w:val="001A3031"/>
    <w:rsid w:val="001A469D"/>
    <w:rsid w:val="001A55A0"/>
    <w:rsid w:val="001A55FB"/>
    <w:rsid w:val="001A6D9D"/>
    <w:rsid w:val="001B2C8A"/>
    <w:rsid w:val="001B4880"/>
    <w:rsid w:val="001B67E6"/>
    <w:rsid w:val="001C0380"/>
    <w:rsid w:val="001C1E35"/>
    <w:rsid w:val="001D18BF"/>
    <w:rsid w:val="001D3394"/>
    <w:rsid w:val="001E0B2A"/>
    <w:rsid w:val="001F7D8E"/>
    <w:rsid w:val="00201E6C"/>
    <w:rsid w:val="00204052"/>
    <w:rsid w:val="002073B7"/>
    <w:rsid w:val="002101E6"/>
    <w:rsid w:val="002171D3"/>
    <w:rsid w:val="002224B6"/>
    <w:rsid w:val="002257D1"/>
    <w:rsid w:val="00235479"/>
    <w:rsid w:val="002424F3"/>
    <w:rsid w:val="00261F6E"/>
    <w:rsid w:val="00262F5C"/>
    <w:rsid w:val="002663DF"/>
    <w:rsid w:val="0026796D"/>
    <w:rsid w:val="00271FA0"/>
    <w:rsid w:val="00277C51"/>
    <w:rsid w:val="0028330F"/>
    <w:rsid w:val="00285405"/>
    <w:rsid w:val="00291B81"/>
    <w:rsid w:val="00291F42"/>
    <w:rsid w:val="00295482"/>
    <w:rsid w:val="002A27C5"/>
    <w:rsid w:val="002A3368"/>
    <w:rsid w:val="002C3AF9"/>
    <w:rsid w:val="002C4C8C"/>
    <w:rsid w:val="002C6626"/>
    <w:rsid w:val="002D5C31"/>
    <w:rsid w:val="002E09D1"/>
    <w:rsid w:val="002E27C7"/>
    <w:rsid w:val="002E3F12"/>
    <w:rsid w:val="002E69FD"/>
    <w:rsid w:val="002F0201"/>
    <w:rsid w:val="002F0CD8"/>
    <w:rsid w:val="002F3347"/>
    <w:rsid w:val="00303B4A"/>
    <w:rsid w:val="00305EDC"/>
    <w:rsid w:val="00310D45"/>
    <w:rsid w:val="00314768"/>
    <w:rsid w:val="003155C5"/>
    <w:rsid w:val="0031679D"/>
    <w:rsid w:val="003253CC"/>
    <w:rsid w:val="003262D5"/>
    <w:rsid w:val="003410F2"/>
    <w:rsid w:val="00343CCC"/>
    <w:rsid w:val="00347408"/>
    <w:rsid w:val="00347829"/>
    <w:rsid w:val="003621B6"/>
    <w:rsid w:val="003737DC"/>
    <w:rsid w:val="003777E3"/>
    <w:rsid w:val="00377CEE"/>
    <w:rsid w:val="0038624F"/>
    <w:rsid w:val="00387CD6"/>
    <w:rsid w:val="003A06F4"/>
    <w:rsid w:val="003A3998"/>
    <w:rsid w:val="003B0B1F"/>
    <w:rsid w:val="003B3D45"/>
    <w:rsid w:val="003B667F"/>
    <w:rsid w:val="003B6904"/>
    <w:rsid w:val="003C2F2B"/>
    <w:rsid w:val="003C628E"/>
    <w:rsid w:val="003D0B3A"/>
    <w:rsid w:val="003D35CA"/>
    <w:rsid w:val="003D54EE"/>
    <w:rsid w:val="003E21A7"/>
    <w:rsid w:val="003E406C"/>
    <w:rsid w:val="003F1B03"/>
    <w:rsid w:val="003F71DC"/>
    <w:rsid w:val="00405B4A"/>
    <w:rsid w:val="00413190"/>
    <w:rsid w:val="00413B95"/>
    <w:rsid w:val="0041437C"/>
    <w:rsid w:val="0042790D"/>
    <w:rsid w:val="00432490"/>
    <w:rsid w:val="004358F9"/>
    <w:rsid w:val="00446753"/>
    <w:rsid w:val="00447162"/>
    <w:rsid w:val="00451A02"/>
    <w:rsid w:val="0045287A"/>
    <w:rsid w:val="004565B1"/>
    <w:rsid w:val="004568FB"/>
    <w:rsid w:val="00464393"/>
    <w:rsid w:val="00477218"/>
    <w:rsid w:val="00483048"/>
    <w:rsid w:val="00484927"/>
    <w:rsid w:val="004856D6"/>
    <w:rsid w:val="00486B95"/>
    <w:rsid w:val="00492F28"/>
    <w:rsid w:val="00496EFF"/>
    <w:rsid w:val="004A2C15"/>
    <w:rsid w:val="004B3D1D"/>
    <w:rsid w:val="004B4108"/>
    <w:rsid w:val="004C508F"/>
    <w:rsid w:val="004D1EF0"/>
    <w:rsid w:val="004D3B89"/>
    <w:rsid w:val="004D7B04"/>
    <w:rsid w:val="004D7FC0"/>
    <w:rsid w:val="004E0DBA"/>
    <w:rsid w:val="004E35F5"/>
    <w:rsid w:val="004F21B2"/>
    <w:rsid w:val="0050511E"/>
    <w:rsid w:val="00507921"/>
    <w:rsid w:val="00510B84"/>
    <w:rsid w:val="0051339B"/>
    <w:rsid w:val="00517866"/>
    <w:rsid w:val="00526FD6"/>
    <w:rsid w:val="0053791C"/>
    <w:rsid w:val="00540C9A"/>
    <w:rsid w:val="005429B7"/>
    <w:rsid w:val="005536A9"/>
    <w:rsid w:val="00553E72"/>
    <w:rsid w:val="005672B7"/>
    <w:rsid w:val="0056783F"/>
    <w:rsid w:val="005703B4"/>
    <w:rsid w:val="005764FD"/>
    <w:rsid w:val="00577413"/>
    <w:rsid w:val="0058753F"/>
    <w:rsid w:val="0059081B"/>
    <w:rsid w:val="00594A6E"/>
    <w:rsid w:val="005A55A4"/>
    <w:rsid w:val="005B36C4"/>
    <w:rsid w:val="005B623A"/>
    <w:rsid w:val="005C0FEA"/>
    <w:rsid w:val="005C18F6"/>
    <w:rsid w:val="005C45C0"/>
    <w:rsid w:val="005D0E59"/>
    <w:rsid w:val="005D39DA"/>
    <w:rsid w:val="005D45E0"/>
    <w:rsid w:val="005E4A8B"/>
    <w:rsid w:val="005F2AE1"/>
    <w:rsid w:val="005F3F2A"/>
    <w:rsid w:val="005F6ED1"/>
    <w:rsid w:val="00606928"/>
    <w:rsid w:val="00610614"/>
    <w:rsid w:val="006107A1"/>
    <w:rsid w:val="00610F85"/>
    <w:rsid w:val="00612928"/>
    <w:rsid w:val="00620F79"/>
    <w:rsid w:val="00621251"/>
    <w:rsid w:val="00630614"/>
    <w:rsid w:val="00635EE5"/>
    <w:rsid w:val="00641038"/>
    <w:rsid w:val="00642915"/>
    <w:rsid w:val="00643A25"/>
    <w:rsid w:val="00655EB9"/>
    <w:rsid w:val="00661F6D"/>
    <w:rsid w:val="00662D9B"/>
    <w:rsid w:val="0067350A"/>
    <w:rsid w:val="00676DA5"/>
    <w:rsid w:val="006775A8"/>
    <w:rsid w:val="006803D3"/>
    <w:rsid w:val="00687F2E"/>
    <w:rsid w:val="0069087E"/>
    <w:rsid w:val="006B6689"/>
    <w:rsid w:val="006B670C"/>
    <w:rsid w:val="006C1B77"/>
    <w:rsid w:val="006C5791"/>
    <w:rsid w:val="006D07AB"/>
    <w:rsid w:val="006D142C"/>
    <w:rsid w:val="006D30BC"/>
    <w:rsid w:val="006D43C7"/>
    <w:rsid w:val="006D5B49"/>
    <w:rsid w:val="006E2338"/>
    <w:rsid w:val="006E43EC"/>
    <w:rsid w:val="006E53D0"/>
    <w:rsid w:val="006F5308"/>
    <w:rsid w:val="006F787D"/>
    <w:rsid w:val="00710310"/>
    <w:rsid w:val="00722522"/>
    <w:rsid w:val="00722E95"/>
    <w:rsid w:val="007253D3"/>
    <w:rsid w:val="00725B06"/>
    <w:rsid w:val="00732D8B"/>
    <w:rsid w:val="0073332F"/>
    <w:rsid w:val="007335D0"/>
    <w:rsid w:val="007374DE"/>
    <w:rsid w:val="00745891"/>
    <w:rsid w:val="0075244F"/>
    <w:rsid w:val="00754837"/>
    <w:rsid w:val="00762E69"/>
    <w:rsid w:val="00763296"/>
    <w:rsid w:val="0076656D"/>
    <w:rsid w:val="0077039B"/>
    <w:rsid w:val="00772D81"/>
    <w:rsid w:val="0078001B"/>
    <w:rsid w:val="007827F7"/>
    <w:rsid w:val="007853B0"/>
    <w:rsid w:val="0079478E"/>
    <w:rsid w:val="007965D1"/>
    <w:rsid w:val="007975D7"/>
    <w:rsid w:val="007A0803"/>
    <w:rsid w:val="007B253B"/>
    <w:rsid w:val="007B4481"/>
    <w:rsid w:val="007C3FE4"/>
    <w:rsid w:val="007D561B"/>
    <w:rsid w:val="007D5913"/>
    <w:rsid w:val="007D711F"/>
    <w:rsid w:val="007E4689"/>
    <w:rsid w:val="007E58B3"/>
    <w:rsid w:val="007E7168"/>
    <w:rsid w:val="007F3DEF"/>
    <w:rsid w:val="007F6B3E"/>
    <w:rsid w:val="008051AB"/>
    <w:rsid w:val="00820CF3"/>
    <w:rsid w:val="00826EC1"/>
    <w:rsid w:val="008308B4"/>
    <w:rsid w:val="00832382"/>
    <w:rsid w:val="0083776F"/>
    <w:rsid w:val="008415B3"/>
    <w:rsid w:val="00841E75"/>
    <w:rsid w:val="008442AE"/>
    <w:rsid w:val="00851CCD"/>
    <w:rsid w:val="0085211E"/>
    <w:rsid w:val="00864F94"/>
    <w:rsid w:val="00867C64"/>
    <w:rsid w:val="008744CF"/>
    <w:rsid w:val="0087714D"/>
    <w:rsid w:val="00883CCF"/>
    <w:rsid w:val="00894170"/>
    <w:rsid w:val="008945E2"/>
    <w:rsid w:val="00894C65"/>
    <w:rsid w:val="00895DB0"/>
    <w:rsid w:val="008A098B"/>
    <w:rsid w:val="008B0037"/>
    <w:rsid w:val="008C00A6"/>
    <w:rsid w:val="008C59D1"/>
    <w:rsid w:val="008D26E2"/>
    <w:rsid w:val="008D278F"/>
    <w:rsid w:val="008D341F"/>
    <w:rsid w:val="008E076A"/>
    <w:rsid w:val="008E7D4F"/>
    <w:rsid w:val="008F4819"/>
    <w:rsid w:val="008F49B0"/>
    <w:rsid w:val="00900261"/>
    <w:rsid w:val="009034F1"/>
    <w:rsid w:val="00905C43"/>
    <w:rsid w:val="0091241A"/>
    <w:rsid w:val="00925583"/>
    <w:rsid w:val="009332DB"/>
    <w:rsid w:val="009348CD"/>
    <w:rsid w:val="00940254"/>
    <w:rsid w:val="00952852"/>
    <w:rsid w:val="009536A5"/>
    <w:rsid w:val="00960077"/>
    <w:rsid w:val="00965979"/>
    <w:rsid w:val="00967B19"/>
    <w:rsid w:val="00971861"/>
    <w:rsid w:val="00980E25"/>
    <w:rsid w:val="00983565"/>
    <w:rsid w:val="009913CA"/>
    <w:rsid w:val="009A09FA"/>
    <w:rsid w:val="009A6D65"/>
    <w:rsid w:val="009A7BF9"/>
    <w:rsid w:val="009B2D79"/>
    <w:rsid w:val="009B3671"/>
    <w:rsid w:val="009B475A"/>
    <w:rsid w:val="009B5B8C"/>
    <w:rsid w:val="009B6DCF"/>
    <w:rsid w:val="009C067B"/>
    <w:rsid w:val="009C30D9"/>
    <w:rsid w:val="009C5B3E"/>
    <w:rsid w:val="009C7DD0"/>
    <w:rsid w:val="009D222A"/>
    <w:rsid w:val="009D6228"/>
    <w:rsid w:val="009E6DB2"/>
    <w:rsid w:val="009F7C79"/>
    <w:rsid w:val="00A0168D"/>
    <w:rsid w:val="00A01758"/>
    <w:rsid w:val="00A02D2E"/>
    <w:rsid w:val="00A06B4B"/>
    <w:rsid w:val="00A06EB2"/>
    <w:rsid w:val="00A1061A"/>
    <w:rsid w:val="00A241E6"/>
    <w:rsid w:val="00A35B4E"/>
    <w:rsid w:val="00A43E0B"/>
    <w:rsid w:val="00A46674"/>
    <w:rsid w:val="00A47569"/>
    <w:rsid w:val="00A4778B"/>
    <w:rsid w:val="00A55394"/>
    <w:rsid w:val="00A565B2"/>
    <w:rsid w:val="00A56864"/>
    <w:rsid w:val="00A60740"/>
    <w:rsid w:val="00A60911"/>
    <w:rsid w:val="00A60AED"/>
    <w:rsid w:val="00A66C3D"/>
    <w:rsid w:val="00A67B80"/>
    <w:rsid w:val="00A67B90"/>
    <w:rsid w:val="00A734E9"/>
    <w:rsid w:val="00A74655"/>
    <w:rsid w:val="00A83C1D"/>
    <w:rsid w:val="00A9151C"/>
    <w:rsid w:val="00AA7623"/>
    <w:rsid w:val="00AB116C"/>
    <w:rsid w:val="00AB2FF8"/>
    <w:rsid w:val="00AC2EF2"/>
    <w:rsid w:val="00AC3AF1"/>
    <w:rsid w:val="00AD10D3"/>
    <w:rsid w:val="00AE01A9"/>
    <w:rsid w:val="00AF1DD6"/>
    <w:rsid w:val="00AF3B9B"/>
    <w:rsid w:val="00AF7580"/>
    <w:rsid w:val="00B024B2"/>
    <w:rsid w:val="00B119B0"/>
    <w:rsid w:val="00B12F0C"/>
    <w:rsid w:val="00B20060"/>
    <w:rsid w:val="00B25B21"/>
    <w:rsid w:val="00B34C48"/>
    <w:rsid w:val="00B4603B"/>
    <w:rsid w:val="00B578E7"/>
    <w:rsid w:val="00B579A5"/>
    <w:rsid w:val="00B57A2A"/>
    <w:rsid w:val="00B65E0E"/>
    <w:rsid w:val="00B77798"/>
    <w:rsid w:val="00B83B70"/>
    <w:rsid w:val="00B849CB"/>
    <w:rsid w:val="00B95BCD"/>
    <w:rsid w:val="00BA3098"/>
    <w:rsid w:val="00BA56BC"/>
    <w:rsid w:val="00BA7A62"/>
    <w:rsid w:val="00BB0BC7"/>
    <w:rsid w:val="00BC07A5"/>
    <w:rsid w:val="00BD3316"/>
    <w:rsid w:val="00BD5F5A"/>
    <w:rsid w:val="00BE078A"/>
    <w:rsid w:val="00BE2CE7"/>
    <w:rsid w:val="00BE53EE"/>
    <w:rsid w:val="00BE629B"/>
    <w:rsid w:val="00BF0CFA"/>
    <w:rsid w:val="00BF5956"/>
    <w:rsid w:val="00BF62E0"/>
    <w:rsid w:val="00C011B1"/>
    <w:rsid w:val="00C015B1"/>
    <w:rsid w:val="00C01F14"/>
    <w:rsid w:val="00C06C40"/>
    <w:rsid w:val="00C06C76"/>
    <w:rsid w:val="00C10DAB"/>
    <w:rsid w:val="00C164B3"/>
    <w:rsid w:val="00C1677D"/>
    <w:rsid w:val="00C20D5A"/>
    <w:rsid w:val="00C25107"/>
    <w:rsid w:val="00C334CC"/>
    <w:rsid w:val="00C42A28"/>
    <w:rsid w:val="00C50B0F"/>
    <w:rsid w:val="00C5185B"/>
    <w:rsid w:val="00C52640"/>
    <w:rsid w:val="00C646BD"/>
    <w:rsid w:val="00C73033"/>
    <w:rsid w:val="00C84B5B"/>
    <w:rsid w:val="00C90A71"/>
    <w:rsid w:val="00C972F0"/>
    <w:rsid w:val="00CA16C2"/>
    <w:rsid w:val="00CB443A"/>
    <w:rsid w:val="00CB774D"/>
    <w:rsid w:val="00CC0335"/>
    <w:rsid w:val="00CC0938"/>
    <w:rsid w:val="00CC1766"/>
    <w:rsid w:val="00CC24BF"/>
    <w:rsid w:val="00CC294A"/>
    <w:rsid w:val="00CC7ECC"/>
    <w:rsid w:val="00CD5928"/>
    <w:rsid w:val="00CE0710"/>
    <w:rsid w:val="00CE1135"/>
    <w:rsid w:val="00CE29BE"/>
    <w:rsid w:val="00CE2E9A"/>
    <w:rsid w:val="00CF51F2"/>
    <w:rsid w:val="00D029E6"/>
    <w:rsid w:val="00D0661A"/>
    <w:rsid w:val="00D116D5"/>
    <w:rsid w:val="00D1599C"/>
    <w:rsid w:val="00D2237A"/>
    <w:rsid w:val="00D350B3"/>
    <w:rsid w:val="00D37F50"/>
    <w:rsid w:val="00D440C1"/>
    <w:rsid w:val="00D459E2"/>
    <w:rsid w:val="00D53337"/>
    <w:rsid w:val="00D533D1"/>
    <w:rsid w:val="00D61945"/>
    <w:rsid w:val="00D63EE2"/>
    <w:rsid w:val="00D7016C"/>
    <w:rsid w:val="00D718A6"/>
    <w:rsid w:val="00D728EB"/>
    <w:rsid w:val="00D74264"/>
    <w:rsid w:val="00D7564A"/>
    <w:rsid w:val="00D766AB"/>
    <w:rsid w:val="00D80206"/>
    <w:rsid w:val="00D86CC1"/>
    <w:rsid w:val="00D9647B"/>
    <w:rsid w:val="00DA3DA0"/>
    <w:rsid w:val="00DA5F5C"/>
    <w:rsid w:val="00DB07C7"/>
    <w:rsid w:val="00DC38D9"/>
    <w:rsid w:val="00DD729A"/>
    <w:rsid w:val="00DE01BA"/>
    <w:rsid w:val="00DF08A7"/>
    <w:rsid w:val="00DF2BD3"/>
    <w:rsid w:val="00E00BEC"/>
    <w:rsid w:val="00E111DF"/>
    <w:rsid w:val="00E123E0"/>
    <w:rsid w:val="00E21FA1"/>
    <w:rsid w:val="00E252FB"/>
    <w:rsid w:val="00E36ACC"/>
    <w:rsid w:val="00E42EFF"/>
    <w:rsid w:val="00E46077"/>
    <w:rsid w:val="00E525AF"/>
    <w:rsid w:val="00E572EC"/>
    <w:rsid w:val="00E57A38"/>
    <w:rsid w:val="00E61D9C"/>
    <w:rsid w:val="00E63202"/>
    <w:rsid w:val="00E703E3"/>
    <w:rsid w:val="00E829A1"/>
    <w:rsid w:val="00E86BC0"/>
    <w:rsid w:val="00E939BA"/>
    <w:rsid w:val="00E95D96"/>
    <w:rsid w:val="00EA0753"/>
    <w:rsid w:val="00EA1A49"/>
    <w:rsid w:val="00EA5758"/>
    <w:rsid w:val="00EA66F9"/>
    <w:rsid w:val="00EB1045"/>
    <w:rsid w:val="00EC1B04"/>
    <w:rsid w:val="00EC25C9"/>
    <w:rsid w:val="00EC2DD7"/>
    <w:rsid w:val="00EE267A"/>
    <w:rsid w:val="00EE58B8"/>
    <w:rsid w:val="00EE6A80"/>
    <w:rsid w:val="00EF0201"/>
    <w:rsid w:val="00EF04B3"/>
    <w:rsid w:val="00EF622D"/>
    <w:rsid w:val="00EF7F96"/>
    <w:rsid w:val="00F06565"/>
    <w:rsid w:val="00F06C11"/>
    <w:rsid w:val="00F14BE0"/>
    <w:rsid w:val="00F302A1"/>
    <w:rsid w:val="00F432E8"/>
    <w:rsid w:val="00F44087"/>
    <w:rsid w:val="00F45755"/>
    <w:rsid w:val="00F45F62"/>
    <w:rsid w:val="00F51952"/>
    <w:rsid w:val="00F560CF"/>
    <w:rsid w:val="00F57041"/>
    <w:rsid w:val="00F61898"/>
    <w:rsid w:val="00F6535B"/>
    <w:rsid w:val="00F749FA"/>
    <w:rsid w:val="00F7760F"/>
    <w:rsid w:val="00F80FC5"/>
    <w:rsid w:val="00F833F3"/>
    <w:rsid w:val="00F83F67"/>
    <w:rsid w:val="00F8728B"/>
    <w:rsid w:val="00F957FD"/>
    <w:rsid w:val="00F95B4A"/>
    <w:rsid w:val="00F97528"/>
    <w:rsid w:val="00FA3028"/>
    <w:rsid w:val="00FA5058"/>
    <w:rsid w:val="00FB77DA"/>
    <w:rsid w:val="00FC02BA"/>
    <w:rsid w:val="00FC3198"/>
    <w:rsid w:val="00FD3CBB"/>
    <w:rsid w:val="00FD42D6"/>
    <w:rsid w:val="00FE151D"/>
    <w:rsid w:val="00FE1D9D"/>
    <w:rsid w:val="00FF5362"/>
    <w:rsid w:val="00FF7142"/>
    <w:rsid w:val="729307E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o:shapelayout v:ext="edit">
      <o:idmap v:ext="edit" data="2"/>
    </o:shapelayout>
  </w:shapeDefaults>
  <w:decimalSymbol w:val=","/>
  <w:listSeparator w:val=";"/>
  <w14:docId w14:val="48B7E808"/>
  <w15:docId w15:val="{CCA7F3DF-6086-4440-9B0F-F1C5E318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3DA0"/>
    <w:pPr>
      <w:spacing w:line="240" w:lineRule="auto"/>
    </w:pPr>
    <w:rPr>
      <w:sz w:val="20"/>
      <w:szCs w:val="20"/>
    </w:rPr>
  </w:style>
  <w:style w:type="character" w:customStyle="1" w:styleId="TextonotapieCar">
    <w:name w:val="Texto nota pie Car"/>
    <w:basedOn w:val="Fuentedeprrafopredeter"/>
    <w:link w:val="Textonotapie"/>
    <w:uiPriority w:val="99"/>
    <w:semiHidden/>
    <w:rsid w:val="00DA3DA0"/>
    <w:rPr>
      <w:rFonts w:ascii="Times New Roman" w:hAnsi="Times New Roman"/>
      <w:sz w:val="20"/>
      <w:szCs w:val="20"/>
    </w:rPr>
  </w:style>
  <w:style w:type="character" w:styleId="Refdenotaalpie">
    <w:name w:val="footnote reference"/>
    <w:basedOn w:val="Fuentedeprrafopredeter"/>
    <w:uiPriority w:val="99"/>
    <w:semiHidden/>
    <w:unhideWhenUsed/>
    <w:rsid w:val="00DA3DA0"/>
    <w:rPr>
      <w:vertAlign w:val="superscript"/>
    </w:rPr>
  </w:style>
  <w:style w:type="paragraph" w:styleId="Prrafodelista">
    <w:name w:val="List Paragraph"/>
    <w:basedOn w:val="Normal"/>
    <w:uiPriority w:val="34"/>
    <w:qFormat/>
    <w:rsid w:val="00122854"/>
    <w:pPr>
      <w:ind w:left="720"/>
      <w:contextualSpacing/>
    </w:pPr>
  </w:style>
  <w:style w:type="paragraph" w:styleId="Revisin">
    <w:name w:val="Revision"/>
    <w:hidden/>
    <w:uiPriority w:val="99"/>
    <w:semiHidden/>
    <w:rsid w:val="00900261"/>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496EFF"/>
    <w:rPr>
      <w:sz w:val="16"/>
      <w:szCs w:val="16"/>
    </w:rPr>
  </w:style>
  <w:style w:type="paragraph" w:styleId="Textocomentario">
    <w:name w:val="annotation text"/>
    <w:basedOn w:val="Normal"/>
    <w:link w:val="TextocomentarioCar"/>
    <w:uiPriority w:val="99"/>
    <w:unhideWhenUsed/>
    <w:rsid w:val="00496EFF"/>
    <w:pPr>
      <w:spacing w:line="240" w:lineRule="auto"/>
    </w:pPr>
    <w:rPr>
      <w:sz w:val="20"/>
      <w:szCs w:val="20"/>
    </w:rPr>
  </w:style>
  <w:style w:type="character" w:customStyle="1" w:styleId="TextocomentarioCar">
    <w:name w:val="Texto comentario Car"/>
    <w:basedOn w:val="Fuentedeprrafopredeter"/>
    <w:link w:val="Textocomentario"/>
    <w:uiPriority w:val="99"/>
    <w:rsid w:val="00496EF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496EFF"/>
    <w:rPr>
      <w:b/>
      <w:bCs/>
    </w:rPr>
  </w:style>
  <w:style w:type="character" w:customStyle="1" w:styleId="AsuntodelcomentarioCar">
    <w:name w:val="Asunto del comentario Car"/>
    <w:basedOn w:val="TextocomentarioCar"/>
    <w:link w:val="Asuntodelcomentario"/>
    <w:uiPriority w:val="99"/>
    <w:semiHidden/>
    <w:rsid w:val="00496EFF"/>
    <w:rPr>
      <w:rFonts w:ascii="Times New Roman" w:hAnsi="Times New Roman"/>
      <w:b/>
      <w:bCs/>
      <w:sz w:val="20"/>
      <w:szCs w:val="20"/>
    </w:rPr>
  </w:style>
  <w:style w:type="character" w:styleId="Mencinsinresolver">
    <w:name w:val="Unresolved Mention"/>
    <w:basedOn w:val="Fuentedeprrafopredeter"/>
    <w:uiPriority w:val="99"/>
    <w:semiHidden/>
    <w:unhideWhenUsed/>
    <w:rsid w:val="0077039B"/>
    <w:rPr>
      <w:color w:val="605E5C"/>
      <w:shd w:val="clear" w:color="auto" w:fill="E1DFDD"/>
    </w:rPr>
  </w:style>
  <w:style w:type="character" w:styleId="Mencionar">
    <w:name w:val="Mention"/>
    <w:basedOn w:val="Fuentedeprrafopredeter"/>
    <w:uiPriority w:val="99"/>
    <w:unhideWhenUsed/>
    <w:rsid w:val="007335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image" Target="media/image8.emf"/><Relationship Id="rId39" Type="http://schemas.openxmlformats.org/officeDocument/2006/relationships/fontTable" Target="fontTable.xml"/><Relationship Id="rId21" Type="http://schemas.openxmlformats.org/officeDocument/2006/relationships/oleObject" Target="embeddings/oleObject6.bin"/><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5.e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image" Target="media/image10.emf"/><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oleObject" Target="embeddings/oleObject7.bin"/><Relationship Id="rId28" Type="http://schemas.openxmlformats.org/officeDocument/2006/relationships/image" Target="media/image9.emf"/><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oleObject" Target="embeddings/oleObject5.bin"/><Relationship Id="rId31" Type="http://schemas.openxmlformats.org/officeDocument/2006/relationships/hyperlink" Target="mailto:supen@supen.fi.c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6.emf"/><Relationship Id="rId27" Type="http://schemas.openxmlformats.org/officeDocument/2006/relationships/package" Target="embeddings/Microsoft_Word_Document.docx"/><Relationship Id="rId30" Type="http://schemas.openxmlformats.org/officeDocument/2006/relationships/hyperlink" Target="mailto:supen@supen.fi.cr"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oleObject" Target="embeddings/oleObject8.bin"/><Relationship Id="rId33" Type="http://schemas.openxmlformats.org/officeDocument/2006/relationships/oleObject" Target="embeddings/oleObject10.bin"/><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tmp"/></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F4D21"/>
    <w:rsid w:val="00106081"/>
    <w:rsid w:val="00161F15"/>
    <w:rsid w:val="001A55FB"/>
    <w:rsid w:val="001B4880"/>
    <w:rsid w:val="00201E6C"/>
    <w:rsid w:val="003253CC"/>
    <w:rsid w:val="003737DC"/>
    <w:rsid w:val="003B3D45"/>
    <w:rsid w:val="003B6904"/>
    <w:rsid w:val="003F09B8"/>
    <w:rsid w:val="004F46CD"/>
    <w:rsid w:val="0058705D"/>
    <w:rsid w:val="00612928"/>
    <w:rsid w:val="00642915"/>
    <w:rsid w:val="006D7923"/>
    <w:rsid w:val="006E2338"/>
    <w:rsid w:val="00745891"/>
    <w:rsid w:val="007465A6"/>
    <w:rsid w:val="00772D81"/>
    <w:rsid w:val="008945E2"/>
    <w:rsid w:val="009D6228"/>
    <w:rsid w:val="00A83C1D"/>
    <w:rsid w:val="00CB2324"/>
    <w:rsid w:val="00D63EE2"/>
    <w:rsid w:val="00E00BEC"/>
    <w:rsid w:val="00E123E0"/>
    <w:rsid w:val="00F15486"/>
    <w:rsid w:val="00FA3028"/>
    <w:rsid w:val="00FE56FB"/>
    <w:rsid w:val="00FF76A9"/>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69d38d-c069-47fd-a86d-65acf93227a5" xsi:nil="true"/>
    <lcf76f155ced4ddcb4097134ff3c332f xmlns="6ac3b616-3039-448c-a622-822692bef430">
      <Terms xmlns="http://schemas.microsoft.com/office/infopath/2007/PartnerControls"/>
    </lcf76f155ced4ddcb4097134ff3c332f>
    <IdEvento xmlns="6ac3b616-3039-448c-a622-822692bef430" xsi:nil="true"/>
    <IdSession xmlns="6ac3b616-3039-448c-a622-822692bef430" xsi:nil="true"/>
    <Estado xmlns="6ac3b616-3039-448c-a622-822692bef430" xsi:nil="true"/>
    <Evento xmlns="6ac3b616-3039-448c-a622-822692bef430">
      <Url>https://si.supen.fi.cr/Tramites/Tram_Detalle_Evento.aspx?evento=2025006081&amp;op=3</Url>
      <Description>2025006081</Description>
    </Evento>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2.xml><?xml version="1.0" encoding="utf-8"?>
<ds:datastoreItem xmlns:ds="http://schemas.openxmlformats.org/officeDocument/2006/customXml" ds:itemID="{E6C43985-B90A-4CDA-84E1-52F53D927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ef69d38d-c069-47fd-a86d-65acf93227a5"/>
    <ds:schemaRef ds:uri="6ac3b616-3039-448c-a622-822692bef430"/>
  </ds:schemaRefs>
</ds:datastoreItem>
</file>

<file path=customXml/itemProps4.xml><?xml version="1.0" encoding="utf-8"?>
<ds:datastoreItem xmlns:ds="http://schemas.openxmlformats.org/officeDocument/2006/customXml" ds:itemID="{490980CC-A704-4EB5-9B04-6115715A9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7</Pages>
  <Words>2880</Words>
  <Characters>15843</Characters>
  <Application>Microsoft Office Word</Application>
  <DocSecurity>0</DocSecurity>
  <Lines>132</Lines>
  <Paragraphs>37</Paragraphs>
  <ScaleCrop>false</ScaleCrop>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Externas.docx</dc:title>
  <dc:subject/>
  <dc:creator>ROJAS VALVERDE DIEGO ANTONIO</dc:creator>
  <cp:keywords/>
  <dc:description/>
  <cp:lastModifiedBy>RODRIGUEZ BOVIERI GIANFRANCO</cp:lastModifiedBy>
  <cp:revision>2</cp:revision>
  <cp:lastPrinted>2016-11-07T20:19:00Z</cp:lastPrinted>
  <dcterms:created xsi:type="dcterms:W3CDTF">2025-06-25T22:27:00Z</dcterms:created>
  <dcterms:modified xsi:type="dcterms:W3CDTF">2025-06-25T22:27:00Z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ClassificationContentMarkingFooterShapeIds">
    <vt:lpwstr>68640749,14b436ea,745fc5cc</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2024-11-01T22:43:06Z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8e8c022b-8414-4ffd-87bd-9904dabe1b8f</vt:lpwstr>
  </property>
  <property fmtid="{D5CDD505-2E9C-101B-9397-08002B2CF9AE}" pid="12" name="MSIP_Label_b8b4be34-365a-4a68-b9fb-75c1b6874315_ContentBits">
    <vt:lpwstr>2</vt:lpwstr>
  </property>
  <property fmtid="{D5CDD505-2E9C-101B-9397-08002B2CF9AE}" pid="13" name="MediaServiceImageTags">
    <vt:lpwstr/>
  </property>
</Properties>
</file>