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7B5D" w14:textId="669F894D" w:rsidR="00A67A7C" w:rsidRPr="004539A2" w:rsidRDefault="00A67A7C" w:rsidP="004539A2"/>
    <w:p w14:paraId="0F875C72" w14:textId="33A0682E" w:rsidR="00123A40" w:rsidRDefault="005960D3" w:rsidP="00015663">
      <w:pPr>
        <w:pStyle w:val="Sinespaciado"/>
        <w:jc w:val="both"/>
        <w:rPr>
          <w:rFonts w:cstheme="minorHAnsi"/>
          <w:b/>
          <w:bCs/>
          <w:sz w:val="24"/>
          <w:szCs w:val="24"/>
        </w:rPr>
      </w:pPr>
      <w:bookmarkStart w:id="0" w:name="_Hlk8031810"/>
      <w:bookmarkEnd w:id="0"/>
      <w:r w:rsidRPr="005960D3">
        <w:rPr>
          <w:rFonts w:cstheme="minorHAnsi"/>
          <w:b/>
          <w:bCs/>
          <w:noProof/>
          <w:sz w:val="24"/>
          <w:szCs w:val="24"/>
        </w:rPr>
        <mc:AlternateContent>
          <mc:Choice Requires="wps">
            <w:drawing>
              <wp:anchor distT="0" distB="0" distL="457200" distR="118745" simplePos="0" relativeHeight="251657216" behindDoc="0" locked="0" layoutInCell="0" allowOverlap="1" wp14:anchorId="26E4EC40" wp14:editId="2AC0015F">
                <wp:simplePos x="0" y="0"/>
                <wp:positionH relativeFrom="margin">
                  <wp:posOffset>1482090</wp:posOffset>
                </wp:positionH>
                <wp:positionV relativeFrom="paragraph">
                  <wp:posOffset>23495</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C72835B"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40"/>
                                <w:szCs w:val="40"/>
                              </w:rPr>
                            </w:pPr>
                            <w:bookmarkStart w:id="1" w:name="_Hlk63666386"/>
                            <w:bookmarkEnd w:id="1"/>
                          </w:p>
                          <w:p w14:paraId="2025FEEC" w14:textId="75D2FFAF" w:rsidR="00EB604E"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3AA7C074" w14:textId="508F00ED" w:rsidR="00EB604E"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19235553"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6CB1546F"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6A012912" w14:textId="77777777" w:rsidR="00EB604E" w:rsidRPr="00007611" w:rsidRDefault="00EB604E" w:rsidP="005960D3">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9919664"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32"/>
                                <w:szCs w:val="40"/>
                              </w:rPr>
                            </w:pPr>
                          </w:p>
                          <w:p w14:paraId="71436805" w14:textId="77777777" w:rsidR="00EB604E" w:rsidRPr="00C26828" w:rsidRDefault="00EB604E" w:rsidP="005960D3">
                            <w:pPr>
                              <w:pBdr>
                                <w:left w:val="single" w:sz="4" w:space="9" w:color="4F81BD" w:themeColor="accent1"/>
                              </w:pBdr>
                              <w:rPr>
                                <w:rFonts w:asciiTheme="majorHAnsi" w:eastAsiaTheme="majorEastAsia" w:hAnsiTheme="majorHAnsi" w:cstheme="majorBidi"/>
                                <w:sz w:val="32"/>
                                <w:szCs w:val="40"/>
                              </w:rPr>
                            </w:pPr>
                          </w:p>
                          <w:p w14:paraId="41FA8506" w14:textId="7346C419" w:rsidR="00EB604E" w:rsidRDefault="00EB604E"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del sistema de pensiones </w:t>
                            </w:r>
                          </w:p>
                          <w:p w14:paraId="42CDFEBD" w14:textId="77777777" w:rsidR="00EB604E" w:rsidRDefault="00EB604E"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73B25E0A" w14:textId="77777777" w:rsidR="00EB604E" w:rsidRPr="00AC2538" w:rsidRDefault="00EB604E" w:rsidP="005960D3">
                            <w:pPr>
                              <w:pBdr>
                                <w:left w:val="single" w:sz="4" w:space="9" w:color="4F81BD" w:themeColor="accent1"/>
                              </w:pBdr>
                              <w:jc w:val="center"/>
                              <w:rPr>
                                <w:rFonts w:asciiTheme="majorHAnsi" w:eastAsiaTheme="majorEastAsia" w:hAnsiTheme="majorHAnsi" w:cstheme="majorBidi"/>
                                <w:sz w:val="32"/>
                                <w:szCs w:val="40"/>
                              </w:rPr>
                            </w:pPr>
                          </w:p>
                          <w:p w14:paraId="1CCEAD7B" w14:textId="11820D45" w:rsidR="00EB604E" w:rsidRPr="00AC2538" w:rsidRDefault="00EB604E" w:rsidP="005960D3">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 t</w:t>
                            </w:r>
                            <w:r w:rsidRPr="00AC2538">
                              <w:rPr>
                                <w:rFonts w:asciiTheme="majorHAnsi" w:eastAsiaTheme="majorEastAsia" w:hAnsiTheme="majorHAnsi" w:cstheme="majorBidi"/>
                                <w:sz w:val="32"/>
                                <w:szCs w:val="40"/>
                              </w:rPr>
                              <w:t>rimestre</w:t>
                            </w:r>
                          </w:p>
                          <w:p w14:paraId="3FE2074C" w14:textId="77777777" w:rsidR="00EB604E" w:rsidRPr="00AC2538" w:rsidRDefault="00EB604E" w:rsidP="005960D3">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21</w:t>
                            </w:r>
                          </w:p>
                          <w:p w14:paraId="5D3ED09D" w14:textId="77777777" w:rsidR="00EB604E" w:rsidRPr="00AC2538" w:rsidRDefault="00EB604E" w:rsidP="005960D3">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E4EC40" id="Autoforma 14" o:spid="_x0000_s1026" style="position:absolute;left:0;text-align:left;margin-left:116.7pt;margin-top:1.85pt;width:378.75pt;height:600.4pt;z-index:251657216;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" o:allowincell="f" filled="f" stroked="f" strokeweight="1.25pt">
                <v:textbox inset=",7.2pt,,7.2pt">
                  <w:txbxContent>
                    <w:p w14:paraId="0C72835B"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40"/>
                          <w:szCs w:val="40"/>
                        </w:rPr>
                      </w:pPr>
                      <w:bookmarkStart w:id="2" w:name="_Hlk63666386"/>
                      <w:bookmarkEnd w:id="2"/>
                    </w:p>
                    <w:p w14:paraId="2025FEEC" w14:textId="75D2FFAF" w:rsidR="00EB604E"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3AA7C074" w14:textId="508F00ED" w:rsidR="00EB604E"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19235553"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6CB1546F"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40"/>
                          <w:szCs w:val="40"/>
                        </w:rPr>
                      </w:pPr>
                    </w:p>
                    <w:p w14:paraId="6A012912" w14:textId="77777777" w:rsidR="00EB604E" w:rsidRPr="00007611" w:rsidRDefault="00EB604E" w:rsidP="005960D3">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9919664" w14:textId="77777777" w:rsidR="00EB604E" w:rsidRPr="00C26828" w:rsidRDefault="00EB604E" w:rsidP="005960D3">
                      <w:pPr>
                        <w:pBdr>
                          <w:left w:val="single" w:sz="4" w:space="9" w:color="4F81BD" w:themeColor="accent1"/>
                        </w:pBdr>
                        <w:jc w:val="center"/>
                        <w:rPr>
                          <w:rFonts w:asciiTheme="majorHAnsi" w:eastAsiaTheme="majorEastAsia" w:hAnsiTheme="majorHAnsi" w:cstheme="majorBidi"/>
                          <w:sz w:val="32"/>
                          <w:szCs w:val="40"/>
                        </w:rPr>
                      </w:pPr>
                    </w:p>
                    <w:p w14:paraId="71436805" w14:textId="77777777" w:rsidR="00EB604E" w:rsidRPr="00C26828" w:rsidRDefault="00EB604E" w:rsidP="005960D3">
                      <w:pPr>
                        <w:pBdr>
                          <w:left w:val="single" w:sz="4" w:space="9" w:color="4F81BD" w:themeColor="accent1"/>
                        </w:pBdr>
                        <w:rPr>
                          <w:rFonts w:asciiTheme="majorHAnsi" w:eastAsiaTheme="majorEastAsia" w:hAnsiTheme="majorHAnsi" w:cstheme="majorBidi"/>
                          <w:sz w:val="32"/>
                          <w:szCs w:val="40"/>
                        </w:rPr>
                      </w:pPr>
                    </w:p>
                    <w:p w14:paraId="41FA8506" w14:textId="7346C419" w:rsidR="00EB604E" w:rsidRDefault="00EB604E"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del sistema de pensiones </w:t>
                      </w:r>
                    </w:p>
                    <w:p w14:paraId="42CDFEBD" w14:textId="77777777" w:rsidR="00EB604E" w:rsidRDefault="00EB604E"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73B25E0A" w14:textId="77777777" w:rsidR="00EB604E" w:rsidRPr="00AC2538" w:rsidRDefault="00EB604E" w:rsidP="005960D3">
                      <w:pPr>
                        <w:pBdr>
                          <w:left w:val="single" w:sz="4" w:space="9" w:color="4F81BD" w:themeColor="accent1"/>
                        </w:pBdr>
                        <w:jc w:val="center"/>
                        <w:rPr>
                          <w:rFonts w:asciiTheme="majorHAnsi" w:eastAsiaTheme="majorEastAsia" w:hAnsiTheme="majorHAnsi" w:cstheme="majorBidi"/>
                          <w:sz w:val="32"/>
                          <w:szCs w:val="40"/>
                        </w:rPr>
                      </w:pPr>
                    </w:p>
                    <w:p w14:paraId="1CCEAD7B" w14:textId="11820D45" w:rsidR="00EB604E" w:rsidRPr="00AC2538" w:rsidRDefault="00EB604E" w:rsidP="005960D3">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 t</w:t>
                      </w:r>
                      <w:r w:rsidRPr="00AC2538">
                        <w:rPr>
                          <w:rFonts w:asciiTheme="majorHAnsi" w:eastAsiaTheme="majorEastAsia" w:hAnsiTheme="majorHAnsi" w:cstheme="majorBidi"/>
                          <w:sz w:val="32"/>
                          <w:szCs w:val="40"/>
                        </w:rPr>
                        <w:t>rimestre</w:t>
                      </w:r>
                    </w:p>
                    <w:p w14:paraId="3FE2074C" w14:textId="77777777" w:rsidR="00EB604E" w:rsidRPr="00AC2538" w:rsidRDefault="00EB604E" w:rsidP="005960D3">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21</w:t>
                      </w:r>
                    </w:p>
                    <w:p w14:paraId="5D3ED09D" w14:textId="77777777" w:rsidR="00EB604E" w:rsidRPr="00AC2538" w:rsidRDefault="00EB604E" w:rsidP="005960D3">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251D5DEA" w14:textId="77777777" w:rsidR="00123A40" w:rsidRDefault="00123A40" w:rsidP="00015663">
      <w:pPr>
        <w:pStyle w:val="Sinespaciado"/>
        <w:jc w:val="both"/>
        <w:rPr>
          <w:rFonts w:cstheme="minorHAnsi"/>
          <w:b/>
          <w:bCs/>
          <w:sz w:val="24"/>
          <w:szCs w:val="24"/>
        </w:rPr>
      </w:pPr>
    </w:p>
    <w:p w14:paraId="4C1CA81C" w14:textId="77777777" w:rsidR="00123A40" w:rsidRDefault="00123A40" w:rsidP="00015663">
      <w:pPr>
        <w:pStyle w:val="Sinespaciado"/>
        <w:jc w:val="both"/>
        <w:rPr>
          <w:rFonts w:cstheme="minorHAnsi"/>
          <w:b/>
          <w:bCs/>
          <w:sz w:val="24"/>
          <w:szCs w:val="24"/>
        </w:rPr>
      </w:pPr>
    </w:p>
    <w:p w14:paraId="39639636" w14:textId="77777777" w:rsidR="00123A40" w:rsidRDefault="00123A40" w:rsidP="00015663">
      <w:pPr>
        <w:pStyle w:val="Sinespaciado"/>
        <w:jc w:val="both"/>
        <w:rPr>
          <w:rFonts w:cstheme="minorHAnsi"/>
          <w:b/>
          <w:bCs/>
          <w:sz w:val="24"/>
          <w:szCs w:val="24"/>
        </w:rPr>
      </w:pPr>
    </w:p>
    <w:p w14:paraId="0D5A7994" w14:textId="77777777" w:rsidR="00123A40" w:rsidRDefault="00123A40" w:rsidP="00015663">
      <w:pPr>
        <w:pStyle w:val="Sinespaciado"/>
        <w:jc w:val="both"/>
        <w:rPr>
          <w:rFonts w:cstheme="minorHAnsi"/>
          <w:b/>
          <w:bCs/>
          <w:sz w:val="24"/>
          <w:szCs w:val="24"/>
        </w:rPr>
      </w:pPr>
    </w:p>
    <w:p w14:paraId="32327DF2" w14:textId="77777777" w:rsidR="00123A40" w:rsidRDefault="00123A40" w:rsidP="00015663">
      <w:pPr>
        <w:pStyle w:val="Sinespaciado"/>
        <w:jc w:val="both"/>
        <w:rPr>
          <w:rFonts w:cstheme="minorHAnsi"/>
          <w:b/>
          <w:bCs/>
          <w:sz w:val="24"/>
          <w:szCs w:val="24"/>
        </w:rPr>
      </w:pPr>
    </w:p>
    <w:p w14:paraId="39D4C4EE" w14:textId="77777777" w:rsidR="00123A40" w:rsidRDefault="00123A40" w:rsidP="00015663">
      <w:pPr>
        <w:pStyle w:val="Sinespaciado"/>
        <w:jc w:val="both"/>
        <w:rPr>
          <w:rFonts w:cstheme="minorHAnsi"/>
          <w:b/>
          <w:bCs/>
          <w:sz w:val="24"/>
          <w:szCs w:val="24"/>
        </w:rPr>
      </w:pPr>
    </w:p>
    <w:p w14:paraId="69C4401D" w14:textId="3ABF2A28" w:rsidR="00123A40" w:rsidRDefault="00123A40" w:rsidP="00015663">
      <w:pPr>
        <w:pStyle w:val="Sinespaciado"/>
        <w:jc w:val="both"/>
        <w:rPr>
          <w:rFonts w:cstheme="minorHAnsi"/>
          <w:b/>
          <w:bCs/>
          <w:sz w:val="24"/>
          <w:szCs w:val="24"/>
        </w:rPr>
      </w:pPr>
    </w:p>
    <w:p w14:paraId="30864BB9" w14:textId="5ACFECF6" w:rsidR="00123A40" w:rsidRDefault="00123A40" w:rsidP="00015663">
      <w:pPr>
        <w:pStyle w:val="Sinespaciado"/>
        <w:jc w:val="both"/>
        <w:rPr>
          <w:rFonts w:cstheme="minorHAnsi"/>
          <w:b/>
          <w:bCs/>
          <w:sz w:val="24"/>
          <w:szCs w:val="24"/>
        </w:rPr>
      </w:pPr>
    </w:p>
    <w:p w14:paraId="311D972A" w14:textId="52C119EB" w:rsidR="00123A40" w:rsidRDefault="005960D3" w:rsidP="00015663">
      <w:pPr>
        <w:pStyle w:val="Sinespaciado"/>
        <w:jc w:val="both"/>
        <w:rPr>
          <w:rFonts w:cstheme="minorHAnsi"/>
          <w:b/>
          <w:bCs/>
          <w:sz w:val="24"/>
          <w:szCs w:val="24"/>
        </w:rPr>
      </w:pPr>
      <w:r w:rsidRPr="005960D3">
        <w:rPr>
          <w:rFonts w:cstheme="minorHAnsi"/>
          <w:b/>
          <w:bCs/>
          <w:noProof/>
          <w:sz w:val="24"/>
          <w:szCs w:val="24"/>
        </w:rPr>
        <w:drawing>
          <wp:anchor distT="0" distB="0" distL="114300" distR="114300" simplePos="0" relativeHeight="251655168" behindDoc="1" locked="0" layoutInCell="1" allowOverlap="1" wp14:anchorId="6597ECCE" wp14:editId="48B08911">
            <wp:simplePos x="0" y="0"/>
            <wp:positionH relativeFrom="page">
              <wp:posOffset>310465</wp:posOffset>
            </wp:positionH>
            <wp:positionV relativeFrom="page">
              <wp:posOffset>3119120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57AD0E1C" w14:textId="77777777" w:rsidR="00123A40" w:rsidRDefault="00123A40" w:rsidP="00015663">
      <w:pPr>
        <w:pStyle w:val="Sinespaciado"/>
        <w:jc w:val="both"/>
        <w:rPr>
          <w:rFonts w:cstheme="minorHAnsi"/>
          <w:b/>
          <w:bCs/>
          <w:sz w:val="24"/>
          <w:szCs w:val="24"/>
        </w:rPr>
      </w:pPr>
    </w:p>
    <w:p w14:paraId="0661A610" w14:textId="77777777" w:rsidR="00123A40" w:rsidRDefault="00123A40" w:rsidP="00015663">
      <w:pPr>
        <w:pStyle w:val="Sinespaciado"/>
        <w:jc w:val="both"/>
        <w:rPr>
          <w:rFonts w:cstheme="minorHAnsi"/>
          <w:b/>
          <w:bCs/>
          <w:sz w:val="24"/>
          <w:szCs w:val="24"/>
        </w:rPr>
      </w:pPr>
    </w:p>
    <w:p w14:paraId="24381464" w14:textId="77777777" w:rsidR="00123A40" w:rsidRDefault="00123A40" w:rsidP="00015663">
      <w:pPr>
        <w:pStyle w:val="Sinespaciado"/>
        <w:jc w:val="both"/>
        <w:rPr>
          <w:rFonts w:cstheme="minorHAnsi"/>
          <w:b/>
          <w:bCs/>
          <w:sz w:val="24"/>
          <w:szCs w:val="24"/>
        </w:rPr>
      </w:pPr>
    </w:p>
    <w:p w14:paraId="539570C8" w14:textId="77777777" w:rsidR="00123A40" w:rsidRDefault="00123A40" w:rsidP="00015663">
      <w:pPr>
        <w:pStyle w:val="Sinespaciado"/>
        <w:jc w:val="both"/>
        <w:rPr>
          <w:rFonts w:cstheme="minorHAnsi"/>
          <w:b/>
          <w:bCs/>
          <w:sz w:val="24"/>
          <w:szCs w:val="24"/>
        </w:rPr>
      </w:pPr>
    </w:p>
    <w:p w14:paraId="5B2F392B" w14:textId="77777777" w:rsidR="00123A40" w:rsidRDefault="00123A40" w:rsidP="00015663">
      <w:pPr>
        <w:pStyle w:val="Sinespaciado"/>
        <w:jc w:val="both"/>
        <w:rPr>
          <w:rFonts w:cstheme="minorHAnsi"/>
          <w:b/>
          <w:bCs/>
          <w:sz w:val="24"/>
          <w:szCs w:val="24"/>
        </w:rPr>
      </w:pPr>
    </w:p>
    <w:p w14:paraId="499C89DA" w14:textId="77777777" w:rsidR="00123A40" w:rsidRDefault="00123A40" w:rsidP="00015663">
      <w:pPr>
        <w:pStyle w:val="Sinespaciado"/>
        <w:jc w:val="both"/>
        <w:rPr>
          <w:rFonts w:cstheme="minorHAnsi"/>
          <w:b/>
          <w:bCs/>
          <w:sz w:val="24"/>
          <w:szCs w:val="24"/>
        </w:rPr>
      </w:pPr>
    </w:p>
    <w:p w14:paraId="4EC9DF4E" w14:textId="77777777" w:rsidR="00123A40" w:rsidRDefault="00123A40" w:rsidP="00015663">
      <w:pPr>
        <w:pStyle w:val="Sinespaciado"/>
        <w:jc w:val="both"/>
        <w:rPr>
          <w:rFonts w:cstheme="minorHAnsi"/>
          <w:b/>
          <w:bCs/>
          <w:sz w:val="24"/>
          <w:szCs w:val="24"/>
        </w:rPr>
      </w:pPr>
    </w:p>
    <w:p w14:paraId="600138FB" w14:textId="77777777" w:rsidR="00123A40" w:rsidRDefault="00123A40" w:rsidP="00015663">
      <w:pPr>
        <w:pStyle w:val="Sinespaciado"/>
        <w:jc w:val="both"/>
        <w:rPr>
          <w:rFonts w:cstheme="minorHAnsi"/>
          <w:b/>
          <w:bCs/>
          <w:sz w:val="24"/>
          <w:szCs w:val="24"/>
        </w:rPr>
      </w:pPr>
    </w:p>
    <w:p w14:paraId="0D30FEA0" w14:textId="77777777" w:rsidR="00123A40" w:rsidRDefault="00123A40" w:rsidP="00015663">
      <w:pPr>
        <w:pStyle w:val="Sinespaciado"/>
        <w:jc w:val="both"/>
        <w:rPr>
          <w:rFonts w:cstheme="minorHAnsi"/>
          <w:b/>
          <w:bCs/>
          <w:sz w:val="24"/>
          <w:szCs w:val="24"/>
        </w:rPr>
      </w:pPr>
    </w:p>
    <w:p w14:paraId="73921C10" w14:textId="77777777" w:rsidR="00123A40" w:rsidRDefault="00123A40" w:rsidP="00015663">
      <w:pPr>
        <w:pStyle w:val="Sinespaciado"/>
        <w:jc w:val="both"/>
        <w:rPr>
          <w:rFonts w:cstheme="minorHAnsi"/>
          <w:b/>
          <w:bCs/>
          <w:sz w:val="24"/>
          <w:szCs w:val="24"/>
        </w:rPr>
      </w:pPr>
    </w:p>
    <w:p w14:paraId="34CC67A3" w14:textId="77777777" w:rsidR="00123A40" w:rsidRDefault="00123A40" w:rsidP="00015663">
      <w:pPr>
        <w:pStyle w:val="Sinespaciado"/>
        <w:jc w:val="both"/>
        <w:rPr>
          <w:rFonts w:cstheme="minorHAnsi"/>
          <w:b/>
          <w:bCs/>
          <w:sz w:val="24"/>
          <w:szCs w:val="24"/>
        </w:rPr>
      </w:pPr>
    </w:p>
    <w:p w14:paraId="360A707E" w14:textId="77777777" w:rsidR="00123A40" w:rsidRDefault="00123A40" w:rsidP="00015663">
      <w:pPr>
        <w:pStyle w:val="Sinespaciado"/>
        <w:jc w:val="both"/>
        <w:rPr>
          <w:rFonts w:cstheme="minorHAnsi"/>
          <w:b/>
          <w:bCs/>
          <w:sz w:val="24"/>
          <w:szCs w:val="24"/>
        </w:rPr>
      </w:pPr>
    </w:p>
    <w:p w14:paraId="5B1BFC90" w14:textId="77777777" w:rsidR="00123A40" w:rsidRDefault="00123A40" w:rsidP="00015663">
      <w:pPr>
        <w:pStyle w:val="Sinespaciado"/>
        <w:jc w:val="both"/>
        <w:rPr>
          <w:rFonts w:cstheme="minorHAnsi"/>
          <w:b/>
          <w:bCs/>
          <w:sz w:val="24"/>
          <w:szCs w:val="24"/>
        </w:rPr>
      </w:pPr>
    </w:p>
    <w:p w14:paraId="4C65B3E1" w14:textId="77777777" w:rsidR="00123A40" w:rsidRDefault="00123A40" w:rsidP="00015663">
      <w:pPr>
        <w:pStyle w:val="Sinespaciado"/>
        <w:jc w:val="both"/>
        <w:rPr>
          <w:rFonts w:cstheme="minorHAnsi"/>
          <w:b/>
          <w:bCs/>
          <w:sz w:val="24"/>
          <w:szCs w:val="24"/>
        </w:rPr>
      </w:pPr>
    </w:p>
    <w:p w14:paraId="01666505" w14:textId="77777777" w:rsidR="00123A40" w:rsidRDefault="00123A40" w:rsidP="00015663">
      <w:pPr>
        <w:pStyle w:val="Sinespaciado"/>
        <w:jc w:val="both"/>
        <w:rPr>
          <w:rFonts w:cstheme="minorHAnsi"/>
          <w:b/>
          <w:bCs/>
          <w:sz w:val="24"/>
          <w:szCs w:val="24"/>
        </w:rPr>
      </w:pPr>
    </w:p>
    <w:p w14:paraId="7C8FD112" w14:textId="77777777" w:rsidR="00123A40" w:rsidRDefault="00123A40" w:rsidP="00015663">
      <w:pPr>
        <w:pStyle w:val="Sinespaciado"/>
        <w:jc w:val="both"/>
        <w:rPr>
          <w:rFonts w:cstheme="minorHAnsi"/>
          <w:b/>
          <w:bCs/>
          <w:sz w:val="24"/>
          <w:szCs w:val="24"/>
        </w:rPr>
      </w:pPr>
    </w:p>
    <w:p w14:paraId="2A6A9143" w14:textId="77777777" w:rsidR="00123A40" w:rsidRDefault="00123A40" w:rsidP="00015663">
      <w:pPr>
        <w:pStyle w:val="Sinespaciado"/>
        <w:jc w:val="both"/>
        <w:rPr>
          <w:rFonts w:cstheme="minorHAnsi"/>
          <w:b/>
          <w:bCs/>
          <w:sz w:val="24"/>
          <w:szCs w:val="24"/>
        </w:rPr>
      </w:pPr>
    </w:p>
    <w:p w14:paraId="7F40A28C" w14:textId="77777777" w:rsidR="00123A40" w:rsidRDefault="00123A40" w:rsidP="00015663">
      <w:pPr>
        <w:pStyle w:val="Sinespaciado"/>
        <w:jc w:val="both"/>
        <w:rPr>
          <w:rFonts w:cstheme="minorHAnsi"/>
          <w:b/>
          <w:bCs/>
          <w:sz w:val="24"/>
          <w:szCs w:val="24"/>
        </w:rPr>
      </w:pPr>
    </w:p>
    <w:p w14:paraId="004D80A3" w14:textId="77777777" w:rsidR="00123A40" w:rsidRDefault="00123A40" w:rsidP="00015663">
      <w:pPr>
        <w:pStyle w:val="Sinespaciado"/>
        <w:jc w:val="both"/>
        <w:rPr>
          <w:rFonts w:cstheme="minorHAnsi"/>
          <w:b/>
          <w:bCs/>
          <w:sz w:val="24"/>
          <w:szCs w:val="24"/>
        </w:rPr>
      </w:pPr>
    </w:p>
    <w:p w14:paraId="6D590802" w14:textId="77777777" w:rsidR="00123A40" w:rsidRDefault="00123A40" w:rsidP="00015663">
      <w:pPr>
        <w:pStyle w:val="Sinespaciado"/>
        <w:jc w:val="both"/>
        <w:rPr>
          <w:rFonts w:cstheme="minorHAnsi"/>
          <w:b/>
          <w:bCs/>
          <w:sz w:val="24"/>
          <w:szCs w:val="24"/>
        </w:rPr>
      </w:pPr>
    </w:p>
    <w:p w14:paraId="744AB528" w14:textId="77777777" w:rsidR="00123A40" w:rsidRDefault="00123A40" w:rsidP="00015663">
      <w:pPr>
        <w:pStyle w:val="Sinespaciado"/>
        <w:jc w:val="both"/>
        <w:rPr>
          <w:rFonts w:cstheme="minorHAnsi"/>
          <w:b/>
          <w:bCs/>
          <w:sz w:val="24"/>
          <w:szCs w:val="24"/>
        </w:rPr>
      </w:pPr>
    </w:p>
    <w:p w14:paraId="4196DD4B" w14:textId="77777777" w:rsidR="00123A40" w:rsidRDefault="00123A40" w:rsidP="00015663">
      <w:pPr>
        <w:pStyle w:val="Sinespaciado"/>
        <w:jc w:val="both"/>
        <w:rPr>
          <w:rFonts w:cstheme="minorHAnsi"/>
          <w:b/>
          <w:bCs/>
          <w:sz w:val="24"/>
          <w:szCs w:val="24"/>
        </w:rPr>
      </w:pPr>
    </w:p>
    <w:p w14:paraId="470E1DBD" w14:textId="77777777" w:rsidR="00123A40" w:rsidRDefault="00123A40" w:rsidP="00015663">
      <w:pPr>
        <w:pStyle w:val="Sinespaciado"/>
        <w:jc w:val="both"/>
        <w:rPr>
          <w:rFonts w:cstheme="minorHAnsi"/>
          <w:b/>
          <w:bCs/>
          <w:sz w:val="24"/>
          <w:szCs w:val="24"/>
        </w:rPr>
      </w:pPr>
    </w:p>
    <w:p w14:paraId="6BF899BE" w14:textId="77777777" w:rsidR="00123A40" w:rsidRDefault="00123A40" w:rsidP="00015663">
      <w:pPr>
        <w:pStyle w:val="Sinespaciado"/>
        <w:jc w:val="both"/>
        <w:rPr>
          <w:rFonts w:cstheme="minorHAnsi"/>
          <w:b/>
          <w:bCs/>
          <w:sz w:val="24"/>
          <w:szCs w:val="24"/>
        </w:rPr>
      </w:pPr>
    </w:p>
    <w:p w14:paraId="13CC40A7" w14:textId="77777777" w:rsidR="00123A40" w:rsidRDefault="00123A40" w:rsidP="00015663">
      <w:pPr>
        <w:pStyle w:val="Sinespaciado"/>
        <w:jc w:val="both"/>
        <w:rPr>
          <w:rFonts w:cstheme="minorHAnsi"/>
          <w:b/>
          <w:bCs/>
          <w:sz w:val="24"/>
          <w:szCs w:val="24"/>
        </w:rPr>
      </w:pPr>
    </w:p>
    <w:p w14:paraId="2126E221" w14:textId="77777777" w:rsidR="00123A40" w:rsidRDefault="00123A40" w:rsidP="00015663">
      <w:pPr>
        <w:pStyle w:val="Sinespaciado"/>
        <w:jc w:val="both"/>
        <w:rPr>
          <w:rFonts w:cstheme="minorHAnsi"/>
          <w:b/>
          <w:bCs/>
          <w:sz w:val="24"/>
          <w:szCs w:val="24"/>
        </w:rPr>
      </w:pPr>
    </w:p>
    <w:p w14:paraId="1982BD05" w14:textId="44378645" w:rsidR="00123A40" w:rsidRDefault="00123A40" w:rsidP="00015663">
      <w:pPr>
        <w:pStyle w:val="Sinespaciado"/>
        <w:jc w:val="both"/>
        <w:rPr>
          <w:rFonts w:cstheme="minorHAnsi"/>
          <w:b/>
          <w:bCs/>
          <w:sz w:val="24"/>
          <w:szCs w:val="24"/>
        </w:rPr>
        <w:sectPr w:rsidR="00123A40">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pPr>
    </w:p>
    <w:sdt>
      <w:sdtPr>
        <w:rPr>
          <w:rFonts w:asciiTheme="minorHAnsi" w:eastAsiaTheme="minorHAnsi" w:hAnsiTheme="minorHAnsi" w:cstheme="minorBidi"/>
          <w:color w:val="auto"/>
          <w:sz w:val="22"/>
          <w:szCs w:val="22"/>
          <w:lang w:val="es-ES" w:eastAsia="en-US"/>
        </w:rPr>
        <w:id w:val="-2022850974"/>
        <w:docPartObj>
          <w:docPartGallery w:val="Table of Contents"/>
          <w:docPartUnique/>
        </w:docPartObj>
      </w:sdtPr>
      <w:sdtEndPr>
        <w:rPr>
          <w:b/>
          <w:bCs/>
        </w:rPr>
      </w:sdtEndPr>
      <w:sdtContent>
        <w:p w14:paraId="70F42BFF" w14:textId="5D1D2F93" w:rsidR="00C7675B" w:rsidRDefault="00C7675B">
          <w:pPr>
            <w:pStyle w:val="TtuloTDC"/>
          </w:pPr>
          <w:r w:rsidRPr="00325C3A">
            <w:rPr>
              <w:lang w:val="es-ES"/>
            </w:rPr>
            <w:t>Contenido</w:t>
          </w:r>
        </w:p>
        <w:p w14:paraId="11BD2573" w14:textId="0A5E3814" w:rsidR="004539A2" w:rsidRDefault="00C7675B">
          <w:pPr>
            <w:pStyle w:val="TDC1"/>
            <w:tabs>
              <w:tab w:val="right" w:leader="dot" w:pos="9629"/>
            </w:tabs>
            <w:rPr>
              <w:rFonts w:eastAsiaTheme="minorEastAsia"/>
              <w:noProof/>
              <w:lang w:val="es-CR" w:eastAsia="es-CR"/>
            </w:rPr>
          </w:pPr>
          <w:r>
            <w:fldChar w:fldCharType="begin"/>
          </w:r>
          <w:r>
            <w:instrText xml:space="preserve"> TOC \o "1-3" \h \z \u </w:instrText>
          </w:r>
          <w:r>
            <w:fldChar w:fldCharType="separate"/>
          </w:r>
          <w:hyperlink w:anchor="_Toc89330993" w:history="1">
            <w:r w:rsidR="004539A2" w:rsidRPr="005D71FA">
              <w:rPr>
                <w:rStyle w:val="Hipervnculo"/>
                <w:noProof/>
              </w:rPr>
              <w:t>ESTADÍSTICAS: AFILIADOS, PENSIONADOS Y PENSIÓN PROMEDIO</w:t>
            </w:r>
            <w:r w:rsidR="004539A2">
              <w:rPr>
                <w:noProof/>
                <w:webHidden/>
              </w:rPr>
              <w:tab/>
            </w:r>
            <w:r w:rsidR="004539A2">
              <w:rPr>
                <w:noProof/>
                <w:webHidden/>
              </w:rPr>
              <w:fldChar w:fldCharType="begin"/>
            </w:r>
            <w:r w:rsidR="004539A2">
              <w:rPr>
                <w:noProof/>
                <w:webHidden/>
              </w:rPr>
              <w:instrText xml:space="preserve"> PAGEREF _Toc89330993 \h </w:instrText>
            </w:r>
            <w:r w:rsidR="004539A2">
              <w:rPr>
                <w:noProof/>
                <w:webHidden/>
              </w:rPr>
            </w:r>
            <w:r w:rsidR="004539A2">
              <w:rPr>
                <w:noProof/>
                <w:webHidden/>
              </w:rPr>
              <w:fldChar w:fldCharType="separate"/>
            </w:r>
            <w:r w:rsidR="00B55F75">
              <w:rPr>
                <w:noProof/>
                <w:webHidden/>
              </w:rPr>
              <w:t>3</w:t>
            </w:r>
            <w:r w:rsidR="004539A2">
              <w:rPr>
                <w:noProof/>
                <w:webHidden/>
              </w:rPr>
              <w:fldChar w:fldCharType="end"/>
            </w:r>
          </w:hyperlink>
        </w:p>
        <w:p w14:paraId="2052759C" w14:textId="3DE0409D" w:rsidR="004539A2" w:rsidRDefault="004539A2">
          <w:pPr>
            <w:pStyle w:val="TDC1"/>
            <w:tabs>
              <w:tab w:val="right" w:leader="dot" w:pos="9629"/>
            </w:tabs>
            <w:rPr>
              <w:rFonts w:eastAsiaTheme="minorEastAsia"/>
              <w:noProof/>
              <w:lang w:val="es-CR" w:eastAsia="es-CR"/>
            </w:rPr>
          </w:pPr>
          <w:hyperlink w:anchor="_Toc89330994" w:history="1">
            <w:r w:rsidRPr="005D71FA">
              <w:rPr>
                <w:rStyle w:val="Hipervnculo"/>
                <w:noProof/>
              </w:rPr>
              <w:t>HECHOS RELEVANTES DEL TRIMESTRE</w:t>
            </w:r>
            <w:r>
              <w:rPr>
                <w:noProof/>
                <w:webHidden/>
              </w:rPr>
              <w:tab/>
            </w:r>
            <w:r>
              <w:rPr>
                <w:noProof/>
                <w:webHidden/>
              </w:rPr>
              <w:fldChar w:fldCharType="begin"/>
            </w:r>
            <w:r>
              <w:rPr>
                <w:noProof/>
                <w:webHidden/>
              </w:rPr>
              <w:instrText xml:space="preserve"> PAGEREF _Toc89330994 \h </w:instrText>
            </w:r>
            <w:r>
              <w:rPr>
                <w:noProof/>
                <w:webHidden/>
              </w:rPr>
            </w:r>
            <w:r>
              <w:rPr>
                <w:noProof/>
                <w:webHidden/>
              </w:rPr>
              <w:fldChar w:fldCharType="separate"/>
            </w:r>
            <w:r w:rsidR="00B55F75">
              <w:rPr>
                <w:noProof/>
                <w:webHidden/>
              </w:rPr>
              <w:t>4</w:t>
            </w:r>
            <w:r>
              <w:rPr>
                <w:noProof/>
                <w:webHidden/>
              </w:rPr>
              <w:fldChar w:fldCharType="end"/>
            </w:r>
          </w:hyperlink>
        </w:p>
        <w:p w14:paraId="1676AA6E" w14:textId="3F45A216" w:rsidR="004539A2" w:rsidRDefault="004539A2">
          <w:pPr>
            <w:pStyle w:val="TDC2"/>
            <w:tabs>
              <w:tab w:val="left" w:pos="880"/>
              <w:tab w:val="right" w:leader="dot" w:pos="9629"/>
            </w:tabs>
            <w:rPr>
              <w:rFonts w:eastAsiaTheme="minorEastAsia"/>
              <w:noProof/>
              <w:lang w:val="es-CR" w:eastAsia="es-CR"/>
            </w:rPr>
          </w:pPr>
          <w:hyperlink w:anchor="_Toc89330995" w:history="1">
            <w:r w:rsidRPr="005D71FA">
              <w:rPr>
                <w:rStyle w:val="Hipervnculo"/>
                <w:noProof/>
              </w:rPr>
              <w:t>2.1.</w:t>
            </w:r>
            <w:r>
              <w:rPr>
                <w:rFonts w:eastAsiaTheme="minorEastAsia"/>
                <w:noProof/>
                <w:lang w:val="es-CR" w:eastAsia="es-CR"/>
              </w:rPr>
              <w:tab/>
            </w:r>
            <w:r w:rsidRPr="005D71FA">
              <w:rPr>
                <w:rStyle w:val="Hipervnculo"/>
                <w:noProof/>
              </w:rPr>
              <w:t>Traslado de recursos al RNC</w:t>
            </w:r>
            <w:r>
              <w:rPr>
                <w:noProof/>
                <w:webHidden/>
              </w:rPr>
              <w:tab/>
            </w:r>
            <w:r>
              <w:rPr>
                <w:noProof/>
                <w:webHidden/>
              </w:rPr>
              <w:fldChar w:fldCharType="begin"/>
            </w:r>
            <w:r>
              <w:rPr>
                <w:noProof/>
                <w:webHidden/>
              </w:rPr>
              <w:instrText xml:space="preserve"> PAGEREF _Toc89330995 \h </w:instrText>
            </w:r>
            <w:r>
              <w:rPr>
                <w:noProof/>
                <w:webHidden/>
              </w:rPr>
            </w:r>
            <w:r>
              <w:rPr>
                <w:noProof/>
                <w:webHidden/>
              </w:rPr>
              <w:fldChar w:fldCharType="separate"/>
            </w:r>
            <w:r w:rsidR="00B55F75">
              <w:rPr>
                <w:noProof/>
                <w:webHidden/>
              </w:rPr>
              <w:t>4</w:t>
            </w:r>
            <w:r>
              <w:rPr>
                <w:noProof/>
                <w:webHidden/>
              </w:rPr>
              <w:fldChar w:fldCharType="end"/>
            </w:r>
          </w:hyperlink>
        </w:p>
        <w:p w14:paraId="6174FFBF" w14:textId="487B2F50" w:rsidR="004539A2" w:rsidRDefault="004539A2">
          <w:pPr>
            <w:pStyle w:val="TDC2"/>
            <w:tabs>
              <w:tab w:val="left" w:pos="880"/>
              <w:tab w:val="right" w:leader="dot" w:pos="9629"/>
            </w:tabs>
            <w:rPr>
              <w:rFonts w:eastAsiaTheme="minorEastAsia"/>
              <w:noProof/>
              <w:lang w:val="es-CR" w:eastAsia="es-CR"/>
            </w:rPr>
          </w:pPr>
          <w:hyperlink w:anchor="_Toc89330996" w:history="1">
            <w:r w:rsidRPr="005D71FA">
              <w:rPr>
                <w:rStyle w:val="Hipervnculo"/>
                <w:noProof/>
              </w:rPr>
              <w:t>2.2.</w:t>
            </w:r>
            <w:r>
              <w:rPr>
                <w:rFonts w:eastAsiaTheme="minorEastAsia"/>
                <w:noProof/>
                <w:lang w:val="es-CR" w:eastAsia="es-CR"/>
              </w:rPr>
              <w:tab/>
            </w:r>
            <w:r w:rsidRPr="005D71FA">
              <w:rPr>
                <w:rStyle w:val="Hipervnculo"/>
                <w:noProof/>
              </w:rPr>
              <w:t>Activos administrados</w:t>
            </w:r>
            <w:r>
              <w:rPr>
                <w:noProof/>
                <w:webHidden/>
              </w:rPr>
              <w:tab/>
            </w:r>
            <w:r>
              <w:rPr>
                <w:noProof/>
                <w:webHidden/>
              </w:rPr>
              <w:fldChar w:fldCharType="begin"/>
            </w:r>
            <w:r>
              <w:rPr>
                <w:noProof/>
                <w:webHidden/>
              </w:rPr>
              <w:instrText xml:space="preserve"> PAGEREF _Toc89330996 \h </w:instrText>
            </w:r>
            <w:r>
              <w:rPr>
                <w:noProof/>
                <w:webHidden/>
              </w:rPr>
            </w:r>
            <w:r>
              <w:rPr>
                <w:noProof/>
                <w:webHidden/>
              </w:rPr>
              <w:fldChar w:fldCharType="separate"/>
            </w:r>
            <w:r w:rsidR="00B55F75">
              <w:rPr>
                <w:noProof/>
                <w:webHidden/>
              </w:rPr>
              <w:t>6</w:t>
            </w:r>
            <w:r>
              <w:rPr>
                <w:noProof/>
                <w:webHidden/>
              </w:rPr>
              <w:fldChar w:fldCharType="end"/>
            </w:r>
          </w:hyperlink>
        </w:p>
        <w:p w14:paraId="60842EA8" w14:textId="0C75AAD6" w:rsidR="004539A2" w:rsidRDefault="004539A2">
          <w:pPr>
            <w:pStyle w:val="TDC3"/>
            <w:tabs>
              <w:tab w:val="left" w:pos="1320"/>
              <w:tab w:val="right" w:leader="dot" w:pos="9629"/>
            </w:tabs>
            <w:rPr>
              <w:rFonts w:eastAsiaTheme="minorEastAsia"/>
              <w:noProof/>
              <w:lang w:val="es-CR" w:eastAsia="es-CR"/>
            </w:rPr>
          </w:pPr>
          <w:hyperlink w:anchor="_Toc89330997" w:history="1">
            <w:r w:rsidRPr="005D71FA">
              <w:rPr>
                <w:rStyle w:val="Hipervnculo"/>
                <w:noProof/>
              </w:rPr>
              <w:t>2.2.1.</w:t>
            </w:r>
            <w:r>
              <w:rPr>
                <w:rFonts w:eastAsiaTheme="minorEastAsia"/>
                <w:noProof/>
                <w:lang w:val="es-CR" w:eastAsia="es-CR"/>
              </w:rPr>
              <w:tab/>
            </w:r>
            <w:r w:rsidRPr="005D71FA">
              <w:rPr>
                <w:rStyle w:val="Hipervnculo"/>
                <w:noProof/>
              </w:rPr>
              <w:t>Crecimiento de los activos administrados</w:t>
            </w:r>
            <w:r>
              <w:rPr>
                <w:noProof/>
                <w:webHidden/>
              </w:rPr>
              <w:tab/>
            </w:r>
            <w:r>
              <w:rPr>
                <w:noProof/>
                <w:webHidden/>
              </w:rPr>
              <w:fldChar w:fldCharType="begin"/>
            </w:r>
            <w:r>
              <w:rPr>
                <w:noProof/>
                <w:webHidden/>
              </w:rPr>
              <w:instrText xml:space="preserve"> PAGEREF _Toc89330997 \h </w:instrText>
            </w:r>
            <w:r>
              <w:rPr>
                <w:noProof/>
                <w:webHidden/>
              </w:rPr>
            </w:r>
            <w:r>
              <w:rPr>
                <w:noProof/>
                <w:webHidden/>
              </w:rPr>
              <w:fldChar w:fldCharType="separate"/>
            </w:r>
            <w:r w:rsidR="00B55F75">
              <w:rPr>
                <w:noProof/>
                <w:webHidden/>
              </w:rPr>
              <w:t>6</w:t>
            </w:r>
            <w:r>
              <w:rPr>
                <w:noProof/>
                <w:webHidden/>
              </w:rPr>
              <w:fldChar w:fldCharType="end"/>
            </w:r>
          </w:hyperlink>
        </w:p>
        <w:p w14:paraId="49FECEED" w14:textId="1F27623D" w:rsidR="004539A2" w:rsidRDefault="004539A2">
          <w:pPr>
            <w:pStyle w:val="TDC3"/>
            <w:tabs>
              <w:tab w:val="left" w:pos="1320"/>
              <w:tab w:val="right" w:leader="dot" w:pos="9629"/>
            </w:tabs>
            <w:rPr>
              <w:rFonts w:eastAsiaTheme="minorEastAsia"/>
              <w:noProof/>
              <w:lang w:val="es-CR" w:eastAsia="es-CR"/>
            </w:rPr>
          </w:pPr>
          <w:hyperlink w:anchor="_Toc89330998" w:history="1">
            <w:r w:rsidRPr="005D71FA">
              <w:rPr>
                <w:rStyle w:val="Hipervnculo"/>
                <w:noProof/>
              </w:rPr>
              <w:t>2.2.2.</w:t>
            </w:r>
            <w:r>
              <w:rPr>
                <w:rFonts w:eastAsiaTheme="minorEastAsia"/>
                <w:noProof/>
                <w:lang w:val="es-CR" w:eastAsia="es-CR"/>
              </w:rPr>
              <w:tab/>
            </w:r>
            <w:r w:rsidRPr="005D71FA">
              <w:rPr>
                <w:rStyle w:val="Hipervnculo"/>
                <w:noProof/>
              </w:rPr>
              <w:t>Participación de mercado</w:t>
            </w:r>
            <w:r>
              <w:rPr>
                <w:noProof/>
                <w:webHidden/>
              </w:rPr>
              <w:tab/>
            </w:r>
            <w:r>
              <w:rPr>
                <w:noProof/>
                <w:webHidden/>
              </w:rPr>
              <w:fldChar w:fldCharType="begin"/>
            </w:r>
            <w:r>
              <w:rPr>
                <w:noProof/>
                <w:webHidden/>
              </w:rPr>
              <w:instrText xml:space="preserve"> PAGEREF _Toc89330998 \h </w:instrText>
            </w:r>
            <w:r>
              <w:rPr>
                <w:noProof/>
                <w:webHidden/>
              </w:rPr>
            </w:r>
            <w:r>
              <w:rPr>
                <w:noProof/>
                <w:webHidden/>
              </w:rPr>
              <w:fldChar w:fldCharType="separate"/>
            </w:r>
            <w:r w:rsidR="00B55F75">
              <w:rPr>
                <w:noProof/>
                <w:webHidden/>
              </w:rPr>
              <w:t>7</w:t>
            </w:r>
            <w:r>
              <w:rPr>
                <w:noProof/>
                <w:webHidden/>
              </w:rPr>
              <w:fldChar w:fldCharType="end"/>
            </w:r>
          </w:hyperlink>
        </w:p>
        <w:p w14:paraId="4F554984" w14:textId="59B12FF3" w:rsidR="004539A2" w:rsidRDefault="004539A2">
          <w:pPr>
            <w:pStyle w:val="TDC3"/>
            <w:tabs>
              <w:tab w:val="left" w:pos="1320"/>
              <w:tab w:val="right" w:leader="dot" w:pos="9629"/>
            </w:tabs>
            <w:rPr>
              <w:rFonts w:eastAsiaTheme="minorEastAsia"/>
              <w:noProof/>
              <w:lang w:val="es-CR" w:eastAsia="es-CR"/>
            </w:rPr>
          </w:pPr>
          <w:hyperlink w:anchor="_Toc89330999" w:history="1">
            <w:r w:rsidRPr="005D71FA">
              <w:rPr>
                <w:rStyle w:val="Hipervnculo"/>
                <w:noProof/>
              </w:rPr>
              <w:t>2.2.3.</w:t>
            </w:r>
            <w:r>
              <w:rPr>
                <w:rFonts w:eastAsiaTheme="minorEastAsia"/>
                <w:noProof/>
                <w:lang w:val="es-CR" w:eastAsia="es-CR"/>
              </w:rPr>
              <w:tab/>
            </w:r>
            <w:r w:rsidRPr="005D71FA">
              <w:rPr>
                <w:rStyle w:val="Hipervnculo"/>
                <w:noProof/>
              </w:rPr>
              <w:t>Libre transferencia</w:t>
            </w:r>
            <w:r>
              <w:rPr>
                <w:noProof/>
                <w:webHidden/>
              </w:rPr>
              <w:tab/>
            </w:r>
            <w:r>
              <w:rPr>
                <w:noProof/>
                <w:webHidden/>
              </w:rPr>
              <w:fldChar w:fldCharType="begin"/>
            </w:r>
            <w:r>
              <w:rPr>
                <w:noProof/>
                <w:webHidden/>
              </w:rPr>
              <w:instrText xml:space="preserve"> PAGEREF _Toc89330999 \h </w:instrText>
            </w:r>
            <w:r>
              <w:rPr>
                <w:noProof/>
                <w:webHidden/>
              </w:rPr>
            </w:r>
            <w:r>
              <w:rPr>
                <w:noProof/>
                <w:webHidden/>
              </w:rPr>
              <w:fldChar w:fldCharType="separate"/>
            </w:r>
            <w:r w:rsidR="00B55F75">
              <w:rPr>
                <w:noProof/>
                <w:webHidden/>
              </w:rPr>
              <w:t>8</w:t>
            </w:r>
            <w:r>
              <w:rPr>
                <w:noProof/>
                <w:webHidden/>
              </w:rPr>
              <w:fldChar w:fldCharType="end"/>
            </w:r>
          </w:hyperlink>
        </w:p>
        <w:p w14:paraId="15F22A9E" w14:textId="1D637795" w:rsidR="004539A2" w:rsidRDefault="004539A2">
          <w:pPr>
            <w:pStyle w:val="TDC3"/>
            <w:tabs>
              <w:tab w:val="left" w:pos="1320"/>
              <w:tab w:val="right" w:leader="dot" w:pos="9629"/>
            </w:tabs>
            <w:rPr>
              <w:rFonts w:eastAsiaTheme="minorEastAsia"/>
              <w:noProof/>
              <w:lang w:val="es-CR" w:eastAsia="es-CR"/>
            </w:rPr>
          </w:pPr>
          <w:hyperlink w:anchor="_Toc89331000" w:history="1">
            <w:r w:rsidRPr="005D71FA">
              <w:rPr>
                <w:rStyle w:val="Hipervnculo"/>
                <w:noProof/>
              </w:rPr>
              <w:t>2.2.4.</w:t>
            </w:r>
            <w:r>
              <w:rPr>
                <w:rFonts w:eastAsiaTheme="minorEastAsia"/>
                <w:noProof/>
                <w:lang w:val="es-CR" w:eastAsia="es-CR"/>
              </w:rPr>
              <w:tab/>
            </w:r>
            <w:r w:rsidRPr="005D71FA">
              <w:rPr>
                <w:rStyle w:val="Hipervnculo"/>
                <w:noProof/>
              </w:rPr>
              <w:t>Inversiones</w:t>
            </w:r>
            <w:r>
              <w:rPr>
                <w:noProof/>
                <w:webHidden/>
              </w:rPr>
              <w:tab/>
            </w:r>
            <w:r>
              <w:rPr>
                <w:noProof/>
                <w:webHidden/>
              </w:rPr>
              <w:fldChar w:fldCharType="begin"/>
            </w:r>
            <w:r>
              <w:rPr>
                <w:noProof/>
                <w:webHidden/>
              </w:rPr>
              <w:instrText xml:space="preserve"> PAGEREF _Toc89331000 \h </w:instrText>
            </w:r>
            <w:r>
              <w:rPr>
                <w:noProof/>
                <w:webHidden/>
              </w:rPr>
            </w:r>
            <w:r>
              <w:rPr>
                <w:noProof/>
                <w:webHidden/>
              </w:rPr>
              <w:fldChar w:fldCharType="separate"/>
            </w:r>
            <w:r w:rsidR="00B55F75">
              <w:rPr>
                <w:noProof/>
                <w:webHidden/>
              </w:rPr>
              <w:t>9</w:t>
            </w:r>
            <w:r>
              <w:rPr>
                <w:noProof/>
                <w:webHidden/>
              </w:rPr>
              <w:fldChar w:fldCharType="end"/>
            </w:r>
          </w:hyperlink>
        </w:p>
        <w:p w14:paraId="0659A4D3" w14:textId="797B50B2" w:rsidR="004539A2" w:rsidRDefault="004539A2">
          <w:pPr>
            <w:pStyle w:val="TDC3"/>
            <w:tabs>
              <w:tab w:val="left" w:pos="1320"/>
              <w:tab w:val="right" w:leader="dot" w:pos="9629"/>
            </w:tabs>
            <w:rPr>
              <w:rFonts w:eastAsiaTheme="minorEastAsia"/>
              <w:noProof/>
              <w:lang w:val="es-CR" w:eastAsia="es-CR"/>
            </w:rPr>
          </w:pPr>
          <w:hyperlink w:anchor="_Toc89331001" w:history="1">
            <w:r w:rsidRPr="005D71FA">
              <w:rPr>
                <w:rStyle w:val="Hipervnculo"/>
                <w:noProof/>
              </w:rPr>
              <w:t>2.2.5.</w:t>
            </w:r>
            <w:r>
              <w:rPr>
                <w:rFonts w:eastAsiaTheme="minorEastAsia"/>
                <w:noProof/>
                <w:lang w:val="es-CR" w:eastAsia="es-CR"/>
              </w:rPr>
              <w:tab/>
            </w:r>
            <w:r w:rsidRPr="005D71FA">
              <w:rPr>
                <w:rStyle w:val="Hipervnculo"/>
                <w:noProof/>
              </w:rPr>
              <w:t>Rentabilidad</w:t>
            </w:r>
            <w:r>
              <w:rPr>
                <w:noProof/>
                <w:webHidden/>
              </w:rPr>
              <w:tab/>
            </w:r>
            <w:r>
              <w:rPr>
                <w:noProof/>
                <w:webHidden/>
              </w:rPr>
              <w:fldChar w:fldCharType="begin"/>
            </w:r>
            <w:r>
              <w:rPr>
                <w:noProof/>
                <w:webHidden/>
              </w:rPr>
              <w:instrText xml:space="preserve"> PAGEREF _Toc89331001 \h </w:instrText>
            </w:r>
            <w:r>
              <w:rPr>
                <w:noProof/>
                <w:webHidden/>
              </w:rPr>
            </w:r>
            <w:r>
              <w:rPr>
                <w:noProof/>
                <w:webHidden/>
              </w:rPr>
              <w:fldChar w:fldCharType="separate"/>
            </w:r>
            <w:r w:rsidR="00B55F75">
              <w:rPr>
                <w:noProof/>
                <w:webHidden/>
              </w:rPr>
              <w:t>11</w:t>
            </w:r>
            <w:r>
              <w:rPr>
                <w:noProof/>
                <w:webHidden/>
              </w:rPr>
              <w:fldChar w:fldCharType="end"/>
            </w:r>
          </w:hyperlink>
        </w:p>
        <w:p w14:paraId="3814F9AF" w14:textId="7674B43D" w:rsidR="004539A2" w:rsidRDefault="004539A2">
          <w:pPr>
            <w:pStyle w:val="TDC2"/>
            <w:tabs>
              <w:tab w:val="left" w:pos="880"/>
              <w:tab w:val="right" w:leader="dot" w:pos="9629"/>
            </w:tabs>
            <w:rPr>
              <w:rFonts w:eastAsiaTheme="minorEastAsia"/>
              <w:noProof/>
              <w:lang w:val="es-CR" w:eastAsia="es-CR"/>
            </w:rPr>
          </w:pPr>
          <w:hyperlink w:anchor="_Toc89331002" w:history="1">
            <w:r w:rsidRPr="005D71FA">
              <w:rPr>
                <w:rStyle w:val="Hipervnculo"/>
                <w:noProof/>
              </w:rPr>
              <w:t>2.3.</w:t>
            </w:r>
            <w:r>
              <w:rPr>
                <w:rFonts w:eastAsiaTheme="minorEastAsia"/>
                <w:noProof/>
                <w:lang w:val="es-CR" w:eastAsia="es-CR"/>
              </w:rPr>
              <w:tab/>
            </w:r>
            <w:r w:rsidRPr="005D71FA">
              <w:rPr>
                <w:rStyle w:val="Hipervnculo"/>
                <w:noProof/>
              </w:rPr>
              <w:t>Desempeño de los gestores</w:t>
            </w:r>
            <w:r>
              <w:rPr>
                <w:noProof/>
                <w:webHidden/>
              </w:rPr>
              <w:tab/>
            </w:r>
            <w:r>
              <w:rPr>
                <w:noProof/>
                <w:webHidden/>
              </w:rPr>
              <w:fldChar w:fldCharType="begin"/>
            </w:r>
            <w:r>
              <w:rPr>
                <w:noProof/>
                <w:webHidden/>
              </w:rPr>
              <w:instrText xml:space="preserve"> PAGEREF _Toc89331002 \h </w:instrText>
            </w:r>
            <w:r>
              <w:rPr>
                <w:noProof/>
                <w:webHidden/>
              </w:rPr>
            </w:r>
            <w:r>
              <w:rPr>
                <w:noProof/>
                <w:webHidden/>
              </w:rPr>
              <w:fldChar w:fldCharType="separate"/>
            </w:r>
            <w:r w:rsidR="00B55F75">
              <w:rPr>
                <w:noProof/>
                <w:webHidden/>
              </w:rPr>
              <w:t>12</w:t>
            </w:r>
            <w:r>
              <w:rPr>
                <w:noProof/>
                <w:webHidden/>
              </w:rPr>
              <w:fldChar w:fldCharType="end"/>
            </w:r>
          </w:hyperlink>
        </w:p>
        <w:p w14:paraId="17BB8FE9" w14:textId="31FA89D9" w:rsidR="004539A2" w:rsidRDefault="004539A2">
          <w:pPr>
            <w:pStyle w:val="TDC1"/>
            <w:tabs>
              <w:tab w:val="right" w:leader="dot" w:pos="9629"/>
            </w:tabs>
            <w:rPr>
              <w:rFonts w:eastAsiaTheme="minorEastAsia"/>
              <w:noProof/>
              <w:lang w:val="es-CR" w:eastAsia="es-CR"/>
            </w:rPr>
          </w:pPr>
          <w:hyperlink w:anchor="_Toc89331003" w:history="1">
            <w:r w:rsidRPr="005D71FA">
              <w:rPr>
                <w:rStyle w:val="Hipervnculo"/>
                <w:noProof/>
                <w:lang w:val="es-CR"/>
              </w:rPr>
              <w:t>Abreviaturas</w:t>
            </w:r>
            <w:r>
              <w:rPr>
                <w:noProof/>
                <w:webHidden/>
              </w:rPr>
              <w:tab/>
            </w:r>
            <w:r>
              <w:rPr>
                <w:noProof/>
                <w:webHidden/>
              </w:rPr>
              <w:fldChar w:fldCharType="begin"/>
            </w:r>
            <w:r>
              <w:rPr>
                <w:noProof/>
                <w:webHidden/>
              </w:rPr>
              <w:instrText xml:space="preserve"> PAGEREF _Toc89331003 \h </w:instrText>
            </w:r>
            <w:r>
              <w:rPr>
                <w:noProof/>
                <w:webHidden/>
              </w:rPr>
            </w:r>
            <w:r>
              <w:rPr>
                <w:noProof/>
                <w:webHidden/>
              </w:rPr>
              <w:fldChar w:fldCharType="separate"/>
            </w:r>
            <w:r w:rsidR="00B55F75">
              <w:rPr>
                <w:noProof/>
                <w:webHidden/>
              </w:rPr>
              <w:t>13</w:t>
            </w:r>
            <w:r>
              <w:rPr>
                <w:noProof/>
                <w:webHidden/>
              </w:rPr>
              <w:fldChar w:fldCharType="end"/>
            </w:r>
          </w:hyperlink>
        </w:p>
        <w:p w14:paraId="6248CB0C" w14:textId="118C8F40" w:rsidR="00C7675B" w:rsidRDefault="00C7675B">
          <w:r>
            <w:rPr>
              <w:b/>
              <w:bCs/>
            </w:rPr>
            <w:fldChar w:fldCharType="end"/>
          </w:r>
        </w:p>
      </w:sdtContent>
    </w:sdt>
    <w:p w14:paraId="6B78D1FB" w14:textId="77777777" w:rsidR="00930EC2" w:rsidRDefault="00930EC2">
      <w:pPr>
        <w:spacing w:after="200" w:line="276" w:lineRule="auto"/>
        <w:rPr>
          <w:rFonts w:asciiTheme="majorHAnsi" w:eastAsiaTheme="majorEastAsia" w:hAnsiTheme="majorHAnsi" w:cstheme="majorBidi"/>
          <w:color w:val="365F91" w:themeColor="accent1" w:themeShade="BF"/>
          <w:sz w:val="36"/>
          <w:szCs w:val="36"/>
        </w:rPr>
      </w:pPr>
      <w:r>
        <w:br w:type="page"/>
      </w:r>
    </w:p>
    <w:p w14:paraId="2724691D" w14:textId="2F1A1967" w:rsidR="00997403" w:rsidRPr="0093453D" w:rsidRDefault="00997403" w:rsidP="00997403">
      <w:pPr>
        <w:pStyle w:val="paragraph"/>
        <w:jc w:val="both"/>
        <w:textAlignment w:val="baseline"/>
        <w:rPr>
          <w:rStyle w:val="eop"/>
          <w:rFonts w:asciiTheme="minorHAnsi" w:hAnsiTheme="minorHAnsi" w:cs="Segoe UI"/>
          <w:sz w:val="22"/>
          <w:szCs w:val="22"/>
        </w:rPr>
      </w:pPr>
    </w:p>
    <w:p w14:paraId="3130CAD8" w14:textId="13DBCCF3" w:rsidR="00D45EF1" w:rsidRPr="00FD032B" w:rsidRDefault="00D06E3F">
      <w:pPr>
        <w:pStyle w:val="Ttulo1"/>
      </w:pPr>
      <w:bookmarkStart w:id="3" w:name="_Toc89330993"/>
      <w:r>
        <w:t>ESTADÍ</w:t>
      </w:r>
      <w:r w:rsidR="00FE47C0">
        <w:t>STICA</w:t>
      </w:r>
      <w:r w:rsidR="009E6130">
        <w:t>S</w:t>
      </w:r>
      <w:r w:rsidR="00A36F35">
        <w:t>: AFILIADOS, PENSIONADOS Y PENSIÓN PROMEDIO</w:t>
      </w:r>
      <w:bookmarkEnd w:id="3"/>
    </w:p>
    <w:p w14:paraId="1851FB31" w14:textId="77777777" w:rsidR="00A36F35" w:rsidRDefault="00A36F35" w:rsidP="00F51AA9">
      <w:pPr>
        <w:spacing w:after="200" w:line="276" w:lineRule="auto"/>
        <w:jc w:val="both"/>
        <w:rPr>
          <w:rFonts w:cstheme="minorHAnsi"/>
        </w:rPr>
      </w:pPr>
    </w:p>
    <w:p w14:paraId="346162FF" w14:textId="52666482" w:rsidR="0085271B" w:rsidRDefault="00556864" w:rsidP="008B00BB">
      <w:pPr>
        <w:jc w:val="both"/>
        <w:rPr>
          <w:rFonts w:cstheme="minorHAnsi"/>
        </w:rPr>
      </w:pPr>
      <w:r w:rsidRPr="000C7F04">
        <w:rPr>
          <w:rFonts w:cstheme="minorHAnsi"/>
        </w:rPr>
        <w:t xml:space="preserve">El Sistema Nacional de Pensiones </w:t>
      </w:r>
      <w:r w:rsidR="009E6130">
        <w:rPr>
          <w:rFonts w:cstheme="minorHAnsi"/>
        </w:rPr>
        <w:t xml:space="preserve">(SNP) </w:t>
      </w:r>
      <w:r w:rsidR="007B3E18" w:rsidRPr="000C7F04">
        <w:rPr>
          <w:rFonts w:cstheme="minorHAnsi"/>
        </w:rPr>
        <w:t xml:space="preserve">cuenta con </w:t>
      </w:r>
      <w:r w:rsidR="007F260C" w:rsidRPr="000C7F04">
        <w:rPr>
          <w:rFonts w:cstheme="minorHAnsi"/>
        </w:rPr>
        <w:t>cerca de 500 mil pensionados en los regímenes del primer pilar</w:t>
      </w:r>
      <w:r w:rsidR="001028CA" w:rsidRPr="000C7F04">
        <w:rPr>
          <w:rFonts w:cstheme="minorHAnsi"/>
        </w:rPr>
        <w:t xml:space="preserve"> y el Régimen No Contributivo </w:t>
      </w:r>
      <w:r w:rsidR="009E6130">
        <w:rPr>
          <w:rFonts w:cstheme="minorHAnsi"/>
        </w:rPr>
        <w:t xml:space="preserve">(RNC) </w:t>
      </w:r>
      <w:r w:rsidR="001028CA" w:rsidRPr="000C7F04">
        <w:rPr>
          <w:rFonts w:cstheme="minorHAnsi"/>
        </w:rPr>
        <w:t>administrado por la Caja Costarricense de Seguro Social</w:t>
      </w:r>
      <w:r w:rsidR="001D4DCF">
        <w:rPr>
          <w:rFonts w:cstheme="minorHAnsi"/>
        </w:rPr>
        <w:t xml:space="preserve"> (CCSS)</w:t>
      </w:r>
      <w:r w:rsidR="001028CA" w:rsidRPr="000C7F04">
        <w:rPr>
          <w:rFonts w:cstheme="minorHAnsi"/>
        </w:rPr>
        <w:t>.</w:t>
      </w:r>
      <w:r w:rsidR="007F260C" w:rsidRPr="000C7F04">
        <w:rPr>
          <w:rFonts w:cstheme="minorHAnsi"/>
        </w:rPr>
        <w:t xml:space="preserve"> </w:t>
      </w:r>
    </w:p>
    <w:p w14:paraId="31EEB660" w14:textId="1A81EE7F" w:rsidR="008B00BB" w:rsidRDefault="008B00BB" w:rsidP="008B00BB">
      <w:pPr>
        <w:jc w:val="both"/>
        <w:rPr>
          <w:rFonts w:cstheme="minorHAnsi"/>
        </w:rPr>
      </w:pPr>
    </w:p>
    <w:p w14:paraId="7DA23D9D" w14:textId="77777777" w:rsidR="00380037" w:rsidRPr="00B66AF7" w:rsidRDefault="00380037" w:rsidP="00B674EA">
      <w:pPr>
        <w:jc w:val="both"/>
        <w:rPr>
          <w:rFonts w:cstheme="minorHAnsi"/>
          <w:b/>
          <w:bCs/>
        </w:rPr>
      </w:pPr>
      <w:r w:rsidRPr="00B66AF7">
        <w:rPr>
          <w:rFonts w:cstheme="minorHAnsi"/>
          <w:b/>
          <w:bCs/>
        </w:rPr>
        <w:t xml:space="preserve">Cuadro 1. </w:t>
      </w:r>
    </w:p>
    <w:p w14:paraId="05A748D8" w14:textId="5422A43F" w:rsidR="00380037" w:rsidRDefault="00380037">
      <w:pPr>
        <w:jc w:val="both"/>
        <w:rPr>
          <w:rFonts w:cstheme="minorHAnsi"/>
        </w:rPr>
      </w:pPr>
      <w:r w:rsidRPr="00DC65F3">
        <w:rPr>
          <w:rFonts w:cstheme="minorHAnsi"/>
          <w:b/>
        </w:rPr>
        <w:t>Sistema Nacional de Pensiones: afiliados, pensionados, contribuciones y pensión promedio según fondo, setiembre 2021</w:t>
      </w:r>
    </w:p>
    <w:tbl>
      <w:tblPr>
        <w:tblW w:w="9942" w:type="dxa"/>
        <w:tblInd w:w="-10" w:type="dxa"/>
        <w:shd w:val="clear" w:color="auto" w:fill="FFFFFF" w:themeFill="background1"/>
        <w:tblCellMar>
          <w:left w:w="70" w:type="dxa"/>
          <w:right w:w="70" w:type="dxa"/>
        </w:tblCellMar>
        <w:tblLook w:val="04A0" w:firstRow="1" w:lastRow="0" w:firstColumn="1" w:lastColumn="0" w:noHBand="0" w:noVBand="1"/>
      </w:tblPr>
      <w:tblGrid>
        <w:gridCol w:w="2845"/>
        <w:gridCol w:w="1144"/>
        <w:gridCol w:w="1192"/>
        <w:gridCol w:w="1417"/>
        <w:gridCol w:w="1134"/>
        <w:gridCol w:w="993"/>
        <w:gridCol w:w="1275"/>
      </w:tblGrid>
      <w:tr w:rsidR="00404D46" w:rsidRPr="003478E0" w14:paraId="08581F31" w14:textId="77777777" w:rsidTr="000943E1">
        <w:trPr>
          <w:trHeight w:val="315"/>
        </w:trPr>
        <w:tc>
          <w:tcPr>
            <w:tcW w:w="2845" w:type="dxa"/>
            <w:vMerge w:val="restart"/>
            <w:tcBorders>
              <w:top w:val="single" w:sz="4" w:space="0" w:color="auto"/>
            </w:tcBorders>
            <w:shd w:val="clear" w:color="auto" w:fill="FFFFFF" w:themeFill="background1"/>
            <w:noWrap/>
            <w:vAlign w:val="center"/>
          </w:tcPr>
          <w:p w14:paraId="4D62F4A7" w14:textId="54F97D6A" w:rsidR="00404D46" w:rsidRPr="00B674EA" w:rsidRDefault="00404D46"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 fondo</w:t>
            </w:r>
          </w:p>
        </w:tc>
        <w:tc>
          <w:tcPr>
            <w:tcW w:w="1144" w:type="dxa"/>
            <w:vMerge w:val="restart"/>
            <w:tcBorders>
              <w:top w:val="single" w:sz="4" w:space="0" w:color="auto"/>
            </w:tcBorders>
            <w:shd w:val="clear" w:color="auto" w:fill="FFFFFF" w:themeFill="background1"/>
            <w:vAlign w:val="center"/>
          </w:tcPr>
          <w:p w14:paraId="685096DD" w14:textId="315A9396" w:rsidR="00404D46" w:rsidRPr="00B674EA" w:rsidRDefault="00404D46" w:rsidP="008B00BB">
            <w:pPr>
              <w:jc w:val="right"/>
              <w:rPr>
                <w:rFonts w:ascii="Calibri" w:eastAsia="Times New Roman" w:hAnsi="Calibri" w:cs="Calibri"/>
                <w:sz w:val="20"/>
                <w:szCs w:val="20"/>
                <w:lang w:val="es-CR" w:eastAsia="es-CR"/>
              </w:rPr>
            </w:pPr>
            <w:r w:rsidRPr="00B674EA">
              <w:rPr>
                <w:rFonts w:ascii="Calibri" w:eastAsia="Times New Roman" w:hAnsi="Calibri" w:cs="Calibri"/>
                <w:b/>
                <w:bCs/>
                <w:sz w:val="20"/>
                <w:szCs w:val="20"/>
                <w:lang w:val="es-CR" w:eastAsia="es-CR"/>
              </w:rPr>
              <w:t>Afiliados</w:t>
            </w:r>
          </w:p>
        </w:tc>
        <w:tc>
          <w:tcPr>
            <w:tcW w:w="1134" w:type="dxa"/>
            <w:vMerge w:val="restart"/>
            <w:tcBorders>
              <w:top w:val="single" w:sz="4" w:space="0" w:color="auto"/>
            </w:tcBorders>
            <w:shd w:val="clear" w:color="auto" w:fill="auto"/>
            <w:vAlign w:val="center"/>
          </w:tcPr>
          <w:p w14:paraId="76B88136" w14:textId="657A914D" w:rsidR="00404D46" w:rsidRPr="00B674EA" w:rsidRDefault="00404D46" w:rsidP="008B00BB">
            <w:pPr>
              <w:jc w:val="right"/>
              <w:rPr>
                <w:rFonts w:ascii="Calibri" w:eastAsia="Times New Roman" w:hAnsi="Calibri" w:cs="Calibri"/>
                <w:sz w:val="20"/>
                <w:szCs w:val="20"/>
                <w:lang w:val="es-CR" w:eastAsia="es-CR"/>
              </w:rPr>
            </w:pPr>
            <w:r w:rsidRPr="00B674EA">
              <w:rPr>
                <w:rFonts w:ascii="Calibri" w:eastAsia="Times New Roman" w:hAnsi="Calibri" w:cs="Calibri"/>
                <w:b/>
                <w:bCs/>
                <w:sz w:val="20"/>
                <w:szCs w:val="20"/>
                <w:lang w:val="es-CR" w:eastAsia="es-CR"/>
              </w:rPr>
              <w:t>Pensionados</w:t>
            </w:r>
          </w:p>
        </w:tc>
        <w:tc>
          <w:tcPr>
            <w:tcW w:w="3544" w:type="dxa"/>
            <w:gridSpan w:val="3"/>
            <w:tcBorders>
              <w:top w:val="single" w:sz="4" w:space="0" w:color="auto"/>
            </w:tcBorders>
            <w:shd w:val="clear" w:color="auto" w:fill="FFFFFF" w:themeFill="background1"/>
            <w:noWrap/>
            <w:vAlign w:val="center"/>
          </w:tcPr>
          <w:p w14:paraId="0894A7FB" w14:textId="4BB9265B" w:rsidR="00404D46" w:rsidRPr="00B674EA" w:rsidRDefault="00404D46" w:rsidP="00AC14E2">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Contribuciones</w:t>
            </w:r>
          </w:p>
        </w:tc>
        <w:tc>
          <w:tcPr>
            <w:tcW w:w="1275" w:type="dxa"/>
            <w:vMerge w:val="restart"/>
            <w:tcBorders>
              <w:top w:val="single" w:sz="4" w:space="0" w:color="auto"/>
            </w:tcBorders>
            <w:shd w:val="clear" w:color="auto" w:fill="FFFFFF" w:themeFill="background1"/>
            <w:noWrap/>
            <w:vAlign w:val="center"/>
          </w:tcPr>
          <w:p w14:paraId="49FCF537" w14:textId="027E80A6" w:rsidR="00404D46" w:rsidRPr="00B674EA" w:rsidRDefault="00404D46" w:rsidP="008B00BB">
            <w:pPr>
              <w:jc w:val="right"/>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Pensión Promedio</w:t>
            </w:r>
          </w:p>
        </w:tc>
      </w:tr>
      <w:tr w:rsidR="00404D46" w:rsidRPr="003478E0" w14:paraId="106FBA89" w14:textId="77777777" w:rsidTr="000943E1">
        <w:trPr>
          <w:trHeight w:val="315"/>
        </w:trPr>
        <w:tc>
          <w:tcPr>
            <w:tcW w:w="2845" w:type="dxa"/>
            <w:vMerge/>
            <w:shd w:val="clear" w:color="auto" w:fill="FFFFFF" w:themeFill="background1"/>
            <w:noWrap/>
            <w:vAlign w:val="center"/>
          </w:tcPr>
          <w:p w14:paraId="63AFAD1A" w14:textId="77777777" w:rsidR="00404D46" w:rsidRPr="00B674EA" w:rsidRDefault="00404D46" w:rsidP="008B00BB">
            <w:pPr>
              <w:rPr>
                <w:rFonts w:ascii="Calibri" w:eastAsia="Times New Roman" w:hAnsi="Calibri" w:cs="Calibri"/>
                <w:b/>
                <w:bCs/>
                <w:sz w:val="20"/>
                <w:szCs w:val="20"/>
                <w:lang w:val="es-CR" w:eastAsia="es-CR"/>
              </w:rPr>
            </w:pPr>
          </w:p>
        </w:tc>
        <w:tc>
          <w:tcPr>
            <w:tcW w:w="1144" w:type="dxa"/>
            <w:vMerge/>
            <w:shd w:val="clear" w:color="auto" w:fill="FFFFFF" w:themeFill="background1"/>
            <w:vAlign w:val="center"/>
          </w:tcPr>
          <w:p w14:paraId="6590A924" w14:textId="77777777" w:rsidR="00404D46" w:rsidRPr="00B674EA" w:rsidRDefault="00404D46" w:rsidP="008B00BB">
            <w:pPr>
              <w:jc w:val="right"/>
              <w:rPr>
                <w:rFonts w:ascii="Calibri" w:eastAsia="Times New Roman" w:hAnsi="Calibri" w:cs="Calibri"/>
                <w:sz w:val="20"/>
                <w:szCs w:val="20"/>
                <w:lang w:val="es-CR" w:eastAsia="es-CR"/>
              </w:rPr>
            </w:pPr>
          </w:p>
        </w:tc>
        <w:tc>
          <w:tcPr>
            <w:tcW w:w="1134" w:type="dxa"/>
            <w:vMerge/>
            <w:shd w:val="clear" w:color="auto" w:fill="auto"/>
            <w:vAlign w:val="center"/>
          </w:tcPr>
          <w:p w14:paraId="79B5BD17" w14:textId="77777777" w:rsidR="00404D46" w:rsidRPr="00B674EA" w:rsidRDefault="00404D46" w:rsidP="008B00BB">
            <w:pPr>
              <w:jc w:val="right"/>
              <w:rPr>
                <w:rFonts w:ascii="Calibri" w:eastAsia="Times New Roman" w:hAnsi="Calibri" w:cs="Calibri"/>
                <w:sz w:val="20"/>
                <w:szCs w:val="20"/>
                <w:lang w:val="es-CR" w:eastAsia="es-CR"/>
              </w:rPr>
            </w:pPr>
          </w:p>
        </w:tc>
        <w:tc>
          <w:tcPr>
            <w:tcW w:w="1417" w:type="dxa"/>
            <w:tcBorders>
              <w:top w:val="single" w:sz="4" w:space="0" w:color="auto"/>
            </w:tcBorders>
            <w:shd w:val="clear" w:color="auto" w:fill="FFFFFF" w:themeFill="background1"/>
            <w:noWrap/>
            <w:vAlign w:val="center"/>
          </w:tcPr>
          <w:p w14:paraId="4C241497" w14:textId="154063A7" w:rsidR="00404D46" w:rsidRPr="00B674EA" w:rsidRDefault="00404D46" w:rsidP="00823B68">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Trabajador</w:t>
            </w:r>
          </w:p>
        </w:tc>
        <w:tc>
          <w:tcPr>
            <w:tcW w:w="1134" w:type="dxa"/>
            <w:tcBorders>
              <w:top w:val="single" w:sz="4" w:space="0" w:color="auto"/>
            </w:tcBorders>
            <w:shd w:val="clear" w:color="auto" w:fill="FFFFFF" w:themeFill="background1"/>
            <w:noWrap/>
            <w:vAlign w:val="center"/>
          </w:tcPr>
          <w:p w14:paraId="1F36BACD" w14:textId="3AC051DF" w:rsidR="00404D46" w:rsidRPr="00B674EA" w:rsidRDefault="00404D46" w:rsidP="00823B68">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Patrono</w:t>
            </w:r>
          </w:p>
        </w:tc>
        <w:tc>
          <w:tcPr>
            <w:tcW w:w="993" w:type="dxa"/>
            <w:tcBorders>
              <w:top w:val="single" w:sz="4" w:space="0" w:color="auto"/>
            </w:tcBorders>
            <w:shd w:val="clear" w:color="auto" w:fill="FFFFFF" w:themeFill="background1"/>
            <w:noWrap/>
            <w:vAlign w:val="center"/>
          </w:tcPr>
          <w:p w14:paraId="11A90B10" w14:textId="1C790BD6" w:rsidR="00404D46" w:rsidRPr="00B674EA" w:rsidRDefault="00404D46" w:rsidP="00823B68">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Estado</w:t>
            </w:r>
          </w:p>
        </w:tc>
        <w:tc>
          <w:tcPr>
            <w:tcW w:w="1275" w:type="dxa"/>
            <w:vMerge/>
            <w:shd w:val="clear" w:color="auto" w:fill="FFFFFF" w:themeFill="background1"/>
            <w:noWrap/>
            <w:vAlign w:val="center"/>
          </w:tcPr>
          <w:p w14:paraId="1D1A2E52" w14:textId="77777777" w:rsidR="00404D46" w:rsidRPr="00B674EA" w:rsidRDefault="00404D46" w:rsidP="008B00BB">
            <w:pPr>
              <w:jc w:val="right"/>
              <w:rPr>
                <w:rFonts w:ascii="Calibri" w:eastAsia="Times New Roman" w:hAnsi="Calibri" w:cs="Calibri"/>
                <w:sz w:val="20"/>
                <w:szCs w:val="20"/>
                <w:lang w:val="es-CR" w:eastAsia="es-CR"/>
              </w:rPr>
            </w:pPr>
          </w:p>
        </w:tc>
      </w:tr>
      <w:tr w:rsidR="008031C3" w:rsidRPr="003478E0" w14:paraId="5DE21FE8" w14:textId="77777777" w:rsidTr="000943E1">
        <w:trPr>
          <w:trHeight w:val="315"/>
        </w:trPr>
        <w:tc>
          <w:tcPr>
            <w:tcW w:w="2845" w:type="dxa"/>
            <w:tcBorders>
              <w:top w:val="single" w:sz="4" w:space="0" w:color="auto"/>
            </w:tcBorders>
            <w:shd w:val="clear" w:color="auto" w:fill="FFFFFF" w:themeFill="background1"/>
            <w:noWrap/>
            <w:vAlign w:val="center"/>
            <w:hideMark/>
          </w:tcPr>
          <w:p w14:paraId="315F4A62"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básico (IVM)</w:t>
            </w:r>
            <w:r w:rsidRPr="00B674EA">
              <w:rPr>
                <w:rFonts w:ascii="Calibri" w:eastAsia="Times New Roman" w:hAnsi="Calibri" w:cs="Calibri"/>
                <w:b/>
                <w:bCs/>
                <w:sz w:val="20"/>
                <w:szCs w:val="20"/>
                <w:vertAlign w:val="superscript"/>
                <w:lang w:val="es-CR" w:eastAsia="es-CR"/>
              </w:rPr>
              <w:t>1/</w:t>
            </w:r>
          </w:p>
        </w:tc>
        <w:tc>
          <w:tcPr>
            <w:tcW w:w="1144" w:type="dxa"/>
            <w:tcBorders>
              <w:top w:val="single" w:sz="4" w:space="0" w:color="auto"/>
            </w:tcBorders>
            <w:shd w:val="clear" w:color="auto" w:fill="FFFFFF" w:themeFill="background1"/>
            <w:vAlign w:val="center"/>
            <w:hideMark/>
          </w:tcPr>
          <w:p w14:paraId="2FB560A7" w14:textId="69DD2324" w:rsidR="00004F14" w:rsidRPr="00B674EA" w:rsidRDefault="004C45C1"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1 359 671</w:t>
            </w:r>
          </w:p>
        </w:tc>
        <w:tc>
          <w:tcPr>
            <w:tcW w:w="1134" w:type="dxa"/>
            <w:tcBorders>
              <w:top w:val="single" w:sz="4" w:space="0" w:color="auto"/>
            </w:tcBorders>
            <w:shd w:val="clear" w:color="auto" w:fill="auto"/>
            <w:vAlign w:val="center"/>
            <w:hideMark/>
          </w:tcPr>
          <w:p w14:paraId="5C49B258" w14:textId="1D72586C" w:rsidR="00004F14" w:rsidRPr="00B674EA" w:rsidRDefault="008059B6"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310 036</w:t>
            </w:r>
          </w:p>
        </w:tc>
        <w:tc>
          <w:tcPr>
            <w:tcW w:w="1417" w:type="dxa"/>
            <w:tcBorders>
              <w:top w:val="single" w:sz="4" w:space="0" w:color="auto"/>
            </w:tcBorders>
            <w:shd w:val="clear" w:color="auto" w:fill="FFFFFF" w:themeFill="background1"/>
            <w:noWrap/>
            <w:vAlign w:val="center"/>
            <w:hideMark/>
          </w:tcPr>
          <w:p w14:paraId="124BC558"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w:t>
            </w:r>
          </w:p>
        </w:tc>
        <w:tc>
          <w:tcPr>
            <w:tcW w:w="1134" w:type="dxa"/>
            <w:tcBorders>
              <w:top w:val="single" w:sz="4" w:space="0" w:color="auto"/>
            </w:tcBorders>
            <w:shd w:val="clear" w:color="auto" w:fill="FFFFFF" w:themeFill="background1"/>
            <w:noWrap/>
            <w:vAlign w:val="center"/>
            <w:hideMark/>
          </w:tcPr>
          <w:p w14:paraId="7FDE7F9B"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5,25%</w:t>
            </w:r>
          </w:p>
        </w:tc>
        <w:tc>
          <w:tcPr>
            <w:tcW w:w="993" w:type="dxa"/>
            <w:tcBorders>
              <w:top w:val="single" w:sz="4" w:space="0" w:color="auto"/>
            </w:tcBorders>
            <w:shd w:val="clear" w:color="auto" w:fill="FFFFFF" w:themeFill="background1"/>
            <w:noWrap/>
            <w:vAlign w:val="center"/>
            <w:hideMark/>
          </w:tcPr>
          <w:p w14:paraId="15D257D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1,41%</w:t>
            </w:r>
          </w:p>
        </w:tc>
        <w:tc>
          <w:tcPr>
            <w:tcW w:w="1275" w:type="dxa"/>
            <w:tcBorders>
              <w:top w:val="single" w:sz="4" w:space="0" w:color="auto"/>
            </w:tcBorders>
            <w:shd w:val="clear" w:color="auto" w:fill="FFFFFF" w:themeFill="background1"/>
            <w:noWrap/>
            <w:vAlign w:val="center"/>
            <w:hideMark/>
          </w:tcPr>
          <w:p w14:paraId="417FC62A" w14:textId="1D617C41" w:rsidR="00004F14" w:rsidRPr="00B674EA" w:rsidRDefault="00C6759C"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286 176</w:t>
            </w:r>
          </w:p>
        </w:tc>
      </w:tr>
      <w:tr w:rsidR="00265AC6" w:rsidRPr="003478E0" w14:paraId="185DA857" w14:textId="77777777" w:rsidTr="000943E1">
        <w:trPr>
          <w:trHeight w:val="315"/>
        </w:trPr>
        <w:tc>
          <w:tcPr>
            <w:tcW w:w="2845" w:type="dxa"/>
            <w:tcBorders>
              <w:top w:val="nil"/>
              <w:right w:val="nil"/>
            </w:tcBorders>
            <w:shd w:val="clear" w:color="auto" w:fill="FFFFFF" w:themeFill="background1"/>
            <w:noWrap/>
            <w:vAlign w:val="center"/>
            <w:hideMark/>
          </w:tcPr>
          <w:p w14:paraId="46EF01A4"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Regímenes básicos sustitutos</w:t>
            </w:r>
          </w:p>
        </w:tc>
        <w:tc>
          <w:tcPr>
            <w:tcW w:w="1144" w:type="dxa"/>
            <w:tcBorders>
              <w:top w:val="nil"/>
              <w:left w:val="nil"/>
              <w:right w:val="nil"/>
            </w:tcBorders>
            <w:shd w:val="clear" w:color="auto" w:fill="FFFFFF" w:themeFill="background1"/>
            <w:noWrap/>
            <w:vAlign w:val="center"/>
            <w:hideMark/>
          </w:tcPr>
          <w:p w14:paraId="5A1EBBCE"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134" w:type="dxa"/>
            <w:tcBorders>
              <w:top w:val="nil"/>
              <w:left w:val="nil"/>
              <w:right w:val="nil"/>
            </w:tcBorders>
            <w:shd w:val="clear" w:color="auto" w:fill="FFFFFF" w:themeFill="background1"/>
            <w:noWrap/>
            <w:vAlign w:val="center"/>
            <w:hideMark/>
          </w:tcPr>
          <w:p w14:paraId="6817B5C2"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417" w:type="dxa"/>
            <w:tcBorders>
              <w:top w:val="nil"/>
              <w:left w:val="nil"/>
              <w:right w:val="nil"/>
            </w:tcBorders>
            <w:shd w:val="clear" w:color="auto" w:fill="FFFFFF" w:themeFill="background1"/>
            <w:noWrap/>
            <w:vAlign w:val="center"/>
            <w:hideMark/>
          </w:tcPr>
          <w:p w14:paraId="70A4D134"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134" w:type="dxa"/>
            <w:tcBorders>
              <w:top w:val="nil"/>
              <w:left w:val="nil"/>
              <w:right w:val="nil"/>
            </w:tcBorders>
            <w:shd w:val="clear" w:color="auto" w:fill="FFFFFF" w:themeFill="background1"/>
            <w:noWrap/>
            <w:vAlign w:val="center"/>
            <w:hideMark/>
          </w:tcPr>
          <w:p w14:paraId="7DFAB026"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993" w:type="dxa"/>
            <w:tcBorders>
              <w:top w:val="nil"/>
              <w:left w:val="nil"/>
              <w:right w:val="nil"/>
            </w:tcBorders>
            <w:shd w:val="clear" w:color="auto" w:fill="FFFFFF" w:themeFill="background1"/>
            <w:noWrap/>
            <w:vAlign w:val="center"/>
            <w:hideMark/>
          </w:tcPr>
          <w:p w14:paraId="1544902D"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275" w:type="dxa"/>
            <w:tcBorders>
              <w:top w:val="nil"/>
              <w:left w:val="nil"/>
            </w:tcBorders>
            <w:shd w:val="clear" w:color="auto" w:fill="FFFFFF" w:themeFill="background1"/>
            <w:noWrap/>
            <w:vAlign w:val="center"/>
            <w:hideMark/>
          </w:tcPr>
          <w:p w14:paraId="025BD742"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r>
      <w:tr w:rsidR="00265AC6" w:rsidRPr="003478E0" w14:paraId="26C32017" w14:textId="77777777" w:rsidTr="000943E1">
        <w:trPr>
          <w:trHeight w:val="315"/>
        </w:trPr>
        <w:tc>
          <w:tcPr>
            <w:tcW w:w="2845" w:type="dxa"/>
            <w:tcBorders>
              <w:top w:val="nil"/>
            </w:tcBorders>
            <w:shd w:val="clear" w:color="auto" w:fill="FFFFFF" w:themeFill="background1"/>
            <w:noWrap/>
            <w:vAlign w:val="center"/>
            <w:hideMark/>
          </w:tcPr>
          <w:p w14:paraId="5C0FCF46"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RCCMN</w:t>
            </w:r>
          </w:p>
        </w:tc>
        <w:tc>
          <w:tcPr>
            <w:tcW w:w="1144" w:type="dxa"/>
            <w:tcBorders>
              <w:top w:val="nil"/>
            </w:tcBorders>
            <w:shd w:val="clear" w:color="auto" w:fill="FFFFFF" w:themeFill="background1"/>
            <w:vAlign w:val="center"/>
            <w:hideMark/>
          </w:tcPr>
          <w:p w14:paraId="658F8DB7"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81 644</w:t>
            </w:r>
          </w:p>
        </w:tc>
        <w:tc>
          <w:tcPr>
            <w:tcW w:w="1134" w:type="dxa"/>
            <w:tcBorders>
              <w:top w:val="nil"/>
            </w:tcBorders>
            <w:shd w:val="clear" w:color="auto" w:fill="FFFFFF" w:themeFill="background1"/>
            <w:vAlign w:val="center"/>
            <w:hideMark/>
          </w:tcPr>
          <w:p w14:paraId="4F3C84CA"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3 442</w:t>
            </w:r>
          </w:p>
        </w:tc>
        <w:tc>
          <w:tcPr>
            <w:tcW w:w="1417" w:type="dxa"/>
            <w:tcBorders>
              <w:top w:val="nil"/>
            </w:tcBorders>
            <w:shd w:val="clear" w:color="auto" w:fill="FFFFFF" w:themeFill="background1"/>
            <w:noWrap/>
            <w:vAlign w:val="center"/>
            <w:hideMark/>
          </w:tcPr>
          <w:p w14:paraId="5FBF1505"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8%</w:t>
            </w:r>
          </w:p>
        </w:tc>
        <w:tc>
          <w:tcPr>
            <w:tcW w:w="1134" w:type="dxa"/>
            <w:tcBorders>
              <w:top w:val="nil"/>
            </w:tcBorders>
            <w:shd w:val="clear" w:color="auto" w:fill="FFFFFF" w:themeFill="background1"/>
            <w:noWrap/>
            <w:vAlign w:val="center"/>
            <w:hideMark/>
          </w:tcPr>
          <w:p w14:paraId="40964046"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6,75%</w:t>
            </w:r>
          </w:p>
        </w:tc>
        <w:tc>
          <w:tcPr>
            <w:tcW w:w="993" w:type="dxa"/>
            <w:tcBorders>
              <w:top w:val="nil"/>
            </w:tcBorders>
            <w:shd w:val="clear" w:color="auto" w:fill="FFFFFF" w:themeFill="background1"/>
            <w:noWrap/>
            <w:vAlign w:val="center"/>
            <w:hideMark/>
          </w:tcPr>
          <w:p w14:paraId="5F2CA701"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1,41%</w:t>
            </w:r>
          </w:p>
        </w:tc>
        <w:tc>
          <w:tcPr>
            <w:tcW w:w="1275" w:type="dxa"/>
            <w:tcBorders>
              <w:top w:val="nil"/>
            </w:tcBorders>
            <w:shd w:val="clear" w:color="auto" w:fill="FFFFFF" w:themeFill="background1"/>
            <w:noWrap/>
            <w:vAlign w:val="center"/>
            <w:hideMark/>
          </w:tcPr>
          <w:p w14:paraId="4F0FA894" w14:textId="4923627A"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40</w:t>
            </w:r>
            <w:r w:rsidR="00E55CA1" w:rsidRPr="00B674EA">
              <w:rPr>
                <w:rFonts w:ascii="Calibri" w:eastAsia="Times New Roman" w:hAnsi="Calibri" w:cs="Calibri"/>
                <w:sz w:val="20"/>
                <w:szCs w:val="20"/>
                <w:lang w:val="es-CR" w:eastAsia="es-CR"/>
              </w:rPr>
              <w:t>1</w:t>
            </w:r>
            <w:r w:rsidRPr="00B674EA">
              <w:rPr>
                <w:rFonts w:ascii="Calibri" w:eastAsia="Times New Roman" w:hAnsi="Calibri" w:cs="Calibri"/>
                <w:sz w:val="20"/>
                <w:szCs w:val="20"/>
                <w:lang w:val="es-CR" w:eastAsia="es-CR"/>
              </w:rPr>
              <w:t xml:space="preserve"> </w:t>
            </w:r>
            <w:r w:rsidR="00FA46DF" w:rsidRPr="00B674EA">
              <w:rPr>
                <w:rFonts w:ascii="Calibri" w:eastAsia="Times New Roman" w:hAnsi="Calibri" w:cs="Calibri"/>
                <w:sz w:val="20"/>
                <w:szCs w:val="20"/>
                <w:lang w:val="es-CR" w:eastAsia="es-CR"/>
              </w:rPr>
              <w:t>460</w:t>
            </w:r>
          </w:p>
        </w:tc>
      </w:tr>
      <w:tr w:rsidR="00265AC6" w:rsidRPr="003478E0" w14:paraId="08E728A2" w14:textId="77777777" w:rsidTr="000943E1">
        <w:trPr>
          <w:trHeight w:val="315"/>
        </w:trPr>
        <w:tc>
          <w:tcPr>
            <w:tcW w:w="2845" w:type="dxa"/>
            <w:tcBorders>
              <w:top w:val="nil"/>
            </w:tcBorders>
            <w:shd w:val="clear" w:color="auto" w:fill="FFFFFF" w:themeFill="background1"/>
            <w:noWrap/>
            <w:vAlign w:val="center"/>
            <w:hideMark/>
          </w:tcPr>
          <w:p w14:paraId="26B2E288"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FPJ</w:t>
            </w:r>
          </w:p>
        </w:tc>
        <w:tc>
          <w:tcPr>
            <w:tcW w:w="1144" w:type="dxa"/>
            <w:tcBorders>
              <w:top w:val="nil"/>
            </w:tcBorders>
            <w:shd w:val="clear" w:color="auto" w:fill="FFFFFF" w:themeFill="background1"/>
            <w:vAlign w:val="center"/>
            <w:hideMark/>
          </w:tcPr>
          <w:p w14:paraId="37A93C85"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13 491</w:t>
            </w:r>
          </w:p>
        </w:tc>
        <w:tc>
          <w:tcPr>
            <w:tcW w:w="1134" w:type="dxa"/>
            <w:tcBorders>
              <w:top w:val="nil"/>
            </w:tcBorders>
            <w:shd w:val="clear" w:color="auto" w:fill="FFFFFF" w:themeFill="background1"/>
            <w:vAlign w:val="center"/>
            <w:hideMark/>
          </w:tcPr>
          <w:p w14:paraId="72838E3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4 229</w:t>
            </w:r>
          </w:p>
        </w:tc>
        <w:tc>
          <w:tcPr>
            <w:tcW w:w="1417" w:type="dxa"/>
            <w:tcBorders>
              <w:top w:val="nil"/>
            </w:tcBorders>
            <w:shd w:val="clear" w:color="auto" w:fill="FFFFFF" w:themeFill="background1"/>
            <w:noWrap/>
            <w:vAlign w:val="center"/>
            <w:hideMark/>
          </w:tcPr>
          <w:p w14:paraId="3BF47E6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13%</w:t>
            </w:r>
            <w:r w:rsidRPr="00B674EA">
              <w:rPr>
                <w:rFonts w:ascii="Calibri" w:eastAsia="Times New Roman" w:hAnsi="Calibri" w:cs="Calibri"/>
                <w:sz w:val="20"/>
                <w:szCs w:val="20"/>
                <w:vertAlign w:val="superscript"/>
                <w:lang w:val="es-CR" w:eastAsia="es-CR"/>
              </w:rPr>
              <w:t>2/</w:t>
            </w:r>
          </w:p>
        </w:tc>
        <w:tc>
          <w:tcPr>
            <w:tcW w:w="1134" w:type="dxa"/>
            <w:tcBorders>
              <w:top w:val="nil"/>
            </w:tcBorders>
            <w:shd w:val="clear" w:color="auto" w:fill="FFFFFF" w:themeFill="background1"/>
            <w:noWrap/>
            <w:vAlign w:val="center"/>
            <w:hideMark/>
          </w:tcPr>
          <w:p w14:paraId="2DA2BAFE"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14,36%</w:t>
            </w:r>
          </w:p>
        </w:tc>
        <w:tc>
          <w:tcPr>
            <w:tcW w:w="993" w:type="dxa"/>
            <w:tcBorders>
              <w:top w:val="nil"/>
            </w:tcBorders>
            <w:shd w:val="clear" w:color="auto" w:fill="FFFFFF" w:themeFill="background1"/>
            <w:noWrap/>
            <w:vAlign w:val="center"/>
            <w:hideMark/>
          </w:tcPr>
          <w:p w14:paraId="56EC803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1,41%</w:t>
            </w:r>
          </w:p>
        </w:tc>
        <w:tc>
          <w:tcPr>
            <w:tcW w:w="1275" w:type="dxa"/>
            <w:tcBorders>
              <w:top w:val="nil"/>
            </w:tcBorders>
            <w:shd w:val="clear" w:color="auto" w:fill="FFFFFF" w:themeFill="background1"/>
            <w:noWrap/>
            <w:vAlign w:val="center"/>
            <w:hideMark/>
          </w:tcPr>
          <w:p w14:paraId="4A004F18" w14:textId="27660A41"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w:t>
            </w:r>
            <w:r w:rsidR="00FA46DF" w:rsidRPr="00B674EA">
              <w:rPr>
                <w:rFonts w:ascii="Calibri" w:eastAsia="Times New Roman" w:hAnsi="Calibri" w:cs="Calibri"/>
                <w:sz w:val="20"/>
                <w:szCs w:val="20"/>
                <w:lang w:val="es-CR" w:eastAsia="es-CR"/>
              </w:rPr>
              <w:t> 829 975</w:t>
            </w:r>
          </w:p>
        </w:tc>
      </w:tr>
      <w:tr w:rsidR="00265AC6" w:rsidRPr="003478E0" w14:paraId="5C52B096" w14:textId="77777777" w:rsidTr="000943E1">
        <w:trPr>
          <w:trHeight w:val="315"/>
        </w:trPr>
        <w:tc>
          <w:tcPr>
            <w:tcW w:w="2845" w:type="dxa"/>
            <w:tcBorders>
              <w:top w:val="nil"/>
            </w:tcBorders>
            <w:shd w:val="clear" w:color="auto" w:fill="FFFFFF" w:themeFill="background1"/>
            <w:noWrap/>
            <w:vAlign w:val="center"/>
            <w:hideMark/>
          </w:tcPr>
          <w:p w14:paraId="270E8B52"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FBOMBEROS</w:t>
            </w:r>
          </w:p>
        </w:tc>
        <w:tc>
          <w:tcPr>
            <w:tcW w:w="1144" w:type="dxa"/>
            <w:tcBorders>
              <w:top w:val="nil"/>
            </w:tcBorders>
            <w:shd w:val="clear" w:color="auto" w:fill="FFFFFF" w:themeFill="background1"/>
            <w:vAlign w:val="center"/>
            <w:hideMark/>
          </w:tcPr>
          <w:p w14:paraId="740392AA" w14:textId="4F43A7C4" w:rsidR="00004F14" w:rsidRPr="00B674EA" w:rsidRDefault="00004F14" w:rsidP="00E90E00">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2 </w:t>
            </w:r>
          </w:p>
        </w:tc>
        <w:tc>
          <w:tcPr>
            <w:tcW w:w="1134" w:type="dxa"/>
            <w:tcBorders>
              <w:top w:val="nil"/>
            </w:tcBorders>
            <w:shd w:val="clear" w:color="auto" w:fill="FFFFFF" w:themeFill="background1"/>
            <w:vAlign w:val="center"/>
            <w:hideMark/>
          </w:tcPr>
          <w:p w14:paraId="481E87B5"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223</w:t>
            </w:r>
          </w:p>
        </w:tc>
        <w:tc>
          <w:tcPr>
            <w:tcW w:w="1417" w:type="dxa"/>
            <w:tcBorders>
              <w:top w:val="nil"/>
            </w:tcBorders>
            <w:shd w:val="clear" w:color="auto" w:fill="FFFFFF" w:themeFill="background1"/>
            <w:noWrap/>
            <w:vAlign w:val="center"/>
            <w:hideMark/>
          </w:tcPr>
          <w:p w14:paraId="5648FFA6"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12,50%</w:t>
            </w:r>
          </w:p>
        </w:tc>
        <w:tc>
          <w:tcPr>
            <w:tcW w:w="1134" w:type="dxa"/>
            <w:tcBorders>
              <w:top w:val="nil"/>
            </w:tcBorders>
            <w:shd w:val="clear" w:color="auto" w:fill="FFFFFF" w:themeFill="background1"/>
            <w:noWrap/>
            <w:vAlign w:val="center"/>
            <w:hideMark/>
          </w:tcPr>
          <w:p w14:paraId="4984556D"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37,50%</w:t>
            </w:r>
          </w:p>
        </w:tc>
        <w:tc>
          <w:tcPr>
            <w:tcW w:w="993" w:type="dxa"/>
            <w:tcBorders>
              <w:top w:val="nil"/>
            </w:tcBorders>
            <w:shd w:val="clear" w:color="auto" w:fill="FFFFFF" w:themeFill="background1"/>
            <w:noWrap/>
            <w:vAlign w:val="center"/>
            <w:hideMark/>
          </w:tcPr>
          <w:p w14:paraId="74CE136E"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20CC653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936 162</w:t>
            </w:r>
          </w:p>
        </w:tc>
      </w:tr>
      <w:tr w:rsidR="00265AC6" w:rsidRPr="003478E0" w14:paraId="4A684F86" w14:textId="77777777" w:rsidTr="00C6759C">
        <w:trPr>
          <w:trHeight w:val="344"/>
        </w:trPr>
        <w:tc>
          <w:tcPr>
            <w:tcW w:w="3989" w:type="dxa"/>
            <w:gridSpan w:val="2"/>
            <w:tcBorders>
              <w:top w:val="nil"/>
              <w:right w:val="nil"/>
            </w:tcBorders>
            <w:shd w:val="clear" w:color="auto" w:fill="FFFFFF" w:themeFill="background1"/>
            <w:noWrap/>
            <w:vAlign w:val="center"/>
            <w:hideMark/>
          </w:tcPr>
          <w:p w14:paraId="10DB44AE" w14:textId="7A56FDBF"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Regímenes ocupacionales complementarios </w:t>
            </w:r>
          </w:p>
        </w:tc>
        <w:tc>
          <w:tcPr>
            <w:tcW w:w="1134" w:type="dxa"/>
            <w:tcBorders>
              <w:top w:val="nil"/>
              <w:left w:val="nil"/>
              <w:right w:val="nil"/>
            </w:tcBorders>
            <w:shd w:val="clear" w:color="auto" w:fill="FFFFFF" w:themeFill="background1"/>
            <w:noWrap/>
            <w:vAlign w:val="center"/>
            <w:hideMark/>
          </w:tcPr>
          <w:p w14:paraId="46E6816E"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417" w:type="dxa"/>
            <w:tcBorders>
              <w:top w:val="nil"/>
              <w:left w:val="nil"/>
              <w:right w:val="nil"/>
            </w:tcBorders>
            <w:shd w:val="clear" w:color="auto" w:fill="FFFFFF" w:themeFill="background1"/>
            <w:noWrap/>
            <w:vAlign w:val="center"/>
            <w:hideMark/>
          </w:tcPr>
          <w:p w14:paraId="140037F9"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134" w:type="dxa"/>
            <w:tcBorders>
              <w:top w:val="nil"/>
              <w:left w:val="nil"/>
              <w:right w:val="nil"/>
            </w:tcBorders>
            <w:shd w:val="clear" w:color="auto" w:fill="FFFFFF" w:themeFill="background1"/>
            <w:noWrap/>
            <w:vAlign w:val="center"/>
            <w:hideMark/>
          </w:tcPr>
          <w:p w14:paraId="67700B38"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993" w:type="dxa"/>
            <w:tcBorders>
              <w:top w:val="nil"/>
              <w:left w:val="nil"/>
              <w:right w:val="nil"/>
            </w:tcBorders>
            <w:shd w:val="clear" w:color="auto" w:fill="FFFFFF" w:themeFill="background1"/>
            <w:noWrap/>
            <w:vAlign w:val="center"/>
            <w:hideMark/>
          </w:tcPr>
          <w:p w14:paraId="506B5349"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275" w:type="dxa"/>
            <w:tcBorders>
              <w:top w:val="nil"/>
              <w:left w:val="nil"/>
            </w:tcBorders>
            <w:shd w:val="clear" w:color="auto" w:fill="FFFFFF" w:themeFill="background1"/>
            <w:noWrap/>
            <w:vAlign w:val="center"/>
            <w:hideMark/>
          </w:tcPr>
          <w:p w14:paraId="4066FF98"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r>
      <w:tr w:rsidR="00265AC6" w:rsidRPr="003478E0" w14:paraId="3CC690ED" w14:textId="77777777" w:rsidTr="000943E1">
        <w:trPr>
          <w:trHeight w:val="315"/>
        </w:trPr>
        <w:tc>
          <w:tcPr>
            <w:tcW w:w="2845" w:type="dxa"/>
            <w:tcBorders>
              <w:top w:val="nil"/>
            </w:tcBorders>
            <w:shd w:val="clear" w:color="auto" w:fill="FFFFFF" w:themeFill="background1"/>
            <w:noWrap/>
            <w:vAlign w:val="center"/>
            <w:hideMark/>
          </w:tcPr>
          <w:p w14:paraId="1EBF9156"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FBNCR </w:t>
            </w:r>
          </w:p>
        </w:tc>
        <w:tc>
          <w:tcPr>
            <w:tcW w:w="1144" w:type="dxa"/>
            <w:tcBorders>
              <w:top w:val="nil"/>
            </w:tcBorders>
            <w:shd w:val="clear" w:color="auto" w:fill="FFFFFF" w:themeFill="background1"/>
            <w:vAlign w:val="center"/>
            <w:hideMark/>
          </w:tcPr>
          <w:p w14:paraId="363758E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5 143</w:t>
            </w:r>
          </w:p>
        </w:tc>
        <w:tc>
          <w:tcPr>
            <w:tcW w:w="1134" w:type="dxa"/>
            <w:tcBorders>
              <w:top w:val="nil"/>
            </w:tcBorders>
            <w:shd w:val="clear" w:color="auto" w:fill="FFFFFF" w:themeFill="background1"/>
            <w:vAlign w:val="center"/>
            <w:hideMark/>
          </w:tcPr>
          <w:p w14:paraId="045B36EC" w14:textId="48EB524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1 5</w:t>
            </w:r>
            <w:r w:rsidR="003F146F" w:rsidRPr="00B674EA">
              <w:rPr>
                <w:rFonts w:ascii="Calibri" w:eastAsia="Times New Roman" w:hAnsi="Calibri" w:cs="Calibri"/>
                <w:sz w:val="20"/>
                <w:szCs w:val="20"/>
                <w:lang w:val="es-CR" w:eastAsia="es-CR"/>
              </w:rPr>
              <w:t>87</w:t>
            </w:r>
          </w:p>
        </w:tc>
        <w:tc>
          <w:tcPr>
            <w:tcW w:w="1417" w:type="dxa"/>
            <w:tcBorders>
              <w:top w:val="nil"/>
            </w:tcBorders>
            <w:shd w:val="clear" w:color="auto" w:fill="FFFFFF" w:themeFill="background1"/>
            <w:noWrap/>
            <w:vAlign w:val="center"/>
            <w:hideMark/>
          </w:tcPr>
          <w:p w14:paraId="3A569F67"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5,50%</w:t>
            </w:r>
          </w:p>
        </w:tc>
        <w:tc>
          <w:tcPr>
            <w:tcW w:w="1134" w:type="dxa"/>
            <w:tcBorders>
              <w:top w:val="nil"/>
            </w:tcBorders>
            <w:shd w:val="clear" w:color="auto" w:fill="FFFFFF" w:themeFill="background1"/>
            <w:noWrap/>
            <w:vAlign w:val="center"/>
            <w:hideMark/>
          </w:tcPr>
          <w:p w14:paraId="282DF794"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10%</w:t>
            </w:r>
          </w:p>
        </w:tc>
        <w:tc>
          <w:tcPr>
            <w:tcW w:w="993" w:type="dxa"/>
            <w:tcBorders>
              <w:top w:val="nil"/>
            </w:tcBorders>
            <w:shd w:val="clear" w:color="auto" w:fill="FFFFFF" w:themeFill="background1"/>
            <w:noWrap/>
            <w:vAlign w:val="center"/>
            <w:hideMark/>
          </w:tcPr>
          <w:p w14:paraId="067FB559"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6C5CBCDE" w14:textId="05C076DC"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7</w:t>
            </w:r>
            <w:r w:rsidR="00FA46DF" w:rsidRPr="00B674EA">
              <w:rPr>
                <w:rFonts w:ascii="Calibri" w:eastAsia="Times New Roman" w:hAnsi="Calibri" w:cs="Calibri"/>
                <w:sz w:val="20"/>
                <w:szCs w:val="20"/>
                <w:lang w:val="es-CR" w:eastAsia="es-CR"/>
              </w:rPr>
              <w:t xml:space="preserve">68 </w:t>
            </w:r>
            <w:r w:rsidR="00C32778" w:rsidRPr="00B674EA">
              <w:rPr>
                <w:rFonts w:ascii="Calibri" w:eastAsia="Times New Roman" w:hAnsi="Calibri" w:cs="Calibri"/>
                <w:sz w:val="20"/>
                <w:szCs w:val="20"/>
                <w:lang w:val="es-CR" w:eastAsia="es-CR"/>
              </w:rPr>
              <w:t>845</w:t>
            </w:r>
          </w:p>
        </w:tc>
      </w:tr>
      <w:tr w:rsidR="00265AC6" w:rsidRPr="003478E0" w14:paraId="0B4AB354" w14:textId="77777777" w:rsidTr="000943E1">
        <w:trPr>
          <w:trHeight w:val="315"/>
        </w:trPr>
        <w:tc>
          <w:tcPr>
            <w:tcW w:w="2845" w:type="dxa"/>
            <w:tcBorders>
              <w:top w:val="nil"/>
            </w:tcBorders>
            <w:shd w:val="clear" w:color="auto" w:fill="FFFFFF" w:themeFill="background1"/>
            <w:noWrap/>
            <w:vAlign w:val="center"/>
            <w:hideMark/>
          </w:tcPr>
          <w:p w14:paraId="28B2ACBD"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FICE</w:t>
            </w:r>
          </w:p>
        </w:tc>
        <w:tc>
          <w:tcPr>
            <w:tcW w:w="1144" w:type="dxa"/>
            <w:tcBorders>
              <w:top w:val="nil"/>
            </w:tcBorders>
            <w:shd w:val="clear" w:color="auto" w:fill="FFFFFF" w:themeFill="background1"/>
            <w:vAlign w:val="center"/>
            <w:hideMark/>
          </w:tcPr>
          <w:p w14:paraId="6999A3ED"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11 590</w:t>
            </w:r>
          </w:p>
        </w:tc>
        <w:tc>
          <w:tcPr>
            <w:tcW w:w="1134" w:type="dxa"/>
            <w:tcBorders>
              <w:top w:val="nil"/>
            </w:tcBorders>
            <w:shd w:val="clear" w:color="auto" w:fill="FFFFFF" w:themeFill="background1"/>
            <w:vAlign w:val="center"/>
            <w:hideMark/>
          </w:tcPr>
          <w:p w14:paraId="4632B01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4 485</w:t>
            </w:r>
          </w:p>
        </w:tc>
        <w:tc>
          <w:tcPr>
            <w:tcW w:w="1417" w:type="dxa"/>
            <w:tcBorders>
              <w:top w:val="nil"/>
            </w:tcBorders>
            <w:shd w:val="clear" w:color="auto" w:fill="FFFFFF" w:themeFill="background1"/>
            <w:noWrap/>
            <w:vAlign w:val="center"/>
            <w:hideMark/>
          </w:tcPr>
          <w:p w14:paraId="21991E0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w:t>
            </w:r>
          </w:p>
        </w:tc>
        <w:tc>
          <w:tcPr>
            <w:tcW w:w="1134" w:type="dxa"/>
            <w:tcBorders>
              <w:top w:val="nil"/>
            </w:tcBorders>
            <w:shd w:val="clear" w:color="auto" w:fill="FFFFFF" w:themeFill="background1"/>
            <w:noWrap/>
            <w:vAlign w:val="center"/>
            <w:hideMark/>
          </w:tcPr>
          <w:p w14:paraId="0A2269B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4,50%</w:t>
            </w:r>
          </w:p>
        </w:tc>
        <w:tc>
          <w:tcPr>
            <w:tcW w:w="993" w:type="dxa"/>
            <w:tcBorders>
              <w:top w:val="nil"/>
            </w:tcBorders>
            <w:shd w:val="clear" w:color="auto" w:fill="FFFFFF" w:themeFill="background1"/>
            <w:noWrap/>
            <w:vAlign w:val="center"/>
            <w:hideMark/>
          </w:tcPr>
          <w:p w14:paraId="653F0DB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3EFD0236" w14:textId="0B3D13FC"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287 </w:t>
            </w:r>
            <w:r w:rsidR="00C32778" w:rsidRPr="00B674EA">
              <w:rPr>
                <w:rFonts w:ascii="Calibri" w:eastAsia="Times New Roman" w:hAnsi="Calibri" w:cs="Calibri"/>
                <w:sz w:val="20"/>
                <w:szCs w:val="20"/>
                <w:lang w:val="es-CR" w:eastAsia="es-CR"/>
              </w:rPr>
              <w:t>299</w:t>
            </w:r>
          </w:p>
        </w:tc>
      </w:tr>
      <w:tr w:rsidR="00265AC6" w:rsidRPr="003478E0" w14:paraId="4D7291C7" w14:textId="77777777" w:rsidTr="000943E1">
        <w:trPr>
          <w:trHeight w:val="315"/>
        </w:trPr>
        <w:tc>
          <w:tcPr>
            <w:tcW w:w="2845" w:type="dxa"/>
            <w:tcBorders>
              <w:top w:val="nil"/>
            </w:tcBorders>
            <w:shd w:val="clear" w:color="auto" w:fill="FFFFFF" w:themeFill="background1"/>
            <w:noWrap/>
            <w:vAlign w:val="center"/>
            <w:hideMark/>
          </w:tcPr>
          <w:p w14:paraId="4BCE4B99"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FRE</w:t>
            </w:r>
          </w:p>
        </w:tc>
        <w:tc>
          <w:tcPr>
            <w:tcW w:w="1144" w:type="dxa"/>
            <w:tcBorders>
              <w:top w:val="nil"/>
            </w:tcBorders>
            <w:shd w:val="clear" w:color="auto" w:fill="FFFFFF" w:themeFill="background1"/>
            <w:vAlign w:val="center"/>
            <w:hideMark/>
          </w:tcPr>
          <w:p w14:paraId="4436FB4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61 622</w:t>
            </w:r>
          </w:p>
        </w:tc>
        <w:tc>
          <w:tcPr>
            <w:tcW w:w="1134" w:type="dxa"/>
            <w:tcBorders>
              <w:top w:val="nil"/>
            </w:tcBorders>
            <w:shd w:val="clear" w:color="auto" w:fill="FFFFFF" w:themeFill="background1"/>
            <w:vAlign w:val="center"/>
            <w:hideMark/>
          </w:tcPr>
          <w:p w14:paraId="0C51E22E" w14:textId="089789C5"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18 66</w:t>
            </w:r>
            <w:r w:rsidR="002E49E1" w:rsidRPr="00B674EA">
              <w:rPr>
                <w:rFonts w:ascii="Calibri" w:eastAsia="Times New Roman" w:hAnsi="Calibri" w:cs="Calibri"/>
                <w:sz w:val="20"/>
                <w:szCs w:val="20"/>
                <w:lang w:val="es-CR" w:eastAsia="es-CR"/>
              </w:rPr>
              <w:t>7</w:t>
            </w:r>
          </w:p>
        </w:tc>
        <w:tc>
          <w:tcPr>
            <w:tcW w:w="1417" w:type="dxa"/>
            <w:tcBorders>
              <w:top w:val="nil"/>
            </w:tcBorders>
            <w:shd w:val="clear" w:color="auto" w:fill="FFFFFF" w:themeFill="background1"/>
            <w:noWrap/>
            <w:vAlign w:val="center"/>
            <w:hideMark/>
          </w:tcPr>
          <w:p w14:paraId="3C5EB1F6"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134" w:type="dxa"/>
            <w:tcBorders>
              <w:top w:val="nil"/>
            </w:tcBorders>
            <w:shd w:val="clear" w:color="auto" w:fill="FFFFFF" w:themeFill="background1"/>
            <w:noWrap/>
            <w:vAlign w:val="center"/>
            <w:hideMark/>
          </w:tcPr>
          <w:p w14:paraId="17DE0D8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w:t>
            </w:r>
          </w:p>
        </w:tc>
        <w:tc>
          <w:tcPr>
            <w:tcW w:w="993" w:type="dxa"/>
            <w:tcBorders>
              <w:top w:val="nil"/>
            </w:tcBorders>
            <w:shd w:val="clear" w:color="auto" w:fill="FFFFFF" w:themeFill="background1"/>
            <w:noWrap/>
            <w:vAlign w:val="center"/>
            <w:hideMark/>
          </w:tcPr>
          <w:p w14:paraId="3CB8A6E4"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12E745EF" w14:textId="58628F4C"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13</w:t>
            </w:r>
            <w:r w:rsidR="00C32778" w:rsidRPr="00B674EA">
              <w:rPr>
                <w:rFonts w:ascii="Calibri" w:eastAsia="Times New Roman" w:hAnsi="Calibri" w:cs="Calibri"/>
                <w:sz w:val="20"/>
                <w:szCs w:val="20"/>
                <w:lang w:val="es-CR" w:eastAsia="es-CR"/>
              </w:rPr>
              <w:t>4 616</w:t>
            </w:r>
          </w:p>
        </w:tc>
      </w:tr>
      <w:tr w:rsidR="00265AC6" w:rsidRPr="003478E0" w14:paraId="12D03119" w14:textId="77777777" w:rsidTr="000943E1">
        <w:trPr>
          <w:trHeight w:val="420"/>
        </w:trPr>
        <w:tc>
          <w:tcPr>
            <w:tcW w:w="2845" w:type="dxa"/>
            <w:tcBorders>
              <w:top w:val="nil"/>
            </w:tcBorders>
            <w:shd w:val="clear" w:color="auto" w:fill="FFFFFF" w:themeFill="background1"/>
            <w:noWrap/>
            <w:vAlign w:val="center"/>
            <w:hideMark/>
          </w:tcPr>
          <w:p w14:paraId="3F4F62B9"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FVENTLOT</w:t>
            </w:r>
          </w:p>
        </w:tc>
        <w:tc>
          <w:tcPr>
            <w:tcW w:w="1144" w:type="dxa"/>
            <w:tcBorders>
              <w:top w:val="nil"/>
            </w:tcBorders>
            <w:shd w:val="clear" w:color="auto" w:fill="FFFFFF" w:themeFill="background1"/>
            <w:vAlign w:val="center"/>
            <w:hideMark/>
          </w:tcPr>
          <w:p w14:paraId="638B2E78"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1 579</w:t>
            </w:r>
          </w:p>
        </w:tc>
        <w:tc>
          <w:tcPr>
            <w:tcW w:w="1134" w:type="dxa"/>
            <w:tcBorders>
              <w:top w:val="nil"/>
            </w:tcBorders>
            <w:shd w:val="clear" w:color="auto" w:fill="FFFFFF" w:themeFill="background1"/>
            <w:vAlign w:val="center"/>
            <w:hideMark/>
          </w:tcPr>
          <w:p w14:paraId="6D82949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444</w:t>
            </w:r>
          </w:p>
        </w:tc>
        <w:tc>
          <w:tcPr>
            <w:tcW w:w="1417" w:type="dxa"/>
            <w:tcBorders>
              <w:top w:val="nil"/>
            </w:tcBorders>
            <w:shd w:val="clear" w:color="auto" w:fill="FFFFFF" w:themeFill="background1"/>
            <w:vAlign w:val="center"/>
            <w:hideMark/>
          </w:tcPr>
          <w:p w14:paraId="458AA338"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0,25%</w:t>
            </w:r>
            <w:r w:rsidRPr="00B674EA">
              <w:rPr>
                <w:rFonts w:ascii="Calibri" w:eastAsia="Times New Roman" w:hAnsi="Calibri" w:cs="Calibri"/>
                <w:sz w:val="20"/>
                <w:szCs w:val="20"/>
                <w:vertAlign w:val="superscript"/>
                <w:lang w:val="es-CR" w:eastAsia="es-CR"/>
              </w:rPr>
              <w:t>3/</w:t>
            </w:r>
          </w:p>
        </w:tc>
        <w:tc>
          <w:tcPr>
            <w:tcW w:w="1134" w:type="dxa"/>
            <w:tcBorders>
              <w:top w:val="nil"/>
            </w:tcBorders>
            <w:shd w:val="clear" w:color="auto" w:fill="FFFFFF" w:themeFill="background1"/>
            <w:vAlign w:val="center"/>
            <w:hideMark/>
          </w:tcPr>
          <w:p w14:paraId="72A470AF"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w:t>
            </w:r>
            <w:r w:rsidRPr="00B674EA">
              <w:rPr>
                <w:rFonts w:ascii="Calibri" w:eastAsia="Times New Roman" w:hAnsi="Calibri" w:cs="Calibri"/>
                <w:sz w:val="20"/>
                <w:szCs w:val="20"/>
                <w:vertAlign w:val="superscript"/>
                <w:lang w:val="es-CR" w:eastAsia="es-CR"/>
              </w:rPr>
              <w:t>4/</w:t>
            </w:r>
          </w:p>
        </w:tc>
        <w:tc>
          <w:tcPr>
            <w:tcW w:w="993" w:type="dxa"/>
            <w:tcBorders>
              <w:top w:val="nil"/>
            </w:tcBorders>
            <w:shd w:val="clear" w:color="auto" w:fill="FFFFFF" w:themeFill="background1"/>
            <w:noWrap/>
            <w:vAlign w:val="center"/>
            <w:hideMark/>
          </w:tcPr>
          <w:p w14:paraId="2983E58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4408707C" w14:textId="3F7DC59C"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w:t>
            </w:r>
            <w:r w:rsidR="00C32778" w:rsidRPr="00B674EA">
              <w:rPr>
                <w:rFonts w:ascii="Calibri" w:eastAsia="Times New Roman" w:hAnsi="Calibri" w:cs="Calibri"/>
                <w:sz w:val="20"/>
                <w:szCs w:val="20"/>
                <w:lang w:val="es-CR" w:eastAsia="es-CR"/>
              </w:rPr>
              <w:t>7 150</w:t>
            </w:r>
          </w:p>
        </w:tc>
      </w:tr>
      <w:tr w:rsidR="00265AC6" w:rsidRPr="003478E0" w14:paraId="3716DA0F" w14:textId="77777777" w:rsidTr="000943E1">
        <w:trPr>
          <w:trHeight w:val="315"/>
        </w:trPr>
        <w:tc>
          <w:tcPr>
            <w:tcW w:w="2845" w:type="dxa"/>
            <w:tcBorders>
              <w:top w:val="nil"/>
            </w:tcBorders>
            <w:shd w:val="clear" w:color="auto" w:fill="FFFFFF" w:themeFill="background1"/>
            <w:noWrap/>
            <w:vAlign w:val="center"/>
            <w:hideMark/>
          </w:tcPr>
          <w:p w14:paraId="57F83CB6"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FBCR</w:t>
            </w:r>
          </w:p>
        </w:tc>
        <w:tc>
          <w:tcPr>
            <w:tcW w:w="1144" w:type="dxa"/>
            <w:tcBorders>
              <w:top w:val="nil"/>
            </w:tcBorders>
            <w:shd w:val="clear" w:color="auto" w:fill="FFFFFF" w:themeFill="background1"/>
            <w:vAlign w:val="center"/>
            <w:hideMark/>
          </w:tcPr>
          <w:p w14:paraId="693DE789" w14:textId="2F777B40" w:rsidR="00004F14" w:rsidRPr="00B674EA" w:rsidRDefault="004330F7"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3932</w:t>
            </w:r>
          </w:p>
        </w:tc>
        <w:tc>
          <w:tcPr>
            <w:tcW w:w="1134" w:type="dxa"/>
            <w:tcBorders>
              <w:top w:val="nil"/>
            </w:tcBorders>
            <w:shd w:val="clear" w:color="auto" w:fill="FFFFFF" w:themeFill="background1"/>
            <w:vAlign w:val="center"/>
            <w:hideMark/>
          </w:tcPr>
          <w:p w14:paraId="06E84F4F" w14:textId="34FCBF8D" w:rsidR="00004F14" w:rsidRPr="00B674EA" w:rsidRDefault="00B04649"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30</w:t>
            </w:r>
            <w:r w:rsidR="00004F14" w:rsidRPr="00B674EA">
              <w:rPr>
                <w:rFonts w:ascii="Calibri" w:eastAsia="Times New Roman" w:hAnsi="Calibri" w:cs="Calibri"/>
                <w:sz w:val="20"/>
                <w:szCs w:val="20"/>
                <w:lang w:val="es-CR" w:eastAsia="es-CR"/>
              </w:rPr>
              <w:t> </w:t>
            </w:r>
          </w:p>
        </w:tc>
        <w:tc>
          <w:tcPr>
            <w:tcW w:w="1417" w:type="dxa"/>
            <w:tcBorders>
              <w:top w:val="nil"/>
            </w:tcBorders>
            <w:shd w:val="clear" w:color="auto" w:fill="FFFFFF" w:themeFill="background1"/>
            <w:noWrap/>
            <w:vAlign w:val="center"/>
            <w:hideMark/>
          </w:tcPr>
          <w:p w14:paraId="193749B1"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0,50%</w:t>
            </w:r>
          </w:p>
        </w:tc>
        <w:tc>
          <w:tcPr>
            <w:tcW w:w="1134" w:type="dxa"/>
            <w:tcBorders>
              <w:top w:val="nil"/>
            </w:tcBorders>
            <w:shd w:val="clear" w:color="auto" w:fill="FFFFFF" w:themeFill="background1"/>
            <w:noWrap/>
            <w:vAlign w:val="center"/>
            <w:hideMark/>
          </w:tcPr>
          <w:p w14:paraId="7912C36B"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10%</w:t>
            </w:r>
          </w:p>
        </w:tc>
        <w:tc>
          <w:tcPr>
            <w:tcW w:w="993" w:type="dxa"/>
            <w:tcBorders>
              <w:top w:val="nil"/>
            </w:tcBorders>
            <w:shd w:val="clear" w:color="auto" w:fill="FFFFFF" w:themeFill="background1"/>
            <w:noWrap/>
            <w:vAlign w:val="center"/>
            <w:hideMark/>
          </w:tcPr>
          <w:p w14:paraId="5FDFE1F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2AEBE758" w14:textId="2E07AE45" w:rsidR="00004F14" w:rsidRPr="00B674EA" w:rsidRDefault="00E355B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92 78</w:t>
            </w:r>
            <w:r w:rsidR="00B35796" w:rsidRPr="00B674EA">
              <w:rPr>
                <w:rFonts w:ascii="Calibri" w:eastAsia="Times New Roman" w:hAnsi="Calibri" w:cs="Calibri"/>
                <w:sz w:val="20"/>
                <w:szCs w:val="20"/>
                <w:lang w:val="es-CR" w:eastAsia="es-CR"/>
              </w:rPr>
              <w:t>4</w:t>
            </w:r>
          </w:p>
        </w:tc>
      </w:tr>
      <w:tr w:rsidR="00265AC6" w:rsidRPr="003478E0" w14:paraId="1A0DFF5B" w14:textId="77777777" w:rsidTr="000943E1">
        <w:trPr>
          <w:trHeight w:val="315"/>
        </w:trPr>
        <w:tc>
          <w:tcPr>
            <w:tcW w:w="2845" w:type="dxa"/>
            <w:tcBorders>
              <w:top w:val="nil"/>
            </w:tcBorders>
            <w:shd w:val="clear" w:color="auto" w:fill="FFFFFF" w:themeFill="background1"/>
            <w:noWrap/>
            <w:vAlign w:val="center"/>
            <w:hideMark/>
          </w:tcPr>
          <w:p w14:paraId="02B8490B"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FICT</w:t>
            </w:r>
          </w:p>
        </w:tc>
        <w:tc>
          <w:tcPr>
            <w:tcW w:w="1144" w:type="dxa"/>
            <w:tcBorders>
              <w:top w:val="nil"/>
            </w:tcBorders>
            <w:shd w:val="clear" w:color="auto" w:fill="FFFFFF" w:themeFill="background1"/>
            <w:vAlign w:val="center"/>
            <w:hideMark/>
          </w:tcPr>
          <w:p w14:paraId="72D6EB6F" w14:textId="20F92227" w:rsidR="00004F14" w:rsidRPr="00B674EA" w:rsidRDefault="00897526"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280</w:t>
            </w:r>
          </w:p>
        </w:tc>
        <w:tc>
          <w:tcPr>
            <w:tcW w:w="1134" w:type="dxa"/>
            <w:tcBorders>
              <w:top w:val="nil"/>
            </w:tcBorders>
            <w:shd w:val="clear" w:color="auto" w:fill="FFFFFF" w:themeFill="background1"/>
            <w:vAlign w:val="center"/>
            <w:hideMark/>
          </w:tcPr>
          <w:p w14:paraId="3A12E342" w14:textId="6A223389" w:rsidR="00004F14" w:rsidRPr="00B674EA" w:rsidRDefault="009633D5"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417" w:type="dxa"/>
            <w:tcBorders>
              <w:top w:val="nil"/>
            </w:tcBorders>
            <w:shd w:val="clear" w:color="auto" w:fill="FFFFFF" w:themeFill="background1"/>
            <w:noWrap/>
            <w:vAlign w:val="center"/>
            <w:hideMark/>
          </w:tcPr>
          <w:p w14:paraId="01A534F8"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134" w:type="dxa"/>
            <w:tcBorders>
              <w:top w:val="nil"/>
            </w:tcBorders>
            <w:shd w:val="clear" w:color="auto" w:fill="FFFFFF" w:themeFill="background1"/>
            <w:noWrap/>
            <w:vAlign w:val="center"/>
            <w:hideMark/>
          </w:tcPr>
          <w:p w14:paraId="39EDC757"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w:t>
            </w:r>
          </w:p>
        </w:tc>
        <w:tc>
          <w:tcPr>
            <w:tcW w:w="993" w:type="dxa"/>
            <w:tcBorders>
              <w:top w:val="nil"/>
            </w:tcBorders>
            <w:shd w:val="clear" w:color="auto" w:fill="FFFFFF" w:themeFill="background1"/>
            <w:noWrap/>
            <w:vAlign w:val="center"/>
            <w:hideMark/>
          </w:tcPr>
          <w:p w14:paraId="720525C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4A86378D" w14:textId="0DEEC60B" w:rsidR="00004F14" w:rsidRPr="00B674EA" w:rsidRDefault="009633D5"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r>
      <w:tr w:rsidR="00265AC6" w:rsidRPr="003478E0" w14:paraId="60FF536A" w14:textId="77777777" w:rsidTr="008F35C1">
        <w:trPr>
          <w:trHeight w:val="315"/>
        </w:trPr>
        <w:tc>
          <w:tcPr>
            <w:tcW w:w="2845" w:type="dxa"/>
            <w:tcBorders>
              <w:top w:val="nil"/>
            </w:tcBorders>
            <w:shd w:val="clear" w:color="auto" w:fill="FFFFFF" w:themeFill="background1"/>
            <w:noWrap/>
            <w:vAlign w:val="center"/>
            <w:hideMark/>
          </w:tcPr>
          <w:p w14:paraId="260A0573" w14:textId="482FBA7E" w:rsidR="00904447" w:rsidRPr="00B674EA" w:rsidRDefault="00904447" w:rsidP="00904447">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Obligatorio Comp. (ROP)</w:t>
            </w:r>
          </w:p>
        </w:tc>
        <w:tc>
          <w:tcPr>
            <w:tcW w:w="1144" w:type="dxa"/>
            <w:tcBorders>
              <w:top w:val="nil"/>
            </w:tcBorders>
            <w:shd w:val="clear" w:color="auto" w:fill="FFFFFF" w:themeFill="background1"/>
            <w:hideMark/>
          </w:tcPr>
          <w:p w14:paraId="697FD9E0" w14:textId="35B5A46C" w:rsidR="00904447" w:rsidRPr="00B674EA" w:rsidRDefault="00904447" w:rsidP="008F35C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2 878 877</w:t>
            </w:r>
          </w:p>
        </w:tc>
        <w:tc>
          <w:tcPr>
            <w:tcW w:w="1134" w:type="dxa"/>
            <w:tcBorders>
              <w:top w:val="nil"/>
            </w:tcBorders>
            <w:shd w:val="clear" w:color="auto" w:fill="FFFFFF" w:themeFill="background1"/>
            <w:hideMark/>
          </w:tcPr>
          <w:p w14:paraId="68D6630E" w14:textId="79082BD9" w:rsidR="00904447" w:rsidRPr="00B674EA" w:rsidRDefault="00904447" w:rsidP="008F35C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29 591</w:t>
            </w:r>
            <w:r w:rsidR="00E05EBB" w:rsidRPr="00B674EA">
              <w:rPr>
                <w:rFonts w:ascii="Calibri" w:eastAsia="Times New Roman" w:hAnsi="Calibri" w:cs="Calibri"/>
                <w:sz w:val="20"/>
                <w:szCs w:val="20"/>
                <w:vertAlign w:val="superscript"/>
                <w:lang w:val="es-CR" w:eastAsia="es-CR"/>
              </w:rPr>
              <w:t>5/</w:t>
            </w:r>
          </w:p>
        </w:tc>
        <w:tc>
          <w:tcPr>
            <w:tcW w:w="1417" w:type="dxa"/>
            <w:tcBorders>
              <w:top w:val="nil"/>
            </w:tcBorders>
            <w:shd w:val="clear" w:color="auto" w:fill="FFFFFF" w:themeFill="background1"/>
            <w:noWrap/>
            <w:hideMark/>
          </w:tcPr>
          <w:p w14:paraId="03A2F385" w14:textId="77777777" w:rsidR="00904447" w:rsidRPr="00B674EA" w:rsidRDefault="00904447" w:rsidP="008F35C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w:t>
            </w:r>
          </w:p>
        </w:tc>
        <w:tc>
          <w:tcPr>
            <w:tcW w:w="1134" w:type="dxa"/>
            <w:tcBorders>
              <w:top w:val="nil"/>
            </w:tcBorders>
            <w:shd w:val="clear" w:color="auto" w:fill="FFFFFF" w:themeFill="background1"/>
            <w:noWrap/>
            <w:hideMark/>
          </w:tcPr>
          <w:p w14:paraId="1D64EA38" w14:textId="77777777" w:rsidR="00904447" w:rsidRPr="00B674EA" w:rsidRDefault="00904447" w:rsidP="008F35C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3,25%</w:t>
            </w:r>
          </w:p>
        </w:tc>
        <w:tc>
          <w:tcPr>
            <w:tcW w:w="993" w:type="dxa"/>
            <w:tcBorders>
              <w:top w:val="nil"/>
            </w:tcBorders>
            <w:shd w:val="clear" w:color="auto" w:fill="FFFFFF" w:themeFill="background1"/>
            <w:noWrap/>
            <w:hideMark/>
          </w:tcPr>
          <w:p w14:paraId="437A22F6" w14:textId="77777777" w:rsidR="00904447" w:rsidRPr="00B674EA" w:rsidRDefault="00904447" w:rsidP="008F35C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hideMark/>
          </w:tcPr>
          <w:p w14:paraId="3F9C0F2F" w14:textId="7E79BA86" w:rsidR="00904447" w:rsidRPr="00B674EA" w:rsidRDefault="00904447" w:rsidP="008F35C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154 156</w:t>
            </w:r>
          </w:p>
        </w:tc>
      </w:tr>
      <w:tr w:rsidR="00265AC6" w:rsidRPr="003478E0" w14:paraId="1162A2B9" w14:textId="77777777" w:rsidTr="00977AD4">
        <w:trPr>
          <w:trHeight w:val="315"/>
        </w:trPr>
        <w:tc>
          <w:tcPr>
            <w:tcW w:w="2845" w:type="dxa"/>
            <w:tcBorders>
              <w:top w:val="nil"/>
            </w:tcBorders>
            <w:shd w:val="clear" w:color="auto" w:fill="FFFFFF" w:themeFill="background1"/>
            <w:noWrap/>
            <w:vAlign w:val="center"/>
            <w:hideMark/>
          </w:tcPr>
          <w:p w14:paraId="3E300571" w14:textId="77777777" w:rsidR="00904447" w:rsidRPr="00B674EA" w:rsidRDefault="00904447" w:rsidP="00904447">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Planes Voluntarios</w:t>
            </w:r>
          </w:p>
        </w:tc>
        <w:tc>
          <w:tcPr>
            <w:tcW w:w="1144" w:type="dxa"/>
            <w:tcBorders>
              <w:top w:val="nil"/>
            </w:tcBorders>
            <w:shd w:val="clear" w:color="auto" w:fill="FFFFFF" w:themeFill="background1"/>
            <w:hideMark/>
          </w:tcPr>
          <w:p w14:paraId="534D8429" w14:textId="64EBBBD9" w:rsidR="00904447" w:rsidRPr="00B674EA" w:rsidRDefault="00904447" w:rsidP="00904447">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164 997</w:t>
            </w:r>
          </w:p>
        </w:tc>
        <w:tc>
          <w:tcPr>
            <w:tcW w:w="1134" w:type="dxa"/>
            <w:tcBorders>
              <w:top w:val="nil"/>
            </w:tcBorders>
            <w:shd w:val="clear" w:color="auto" w:fill="FFFFFF" w:themeFill="background1"/>
            <w:vAlign w:val="center"/>
            <w:hideMark/>
          </w:tcPr>
          <w:p w14:paraId="5FD3F701" w14:textId="684BEBC5" w:rsidR="00904447" w:rsidRPr="00B674EA" w:rsidRDefault="00904447" w:rsidP="00904447">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10</w:t>
            </w:r>
          </w:p>
        </w:tc>
        <w:tc>
          <w:tcPr>
            <w:tcW w:w="1417" w:type="dxa"/>
            <w:tcBorders>
              <w:top w:val="nil"/>
            </w:tcBorders>
            <w:shd w:val="clear" w:color="auto" w:fill="FFFFFF" w:themeFill="background1"/>
            <w:vAlign w:val="center"/>
            <w:hideMark/>
          </w:tcPr>
          <w:p w14:paraId="61B7C098" w14:textId="77777777" w:rsidR="00904447" w:rsidRPr="00B674EA" w:rsidRDefault="00904447" w:rsidP="00904447">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Libre</w:t>
            </w:r>
          </w:p>
        </w:tc>
        <w:tc>
          <w:tcPr>
            <w:tcW w:w="1134" w:type="dxa"/>
            <w:tcBorders>
              <w:top w:val="nil"/>
            </w:tcBorders>
            <w:shd w:val="clear" w:color="auto" w:fill="FFFFFF" w:themeFill="background1"/>
            <w:noWrap/>
            <w:vAlign w:val="center"/>
            <w:hideMark/>
          </w:tcPr>
          <w:p w14:paraId="61648240" w14:textId="77777777" w:rsidR="00904447" w:rsidRPr="00B674EA" w:rsidRDefault="00904447" w:rsidP="00904447">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993" w:type="dxa"/>
            <w:tcBorders>
              <w:top w:val="nil"/>
            </w:tcBorders>
            <w:shd w:val="clear" w:color="auto" w:fill="FFFFFF" w:themeFill="background1"/>
            <w:noWrap/>
            <w:vAlign w:val="center"/>
            <w:hideMark/>
          </w:tcPr>
          <w:p w14:paraId="67E5B4D4" w14:textId="77777777" w:rsidR="00904447" w:rsidRPr="00B674EA" w:rsidRDefault="00904447" w:rsidP="00904447">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hideMark/>
          </w:tcPr>
          <w:p w14:paraId="72571236" w14:textId="4EE536E2" w:rsidR="00904447" w:rsidRPr="00B674EA" w:rsidRDefault="00904447" w:rsidP="00904447">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239 000</w:t>
            </w:r>
          </w:p>
        </w:tc>
      </w:tr>
      <w:tr w:rsidR="00265AC6" w:rsidRPr="003478E0" w14:paraId="35082C11" w14:textId="77777777" w:rsidTr="000943E1">
        <w:trPr>
          <w:trHeight w:val="315"/>
        </w:trPr>
        <w:tc>
          <w:tcPr>
            <w:tcW w:w="2845" w:type="dxa"/>
            <w:tcBorders>
              <w:bottom w:val="single" w:sz="4" w:space="0" w:color="auto"/>
            </w:tcBorders>
            <w:shd w:val="clear" w:color="auto" w:fill="FFFFFF" w:themeFill="background1"/>
            <w:noWrap/>
            <w:vAlign w:val="center"/>
            <w:hideMark/>
          </w:tcPr>
          <w:p w14:paraId="1009457D"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Fondo de Capitalización Laboral (FCL)</w:t>
            </w:r>
          </w:p>
        </w:tc>
        <w:tc>
          <w:tcPr>
            <w:tcW w:w="1144" w:type="dxa"/>
            <w:tcBorders>
              <w:bottom w:val="single" w:sz="4" w:space="0" w:color="auto"/>
            </w:tcBorders>
            <w:shd w:val="clear" w:color="auto" w:fill="FFFFFF" w:themeFill="background1"/>
            <w:vAlign w:val="center"/>
            <w:hideMark/>
          </w:tcPr>
          <w:p w14:paraId="4EBB7B51" w14:textId="4860F793" w:rsidR="00004F14" w:rsidRPr="00B674EA" w:rsidRDefault="00FE0948" w:rsidP="00FE0948">
            <w:pPr>
              <w:jc w:val="right"/>
              <w:rPr>
                <w:rFonts w:ascii="Calibri" w:hAnsi="Calibri" w:cs="Calibri"/>
                <w:color w:val="000000"/>
                <w:sz w:val="20"/>
                <w:szCs w:val="20"/>
                <w:lang w:val="es-CR"/>
              </w:rPr>
            </w:pPr>
            <w:r w:rsidRPr="00B674EA">
              <w:rPr>
                <w:rFonts w:ascii="Calibri" w:hAnsi="Calibri" w:cs="Calibri"/>
                <w:color w:val="000000"/>
                <w:sz w:val="20"/>
                <w:szCs w:val="20"/>
              </w:rPr>
              <w:t>2 616 788</w:t>
            </w:r>
            <w:r w:rsidR="00004F14" w:rsidRPr="00B674EA">
              <w:rPr>
                <w:rFonts w:ascii="Calibri" w:eastAsia="Times New Roman" w:hAnsi="Calibri" w:cs="Calibri"/>
                <w:sz w:val="20"/>
                <w:szCs w:val="20"/>
                <w:lang w:val="es-CR" w:eastAsia="es-CR"/>
              </w:rPr>
              <w:t> </w:t>
            </w:r>
          </w:p>
        </w:tc>
        <w:tc>
          <w:tcPr>
            <w:tcW w:w="1134" w:type="dxa"/>
            <w:tcBorders>
              <w:bottom w:val="single" w:sz="4" w:space="0" w:color="auto"/>
            </w:tcBorders>
            <w:shd w:val="clear" w:color="auto" w:fill="FFFFFF" w:themeFill="background1"/>
            <w:noWrap/>
            <w:vAlign w:val="center"/>
            <w:hideMark/>
          </w:tcPr>
          <w:p w14:paraId="0976A107"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NA</w:t>
            </w:r>
          </w:p>
        </w:tc>
        <w:tc>
          <w:tcPr>
            <w:tcW w:w="1417" w:type="dxa"/>
            <w:tcBorders>
              <w:bottom w:val="single" w:sz="4" w:space="0" w:color="auto"/>
            </w:tcBorders>
            <w:shd w:val="clear" w:color="auto" w:fill="FFFFFF" w:themeFill="background1"/>
            <w:noWrap/>
            <w:vAlign w:val="center"/>
            <w:hideMark/>
          </w:tcPr>
          <w:p w14:paraId="270C51C7"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1,50%</w:t>
            </w:r>
          </w:p>
        </w:tc>
        <w:tc>
          <w:tcPr>
            <w:tcW w:w="1134" w:type="dxa"/>
            <w:tcBorders>
              <w:bottom w:val="single" w:sz="4" w:space="0" w:color="auto"/>
            </w:tcBorders>
            <w:shd w:val="clear" w:color="auto" w:fill="FFFFFF" w:themeFill="background1"/>
            <w:noWrap/>
            <w:vAlign w:val="center"/>
            <w:hideMark/>
          </w:tcPr>
          <w:p w14:paraId="1EA9F6AB"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993" w:type="dxa"/>
            <w:tcBorders>
              <w:bottom w:val="single" w:sz="4" w:space="0" w:color="auto"/>
            </w:tcBorders>
            <w:shd w:val="clear" w:color="auto" w:fill="FFFFFF" w:themeFill="background1"/>
            <w:noWrap/>
            <w:vAlign w:val="center"/>
            <w:hideMark/>
          </w:tcPr>
          <w:p w14:paraId="7968BA83"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bottom w:val="single" w:sz="4" w:space="0" w:color="auto"/>
            </w:tcBorders>
            <w:shd w:val="clear" w:color="auto" w:fill="FFFFFF" w:themeFill="background1"/>
            <w:noWrap/>
            <w:vAlign w:val="center"/>
            <w:hideMark/>
          </w:tcPr>
          <w:p w14:paraId="41C81CDD"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NA</w:t>
            </w:r>
          </w:p>
        </w:tc>
      </w:tr>
    </w:tbl>
    <w:p w14:paraId="40624B3A" w14:textId="77777777" w:rsidR="00380037" w:rsidRPr="00524623"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 xml:space="preserve">1/ Datos a </w:t>
      </w:r>
      <w:r>
        <w:rPr>
          <w:rFonts w:ascii="Calibri" w:eastAsia="Times New Roman" w:hAnsi="Calibri" w:cs="Calibri"/>
          <w:b/>
          <w:bCs/>
          <w:sz w:val="18"/>
          <w:szCs w:val="18"/>
          <w:lang w:val="es-CR" w:eastAsia="es-CR"/>
        </w:rPr>
        <w:t>agosto</w:t>
      </w:r>
      <w:r w:rsidRPr="00524623">
        <w:rPr>
          <w:rFonts w:ascii="Calibri" w:eastAsia="Times New Roman" w:hAnsi="Calibri" w:cs="Calibri"/>
          <w:b/>
          <w:bCs/>
          <w:sz w:val="18"/>
          <w:szCs w:val="18"/>
          <w:lang w:val="es-CR" w:eastAsia="es-CR"/>
        </w:rPr>
        <w:t xml:space="preserve"> de 2021.</w:t>
      </w:r>
    </w:p>
    <w:p w14:paraId="15ECB7EE" w14:textId="77777777" w:rsidR="00380037" w:rsidRPr="00524623"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 xml:space="preserve">2/ </w:t>
      </w:r>
      <w:r>
        <w:rPr>
          <w:rFonts w:ascii="Calibri" w:eastAsia="Times New Roman" w:hAnsi="Calibri" w:cs="Calibri"/>
          <w:b/>
          <w:bCs/>
          <w:sz w:val="18"/>
          <w:szCs w:val="18"/>
          <w:lang w:val="es-CR" w:eastAsia="es-CR"/>
        </w:rPr>
        <w:t>De conformidad con el artículo 236 de la Ley Orgánica del Poder Judicial, l</w:t>
      </w:r>
      <w:r w:rsidRPr="00524623">
        <w:rPr>
          <w:rFonts w:ascii="Calibri" w:eastAsia="Times New Roman" w:hAnsi="Calibri" w:cs="Calibri"/>
          <w:b/>
          <w:bCs/>
          <w:sz w:val="18"/>
          <w:szCs w:val="18"/>
          <w:lang w:val="es-CR" w:eastAsia="es-CR"/>
        </w:rPr>
        <w:t>os pensionados también aportan al fondo.</w:t>
      </w:r>
    </w:p>
    <w:p w14:paraId="3558E05B" w14:textId="77777777" w:rsidR="00380037" w:rsidRPr="00524623"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 xml:space="preserve">3/ </w:t>
      </w:r>
      <w:r>
        <w:rPr>
          <w:rFonts w:ascii="Calibri" w:eastAsia="Times New Roman" w:hAnsi="Calibri" w:cs="Calibri"/>
          <w:b/>
          <w:bCs/>
          <w:sz w:val="18"/>
          <w:szCs w:val="18"/>
          <w:lang w:val="es-CR" w:eastAsia="es-CR"/>
        </w:rPr>
        <w:t>De conformidad con el artículo 26 de la Ley de Loterías, este porcentaje corresponde al</w:t>
      </w:r>
      <w:r w:rsidRPr="007144FE">
        <w:rPr>
          <w:rFonts w:ascii="Calibri" w:eastAsia="Times New Roman" w:hAnsi="Calibri" w:cs="Calibri"/>
          <w:b/>
          <w:bCs/>
          <w:sz w:val="18"/>
          <w:szCs w:val="18"/>
          <w:lang w:val="es-CR" w:eastAsia="es-CR"/>
        </w:rPr>
        <w:t xml:space="preserve"> descuento sobre la venta de lotería</w:t>
      </w:r>
      <w:r w:rsidRPr="00524623">
        <w:rPr>
          <w:rFonts w:ascii="Calibri" w:eastAsia="Times New Roman" w:hAnsi="Calibri" w:cs="Calibri"/>
          <w:b/>
          <w:bCs/>
          <w:sz w:val="18"/>
          <w:szCs w:val="18"/>
          <w:lang w:val="es-CR" w:eastAsia="es-CR"/>
        </w:rPr>
        <w:t>.</w:t>
      </w:r>
    </w:p>
    <w:p w14:paraId="2DA3D40F" w14:textId="77777777" w:rsidR="00380037"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4/ De las ventas de lotería.</w:t>
      </w:r>
    </w:p>
    <w:p w14:paraId="010B047E" w14:textId="77777777" w:rsidR="00380037" w:rsidRPr="00524623" w:rsidRDefault="00380037" w:rsidP="00380037">
      <w:pPr>
        <w:rPr>
          <w:rFonts w:ascii="Calibri" w:eastAsia="Times New Roman" w:hAnsi="Calibri" w:cs="Calibri"/>
          <w:b/>
          <w:bCs/>
          <w:sz w:val="18"/>
          <w:szCs w:val="18"/>
          <w:lang w:val="es-CR" w:eastAsia="es-CR"/>
        </w:rPr>
      </w:pPr>
      <w:r>
        <w:rPr>
          <w:rFonts w:ascii="Calibri" w:eastAsia="Times New Roman" w:hAnsi="Calibri" w:cs="Calibri"/>
          <w:b/>
          <w:bCs/>
          <w:sz w:val="18"/>
          <w:szCs w:val="18"/>
          <w:lang w:val="es-CR" w:eastAsia="es-CR"/>
        </w:rPr>
        <w:t>5/ La baja cifra relativa a las pensiones del IVM obedece a que el ROP no ha llegado a su periodo de madurez, con poblaciones promedio menores a 45 años.</w:t>
      </w:r>
    </w:p>
    <w:p w14:paraId="4034B075" w14:textId="0DF91280" w:rsidR="00380037" w:rsidRDefault="00380037" w:rsidP="00290851">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Fuente: elaboración propia con datos suministrados por las entidades.</w:t>
      </w:r>
    </w:p>
    <w:p w14:paraId="274781DB" w14:textId="7D4D81BA" w:rsidR="00290851" w:rsidRDefault="00290851" w:rsidP="00290851">
      <w:pPr>
        <w:rPr>
          <w:rFonts w:ascii="Calibri" w:eastAsia="Times New Roman" w:hAnsi="Calibri" w:cs="Calibri"/>
          <w:b/>
          <w:bCs/>
          <w:sz w:val="18"/>
          <w:szCs w:val="18"/>
          <w:lang w:val="es-CR" w:eastAsia="es-CR"/>
        </w:rPr>
      </w:pPr>
    </w:p>
    <w:p w14:paraId="2176AE3D" w14:textId="77777777" w:rsidR="00290851" w:rsidRPr="00290851" w:rsidRDefault="00290851" w:rsidP="00290851">
      <w:pPr>
        <w:rPr>
          <w:rFonts w:ascii="Calibri" w:eastAsia="Times New Roman" w:hAnsi="Calibri" w:cs="Calibri"/>
          <w:b/>
          <w:bCs/>
          <w:sz w:val="18"/>
          <w:szCs w:val="18"/>
          <w:lang w:val="es-CR" w:eastAsia="es-CR"/>
        </w:rPr>
      </w:pPr>
    </w:p>
    <w:p w14:paraId="582AD05F" w14:textId="3A8FF848" w:rsidR="002A4B5C" w:rsidRDefault="00E416B0" w:rsidP="002A4B5C">
      <w:pPr>
        <w:spacing w:after="200" w:line="276" w:lineRule="auto"/>
        <w:jc w:val="both"/>
        <w:rPr>
          <w:rFonts w:cstheme="minorHAnsi"/>
        </w:rPr>
      </w:pPr>
      <w:r w:rsidRPr="00936FEF">
        <w:rPr>
          <w:rFonts w:cstheme="minorHAnsi"/>
        </w:rPr>
        <w:t>La masa de cotizantes experimentó un crecimiento de 1,45% con respecto al 2020</w:t>
      </w:r>
      <w:r>
        <w:rPr>
          <w:rFonts w:cstheme="minorHAnsi"/>
        </w:rPr>
        <w:t xml:space="preserve"> (21 400 personas)</w:t>
      </w:r>
      <w:r w:rsidRPr="00936FEF">
        <w:rPr>
          <w:rFonts w:cstheme="minorHAnsi"/>
        </w:rPr>
        <w:t>.</w:t>
      </w:r>
      <w:r>
        <w:rPr>
          <w:rFonts w:cstheme="minorHAnsi"/>
        </w:rPr>
        <w:t xml:space="preserve"> </w:t>
      </w:r>
      <w:r w:rsidR="002A4B5C">
        <w:rPr>
          <w:rFonts w:cstheme="minorHAnsi"/>
        </w:rPr>
        <w:t xml:space="preserve">La cantidad de nuevos pensionados ha sido de alrededor de 21 700 personas, </w:t>
      </w:r>
      <w:r w:rsidR="00CF4548">
        <w:rPr>
          <w:rFonts w:cstheme="minorHAnsi"/>
        </w:rPr>
        <w:t xml:space="preserve">siguiendo el ritmo natural de envejecimiento de la población, </w:t>
      </w:r>
      <w:r w:rsidR="002A4B5C">
        <w:rPr>
          <w:rFonts w:cstheme="minorHAnsi"/>
        </w:rPr>
        <w:t xml:space="preserve">sin encontrar evidencia de </w:t>
      </w:r>
      <w:r w:rsidR="009A63E5">
        <w:rPr>
          <w:rFonts w:cstheme="minorHAnsi"/>
        </w:rPr>
        <w:t xml:space="preserve">que los cambios regulatorios o del entorno </w:t>
      </w:r>
      <w:r w:rsidR="002A4B5C">
        <w:rPr>
          <w:rFonts w:cstheme="minorHAnsi"/>
        </w:rPr>
        <w:t>aument</w:t>
      </w:r>
      <w:r w:rsidR="00B50A80">
        <w:rPr>
          <w:rFonts w:cstheme="minorHAnsi"/>
        </w:rPr>
        <w:t xml:space="preserve">en </w:t>
      </w:r>
      <w:r w:rsidR="002A4B5C">
        <w:rPr>
          <w:rFonts w:cstheme="minorHAnsi"/>
        </w:rPr>
        <w:t>el monto de los nuevos derechos jubilatorios.</w:t>
      </w:r>
    </w:p>
    <w:p w14:paraId="2BEAED55" w14:textId="2C89951C" w:rsidR="00AC0B98" w:rsidRDefault="00965DA6" w:rsidP="000943E1">
      <w:pPr>
        <w:spacing w:after="200" w:line="276" w:lineRule="auto"/>
        <w:jc w:val="both"/>
        <w:rPr>
          <w:rFonts w:cstheme="minorHAnsi"/>
        </w:rPr>
      </w:pPr>
      <w:r w:rsidRPr="000C7F04">
        <w:rPr>
          <w:rFonts w:cstheme="minorHAnsi"/>
        </w:rPr>
        <w:lastRenderedPageBreak/>
        <w:t>Invalidez, Vejez y Muerte de la Caja Costarricense de Seguro Social es el régimen con mayor cantidad de cotizantes y pensionados, sin embargo, el fondo del Poder Judicial es el que otorga una pensión promedio mayor en el SN</w:t>
      </w:r>
      <w:r w:rsidR="001F43EF">
        <w:rPr>
          <w:rFonts w:cstheme="minorHAnsi"/>
        </w:rPr>
        <w:t>P</w:t>
      </w:r>
      <w:r w:rsidRPr="000C7F04">
        <w:rPr>
          <w:rFonts w:cstheme="minorHAnsi"/>
        </w:rPr>
        <w:t xml:space="preserve"> (cuadro 1). </w:t>
      </w:r>
      <w:r w:rsidR="0090138A">
        <w:rPr>
          <w:rFonts w:cstheme="minorHAnsi"/>
        </w:rPr>
        <w:t xml:space="preserve">Cabe señalar, que entre los regímenes de capitalización colectiva que no están a cargo del presupuesto nacional, </w:t>
      </w:r>
      <w:r w:rsidR="00670334">
        <w:rPr>
          <w:rFonts w:cstheme="minorHAnsi"/>
        </w:rPr>
        <w:t>el del Poder Judici</w:t>
      </w:r>
      <w:r w:rsidR="0079287C">
        <w:rPr>
          <w:rFonts w:cstheme="minorHAnsi"/>
        </w:rPr>
        <w:t>a</w:t>
      </w:r>
      <w:r w:rsidR="00670334">
        <w:rPr>
          <w:rFonts w:cstheme="minorHAnsi"/>
        </w:rPr>
        <w:t xml:space="preserve">l otorga una pensión </w:t>
      </w:r>
      <w:r w:rsidR="007F6DB4">
        <w:rPr>
          <w:rFonts w:cstheme="minorHAnsi"/>
        </w:rPr>
        <w:t>más alta</w:t>
      </w:r>
      <w:r w:rsidR="008736F9">
        <w:rPr>
          <w:rFonts w:cstheme="minorHAnsi"/>
        </w:rPr>
        <w:t xml:space="preserve"> con relación al promedio salarial</w:t>
      </w:r>
      <w:r w:rsidR="00B55C22">
        <w:rPr>
          <w:rFonts w:cstheme="minorHAnsi"/>
        </w:rPr>
        <w:t>,</w:t>
      </w:r>
      <w:r w:rsidR="007F6DB4">
        <w:rPr>
          <w:rFonts w:cstheme="minorHAnsi"/>
        </w:rPr>
        <w:t xml:space="preserve"> </w:t>
      </w:r>
      <w:r w:rsidR="00B55C22">
        <w:rPr>
          <w:rFonts w:cstheme="minorHAnsi"/>
        </w:rPr>
        <w:t>n</w:t>
      </w:r>
      <w:r w:rsidR="00B24846">
        <w:rPr>
          <w:rFonts w:cstheme="minorHAnsi"/>
        </w:rPr>
        <w:t>o obstante</w:t>
      </w:r>
      <w:r w:rsidR="00AC0B98">
        <w:rPr>
          <w:rFonts w:cstheme="minorHAnsi"/>
        </w:rPr>
        <w:t xml:space="preserve">, las prestaciones de este fondo </w:t>
      </w:r>
      <w:r w:rsidR="00570D7B">
        <w:rPr>
          <w:rFonts w:cstheme="minorHAnsi"/>
        </w:rPr>
        <w:t xml:space="preserve">fueron modificadas </w:t>
      </w:r>
      <w:r w:rsidR="005E4BAD">
        <w:rPr>
          <w:rFonts w:cstheme="minorHAnsi"/>
        </w:rPr>
        <w:t>recientemen</w:t>
      </w:r>
      <w:r w:rsidR="00B24846">
        <w:rPr>
          <w:rFonts w:cstheme="minorHAnsi"/>
        </w:rPr>
        <w:t>te</w:t>
      </w:r>
      <w:r w:rsidR="005E4BAD">
        <w:rPr>
          <w:rFonts w:cstheme="minorHAnsi"/>
        </w:rPr>
        <w:t xml:space="preserve"> con </w:t>
      </w:r>
      <w:r w:rsidR="00DB3C0E">
        <w:rPr>
          <w:rFonts w:cstheme="minorHAnsi"/>
        </w:rPr>
        <w:t xml:space="preserve">la reforma </w:t>
      </w:r>
      <w:r w:rsidR="00B24846">
        <w:rPr>
          <w:rFonts w:cstheme="minorHAnsi"/>
        </w:rPr>
        <w:t>a la Ley Orgánica del Poder Judicial en</w:t>
      </w:r>
      <w:r w:rsidR="00DB3C0E">
        <w:rPr>
          <w:rFonts w:cstheme="minorHAnsi"/>
        </w:rPr>
        <w:t xml:space="preserve"> abril de 2018</w:t>
      </w:r>
      <w:r w:rsidR="0042019E">
        <w:rPr>
          <w:rFonts w:cstheme="minorHAnsi"/>
        </w:rPr>
        <w:t xml:space="preserve">: bajo las leyes anteriores, el monto de la pensión era calculado con </w:t>
      </w:r>
      <w:r w:rsidR="008C5B87">
        <w:rPr>
          <w:rFonts w:cstheme="minorHAnsi"/>
        </w:rPr>
        <w:t xml:space="preserve">el 100% del </w:t>
      </w:r>
      <w:r w:rsidR="001B4296">
        <w:rPr>
          <w:rFonts w:cstheme="minorHAnsi"/>
        </w:rPr>
        <w:t xml:space="preserve">promedio salarial </w:t>
      </w:r>
      <w:r w:rsidR="00631740">
        <w:rPr>
          <w:rFonts w:cstheme="minorHAnsi"/>
        </w:rPr>
        <w:t xml:space="preserve">de los últimos 240 </w:t>
      </w:r>
      <w:r w:rsidR="007C4653">
        <w:rPr>
          <w:rFonts w:cstheme="minorHAnsi"/>
        </w:rPr>
        <w:t>cotizados</w:t>
      </w:r>
      <w:r w:rsidR="00E04D78">
        <w:rPr>
          <w:rFonts w:cstheme="minorHAnsi"/>
        </w:rPr>
        <w:t xml:space="preserve">; la reforma </w:t>
      </w:r>
      <w:r w:rsidR="00D06A4F">
        <w:rPr>
          <w:rFonts w:cstheme="minorHAnsi"/>
        </w:rPr>
        <w:t xml:space="preserve">disminuye este porcentaje a 82% </w:t>
      </w:r>
      <w:r w:rsidR="00CC48A6">
        <w:rPr>
          <w:rFonts w:cstheme="minorHAnsi"/>
        </w:rPr>
        <w:t>del promedio salarial</w:t>
      </w:r>
      <w:r w:rsidR="00255FAE">
        <w:rPr>
          <w:rFonts w:cstheme="minorHAnsi"/>
        </w:rPr>
        <w:t xml:space="preserve"> </w:t>
      </w:r>
      <w:r w:rsidR="00F07F02">
        <w:rPr>
          <w:rFonts w:cstheme="minorHAnsi"/>
        </w:rPr>
        <w:t>de los últimos 240</w:t>
      </w:r>
      <w:r w:rsidR="007C4653">
        <w:rPr>
          <w:rFonts w:cstheme="minorHAnsi"/>
        </w:rPr>
        <w:t xml:space="preserve"> cotiza</w:t>
      </w:r>
      <w:r w:rsidR="00B24846">
        <w:rPr>
          <w:rFonts w:cstheme="minorHAnsi"/>
        </w:rPr>
        <w:t>d</w:t>
      </w:r>
      <w:r w:rsidR="007C4653">
        <w:rPr>
          <w:rFonts w:cstheme="minorHAnsi"/>
        </w:rPr>
        <w:t>os</w:t>
      </w:r>
      <w:r w:rsidR="0025754C">
        <w:rPr>
          <w:rFonts w:cstheme="minorHAnsi"/>
        </w:rPr>
        <w:t xml:space="preserve">. </w:t>
      </w:r>
      <w:r w:rsidR="003D0C44">
        <w:rPr>
          <w:rFonts w:cstheme="minorHAnsi"/>
        </w:rPr>
        <w:t>En el caso del FRCCMN</w:t>
      </w:r>
      <w:r w:rsidR="00E77E6B">
        <w:rPr>
          <w:rFonts w:cstheme="minorHAnsi"/>
        </w:rPr>
        <w:t xml:space="preserve">, la prestación se calcula sobre el 60% </w:t>
      </w:r>
      <w:r w:rsidR="00DA0096">
        <w:rPr>
          <w:rFonts w:cstheme="minorHAnsi"/>
        </w:rPr>
        <w:t xml:space="preserve">de la totalidad de los salarios cotizados, mientras que en el IVM </w:t>
      </w:r>
      <w:r w:rsidR="00976776">
        <w:rPr>
          <w:rFonts w:cstheme="minorHAnsi"/>
        </w:rPr>
        <w:t xml:space="preserve">el porcentaje </w:t>
      </w:r>
      <w:r w:rsidR="00F55DA9">
        <w:rPr>
          <w:rFonts w:cstheme="minorHAnsi"/>
        </w:rPr>
        <w:t xml:space="preserve">va de un </w:t>
      </w:r>
      <w:r w:rsidR="00335F8E">
        <w:rPr>
          <w:rFonts w:cstheme="minorHAnsi"/>
        </w:rPr>
        <w:t xml:space="preserve">43% a 52,5% del promedio de los últimos </w:t>
      </w:r>
      <w:r w:rsidR="0096333C">
        <w:rPr>
          <w:rFonts w:cstheme="minorHAnsi"/>
        </w:rPr>
        <w:t>240 salarios.</w:t>
      </w:r>
    </w:p>
    <w:p w14:paraId="7BB92532" w14:textId="3DA322A2" w:rsidR="00965DA6" w:rsidRDefault="00965DA6" w:rsidP="000943E1">
      <w:pPr>
        <w:spacing w:after="200" w:line="276" w:lineRule="auto"/>
        <w:jc w:val="both"/>
        <w:rPr>
          <w:rFonts w:asciiTheme="majorHAnsi" w:eastAsiaTheme="majorEastAsia" w:hAnsiTheme="majorHAnsi" w:cstheme="majorBidi"/>
          <w:color w:val="365F91" w:themeColor="accent1" w:themeShade="BF"/>
          <w:sz w:val="36"/>
          <w:szCs w:val="36"/>
        </w:rPr>
      </w:pPr>
      <w:r w:rsidRPr="000C7F04">
        <w:rPr>
          <w:rFonts w:cstheme="minorHAnsi"/>
        </w:rPr>
        <w:t>En cuanto a los regímenes ocupacionales, estos no han mostrado variaciones importantes en la cantidad de afiliados o pensionados, ni en el monto de sus prestaciones por jubilación.</w:t>
      </w:r>
      <w:r>
        <w:rPr>
          <w:rFonts w:cstheme="minorHAnsi"/>
        </w:rPr>
        <w:t xml:space="preserve"> </w:t>
      </w:r>
    </w:p>
    <w:p w14:paraId="1B9CA100" w14:textId="7F55D1E5" w:rsidR="00FE47C0" w:rsidRDefault="00FE47C0" w:rsidP="00FE47C0">
      <w:pPr>
        <w:pStyle w:val="Ttulo1"/>
      </w:pPr>
      <w:bookmarkStart w:id="4" w:name="_Toc89330994"/>
      <w:r>
        <w:t>HECHOS RELEVANTES</w:t>
      </w:r>
      <w:r w:rsidR="00965DA6">
        <w:t xml:space="preserve"> DEL TRIMESTRE</w:t>
      </w:r>
      <w:bookmarkEnd w:id="4"/>
    </w:p>
    <w:p w14:paraId="0AB0E75F" w14:textId="77777777" w:rsidR="009D13CA" w:rsidRPr="009D13CA" w:rsidRDefault="009D13CA" w:rsidP="009D13CA"/>
    <w:p w14:paraId="5F84D950" w14:textId="2D38A41C" w:rsidR="00C467CF" w:rsidRDefault="00C467CF" w:rsidP="009D13CA">
      <w:pPr>
        <w:pStyle w:val="Ttulo2"/>
        <w:numPr>
          <w:ilvl w:val="1"/>
          <w:numId w:val="18"/>
        </w:numPr>
      </w:pPr>
      <w:bookmarkStart w:id="5" w:name="_Toc89330995"/>
      <w:r>
        <w:t>Traslado de recursos al RNC</w:t>
      </w:r>
      <w:bookmarkEnd w:id="5"/>
    </w:p>
    <w:p w14:paraId="0691B68C" w14:textId="77777777" w:rsidR="00C467CF" w:rsidRDefault="00C467CF" w:rsidP="00C467CF">
      <w:pPr>
        <w:jc w:val="both"/>
      </w:pPr>
    </w:p>
    <w:p w14:paraId="6C3450EE" w14:textId="5DA64512" w:rsidR="000A2C6A" w:rsidRDefault="003E12F5" w:rsidP="003E12F5">
      <w:pPr>
        <w:jc w:val="both"/>
      </w:pPr>
      <w:r>
        <w:t>H</w:t>
      </w:r>
      <w:r w:rsidRPr="002D6BC7">
        <w:t xml:space="preserve">a iniciado el proceso de coordinación de los aspectos operativos y logísticos necesarios para solicitar a las entidades </w:t>
      </w:r>
      <w:r w:rsidR="00E85251">
        <w:t>trasladar los recursos hacia el RNC</w:t>
      </w:r>
      <w:r>
        <w:t>,</w:t>
      </w:r>
      <w:r w:rsidR="00E57D3A">
        <w:t xml:space="preserve"> de conformidad con el artículo 77 de la Ley de Protección al Trabajador</w:t>
      </w:r>
      <w:r w:rsidR="00A54AF8">
        <w:rPr>
          <w:rStyle w:val="Refdenotaalpie"/>
        </w:rPr>
        <w:footnoteReference w:id="2"/>
      </w:r>
      <w:r w:rsidR="00E57D3A">
        <w:t>. Estos</w:t>
      </w:r>
      <w:r w:rsidR="00E152AF">
        <w:t xml:space="preserve"> recursos</w:t>
      </w:r>
      <w:r w:rsidR="00E72D4C">
        <w:t>, correspondientes a 20 años de acumulación en los fondos de capitalización individual,</w:t>
      </w:r>
      <w:r>
        <w:t xml:space="preserve"> ascienden </w:t>
      </w:r>
      <w:r w:rsidRPr="00EB5F86">
        <w:t>a ¢29 4</w:t>
      </w:r>
      <w:r w:rsidR="00E631CF" w:rsidRPr="00EB5F86">
        <w:t>33</w:t>
      </w:r>
      <w:r w:rsidRPr="00EB5F86">
        <w:t xml:space="preserve"> millones.</w:t>
      </w:r>
      <w:r w:rsidR="00C62486" w:rsidRPr="00EB5F86">
        <w:t xml:space="preserve"> </w:t>
      </w:r>
      <w:r w:rsidR="00CD571E" w:rsidRPr="00EB5F86">
        <w:t>Paulatinamente</w:t>
      </w:r>
      <w:r w:rsidR="00CD571E">
        <w:t xml:space="preserve">, </w:t>
      </w:r>
      <w:r w:rsidR="00A70126">
        <w:t xml:space="preserve">los nuevos recursos de manera directa, una vez cumplido 10 años sin que hayan sido identificados o reclamados por sus beneficiarios, serán trasladados de igual forma. Es importante indicar, que producto de la madurez del sistema, cada vez es menos frecuente </w:t>
      </w:r>
      <w:r w:rsidR="00DB3FDC">
        <w:t>la no identificación de registros erróneos.</w:t>
      </w:r>
    </w:p>
    <w:p w14:paraId="78C8825D" w14:textId="77777777" w:rsidR="000A2C6A" w:rsidRDefault="000A2C6A" w:rsidP="003E12F5">
      <w:pPr>
        <w:jc w:val="both"/>
      </w:pPr>
    </w:p>
    <w:p w14:paraId="7FF280D6" w14:textId="27A72CB1" w:rsidR="003E12F5" w:rsidRDefault="00C62486" w:rsidP="003E12F5">
      <w:pPr>
        <w:jc w:val="both"/>
      </w:pPr>
      <w:r>
        <w:t xml:space="preserve">Según la información suministrada por la CCSS, en setiembre de 2021, el monto pagado por concepto de pensiones del programa </w:t>
      </w:r>
      <w:r w:rsidR="00C00B95">
        <w:t xml:space="preserve">no contributivo fue de </w:t>
      </w:r>
      <w:r w:rsidR="00C00B95" w:rsidRPr="00200A54">
        <w:t>¢</w:t>
      </w:r>
      <w:r w:rsidR="00C00B95">
        <w:t>10 599 millones</w:t>
      </w:r>
      <w:r w:rsidR="008835FC">
        <w:t xml:space="preserve">, para cerca de </w:t>
      </w:r>
      <w:r w:rsidR="00970D07">
        <w:t>122 mil beneficiarios</w:t>
      </w:r>
      <w:r w:rsidR="00E152AF">
        <w:t xml:space="preserve">, y un monto promedio de </w:t>
      </w:r>
      <w:r w:rsidR="005E3704" w:rsidRPr="00200A54">
        <w:t>¢</w:t>
      </w:r>
      <w:r w:rsidR="005E3704">
        <w:t>89 mil por persona.</w:t>
      </w:r>
      <w:r w:rsidR="005A4B13">
        <w:t xml:space="preserve"> </w:t>
      </w:r>
      <w:r w:rsidR="00AA4209">
        <w:t xml:space="preserve">El monto correspondiente al primer traslado permite </w:t>
      </w:r>
      <w:r w:rsidR="00EE6848">
        <w:t>financiar pensiones vitalicias de 89 mil colones a 1</w:t>
      </w:r>
      <w:r w:rsidR="004073D6">
        <w:t xml:space="preserve"> </w:t>
      </w:r>
      <w:r w:rsidR="00EE6848">
        <w:t>874 personas.</w:t>
      </w:r>
    </w:p>
    <w:p w14:paraId="3EBB73FE" w14:textId="385DA593" w:rsidR="001355A1" w:rsidRDefault="001355A1" w:rsidP="003E12F5">
      <w:pPr>
        <w:jc w:val="both"/>
      </w:pPr>
    </w:p>
    <w:p w14:paraId="1F14BC3A" w14:textId="119EAC54" w:rsidR="00C467CF" w:rsidRDefault="003412EF" w:rsidP="00C467CF">
      <w:pPr>
        <w:jc w:val="both"/>
      </w:pPr>
      <w:r>
        <w:t>De acuerdo a</w:t>
      </w:r>
      <w:r w:rsidR="00C467CF">
        <w:t xml:space="preserve"> lo establecido en el artículo 77 de la LPT, las operadoras de pensiones deben trasladar al RNC</w:t>
      </w:r>
      <w:r w:rsidR="00BC6A51">
        <w:t>,</w:t>
      </w:r>
      <w:r w:rsidR="00C467CF">
        <w:t xml:space="preserve"> administrado por la Caja Costarricense del Seguro Social, aquellos recursos que no han sido retirados por los beneficiarios luego de diez años desde el fallecimiento del afiliado o pensionado o a partir de la fecha de ingreso de los recursos sin que haya sido posible su imputación a una cuenta individual.  </w:t>
      </w:r>
    </w:p>
    <w:p w14:paraId="7985CCB7" w14:textId="77777777" w:rsidR="00C467CF" w:rsidRDefault="00C467CF" w:rsidP="00C467CF"/>
    <w:p w14:paraId="1D0B8BE8" w14:textId="0F45C5B2" w:rsidR="00C467CF" w:rsidRDefault="007575E9" w:rsidP="00C467CF">
      <w:r>
        <w:t>E</w:t>
      </w:r>
      <w:r w:rsidR="00C467CF">
        <w:t>n mayo de este año</w:t>
      </w:r>
      <w:r w:rsidR="00F33457">
        <w:t>,</w:t>
      </w:r>
      <w:r w:rsidR="00C467CF">
        <w:t xml:space="preserve"> la Superintendencia de Pensiones consultó a la Procuraduría General de la República </w:t>
      </w:r>
      <w:r>
        <w:t xml:space="preserve">la </w:t>
      </w:r>
      <w:r w:rsidR="00C467CF">
        <w:t>fecha a partir de la cual empieza a contar el plazo de los diez años para la entrega de los recursos al RNC. Ese órgano respondió mediante el criterio PGR-C-258-2021, donde aclara las dudas planteadas por SUPEN:</w:t>
      </w:r>
    </w:p>
    <w:p w14:paraId="5F030DD5" w14:textId="77777777" w:rsidR="00C467CF" w:rsidRDefault="00C467CF" w:rsidP="00C467CF"/>
    <w:p w14:paraId="13369A52" w14:textId="2E4EDAD9" w:rsidR="00C467CF" w:rsidRPr="00B11103" w:rsidRDefault="004B3168" w:rsidP="00A222E3">
      <w:pPr>
        <w:ind w:left="426"/>
        <w:jc w:val="both"/>
        <w:rPr>
          <w:rFonts w:cstheme="minorHAnsi"/>
          <w:bCs/>
          <w:i/>
          <w:iCs/>
        </w:rPr>
      </w:pPr>
      <w:r>
        <w:rPr>
          <w:rFonts w:cstheme="minorHAnsi"/>
          <w:bCs/>
          <w:i/>
          <w:iCs/>
        </w:rPr>
        <w:lastRenderedPageBreak/>
        <w:t>“</w:t>
      </w:r>
      <w:r w:rsidR="00C467CF" w:rsidRPr="00B11103">
        <w:rPr>
          <w:rFonts w:cstheme="minorHAnsi"/>
          <w:bCs/>
          <w:i/>
          <w:iCs/>
        </w:rPr>
        <w:t xml:space="preserve">1.- El artículo 77 de la Ley de Protección al Trabajador define claramente el momento a partir del cual debe ser contabilizado el plazo de prescripción para el retiro de los recursos de los Regímenes Complementarios de Pensiones en caso de muerte de un asegurado o pensionado. La Ley indica expresamente que el cómputo de ese plazo de diez años debe iniciar “a partir del fallecimiento del afiliado o pensionado”. </w:t>
      </w:r>
    </w:p>
    <w:p w14:paraId="30CAEB85" w14:textId="77777777" w:rsidR="00C467CF" w:rsidRPr="00B11103" w:rsidRDefault="00C467CF" w:rsidP="00A222E3">
      <w:pPr>
        <w:ind w:left="426"/>
        <w:jc w:val="both"/>
        <w:rPr>
          <w:rFonts w:cstheme="minorHAnsi"/>
          <w:bCs/>
          <w:i/>
          <w:iCs/>
        </w:rPr>
      </w:pPr>
      <w:r w:rsidRPr="00B11103">
        <w:rPr>
          <w:rFonts w:cstheme="minorHAnsi"/>
          <w:bCs/>
          <w:i/>
          <w:iCs/>
        </w:rPr>
        <w:t xml:space="preserve">2.- A pesar de que podrían existir dudas razonables en cuanto al ajuste de esa disposición a los artículos 34 y 129 de la Constitución Política, de los cuales deriva el principio de irretroactividad de la ley en perjuicio de los derechos adquiridos o de las situaciones jurídicas consolidadas, no es posible aconsejar la desaplicación, por razones de constitucionalidad, de un mandato claro del legislador, pues en nuestro medio existe un control concentrado de constitucionalidad que impide a éste órgano asesor declarar la inconstitucionalidad de una norma. </w:t>
      </w:r>
    </w:p>
    <w:p w14:paraId="73BA1BD7" w14:textId="3CC188C0" w:rsidR="00C467CF" w:rsidRPr="00B11103" w:rsidRDefault="00C467CF" w:rsidP="00A222E3">
      <w:pPr>
        <w:ind w:left="426"/>
        <w:jc w:val="both"/>
        <w:rPr>
          <w:rFonts w:cstheme="minorHAnsi"/>
        </w:rPr>
      </w:pPr>
      <w:r w:rsidRPr="00B11103">
        <w:rPr>
          <w:rFonts w:cstheme="minorHAnsi"/>
          <w:bCs/>
          <w:i/>
          <w:iCs/>
        </w:rPr>
        <w:t>3.- El plazo de diez años establecido en el mismo artículo 77 de la Ley de Protección al Trabajador para trasladar al Régimen No Contributivo de Pensiones los aportes que realicen los patronos y los trabajadores a los fondos de capitalización laboral, y a cualquiera de los regímenes complementarios de pensiones, cuando esos aportes no hayan podido asignarse a una cuenta individual, es decir, los dineros correspondientes a registros erróneos y a aportes recibidos por asignar, debe computarse “a partir del momento en que los recursos ingresen a la operadora de pensiones.</w:t>
      </w:r>
      <w:r w:rsidR="004B3168">
        <w:rPr>
          <w:rFonts w:cstheme="minorHAnsi"/>
          <w:bCs/>
          <w:i/>
          <w:iCs/>
        </w:rPr>
        <w:t>”</w:t>
      </w:r>
    </w:p>
    <w:p w14:paraId="45CAEEBB" w14:textId="77777777" w:rsidR="00C467CF" w:rsidRDefault="00C467CF" w:rsidP="00C467CF"/>
    <w:p w14:paraId="52BFFBFA" w14:textId="4810C3DB" w:rsidR="008A0AA3" w:rsidRDefault="00C467CF" w:rsidP="00C467CF">
      <w:pPr>
        <w:jc w:val="both"/>
      </w:pPr>
      <w:r>
        <w:t>El fondo de erróneos</w:t>
      </w:r>
      <w:r w:rsidR="00FD0EB2">
        <w:t>, administrados por BCR Pensiones</w:t>
      </w:r>
      <w:r w:rsidR="00FD0EB2">
        <w:rPr>
          <w:rStyle w:val="Refdenotaalpie"/>
        </w:rPr>
        <w:footnoteReference w:id="3"/>
      </w:r>
      <w:r w:rsidR="00FD0EB2">
        <w:t>,</w:t>
      </w:r>
      <w:r>
        <w:t xml:space="preserve"> cuenta con saldos de una antigüedad de más de 10 años</w:t>
      </w:r>
      <w:r w:rsidR="00CB0AE0">
        <w:t>,</w:t>
      </w:r>
      <w:r>
        <w:t xml:space="preserve"> por </w:t>
      </w:r>
      <w:r w:rsidR="00CB0AE0">
        <w:t xml:space="preserve">un </w:t>
      </w:r>
      <w:r>
        <w:t xml:space="preserve">valor de </w:t>
      </w:r>
      <w:r w:rsidRPr="00200A54">
        <w:t>¢</w:t>
      </w:r>
      <w:r>
        <w:t xml:space="preserve">24 224 millones (cuadro </w:t>
      </w:r>
      <w:r w:rsidR="00F7793F">
        <w:t>2</w:t>
      </w:r>
      <w:r>
        <w:t xml:space="preserve">), mientras que los recursos en administración de las OPC de personas fallecidas ascienden </w:t>
      </w:r>
      <w:r w:rsidRPr="00876F07">
        <w:t>a 4</w:t>
      </w:r>
      <w:r w:rsidR="00876F07" w:rsidRPr="00876F07">
        <w:t xml:space="preserve"> 705</w:t>
      </w:r>
      <w:r w:rsidRPr="00876F07">
        <w:t xml:space="preserve"> millones de</w:t>
      </w:r>
      <w:r>
        <w:t xml:space="preserve"> colones</w:t>
      </w:r>
      <w:r w:rsidR="00481CE0">
        <w:t>,</w:t>
      </w:r>
      <w:r>
        <w:t xml:space="preserve"> más otros 504 millones de colones en aportes no asignados</w:t>
      </w:r>
      <w:r w:rsidRPr="002D6BC7">
        <w:t>.</w:t>
      </w:r>
    </w:p>
    <w:p w14:paraId="76976195" w14:textId="77777777" w:rsidR="00406CDE" w:rsidRDefault="00406CDE" w:rsidP="00406CDE">
      <w:pPr>
        <w:jc w:val="both"/>
      </w:pPr>
    </w:p>
    <w:p w14:paraId="5BA15417" w14:textId="17AD836B" w:rsidR="00406CDE" w:rsidRDefault="00406CDE" w:rsidP="00406CDE">
      <w:pPr>
        <w:jc w:val="both"/>
      </w:pPr>
      <w:r>
        <w:t xml:space="preserve">A lo largo de los años de vigencia de las pensiones complementarias, SUPEN ha realizado requerimientos a las operadoras de pensiones para redoblar esfuerzos con el objetivo de ubicar a los titulares de estos recursos. La localización de personas fallecidas ha sido incluida como parte de las labores de supervisión realizadas en el 2021, en la actividad significativa de desacumulación. </w:t>
      </w:r>
    </w:p>
    <w:p w14:paraId="5723EBFE" w14:textId="77777777" w:rsidR="00406CDE" w:rsidRDefault="00406CDE" w:rsidP="00406CDE">
      <w:pPr>
        <w:jc w:val="both"/>
      </w:pPr>
    </w:p>
    <w:p w14:paraId="18214FDC" w14:textId="77777777" w:rsidR="00406CDE" w:rsidRPr="00D91606" w:rsidRDefault="00406CDE" w:rsidP="00406CDE">
      <w:pPr>
        <w:jc w:val="both"/>
      </w:pPr>
      <w:r w:rsidRPr="00D91606">
        <w:t>La mayor cantidad de recursos no reclamados por los beneficiarios se encuentra en el FCL, dado que, entre otras cosas, el trámite para acceder a estos fondos lo realizan los beneficiarios por medio de un proceso de consignación de prestaciones en l</w:t>
      </w:r>
      <w:r w:rsidRPr="00EB008C">
        <w:t xml:space="preserve">os juzgados de trabajo; este procedimiento </w:t>
      </w:r>
      <w:r>
        <w:t xml:space="preserve">es desconocido por los beneficiarios y </w:t>
      </w:r>
      <w:r w:rsidRPr="00EB008C">
        <w:t xml:space="preserve">no ha </w:t>
      </w:r>
      <w:r w:rsidRPr="00D91606">
        <w:t xml:space="preserve">sido debidamente comunicado por las entidades. </w:t>
      </w:r>
    </w:p>
    <w:p w14:paraId="499E6E5E" w14:textId="08DFACCF" w:rsidR="00C467CF" w:rsidRDefault="00C467CF" w:rsidP="00C467CF"/>
    <w:p w14:paraId="67654653" w14:textId="77777777" w:rsidR="00EA058C" w:rsidRDefault="00EA058C" w:rsidP="00EA058C">
      <w:pPr>
        <w:jc w:val="both"/>
      </w:pPr>
      <w:r>
        <w:t>De igual forma, la SUPEN, por medio de su página y en redes sociales, ha habilitado consultas y realizado campañas informativas en la población, con el fin de facilitar la ubicación de los beneficiarios de estos recursos.</w:t>
      </w:r>
    </w:p>
    <w:p w14:paraId="07F54503" w14:textId="7387094B" w:rsidR="00EA058C" w:rsidRDefault="00EA058C" w:rsidP="00C467CF"/>
    <w:p w14:paraId="1E7C7CAE" w14:textId="28C7F18F" w:rsidR="00B55F75" w:rsidRDefault="00B55F75" w:rsidP="00C467CF"/>
    <w:p w14:paraId="198AC654" w14:textId="7BE75403" w:rsidR="00B55F75" w:rsidRDefault="00B55F75" w:rsidP="00C467CF"/>
    <w:p w14:paraId="748EEC93" w14:textId="77777777" w:rsidR="00B55F75" w:rsidRDefault="00B55F75" w:rsidP="00C467CF"/>
    <w:p w14:paraId="10DA9D20" w14:textId="77777777" w:rsidR="008E3DB1" w:rsidRDefault="008E3DB1">
      <w:pPr>
        <w:jc w:val="both"/>
        <w:rPr>
          <w:rFonts w:eastAsia="Times New Roman" w:cstheme="minorHAnsi"/>
          <w:b/>
          <w:bCs/>
          <w:color w:val="000000"/>
          <w:lang w:val="es-CR" w:eastAsia="es-CR"/>
        </w:rPr>
      </w:pPr>
      <w:r>
        <w:rPr>
          <w:rFonts w:eastAsia="Times New Roman" w:cstheme="minorHAnsi"/>
          <w:b/>
          <w:bCs/>
          <w:color w:val="000000"/>
          <w:lang w:val="es-CR" w:eastAsia="es-CR"/>
        </w:rPr>
        <w:lastRenderedPageBreak/>
        <w:t xml:space="preserve">Cuadro 2. </w:t>
      </w:r>
    </w:p>
    <w:p w14:paraId="489B8218" w14:textId="2DCA9643" w:rsidR="008E3DB1" w:rsidRDefault="008E3DB1">
      <w:r w:rsidRPr="00D90B26">
        <w:rPr>
          <w:rFonts w:eastAsia="Times New Roman" w:cstheme="minorHAnsi"/>
          <w:b/>
          <w:bCs/>
          <w:color w:val="000000"/>
          <w:lang w:val="es-CR" w:eastAsia="es-CR"/>
        </w:rPr>
        <w:t>Traslado de recursos al RNC</w:t>
      </w:r>
      <w:r>
        <w:rPr>
          <w:rFonts w:eastAsia="Times New Roman" w:cstheme="minorHAnsi"/>
          <w:b/>
          <w:bCs/>
          <w:color w:val="000000"/>
          <w:lang w:val="es-CR" w:eastAsia="es-CR"/>
        </w:rPr>
        <w:t>: monto</w:t>
      </w:r>
      <w:r w:rsidRPr="00AC5A07">
        <w:rPr>
          <w:rFonts w:eastAsia="Times New Roman" w:cstheme="minorHAnsi"/>
          <w:b/>
          <w:bCs/>
          <w:color w:val="000000"/>
          <w:vertAlign w:val="superscript"/>
          <w:lang w:val="es-CR" w:eastAsia="es-CR"/>
        </w:rPr>
        <w:t>1/</w:t>
      </w:r>
      <w:r>
        <w:rPr>
          <w:rFonts w:eastAsia="Times New Roman" w:cstheme="minorHAnsi"/>
          <w:b/>
          <w:bCs/>
          <w:color w:val="000000"/>
          <w:lang w:val="es-CR" w:eastAsia="es-CR"/>
        </w:rPr>
        <w:t xml:space="preserve"> de registros erróneos, por fondo, según antigüedad y relación con el activo total, setiembre 2021</w:t>
      </w:r>
    </w:p>
    <w:tbl>
      <w:tblPr>
        <w:tblW w:w="6379" w:type="dxa"/>
        <w:jc w:val="center"/>
        <w:tblCellMar>
          <w:left w:w="70" w:type="dxa"/>
          <w:right w:w="70" w:type="dxa"/>
        </w:tblCellMar>
        <w:tblLook w:val="04A0" w:firstRow="1" w:lastRow="0" w:firstColumn="1" w:lastColumn="0" w:noHBand="0" w:noVBand="1"/>
      </w:tblPr>
      <w:tblGrid>
        <w:gridCol w:w="1418"/>
        <w:gridCol w:w="1559"/>
        <w:gridCol w:w="1701"/>
        <w:gridCol w:w="1701"/>
      </w:tblGrid>
      <w:tr w:rsidR="00C467CF" w:rsidRPr="00A609EB" w14:paraId="326B3EA5" w14:textId="77777777" w:rsidTr="008A0AA3">
        <w:trPr>
          <w:trHeight w:val="519"/>
          <w:jc w:val="center"/>
        </w:trPr>
        <w:tc>
          <w:tcPr>
            <w:tcW w:w="1418" w:type="dxa"/>
            <w:tcBorders>
              <w:top w:val="single" w:sz="4" w:space="0" w:color="auto"/>
              <w:bottom w:val="single" w:sz="4" w:space="0" w:color="auto"/>
            </w:tcBorders>
            <w:shd w:val="clear" w:color="auto" w:fill="auto"/>
            <w:vAlign w:val="center"/>
            <w:hideMark/>
          </w:tcPr>
          <w:p w14:paraId="6ED309B3" w14:textId="77777777" w:rsidR="00C467CF" w:rsidRPr="00A609EB" w:rsidRDefault="00C467CF" w:rsidP="00841903">
            <w:pPr>
              <w:rPr>
                <w:rFonts w:eastAsia="Times New Roman" w:cstheme="minorHAnsi"/>
                <w:b/>
                <w:bCs/>
                <w:color w:val="000000"/>
                <w:sz w:val="20"/>
                <w:szCs w:val="20"/>
                <w:lang w:val="es-CR" w:eastAsia="es-CR"/>
              </w:rPr>
            </w:pPr>
            <w:r w:rsidRPr="00A609EB">
              <w:rPr>
                <w:rFonts w:eastAsia="Times New Roman" w:cstheme="minorHAnsi"/>
                <w:b/>
                <w:bCs/>
                <w:color w:val="000000"/>
                <w:sz w:val="20"/>
                <w:szCs w:val="20"/>
                <w:lang w:val="es-CR" w:eastAsia="es-CR"/>
              </w:rPr>
              <w:t>Fondo</w:t>
            </w:r>
          </w:p>
        </w:tc>
        <w:tc>
          <w:tcPr>
            <w:tcW w:w="1559" w:type="dxa"/>
            <w:tcBorders>
              <w:top w:val="single" w:sz="4" w:space="0" w:color="auto"/>
              <w:bottom w:val="single" w:sz="4" w:space="0" w:color="auto"/>
            </w:tcBorders>
            <w:shd w:val="clear" w:color="auto" w:fill="auto"/>
            <w:vAlign w:val="center"/>
            <w:hideMark/>
          </w:tcPr>
          <w:p w14:paraId="3127F7B6" w14:textId="77777777" w:rsidR="00C467CF" w:rsidRPr="00A609EB" w:rsidRDefault="00C467CF" w:rsidP="00841903">
            <w:pPr>
              <w:rPr>
                <w:rFonts w:eastAsia="Times New Roman" w:cstheme="minorHAnsi"/>
                <w:b/>
                <w:bCs/>
                <w:color w:val="000000"/>
                <w:sz w:val="20"/>
                <w:szCs w:val="20"/>
                <w:lang w:val="es-CR" w:eastAsia="es-CR"/>
              </w:rPr>
            </w:pPr>
            <w:r w:rsidRPr="00A609EB">
              <w:rPr>
                <w:rFonts w:eastAsia="Times New Roman" w:cstheme="minorHAnsi"/>
                <w:b/>
                <w:bCs/>
                <w:color w:val="000000"/>
                <w:sz w:val="20"/>
                <w:szCs w:val="20"/>
                <w:lang w:val="es-CR" w:eastAsia="es-CR"/>
              </w:rPr>
              <w:t>Saldos con más de 10 años de antigüedad</w:t>
            </w:r>
          </w:p>
        </w:tc>
        <w:tc>
          <w:tcPr>
            <w:tcW w:w="1701" w:type="dxa"/>
            <w:tcBorders>
              <w:top w:val="single" w:sz="4" w:space="0" w:color="auto"/>
              <w:bottom w:val="single" w:sz="4" w:space="0" w:color="auto"/>
            </w:tcBorders>
            <w:shd w:val="clear" w:color="auto" w:fill="auto"/>
            <w:vAlign w:val="center"/>
            <w:hideMark/>
          </w:tcPr>
          <w:p w14:paraId="6556D94E" w14:textId="77777777" w:rsidR="00C467CF" w:rsidRPr="00A609EB" w:rsidRDefault="00C467CF" w:rsidP="00841903">
            <w:pPr>
              <w:rPr>
                <w:rFonts w:eastAsia="Times New Roman" w:cstheme="minorHAnsi"/>
                <w:b/>
                <w:bCs/>
                <w:color w:val="000000"/>
                <w:sz w:val="20"/>
                <w:szCs w:val="20"/>
                <w:lang w:val="es-CR" w:eastAsia="es-CR"/>
              </w:rPr>
            </w:pPr>
            <w:r w:rsidRPr="00A609EB">
              <w:rPr>
                <w:rFonts w:eastAsia="Times New Roman" w:cstheme="minorHAnsi"/>
                <w:b/>
                <w:bCs/>
                <w:color w:val="000000"/>
                <w:sz w:val="20"/>
                <w:szCs w:val="20"/>
                <w:lang w:val="es-CR" w:eastAsia="es-CR"/>
              </w:rPr>
              <w:t>Activo total del fondo</w:t>
            </w:r>
          </w:p>
        </w:tc>
        <w:tc>
          <w:tcPr>
            <w:tcW w:w="1701" w:type="dxa"/>
            <w:tcBorders>
              <w:top w:val="single" w:sz="4" w:space="0" w:color="auto"/>
              <w:bottom w:val="single" w:sz="4" w:space="0" w:color="auto"/>
            </w:tcBorders>
            <w:shd w:val="clear" w:color="auto" w:fill="auto"/>
            <w:vAlign w:val="center"/>
            <w:hideMark/>
          </w:tcPr>
          <w:p w14:paraId="4FDB7D85" w14:textId="77777777" w:rsidR="00C467CF" w:rsidRPr="00A609EB" w:rsidRDefault="00C467CF" w:rsidP="00841903">
            <w:pPr>
              <w:rPr>
                <w:rFonts w:eastAsia="Times New Roman" w:cstheme="minorHAnsi"/>
                <w:b/>
                <w:bCs/>
                <w:color w:val="000000"/>
                <w:sz w:val="20"/>
                <w:szCs w:val="20"/>
                <w:lang w:val="es-CR" w:eastAsia="es-CR"/>
              </w:rPr>
            </w:pPr>
            <w:r w:rsidRPr="00A609EB">
              <w:rPr>
                <w:rFonts w:eastAsia="Times New Roman" w:cstheme="minorHAnsi"/>
                <w:b/>
                <w:bCs/>
                <w:color w:val="000000"/>
                <w:sz w:val="20"/>
                <w:szCs w:val="20"/>
                <w:lang w:val="es-CR" w:eastAsia="es-CR"/>
              </w:rPr>
              <w:t>Porcentaje en relación con el activo total</w:t>
            </w:r>
          </w:p>
        </w:tc>
      </w:tr>
      <w:tr w:rsidR="00C467CF" w:rsidRPr="00A609EB" w14:paraId="3BC8E232" w14:textId="77777777" w:rsidTr="008A0AA3">
        <w:trPr>
          <w:trHeight w:val="315"/>
          <w:jc w:val="center"/>
        </w:trPr>
        <w:tc>
          <w:tcPr>
            <w:tcW w:w="1418" w:type="dxa"/>
            <w:tcBorders>
              <w:top w:val="single" w:sz="4" w:space="0" w:color="auto"/>
            </w:tcBorders>
            <w:shd w:val="clear" w:color="auto" w:fill="auto"/>
            <w:noWrap/>
            <w:vAlign w:val="center"/>
            <w:hideMark/>
          </w:tcPr>
          <w:p w14:paraId="574F05EC" w14:textId="77777777" w:rsidR="00C467CF" w:rsidRPr="00A609EB" w:rsidRDefault="00C467CF" w:rsidP="00841903">
            <w:pPr>
              <w:rPr>
                <w:rFonts w:eastAsia="Times New Roman" w:cstheme="minorHAnsi"/>
                <w:color w:val="000000"/>
                <w:sz w:val="20"/>
                <w:szCs w:val="20"/>
                <w:lang w:val="es-CR" w:eastAsia="es-CR"/>
              </w:rPr>
            </w:pPr>
            <w:r w:rsidRPr="00A609EB">
              <w:rPr>
                <w:rFonts w:eastAsia="Times New Roman" w:cstheme="minorHAnsi"/>
                <w:color w:val="000000"/>
                <w:sz w:val="20"/>
                <w:szCs w:val="20"/>
                <w:lang w:val="es-CR" w:eastAsia="es-CR"/>
              </w:rPr>
              <w:t>FCL erróneos</w:t>
            </w:r>
          </w:p>
        </w:tc>
        <w:tc>
          <w:tcPr>
            <w:tcW w:w="1559" w:type="dxa"/>
            <w:tcBorders>
              <w:top w:val="single" w:sz="4" w:space="0" w:color="auto"/>
            </w:tcBorders>
            <w:shd w:val="clear" w:color="auto" w:fill="auto"/>
            <w:noWrap/>
            <w:vAlign w:val="center"/>
            <w:hideMark/>
          </w:tcPr>
          <w:p w14:paraId="0DA3219A" w14:textId="77777777" w:rsidR="00C467CF" w:rsidRPr="00A609EB" w:rsidRDefault="00C467CF" w:rsidP="00841903">
            <w:pPr>
              <w:jc w:val="right"/>
              <w:rPr>
                <w:rFonts w:eastAsia="Times New Roman" w:cstheme="minorHAnsi"/>
                <w:color w:val="000000"/>
                <w:sz w:val="20"/>
                <w:szCs w:val="20"/>
                <w:lang w:val="es-CR" w:eastAsia="es-CR"/>
              </w:rPr>
            </w:pPr>
            <w:r>
              <w:rPr>
                <w:color w:val="000000"/>
              </w:rPr>
              <w:t>4 351,19</w:t>
            </w:r>
          </w:p>
        </w:tc>
        <w:tc>
          <w:tcPr>
            <w:tcW w:w="1701" w:type="dxa"/>
            <w:tcBorders>
              <w:top w:val="single" w:sz="4" w:space="0" w:color="auto"/>
            </w:tcBorders>
            <w:shd w:val="clear" w:color="auto" w:fill="auto"/>
            <w:noWrap/>
            <w:vAlign w:val="center"/>
            <w:hideMark/>
          </w:tcPr>
          <w:p w14:paraId="464CD5E1" w14:textId="77777777" w:rsidR="00C467CF" w:rsidRPr="00A609EB" w:rsidRDefault="00C467CF" w:rsidP="00841903">
            <w:pPr>
              <w:jc w:val="right"/>
              <w:rPr>
                <w:rFonts w:eastAsia="Times New Roman" w:cstheme="minorHAnsi"/>
                <w:color w:val="000000"/>
                <w:sz w:val="20"/>
                <w:szCs w:val="20"/>
                <w:lang w:val="es-CR" w:eastAsia="es-CR"/>
              </w:rPr>
            </w:pPr>
            <w:r>
              <w:rPr>
                <w:color w:val="000000"/>
              </w:rPr>
              <w:t>4 718,30</w:t>
            </w:r>
          </w:p>
        </w:tc>
        <w:tc>
          <w:tcPr>
            <w:tcW w:w="1701" w:type="dxa"/>
            <w:tcBorders>
              <w:top w:val="single" w:sz="4" w:space="0" w:color="auto"/>
            </w:tcBorders>
            <w:shd w:val="clear" w:color="auto" w:fill="auto"/>
            <w:noWrap/>
            <w:vAlign w:val="center"/>
            <w:hideMark/>
          </w:tcPr>
          <w:p w14:paraId="0CB5F6C7" w14:textId="77777777" w:rsidR="00C467CF" w:rsidRPr="00A609EB" w:rsidRDefault="00C467CF" w:rsidP="00841903">
            <w:pPr>
              <w:jc w:val="center"/>
              <w:rPr>
                <w:rFonts w:eastAsia="Times New Roman" w:cstheme="minorHAnsi"/>
                <w:color w:val="000000"/>
                <w:sz w:val="20"/>
                <w:szCs w:val="20"/>
                <w:lang w:val="es-CR" w:eastAsia="es-CR"/>
              </w:rPr>
            </w:pPr>
            <w:r>
              <w:rPr>
                <w:color w:val="000000"/>
              </w:rPr>
              <w:t>92,22%</w:t>
            </w:r>
          </w:p>
        </w:tc>
      </w:tr>
      <w:tr w:rsidR="00C467CF" w:rsidRPr="00A609EB" w14:paraId="221E015A" w14:textId="77777777" w:rsidTr="00841903">
        <w:trPr>
          <w:trHeight w:val="315"/>
          <w:jc w:val="center"/>
        </w:trPr>
        <w:tc>
          <w:tcPr>
            <w:tcW w:w="1418" w:type="dxa"/>
            <w:tcBorders>
              <w:bottom w:val="single" w:sz="4" w:space="0" w:color="auto"/>
            </w:tcBorders>
            <w:shd w:val="clear" w:color="auto" w:fill="auto"/>
            <w:noWrap/>
            <w:vAlign w:val="center"/>
            <w:hideMark/>
          </w:tcPr>
          <w:p w14:paraId="249A70F5" w14:textId="77777777" w:rsidR="00C467CF" w:rsidRPr="00A609EB" w:rsidRDefault="00C467CF" w:rsidP="00841903">
            <w:pPr>
              <w:rPr>
                <w:rFonts w:eastAsia="Times New Roman" w:cstheme="minorHAnsi"/>
                <w:color w:val="000000"/>
                <w:sz w:val="20"/>
                <w:szCs w:val="20"/>
                <w:lang w:val="es-CR" w:eastAsia="es-CR"/>
              </w:rPr>
            </w:pPr>
            <w:r w:rsidRPr="00A609EB">
              <w:rPr>
                <w:rFonts w:eastAsia="Times New Roman" w:cstheme="minorHAnsi"/>
                <w:color w:val="000000"/>
                <w:sz w:val="20"/>
                <w:szCs w:val="20"/>
                <w:lang w:val="es-CR" w:eastAsia="es-CR"/>
              </w:rPr>
              <w:t>ROP erróneos</w:t>
            </w:r>
          </w:p>
        </w:tc>
        <w:tc>
          <w:tcPr>
            <w:tcW w:w="1559" w:type="dxa"/>
            <w:tcBorders>
              <w:bottom w:val="single" w:sz="4" w:space="0" w:color="auto"/>
            </w:tcBorders>
            <w:shd w:val="clear" w:color="auto" w:fill="auto"/>
            <w:noWrap/>
            <w:vAlign w:val="center"/>
            <w:hideMark/>
          </w:tcPr>
          <w:p w14:paraId="53EC23D8" w14:textId="77777777" w:rsidR="00C467CF" w:rsidRPr="00A609EB" w:rsidRDefault="00C467CF" w:rsidP="00841903">
            <w:pPr>
              <w:jc w:val="right"/>
              <w:rPr>
                <w:rFonts w:eastAsia="Times New Roman" w:cstheme="minorHAnsi"/>
                <w:color w:val="000000"/>
                <w:sz w:val="20"/>
                <w:szCs w:val="20"/>
                <w:lang w:val="es-CR" w:eastAsia="es-CR"/>
              </w:rPr>
            </w:pPr>
            <w:r>
              <w:rPr>
                <w:color w:val="000000"/>
              </w:rPr>
              <w:t>19 873,45</w:t>
            </w:r>
          </w:p>
        </w:tc>
        <w:tc>
          <w:tcPr>
            <w:tcW w:w="1701" w:type="dxa"/>
            <w:tcBorders>
              <w:bottom w:val="single" w:sz="4" w:space="0" w:color="auto"/>
            </w:tcBorders>
            <w:shd w:val="clear" w:color="auto" w:fill="auto"/>
            <w:noWrap/>
            <w:vAlign w:val="center"/>
            <w:hideMark/>
          </w:tcPr>
          <w:p w14:paraId="25280231" w14:textId="77777777" w:rsidR="00C467CF" w:rsidRPr="00A609EB" w:rsidRDefault="00C467CF" w:rsidP="00841903">
            <w:pPr>
              <w:jc w:val="right"/>
              <w:rPr>
                <w:rFonts w:eastAsia="Times New Roman" w:cstheme="minorHAnsi"/>
                <w:color w:val="000000"/>
                <w:sz w:val="20"/>
                <w:szCs w:val="20"/>
                <w:lang w:val="es-CR" w:eastAsia="es-CR"/>
              </w:rPr>
            </w:pPr>
            <w:r>
              <w:rPr>
                <w:color w:val="000000"/>
              </w:rPr>
              <w:t>20 705,08</w:t>
            </w:r>
          </w:p>
        </w:tc>
        <w:tc>
          <w:tcPr>
            <w:tcW w:w="1701" w:type="dxa"/>
            <w:tcBorders>
              <w:bottom w:val="single" w:sz="4" w:space="0" w:color="auto"/>
            </w:tcBorders>
            <w:shd w:val="clear" w:color="auto" w:fill="auto"/>
            <w:noWrap/>
            <w:vAlign w:val="center"/>
            <w:hideMark/>
          </w:tcPr>
          <w:p w14:paraId="0AE8DAC9" w14:textId="77777777" w:rsidR="00C467CF" w:rsidRPr="00A609EB" w:rsidRDefault="00C467CF" w:rsidP="00841903">
            <w:pPr>
              <w:jc w:val="center"/>
              <w:rPr>
                <w:rFonts w:eastAsia="Times New Roman" w:cstheme="minorHAnsi"/>
                <w:color w:val="000000"/>
                <w:sz w:val="20"/>
                <w:szCs w:val="20"/>
                <w:lang w:val="es-CR" w:eastAsia="es-CR"/>
              </w:rPr>
            </w:pPr>
            <w:r>
              <w:rPr>
                <w:color w:val="000000"/>
              </w:rPr>
              <w:t>95,98%</w:t>
            </w:r>
          </w:p>
        </w:tc>
      </w:tr>
    </w:tbl>
    <w:p w14:paraId="11E2014F" w14:textId="77777777" w:rsidR="00164294" w:rsidRPr="00DC65F3" w:rsidRDefault="00164294">
      <w:pPr>
        <w:jc w:val="both"/>
        <w:rPr>
          <w:b/>
          <w:color w:val="000000"/>
          <w:sz w:val="18"/>
          <w:szCs w:val="18"/>
        </w:rPr>
      </w:pPr>
      <w:r w:rsidRPr="00DC65F3">
        <w:rPr>
          <w:b/>
          <w:color w:val="000000"/>
          <w:sz w:val="18"/>
          <w:szCs w:val="18"/>
        </w:rPr>
        <w:t>1/ En millones de colones</w:t>
      </w:r>
      <w:r w:rsidRPr="00E44E9D">
        <w:rPr>
          <w:b/>
          <w:color w:val="000000"/>
          <w:sz w:val="18"/>
          <w:szCs w:val="18"/>
        </w:rPr>
        <w:t>.</w:t>
      </w:r>
    </w:p>
    <w:p w14:paraId="2FA49DC1" w14:textId="2658E681" w:rsidR="00C467CF" w:rsidRDefault="00164294">
      <w:r w:rsidRPr="00DC65F3">
        <w:rPr>
          <w:b/>
          <w:color w:val="000000"/>
          <w:sz w:val="18"/>
          <w:szCs w:val="18"/>
        </w:rPr>
        <w:t>Fuente: elaboración propia con información suministrada por BCR Pensiones</w:t>
      </w:r>
      <w:r w:rsidRPr="00E44E9D">
        <w:rPr>
          <w:b/>
          <w:color w:val="000000"/>
          <w:sz w:val="18"/>
          <w:szCs w:val="18"/>
        </w:rPr>
        <w:t>.</w:t>
      </w:r>
    </w:p>
    <w:p w14:paraId="5944D266" w14:textId="10CD5161" w:rsidR="00C467CF" w:rsidRDefault="00C467CF" w:rsidP="00C467CF"/>
    <w:p w14:paraId="2FB7BEC5" w14:textId="55F38D27" w:rsidR="00EA058C" w:rsidRDefault="00EA058C" w:rsidP="00C467CF"/>
    <w:p w14:paraId="4C4242E9" w14:textId="5140C31A" w:rsidR="00873009" w:rsidRDefault="00873009" w:rsidP="009D13CA">
      <w:pPr>
        <w:pStyle w:val="Ttulo2"/>
        <w:numPr>
          <w:ilvl w:val="1"/>
          <w:numId w:val="18"/>
        </w:numPr>
      </w:pPr>
      <w:bookmarkStart w:id="6" w:name="_Toc89330996"/>
      <w:r>
        <w:t>Activos administrados</w:t>
      </w:r>
      <w:bookmarkEnd w:id="6"/>
    </w:p>
    <w:p w14:paraId="250DB7D1" w14:textId="77777777" w:rsidR="00873009" w:rsidRDefault="00873009" w:rsidP="00873009"/>
    <w:p w14:paraId="1A51983B" w14:textId="37C2E3C0" w:rsidR="00873009" w:rsidRDefault="00381F24" w:rsidP="009D13CA">
      <w:pPr>
        <w:pStyle w:val="Ttulo3"/>
        <w:numPr>
          <w:ilvl w:val="2"/>
          <w:numId w:val="18"/>
        </w:numPr>
      </w:pPr>
      <w:bookmarkStart w:id="7" w:name="_Toc89330997"/>
      <w:r>
        <w:t>C</w:t>
      </w:r>
      <w:r w:rsidR="00DE4396">
        <w:t>recimiento de los activos</w:t>
      </w:r>
      <w:r w:rsidR="000B6FFF">
        <w:t xml:space="preserve"> administrados</w:t>
      </w:r>
      <w:bookmarkEnd w:id="7"/>
    </w:p>
    <w:p w14:paraId="4749D7F7" w14:textId="77777777" w:rsidR="00873009" w:rsidRDefault="00873009" w:rsidP="00873009">
      <w:pPr>
        <w:jc w:val="both"/>
      </w:pPr>
    </w:p>
    <w:p w14:paraId="76EEF1F9" w14:textId="3A247A26" w:rsidR="00873009" w:rsidRDefault="00873009" w:rsidP="00873009">
      <w:pPr>
        <w:jc w:val="both"/>
      </w:pPr>
      <w:r>
        <w:t>A setiembre del 2021 los activos administrados por el SNP y el FCL totalizan ₡20,1 billones</w:t>
      </w:r>
      <w:r w:rsidR="0036238B" w:rsidDel="0036238B">
        <w:t xml:space="preserve"> </w:t>
      </w:r>
      <w:r>
        <w:t xml:space="preserve">(gráfico 1). El crecimiento durante el año ha sido de 13% con respecto a los activos administrados a diciembre de 2020. Los ingresos a los fondos y el desempeño de los portafolios de inversión de los fondos, en especial el ROP, explican </w:t>
      </w:r>
      <w:r w:rsidR="005F325B">
        <w:t>en buena medida</w:t>
      </w:r>
      <w:r>
        <w:t xml:space="preserve"> este crecimiento</w:t>
      </w:r>
      <w:r w:rsidR="009C7EC1">
        <w:t>.</w:t>
      </w:r>
    </w:p>
    <w:p w14:paraId="5FCC2393" w14:textId="2F71044D" w:rsidR="00396391" w:rsidRDefault="00396391" w:rsidP="00873009">
      <w:pPr>
        <w:jc w:val="both"/>
      </w:pPr>
    </w:p>
    <w:p w14:paraId="6EF3EB74" w14:textId="77777777" w:rsidR="00396391" w:rsidRPr="00396391" w:rsidRDefault="00396391" w:rsidP="00396391">
      <w:pPr>
        <w:jc w:val="both"/>
        <w:rPr>
          <w:lang w:val="es-CR"/>
        </w:rPr>
      </w:pPr>
      <w:r w:rsidRPr="00396391">
        <w:rPr>
          <w:b/>
          <w:bCs/>
        </w:rPr>
        <w:t xml:space="preserve">Gráfico 1. </w:t>
      </w:r>
    </w:p>
    <w:p w14:paraId="1E9CABC4" w14:textId="1D419E50" w:rsidR="00396391" w:rsidRPr="00396391" w:rsidRDefault="00AE588E" w:rsidP="00396391">
      <w:pPr>
        <w:jc w:val="both"/>
        <w:rPr>
          <w:lang w:val="es-CR"/>
        </w:rPr>
      </w:pPr>
      <w:r>
        <w:rPr>
          <w:noProof/>
        </w:rPr>
        <w:drawing>
          <wp:anchor distT="0" distB="0" distL="114300" distR="114300" simplePos="0" relativeHeight="251659264" behindDoc="1" locked="0" layoutInCell="1" allowOverlap="1" wp14:anchorId="6FD08705" wp14:editId="1FC3F606">
            <wp:simplePos x="0" y="0"/>
            <wp:positionH relativeFrom="margin">
              <wp:align>right</wp:align>
            </wp:positionH>
            <wp:positionV relativeFrom="paragraph">
              <wp:posOffset>308610</wp:posOffset>
            </wp:positionV>
            <wp:extent cx="6127115" cy="2924175"/>
            <wp:effectExtent l="0" t="0" r="6985" b="9525"/>
            <wp:wrapTight wrapText="bothSides">
              <wp:wrapPolygon edited="0">
                <wp:start x="0" y="0"/>
                <wp:lineTo x="0" y="21530"/>
                <wp:lineTo x="21557" y="21530"/>
                <wp:lineTo x="21557" y="0"/>
                <wp:lineTo x="0" y="0"/>
              </wp:wrapPolygon>
            </wp:wrapTight>
            <wp:docPr id="1" name="Gráfico 1">
              <a:extLst xmlns:a="http://schemas.openxmlformats.org/drawingml/2006/main">
                <a:ext uri="{FF2B5EF4-FFF2-40B4-BE49-F238E27FC236}">
                  <a16:creationId xmlns:a16="http://schemas.microsoft.com/office/drawing/2014/main" id="{9ACDBC83-E4C5-432A-8574-E326A76BB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96391" w:rsidRPr="00396391">
        <w:rPr>
          <w:b/>
          <w:bCs/>
        </w:rPr>
        <w:t>Sistema Nacional de Pensiones: activos administrados por año y comparación respecto al PIB, 2010-2021</w:t>
      </w:r>
    </w:p>
    <w:p w14:paraId="6E22940D" w14:textId="73E62287" w:rsidR="00FE43D6" w:rsidRDefault="00FE43D6" w:rsidP="00396391">
      <w:pPr>
        <w:jc w:val="both"/>
        <w:rPr>
          <w:b/>
          <w:bCs/>
          <w:sz w:val="18"/>
          <w:szCs w:val="18"/>
        </w:rPr>
      </w:pPr>
    </w:p>
    <w:p w14:paraId="51AD6C6D" w14:textId="7BE577C8" w:rsidR="00396391" w:rsidRPr="00DC65F3" w:rsidRDefault="00396391" w:rsidP="00396391">
      <w:pPr>
        <w:jc w:val="both"/>
        <w:rPr>
          <w:sz w:val="18"/>
          <w:szCs w:val="18"/>
          <w:lang w:val="es-CR"/>
        </w:rPr>
      </w:pPr>
      <w:r w:rsidRPr="00DC65F3">
        <w:rPr>
          <w:b/>
          <w:sz w:val="18"/>
          <w:szCs w:val="18"/>
        </w:rPr>
        <w:t>Nota: todos los datos para el 2021 son con corte al 30 de setiembre, excepto para RIVM (al 31 de julio del 2021, último dato disponible).</w:t>
      </w:r>
      <w:r w:rsidR="004D1DD1">
        <w:rPr>
          <w:b/>
          <w:sz w:val="18"/>
          <w:szCs w:val="18"/>
        </w:rPr>
        <w:t xml:space="preserve"> Además, todos los años son con corte a diciembre, excepto </w:t>
      </w:r>
      <w:r w:rsidR="00CA5275">
        <w:rPr>
          <w:b/>
          <w:sz w:val="18"/>
          <w:szCs w:val="18"/>
        </w:rPr>
        <w:t>el 2021.</w:t>
      </w:r>
    </w:p>
    <w:p w14:paraId="052563CC" w14:textId="7381449E" w:rsidR="00396391" w:rsidRPr="00DC65F3" w:rsidRDefault="00396391" w:rsidP="00396391">
      <w:pPr>
        <w:jc w:val="both"/>
        <w:rPr>
          <w:sz w:val="18"/>
          <w:szCs w:val="18"/>
          <w:lang w:val="es-CR"/>
        </w:rPr>
      </w:pPr>
      <w:r w:rsidRPr="00DC65F3">
        <w:rPr>
          <w:b/>
          <w:sz w:val="18"/>
          <w:szCs w:val="18"/>
        </w:rPr>
        <w:t>PIB consultado el 14 de octubre en www.bccr.fi.cr.</w:t>
      </w:r>
    </w:p>
    <w:p w14:paraId="0672468E" w14:textId="77777777" w:rsidR="00396391" w:rsidRPr="00DC65F3" w:rsidRDefault="00396391" w:rsidP="00396391">
      <w:pPr>
        <w:jc w:val="both"/>
        <w:rPr>
          <w:sz w:val="18"/>
          <w:szCs w:val="18"/>
          <w:lang w:val="es-CR"/>
        </w:rPr>
      </w:pPr>
      <w:r w:rsidRPr="00DC65F3">
        <w:rPr>
          <w:b/>
          <w:sz w:val="18"/>
          <w:szCs w:val="18"/>
        </w:rPr>
        <w:t>Fuente: Elaboración propia.</w:t>
      </w:r>
    </w:p>
    <w:p w14:paraId="20C040AA" w14:textId="77777777" w:rsidR="00396391" w:rsidRDefault="00396391" w:rsidP="00CC2C96">
      <w:pPr>
        <w:jc w:val="both"/>
        <w:rPr>
          <w:rFonts w:cstheme="minorHAnsi"/>
        </w:rPr>
      </w:pPr>
    </w:p>
    <w:p w14:paraId="1DE997D2" w14:textId="1E42BC6E" w:rsidR="00307DC7" w:rsidRDefault="007050FD" w:rsidP="6722EBE6">
      <w:pPr>
        <w:jc w:val="both"/>
      </w:pPr>
      <w:r w:rsidRPr="6722EBE6">
        <w:t xml:space="preserve">Destaca el crecimiento observado en el Régimen Voluntario de Pensiones Complementarias. Su crecimiento histórico antes del 2021 </w:t>
      </w:r>
      <w:r w:rsidR="00BA4193" w:rsidRPr="6722EBE6">
        <w:t>fue</w:t>
      </w:r>
      <w:r w:rsidRPr="6722EBE6">
        <w:t xml:space="preserve"> de 10% anual; para el 2021, ha sido cercano al 24%</w:t>
      </w:r>
      <w:r w:rsidR="00932391" w:rsidRPr="6722EBE6">
        <w:t>, motivado principalmente por el aumento</w:t>
      </w:r>
      <w:r w:rsidR="00935BD9" w:rsidRPr="6722EBE6">
        <w:t xml:space="preserve"> </w:t>
      </w:r>
      <w:r w:rsidR="00932391" w:rsidRPr="6722EBE6">
        <w:t xml:space="preserve">en el rubro de </w:t>
      </w:r>
      <w:r w:rsidR="00D10673" w:rsidRPr="6722EBE6">
        <w:t xml:space="preserve">aportes </w:t>
      </w:r>
      <w:r w:rsidR="00783110" w:rsidRPr="6722EBE6">
        <w:t>en los planes voluntarios en colones</w:t>
      </w:r>
      <w:r w:rsidR="00D10673" w:rsidRPr="6722EBE6">
        <w:t xml:space="preserve"> </w:t>
      </w:r>
      <w:r w:rsidR="00932391" w:rsidRPr="6722EBE6">
        <w:t>(crecimiento cercano al</w:t>
      </w:r>
      <w:r w:rsidR="00D76E0D" w:rsidRPr="6722EBE6">
        <w:t xml:space="preserve"> 11% con respecto a 2020</w:t>
      </w:r>
      <w:r w:rsidR="00932391" w:rsidRPr="6722EBE6">
        <w:t>)</w:t>
      </w:r>
      <w:r w:rsidR="00307DC7" w:rsidRPr="6722EBE6">
        <w:t xml:space="preserve">. </w:t>
      </w:r>
      <w:r w:rsidR="009E4257" w:rsidRPr="6722EBE6">
        <w:t>Tanto el crecimiento de los aportes como la cantidad de nuevos afiliados responden al esfuerzo comercial de las Operadoras de Pensiones.</w:t>
      </w:r>
    </w:p>
    <w:p w14:paraId="275CC69F" w14:textId="77777777" w:rsidR="00307DC7" w:rsidRDefault="00307DC7" w:rsidP="005957E5">
      <w:pPr>
        <w:jc w:val="both"/>
        <w:rPr>
          <w:rFonts w:cstheme="minorHAnsi"/>
        </w:rPr>
      </w:pPr>
    </w:p>
    <w:p w14:paraId="43B2F9E0" w14:textId="15A0C2D3" w:rsidR="000A01F2" w:rsidRDefault="00BD4E09" w:rsidP="005957E5">
      <w:pPr>
        <w:jc w:val="both"/>
        <w:rPr>
          <w:rFonts w:cstheme="minorHAnsi"/>
        </w:rPr>
      </w:pPr>
      <w:r>
        <w:rPr>
          <w:rFonts w:cstheme="minorHAnsi"/>
        </w:rPr>
        <w:t xml:space="preserve">Otra causa del </w:t>
      </w:r>
      <w:r w:rsidR="00F76EBF">
        <w:rPr>
          <w:rFonts w:cstheme="minorHAnsi"/>
        </w:rPr>
        <w:t>aumento del fondo voluntario fue</w:t>
      </w:r>
      <w:r w:rsidR="00897216">
        <w:rPr>
          <w:rFonts w:cstheme="minorHAnsi"/>
        </w:rPr>
        <w:t xml:space="preserve"> el rendimiento </w:t>
      </w:r>
      <w:r w:rsidR="00F76EBF">
        <w:rPr>
          <w:rFonts w:cstheme="minorHAnsi"/>
        </w:rPr>
        <w:t>observado durante este año. En</w:t>
      </w:r>
      <w:r w:rsidR="005973B8">
        <w:rPr>
          <w:rFonts w:cstheme="minorHAnsi"/>
        </w:rPr>
        <w:t xml:space="preserve"> </w:t>
      </w:r>
      <w:r w:rsidR="00B56A66">
        <w:rPr>
          <w:rFonts w:cstheme="minorHAnsi"/>
        </w:rPr>
        <w:t>promedio</w:t>
      </w:r>
      <w:r w:rsidR="0029755F">
        <w:rPr>
          <w:rFonts w:cstheme="minorHAnsi"/>
        </w:rPr>
        <w:t>,</w:t>
      </w:r>
      <w:r w:rsidR="00B56A66">
        <w:rPr>
          <w:rFonts w:cstheme="minorHAnsi"/>
        </w:rPr>
        <w:t xml:space="preserve"> </w:t>
      </w:r>
      <w:r w:rsidR="00961DF1">
        <w:rPr>
          <w:rFonts w:cstheme="minorHAnsi"/>
        </w:rPr>
        <w:t xml:space="preserve">en los fondos en colones fue de </w:t>
      </w:r>
      <w:r w:rsidR="008B1322">
        <w:rPr>
          <w:rFonts w:cstheme="minorHAnsi"/>
        </w:rPr>
        <w:t>13,58% y 16,</w:t>
      </w:r>
      <w:r w:rsidR="00DC459B">
        <w:rPr>
          <w:rFonts w:cstheme="minorHAnsi"/>
        </w:rPr>
        <w:t xml:space="preserve">34 en los fondos A </w:t>
      </w:r>
      <w:r w:rsidR="008121CA">
        <w:rPr>
          <w:rFonts w:cstheme="minorHAnsi"/>
        </w:rPr>
        <w:t xml:space="preserve">(aquellos que admiten retiros) </w:t>
      </w:r>
      <w:r w:rsidR="00DC459B">
        <w:rPr>
          <w:rFonts w:cstheme="minorHAnsi"/>
        </w:rPr>
        <w:t>y B</w:t>
      </w:r>
      <w:r w:rsidR="008121CA">
        <w:rPr>
          <w:rFonts w:cstheme="minorHAnsi"/>
        </w:rPr>
        <w:t xml:space="preserve"> (en los que no se pueden hacer retiros)</w:t>
      </w:r>
      <w:r w:rsidR="00DC459B">
        <w:rPr>
          <w:rFonts w:cstheme="minorHAnsi"/>
        </w:rPr>
        <w:t xml:space="preserve"> respectivamente.</w:t>
      </w:r>
      <w:r w:rsidR="00BF3DA7">
        <w:rPr>
          <w:rFonts w:cstheme="minorHAnsi"/>
        </w:rPr>
        <w:t xml:space="preserve"> En cuanto a los fondos en dólares</w:t>
      </w:r>
      <w:r w:rsidR="00652E3D">
        <w:rPr>
          <w:rFonts w:cstheme="minorHAnsi"/>
        </w:rPr>
        <w:t>,</w:t>
      </w:r>
      <w:r w:rsidR="005973B8">
        <w:rPr>
          <w:rFonts w:cstheme="minorHAnsi"/>
        </w:rPr>
        <w:t xml:space="preserve"> su rentabilidad anual promedio por Operadora de Pensiones </w:t>
      </w:r>
      <w:r w:rsidR="00713878">
        <w:rPr>
          <w:rFonts w:cstheme="minorHAnsi"/>
        </w:rPr>
        <w:t>para fondos A y B fue de 8,29% y 9,37% respectivamente.</w:t>
      </w:r>
      <w:r w:rsidR="005957E5">
        <w:rPr>
          <w:rFonts w:cstheme="minorHAnsi"/>
        </w:rPr>
        <w:t xml:space="preserve"> </w:t>
      </w:r>
    </w:p>
    <w:p w14:paraId="4FBC1BF9" w14:textId="77777777" w:rsidR="009E4257" w:rsidRDefault="009E4257" w:rsidP="00A46B8D">
      <w:pPr>
        <w:jc w:val="both"/>
        <w:rPr>
          <w:rFonts w:cstheme="minorHAnsi"/>
        </w:rPr>
      </w:pPr>
    </w:p>
    <w:p w14:paraId="49C97801" w14:textId="01EE3E60" w:rsidR="004F1542" w:rsidRDefault="00FF6B6D" w:rsidP="00FC11BC">
      <w:pPr>
        <w:jc w:val="both"/>
      </w:pPr>
      <w:r>
        <w:t xml:space="preserve">Por su parte, el ROP ha tenido un crecimiento </w:t>
      </w:r>
      <w:r w:rsidR="00200006">
        <w:t xml:space="preserve">del </w:t>
      </w:r>
      <w:r>
        <w:t>19,8% con respecto a 2020, mientras que el promedio anual de los años anteriores ha sido del 18%.</w:t>
      </w:r>
      <w:r w:rsidR="0030524B">
        <w:t xml:space="preserve"> Este aumento en el saldo administrado es el efecto de las modificaciones legales introducidas </w:t>
      </w:r>
      <w:r w:rsidR="00C90E42">
        <w:t xml:space="preserve">por la </w:t>
      </w:r>
      <w:r w:rsidR="00C90E42" w:rsidRPr="00BA6C1C">
        <w:rPr>
          <w:i/>
          <w:iCs/>
        </w:rPr>
        <w:t xml:space="preserve">Ley para </w:t>
      </w:r>
      <w:r w:rsidR="00C90E42" w:rsidRPr="00AD6D3B">
        <w:rPr>
          <w:i/>
          <w:iCs/>
        </w:rPr>
        <w:t xml:space="preserve">Resguardar el Derecho de los Trabajadores a Retirar los Recursos de la Pensión Complementaria </w:t>
      </w:r>
      <w:r w:rsidR="00C90E42" w:rsidRPr="00AD6D3B">
        <w:t xml:space="preserve">(ley 9906) del </w:t>
      </w:r>
      <w:r w:rsidR="00705E20" w:rsidRPr="00AD6D3B">
        <w:t>5 de octubre de 2020</w:t>
      </w:r>
      <w:r w:rsidR="00FA3DE4" w:rsidRPr="00AD6D3B">
        <w:t xml:space="preserve">, la cual modificó la Ley de Protección al Trabajador, eliminando el </w:t>
      </w:r>
      <w:r w:rsidR="00AA210B" w:rsidRPr="00AD6D3B">
        <w:t>traslado del 50% de los aportes del FCL al ROP</w:t>
      </w:r>
      <w:r w:rsidR="002A4CF0" w:rsidRPr="00AD6D3B">
        <w:t xml:space="preserve">, permitiendo que esos recursos pasen directamente a la cuenta individual </w:t>
      </w:r>
      <w:r w:rsidR="00BA7250" w:rsidRPr="00AD6D3B">
        <w:t>del afiliado en su fondo de pensión obligatorio.</w:t>
      </w:r>
    </w:p>
    <w:p w14:paraId="2BDB9E9A" w14:textId="77777777" w:rsidR="00FC11BC" w:rsidRPr="00FC11BC" w:rsidRDefault="00FC11BC" w:rsidP="00FC11BC">
      <w:pPr>
        <w:jc w:val="both"/>
      </w:pPr>
    </w:p>
    <w:p w14:paraId="3248792D" w14:textId="634F7C56" w:rsidR="00344B57" w:rsidRDefault="00344B57" w:rsidP="009D13CA">
      <w:pPr>
        <w:pStyle w:val="Ttulo3"/>
        <w:numPr>
          <w:ilvl w:val="2"/>
          <w:numId w:val="18"/>
        </w:numPr>
      </w:pPr>
      <w:bookmarkStart w:id="8" w:name="_Toc89330998"/>
      <w:r>
        <w:t>Participación de mercado</w:t>
      </w:r>
      <w:bookmarkEnd w:id="8"/>
    </w:p>
    <w:p w14:paraId="0DAC9E7A" w14:textId="77777777" w:rsidR="00344B57" w:rsidRDefault="00344B57" w:rsidP="00E264F0">
      <w:pPr>
        <w:spacing w:after="100" w:afterAutospacing="1" w:line="360" w:lineRule="auto"/>
        <w:contextualSpacing/>
        <w:jc w:val="both"/>
        <w:rPr>
          <w:rFonts w:cstheme="minorHAnsi"/>
        </w:rPr>
      </w:pPr>
    </w:p>
    <w:p w14:paraId="49C06CA8" w14:textId="455B9354" w:rsidR="00C106B1" w:rsidRDefault="00FF6B6D" w:rsidP="007E2CD3">
      <w:pPr>
        <w:contextualSpacing/>
        <w:jc w:val="both"/>
        <w:rPr>
          <w:rFonts w:cstheme="minorHAnsi"/>
        </w:rPr>
      </w:pPr>
      <w:r>
        <w:rPr>
          <w:rFonts w:cstheme="minorHAnsi"/>
        </w:rPr>
        <w:t>La distribución de fondos</w:t>
      </w:r>
      <w:r w:rsidR="009C50ED">
        <w:rPr>
          <w:rFonts w:cstheme="minorHAnsi"/>
        </w:rPr>
        <w:t xml:space="preserve"> en el SNP</w:t>
      </w:r>
      <w:r>
        <w:rPr>
          <w:rFonts w:cstheme="minorHAnsi"/>
        </w:rPr>
        <w:t xml:space="preserve"> no muestra cambios con respecto a periodos anteriores: el ROP administra cerca del 47% de los activos, seguido por los regímenes </w:t>
      </w:r>
      <w:r w:rsidR="007D0A11">
        <w:rPr>
          <w:rFonts w:cstheme="minorHAnsi"/>
        </w:rPr>
        <w:t>básicos sustitutos</w:t>
      </w:r>
      <w:r>
        <w:rPr>
          <w:rFonts w:cstheme="minorHAnsi"/>
        </w:rPr>
        <w:t xml:space="preserve"> (26%) y el </w:t>
      </w:r>
      <w:r w:rsidR="00C9492F">
        <w:rPr>
          <w:rFonts w:cstheme="minorHAnsi"/>
        </w:rPr>
        <w:t xml:space="preserve">IMV </w:t>
      </w:r>
      <w:r>
        <w:rPr>
          <w:rFonts w:cstheme="minorHAnsi"/>
        </w:rPr>
        <w:t>(16%).</w:t>
      </w:r>
      <w:r w:rsidR="00780234">
        <w:rPr>
          <w:rFonts w:cstheme="minorHAnsi"/>
        </w:rPr>
        <w:t xml:space="preserve"> </w:t>
      </w:r>
      <w:r w:rsidR="00906D5D">
        <w:rPr>
          <w:rFonts w:cstheme="minorHAnsi"/>
        </w:rPr>
        <w:t>En lo que respecta a los gestores</w:t>
      </w:r>
      <w:r w:rsidR="00E407CB">
        <w:rPr>
          <w:rFonts w:cstheme="minorHAnsi"/>
        </w:rPr>
        <w:t xml:space="preserve"> de los regímenes del primer pilar</w:t>
      </w:r>
      <w:r w:rsidR="00780234">
        <w:rPr>
          <w:rFonts w:cstheme="minorHAnsi"/>
        </w:rPr>
        <w:t xml:space="preserve">, los activos administrados por </w:t>
      </w:r>
      <w:r w:rsidR="00B87840">
        <w:rPr>
          <w:rFonts w:cstheme="minorHAnsi"/>
        </w:rPr>
        <w:t>el FCCMN superan al RIVM y Poder Judicial</w:t>
      </w:r>
      <w:r w:rsidR="00B931F5">
        <w:rPr>
          <w:rFonts w:cstheme="minorHAnsi"/>
        </w:rPr>
        <w:t xml:space="preserve"> </w:t>
      </w:r>
      <w:r w:rsidR="00B87840">
        <w:rPr>
          <w:rFonts w:cstheme="minorHAnsi"/>
        </w:rPr>
        <w:t>(gráfico</w:t>
      </w:r>
      <w:r w:rsidR="00BC7FE3">
        <w:rPr>
          <w:rFonts w:cstheme="minorHAnsi"/>
        </w:rPr>
        <w:t xml:space="preserve"> 2</w:t>
      </w:r>
      <w:r w:rsidR="00B87840">
        <w:rPr>
          <w:rFonts w:cstheme="minorHAnsi"/>
        </w:rPr>
        <w:t>)</w:t>
      </w:r>
      <w:r w:rsidR="00B931F5">
        <w:rPr>
          <w:rFonts w:cstheme="minorHAnsi"/>
        </w:rPr>
        <w:t>, con lo cual,</w:t>
      </w:r>
      <w:r w:rsidR="00F05125">
        <w:rPr>
          <w:rFonts w:cstheme="minorHAnsi"/>
        </w:rPr>
        <w:t xml:space="preserve"> se da una mayor </w:t>
      </w:r>
      <w:r w:rsidR="00B931F5">
        <w:rPr>
          <w:rFonts w:cstheme="minorHAnsi"/>
        </w:rPr>
        <w:t>supervisión de las inversiones del primero</w:t>
      </w:r>
      <w:r w:rsidR="00F05125">
        <w:rPr>
          <w:rFonts w:cstheme="minorHAnsi"/>
        </w:rPr>
        <w:t xml:space="preserve">, dado sus </w:t>
      </w:r>
      <w:r w:rsidR="005F3049">
        <w:rPr>
          <w:rFonts w:cstheme="minorHAnsi"/>
        </w:rPr>
        <w:t xml:space="preserve">posibles </w:t>
      </w:r>
      <w:r w:rsidR="00F05125">
        <w:rPr>
          <w:rFonts w:cstheme="minorHAnsi"/>
        </w:rPr>
        <w:t>efectos</w:t>
      </w:r>
      <w:r w:rsidR="005F3049">
        <w:rPr>
          <w:rFonts w:cstheme="minorHAnsi"/>
        </w:rPr>
        <w:t xml:space="preserve"> </w:t>
      </w:r>
      <w:r w:rsidR="00F05125">
        <w:rPr>
          <w:rFonts w:cstheme="minorHAnsi"/>
        </w:rPr>
        <w:t>sistémico</w:t>
      </w:r>
      <w:r w:rsidR="005F3049">
        <w:rPr>
          <w:rFonts w:cstheme="minorHAnsi"/>
        </w:rPr>
        <w:t>s</w:t>
      </w:r>
      <w:r w:rsidR="00F05125">
        <w:rPr>
          <w:rFonts w:cstheme="minorHAnsi"/>
        </w:rPr>
        <w:t>.</w:t>
      </w:r>
    </w:p>
    <w:p w14:paraId="652FC705" w14:textId="77777777" w:rsidR="007E2CD3" w:rsidRDefault="007E2CD3" w:rsidP="007E2CD3">
      <w:pPr>
        <w:contextualSpacing/>
        <w:jc w:val="both"/>
        <w:rPr>
          <w:rFonts w:cstheme="minorHAnsi"/>
        </w:rPr>
      </w:pPr>
    </w:p>
    <w:p w14:paraId="39ACA60E" w14:textId="05181247" w:rsidR="00C106B1" w:rsidRDefault="00C106B1" w:rsidP="00C106B1">
      <w:pPr>
        <w:contextualSpacing/>
        <w:jc w:val="both"/>
        <w:rPr>
          <w:rFonts w:cstheme="minorHAnsi"/>
          <w:lang w:val="es-CR"/>
        </w:rPr>
      </w:pPr>
      <w:r w:rsidRPr="00C106B1">
        <w:rPr>
          <w:rFonts w:cstheme="minorHAnsi"/>
          <w:b/>
          <w:bCs/>
          <w:lang w:val="es-CR"/>
        </w:rPr>
        <w:t>Gráfico 2</w:t>
      </w:r>
      <w:r>
        <w:rPr>
          <w:rFonts w:cstheme="minorHAnsi"/>
          <w:b/>
          <w:bCs/>
          <w:lang w:val="es-CR"/>
        </w:rPr>
        <w:t>.</w:t>
      </w:r>
      <w:r w:rsidRPr="00C106B1">
        <w:rPr>
          <w:rFonts w:cstheme="minorHAnsi"/>
          <w:b/>
          <w:bCs/>
          <w:lang w:val="es-CR"/>
        </w:rPr>
        <w:t xml:space="preserve"> </w:t>
      </w:r>
    </w:p>
    <w:p w14:paraId="2AE69D56" w14:textId="68472C93" w:rsidR="00C106B1" w:rsidRPr="00C106B1" w:rsidRDefault="00C106B1" w:rsidP="00C106B1">
      <w:pPr>
        <w:contextualSpacing/>
        <w:jc w:val="both"/>
        <w:rPr>
          <w:rFonts w:cstheme="minorHAnsi"/>
          <w:lang w:val="es-CR"/>
        </w:rPr>
      </w:pPr>
      <w:r w:rsidRPr="00C106B1">
        <w:rPr>
          <w:rFonts w:cstheme="minorHAnsi"/>
          <w:b/>
          <w:bCs/>
          <w:lang w:val="es-CR"/>
        </w:rPr>
        <w:t xml:space="preserve">Principales fondos de primer pilar: participación de mercado según activos </w:t>
      </w:r>
      <w:r w:rsidR="00A85868">
        <w:rPr>
          <w:rFonts w:cstheme="minorHAnsi"/>
          <w:b/>
          <w:bCs/>
          <w:lang w:val="es-CR"/>
        </w:rPr>
        <w:t>a</w:t>
      </w:r>
      <w:r w:rsidRPr="00C106B1">
        <w:rPr>
          <w:rFonts w:cstheme="minorHAnsi"/>
          <w:b/>
          <w:bCs/>
          <w:lang w:val="es-CR"/>
        </w:rPr>
        <w:t xml:space="preserve"> setiembre 2021</w:t>
      </w:r>
    </w:p>
    <w:p w14:paraId="3CCEEC0C" w14:textId="7D0262E0" w:rsidR="00141152" w:rsidRDefault="00141152" w:rsidP="00141152">
      <w:pPr>
        <w:jc w:val="center"/>
        <w:rPr>
          <w:highlight w:val="yellow"/>
        </w:rPr>
      </w:pPr>
      <w:r>
        <w:rPr>
          <w:noProof/>
        </w:rPr>
        <w:drawing>
          <wp:inline distT="0" distB="0" distL="0" distR="0" wp14:anchorId="6BE4F57E" wp14:editId="31D64B6B">
            <wp:extent cx="4572000" cy="2480807"/>
            <wp:effectExtent l="0" t="0" r="0" b="0"/>
            <wp:docPr id="11" name="Gráfico 11">
              <a:extLst xmlns:a="http://schemas.openxmlformats.org/drawingml/2006/main">
                <a:ext uri="{FF2B5EF4-FFF2-40B4-BE49-F238E27FC236}">
                  <a16:creationId xmlns:a16="http://schemas.microsoft.com/office/drawing/2014/main" id="{A21BC23D-AB08-4D45-A1B6-391F80070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AAC541" w14:textId="69E7CC56" w:rsidR="00C106B1" w:rsidRPr="00C106B1" w:rsidRDefault="00C106B1" w:rsidP="00C106B1">
      <w:pPr>
        <w:jc w:val="both"/>
        <w:rPr>
          <w:b/>
          <w:bCs/>
          <w:sz w:val="18"/>
          <w:szCs w:val="18"/>
          <w:lang w:val="es-CR"/>
        </w:rPr>
      </w:pPr>
      <w:r w:rsidRPr="00C106B1">
        <w:rPr>
          <w:b/>
          <w:bCs/>
          <w:sz w:val="18"/>
          <w:szCs w:val="18"/>
        </w:rPr>
        <w:t>Fuente: Elaboración propia.</w:t>
      </w:r>
    </w:p>
    <w:p w14:paraId="7165D685" w14:textId="77777777" w:rsidR="00C106B1" w:rsidRDefault="00C106B1" w:rsidP="008F0657">
      <w:pPr>
        <w:jc w:val="both"/>
      </w:pPr>
    </w:p>
    <w:p w14:paraId="28E7B8A2" w14:textId="38E38AE9" w:rsidR="00207BC4" w:rsidRDefault="00366687" w:rsidP="008F0657">
      <w:pPr>
        <w:jc w:val="both"/>
      </w:pPr>
      <w:r>
        <w:lastRenderedPageBreak/>
        <w:t>En cuanto al Régimen Obligatorio de Pensiones Complementarias</w:t>
      </w:r>
      <w:r w:rsidR="007A5129">
        <w:t xml:space="preserve">, </w:t>
      </w:r>
      <w:r w:rsidR="008F0657" w:rsidRPr="00865759">
        <w:t xml:space="preserve">Popular Pensiones sigue siendo la operadora con </w:t>
      </w:r>
      <w:r w:rsidR="008F0657">
        <w:t xml:space="preserve">la </w:t>
      </w:r>
      <w:r w:rsidR="008F0657" w:rsidRPr="00865759">
        <w:t xml:space="preserve">mayor participación </w:t>
      </w:r>
      <w:r w:rsidR="008F0657">
        <w:t>de mercado por afiliados y activo administrado</w:t>
      </w:r>
      <w:r w:rsidR="0010149D">
        <w:t xml:space="preserve">; la Ley de Protección al Trabajador, en su artículo </w:t>
      </w:r>
      <w:r w:rsidR="00AB1367">
        <w:t xml:space="preserve">11, señala que aquellas personas que no elijan una </w:t>
      </w:r>
      <w:r w:rsidR="00207BC4">
        <w:t>Operadora de Pensiones para la administración del ROP, quedan afiliadas automáticamente en el fondo administrado por esa entidad</w:t>
      </w:r>
      <w:r w:rsidR="00637442">
        <w:t xml:space="preserve">, lo que favorece </w:t>
      </w:r>
      <w:r w:rsidR="00D00570">
        <w:t>a Popular Pensiones en cuanto a afiliados y saldo administrado</w:t>
      </w:r>
      <w:r w:rsidR="00B0391D">
        <w:t>.</w:t>
      </w:r>
    </w:p>
    <w:p w14:paraId="6F4E9C75" w14:textId="77777777" w:rsidR="00207BC4" w:rsidRDefault="00207BC4" w:rsidP="008F0657">
      <w:pPr>
        <w:jc w:val="both"/>
      </w:pPr>
    </w:p>
    <w:p w14:paraId="0DDFFDD1" w14:textId="29AE565D" w:rsidR="008F0657" w:rsidRDefault="008F0657" w:rsidP="008F0657">
      <w:pPr>
        <w:jc w:val="both"/>
      </w:pPr>
      <w:r w:rsidRPr="00865759">
        <w:t>No obstante,</w:t>
      </w:r>
      <w:r w:rsidRPr="00865759" w:rsidDel="009C224A">
        <w:t xml:space="preserve"> </w:t>
      </w:r>
      <w:r w:rsidR="00600FE4">
        <w:t>durante el 2021</w:t>
      </w:r>
      <w:r w:rsidR="009C224A">
        <w:t>,</w:t>
      </w:r>
      <w:r w:rsidR="005A6736">
        <w:t xml:space="preserve"> la participación de mercado ha mostrado</w:t>
      </w:r>
      <w:r w:rsidRPr="00865759">
        <w:t xml:space="preserve"> ligeros cambios, siendo BAC Pensiones la entidad con el mayor crecimiento</w:t>
      </w:r>
      <w:r w:rsidR="00FC23F3">
        <w:t>, resultado de sus esfuerzos comerciales</w:t>
      </w:r>
      <w:r w:rsidRPr="00865759">
        <w:t>, mientras que BCR Pensión</w:t>
      </w:r>
      <w:r w:rsidR="005A6736">
        <w:t xml:space="preserve"> </w:t>
      </w:r>
      <w:r w:rsidRPr="00865759">
        <w:t xml:space="preserve">la que más </w:t>
      </w:r>
      <w:r w:rsidR="00DA538E">
        <w:t xml:space="preserve">activo </w:t>
      </w:r>
      <w:r w:rsidR="00DD07E8">
        <w:t xml:space="preserve">cedió </w:t>
      </w:r>
      <w:r w:rsidR="001C2BE3">
        <w:t xml:space="preserve">(cuadro </w:t>
      </w:r>
      <w:r w:rsidR="00F1474C">
        <w:t>3</w:t>
      </w:r>
      <w:r w:rsidR="001C2BE3">
        <w:t>)</w:t>
      </w:r>
      <w:r w:rsidR="00043771">
        <w:t>.</w:t>
      </w:r>
    </w:p>
    <w:p w14:paraId="17584F7B" w14:textId="713885E9" w:rsidR="000B0D7B" w:rsidRDefault="000B0D7B" w:rsidP="008F0657">
      <w:pPr>
        <w:jc w:val="both"/>
      </w:pPr>
    </w:p>
    <w:p w14:paraId="400E5227" w14:textId="06B95AF0" w:rsidR="00CA3162" w:rsidRPr="00CB5F11" w:rsidRDefault="00CA3162" w:rsidP="6722EBE6">
      <w:pPr>
        <w:jc w:val="both"/>
        <w:rPr>
          <w:rFonts w:eastAsia="Times New Roman"/>
          <w:b/>
          <w:bCs/>
          <w:color w:val="000000"/>
          <w:lang w:val="es-CR" w:eastAsia="es-CR"/>
        </w:rPr>
      </w:pPr>
      <w:r w:rsidRPr="6722EBE6">
        <w:rPr>
          <w:rFonts w:eastAsia="Times New Roman"/>
          <w:b/>
          <w:bCs/>
          <w:color w:val="000000" w:themeColor="text1"/>
          <w:lang w:val="es-CR" w:eastAsia="es-CR"/>
        </w:rPr>
        <w:t xml:space="preserve">Cuadro </w:t>
      </w:r>
      <w:r w:rsidR="00F1474C">
        <w:rPr>
          <w:rFonts w:eastAsia="Times New Roman"/>
          <w:b/>
          <w:bCs/>
          <w:color w:val="000000" w:themeColor="text1"/>
          <w:lang w:val="es-CR" w:eastAsia="es-CR"/>
        </w:rPr>
        <w:t>3</w:t>
      </w:r>
      <w:r w:rsidRPr="6722EBE6">
        <w:rPr>
          <w:rFonts w:eastAsia="Times New Roman"/>
          <w:b/>
          <w:bCs/>
          <w:color w:val="000000" w:themeColor="text1"/>
          <w:lang w:val="es-CR" w:eastAsia="es-CR"/>
        </w:rPr>
        <w:t>.</w:t>
      </w:r>
    </w:p>
    <w:p w14:paraId="6E76A76F" w14:textId="00728AC6" w:rsidR="00903E89" w:rsidRPr="00CA3162" w:rsidRDefault="00CA3162">
      <w:pPr>
        <w:jc w:val="both"/>
      </w:pPr>
      <w:r w:rsidRPr="00CB5F11">
        <w:rPr>
          <w:rFonts w:eastAsia="Times New Roman" w:cstheme="minorHAnsi"/>
          <w:b/>
          <w:bCs/>
          <w:color w:val="000000"/>
          <w:lang w:val="es-CR" w:eastAsia="es-CR"/>
        </w:rPr>
        <w:t>Operadoras de Pensiones Complementarias: participación de mercado</w:t>
      </w:r>
      <w:r w:rsidRPr="00CB5F11">
        <w:rPr>
          <w:rFonts w:eastAsia="Times New Roman" w:cstheme="minorHAnsi"/>
          <w:b/>
          <w:bCs/>
          <w:color w:val="000000"/>
          <w:vertAlign w:val="superscript"/>
          <w:lang w:val="es-CR" w:eastAsia="es-CR"/>
        </w:rPr>
        <w:t>1/</w:t>
      </w:r>
      <w:r w:rsidRPr="00CB5F11">
        <w:rPr>
          <w:rFonts w:eastAsia="Times New Roman" w:cstheme="minorHAnsi"/>
          <w:b/>
          <w:bCs/>
          <w:color w:val="000000"/>
          <w:lang w:val="es-CR" w:eastAsia="es-CR"/>
        </w:rPr>
        <w:t xml:space="preserve"> por mes según entidad, 2021</w:t>
      </w:r>
    </w:p>
    <w:tbl>
      <w:tblPr>
        <w:tblW w:w="8506" w:type="dxa"/>
        <w:jc w:val="center"/>
        <w:tblCellMar>
          <w:left w:w="70" w:type="dxa"/>
          <w:right w:w="70" w:type="dxa"/>
        </w:tblCellMar>
        <w:tblLook w:val="04A0" w:firstRow="1" w:lastRow="0" w:firstColumn="1" w:lastColumn="0" w:noHBand="0" w:noVBand="1"/>
      </w:tblPr>
      <w:tblGrid>
        <w:gridCol w:w="2044"/>
        <w:gridCol w:w="1217"/>
        <w:gridCol w:w="1059"/>
        <w:gridCol w:w="783"/>
        <w:gridCol w:w="993"/>
        <w:gridCol w:w="1415"/>
        <w:gridCol w:w="995"/>
      </w:tblGrid>
      <w:tr w:rsidR="002B0029" w:rsidRPr="005623BA" w14:paraId="102CDDB6" w14:textId="77777777" w:rsidTr="00A70B59">
        <w:trPr>
          <w:trHeight w:val="300"/>
          <w:tblHeader/>
          <w:jc w:val="center"/>
        </w:trPr>
        <w:tc>
          <w:tcPr>
            <w:tcW w:w="2044" w:type="dxa"/>
            <w:tcBorders>
              <w:top w:val="single" w:sz="4" w:space="0" w:color="auto"/>
              <w:bottom w:val="single" w:sz="4" w:space="0" w:color="auto"/>
            </w:tcBorders>
            <w:shd w:val="clear" w:color="auto" w:fill="auto"/>
            <w:noWrap/>
            <w:vAlign w:val="center"/>
            <w:hideMark/>
          </w:tcPr>
          <w:p w14:paraId="0ED11941"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Mes</w:t>
            </w:r>
          </w:p>
        </w:tc>
        <w:tc>
          <w:tcPr>
            <w:tcW w:w="1217" w:type="dxa"/>
            <w:tcBorders>
              <w:top w:val="single" w:sz="4" w:space="0" w:color="auto"/>
              <w:bottom w:val="single" w:sz="4" w:space="0" w:color="auto"/>
            </w:tcBorders>
            <w:shd w:val="clear" w:color="auto" w:fill="auto"/>
            <w:noWrap/>
            <w:vAlign w:val="center"/>
            <w:hideMark/>
          </w:tcPr>
          <w:p w14:paraId="06C293E1"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BCR Pensión</w:t>
            </w:r>
          </w:p>
        </w:tc>
        <w:tc>
          <w:tcPr>
            <w:tcW w:w="1059" w:type="dxa"/>
            <w:tcBorders>
              <w:top w:val="single" w:sz="4" w:space="0" w:color="auto"/>
              <w:bottom w:val="single" w:sz="4" w:space="0" w:color="auto"/>
            </w:tcBorders>
            <w:shd w:val="clear" w:color="auto" w:fill="auto"/>
            <w:noWrap/>
            <w:vAlign w:val="center"/>
            <w:hideMark/>
          </w:tcPr>
          <w:p w14:paraId="71AFDA3B"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BN Vital</w:t>
            </w:r>
          </w:p>
        </w:tc>
        <w:tc>
          <w:tcPr>
            <w:tcW w:w="783" w:type="dxa"/>
            <w:tcBorders>
              <w:top w:val="single" w:sz="4" w:space="0" w:color="auto"/>
              <w:bottom w:val="single" w:sz="4" w:space="0" w:color="auto"/>
            </w:tcBorders>
            <w:shd w:val="clear" w:color="auto" w:fill="auto"/>
            <w:noWrap/>
            <w:vAlign w:val="center"/>
            <w:hideMark/>
          </w:tcPr>
          <w:p w14:paraId="688A776E" w14:textId="3C420FD9"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OPC CCSS</w:t>
            </w:r>
          </w:p>
        </w:tc>
        <w:tc>
          <w:tcPr>
            <w:tcW w:w="993" w:type="dxa"/>
            <w:tcBorders>
              <w:top w:val="single" w:sz="4" w:space="0" w:color="auto"/>
              <w:bottom w:val="single" w:sz="4" w:space="0" w:color="auto"/>
            </w:tcBorders>
            <w:shd w:val="clear" w:color="auto" w:fill="auto"/>
            <w:noWrap/>
            <w:vAlign w:val="center"/>
            <w:hideMark/>
          </w:tcPr>
          <w:p w14:paraId="2314B43F"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Popular</w:t>
            </w:r>
          </w:p>
          <w:p w14:paraId="6C5393F9"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Pensiones</w:t>
            </w:r>
          </w:p>
        </w:tc>
        <w:tc>
          <w:tcPr>
            <w:tcW w:w="1415" w:type="dxa"/>
            <w:tcBorders>
              <w:top w:val="single" w:sz="4" w:space="0" w:color="auto"/>
              <w:bottom w:val="single" w:sz="4" w:space="0" w:color="auto"/>
            </w:tcBorders>
            <w:shd w:val="clear" w:color="auto" w:fill="auto"/>
            <w:noWrap/>
            <w:vAlign w:val="center"/>
            <w:hideMark/>
          </w:tcPr>
          <w:p w14:paraId="5D60B569"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 xml:space="preserve">BAC </w:t>
            </w:r>
          </w:p>
          <w:p w14:paraId="621C6405"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Pensiones</w:t>
            </w:r>
          </w:p>
        </w:tc>
        <w:tc>
          <w:tcPr>
            <w:tcW w:w="995" w:type="dxa"/>
            <w:tcBorders>
              <w:top w:val="single" w:sz="4" w:space="0" w:color="auto"/>
              <w:bottom w:val="single" w:sz="4" w:space="0" w:color="auto"/>
            </w:tcBorders>
            <w:shd w:val="clear" w:color="auto" w:fill="auto"/>
            <w:noWrap/>
            <w:vAlign w:val="center"/>
            <w:hideMark/>
          </w:tcPr>
          <w:p w14:paraId="7635FCB7" w14:textId="77777777" w:rsidR="003B124B" w:rsidRPr="00A70B59" w:rsidRDefault="003B124B" w:rsidP="002B0029">
            <w:pPr>
              <w:rPr>
                <w:rFonts w:eastAsia="Times New Roman" w:cstheme="minorHAnsi"/>
                <w:b/>
                <w:bCs/>
                <w:color w:val="000000"/>
                <w:sz w:val="20"/>
                <w:szCs w:val="20"/>
                <w:lang w:val="es-CR" w:eastAsia="es-CR"/>
              </w:rPr>
            </w:pPr>
            <w:r w:rsidRPr="00A70B59">
              <w:rPr>
                <w:rFonts w:eastAsia="Times New Roman" w:cstheme="minorHAnsi"/>
                <w:b/>
                <w:bCs/>
                <w:color w:val="000000"/>
                <w:sz w:val="20"/>
                <w:szCs w:val="20"/>
                <w:lang w:val="es-CR" w:eastAsia="es-CR"/>
              </w:rPr>
              <w:t>Vida Plena</w:t>
            </w:r>
          </w:p>
        </w:tc>
      </w:tr>
      <w:tr w:rsidR="003B124B" w:rsidRPr="005623BA" w14:paraId="28B0C214" w14:textId="77777777" w:rsidTr="00A70B59">
        <w:trPr>
          <w:trHeight w:val="300"/>
          <w:jc w:val="center"/>
        </w:trPr>
        <w:tc>
          <w:tcPr>
            <w:tcW w:w="2044" w:type="dxa"/>
            <w:tcBorders>
              <w:top w:val="single" w:sz="4" w:space="0" w:color="auto"/>
            </w:tcBorders>
            <w:shd w:val="clear" w:color="auto" w:fill="auto"/>
            <w:noWrap/>
            <w:vAlign w:val="bottom"/>
            <w:hideMark/>
          </w:tcPr>
          <w:p w14:paraId="244251E1"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Enero</w:t>
            </w:r>
          </w:p>
        </w:tc>
        <w:tc>
          <w:tcPr>
            <w:tcW w:w="1217" w:type="dxa"/>
            <w:tcBorders>
              <w:top w:val="single" w:sz="4" w:space="0" w:color="auto"/>
            </w:tcBorders>
            <w:shd w:val="clear" w:color="auto" w:fill="auto"/>
            <w:noWrap/>
            <w:vAlign w:val="bottom"/>
            <w:hideMark/>
          </w:tcPr>
          <w:p w14:paraId="1F4BF883"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13,93%</w:t>
            </w:r>
          </w:p>
        </w:tc>
        <w:tc>
          <w:tcPr>
            <w:tcW w:w="1059" w:type="dxa"/>
            <w:tcBorders>
              <w:top w:val="single" w:sz="4" w:space="0" w:color="auto"/>
            </w:tcBorders>
            <w:shd w:val="clear" w:color="auto" w:fill="auto"/>
            <w:noWrap/>
            <w:vAlign w:val="bottom"/>
            <w:hideMark/>
          </w:tcPr>
          <w:p w14:paraId="40896FEA"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20,07%</w:t>
            </w:r>
          </w:p>
        </w:tc>
        <w:tc>
          <w:tcPr>
            <w:tcW w:w="783" w:type="dxa"/>
            <w:tcBorders>
              <w:top w:val="single" w:sz="4" w:space="0" w:color="auto"/>
            </w:tcBorders>
            <w:shd w:val="clear" w:color="auto" w:fill="auto"/>
            <w:noWrap/>
            <w:vAlign w:val="bottom"/>
            <w:hideMark/>
          </w:tcPr>
          <w:p w14:paraId="739731EE"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3,11%</w:t>
            </w:r>
          </w:p>
        </w:tc>
        <w:tc>
          <w:tcPr>
            <w:tcW w:w="993" w:type="dxa"/>
            <w:tcBorders>
              <w:top w:val="single" w:sz="4" w:space="0" w:color="auto"/>
            </w:tcBorders>
            <w:shd w:val="clear" w:color="auto" w:fill="auto"/>
            <w:noWrap/>
            <w:vAlign w:val="bottom"/>
            <w:hideMark/>
          </w:tcPr>
          <w:p w14:paraId="0A637412"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39,78%</w:t>
            </w:r>
          </w:p>
        </w:tc>
        <w:tc>
          <w:tcPr>
            <w:tcW w:w="1415" w:type="dxa"/>
            <w:tcBorders>
              <w:top w:val="single" w:sz="4" w:space="0" w:color="auto"/>
            </w:tcBorders>
            <w:shd w:val="clear" w:color="auto" w:fill="auto"/>
            <w:noWrap/>
            <w:vAlign w:val="bottom"/>
            <w:hideMark/>
          </w:tcPr>
          <w:p w14:paraId="24688CB7"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11,93%</w:t>
            </w:r>
          </w:p>
        </w:tc>
        <w:tc>
          <w:tcPr>
            <w:tcW w:w="995" w:type="dxa"/>
            <w:tcBorders>
              <w:top w:val="single" w:sz="4" w:space="0" w:color="auto"/>
            </w:tcBorders>
            <w:shd w:val="clear" w:color="auto" w:fill="auto"/>
            <w:noWrap/>
            <w:vAlign w:val="bottom"/>
            <w:hideMark/>
          </w:tcPr>
          <w:p w14:paraId="59EB0878"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11,18%</w:t>
            </w:r>
          </w:p>
        </w:tc>
      </w:tr>
      <w:tr w:rsidR="003B124B" w:rsidRPr="005623BA" w14:paraId="655FE56F" w14:textId="77777777" w:rsidTr="00A70B59">
        <w:trPr>
          <w:trHeight w:val="300"/>
          <w:jc w:val="center"/>
        </w:trPr>
        <w:tc>
          <w:tcPr>
            <w:tcW w:w="2044" w:type="dxa"/>
            <w:shd w:val="clear" w:color="auto" w:fill="auto"/>
            <w:noWrap/>
            <w:vAlign w:val="bottom"/>
            <w:hideMark/>
          </w:tcPr>
          <w:p w14:paraId="201254FB"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Febrero</w:t>
            </w:r>
          </w:p>
        </w:tc>
        <w:tc>
          <w:tcPr>
            <w:tcW w:w="1217" w:type="dxa"/>
            <w:shd w:val="clear" w:color="auto" w:fill="auto"/>
            <w:noWrap/>
            <w:vAlign w:val="bottom"/>
            <w:hideMark/>
          </w:tcPr>
          <w:p w14:paraId="7A52E13E"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13,88%</w:t>
            </w:r>
          </w:p>
        </w:tc>
        <w:tc>
          <w:tcPr>
            <w:tcW w:w="1059" w:type="dxa"/>
            <w:shd w:val="clear" w:color="auto" w:fill="auto"/>
            <w:noWrap/>
            <w:vAlign w:val="bottom"/>
            <w:hideMark/>
          </w:tcPr>
          <w:p w14:paraId="58981357"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19,97%</w:t>
            </w:r>
          </w:p>
        </w:tc>
        <w:tc>
          <w:tcPr>
            <w:tcW w:w="783" w:type="dxa"/>
            <w:shd w:val="clear" w:color="auto" w:fill="auto"/>
            <w:noWrap/>
            <w:vAlign w:val="bottom"/>
            <w:hideMark/>
          </w:tcPr>
          <w:p w14:paraId="5D2AC858"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3,10%</w:t>
            </w:r>
          </w:p>
        </w:tc>
        <w:tc>
          <w:tcPr>
            <w:tcW w:w="993" w:type="dxa"/>
            <w:shd w:val="clear" w:color="auto" w:fill="auto"/>
            <w:noWrap/>
            <w:vAlign w:val="bottom"/>
            <w:hideMark/>
          </w:tcPr>
          <w:p w14:paraId="4D54CCB5"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39,93%</w:t>
            </w:r>
          </w:p>
        </w:tc>
        <w:tc>
          <w:tcPr>
            <w:tcW w:w="1415" w:type="dxa"/>
            <w:shd w:val="clear" w:color="auto" w:fill="auto"/>
            <w:noWrap/>
            <w:vAlign w:val="bottom"/>
            <w:hideMark/>
          </w:tcPr>
          <w:p w14:paraId="493E1571"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11,94%</w:t>
            </w:r>
          </w:p>
        </w:tc>
        <w:tc>
          <w:tcPr>
            <w:tcW w:w="995" w:type="dxa"/>
            <w:shd w:val="clear" w:color="auto" w:fill="auto"/>
            <w:noWrap/>
            <w:vAlign w:val="bottom"/>
            <w:hideMark/>
          </w:tcPr>
          <w:p w14:paraId="6DC97A26"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11,19%</w:t>
            </w:r>
          </w:p>
        </w:tc>
      </w:tr>
      <w:tr w:rsidR="003B124B" w:rsidRPr="005623BA" w14:paraId="4C826917" w14:textId="77777777" w:rsidTr="00A70B59">
        <w:trPr>
          <w:trHeight w:val="300"/>
          <w:jc w:val="center"/>
        </w:trPr>
        <w:tc>
          <w:tcPr>
            <w:tcW w:w="2044" w:type="dxa"/>
            <w:shd w:val="clear" w:color="auto" w:fill="auto"/>
            <w:noWrap/>
            <w:vAlign w:val="bottom"/>
            <w:hideMark/>
          </w:tcPr>
          <w:p w14:paraId="2AF1C73D"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Marzo</w:t>
            </w:r>
          </w:p>
        </w:tc>
        <w:tc>
          <w:tcPr>
            <w:tcW w:w="1217" w:type="dxa"/>
            <w:shd w:val="clear" w:color="auto" w:fill="auto"/>
            <w:noWrap/>
            <w:vAlign w:val="bottom"/>
            <w:hideMark/>
          </w:tcPr>
          <w:p w14:paraId="187548ED"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13,81%</w:t>
            </w:r>
          </w:p>
        </w:tc>
        <w:tc>
          <w:tcPr>
            <w:tcW w:w="1059" w:type="dxa"/>
            <w:shd w:val="clear" w:color="auto" w:fill="auto"/>
            <w:noWrap/>
            <w:vAlign w:val="bottom"/>
            <w:hideMark/>
          </w:tcPr>
          <w:p w14:paraId="667B76CD"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19,87%</w:t>
            </w:r>
          </w:p>
        </w:tc>
        <w:tc>
          <w:tcPr>
            <w:tcW w:w="783" w:type="dxa"/>
            <w:shd w:val="clear" w:color="auto" w:fill="auto"/>
            <w:noWrap/>
            <w:vAlign w:val="bottom"/>
            <w:hideMark/>
          </w:tcPr>
          <w:p w14:paraId="298973FC"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3,09%</w:t>
            </w:r>
          </w:p>
        </w:tc>
        <w:tc>
          <w:tcPr>
            <w:tcW w:w="993" w:type="dxa"/>
            <w:shd w:val="clear" w:color="auto" w:fill="auto"/>
            <w:noWrap/>
            <w:vAlign w:val="bottom"/>
            <w:hideMark/>
          </w:tcPr>
          <w:p w14:paraId="19335866"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40,09%</w:t>
            </w:r>
          </w:p>
        </w:tc>
        <w:tc>
          <w:tcPr>
            <w:tcW w:w="1415" w:type="dxa"/>
            <w:shd w:val="clear" w:color="auto" w:fill="auto"/>
            <w:noWrap/>
            <w:vAlign w:val="bottom"/>
            <w:hideMark/>
          </w:tcPr>
          <w:p w14:paraId="61D31054"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11,96%</w:t>
            </w:r>
          </w:p>
        </w:tc>
        <w:tc>
          <w:tcPr>
            <w:tcW w:w="995" w:type="dxa"/>
            <w:shd w:val="clear" w:color="auto" w:fill="auto"/>
            <w:noWrap/>
            <w:vAlign w:val="bottom"/>
            <w:hideMark/>
          </w:tcPr>
          <w:p w14:paraId="79264718"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11,17%</w:t>
            </w:r>
          </w:p>
        </w:tc>
      </w:tr>
      <w:tr w:rsidR="003B124B" w:rsidRPr="005623BA" w14:paraId="30E1A855" w14:textId="77777777" w:rsidTr="00A70B59">
        <w:trPr>
          <w:trHeight w:val="300"/>
          <w:jc w:val="center"/>
        </w:trPr>
        <w:tc>
          <w:tcPr>
            <w:tcW w:w="2044" w:type="dxa"/>
            <w:shd w:val="clear" w:color="auto" w:fill="auto"/>
            <w:noWrap/>
            <w:vAlign w:val="bottom"/>
            <w:hideMark/>
          </w:tcPr>
          <w:p w14:paraId="42067D7C"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Abril</w:t>
            </w:r>
          </w:p>
        </w:tc>
        <w:tc>
          <w:tcPr>
            <w:tcW w:w="1217" w:type="dxa"/>
            <w:shd w:val="clear" w:color="auto" w:fill="auto"/>
            <w:noWrap/>
            <w:vAlign w:val="bottom"/>
            <w:hideMark/>
          </w:tcPr>
          <w:p w14:paraId="0E08C7A1"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13,70%</w:t>
            </w:r>
          </w:p>
        </w:tc>
        <w:tc>
          <w:tcPr>
            <w:tcW w:w="1059" w:type="dxa"/>
            <w:shd w:val="clear" w:color="auto" w:fill="auto"/>
            <w:noWrap/>
            <w:vAlign w:val="bottom"/>
            <w:hideMark/>
          </w:tcPr>
          <w:p w14:paraId="01DF2D34"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20,00%</w:t>
            </w:r>
          </w:p>
        </w:tc>
        <w:tc>
          <w:tcPr>
            <w:tcW w:w="783" w:type="dxa"/>
            <w:shd w:val="clear" w:color="auto" w:fill="auto"/>
            <w:noWrap/>
            <w:vAlign w:val="bottom"/>
            <w:hideMark/>
          </w:tcPr>
          <w:p w14:paraId="69D5E2D4"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3,09%</w:t>
            </w:r>
          </w:p>
        </w:tc>
        <w:tc>
          <w:tcPr>
            <w:tcW w:w="993" w:type="dxa"/>
            <w:shd w:val="clear" w:color="auto" w:fill="auto"/>
            <w:noWrap/>
            <w:vAlign w:val="bottom"/>
            <w:hideMark/>
          </w:tcPr>
          <w:p w14:paraId="4D6BCF09"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40,13%</w:t>
            </w:r>
          </w:p>
        </w:tc>
        <w:tc>
          <w:tcPr>
            <w:tcW w:w="1415" w:type="dxa"/>
            <w:shd w:val="clear" w:color="auto" w:fill="auto"/>
            <w:noWrap/>
            <w:vAlign w:val="bottom"/>
            <w:hideMark/>
          </w:tcPr>
          <w:p w14:paraId="3BF26BF4"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12,01%</w:t>
            </w:r>
          </w:p>
        </w:tc>
        <w:tc>
          <w:tcPr>
            <w:tcW w:w="995" w:type="dxa"/>
            <w:shd w:val="clear" w:color="auto" w:fill="auto"/>
            <w:noWrap/>
            <w:vAlign w:val="bottom"/>
            <w:hideMark/>
          </w:tcPr>
          <w:p w14:paraId="5E2447C1"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11,06%</w:t>
            </w:r>
          </w:p>
        </w:tc>
      </w:tr>
      <w:tr w:rsidR="003B124B" w:rsidRPr="005623BA" w14:paraId="2392EED2" w14:textId="77777777" w:rsidTr="00A70B59">
        <w:trPr>
          <w:trHeight w:val="300"/>
          <w:jc w:val="center"/>
        </w:trPr>
        <w:tc>
          <w:tcPr>
            <w:tcW w:w="2044" w:type="dxa"/>
            <w:shd w:val="clear" w:color="auto" w:fill="auto"/>
            <w:noWrap/>
            <w:vAlign w:val="bottom"/>
            <w:hideMark/>
          </w:tcPr>
          <w:p w14:paraId="5C0389F6"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Mayo</w:t>
            </w:r>
          </w:p>
        </w:tc>
        <w:tc>
          <w:tcPr>
            <w:tcW w:w="1217" w:type="dxa"/>
            <w:shd w:val="clear" w:color="auto" w:fill="auto"/>
            <w:noWrap/>
            <w:vAlign w:val="bottom"/>
            <w:hideMark/>
          </w:tcPr>
          <w:p w14:paraId="0ED08E58"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13,70%</w:t>
            </w:r>
          </w:p>
        </w:tc>
        <w:tc>
          <w:tcPr>
            <w:tcW w:w="1059" w:type="dxa"/>
            <w:shd w:val="clear" w:color="auto" w:fill="auto"/>
            <w:noWrap/>
            <w:vAlign w:val="bottom"/>
            <w:hideMark/>
          </w:tcPr>
          <w:p w14:paraId="71F16FA0"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20,00%</w:t>
            </w:r>
          </w:p>
        </w:tc>
        <w:tc>
          <w:tcPr>
            <w:tcW w:w="783" w:type="dxa"/>
            <w:shd w:val="clear" w:color="auto" w:fill="auto"/>
            <w:noWrap/>
            <w:vAlign w:val="bottom"/>
            <w:hideMark/>
          </w:tcPr>
          <w:p w14:paraId="56544D07"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3,08%</w:t>
            </w:r>
          </w:p>
        </w:tc>
        <w:tc>
          <w:tcPr>
            <w:tcW w:w="993" w:type="dxa"/>
            <w:shd w:val="clear" w:color="auto" w:fill="auto"/>
            <w:noWrap/>
            <w:vAlign w:val="bottom"/>
            <w:hideMark/>
          </w:tcPr>
          <w:p w14:paraId="7B1BE1C7"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40,05%</w:t>
            </w:r>
          </w:p>
        </w:tc>
        <w:tc>
          <w:tcPr>
            <w:tcW w:w="1415" w:type="dxa"/>
            <w:shd w:val="clear" w:color="auto" w:fill="auto"/>
            <w:noWrap/>
            <w:vAlign w:val="bottom"/>
            <w:hideMark/>
          </w:tcPr>
          <w:p w14:paraId="77B18022"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12,10%</w:t>
            </w:r>
          </w:p>
        </w:tc>
        <w:tc>
          <w:tcPr>
            <w:tcW w:w="995" w:type="dxa"/>
            <w:shd w:val="clear" w:color="auto" w:fill="auto"/>
            <w:noWrap/>
            <w:vAlign w:val="bottom"/>
            <w:hideMark/>
          </w:tcPr>
          <w:p w14:paraId="6F8D8778"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11,07%</w:t>
            </w:r>
          </w:p>
        </w:tc>
      </w:tr>
      <w:tr w:rsidR="003B124B" w:rsidRPr="005623BA" w14:paraId="3161023B" w14:textId="77777777" w:rsidTr="00A70B59">
        <w:trPr>
          <w:trHeight w:val="300"/>
          <w:jc w:val="center"/>
        </w:trPr>
        <w:tc>
          <w:tcPr>
            <w:tcW w:w="2044" w:type="dxa"/>
            <w:shd w:val="clear" w:color="auto" w:fill="auto"/>
            <w:noWrap/>
            <w:vAlign w:val="bottom"/>
            <w:hideMark/>
          </w:tcPr>
          <w:p w14:paraId="56E0BB3D"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Junio</w:t>
            </w:r>
          </w:p>
        </w:tc>
        <w:tc>
          <w:tcPr>
            <w:tcW w:w="1217" w:type="dxa"/>
            <w:shd w:val="clear" w:color="auto" w:fill="auto"/>
            <w:noWrap/>
            <w:vAlign w:val="bottom"/>
            <w:hideMark/>
          </w:tcPr>
          <w:p w14:paraId="067C01E8"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13,61%</w:t>
            </w:r>
          </w:p>
        </w:tc>
        <w:tc>
          <w:tcPr>
            <w:tcW w:w="1059" w:type="dxa"/>
            <w:shd w:val="clear" w:color="auto" w:fill="auto"/>
            <w:noWrap/>
            <w:vAlign w:val="bottom"/>
            <w:hideMark/>
          </w:tcPr>
          <w:p w14:paraId="5E61E697"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19,97%</w:t>
            </w:r>
          </w:p>
        </w:tc>
        <w:tc>
          <w:tcPr>
            <w:tcW w:w="783" w:type="dxa"/>
            <w:shd w:val="clear" w:color="auto" w:fill="auto"/>
            <w:noWrap/>
            <w:vAlign w:val="bottom"/>
            <w:hideMark/>
          </w:tcPr>
          <w:p w14:paraId="6CD8095E"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3,10%</w:t>
            </w:r>
          </w:p>
        </w:tc>
        <w:tc>
          <w:tcPr>
            <w:tcW w:w="993" w:type="dxa"/>
            <w:shd w:val="clear" w:color="auto" w:fill="auto"/>
            <w:noWrap/>
            <w:vAlign w:val="bottom"/>
            <w:hideMark/>
          </w:tcPr>
          <w:p w14:paraId="36EC452C"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40,14%</w:t>
            </w:r>
          </w:p>
        </w:tc>
        <w:tc>
          <w:tcPr>
            <w:tcW w:w="1415" w:type="dxa"/>
            <w:shd w:val="clear" w:color="auto" w:fill="auto"/>
            <w:noWrap/>
            <w:vAlign w:val="bottom"/>
            <w:hideMark/>
          </w:tcPr>
          <w:p w14:paraId="212683BA"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12,13%</w:t>
            </w:r>
          </w:p>
        </w:tc>
        <w:tc>
          <w:tcPr>
            <w:tcW w:w="995" w:type="dxa"/>
            <w:shd w:val="clear" w:color="auto" w:fill="auto"/>
            <w:noWrap/>
            <w:vAlign w:val="bottom"/>
            <w:hideMark/>
          </w:tcPr>
          <w:p w14:paraId="5D9828C5"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11,04%</w:t>
            </w:r>
          </w:p>
        </w:tc>
      </w:tr>
      <w:tr w:rsidR="003B124B" w:rsidRPr="005623BA" w14:paraId="24B3AB70" w14:textId="77777777" w:rsidTr="00A70B59">
        <w:trPr>
          <w:trHeight w:val="300"/>
          <w:jc w:val="center"/>
        </w:trPr>
        <w:tc>
          <w:tcPr>
            <w:tcW w:w="2044" w:type="dxa"/>
            <w:shd w:val="clear" w:color="auto" w:fill="auto"/>
            <w:noWrap/>
            <w:vAlign w:val="bottom"/>
            <w:hideMark/>
          </w:tcPr>
          <w:p w14:paraId="719F6427"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Julio</w:t>
            </w:r>
          </w:p>
        </w:tc>
        <w:tc>
          <w:tcPr>
            <w:tcW w:w="1217" w:type="dxa"/>
            <w:shd w:val="clear" w:color="auto" w:fill="auto"/>
            <w:noWrap/>
            <w:vAlign w:val="bottom"/>
            <w:hideMark/>
          </w:tcPr>
          <w:p w14:paraId="0AD21A64"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13,52%</w:t>
            </w:r>
          </w:p>
        </w:tc>
        <w:tc>
          <w:tcPr>
            <w:tcW w:w="1059" w:type="dxa"/>
            <w:shd w:val="clear" w:color="auto" w:fill="auto"/>
            <w:noWrap/>
            <w:vAlign w:val="bottom"/>
            <w:hideMark/>
          </w:tcPr>
          <w:p w14:paraId="394B294C"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19,88%</w:t>
            </w:r>
          </w:p>
        </w:tc>
        <w:tc>
          <w:tcPr>
            <w:tcW w:w="783" w:type="dxa"/>
            <w:shd w:val="clear" w:color="auto" w:fill="auto"/>
            <w:noWrap/>
            <w:vAlign w:val="bottom"/>
            <w:hideMark/>
          </w:tcPr>
          <w:p w14:paraId="137C2094"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3,11%</w:t>
            </w:r>
          </w:p>
        </w:tc>
        <w:tc>
          <w:tcPr>
            <w:tcW w:w="993" w:type="dxa"/>
            <w:shd w:val="clear" w:color="auto" w:fill="auto"/>
            <w:noWrap/>
            <w:vAlign w:val="bottom"/>
            <w:hideMark/>
          </w:tcPr>
          <w:p w14:paraId="1BFA8AAF"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40,21%</w:t>
            </w:r>
          </w:p>
        </w:tc>
        <w:tc>
          <w:tcPr>
            <w:tcW w:w="1415" w:type="dxa"/>
            <w:shd w:val="clear" w:color="auto" w:fill="auto"/>
            <w:noWrap/>
            <w:vAlign w:val="bottom"/>
            <w:hideMark/>
          </w:tcPr>
          <w:p w14:paraId="75A728E6"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12,26%</w:t>
            </w:r>
          </w:p>
        </w:tc>
        <w:tc>
          <w:tcPr>
            <w:tcW w:w="995" w:type="dxa"/>
            <w:shd w:val="clear" w:color="auto" w:fill="auto"/>
            <w:noWrap/>
            <w:vAlign w:val="bottom"/>
            <w:hideMark/>
          </w:tcPr>
          <w:p w14:paraId="28D8EAC7"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11,02%</w:t>
            </w:r>
          </w:p>
        </w:tc>
      </w:tr>
      <w:tr w:rsidR="003B124B" w:rsidRPr="005623BA" w14:paraId="35467B04" w14:textId="77777777" w:rsidTr="00A70B59">
        <w:trPr>
          <w:trHeight w:val="300"/>
          <w:jc w:val="center"/>
        </w:trPr>
        <w:tc>
          <w:tcPr>
            <w:tcW w:w="2044" w:type="dxa"/>
            <w:shd w:val="clear" w:color="auto" w:fill="auto"/>
            <w:noWrap/>
            <w:vAlign w:val="bottom"/>
            <w:hideMark/>
          </w:tcPr>
          <w:p w14:paraId="1BC4A4AF"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Agosto</w:t>
            </w:r>
          </w:p>
        </w:tc>
        <w:tc>
          <w:tcPr>
            <w:tcW w:w="1217" w:type="dxa"/>
            <w:shd w:val="clear" w:color="auto" w:fill="auto"/>
            <w:noWrap/>
            <w:vAlign w:val="bottom"/>
            <w:hideMark/>
          </w:tcPr>
          <w:p w14:paraId="61EE7B81"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13,49%</w:t>
            </w:r>
          </w:p>
        </w:tc>
        <w:tc>
          <w:tcPr>
            <w:tcW w:w="1059" w:type="dxa"/>
            <w:shd w:val="clear" w:color="auto" w:fill="auto"/>
            <w:noWrap/>
            <w:vAlign w:val="bottom"/>
            <w:hideMark/>
          </w:tcPr>
          <w:p w14:paraId="1504EAF8" w14:textId="77777777"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20,01%</w:t>
            </w:r>
          </w:p>
        </w:tc>
        <w:tc>
          <w:tcPr>
            <w:tcW w:w="783" w:type="dxa"/>
            <w:shd w:val="clear" w:color="auto" w:fill="auto"/>
            <w:noWrap/>
            <w:vAlign w:val="bottom"/>
            <w:hideMark/>
          </w:tcPr>
          <w:p w14:paraId="78B6DD2B"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3,10%</w:t>
            </w:r>
          </w:p>
        </w:tc>
        <w:tc>
          <w:tcPr>
            <w:tcW w:w="993" w:type="dxa"/>
            <w:shd w:val="clear" w:color="auto" w:fill="auto"/>
            <w:noWrap/>
            <w:vAlign w:val="bottom"/>
            <w:hideMark/>
          </w:tcPr>
          <w:p w14:paraId="1A4FB9DA"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39,92%</w:t>
            </w:r>
          </w:p>
        </w:tc>
        <w:tc>
          <w:tcPr>
            <w:tcW w:w="1415" w:type="dxa"/>
            <w:shd w:val="clear" w:color="auto" w:fill="auto"/>
            <w:noWrap/>
            <w:vAlign w:val="bottom"/>
            <w:hideMark/>
          </w:tcPr>
          <w:p w14:paraId="7F99A427"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12,48%</w:t>
            </w:r>
          </w:p>
        </w:tc>
        <w:tc>
          <w:tcPr>
            <w:tcW w:w="995" w:type="dxa"/>
            <w:shd w:val="clear" w:color="auto" w:fill="auto"/>
            <w:noWrap/>
            <w:vAlign w:val="bottom"/>
            <w:hideMark/>
          </w:tcPr>
          <w:p w14:paraId="443B62B4"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11,01%</w:t>
            </w:r>
          </w:p>
        </w:tc>
      </w:tr>
      <w:tr w:rsidR="0057078B" w:rsidRPr="005623BA" w14:paraId="452DAC3D" w14:textId="77777777" w:rsidTr="00A70B59">
        <w:trPr>
          <w:trHeight w:val="300"/>
          <w:jc w:val="center"/>
        </w:trPr>
        <w:tc>
          <w:tcPr>
            <w:tcW w:w="2044" w:type="dxa"/>
            <w:shd w:val="clear" w:color="auto" w:fill="auto"/>
            <w:noWrap/>
            <w:vAlign w:val="bottom"/>
            <w:hideMark/>
          </w:tcPr>
          <w:p w14:paraId="6BEA2A4F" w14:textId="77777777" w:rsidR="003B124B" w:rsidRPr="005623BA" w:rsidRDefault="003B124B" w:rsidP="00A46A72">
            <w:pPr>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Setiembre</w:t>
            </w:r>
          </w:p>
        </w:tc>
        <w:tc>
          <w:tcPr>
            <w:tcW w:w="1217" w:type="dxa"/>
            <w:shd w:val="clear" w:color="auto" w:fill="auto"/>
            <w:noWrap/>
            <w:vAlign w:val="bottom"/>
            <w:hideMark/>
          </w:tcPr>
          <w:p w14:paraId="1165FB15" w14:textId="77777777" w:rsidR="003B124B" w:rsidRPr="005623BA" w:rsidRDefault="003B124B" w:rsidP="002B0029">
            <w:pPr>
              <w:ind w:right="181"/>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13,55%</w:t>
            </w:r>
          </w:p>
        </w:tc>
        <w:tc>
          <w:tcPr>
            <w:tcW w:w="1059" w:type="dxa"/>
            <w:shd w:val="clear" w:color="auto" w:fill="auto"/>
            <w:noWrap/>
            <w:vAlign w:val="bottom"/>
            <w:hideMark/>
          </w:tcPr>
          <w:p w14:paraId="105E1B24" w14:textId="4BFB422F" w:rsidR="003B124B" w:rsidRPr="005623BA" w:rsidRDefault="003B124B" w:rsidP="002B0029">
            <w:pPr>
              <w:ind w:right="320"/>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20,08%</w:t>
            </w:r>
          </w:p>
        </w:tc>
        <w:tc>
          <w:tcPr>
            <w:tcW w:w="783" w:type="dxa"/>
            <w:shd w:val="clear" w:color="auto" w:fill="auto"/>
            <w:noWrap/>
            <w:vAlign w:val="bottom"/>
            <w:hideMark/>
          </w:tcPr>
          <w:p w14:paraId="0543E4A3"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3,09%</w:t>
            </w:r>
          </w:p>
        </w:tc>
        <w:tc>
          <w:tcPr>
            <w:tcW w:w="993" w:type="dxa"/>
            <w:shd w:val="clear" w:color="auto" w:fill="auto"/>
            <w:noWrap/>
            <w:vAlign w:val="bottom"/>
            <w:hideMark/>
          </w:tcPr>
          <w:p w14:paraId="18A6E94E"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39,82%</w:t>
            </w:r>
          </w:p>
        </w:tc>
        <w:tc>
          <w:tcPr>
            <w:tcW w:w="1415" w:type="dxa"/>
            <w:shd w:val="clear" w:color="auto" w:fill="auto"/>
            <w:noWrap/>
            <w:vAlign w:val="bottom"/>
            <w:hideMark/>
          </w:tcPr>
          <w:p w14:paraId="56510FA1"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12,48%</w:t>
            </w:r>
          </w:p>
        </w:tc>
        <w:tc>
          <w:tcPr>
            <w:tcW w:w="995" w:type="dxa"/>
            <w:shd w:val="clear" w:color="auto" w:fill="auto"/>
            <w:noWrap/>
            <w:vAlign w:val="bottom"/>
            <w:hideMark/>
          </w:tcPr>
          <w:p w14:paraId="7ED17976" w14:textId="77777777" w:rsidR="003B124B" w:rsidRPr="005623BA" w:rsidRDefault="003B124B" w:rsidP="00A46A72">
            <w:pPr>
              <w:jc w:val="right"/>
              <w:rPr>
                <w:rFonts w:eastAsia="Times New Roman" w:cstheme="minorHAnsi"/>
                <w:color w:val="000000"/>
                <w:sz w:val="20"/>
                <w:szCs w:val="20"/>
                <w:lang w:val="es-CR" w:eastAsia="es-CR"/>
              </w:rPr>
            </w:pPr>
            <w:r w:rsidRPr="005623BA">
              <w:rPr>
                <w:rFonts w:eastAsia="Times New Roman" w:cstheme="minorHAnsi"/>
                <w:color w:val="000000"/>
                <w:sz w:val="20"/>
                <w:szCs w:val="20"/>
                <w:lang w:val="es-CR" w:eastAsia="es-CR"/>
              </w:rPr>
              <w:t>10,99%</w:t>
            </w:r>
          </w:p>
        </w:tc>
      </w:tr>
      <w:tr w:rsidR="0057078B" w:rsidRPr="0058407B" w14:paraId="09FDFBC9" w14:textId="77777777" w:rsidTr="00A70B59">
        <w:trPr>
          <w:trHeight w:val="300"/>
          <w:jc w:val="center"/>
        </w:trPr>
        <w:tc>
          <w:tcPr>
            <w:tcW w:w="2044" w:type="dxa"/>
            <w:tcBorders>
              <w:bottom w:val="single" w:sz="4" w:space="0" w:color="auto"/>
            </w:tcBorders>
            <w:shd w:val="clear" w:color="auto" w:fill="auto"/>
            <w:noWrap/>
            <w:vAlign w:val="center"/>
            <w:hideMark/>
          </w:tcPr>
          <w:p w14:paraId="04356A1E" w14:textId="027812D8" w:rsidR="003B124B" w:rsidRPr="0058407B" w:rsidRDefault="00212FAE" w:rsidP="00A46A72">
            <w:pPr>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 xml:space="preserve">Cambió </w:t>
            </w:r>
            <w:r w:rsidR="004F7638" w:rsidRPr="0058407B">
              <w:rPr>
                <w:rFonts w:eastAsia="Times New Roman" w:cstheme="minorHAnsi"/>
                <w:b/>
                <w:color w:val="000000"/>
                <w:sz w:val="20"/>
                <w:szCs w:val="20"/>
                <w:lang w:val="es-CR" w:eastAsia="es-CR"/>
              </w:rPr>
              <w:t xml:space="preserve">porcentual con respecto a </w:t>
            </w:r>
            <w:r w:rsidR="00AC5C2D" w:rsidRPr="0058407B">
              <w:rPr>
                <w:rFonts w:eastAsia="Times New Roman" w:cstheme="minorHAnsi"/>
                <w:b/>
                <w:color w:val="000000"/>
                <w:sz w:val="20"/>
                <w:szCs w:val="20"/>
                <w:lang w:val="es-CR" w:eastAsia="es-CR"/>
              </w:rPr>
              <w:t>2020</w:t>
            </w:r>
          </w:p>
        </w:tc>
        <w:tc>
          <w:tcPr>
            <w:tcW w:w="1217" w:type="dxa"/>
            <w:tcBorders>
              <w:bottom w:val="single" w:sz="4" w:space="0" w:color="auto"/>
            </w:tcBorders>
            <w:shd w:val="clear" w:color="auto" w:fill="auto"/>
            <w:noWrap/>
            <w:vAlign w:val="center"/>
            <w:hideMark/>
          </w:tcPr>
          <w:p w14:paraId="1034BF18" w14:textId="77777777" w:rsidR="003B124B" w:rsidRPr="0058407B" w:rsidRDefault="003B124B" w:rsidP="002B0029">
            <w:pPr>
              <w:ind w:right="181"/>
              <w:jc w:val="right"/>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-2,76%</w:t>
            </w:r>
          </w:p>
        </w:tc>
        <w:tc>
          <w:tcPr>
            <w:tcW w:w="1059" w:type="dxa"/>
            <w:tcBorders>
              <w:bottom w:val="single" w:sz="4" w:space="0" w:color="auto"/>
            </w:tcBorders>
            <w:shd w:val="clear" w:color="auto" w:fill="auto"/>
            <w:noWrap/>
            <w:vAlign w:val="center"/>
            <w:hideMark/>
          </w:tcPr>
          <w:p w14:paraId="5293A60D" w14:textId="77777777" w:rsidR="003B124B" w:rsidRPr="0058407B" w:rsidRDefault="003B124B" w:rsidP="002B0029">
            <w:pPr>
              <w:ind w:right="320"/>
              <w:jc w:val="right"/>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0,00%</w:t>
            </w:r>
          </w:p>
        </w:tc>
        <w:tc>
          <w:tcPr>
            <w:tcW w:w="783" w:type="dxa"/>
            <w:tcBorders>
              <w:bottom w:val="single" w:sz="4" w:space="0" w:color="auto"/>
            </w:tcBorders>
            <w:shd w:val="clear" w:color="auto" w:fill="auto"/>
            <w:noWrap/>
            <w:vAlign w:val="center"/>
            <w:hideMark/>
          </w:tcPr>
          <w:p w14:paraId="0556329E" w14:textId="77777777" w:rsidR="003B124B" w:rsidRPr="0058407B" w:rsidRDefault="003B124B" w:rsidP="00A46A72">
            <w:pPr>
              <w:jc w:val="right"/>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-0,63%</w:t>
            </w:r>
          </w:p>
        </w:tc>
        <w:tc>
          <w:tcPr>
            <w:tcW w:w="993" w:type="dxa"/>
            <w:tcBorders>
              <w:bottom w:val="single" w:sz="4" w:space="0" w:color="auto"/>
            </w:tcBorders>
            <w:shd w:val="clear" w:color="auto" w:fill="auto"/>
            <w:noWrap/>
            <w:vAlign w:val="center"/>
            <w:hideMark/>
          </w:tcPr>
          <w:p w14:paraId="56E08E78" w14:textId="77777777" w:rsidR="003B124B" w:rsidRPr="0058407B" w:rsidRDefault="003B124B" w:rsidP="00A46A72">
            <w:pPr>
              <w:jc w:val="right"/>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0,11%</w:t>
            </w:r>
          </w:p>
        </w:tc>
        <w:tc>
          <w:tcPr>
            <w:tcW w:w="1415" w:type="dxa"/>
            <w:tcBorders>
              <w:bottom w:val="single" w:sz="4" w:space="0" w:color="auto"/>
            </w:tcBorders>
            <w:shd w:val="clear" w:color="auto" w:fill="auto"/>
            <w:noWrap/>
            <w:vAlign w:val="center"/>
            <w:hideMark/>
          </w:tcPr>
          <w:p w14:paraId="7FC67ED6" w14:textId="77777777" w:rsidR="003B124B" w:rsidRPr="0058407B" w:rsidRDefault="003B124B" w:rsidP="00A46A72">
            <w:pPr>
              <w:jc w:val="right"/>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4,60%</w:t>
            </w:r>
          </w:p>
        </w:tc>
        <w:tc>
          <w:tcPr>
            <w:tcW w:w="995" w:type="dxa"/>
            <w:tcBorders>
              <w:bottom w:val="single" w:sz="4" w:space="0" w:color="auto"/>
            </w:tcBorders>
            <w:shd w:val="clear" w:color="auto" w:fill="auto"/>
            <w:noWrap/>
            <w:vAlign w:val="center"/>
            <w:hideMark/>
          </w:tcPr>
          <w:p w14:paraId="7CFCD17F" w14:textId="77777777" w:rsidR="003B124B" w:rsidRPr="0058407B" w:rsidRDefault="003B124B" w:rsidP="00A46A72">
            <w:pPr>
              <w:jc w:val="right"/>
              <w:rPr>
                <w:rFonts w:eastAsia="Times New Roman" w:cstheme="minorHAnsi"/>
                <w:b/>
                <w:color w:val="000000"/>
                <w:sz w:val="20"/>
                <w:szCs w:val="20"/>
                <w:lang w:val="es-CR" w:eastAsia="es-CR"/>
              </w:rPr>
            </w:pPr>
            <w:r w:rsidRPr="0058407B">
              <w:rPr>
                <w:rFonts w:eastAsia="Times New Roman" w:cstheme="minorHAnsi"/>
                <w:b/>
                <w:color w:val="000000"/>
                <w:sz w:val="20"/>
                <w:szCs w:val="20"/>
                <w:lang w:val="es-CR" w:eastAsia="es-CR"/>
              </w:rPr>
              <w:t>-1,68%</w:t>
            </w:r>
          </w:p>
        </w:tc>
      </w:tr>
    </w:tbl>
    <w:p w14:paraId="6B6C7864" w14:textId="77777777" w:rsidR="00584743" w:rsidRPr="00CB5F11" w:rsidRDefault="00584743">
      <w:pPr>
        <w:tabs>
          <w:tab w:val="left" w:pos="1056"/>
        </w:tabs>
        <w:rPr>
          <w:rFonts w:cstheme="minorHAnsi"/>
          <w:b/>
          <w:bCs/>
          <w:iCs/>
          <w:sz w:val="20"/>
          <w:szCs w:val="20"/>
        </w:rPr>
      </w:pPr>
      <w:r w:rsidRPr="00CB5F11">
        <w:rPr>
          <w:rFonts w:cstheme="minorHAnsi"/>
          <w:b/>
          <w:bCs/>
          <w:iCs/>
          <w:sz w:val="20"/>
          <w:szCs w:val="20"/>
        </w:rPr>
        <w:t>1/ La participación de mercado con respecto al activo total del fondo</w:t>
      </w:r>
      <w:r>
        <w:rPr>
          <w:rFonts w:cstheme="minorHAnsi"/>
          <w:b/>
          <w:bCs/>
          <w:iCs/>
          <w:sz w:val="20"/>
          <w:szCs w:val="20"/>
        </w:rPr>
        <w:t>.</w:t>
      </w:r>
    </w:p>
    <w:p w14:paraId="44D5E5E8" w14:textId="41FA6CD5" w:rsidR="00673436" w:rsidRDefault="00584743" w:rsidP="00C846BA">
      <w:pPr>
        <w:jc w:val="both"/>
        <w:rPr>
          <w:rFonts w:ascii="Times New Roman" w:hAnsi="Times New Roman" w:cs="Times New Roman"/>
          <w:b/>
          <w:bCs/>
          <w:iCs/>
          <w:sz w:val="20"/>
          <w:szCs w:val="20"/>
        </w:rPr>
      </w:pPr>
      <w:r w:rsidRPr="00CB5F11">
        <w:rPr>
          <w:rFonts w:cstheme="minorHAnsi"/>
          <w:b/>
          <w:bCs/>
          <w:iCs/>
          <w:sz w:val="20"/>
          <w:szCs w:val="20"/>
        </w:rPr>
        <w:t>Fuente: Elaboración propia</w:t>
      </w:r>
      <w:r w:rsidRPr="00CB5F11">
        <w:rPr>
          <w:rFonts w:ascii="Times New Roman" w:hAnsi="Times New Roman" w:cs="Times New Roman"/>
          <w:b/>
          <w:bCs/>
          <w:iCs/>
          <w:sz w:val="20"/>
          <w:szCs w:val="20"/>
        </w:rPr>
        <w:t>.</w:t>
      </w:r>
    </w:p>
    <w:p w14:paraId="3F2DF6F4" w14:textId="77777777" w:rsidR="003D0BEA" w:rsidRDefault="003D0BEA">
      <w:pPr>
        <w:jc w:val="both"/>
      </w:pPr>
    </w:p>
    <w:p w14:paraId="204BB560" w14:textId="682F10B5" w:rsidR="00344B57" w:rsidRDefault="00344B57" w:rsidP="009D13CA">
      <w:pPr>
        <w:pStyle w:val="Ttulo3"/>
        <w:numPr>
          <w:ilvl w:val="2"/>
          <w:numId w:val="18"/>
        </w:numPr>
      </w:pPr>
      <w:bookmarkStart w:id="9" w:name="_Toc89330999"/>
      <w:r>
        <w:t>Libre transferencia</w:t>
      </w:r>
      <w:bookmarkEnd w:id="9"/>
    </w:p>
    <w:p w14:paraId="2DE27996" w14:textId="77777777" w:rsidR="00344B57" w:rsidRDefault="00344B57" w:rsidP="00F40CD9">
      <w:pPr>
        <w:jc w:val="both"/>
      </w:pPr>
    </w:p>
    <w:p w14:paraId="7839D67A" w14:textId="2F4F88D3" w:rsidR="003D44DB" w:rsidRDefault="00DF258C" w:rsidP="00F40CD9">
      <w:pPr>
        <w:jc w:val="both"/>
      </w:pPr>
      <w:r>
        <w:t>L</w:t>
      </w:r>
      <w:r w:rsidR="00B83E11">
        <w:t xml:space="preserve">a cantidad de </w:t>
      </w:r>
      <w:r w:rsidR="004F6B1C" w:rsidRPr="004F6B1C">
        <w:t>trasladados ha</w:t>
      </w:r>
      <w:r w:rsidR="004134A4">
        <w:t xml:space="preserve"> mostrado una tendencia hacia el alza</w:t>
      </w:r>
      <w:r w:rsidR="004F6B1C" w:rsidRPr="004F6B1C">
        <w:t xml:space="preserve"> durante el 2021</w:t>
      </w:r>
      <w:r w:rsidR="00067B7C">
        <w:t xml:space="preserve"> (</w:t>
      </w:r>
      <w:r w:rsidR="00B83E11">
        <w:t xml:space="preserve">el </w:t>
      </w:r>
      <w:r w:rsidR="00C10365">
        <w:t>gráfico 3</w:t>
      </w:r>
      <w:r w:rsidR="00B83E11">
        <w:t xml:space="preserve"> muestra la evolución en </w:t>
      </w:r>
      <w:r w:rsidR="003D44DB">
        <w:t xml:space="preserve">el </w:t>
      </w:r>
      <w:r w:rsidR="00B83E11">
        <w:t>ROP;</w:t>
      </w:r>
      <w:r w:rsidR="00C24F11">
        <w:t xml:space="preserve"> el </w:t>
      </w:r>
      <w:r w:rsidR="00EC1568">
        <w:t xml:space="preserve">FCL </w:t>
      </w:r>
      <w:r w:rsidR="001556A6">
        <w:t>tiene un comportamiento</w:t>
      </w:r>
      <w:r w:rsidR="004B1263">
        <w:t xml:space="preserve"> similar</w:t>
      </w:r>
      <w:r w:rsidR="00067B7C">
        <w:t xml:space="preserve">). </w:t>
      </w:r>
    </w:p>
    <w:p w14:paraId="60C75EED" w14:textId="01681210" w:rsidR="00493871" w:rsidRDefault="00493871" w:rsidP="00F40CD9">
      <w:pPr>
        <w:jc w:val="both"/>
      </w:pPr>
    </w:p>
    <w:p w14:paraId="1089AD55" w14:textId="0CCB4E3B" w:rsidR="00A926DC" w:rsidRDefault="00A926DC" w:rsidP="00F40CD9">
      <w:pPr>
        <w:jc w:val="both"/>
      </w:pPr>
    </w:p>
    <w:p w14:paraId="6E84DCD3" w14:textId="7A18735D" w:rsidR="00A926DC" w:rsidRDefault="00A926DC" w:rsidP="00F40CD9">
      <w:pPr>
        <w:jc w:val="both"/>
      </w:pPr>
    </w:p>
    <w:p w14:paraId="170E9DD0" w14:textId="26C9051D" w:rsidR="00A926DC" w:rsidRDefault="00A926DC" w:rsidP="00F40CD9">
      <w:pPr>
        <w:jc w:val="both"/>
      </w:pPr>
    </w:p>
    <w:p w14:paraId="08D5E721" w14:textId="11109C4E" w:rsidR="00A926DC" w:rsidRDefault="00A926DC" w:rsidP="00F40CD9">
      <w:pPr>
        <w:jc w:val="both"/>
      </w:pPr>
    </w:p>
    <w:p w14:paraId="45492278" w14:textId="21BC3009" w:rsidR="00A926DC" w:rsidRDefault="00A926DC" w:rsidP="00F40CD9">
      <w:pPr>
        <w:jc w:val="both"/>
      </w:pPr>
    </w:p>
    <w:p w14:paraId="4B8B85F6" w14:textId="429F0D27" w:rsidR="00A926DC" w:rsidRDefault="00A926DC" w:rsidP="00F40CD9">
      <w:pPr>
        <w:jc w:val="both"/>
      </w:pPr>
    </w:p>
    <w:p w14:paraId="6AC86263" w14:textId="24736C46" w:rsidR="00A926DC" w:rsidRDefault="00A926DC" w:rsidP="00F40CD9">
      <w:pPr>
        <w:jc w:val="both"/>
      </w:pPr>
    </w:p>
    <w:p w14:paraId="7B0D7A17" w14:textId="4F11BB31" w:rsidR="00A926DC" w:rsidRDefault="00A926DC" w:rsidP="00F40CD9">
      <w:pPr>
        <w:jc w:val="both"/>
      </w:pPr>
    </w:p>
    <w:p w14:paraId="764723EF" w14:textId="223A7F90" w:rsidR="00A926DC" w:rsidRDefault="00A926DC" w:rsidP="00F40CD9">
      <w:pPr>
        <w:jc w:val="both"/>
      </w:pPr>
    </w:p>
    <w:p w14:paraId="393C74FB" w14:textId="5F608777" w:rsidR="00A926DC" w:rsidRDefault="00A926DC" w:rsidP="00F40CD9">
      <w:pPr>
        <w:jc w:val="both"/>
      </w:pPr>
    </w:p>
    <w:p w14:paraId="1539C89C" w14:textId="64D1BD1F" w:rsidR="00A926DC" w:rsidRDefault="00A926DC" w:rsidP="00F40CD9">
      <w:pPr>
        <w:jc w:val="both"/>
      </w:pPr>
    </w:p>
    <w:p w14:paraId="5D512DCB" w14:textId="77777777" w:rsidR="00A926DC" w:rsidRDefault="00A926DC" w:rsidP="00F40CD9">
      <w:pPr>
        <w:jc w:val="both"/>
      </w:pPr>
    </w:p>
    <w:p w14:paraId="4D1E130D" w14:textId="1FFA5D9E" w:rsidR="00C4127C" w:rsidRPr="00C4127C" w:rsidRDefault="00C4127C" w:rsidP="00C4127C">
      <w:pPr>
        <w:jc w:val="both"/>
        <w:rPr>
          <w:b/>
          <w:bCs/>
        </w:rPr>
      </w:pPr>
      <w:r w:rsidRPr="00C4127C">
        <w:rPr>
          <w:b/>
          <w:bCs/>
        </w:rPr>
        <w:lastRenderedPageBreak/>
        <w:t>Gráfico 3.</w:t>
      </w:r>
    </w:p>
    <w:p w14:paraId="2807395E" w14:textId="49E45F4F" w:rsidR="00C4127C" w:rsidRDefault="00C4127C" w:rsidP="00C4127C">
      <w:pPr>
        <w:jc w:val="both"/>
        <w:rPr>
          <w:b/>
          <w:bCs/>
        </w:rPr>
      </w:pPr>
      <w:r w:rsidRPr="00C4127C">
        <w:rPr>
          <w:b/>
          <w:bCs/>
        </w:rPr>
        <w:t>Libre transferencia: cantidad de traslados por mes, 2019</w:t>
      </w:r>
      <w:r>
        <w:rPr>
          <w:b/>
          <w:bCs/>
        </w:rPr>
        <w:t>-</w:t>
      </w:r>
      <w:r w:rsidRPr="00C4127C">
        <w:rPr>
          <w:b/>
          <w:bCs/>
        </w:rPr>
        <w:t>2021.</w:t>
      </w:r>
    </w:p>
    <w:p w14:paraId="59292740" w14:textId="77777777" w:rsidR="00C4127C" w:rsidRPr="00C4127C" w:rsidRDefault="00C4127C" w:rsidP="00C4127C">
      <w:pPr>
        <w:jc w:val="both"/>
        <w:rPr>
          <w:b/>
          <w:bCs/>
        </w:rPr>
      </w:pPr>
    </w:p>
    <w:p w14:paraId="1AC2BC49" w14:textId="6B1A3A9D" w:rsidR="00C10365" w:rsidRDefault="008C7E55" w:rsidP="008101C5">
      <w:pPr>
        <w:jc w:val="center"/>
      </w:pPr>
      <w:r>
        <w:rPr>
          <w:noProof/>
        </w:rPr>
        <w:drawing>
          <wp:inline distT="0" distB="0" distL="0" distR="0" wp14:anchorId="704A3761" wp14:editId="1AD39C04">
            <wp:extent cx="4572000" cy="2743200"/>
            <wp:effectExtent l="0" t="0" r="0" b="0"/>
            <wp:docPr id="12" name="Gráfico 12">
              <a:extLst xmlns:a="http://schemas.openxmlformats.org/drawingml/2006/main">
                <a:ext uri="{FF2B5EF4-FFF2-40B4-BE49-F238E27FC236}">
                  <a16:creationId xmlns:a16="http://schemas.microsoft.com/office/drawing/2014/main" id="{CEE30737-D790-4B14-8B18-2BD61CF91B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8520A2" w14:textId="77777777" w:rsidR="00C4127C" w:rsidRPr="00C106B1" w:rsidRDefault="00C4127C" w:rsidP="00C4127C">
      <w:pPr>
        <w:jc w:val="both"/>
        <w:rPr>
          <w:b/>
          <w:bCs/>
          <w:sz w:val="18"/>
          <w:szCs w:val="18"/>
          <w:lang w:val="es-CR"/>
        </w:rPr>
      </w:pPr>
      <w:r w:rsidRPr="00C106B1">
        <w:rPr>
          <w:b/>
          <w:bCs/>
          <w:sz w:val="18"/>
          <w:szCs w:val="18"/>
        </w:rPr>
        <w:t>Fuente: Elaboración propia.</w:t>
      </w:r>
    </w:p>
    <w:p w14:paraId="4FF386BF" w14:textId="77777777" w:rsidR="00C4127C" w:rsidRDefault="00C4127C" w:rsidP="00F40CD9">
      <w:pPr>
        <w:jc w:val="both"/>
      </w:pPr>
    </w:p>
    <w:p w14:paraId="7D81662D" w14:textId="0991D8A0" w:rsidR="00493871" w:rsidRDefault="0040403C" w:rsidP="00F40CD9">
      <w:pPr>
        <w:jc w:val="both"/>
      </w:pPr>
      <w:r>
        <w:t xml:space="preserve">Para el periodo </w:t>
      </w:r>
      <w:r w:rsidR="00CD3F11">
        <w:t>2021, se observa un aumento en la cantidad de trámites de libre transferencia.</w:t>
      </w:r>
      <w:r w:rsidR="00256C5C">
        <w:t xml:space="preserve"> </w:t>
      </w:r>
      <w:r w:rsidR="00E172D1">
        <w:t>Tres</w:t>
      </w:r>
      <w:r w:rsidR="006F64F0">
        <w:t xml:space="preserve"> circunstancias explican este comportamiento: </w:t>
      </w:r>
      <w:r w:rsidR="00FD2EAD">
        <w:t>en primer lugar,</w:t>
      </w:r>
      <w:r w:rsidR="006F64F0">
        <w:t xml:space="preserve"> </w:t>
      </w:r>
      <w:r w:rsidR="00BC06BD">
        <w:t xml:space="preserve">antes de </w:t>
      </w:r>
      <w:r w:rsidR="000D6AB0">
        <w:t>mayo</w:t>
      </w:r>
      <w:r w:rsidR="00BC06BD">
        <w:t xml:space="preserve"> de 20</w:t>
      </w:r>
      <w:r w:rsidR="00EA3474">
        <w:t>20</w:t>
      </w:r>
      <w:r w:rsidR="00BC06BD">
        <w:t>, las personas debían acudir a la entidad de origen para solicitar el traslado de sus recurso</w:t>
      </w:r>
      <w:r w:rsidR="00AE0173">
        <w:t>s</w:t>
      </w:r>
      <w:r w:rsidR="00BC06BD">
        <w:t xml:space="preserve">, lo que desincentivaba </w:t>
      </w:r>
      <w:r w:rsidR="009F7163">
        <w:t>el ejercicio de este derecho</w:t>
      </w:r>
      <w:r w:rsidR="00C7535E">
        <w:t xml:space="preserve">. A partir de esa fecha, los afiliados tienen la posibilidad de trasladarse </w:t>
      </w:r>
      <w:r w:rsidR="00C4674C">
        <w:t>ya sea en la Operadora de Pensiones de origen o la de destino, dado el cambio en el esquema de afiliación del Sistema Centralizado de Recaudación de</w:t>
      </w:r>
      <w:r w:rsidR="00FD2EAD">
        <w:t xml:space="preserve"> </w:t>
      </w:r>
      <w:r w:rsidR="00C4674C">
        <w:t>la CCSS</w:t>
      </w:r>
      <w:r w:rsidR="00347166">
        <w:t xml:space="preserve">. Otra razón del incremento observado </w:t>
      </w:r>
      <w:r w:rsidR="0077561E">
        <w:t>a finales de 2020 y en 2021</w:t>
      </w:r>
      <w:r w:rsidR="00C80E13">
        <w:t xml:space="preserve"> ha sido la reactivación de la </w:t>
      </w:r>
      <w:r w:rsidR="009F7163">
        <w:t>actividad económica</w:t>
      </w:r>
      <w:r w:rsidR="0041160C">
        <w:t xml:space="preserve"> y </w:t>
      </w:r>
      <w:r w:rsidR="00C80E13">
        <w:t>el relajamiento de las</w:t>
      </w:r>
      <w:r w:rsidR="00CC006E">
        <w:t xml:space="preserve"> restricciones a la movilidad</w:t>
      </w:r>
      <w:r w:rsidR="006B5743">
        <w:t>, lo que facilita las estrategias comerciales de la Operadoras de Pensiones</w:t>
      </w:r>
      <w:r w:rsidR="00454622">
        <w:t xml:space="preserve">. Por último, </w:t>
      </w:r>
      <w:r w:rsidR="009748E5">
        <w:t>entre mayo y agosto de 2020</w:t>
      </w:r>
      <w:r w:rsidR="00D415C1">
        <w:t xml:space="preserve"> (este efecto se observa en el gráfico tres, en los que la libre transferencia para estos meses es de 0 trasl</w:t>
      </w:r>
      <w:r w:rsidR="003055DB">
        <w:t>a</w:t>
      </w:r>
      <w:r w:rsidR="00D415C1">
        <w:t>dos)</w:t>
      </w:r>
      <w:r w:rsidR="009748E5">
        <w:t>, la libre transferencia fue suspendida para evitar que los afiliados reaccionaran a l</w:t>
      </w:r>
      <w:r w:rsidR="00E172D1">
        <w:t>os efectos de la caída de la rentabilidad de inicio del periodo</w:t>
      </w:r>
      <w:r w:rsidR="003055DB">
        <w:t>; con la reactivación de este proceso en setiembre de 2020</w:t>
      </w:r>
      <w:r w:rsidR="00B21990">
        <w:t xml:space="preserve"> la industria trasladó las solicitudes acumuladas durante </w:t>
      </w:r>
      <w:r w:rsidR="0065777A">
        <w:t>los tres meses suspendidos.</w:t>
      </w:r>
      <w:r w:rsidR="003055DB" w:rsidDel="003055DB">
        <w:t xml:space="preserve"> </w:t>
      </w:r>
    </w:p>
    <w:p w14:paraId="0711C795" w14:textId="50225035" w:rsidR="007051BD" w:rsidRDefault="007051BD" w:rsidP="00F40CD9">
      <w:pPr>
        <w:jc w:val="both"/>
      </w:pPr>
    </w:p>
    <w:p w14:paraId="6400EF26" w14:textId="77777777" w:rsidR="00B23679" w:rsidRDefault="00B23679" w:rsidP="00907667"/>
    <w:p w14:paraId="686729B9" w14:textId="1F391002" w:rsidR="002E03D0" w:rsidRDefault="009574AD" w:rsidP="009D13CA">
      <w:pPr>
        <w:pStyle w:val="Ttulo3"/>
        <w:numPr>
          <w:ilvl w:val="2"/>
          <w:numId w:val="18"/>
        </w:numPr>
      </w:pPr>
      <w:bookmarkStart w:id="10" w:name="_Toc89331000"/>
      <w:r>
        <w:t>Inversiones</w:t>
      </w:r>
      <w:bookmarkEnd w:id="10"/>
    </w:p>
    <w:p w14:paraId="17081649" w14:textId="77777777" w:rsidR="00930EC2" w:rsidRDefault="00930EC2" w:rsidP="009B481B">
      <w:pPr>
        <w:tabs>
          <w:tab w:val="left" w:pos="1560"/>
        </w:tabs>
        <w:jc w:val="both"/>
      </w:pPr>
    </w:p>
    <w:p w14:paraId="0A31219C" w14:textId="02EE3343" w:rsidR="009B481B" w:rsidRPr="007919F2" w:rsidRDefault="009B481B" w:rsidP="009B481B">
      <w:pPr>
        <w:tabs>
          <w:tab w:val="left" w:pos="1560"/>
        </w:tabs>
        <w:jc w:val="both"/>
        <w:rPr>
          <w:color w:val="FF0000"/>
          <w:highlight w:val="yellow"/>
        </w:rPr>
      </w:pPr>
      <w:r w:rsidRPr="005C413A">
        <w:t>El portafolio de las inversiones</w:t>
      </w:r>
      <w:r w:rsidR="00502240">
        <w:rPr>
          <w:rStyle w:val="Refdenotaalpie"/>
        </w:rPr>
        <w:footnoteReference w:id="4"/>
      </w:r>
      <w:r w:rsidRPr="005C413A">
        <w:t xml:space="preserve">  del SNP y el FCL equivale a ₡1</w:t>
      </w:r>
      <w:r w:rsidR="009F288E" w:rsidRPr="005C413A">
        <w:t>7</w:t>
      </w:r>
      <w:r w:rsidRPr="005C413A">
        <w:t>,</w:t>
      </w:r>
      <w:r w:rsidR="007142F7" w:rsidRPr="005C413A">
        <w:t>2</w:t>
      </w:r>
      <w:r w:rsidRPr="005C413A">
        <w:t xml:space="preserve"> billones</w:t>
      </w:r>
      <w:r w:rsidR="00253595">
        <w:t xml:space="preserve"> (cuadro </w:t>
      </w:r>
      <w:r w:rsidR="00AB1084">
        <w:t>4</w:t>
      </w:r>
      <w:r w:rsidR="00253595">
        <w:t>)</w:t>
      </w:r>
      <w:r w:rsidRPr="005C413A">
        <w:t>. Del total de inversiones</w:t>
      </w:r>
      <w:r w:rsidR="00C504DA">
        <w:t>,</w:t>
      </w:r>
      <w:r w:rsidRPr="005C413A">
        <w:t xml:space="preserve"> un 7</w:t>
      </w:r>
      <w:r w:rsidR="007705B8" w:rsidRPr="005C413A">
        <w:t>5</w:t>
      </w:r>
      <w:r w:rsidRPr="005C413A">
        <w:t xml:space="preserve">% está concentrado en el </w:t>
      </w:r>
      <w:r w:rsidR="007705B8" w:rsidRPr="005C413A">
        <w:t>s</w:t>
      </w:r>
      <w:r w:rsidRPr="005C413A">
        <w:t>ector</w:t>
      </w:r>
      <w:r w:rsidR="007705B8" w:rsidRPr="005C413A">
        <w:t xml:space="preserve"> p</w:t>
      </w:r>
      <w:r w:rsidRPr="005C413A">
        <w:t>úbico (₡12,</w:t>
      </w:r>
      <w:r w:rsidR="005C413A" w:rsidRPr="005C413A">
        <w:t>9</w:t>
      </w:r>
      <w:r w:rsidRPr="005C413A">
        <w:t xml:space="preserve"> billones)</w:t>
      </w:r>
      <w:r w:rsidR="00C504DA">
        <w:t>,</w:t>
      </w:r>
      <w:r w:rsidRPr="005C413A">
        <w:t xml:space="preserve"> principalmente en instrumentos del Ministerio de Hacienda.</w:t>
      </w:r>
    </w:p>
    <w:p w14:paraId="19E30EFA" w14:textId="5C3ECA75" w:rsidR="009B481B" w:rsidRDefault="009B481B" w:rsidP="009B481B">
      <w:pPr>
        <w:jc w:val="both"/>
        <w:rPr>
          <w:color w:val="FF0000"/>
          <w:highlight w:val="yellow"/>
        </w:rPr>
      </w:pPr>
    </w:p>
    <w:p w14:paraId="6FE9D78D" w14:textId="78FF287E" w:rsidR="00AB1084" w:rsidRDefault="00AB1084" w:rsidP="009B481B">
      <w:pPr>
        <w:jc w:val="both"/>
        <w:rPr>
          <w:color w:val="FF0000"/>
          <w:highlight w:val="yellow"/>
        </w:rPr>
      </w:pPr>
    </w:p>
    <w:p w14:paraId="6FC155BE" w14:textId="77777777" w:rsidR="00AB1084" w:rsidRPr="007919F2" w:rsidRDefault="00AB1084" w:rsidP="009B481B">
      <w:pPr>
        <w:jc w:val="both"/>
        <w:rPr>
          <w:color w:val="FF0000"/>
          <w:highlight w:val="yellow"/>
        </w:rPr>
      </w:pPr>
    </w:p>
    <w:p w14:paraId="27B6BB44" w14:textId="065DEC4C" w:rsidR="00584743" w:rsidRPr="00A06D77" w:rsidRDefault="00584743">
      <w:pPr>
        <w:rPr>
          <w:rFonts w:ascii="Calibri" w:eastAsia="Times New Roman" w:hAnsi="Calibri" w:cs="Calibri"/>
          <w:b/>
          <w:bCs/>
          <w:lang w:val="es-CR" w:eastAsia="es-CR"/>
        </w:rPr>
      </w:pPr>
      <w:r w:rsidRPr="00A06D77">
        <w:rPr>
          <w:rFonts w:ascii="Calibri" w:eastAsia="Times New Roman" w:hAnsi="Calibri" w:cs="Calibri"/>
          <w:b/>
          <w:bCs/>
          <w:lang w:val="es-CR" w:eastAsia="es-CR"/>
        </w:rPr>
        <w:lastRenderedPageBreak/>
        <w:t xml:space="preserve">Cuadro </w:t>
      </w:r>
      <w:r w:rsidR="00AB1084">
        <w:rPr>
          <w:rFonts w:ascii="Calibri" w:eastAsia="Times New Roman" w:hAnsi="Calibri" w:cs="Calibri"/>
          <w:b/>
          <w:bCs/>
          <w:lang w:val="es-CR" w:eastAsia="es-CR"/>
        </w:rPr>
        <w:t>4</w:t>
      </w:r>
      <w:r w:rsidRPr="00A06D77">
        <w:rPr>
          <w:rFonts w:ascii="Calibri" w:eastAsia="Times New Roman" w:hAnsi="Calibri" w:cs="Calibri"/>
          <w:b/>
          <w:bCs/>
          <w:lang w:val="es-CR" w:eastAsia="es-CR"/>
        </w:rPr>
        <w:t xml:space="preserve">. </w:t>
      </w:r>
    </w:p>
    <w:p w14:paraId="72C37193" w14:textId="283AD85A" w:rsidR="00361A1F" w:rsidRPr="007919F2" w:rsidRDefault="00584743">
      <w:pPr>
        <w:jc w:val="both"/>
        <w:rPr>
          <w:color w:val="FF0000"/>
        </w:rPr>
      </w:pPr>
      <w:r w:rsidRPr="00A06D77">
        <w:rPr>
          <w:rFonts w:ascii="Calibri" w:eastAsia="Times New Roman" w:hAnsi="Calibri" w:cs="Calibri"/>
          <w:b/>
          <w:bCs/>
          <w:lang w:val="es-CR" w:eastAsia="es-CR"/>
        </w:rPr>
        <w:t xml:space="preserve">Sistema Nacional de Pensiones: </w:t>
      </w:r>
      <w:r>
        <w:rPr>
          <w:rFonts w:ascii="Calibri" w:eastAsia="Times New Roman" w:hAnsi="Calibri" w:cs="Calibri"/>
          <w:b/>
          <w:bCs/>
          <w:lang w:val="es-CR" w:eastAsia="es-CR"/>
        </w:rPr>
        <w:t>monto</w:t>
      </w:r>
      <w:r w:rsidRPr="00EB008C">
        <w:rPr>
          <w:rFonts w:ascii="Calibri" w:eastAsia="Times New Roman" w:hAnsi="Calibri" w:cs="Calibri"/>
          <w:b/>
          <w:bCs/>
          <w:vertAlign w:val="superscript"/>
          <w:lang w:val="es-CR" w:eastAsia="es-CR"/>
        </w:rPr>
        <w:t>1/</w:t>
      </w:r>
      <w:r>
        <w:rPr>
          <w:rFonts w:ascii="Calibri" w:eastAsia="Times New Roman" w:hAnsi="Calibri" w:cs="Calibri"/>
          <w:b/>
          <w:bCs/>
          <w:lang w:val="es-CR" w:eastAsia="es-CR"/>
        </w:rPr>
        <w:t xml:space="preserve"> de las </w:t>
      </w:r>
      <w:r w:rsidRPr="00A06D77">
        <w:rPr>
          <w:rFonts w:ascii="Calibri" w:eastAsia="Times New Roman" w:hAnsi="Calibri" w:cs="Calibri"/>
          <w:b/>
          <w:bCs/>
          <w:lang w:val="es-CR" w:eastAsia="es-CR"/>
        </w:rPr>
        <w:t>inversiones</w:t>
      </w:r>
      <w:r>
        <w:rPr>
          <w:rFonts w:ascii="Calibri" w:eastAsia="Times New Roman" w:hAnsi="Calibri" w:cs="Calibri"/>
          <w:b/>
          <w:bCs/>
          <w:lang w:val="es-CR" w:eastAsia="es-CR"/>
        </w:rPr>
        <w:t xml:space="preserve"> </w:t>
      </w:r>
      <w:r w:rsidRPr="00A06D77">
        <w:rPr>
          <w:rFonts w:ascii="Calibri" w:eastAsia="Times New Roman" w:hAnsi="Calibri" w:cs="Calibri"/>
          <w:b/>
          <w:bCs/>
          <w:lang w:val="es-CR" w:eastAsia="es-CR"/>
        </w:rPr>
        <w:t>por régimen según sector, setiembre 2021</w:t>
      </w:r>
    </w:p>
    <w:tbl>
      <w:tblPr>
        <w:tblW w:w="8812" w:type="dxa"/>
        <w:jc w:val="center"/>
        <w:tblCellMar>
          <w:left w:w="70" w:type="dxa"/>
          <w:right w:w="70" w:type="dxa"/>
        </w:tblCellMar>
        <w:tblLook w:val="04A0" w:firstRow="1" w:lastRow="0" w:firstColumn="1" w:lastColumn="0" w:noHBand="0" w:noVBand="1"/>
      </w:tblPr>
      <w:tblGrid>
        <w:gridCol w:w="1843"/>
        <w:gridCol w:w="992"/>
        <w:gridCol w:w="851"/>
        <w:gridCol w:w="1130"/>
        <w:gridCol w:w="850"/>
        <w:gridCol w:w="1134"/>
        <w:gridCol w:w="743"/>
        <w:gridCol w:w="1242"/>
        <w:gridCol w:w="27"/>
      </w:tblGrid>
      <w:tr w:rsidR="00851B9B" w:rsidRPr="00A918AB" w14:paraId="05051341" w14:textId="77777777" w:rsidTr="004D7577">
        <w:trPr>
          <w:gridAfter w:val="1"/>
          <w:wAfter w:w="27" w:type="dxa"/>
          <w:trHeight w:val="315"/>
          <w:jc w:val="center"/>
        </w:trPr>
        <w:tc>
          <w:tcPr>
            <w:tcW w:w="1843" w:type="dxa"/>
            <w:vMerge w:val="restart"/>
            <w:tcBorders>
              <w:top w:val="single" w:sz="4" w:space="0" w:color="auto"/>
            </w:tcBorders>
            <w:shd w:val="clear" w:color="auto" w:fill="auto"/>
            <w:noWrap/>
            <w:vAlign w:val="center"/>
            <w:hideMark/>
          </w:tcPr>
          <w:p w14:paraId="1919267E" w14:textId="5AB671BB" w:rsidR="00851B9B" w:rsidRPr="00A918AB" w:rsidRDefault="00A930F2" w:rsidP="00A918AB">
            <w:pPr>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Régimen</w:t>
            </w:r>
          </w:p>
        </w:tc>
        <w:tc>
          <w:tcPr>
            <w:tcW w:w="1843" w:type="dxa"/>
            <w:gridSpan w:val="2"/>
            <w:tcBorders>
              <w:top w:val="single" w:sz="4" w:space="0" w:color="auto"/>
              <w:bottom w:val="single" w:sz="4" w:space="0" w:color="auto"/>
              <w:right w:val="single" w:sz="18" w:space="0" w:color="FFFFFF" w:themeColor="background1"/>
            </w:tcBorders>
            <w:shd w:val="clear" w:color="auto" w:fill="auto"/>
            <w:noWrap/>
            <w:vAlign w:val="center"/>
            <w:hideMark/>
          </w:tcPr>
          <w:p w14:paraId="74E67155"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Extranjero</w:t>
            </w:r>
          </w:p>
        </w:tc>
        <w:tc>
          <w:tcPr>
            <w:tcW w:w="1980"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noWrap/>
            <w:vAlign w:val="center"/>
            <w:hideMark/>
          </w:tcPr>
          <w:p w14:paraId="4796C79C"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   Privado</w:t>
            </w:r>
          </w:p>
        </w:tc>
        <w:tc>
          <w:tcPr>
            <w:tcW w:w="1877" w:type="dxa"/>
            <w:gridSpan w:val="2"/>
            <w:tcBorders>
              <w:top w:val="single" w:sz="4" w:space="0" w:color="auto"/>
              <w:left w:val="single" w:sz="18" w:space="0" w:color="FFFFFF" w:themeColor="background1"/>
              <w:bottom w:val="single" w:sz="4" w:space="0" w:color="auto"/>
            </w:tcBorders>
            <w:shd w:val="clear" w:color="auto" w:fill="auto"/>
            <w:vAlign w:val="center"/>
            <w:hideMark/>
          </w:tcPr>
          <w:p w14:paraId="7E747DB7"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Público</w:t>
            </w:r>
          </w:p>
        </w:tc>
        <w:tc>
          <w:tcPr>
            <w:tcW w:w="1242" w:type="dxa"/>
            <w:vMerge w:val="restart"/>
            <w:tcBorders>
              <w:top w:val="single" w:sz="4" w:space="0" w:color="auto"/>
            </w:tcBorders>
            <w:shd w:val="clear" w:color="auto" w:fill="auto"/>
            <w:noWrap/>
            <w:vAlign w:val="center"/>
            <w:hideMark/>
          </w:tcPr>
          <w:p w14:paraId="5607D1B6"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Total</w:t>
            </w:r>
          </w:p>
        </w:tc>
      </w:tr>
      <w:tr w:rsidR="00851B9B" w:rsidRPr="00A918AB" w14:paraId="2D8C4289" w14:textId="77777777" w:rsidTr="004D7577">
        <w:trPr>
          <w:gridAfter w:val="1"/>
          <w:wAfter w:w="27" w:type="dxa"/>
          <w:trHeight w:val="315"/>
          <w:jc w:val="center"/>
        </w:trPr>
        <w:tc>
          <w:tcPr>
            <w:tcW w:w="1843" w:type="dxa"/>
            <w:vMerge/>
            <w:tcBorders>
              <w:bottom w:val="single" w:sz="4" w:space="0" w:color="auto"/>
            </w:tcBorders>
            <w:shd w:val="clear" w:color="auto" w:fill="auto"/>
            <w:vAlign w:val="center"/>
            <w:hideMark/>
          </w:tcPr>
          <w:p w14:paraId="2EC059D0" w14:textId="77777777" w:rsidR="00851B9B" w:rsidRPr="00A918AB" w:rsidRDefault="00851B9B" w:rsidP="00A918AB">
            <w:pPr>
              <w:rPr>
                <w:rFonts w:ascii="Calibri" w:eastAsia="Times New Roman" w:hAnsi="Calibri" w:cs="Calibri"/>
                <w:b/>
                <w:bCs/>
                <w:sz w:val="20"/>
                <w:szCs w:val="20"/>
                <w:lang w:val="es-CR" w:eastAsia="es-CR"/>
              </w:rPr>
            </w:pPr>
          </w:p>
        </w:tc>
        <w:tc>
          <w:tcPr>
            <w:tcW w:w="992" w:type="dxa"/>
            <w:tcBorders>
              <w:top w:val="single" w:sz="4" w:space="0" w:color="auto"/>
              <w:bottom w:val="single" w:sz="4" w:space="0" w:color="auto"/>
            </w:tcBorders>
            <w:shd w:val="clear" w:color="auto" w:fill="auto"/>
            <w:noWrap/>
            <w:vAlign w:val="center"/>
            <w:hideMark/>
          </w:tcPr>
          <w:p w14:paraId="2442590E"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Monto</w:t>
            </w:r>
          </w:p>
        </w:tc>
        <w:tc>
          <w:tcPr>
            <w:tcW w:w="851" w:type="dxa"/>
            <w:tcBorders>
              <w:top w:val="single" w:sz="4" w:space="0" w:color="auto"/>
              <w:bottom w:val="single" w:sz="4" w:space="0" w:color="auto"/>
              <w:right w:val="single" w:sz="18" w:space="0" w:color="FFFFFF" w:themeColor="background1"/>
            </w:tcBorders>
            <w:shd w:val="clear" w:color="auto" w:fill="auto"/>
            <w:noWrap/>
            <w:vAlign w:val="center"/>
            <w:hideMark/>
          </w:tcPr>
          <w:p w14:paraId="205F356C"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w:t>
            </w:r>
          </w:p>
        </w:tc>
        <w:tc>
          <w:tcPr>
            <w:tcW w:w="1130" w:type="dxa"/>
            <w:tcBorders>
              <w:top w:val="single" w:sz="4" w:space="0" w:color="auto"/>
              <w:left w:val="single" w:sz="18" w:space="0" w:color="FFFFFF" w:themeColor="background1"/>
              <w:bottom w:val="single" w:sz="4" w:space="0" w:color="auto"/>
            </w:tcBorders>
            <w:shd w:val="clear" w:color="auto" w:fill="auto"/>
            <w:noWrap/>
            <w:vAlign w:val="center"/>
            <w:hideMark/>
          </w:tcPr>
          <w:p w14:paraId="7F9120B6"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Monto</w:t>
            </w:r>
          </w:p>
        </w:tc>
        <w:tc>
          <w:tcPr>
            <w:tcW w:w="850" w:type="dxa"/>
            <w:tcBorders>
              <w:top w:val="single" w:sz="4" w:space="0" w:color="auto"/>
              <w:bottom w:val="single" w:sz="4" w:space="0" w:color="auto"/>
              <w:right w:val="single" w:sz="18" w:space="0" w:color="FFFFFF" w:themeColor="background1"/>
            </w:tcBorders>
            <w:shd w:val="clear" w:color="auto" w:fill="auto"/>
            <w:noWrap/>
            <w:vAlign w:val="center"/>
            <w:hideMark/>
          </w:tcPr>
          <w:p w14:paraId="7DA0D3F5"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w:t>
            </w:r>
          </w:p>
        </w:tc>
        <w:tc>
          <w:tcPr>
            <w:tcW w:w="1134" w:type="dxa"/>
            <w:tcBorders>
              <w:top w:val="single" w:sz="4" w:space="0" w:color="auto"/>
              <w:left w:val="single" w:sz="18" w:space="0" w:color="FFFFFF" w:themeColor="background1"/>
              <w:bottom w:val="single" w:sz="4" w:space="0" w:color="auto"/>
            </w:tcBorders>
            <w:shd w:val="clear" w:color="auto" w:fill="auto"/>
            <w:noWrap/>
            <w:vAlign w:val="center"/>
            <w:hideMark/>
          </w:tcPr>
          <w:p w14:paraId="1DF0694C"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Monto</w:t>
            </w:r>
          </w:p>
        </w:tc>
        <w:tc>
          <w:tcPr>
            <w:tcW w:w="743" w:type="dxa"/>
            <w:tcBorders>
              <w:top w:val="single" w:sz="4" w:space="0" w:color="auto"/>
              <w:bottom w:val="single" w:sz="4" w:space="0" w:color="auto"/>
            </w:tcBorders>
            <w:shd w:val="clear" w:color="auto" w:fill="auto"/>
            <w:noWrap/>
            <w:vAlign w:val="center"/>
            <w:hideMark/>
          </w:tcPr>
          <w:p w14:paraId="2B0455DD"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w:t>
            </w:r>
          </w:p>
        </w:tc>
        <w:tc>
          <w:tcPr>
            <w:tcW w:w="1242" w:type="dxa"/>
            <w:vMerge/>
            <w:tcBorders>
              <w:bottom w:val="single" w:sz="4" w:space="0" w:color="auto"/>
            </w:tcBorders>
            <w:shd w:val="clear" w:color="auto" w:fill="auto"/>
            <w:noWrap/>
            <w:vAlign w:val="center"/>
            <w:hideMark/>
          </w:tcPr>
          <w:p w14:paraId="605EBD2D" w14:textId="3CA50A97" w:rsidR="00851B9B" w:rsidRPr="00A918AB" w:rsidRDefault="00851B9B" w:rsidP="00A918AB">
            <w:pPr>
              <w:jc w:val="center"/>
              <w:rPr>
                <w:rFonts w:ascii="Calibri" w:eastAsia="Times New Roman" w:hAnsi="Calibri" w:cs="Calibri"/>
                <w:b/>
                <w:bCs/>
                <w:sz w:val="20"/>
                <w:szCs w:val="20"/>
                <w:lang w:val="es-CR" w:eastAsia="es-CR"/>
              </w:rPr>
            </w:pPr>
          </w:p>
        </w:tc>
      </w:tr>
      <w:tr w:rsidR="001A0652" w:rsidRPr="00A918AB" w14:paraId="541E8B42" w14:textId="77777777" w:rsidTr="004D7577">
        <w:trPr>
          <w:gridAfter w:val="1"/>
          <w:wAfter w:w="27" w:type="dxa"/>
          <w:trHeight w:val="315"/>
          <w:jc w:val="center"/>
        </w:trPr>
        <w:tc>
          <w:tcPr>
            <w:tcW w:w="1843" w:type="dxa"/>
            <w:tcBorders>
              <w:top w:val="single" w:sz="4" w:space="0" w:color="auto"/>
            </w:tcBorders>
            <w:shd w:val="clear" w:color="auto" w:fill="auto"/>
            <w:noWrap/>
            <w:vAlign w:val="center"/>
            <w:hideMark/>
          </w:tcPr>
          <w:p w14:paraId="78E15DC7" w14:textId="726DDC86"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IVM</w:t>
            </w:r>
          </w:p>
        </w:tc>
        <w:tc>
          <w:tcPr>
            <w:tcW w:w="992" w:type="dxa"/>
            <w:tcBorders>
              <w:top w:val="single" w:sz="4" w:space="0" w:color="auto"/>
            </w:tcBorders>
            <w:shd w:val="clear" w:color="auto" w:fill="auto"/>
            <w:noWrap/>
            <w:vAlign w:val="center"/>
            <w:hideMark/>
          </w:tcPr>
          <w:p w14:paraId="78D79D97"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tcBorders>
              <w:top w:val="single" w:sz="4" w:space="0" w:color="auto"/>
            </w:tcBorders>
            <w:shd w:val="clear" w:color="auto" w:fill="auto"/>
            <w:noWrap/>
            <w:vAlign w:val="center"/>
            <w:hideMark/>
          </w:tcPr>
          <w:p w14:paraId="02C5A544"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1130" w:type="dxa"/>
            <w:tcBorders>
              <w:top w:val="single" w:sz="4" w:space="0" w:color="auto"/>
            </w:tcBorders>
            <w:shd w:val="clear" w:color="auto" w:fill="auto"/>
            <w:noWrap/>
            <w:vAlign w:val="center"/>
            <w:hideMark/>
          </w:tcPr>
          <w:p w14:paraId="7361DB78"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105 460</w:t>
            </w:r>
          </w:p>
        </w:tc>
        <w:tc>
          <w:tcPr>
            <w:tcW w:w="850" w:type="dxa"/>
            <w:tcBorders>
              <w:top w:val="single" w:sz="4" w:space="0" w:color="auto"/>
            </w:tcBorders>
            <w:shd w:val="clear" w:color="auto" w:fill="auto"/>
            <w:noWrap/>
            <w:vAlign w:val="center"/>
            <w:hideMark/>
          </w:tcPr>
          <w:p w14:paraId="0C2D8C86"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3,95%</w:t>
            </w:r>
          </w:p>
        </w:tc>
        <w:tc>
          <w:tcPr>
            <w:tcW w:w="1134" w:type="dxa"/>
            <w:tcBorders>
              <w:top w:val="single" w:sz="4" w:space="0" w:color="auto"/>
            </w:tcBorders>
            <w:shd w:val="clear" w:color="auto" w:fill="auto"/>
            <w:noWrap/>
            <w:vAlign w:val="center"/>
            <w:hideMark/>
          </w:tcPr>
          <w:p w14:paraId="4A74B9E2"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2 564 447</w:t>
            </w:r>
          </w:p>
        </w:tc>
        <w:tc>
          <w:tcPr>
            <w:tcW w:w="743" w:type="dxa"/>
            <w:tcBorders>
              <w:top w:val="single" w:sz="4" w:space="0" w:color="auto"/>
            </w:tcBorders>
            <w:shd w:val="clear" w:color="auto" w:fill="auto"/>
            <w:noWrap/>
            <w:vAlign w:val="center"/>
            <w:hideMark/>
          </w:tcPr>
          <w:p w14:paraId="7B0BFEB2"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96,05%</w:t>
            </w:r>
          </w:p>
        </w:tc>
        <w:tc>
          <w:tcPr>
            <w:tcW w:w="1242" w:type="dxa"/>
            <w:tcBorders>
              <w:top w:val="single" w:sz="4" w:space="0" w:color="auto"/>
            </w:tcBorders>
            <w:shd w:val="clear" w:color="auto" w:fill="auto"/>
            <w:noWrap/>
            <w:vAlign w:val="center"/>
            <w:hideMark/>
          </w:tcPr>
          <w:p w14:paraId="1636EC93"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2 669 906</w:t>
            </w:r>
          </w:p>
        </w:tc>
      </w:tr>
      <w:tr w:rsidR="00A918AB" w:rsidRPr="00A918AB" w14:paraId="213382CC" w14:textId="77777777" w:rsidTr="004D7577">
        <w:trPr>
          <w:trHeight w:val="315"/>
          <w:jc w:val="center"/>
        </w:trPr>
        <w:tc>
          <w:tcPr>
            <w:tcW w:w="8812" w:type="dxa"/>
            <w:gridSpan w:val="9"/>
            <w:shd w:val="clear" w:color="auto" w:fill="auto"/>
            <w:noWrap/>
            <w:vAlign w:val="center"/>
            <w:hideMark/>
          </w:tcPr>
          <w:p w14:paraId="32D1443C" w14:textId="6511AEDA"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Básicos Sustitutos</w:t>
            </w:r>
          </w:p>
        </w:tc>
      </w:tr>
      <w:tr w:rsidR="001A0652" w:rsidRPr="00A918AB" w14:paraId="17DCB88E" w14:textId="77777777" w:rsidTr="004D7577">
        <w:trPr>
          <w:gridAfter w:val="1"/>
          <w:wAfter w:w="27" w:type="dxa"/>
          <w:trHeight w:val="315"/>
          <w:jc w:val="center"/>
        </w:trPr>
        <w:tc>
          <w:tcPr>
            <w:tcW w:w="1843" w:type="dxa"/>
            <w:shd w:val="clear" w:color="auto" w:fill="auto"/>
            <w:noWrap/>
            <w:vAlign w:val="center"/>
            <w:hideMark/>
          </w:tcPr>
          <w:p w14:paraId="502D8D25" w14:textId="77777777" w:rsidR="00A918AB" w:rsidRPr="00A918AB" w:rsidRDefault="00A918AB" w:rsidP="00A918AB">
            <w:pPr>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     RCCMN</w:t>
            </w:r>
          </w:p>
        </w:tc>
        <w:tc>
          <w:tcPr>
            <w:tcW w:w="992" w:type="dxa"/>
            <w:shd w:val="clear" w:color="auto" w:fill="auto"/>
            <w:noWrap/>
            <w:vAlign w:val="center"/>
            <w:hideMark/>
          </w:tcPr>
          <w:p w14:paraId="7E8CB7C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shd w:val="clear" w:color="auto" w:fill="auto"/>
            <w:noWrap/>
            <w:vAlign w:val="center"/>
            <w:hideMark/>
          </w:tcPr>
          <w:p w14:paraId="777255D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0,00%</w:t>
            </w:r>
          </w:p>
        </w:tc>
        <w:tc>
          <w:tcPr>
            <w:tcW w:w="1130" w:type="dxa"/>
            <w:shd w:val="clear" w:color="auto" w:fill="auto"/>
            <w:noWrap/>
            <w:vAlign w:val="center"/>
            <w:hideMark/>
          </w:tcPr>
          <w:p w14:paraId="78549E6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456 649</w:t>
            </w:r>
          </w:p>
        </w:tc>
        <w:tc>
          <w:tcPr>
            <w:tcW w:w="850" w:type="dxa"/>
            <w:shd w:val="clear" w:color="auto" w:fill="auto"/>
            <w:noWrap/>
            <w:vAlign w:val="center"/>
            <w:hideMark/>
          </w:tcPr>
          <w:p w14:paraId="614CD7C3"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13,50%</w:t>
            </w:r>
          </w:p>
        </w:tc>
        <w:tc>
          <w:tcPr>
            <w:tcW w:w="1134" w:type="dxa"/>
            <w:shd w:val="clear" w:color="auto" w:fill="auto"/>
            <w:noWrap/>
            <w:vAlign w:val="center"/>
            <w:hideMark/>
          </w:tcPr>
          <w:p w14:paraId="5BFE3CAA"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2 925 357</w:t>
            </w:r>
          </w:p>
        </w:tc>
        <w:tc>
          <w:tcPr>
            <w:tcW w:w="743" w:type="dxa"/>
            <w:shd w:val="clear" w:color="auto" w:fill="auto"/>
            <w:noWrap/>
            <w:vAlign w:val="center"/>
            <w:hideMark/>
          </w:tcPr>
          <w:p w14:paraId="436A2405"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86,50%</w:t>
            </w:r>
          </w:p>
        </w:tc>
        <w:tc>
          <w:tcPr>
            <w:tcW w:w="1242" w:type="dxa"/>
            <w:shd w:val="clear" w:color="auto" w:fill="auto"/>
            <w:noWrap/>
            <w:vAlign w:val="center"/>
            <w:hideMark/>
          </w:tcPr>
          <w:p w14:paraId="59F49A9F"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3 382 006</w:t>
            </w:r>
          </w:p>
        </w:tc>
      </w:tr>
      <w:tr w:rsidR="00461656" w:rsidRPr="00A918AB" w14:paraId="1A0EAFD6" w14:textId="77777777" w:rsidTr="004D7577">
        <w:trPr>
          <w:gridAfter w:val="1"/>
          <w:wAfter w:w="27" w:type="dxa"/>
          <w:trHeight w:val="315"/>
          <w:jc w:val="center"/>
        </w:trPr>
        <w:tc>
          <w:tcPr>
            <w:tcW w:w="1843" w:type="dxa"/>
            <w:shd w:val="clear" w:color="auto" w:fill="auto"/>
            <w:noWrap/>
            <w:vAlign w:val="center"/>
            <w:hideMark/>
          </w:tcPr>
          <w:p w14:paraId="09A0DD8E" w14:textId="77777777" w:rsidR="00A918AB" w:rsidRPr="00A918AB" w:rsidRDefault="00A918AB" w:rsidP="00A918AB">
            <w:pPr>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     FPJ</w:t>
            </w:r>
          </w:p>
        </w:tc>
        <w:tc>
          <w:tcPr>
            <w:tcW w:w="992" w:type="dxa"/>
            <w:shd w:val="clear" w:color="auto" w:fill="auto"/>
            <w:noWrap/>
            <w:vAlign w:val="center"/>
            <w:hideMark/>
          </w:tcPr>
          <w:p w14:paraId="7B604C60"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shd w:val="clear" w:color="auto" w:fill="auto"/>
            <w:noWrap/>
            <w:vAlign w:val="center"/>
            <w:hideMark/>
          </w:tcPr>
          <w:p w14:paraId="385EFD2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0,00%</w:t>
            </w:r>
          </w:p>
        </w:tc>
        <w:tc>
          <w:tcPr>
            <w:tcW w:w="1130" w:type="dxa"/>
            <w:shd w:val="clear" w:color="auto" w:fill="auto"/>
            <w:noWrap/>
            <w:vAlign w:val="center"/>
            <w:hideMark/>
          </w:tcPr>
          <w:p w14:paraId="2F21B760"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130 428</w:t>
            </w:r>
          </w:p>
        </w:tc>
        <w:tc>
          <w:tcPr>
            <w:tcW w:w="850" w:type="dxa"/>
            <w:shd w:val="clear" w:color="auto" w:fill="auto"/>
            <w:noWrap/>
            <w:vAlign w:val="center"/>
            <w:hideMark/>
          </w:tcPr>
          <w:p w14:paraId="3B84B64A"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19,11%</w:t>
            </w:r>
          </w:p>
        </w:tc>
        <w:tc>
          <w:tcPr>
            <w:tcW w:w="1134" w:type="dxa"/>
            <w:shd w:val="clear" w:color="auto" w:fill="auto"/>
            <w:noWrap/>
            <w:vAlign w:val="center"/>
            <w:hideMark/>
          </w:tcPr>
          <w:p w14:paraId="6D521B9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552 010</w:t>
            </w:r>
          </w:p>
        </w:tc>
        <w:tc>
          <w:tcPr>
            <w:tcW w:w="743" w:type="dxa"/>
            <w:shd w:val="clear" w:color="auto" w:fill="auto"/>
            <w:noWrap/>
            <w:vAlign w:val="center"/>
            <w:hideMark/>
          </w:tcPr>
          <w:p w14:paraId="01FA0AA4"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80,89%</w:t>
            </w:r>
          </w:p>
        </w:tc>
        <w:tc>
          <w:tcPr>
            <w:tcW w:w="1242" w:type="dxa"/>
            <w:shd w:val="clear" w:color="auto" w:fill="auto"/>
            <w:noWrap/>
            <w:vAlign w:val="center"/>
            <w:hideMark/>
          </w:tcPr>
          <w:p w14:paraId="7076D678"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682 438</w:t>
            </w:r>
          </w:p>
        </w:tc>
      </w:tr>
      <w:tr w:rsidR="001A0652" w:rsidRPr="00A918AB" w14:paraId="51E1DCF1" w14:textId="77777777" w:rsidTr="004D7577">
        <w:trPr>
          <w:gridAfter w:val="1"/>
          <w:wAfter w:w="27" w:type="dxa"/>
          <w:trHeight w:val="315"/>
          <w:jc w:val="center"/>
        </w:trPr>
        <w:tc>
          <w:tcPr>
            <w:tcW w:w="1843" w:type="dxa"/>
            <w:shd w:val="clear" w:color="auto" w:fill="auto"/>
            <w:noWrap/>
            <w:vAlign w:val="center"/>
            <w:hideMark/>
          </w:tcPr>
          <w:p w14:paraId="407C610F" w14:textId="77777777" w:rsidR="00A918AB" w:rsidRPr="00A918AB" w:rsidRDefault="00A918AB" w:rsidP="00A918AB">
            <w:pPr>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     FBOMBEROS</w:t>
            </w:r>
          </w:p>
        </w:tc>
        <w:tc>
          <w:tcPr>
            <w:tcW w:w="992" w:type="dxa"/>
            <w:shd w:val="clear" w:color="auto" w:fill="auto"/>
            <w:noWrap/>
            <w:vAlign w:val="center"/>
            <w:hideMark/>
          </w:tcPr>
          <w:p w14:paraId="7EA45EC0"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shd w:val="clear" w:color="auto" w:fill="auto"/>
            <w:noWrap/>
            <w:vAlign w:val="center"/>
            <w:hideMark/>
          </w:tcPr>
          <w:p w14:paraId="02D3F7F2"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0,00%</w:t>
            </w:r>
          </w:p>
        </w:tc>
        <w:tc>
          <w:tcPr>
            <w:tcW w:w="1130" w:type="dxa"/>
            <w:shd w:val="clear" w:color="auto" w:fill="auto"/>
            <w:noWrap/>
            <w:vAlign w:val="center"/>
            <w:hideMark/>
          </w:tcPr>
          <w:p w14:paraId="18DBACB3"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19 322</w:t>
            </w:r>
          </w:p>
        </w:tc>
        <w:tc>
          <w:tcPr>
            <w:tcW w:w="850" w:type="dxa"/>
            <w:shd w:val="clear" w:color="auto" w:fill="auto"/>
            <w:noWrap/>
            <w:vAlign w:val="center"/>
            <w:hideMark/>
          </w:tcPr>
          <w:p w14:paraId="3E7D01D5"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37,46%</w:t>
            </w:r>
          </w:p>
        </w:tc>
        <w:tc>
          <w:tcPr>
            <w:tcW w:w="1134" w:type="dxa"/>
            <w:shd w:val="clear" w:color="auto" w:fill="auto"/>
            <w:noWrap/>
            <w:vAlign w:val="center"/>
            <w:hideMark/>
          </w:tcPr>
          <w:p w14:paraId="5CBC18B3"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32 255</w:t>
            </w:r>
          </w:p>
        </w:tc>
        <w:tc>
          <w:tcPr>
            <w:tcW w:w="743" w:type="dxa"/>
            <w:shd w:val="clear" w:color="auto" w:fill="auto"/>
            <w:noWrap/>
            <w:vAlign w:val="center"/>
            <w:hideMark/>
          </w:tcPr>
          <w:p w14:paraId="370C807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62,54%</w:t>
            </w:r>
          </w:p>
        </w:tc>
        <w:tc>
          <w:tcPr>
            <w:tcW w:w="1242" w:type="dxa"/>
            <w:shd w:val="clear" w:color="auto" w:fill="auto"/>
            <w:noWrap/>
            <w:vAlign w:val="center"/>
            <w:hideMark/>
          </w:tcPr>
          <w:p w14:paraId="75A83ABA"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51 577</w:t>
            </w:r>
          </w:p>
        </w:tc>
      </w:tr>
      <w:tr w:rsidR="00461656" w:rsidRPr="00A918AB" w14:paraId="0F140EE6" w14:textId="77777777" w:rsidTr="004D7577">
        <w:trPr>
          <w:gridAfter w:val="1"/>
          <w:wAfter w:w="27" w:type="dxa"/>
          <w:trHeight w:val="315"/>
          <w:jc w:val="center"/>
        </w:trPr>
        <w:tc>
          <w:tcPr>
            <w:tcW w:w="1843" w:type="dxa"/>
            <w:shd w:val="clear" w:color="auto" w:fill="auto"/>
            <w:noWrap/>
            <w:vAlign w:val="center"/>
            <w:hideMark/>
          </w:tcPr>
          <w:p w14:paraId="60E5EEA1" w14:textId="1313B010"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Ocupacionales</w:t>
            </w:r>
          </w:p>
        </w:tc>
        <w:tc>
          <w:tcPr>
            <w:tcW w:w="992" w:type="dxa"/>
            <w:shd w:val="clear" w:color="auto" w:fill="auto"/>
            <w:noWrap/>
            <w:vAlign w:val="center"/>
            <w:hideMark/>
          </w:tcPr>
          <w:p w14:paraId="70007199"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919</w:t>
            </w:r>
          </w:p>
        </w:tc>
        <w:tc>
          <w:tcPr>
            <w:tcW w:w="851" w:type="dxa"/>
            <w:shd w:val="clear" w:color="auto" w:fill="auto"/>
            <w:noWrap/>
            <w:vAlign w:val="center"/>
            <w:hideMark/>
          </w:tcPr>
          <w:p w14:paraId="5C12F5FD"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0,09%</w:t>
            </w:r>
          </w:p>
        </w:tc>
        <w:tc>
          <w:tcPr>
            <w:tcW w:w="1130" w:type="dxa"/>
            <w:shd w:val="clear" w:color="auto" w:fill="auto"/>
            <w:noWrap/>
            <w:vAlign w:val="center"/>
            <w:hideMark/>
          </w:tcPr>
          <w:p w14:paraId="5E73CB0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201 564</w:t>
            </w:r>
          </w:p>
        </w:tc>
        <w:tc>
          <w:tcPr>
            <w:tcW w:w="850" w:type="dxa"/>
            <w:shd w:val="clear" w:color="auto" w:fill="auto"/>
            <w:noWrap/>
            <w:vAlign w:val="center"/>
            <w:hideMark/>
          </w:tcPr>
          <w:p w14:paraId="1B414090"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20,31%</w:t>
            </w:r>
          </w:p>
        </w:tc>
        <w:tc>
          <w:tcPr>
            <w:tcW w:w="1134" w:type="dxa"/>
            <w:shd w:val="clear" w:color="auto" w:fill="auto"/>
            <w:noWrap/>
            <w:vAlign w:val="center"/>
            <w:hideMark/>
          </w:tcPr>
          <w:p w14:paraId="3156867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789 864</w:t>
            </w:r>
          </w:p>
        </w:tc>
        <w:tc>
          <w:tcPr>
            <w:tcW w:w="743" w:type="dxa"/>
            <w:shd w:val="clear" w:color="auto" w:fill="auto"/>
            <w:noWrap/>
            <w:vAlign w:val="center"/>
            <w:hideMark/>
          </w:tcPr>
          <w:p w14:paraId="5F706462"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79,60%</w:t>
            </w:r>
          </w:p>
        </w:tc>
        <w:tc>
          <w:tcPr>
            <w:tcW w:w="1242" w:type="dxa"/>
            <w:shd w:val="clear" w:color="auto" w:fill="auto"/>
            <w:noWrap/>
            <w:vAlign w:val="center"/>
            <w:hideMark/>
          </w:tcPr>
          <w:p w14:paraId="75C7DA7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992 347</w:t>
            </w:r>
          </w:p>
        </w:tc>
      </w:tr>
      <w:tr w:rsidR="001A0652" w:rsidRPr="00A918AB" w14:paraId="12281878" w14:textId="77777777" w:rsidTr="004D7577">
        <w:trPr>
          <w:gridAfter w:val="1"/>
          <w:wAfter w:w="27" w:type="dxa"/>
          <w:trHeight w:val="315"/>
          <w:jc w:val="center"/>
        </w:trPr>
        <w:tc>
          <w:tcPr>
            <w:tcW w:w="1843" w:type="dxa"/>
            <w:shd w:val="clear" w:color="auto" w:fill="auto"/>
            <w:noWrap/>
            <w:vAlign w:val="center"/>
            <w:hideMark/>
          </w:tcPr>
          <w:p w14:paraId="0F8C4C20" w14:textId="74BE2B99"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R</w:t>
            </w:r>
            <w:r w:rsidR="00880D6D">
              <w:rPr>
                <w:rFonts w:ascii="Calibri" w:eastAsia="Times New Roman" w:hAnsi="Calibri" w:cs="Calibri"/>
                <w:b/>
                <w:bCs/>
                <w:sz w:val="20"/>
                <w:szCs w:val="20"/>
                <w:lang w:val="es-CR" w:eastAsia="es-CR"/>
              </w:rPr>
              <w:t>OP</w:t>
            </w:r>
          </w:p>
        </w:tc>
        <w:tc>
          <w:tcPr>
            <w:tcW w:w="992" w:type="dxa"/>
            <w:shd w:val="clear" w:color="auto" w:fill="auto"/>
            <w:noWrap/>
            <w:vAlign w:val="center"/>
            <w:hideMark/>
          </w:tcPr>
          <w:p w14:paraId="14510E7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2 307 291</w:t>
            </w:r>
          </w:p>
        </w:tc>
        <w:tc>
          <w:tcPr>
            <w:tcW w:w="851" w:type="dxa"/>
            <w:shd w:val="clear" w:color="auto" w:fill="auto"/>
            <w:noWrap/>
            <w:vAlign w:val="center"/>
            <w:hideMark/>
          </w:tcPr>
          <w:p w14:paraId="04A3BBFA"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27,20%</w:t>
            </w:r>
          </w:p>
        </w:tc>
        <w:tc>
          <w:tcPr>
            <w:tcW w:w="1130" w:type="dxa"/>
            <w:shd w:val="clear" w:color="auto" w:fill="auto"/>
            <w:noWrap/>
            <w:vAlign w:val="center"/>
            <w:hideMark/>
          </w:tcPr>
          <w:p w14:paraId="186F1EC5"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774 899</w:t>
            </w:r>
          </w:p>
        </w:tc>
        <w:tc>
          <w:tcPr>
            <w:tcW w:w="850" w:type="dxa"/>
            <w:shd w:val="clear" w:color="auto" w:fill="auto"/>
            <w:noWrap/>
            <w:vAlign w:val="center"/>
            <w:hideMark/>
          </w:tcPr>
          <w:p w14:paraId="79FC20D6"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9,13%</w:t>
            </w:r>
          </w:p>
        </w:tc>
        <w:tc>
          <w:tcPr>
            <w:tcW w:w="1134" w:type="dxa"/>
            <w:shd w:val="clear" w:color="auto" w:fill="auto"/>
            <w:noWrap/>
            <w:vAlign w:val="center"/>
            <w:hideMark/>
          </w:tcPr>
          <w:p w14:paraId="5884B790"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5 401 827</w:t>
            </w:r>
          </w:p>
        </w:tc>
        <w:tc>
          <w:tcPr>
            <w:tcW w:w="743" w:type="dxa"/>
            <w:shd w:val="clear" w:color="auto" w:fill="auto"/>
            <w:noWrap/>
            <w:vAlign w:val="center"/>
            <w:hideMark/>
          </w:tcPr>
          <w:p w14:paraId="7682F909"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63,67%</w:t>
            </w:r>
          </w:p>
        </w:tc>
        <w:tc>
          <w:tcPr>
            <w:tcW w:w="1242" w:type="dxa"/>
            <w:shd w:val="clear" w:color="auto" w:fill="auto"/>
            <w:noWrap/>
            <w:vAlign w:val="center"/>
            <w:hideMark/>
          </w:tcPr>
          <w:p w14:paraId="1998B36D"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8 484 016</w:t>
            </w:r>
          </w:p>
        </w:tc>
      </w:tr>
      <w:tr w:rsidR="00461656" w:rsidRPr="00A918AB" w14:paraId="7F73EB32" w14:textId="77777777" w:rsidTr="004D7577">
        <w:trPr>
          <w:gridAfter w:val="1"/>
          <w:wAfter w:w="27" w:type="dxa"/>
          <w:trHeight w:val="315"/>
          <w:jc w:val="center"/>
        </w:trPr>
        <w:tc>
          <w:tcPr>
            <w:tcW w:w="1843" w:type="dxa"/>
            <w:shd w:val="clear" w:color="auto" w:fill="auto"/>
            <w:noWrap/>
            <w:vAlign w:val="center"/>
            <w:hideMark/>
          </w:tcPr>
          <w:p w14:paraId="273F6C17" w14:textId="0C1ADA19"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Voluntario</w:t>
            </w:r>
          </w:p>
        </w:tc>
        <w:tc>
          <w:tcPr>
            <w:tcW w:w="992" w:type="dxa"/>
            <w:shd w:val="clear" w:color="auto" w:fill="auto"/>
            <w:noWrap/>
            <w:vAlign w:val="center"/>
            <w:hideMark/>
          </w:tcPr>
          <w:p w14:paraId="4722868C"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76 799</w:t>
            </w:r>
          </w:p>
        </w:tc>
        <w:tc>
          <w:tcPr>
            <w:tcW w:w="851" w:type="dxa"/>
            <w:shd w:val="clear" w:color="auto" w:fill="auto"/>
            <w:noWrap/>
            <w:vAlign w:val="center"/>
            <w:hideMark/>
          </w:tcPr>
          <w:p w14:paraId="12907AAF"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16,09%</w:t>
            </w:r>
          </w:p>
        </w:tc>
        <w:tc>
          <w:tcPr>
            <w:tcW w:w="1130" w:type="dxa"/>
            <w:shd w:val="clear" w:color="auto" w:fill="auto"/>
            <w:noWrap/>
            <w:vAlign w:val="center"/>
            <w:hideMark/>
          </w:tcPr>
          <w:p w14:paraId="4BBF4C89"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84 610</w:t>
            </w:r>
          </w:p>
        </w:tc>
        <w:tc>
          <w:tcPr>
            <w:tcW w:w="850" w:type="dxa"/>
            <w:shd w:val="clear" w:color="auto" w:fill="auto"/>
            <w:noWrap/>
            <w:vAlign w:val="center"/>
            <w:hideMark/>
          </w:tcPr>
          <w:p w14:paraId="04E8101F"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17,73%</w:t>
            </w:r>
          </w:p>
        </w:tc>
        <w:tc>
          <w:tcPr>
            <w:tcW w:w="1134" w:type="dxa"/>
            <w:shd w:val="clear" w:color="auto" w:fill="auto"/>
            <w:noWrap/>
            <w:vAlign w:val="center"/>
            <w:hideMark/>
          </w:tcPr>
          <w:p w14:paraId="55BF1B66"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315 861</w:t>
            </w:r>
          </w:p>
        </w:tc>
        <w:tc>
          <w:tcPr>
            <w:tcW w:w="743" w:type="dxa"/>
            <w:shd w:val="clear" w:color="auto" w:fill="auto"/>
            <w:noWrap/>
            <w:vAlign w:val="center"/>
            <w:hideMark/>
          </w:tcPr>
          <w:p w14:paraId="1F8B035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66,18%</w:t>
            </w:r>
          </w:p>
        </w:tc>
        <w:tc>
          <w:tcPr>
            <w:tcW w:w="1242" w:type="dxa"/>
            <w:shd w:val="clear" w:color="auto" w:fill="auto"/>
            <w:noWrap/>
            <w:vAlign w:val="center"/>
            <w:hideMark/>
          </w:tcPr>
          <w:p w14:paraId="330C71B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477 270</w:t>
            </w:r>
          </w:p>
        </w:tc>
      </w:tr>
      <w:tr w:rsidR="001A0652" w:rsidRPr="00A918AB" w14:paraId="6F58684B" w14:textId="77777777" w:rsidTr="004D7577">
        <w:trPr>
          <w:gridAfter w:val="1"/>
          <w:wAfter w:w="27" w:type="dxa"/>
          <w:trHeight w:val="315"/>
          <w:jc w:val="center"/>
        </w:trPr>
        <w:tc>
          <w:tcPr>
            <w:tcW w:w="1843" w:type="dxa"/>
            <w:tcBorders>
              <w:bottom w:val="single" w:sz="4" w:space="0" w:color="auto"/>
            </w:tcBorders>
            <w:shd w:val="clear" w:color="auto" w:fill="auto"/>
            <w:noWrap/>
            <w:vAlign w:val="center"/>
            <w:hideMark/>
          </w:tcPr>
          <w:p w14:paraId="1D12DC52" w14:textId="4C4B22EB"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F</w:t>
            </w:r>
            <w:r w:rsidR="00880D6D">
              <w:rPr>
                <w:rFonts w:ascii="Calibri" w:eastAsia="Times New Roman" w:hAnsi="Calibri" w:cs="Calibri"/>
                <w:b/>
                <w:bCs/>
                <w:sz w:val="20"/>
                <w:szCs w:val="20"/>
                <w:lang w:val="es-CR" w:eastAsia="es-CR"/>
              </w:rPr>
              <w:t>CL</w:t>
            </w:r>
          </w:p>
        </w:tc>
        <w:tc>
          <w:tcPr>
            <w:tcW w:w="992" w:type="dxa"/>
            <w:tcBorders>
              <w:bottom w:val="single" w:sz="4" w:space="0" w:color="auto"/>
            </w:tcBorders>
            <w:shd w:val="clear" w:color="auto" w:fill="auto"/>
            <w:noWrap/>
            <w:vAlign w:val="center"/>
            <w:hideMark/>
          </w:tcPr>
          <w:p w14:paraId="779AF2B4" w14:textId="3DCF2D42"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76 4</w:t>
            </w:r>
            <w:r w:rsidR="00036631">
              <w:rPr>
                <w:rFonts w:ascii="Calibri" w:eastAsia="Times New Roman" w:hAnsi="Calibri" w:cs="Calibri"/>
                <w:sz w:val="20"/>
                <w:szCs w:val="20"/>
                <w:lang w:val="es-CR" w:eastAsia="es-CR"/>
              </w:rPr>
              <w:t xml:space="preserve"> </w:t>
            </w:r>
            <w:r w:rsidRPr="00A918AB">
              <w:rPr>
                <w:rFonts w:ascii="Calibri" w:eastAsia="Times New Roman" w:hAnsi="Calibri" w:cs="Calibri"/>
                <w:sz w:val="20"/>
                <w:szCs w:val="20"/>
                <w:lang w:val="es-CR" w:eastAsia="es-CR"/>
              </w:rPr>
              <w:t>98</w:t>
            </w:r>
          </w:p>
        </w:tc>
        <w:tc>
          <w:tcPr>
            <w:tcW w:w="851" w:type="dxa"/>
            <w:tcBorders>
              <w:bottom w:val="single" w:sz="4" w:space="0" w:color="auto"/>
            </w:tcBorders>
            <w:shd w:val="clear" w:color="auto" w:fill="auto"/>
            <w:noWrap/>
            <w:vAlign w:val="center"/>
            <w:hideMark/>
          </w:tcPr>
          <w:p w14:paraId="0E5DD715"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15,02%</w:t>
            </w:r>
          </w:p>
        </w:tc>
        <w:tc>
          <w:tcPr>
            <w:tcW w:w="1130" w:type="dxa"/>
            <w:tcBorders>
              <w:bottom w:val="single" w:sz="4" w:space="0" w:color="auto"/>
            </w:tcBorders>
            <w:shd w:val="clear" w:color="auto" w:fill="auto"/>
            <w:noWrap/>
            <w:vAlign w:val="center"/>
            <w:hideMark/>
          </w:tcPr>
          <w:p w14:paraId="4111057D"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74 069</w:t>
            </w:r>
          </w:p>
        </w:tc>
        <w:tc>
          <w:tcPr>
            <w:tcW w:w="850" w:type="dxa"/>
            <w:tcBorders>
              <w:bottom w:val="single" w:sz="4" w:space="0" w:color="auto"/>
            </w:tcBorders>
            <w:shd w:val="clear" w:color="auto" w:fill="auto"/>
            <w:noWrap/>
            <w:vAlign w:val="center"/>
            <w:hideMark/>
          </w:tcPr>
          <w:p w14:paraId="450C637A"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14,54%</w:t>
            </w:r>
          </w:p>
        </w:tc>
        <w:tc>
          <w:tcPr>
            <w:tcW w:w="1134" w:type="dxa"/>
            <w:tcBorders>
              <w:bottom w:val="single" w:sz="4" w:space="0" w:color="auto"/>
            </w:tcBorders>
            <w:shd w:val="clear" w:color="auto" w:fill="auto"/>
            <w:noWrap/>
            <w:vAlign w:val="center"/>
            <w:hideMark/>
          </w:tcPr>
          <w:p w14:paraId="07511BB6"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358 680</w:t>
            </w:r>
          </w:p>
        </w:tc>
        <w:tc>
          <w:tcPr>
            <w:tcW w:w="743" w:type="dxa"/>
            <w:tcBorders>
              <w:bottom w:val="single" w:sz="4" w:space="0" w:color="auto"/>
            </w:tcBorders>
            <w:shd w:val="clear" w:color="auto" w:fill="auto"/>
            <w:noWrap/>
            <w:vAlign w:val="center"/>
            <w:hideMark/>
          </w:tcPr>
          <w:p w14:paraId="4DA0C72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70,43%</w:t>
            </w:r>
          </w:p>
        </w:tc>
        <w:tc>
          <w:tcPr>
            <w:tcW w:w="1242" w:type="dxa"/>
            <w:tcBorders>
              <w:bottom w:val="single" w:sz="4" w:space="0" w:color="auto"/>
            </w:tcBorders>
            <w:shd w:val="clear" w:color="auto" w:fill="auto"/>
            <w:noWrap/>
            <w:vAlign w:val="center"/>
            <w:hideMark/>
          </w:tcPr>
          <w:p w14:paraId="2C05A359"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509 247</w:t>
            </w:r>
          </w:p>
        </w:tc>
      </w:tr>
      <w:tr w:rsidR="00461656" w:rsidRPr="00A918AB" w14:paraId="78A5E71A" w14:textId="77777777" w:rsidTr="004D7577">
        <w:trPr>
          <w:gridAfter w:val="1"/>
          <w:wAfter w:w="27" w:type="dxa"/>
          <w:trHeight w:val="330"/>
          <w:jc w:val="center"/>
        </w:trPr>
        <w:tc>
          <w:tcPr>
            <w:tcW w:w="1843" w:type="dxa"/>
            <w:tcBorders>
              <w:top w:val="single" w:sz="4" w:space="0" w:color="auto"/>
              <w:bottom w:val="single" w:sz="4" w:space="0" w:color="auto"/>
            </w:tcBorders>
            <w:shd w:val="clear" w:color="auto" w:fill="auto"/>
            <w:noWrap/>
            <w:vAlign w:val="center"/>
            <w:hideMark/>
          </w:tcPr>
          <w:p w14:paraId="2DA5F2B8"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Total</w:t>
            </w:r>
          </w:p>
        </w:tc>
        <w:tc>
          <w:tcPr>
            <w:tcW w:w="992" w:type="dxa"/>
            <w:tcBorders>
              <w:top w:val="single" w:sz="4" w:space="0" w:color="auto"/>
              <w:bottom w:val="single" w:sz="4" w:space="0" w:color="auto"/>
            </w:tcBorders>
            <w:shd w:val="clear" w:color="auto" w:fill="auto"/>
            <w:noWrap/>
            <w:vAlign w:val="center"/>
            <w:hideMark/>
          </w:tcPr>
          <w:p w14:paraId="525D3EDB" w14:textId="631ACDAE"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2 461</w:t>
            </w:r>
            <w:r w:rsidR="006D281E">
              <w:rPr>
                <w:rFonts w:ascii="Calibri" w:eastAsia="Times New Roman" w:hAnsi="Calibri" w:cs="Calibri"/>
                <w:b/>
                <w:bCs/>
                <w:sz w:val="20"/>
                <w:szCs w:val="20"/>
                <w:lang w:val="es-CR" w:eastAsia="es-CR"/>
              </w:rPr>
              <w:t> </w:t>
            </w:r>
            <w:r w:rsidRPr="00A918AB">
              <w:rPr>
                <w:rFonts w:ascii="Calibri" w:eastAsia="Times New Roman" w:hAnsi="Calibri" w:cs="Calibri"/>
                <w:b/>
                <w:bCs/>
                <w:sz w:val="20"/>
                <w:szCs w:val="20"/>
                <w:lang w:val="es-CR" w:eastAsia="es-CR"/>
              </w:rPr>
              <w:t>507</w:t>
            </w:r>
          </w:p>
        </w:tc>
        <w:tc>
          <w:tcPr>
            <w:tcW w:w="851" w:type="dxa"/>
            <w:tcBorders>
              <w:top w:val="single" w:sz="4" w:space="0" w:color="auto"/>
              <w:bottom w:val="single" w:sz="4" w:space="0" w:color="auto"/>
            </w:tcBorders>
            <w:shd w:val="clear" w:color="auto" w:fill="auto"/>
            <w:noWrap/>
            <w:vAlign w:val="center"/>
            <w:hideMark/>
          </w:tcPr>
          <w:p w14:paraId="5E41325F" w14:textId="77777777"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14,27%</w:t>
            </w:r>
          </w:p>
        </w:tc>
        <w:tc>
          <w:tcPr>
            <w:tcW w:w="1130" w:type="dxa"/>
            <w:tcBorders>
              <w:top w:val="single" w:sz="4" w:space="0" w:color="auto"/>
              <w:bottom w:val="single" w:sz="4" w:space="0" w:color="auto"/>
            </w:tcBorders>
            <w:shd w:val="clear" w:color="auto" w:fill="auto"/>
            <w:noWrap/>
            <w:vAlign w:val="center"/>
            <w:hideMark/>
          </w:tcPr>
          <w:p w14:paraId="0636460D" w14:textId="4E5434E8"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1 847</w:t>
            </w:r>
            <w:r w:rsidR="006D281E">
              <w:rPr>
                <w:rFonts w:ascii="Calibri" w:eastAsia="Times New Roman" w:hAnsi="Calibri" w:cs="Calibri"/>
                <w:b/>
                <w:bCs/>
                <w:sz w:val="20"/>
                <w:szCs w:val="20"/>
                <w:lang w:val="es-CR" w:eastAsia="es-CR"/>
              </w:rPr>
              <w:t> </w:t>
            </w:r>
            <w:r w:rsidRPr="00A918AB">
              <w:rPr>
                <w:rFonts w:ascii="Calibri" w:eastAsia="Times New Roman" w:hAnsi="Calibri" w:cs="Calibri"/>
                <w:b/>
                <w:bCs/>
                <w:sz w:val="20"/>
                <w:szCs w:val="20"/>
                <w:lang w:val="es-CR" w:eastAsia="es-CR"/>
              </w:rPr>
              <w:t>000</w:t>
            </w:r>
          </w:p>
        </w:tc>
        <w:tc>
          <w:tcPr>
            <w:tcW w:w="850" w:type="dxa"/>
            <w:tcBorders>
              <w:top w:val="single" w:sz="4" w:space="0" w:color="auto"/>
              <w:bottom w:val="single" w:sz="4" w:space="0" w:color="auto"/>
            </w:tcBorders>
            <w:shd w:val="clear" w:color="auto" w:fill="auto"/>
            <w:noWrap/>
            <w:vAlign w:val="center"/>
            <w:hideMark/>
          </w:tcPr>
          <w:p w14:paraId="6B2A0489" w14:textId="77777777"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10,71%</w:t>
            </w:r>
          </w:p>
        </w:tc>
        <w:tc>
          <w:tcPr>
            <w:tcW w:w="1134" w:type="dxa"/>
            <w:tcBorders>
              <w:top w:val="single" w:sz="4" w:space="0" w:color="auto"/>
              <w:bottom w:val="single" w:sz="4" w:space="0" w:color="auto"/>
            </w:tcBorders>
            <w:shd w:val="clear" w:color="auto" w:fill="auto"/>
            <w:noWrap/>
            <w:vAlign w:val="center"/>
            <w:hideMark/>
          </w:tcPr>
          <w:p w14:paraId="45FCF53A" w14:textId="062CD017"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12 940</w:t>
            </w:r>
            <w:r w:rsidR="006D281E">
              <w:rPr>
                <w:rFonts w:ascii="Calibri" w:eastAsia="Times New Roman" w:hAnsi="Calibri" w:cs="Calibri"/>
                <w:b/>
                <w:bCs/>
                <w:sz w:val="20"/>
                <w:szCs w:val="20"/>
                <w:lang w:val="es-CR" w:eastAsia="es-CR"/>
              </w:rPr>
              <w:t> </w:t>
            </w:r>
            <w:r w:rsidRPr="00A918AB">
              <w:rPr>
                <w:rFonts w:ascii="Calibri" w:eastAsia="Times New Roman" w:hAnsi="Calibri" w:cs="Calibri"/>
                <w:b/>
                <w:bCs/>
                <w:sz w:val="20"/>
                <w:szCs w:val="20"/>
                <w:lang w:val="es-CR" w:eastAsia="es-CR"/>
              </w:rPr>
              <w:t>301</w:t>
            </w:r>
          </w:p>
        </w:tc>
        <w:tc>
          <w:tcPr>
            <w:tcW w:w="743" w:type="dxa"/>
            <w:tcBorders>
              <w:top w:val="single" w:sz="4" w:space="0" w:color="auto"/>
              <w:bottom w:val="single" w:sz="4" w:space="0" w:color="auto"/>
            </w:tcBorders>
            <w:shd w:val="clear" w:color="auto" w:fill="auto"/>
            <w:noWrap/>
            <w:vAlign w:val="center"/>
            <w:hideMark/>
          </w:tcPr>
          <w:p w14:paraId="14589CD9" w14:textId="77777777"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75,02%</w:t>
            </w:r>
          </w:p>
        </w:tc>
        <w:tc>
          <w:tcPr>
            <w:tcW w:w="1242" w:type="dxa"/>
            <w:tcBorders>
              <w:top w:val="single" w:sz="4" w:space="0" w:color="auto"/>
              <w:bottom w:val="single" w:sz="4" w:space="0" w:color="auto"/>
            </w:tcBorders>
            <w:shd w:val="clear" w:color="auto" w:fill="auto"/>
            <w:noWrap/>
            <w:vAlign w:val="center"/>
            <w:hideMark/>
          </w:tcPr>
          <w:p w14:paraId="2685DE17" w14:textId="77777777" w:rsidR="00A918AB" w:rsidRPr="00A918AB" w:rsidRDefault="00A918AB" w:rsidP="00A918AB">
            <w:pPr>
              <w:jc w:val="right"/>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17 248 808</w:t>
            </w:r>
          </w:p>
        </w:tc>
      </w:tr>
    </w:tbl>
    <w:p w14:paraId="1C2530D3" w14:textId="77777777" w:rsidR="00584743" w:rsidRDefault="00584743">
      <w:pPr>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Fuente: elaboración propia.</w:t>
      </w:r>
    </w:p>
    <w:p w14:paraId="4990ED50" w14:textId="31A0608B" w:rsidR="003C66BC" w:rsidRDefault="00584743">
      <w:pPr>
        <w:jc w:val="both"/>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1/ En millones de colones.</w:t>
      </w:r>
    </w:p>
    <w:p w14:paraId="053385A2" w14:textId="77777777" w:rsidR="00AB1084" w:rsidRDefault="00AB1084" w:rsidP="00F40CD9">
      <w:pPr>
        <w:jc w:val="both"/>
      </w:pPr>
    </w:p>
    <w:p w14:paraId="2B58AAE5" w14:textId="6703507C" w:rsidR="00D82067" w:rsidRDefault="00BA12A9" w:rsidP="00F40CD9">
      <w:pPr>
        <w:jc w:val="both"/>
      </w:pPr>
      <w:r>
        <w:t>Al cierre de</w:t>
      </w:r>
      <w:r w:rsidR="00EB30D2">
        <w:t>l tercer trimestre, el</w:t>
      </w:r>
      <w:r w:rsidR="00DC38B3">
        <w:t xml:space="preserve"> FRCCMN no </w:t>
      </w:r>
      <w:r w:rsidR="0034392B">
        <w:t>contaba con la posibilidad de invertir</w:t>
      </w:r>
      <w:r w:rsidR="00DC38B3">
        <w:t xml:space="preserve"> en mercados internacionales, de con</w:t>
      </w:r>
      <w:r w:rsidR="008628EF">
        <w:t xml:space="preserve">formidad con la limitación legal </w:t>
      </w:r>
      <w:r w:rsidR="00405A9D">
        <w:t xml:space="preserve">contenida en la </w:t>
      </w:r>
      <w:r w:rsidR="006F5904" w:rsidRPr="006F5904">
        <w:t>Ley de Pensiones y Jubilaciones del Magisterio Nacional</w:t>
      </w:r>
      <w:r w:rsidR="006F5904">
        <w:t xml:space="preserve"> (</w:t>
      </w:r>
      <w:r w:rsidR="00264F10">
        <w:t>L</w:t>
      </w:r>
      <w:r w:rsidR="00405A9D">
        <w:t>ey</w:t>
      </w:r>
      <w:r w:rsidR="00A1682C">
        <w:t xml:space="preserve"> 2248</w:t>
      </w:r>
      <w:r w:rsidR="006F5904">
        <w:t>)</w:t>
      </w:r>
      <w:r w:rsidR="00EB30D2">
        <w:t>, sin embargo</w:t>
      </w:r>
      <w:r w:rsidR="00B55D34">
        <w:t xml:space="preserve">, </w:t>
      </w:r>
      <w:r w:rsidR="00076111">
        <w:t>el p</w:t>
      </w:r>
      <w:r w:rsidR="00076111" w:rsidRPr="00076111">
        <w:t>royecto de ley 22</w:t>
      </w:r>
      <w:r w:rsidR="00D42C5E">
        <w:t>.</w:t>
      </w:r>
      <w:r w:rsidR="00076111" w:rsidRPr="00076111">
        <w:t>179</w:t>
      </w:r>
      <w:r w:rsidR="0072337B">
        <w:t xml:space="preserve"> (Reforma de</w:t>
      </w:r>
      <w:r w:rsidR="00076111" w:rsidRPr="00076111">
        <w:t xml:space="preserve"> la ley </w:t>
      </w:r>
      <w:r w:rsidR="00A64BA4">
        <w:t>N°</w:t>
      </w:r>
      <w:r w:rsidR="00076111" w:rsidRPr="00076111">
        <w:t>7531</w:t>
      </w:r>
      <w:r w:rsidR="00A64BA4">
        <w:t xml:space="preserve"> del sistema de pensiones y jubilaciones del Magisterio Nacional)</w:t>
      </w:r>
      <w:r w:rsidR="00264F10">
        <w:t xml:space="preserve"> </w:t>
      </w:r>
      <w:r w:rsidR="00AD7848">
        <w:t>fue</w:t>
      </w:r>
      <w:r w:rsidR="00AD4167">
        <w:t xml:space="preserve"> firmado como ley de la República el pasado 5 de noviembre</w:t>
      </w:r>
      <w:r w:rsidR="00AD7848">
        <w:t xml:space="preserve">, con </w:t>
      </w:r>
      <w:r w:rsidR="00822C4C">
        <w:t>lo que se</w:t>
      </w:r>
      <w:r w:rsidR="00EA7691">
        <w:t xml:space="preserve"> permitir</w:t>
      </w:r>
      <w:r w:rsidR="00CD3F39">
        <w:t>ía</w:t>
      </w:r>
      <w:r w:rsidR="00EA7691">
        <w:t xml:space="preserve"> a la Junta de Pensiones y Ju</w:t>
      </w:r>
      <w:r w:rsidR="00CD3F39">
        <w:t>bilaciones del Magisterio Nacional</w:t>
      </w:r>
      <w:r w:rsidR="00A63A38">
        <w:t xml:space="preserve"> invertir hasta un </w:t>
      </w:r>
      <w:r w:rsidR="005F2582">
        <w:t>20%</w:t>
      </w:r>
      <w:r w:rsidR="00A63A38">
        <w:t xml:space="preserve"> de los recursos del fondo en mercados extranjeros</w:t>
      </w:r>
      <w:r w:rsidR="005A4E93">
        <w:rPr>
          <w:rStyle w:val="Refdenotaalpie"/>
        </w:rPr>
        <w:footnoteReference w:id="5"/>
      </w:r>
      <w:r w:rsidR="00A63A38">
        <w:t xml:space="preserve">. </w:t>
      </w:r>
    </w:p>
    <w:p w14:paraId="17371782" w14:textId="77777777" w:rsidR="006F5904" w:rsidRDefault="006F5904" w:rsidP="00F40CD9">
      <w:pPr>
        <w:jc w:val="both"/>
      </w:pPr>
    </w:p>
    <w:p w14:paraId="0E09F69D" w14:textId="0651AAA6" w:rsidR="00F53832" w:rsidRDefault="00F26920" w:rsidP="00F40CD9">
      <w:pPr>
        <w:jc w:val="both"/>
      </w:pPr>
      <w:r>
        <w:t>Las Operadoras de Pensiones han seguido estrategia</w:t>
      </w:r>
      <w:r w:rsidR="00F81836">
        <w:t>s</w:t>
      </w:r>
      <w:r>
        <w:t xml:space="preserve"> de asignaci</w:t>
      </w:r>
      <w:r w:rsidR="00744BDB">
        <w:t xml:space="preserve">ón de inversiones en mercados internacionales, </w:t>
      </w:r>
      <w:r w:rsidR="00F81836">
        <w:t>lo que produce un aumento en l</w:t>
      </w:r>
      <w:r w:rsidR="002E0024">
        <w:t>as posiciones en dólares con respecto a los activos totales del fondo</w:t>
      </w:r>
      <w:r w:rsidR="0075104F">
        <w:t>.</w:t>
      </w:r>
      <w:r w:rsidR="009360BF">
        <w:t xml:space="preserve"> </w:t>
      </w:r>
    </w:p>
    <w:p w14:paraId="2555FA9C" w14:textId="5474A6BC" w:rsidR="00AB1084" w:rsidRDefault="00AB1084">
      <w:pPr>
        <w:spacing w:after="200" w:line="276" w:lineRule="auto"/>
      </w:pPr>
      <w:r>
        <w:br w:type="page"/>
      </w:r>
    </w:p>
    <w:p w14:paraId="53B5A5CA" w14:textId="23416F2E" w:rsidR="00390BF3" w:rsidRDefault="00390BF3" w:rsidP="009D13CA">
      <w:pPr>
        <w:pStyle w:val="Ttulo3"/>
        <w:numPr>
          <w:ilvl w:val="2"/>
          <w:numId w:val="18"/>
        </w:numPr>
      </w:pPr>
      <w:bookmarkStart w:id="11" w:name="_Toc89331001"/>
      <w:r>
        <w:lastRenderedPageBreak/>
        <w:t>Rentabilidad</w:t>
      </w:r>
      <w:bookmarkEnd w:id="11"/>
    </w:p>
    <w:p w14:paraId="65BDCDFB" w14:textId="50BCC3DE" w:rsidR="00390BF3" w:rsidRDefault="00390BF3" w:rsidP="00390BF3"/>
    <w:p w14:paraId="13D9278C" w14:textId="001CA0BA" w:rsidR="006B61A5" w:rsidRPr="00EB5F86" w:rsidRDefault="00691EAB" w:rsidP="006B61A5">
      <w:pPr>
        <w:jc w:val="both"/>
      </w:pPr>
      <w:r>
        <w:t>A pesar de la</w:t>
      </w:r>
      <w:r w:rsidR="00257C5E">
        <w:t xml:space="preserve"> caída de los mercados internacionales a finales de setiembre</w:t>
      </w:r>
      <w:r w:rsidR="009A4CD7" w:rsidRPr="009A4CD7">
        <w:t xml:space="preserve"> </w:t>
      </w:r>
      <w:r w:rsidR="009A4CD7">
        <w:t>observada en setiembre (afectados p</w:t>
      </w:r>
      <w:r w:rsidR="009A4CD7" w:rsidRPr="00B03651">
        <w:t>or perspectiva</w:t>
      </w:r>
      <w:r w:rsidR="009A4CD7">
        <w:t xml:space="preserve">s de retiro de los estímulos monetarios en próximos meses de parte de </w:t>
      </w:r>
      <w:r w:rsidR="009A4CD7" w:rsidRPr="00B03651">
        <w:t>la Reserva Federal</w:t>
      </w:r>
      <w:r w:rsidR="009A4CD7">
        <w:t xml:space="preserve"> y temor sobre el contagio sistémico por la incapacidad de pago a acreedores del segundo operador inmobiliario chino)</w:t>
      </w:r>
      <w:r w:rsidR="00257C5E">
        <w:t xml:space="preserve">, </w:t>
      </w:r>
      <w:r w:rsidR="008839DB">
        <w:t>el resto d</w:t>
      </w:r>
      <w:r w:rsidR="006B61A5" w:rsidRPr="00942B2B">
        <w:t>el 2021</w:t>
      </w:r>
      <w:r w:rsidR="008839DB">
        <w:t xml:space="preserve"> mantuvo </w:t>
      </w:r>
      <w:r w:rsidR="00C07DB6">
        <w:t>una</w:t>
      </w:r>
      <w:r w:rsidR="008839DB">
        <w:t xml:space="preserve"> tendencia al</w:t>
      </w:r>
      <w:r w:rsidR="00BB0072">
        <w:t xml:space="preserve"> alza</w:t>
      </w:r>
      <w:r w:rsidR="00257C5E">
        <w:t>,</w:t>
      </w:r>
      <w:r w:rsidR="006B61A5" w:rsidRPr="00942B2B">
        <w:t xml:space="preserve"> favoreciendo la rentabilidad de los fondos </w:t>
      </w:r>
      <w:r w:rsidR="00C07DB6">
        <w:t>de pensiones</w:t>
      </w:r>
      <w:r w:rsidR="006B61A5">
        <w:t>.</w:t>
      </w:r>
      <w:r w:rsidR="00F31E09">
        <w:t xml:space="preserve"> </w:t>
      </w:r>
      <w:r w:rsidR="00F31E09" w:rsidRPr="00EB5F86">
        <w:t>Este es el caso del ROP</w:t>
      </w:r>
      <w:r w:rsidR="00540C4E" w:rsidRPr="00EB5F86">
        <w:t xml:space="preserve"> (gráfico </w:t>
      </w:r>
      <w:r w:rsidR="001E25DA">
        <w:t>4</w:t>
      </w:r>
      <w:r w:rsidR="00540C4E" w:rsidRPr="00EB5F86">
        <w:t>).</w:t>
      </w:r>
    </w:p>
    <w:p w14:paraId="0CCED870" w14:textId="77777777" w:rsidR="006B61A5" w:rsidRPr="00EB5F86" w:rsidRDefault="006B61A5" w:rsidP="006B61A5">
      <w:pPr>
        <w:jc w:val="both"/>
      </w:pPr>
    </w:p>
    <w:p w14:paraId="3CC940C5" w14:textId="2D1C30B3" w:rsidR="009D33F8" w:rsidRDefault="00D31211" w:rsidP="00E459A7">
      <w:pPr>
        <w:jc w:val="both"/>
      </w:pPr>
      <w:r w:rsidRPr="00EB5F86">
        <w:t xml:space="preserve">En el mercado local, </w:t>
      </w:r>
      <w:r w:rsidR="00BC52D3" w:rsidRPr="00EB5F86">
        <w:t>desde</w:t>
      </w:r>
      <w:r w:rsidRPr="00EB5F86">
        <w:t xml:space="preserve"> finales de junio </w:t>
      </w:r>
      <w:r w:rsidR="00DF2A4B" w:rsidRPr="00EB5F86">
        <w:t xml:space="preserve">hasta el cierre </w:t>
      </w:r>
      <w:r w:rsidRPr="00EB5F86">
        <w:t xml:space="preserve">de setiembre </w:t>
      </w:r>
      <w:r w:rsidR="00DF2A4B" w:rsidRPr="00EB5F86">
        <w:t xml:space="preserve">se </w:t>
      </w:r>
      <w:r w:rsidRPr="00EB5F86">
        <w:t>presentaron desplazamientos hacia abajo en todos los plazos de las curvas en colones</w:t>
      </w:r>
      <w:r w:rsidR="00EE1789" w:rsidRPr="00EB5F86">
        <w:rPr>
          <w:rStyle w:val="Refdenotaalpie"/>
        </w:rPr>
        <w:footnoteReference w:id="6"/>
      </w:r>
      <w:r w:rsidRPr="00EB5F86">
        <w:t>, afectando de manera positiva el valor de las inversiones locales de los portafolios de pensiones.</w:t>
      </w:r>
    </w:p>
    <w:p w14:paraId="2D8520C4" w14:textId="77777777" w:rsidR="00DF2A4B" w:rsidRDefault="00DF2A4B" w:rsidP="00E459A7">
      <w:pPr>
        <w:jc w:val="both"/>
      </w:pPr>
    </w:p>
    <w:p w14:paraId="7C86AB53" w14:textId="16A7EB80" w:rsidR="00803B09" w:rsidRDefault="009D33F8" w:rsidP="00803B09">
      <w:pPr>
        <w:contextualSpacing/>
        <w:jc w:val="both"/>
        <w:rPr>
          <w:b/>
          <w:bCs/>
          <w:lang w:val="es-CR"/>
        </w:rPr>
      </w:pPr>
      <w:r w:rsidRPr="009D33F8">
        <w:rPr>
          <w:b/>
          <w:bCs/>
          <w:lang w:val="es-CR"/>
        </w:rPr>
        <w:t xml:space="preserve">Gráfico </w:t>
      </w:r>
      <w:r w:rsidR="001E25DA">
        <w:rPr>
          <w:b/>
          <w:bCs/>
          <w:lang w:val="es-CR"/>
        </w:rPr>
        <w:t>4</w:t>
      </w:r>
      <w:r w:rsidRPr="009D33F8">
        <w:rPr>
          <w:b/>
          <w:bCs/>
          <w:lang w:val="es-CR"/>
        </w:rPr>
        <w:t>.</w:t>
      </w:r>
    </w:p>
    <w:p w14:paraId="5837F844" w14:textId="6C1D9EDE" w:rsidR="00803B09" w:rsidRPr="009D33F8" w:rsidRDefault="009D33F8" w:rsidP="00803B09">
      <w:pPr>
        <w:contextualSpacing/>
        <w:jc w:val="both"/>
        <w:rPr>
          <w:b/>
          <w:bCs/>
          <w:lang w:val="es-CR"/>
        </w:rPr>
      </w:pPr>
      <w:r w:rsidRPr="009D33F8">
        <w:rPr>
          <w:b/>
          <w:bCs/>
          <w:lang w:val="es-CR"/>
        </w:rPr>
        <w:t>ROP: rendimiento a 10 años por OPC, octubre 2020 a setiembre 2021</w:t>
      </w:r>
    </w:p>
    <w:p w14:paraId="7380E88F" w14:textId="476492B9" w:rsidR="00803B09" w:rsidRDefault="00803B09" w:rsidP="00803B09">
      <w:pPr>
        <w:contextualSpacing/>
        <w:jc w:val="both"/>
        <w:rPr>
          <w:b/>
          <w:bCs/>
          <w:lang w:val="es-CR"/>
        </w:rPr>
      </w:pPr>
      <w:r>
        <w:rPr>
          <w:noProof/>
        </w:rPr>
        <w:drawing>
          <wp:anchor distT="0" distB="0" distL="114300" distR="114300" simplePos="0" relativeHeight="251661312" behindDoc="1" locked="0" layoutInCell="1" allowOverlap="1" wp14:anchorId="01E7A6BC" wp14:editId="7DEDB8F1">
            <wp:simplePos x="0" y="0"/>
            <wp:positionH relativeFrom="margin">
              <wp:align>left</wp:align>
            </wp:positionH>
            <wp:positionV relativeFrom="paragraph">
              <wp:posOffset>156210</wp:posOffset>
            </wp:positionV>
            <wp:extent cx="5425440" cy="2432050"/>
            <wp:effectExtent l="0" t="0" r="3810" b="6350"/>
            <wp:wrapThrough wrapText="bothSides">
              <wp:wrapPolygon edited="0">
                <wp:start x="0" y="0"/>
                <wp:lineTo x="0" y="21487"/>
                <wp:lineTo x="21539" y="21487"/>
                <wp:lineTo x="21539" y="0"/>
                <wp:lineTo x="0" y="0"/>
              </wp:wrapPolygon>
            </wp:wrapThrough>
            <wp:docPr id="2" name="Gráfico 2">
              <a:extLst xmlns:a="http://schemas.openxmlformats.org/drawingml/2006/main">
                <a:ext uri="{FF2B5EF4-FFF2-40B4-BE49-F238E27FC236}">
                  <a16:creationId xmlns:a16="http://schemas.microsoft.com/office/drawing/2014/main" id="{DE4F1C14-3B5E-43C4-B4DE-A787B41A0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05F0ED4C" w14:textId="77777777" w:rsidR="00803B09" w:rsidRDefault="00803B09" w:rsidP="00803B09">
      <w:pPr>
        <w:contextualSpacing/>
        <w:jc w:val="both"/>
        <w:rPr>
          <w:b/>
          <w:bCs/>
          <w:lang w:val="es-CR"/>
        </w:rPr>
      </w:pPr>
    </w:p>
    <w:p w14:paraId="60F63DD4" w14:textId="77777777" w:rsidR="00803B09" w:rsidRDefault="00803B09" w:rsidP="00803B09">
      <w:pPr>
        <w:contextualSpacing/>
        <w:jc w:val="both"/>
        <w:rPr>
          <w:b/>
          <w:bCs/>
          <w:lang w:val="es-CR"/>
        </w:rPr>
      </w:pPr>
    </w:p>
    <w:p w14:paraId="0B9A32B0" w14:textId="77777777" w:rsidR="00803B09" w:rsidRDefault="00803B09" w:rsidP="00803B09">
      <w:pPr>
        <w:contextualSpacing/>
        <w:jc w:val="both"/>
        <w:rPr>
          <w:b/>
          <w:bCs/>
          <w:lang w:val="es-CR"/>
        </w:rPr>
      </w:pPr>
    </w:p>
    <w:p w14:paraId="06B9F612" w14:textId="77777777" w:rsidR="00803B09" w:rsidRDefault="00803B09" w:rsidP="00803B09">
      <w:pPr>
        <w:contextualSpacing/>
        <w:jc w:val="both"/>
        <w:rPr>
          <w:b/>
          <w:bCs/>
          <w:lang w:val="es-CR"/>
        </w:rPr>
      </w:pPr>
    </w:p>
    <w:p w14:paraId="55DF79D2" w14:textId="77777777" w:rsidR="00803B09" w:rsidRDefault="00803B09" w:rsidP="00803B09">
      <w:pPr>
        <w:contextualSpacing/>
        <w:jc w:val="both"/>
        <w:rPr>
          <w:b/>
          <w:bCs/>
          <w:lang w:val="es-CR"/>
        </w:rPr>
      </w:pPr>
    </w:p>
    <w:p w14:paraId="417E07FE" w14:textId="77777777" w:rsidR="00803B09" w:rsidRDefault="00803B09" w:rsidP="00803B09">
      <w:pPr>
        <w:contextualSpacing/>
        <w:jc w:val="both"/>
        <w:rPr>
          <w:b/>
          <w:bCs/>
          <w:lang w:val="es-CR"/>
        </w:rPr>
      </w:pPr>
    </w:p>
    <w:p w14:paraId="3AACF3BE" w14:textId="77777777" w:rsidR="00803B09" w:rsidRDefault="00803B09" w:rsidP="00803B09">
      <w:pPr>
        <w:contextualSpacing/>
        <w:jc w:val="both"/>
        <w:rPr>
          <w:b/>
          <w:bCs/>
          <w:lang w:val="es-CR"/>
        </w:rPr>
      </w:pPr>
    </w:p>
    <w:p w14:paraId="2A017FC9" w14:textId="77777777" w:rsidR="00803B09" w:rsidRDefault="00803B09" w:rsidP="00803B09">
      <w:pPr>
        <w:contextualSpacing/>
        <w:jc w:val="both"/>
        <w:rPr>
          <w:b/>
          <w:bCs/>
          <w:lang w:val="es-CR"/>
        </w:rPr>
      </w:pPr>
    </w:p>
    <w:p w14:paraId="2FC36D07" w14:textId="77777777" w:rsidR="00803B09" w:rsidRDefault="00803B09" w:rsidP="00803B09">
      <w:pPr>
        <w:contextualSpacing/>
        <w:jc w:val="both"/>
        <w:rPr>
          <w:b/>
          <w:bCs/>
          <w:lang w:val="es-CR"/>
        </w:rPr>
      </w:pPr>
    </w:p>
    <w:p w14:paraId="19FC26DD" w14:textId="77777777" w:rsidR="00803B09" w:rsidRDefault="00803B09" w:rsidP="00803B09">
      <w:pPr>
        <w:contextualSpacing/>
        <w:jc w:val="both"/>
        <w:rPr>
          <w:b/>
          <w:bCs/>
          <w:lang w:val="es-CR"/>
        </w:rPr>
      </w:pPr>
    </w:p>
    <w:p w14:paraId="4DE8D205" w14:textId="77777777" w:rsidR="00803B09" w:rsidRDefault="00803B09" w:rsidP="00803B09">
      <w:pPr>
        <w:contextualSpacing/>
        <w:jc w:val="both"/>
        <w:rPr>
          <w:b/>
          <w:bCs/>
          <w:lang w:val="es-CR"/>
        </w:rPr>
      </w:pPr>
    </w:p>
    <w:p w14:paraId="2FC8FF88" w14:textId="77777777" w:rsidR="00803B09" w:rsidRDefault="00803B09" w:rsidP="00803B09">
      <w:pPr>
        <w:contextualSpacing/>
        <w:jc w:val="both"/>
        <w:rPr>
          <w:b/>
          <w:bCs/>
          <w:lang w:val="es-CR"/>
        </w:rPr>
      </w:pPr>
    </w:p>
    <w:p w14:paraId="0FE3DE37" w14:textId="77777777" w:rsidR="00803B09" w:rsidRDefault="00803B09" w:rsidP="00803B09">
      <w:pPr>
        <w:contextualSpacing/>
        <w:jc w:val="both"/>
        <w:rPr>
          <w:b/>
          <w:bCs/>
          <w:lang w:val="es-CR"/>
        </w:rPr>
      </w:pPr>
    </w:p>
    <w:p w14:paraId="6693DB0D" w14:textId="77777777" w:rsidR="00803B09" w:rsidRDefault="00803B09" w:rsidP="00803B09">
      <w:pPr>
        <w:contextualSpacing/>
        <w:jc w:val="both"/>
        <w:rPr>
          <w:b/>
          <w:bCs/>
          <w:lang w:val="es-CR"/>
        </w:rPr>
      </w:pPr>
    </w:p>
    <w:p w14:paraId="2359F69E" w14:textId="77777777" w:rsidR="00CE09A6" w:rsidRDefault="00CE09A6" w:rsidP="009D33F8">
      <w:pPr>
        <w:rPr>
          <w:b/>
          <w:bCs/>
          <w:lang w:val="es-CR"/>
        </w:rPr>
      </w:pPr>
    </w:p>
    <w:p w14:paraId="2FBE771F" w14:textId="471247D1" w:rsidR="009D33F8" w:rsidRPr="00E12EFC" w:rsidRDefault="009D33F8" w:rsidP="009D33F8">
      <w:pPr>
        <w:rPr>
          <w:b/>
          <w:bCs/>
          <w:sz w:val="18"/>
          <w:szCs w:val="18"/>
        </w:rPr>
      </w:pPr>
      <w:r w:rsidRPr="00E12EFC">
        <w:rPr>
          <w:b/>
          <w:bCs/>
          <w:sz w:val="18"/>
          <w:szCs w:val="18"/>
        </w:rPr>
        <w:t>Fuente: elaboración propia.</w:t>
      </w:r>
    </w:p>
    <w:p w14:paraId="6B256634" w14:textId="77777777" w:rsidR="009D33F8" w:rsidRPr="009D33F8" w:rsidRDefault="009D33F8" w:rsidP="00426BA4">
      <w:pPr>
        <w:jc w:val="both"/>
        <w:rPr>
          <w:b/>
          <w:bCs/>
        </w:rPr>
      </w:pPr>
    </w:p>
    <w:p w14:paraId="14BC3E89" w14:textId="77777777" w:rsidR="00F338A7" w:rsidRDefault="006245BE" w:rsidP="00841903">
      <w:pPr>
        <w:pStyle w:val="Ttulo2"/>
        <w:numPr>
          <w:ilvl w:val="1"/>
          <w:numId w:val="18"/>
        </w:numPr>
        <w:ind w:left="709" w:hanging="709"/>
      </w:pPr>
      <w:bookmarkStart w:id="12" w:name="_Toc89331002"/>
      <w:r>
        <w:t>Desempeño de los gestores</w:t>
      </w:r>
      <w:bookmarkEnd w:id="12"/>
    </w:p>
    <w:p w14:paraId="626CB771" w14:textId="3D023090" w:rsidR="006245BE" w:rsidRPr="004539A2" w:rsidRDefault="006245BE" w:rsidP="004539A2"/>
    <w:p w14:paraId="1B936C44" w14:textId="511046A1" w:rsidR="00E86441" w:rsidRDefault="00E86441" w:rsidP="009C24DE">
      <w:pPr>
        <w:jc w:val="both"/>
        <w:rPr>
          <w:rFonts w:cstheme="minorHAnsi"/>
        </w:rPr>
      </w:pPr>
    </w:p>
    <w:p w14:paraId="5D969DC8" w14:textId="2F4BE6E2" w:rsidR="004B2733" w:rsidRDefault="00E86441" w:rsidP="6722EBE6">
      <w:pPr>
        <w:jc w:val="both"/>
      </w:pPr>
      <w:r w:rsidRPr="6722EBE6">
        <w:t xml:space="preserve">El resultado de las operadoras de pensiones complementarias </w:t>
      </w:r>
      <w:r w:rsidR="003356E0" w:rsidRPr="6722EBE6">
        <w:t xml:space="preserve">a setiembre </w:t>
      </w:r>
      <w:r w:rsidRPr="6722EBE6">
        <w:t>muestra una recuperación con respecto a</w:t>
      </w:r>
      <w:r w:rsidR="009722E8" w:rsidRPr="6722EBE6">
        <w:t>l</w:t>
      </w:r>
      <w:r w:rsidRPr="6722EBE6">
        <w:t xml:space="preserve"> 2020</w:t>
      </w:r>
      <w:r w:rsidR="006A2434" w:rsidRPr="6722EBE6">
        <w:t xml:space="preserve"> (cuadro</w:t>
      </w:r>
      <w:r w:rsidR="00C35DBB">
        <w:t xml:space="preserve"> 5</w:t>
      </w:r>
      <w:r w:rsidR="006A2434" w:rsidRPr="6722EBE6">
        <w:t>)</w:t>
      </w:r>
      <w:r w:rsidRPr="6722EBE6">
        <w:t>, a pesar de la disminución de los ingresos operativos (</w:t>
      </w:r>
      <w:r w:rsidR="00B31C5C" w:rsidRPr="6722EBE6">
        <w:t>el cobr</w:t>
      </w:r>
      <w:r w:rsidRPr="6722EBE6">
        <w:t>o de comisión por administración</w:t>
      </w:r>
      <w:r w:rsidR="00B31C5C" w:rsidRPr="6722EBE6">
        <w:t xml:space="preserve"> bajó de 0</w:t>
      </w:r>
      <w:r w:rsidR="00167070" w:rsidRPr="6722EBE6">
        <w:t>,</w:t>
      </w:r>
      <w:r w:rsidR="00B31C5C" w:rsidRPr="6722EBE6">
        <w:t>5% a 0,35% en enero de 2020</w:t>
      </w:r>
      <w:r w:rsidRPr="6722EBE6">
        <w:t>).</w:t>
      </w:r>
      <w:r w:rsidR="00DE682D" w:rsidRPr="6722EBE6">
        <w:t xml:space="preserve"> </w:t>
      </w:r>
    </w:p>
    <w:p w14:paraId="24E35499" w14:textId="77777777" w:rsidR="009457E1" w:rsidRDefault="009457E1" w:rsidP="004B2733">
      <w:pPr>
        <w:jc w:val="both"/>
        <w:rPr>
          <w:rFonts w:cstheme="minorHAnsi"/>
        </w:rPr>
      </w:pPr>
    </w:p>
    <w:p w14:paraId="5E1AFB46" w14:textId="2FC76256" w:rsidR="004B2733" w:rsidRDefault="009E34D1" w:rsidP="004B2733">
      <w:pPr>
        <w:jc w:val="both"/>
        <w:rPr>
          <w:rFonts w:cstheme="minorHAnsi"/>
        </w:rPr>
      </w:pPr>
      <w:r>
        <w:rPr>
          <w:rFonts w:cstheme="minorHAnsi"/>
        </w:rPr>
        <w:t>Como h</w:t>
      </w:r>
      <w:r w:rsidR="008F7A1E">
        <w:rPr>
          <w:rFonts w:cstheme="minorHAnsi"/>
        </w:rPr>
        <w:t>echo relevante del trimestre</w:t>
      </w:r>
      <w:r w:rsidR="008101AC">
        <w:rPr>
          <w:rFonts w:cstheme="minorHAnsi"/>
        </w:rPr>
        <w:t>, la OPC CCSS bajó la comisión por administración del FCL de 2</w:t>
      </w:r>
      <w:r w:rsidR="00983FFB">
        <w:rPr>
          <w:rFonts w:cstheme="minorHAnsi"/>
        </w:rPr>
        <w:t>,00</w:t>
      </w:r>
      <w:r w:rsidR="008101AC">
        <w:rPr>
          <w:rFonts w:cstheme="minorHAnsi"/>
        </w:rPr>
        <w:t>% a 1</w:t>
      </w:r>
      <w:r w:rsidR="00EA28FB">
        <w:rPr>
          <w:rFonts w:cstheme="minorHAnsi"/>
        </w:rPr>
        <w:t>,</w:t>
      </w:r>
      <w:r w:rsidR="008101AC">
        <w:rPr>
          <w:rFonts w:cstheme="minorHAnsi"/>
        </w:rPr>
        <w:t>97</w:t>
      </w:r>
      <w:r w:rsidR="008A5EDB">
        <w:rPr>
          <w:rFonts w:cstheme="minorHAnsi"/>
        </w:rPr>
        <w:t>% a partir del 9 de agosto de 2021</w:t>
      </w:r>
      <w:r w:rsidR="00051A8E">
        <w:rPr>
          <w:rFonts w:cstheme="minorHAnsi"/>
        </w:rPr>
        <w:t xml:space="preserve">, procurando ser competitiva con respecto a las otras Operadoras de Pensiones y en </w:t>
      </w:r>
      <w:r w:rsidR="001D7D8D">
        <w:rPr>
          <w:rFonts w:cstheme="minorHAnsi"/>
        </w:rPr>
        <w:t>atención a la obligación legal de administrar ese fondo al costo.</w:t>
      </w:r>
    </w:p>
    <w:p w14:paraId="0F145C1B" w14:textId="77777777" w:rsidR="009457E1" w:rsidRDefault="009457E1" w:rsidP="004B2733">
      <w:pPr>
        <w:jc w:val="both"/>
        <w:rPr>
          <w:rFonts w:cstheme="minorHAnsi"/>
        </w:rPr>
      </w:pPr>
    </w:p>
    <w:p w14:paraId="435745BC" w14:textId="0D5F2306" w:rsidR="00270676" w:rsidRPr="00B02633" w:rsidRDefault="00270676" w:rsidP="00270676">
      <w:pPr>
        <w:contextualSpacing/>
        <w:jc w:val="both"/>
        <w:rPr>
          <w:rFonts w:cstheme="minorHAnsi"/>
          <w:b/>
          <w:bCs/>
        </w:rPr>
      </w:pPr>
      <w:r w:rsidRPr="00B02633">
        <w:rPr>
          <w:rFonts w:cstheme="minorHAnsi"/>
          <w:b/>
          <w:bCs/>
        </w:rPr>
        <w:t xml:space="preserve">Cuadro </w:t>
      </w:r>
      <w:r w:rsidR="00C35DBB">
        <w:rPr>
          <w:rFonts w:cstheme="minorHAnsi"/>
          <w:b/>
          <w:bCs/>
        </w:rPr>
        <w:t>5</w:t>
      </w:r>
      <w:r w:rsidRPr="00B02633">
        <w:rPr>
          <w:rFonts w:cstheme="minorHAnsi"/>
          <w:b/>
          <w:bCs/>
        </w:rPr>
        <w:t xml:space="preserve">. </w:t>
      </w:r>
    </w:p>
    <w:p w14:paraId="1E3D4260" w14:textId="1552CF5C" w:rsidR="006245BE" w:rsidRPr="00B02633" w:rsidRDefault="00270676" w:rsidP="00270676">
      <w:pPr>
        <w:rPr>
          <w:b/>
          <w:bCs/>
        </w:rPr>
      </w:pPr>
      <w:r w:rsidRPr="00B02633">
        <w:rPr>
          <w:rFonts w:cstheme="minorHAnsi"/>
          <w:b/>
          <w:bCs/>
        </w:rPr>
        <w:t>Operadoras de pensiones: resultado financiero</w:t>
      </w:r>
      <w:r w:rsidR="00381EA9" w:rsidRPr="00B02633">
        <w:rPr>
          <w:rFonts w:cstheme="minorHAnsi"/>
          <w:b/>
          <w:bCs/>
          <w:vertAlign w:val="superscript"/>
        </w:rPr>
        <w:t>1/</w:t>
      </w:r>
      <w:r w:rsidRPr="00B02633">
        <w:rPr>
          <w:rFonts w:cstheme="minorHAnsi"/>
          <w:b/>
          <w:bCs/>
        </w:rPr>
        <w:t>, 2016-2021</w:t>
      </w:r>
    </w:p>
    <w:tbl>
      <w:tblPr>
        <w:tblStyle w:val="Tablaconcuadrcula4-nfasis1"/>
        <w:tblW w:w="8197" w:type="dxa"/>
        <w:jc w:val="center"/>
        <w:tblLook w:val="04A0" w:firstRow="1" w:lastRow="0" w:firstColumn="1" w:lastColumn="0" w:noHBand="0" w:noVBand="1"/>
      </w:tblPr>
      <w:tblGrid>
        <w:gridCol w:w="1694"/>
        <w:gridCol w:w="1500"/>
        <w:gridCol w:w="1275"/>
        <w:gridCol w:w="1134"/>
        <w:gridCol w:w="1134"/>
        <w:gridCol w:w="1460"/>
      </w:tblGrid>
      <w:tr w:rsidR="007D5AE5" w:rsidRPr="00E3523C" w14:paraId="0977FC12" w14:textId="77777777" w:rsidTr="00803CD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left w:val="nil"/>
              <w:bottom w:val="single" w:sz="4" w:space="0" w:color="auto"/>
            </w:tcBorders>
            <w:shd w:val="clear" w:color="auto" w:fill="auto"/>
            <w:noWrap/>
            <w:vAlign w:val="center"/>
            <w:hideMark/>
          </w:tcPr>
          <w:p w14:paraId="47842716" w14:textId="77777777" w:rsidR="007D5AE5" w:rsidRPr="009B6A5E" w:rsidRDefault="007D5AE5" w:rsidP="00A46A72">
            <w:pPr>
              <w:rPr>
                <w:rFonts w:eastAsia="Times New Roman" w:cs="Calibri"/>
                <w:b w:val="0"/>
                <w:bCs w:val="0"/>
                <w:color w:val="auto"/>
                <w:lang w:val="es-CR"/>
              </w:rPr>
            </w:pPr>
            <w:r w:rsidRPr="009B6A5E">
              <w:rPr>
                <w:rFonts w:eastAsia="Times New Roman" w:cs="Calibri"/>
                <w:color w:val="auto"/>
                <w:lang w:val="es-CR"/>
              </w:rPr>
              <w:t>Año</w:t>
            </w:r>
          </w:p>
        </w:tc>
        <w:tc>
          <w:tcPr>
            <w:tcW w:w="1500" w:type="dxa"/>
            <w:tcBorders>
              <w:top w:val="single" w:sz="4" w:space="0" w:color="auto"/>
              <w:bottom w:val="single" w:sz="4" w:space="0" w:color="auto"/>
            </w:tcBorders>
            <w:shd w:val="clear" w:color="auto" w:fill="auto"/>
            <w:noWrap/>
            <w:vAlign w:val="center"/>
            <w:hideMark/>
          </w:tcPr>
          <w:p w14:paraId="33DC4F55"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Ingresos Operativos</w:t>
            </w:r>
          </w:p>
        </w:tc>
        <w:tc>
          <w:tcPr>
            <w:tcW w:w="1275" w:type="dxa"/>
            <w:tcBorders>
              <w:top w:val="single" w:sz="4" w:space="0" w:color="auto"/>
              <w:bottom w:val="single" w:sz="4" w:space="0" w:color="auto"/>
            </w:tcBorders>
            <w:shd w:val="clear" w:color="auto" w:fill="auto"/>
            <w:noWrap/>
            <w:vAlign w:val="center"/>
            <w:hideMark/>
          </w:tcPr>
          <w:p w14:paraId="25DC4FA4"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Gastos Operativos</w:t>
            </w:r>
          </w:p>
        </w:tc>
        <w:tc>
          <w:tcPr>
            <w:tcW w:w="1134" w:type="dxa"/>
            <w:tcBorders>
              <w:top w:val="single" w:sz="4" w:space="0" w:color="auto"/>
              <w:bottom w:val="single" w:sz="4" w:space="0" w:color="auto"/>
            </w:tcBorders>
            <w:shd w:val="clear" w:color="auto" w:fill="auto"/>
            <w:noWrap/>
            <w:vAlign w:val="center"/>
            <w:hideMark/>
          </w:tcPr>
          <w:p w14:paraId="0FE7FF4D"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Resultado Operativo</w:t>
            </w:r>
          </w:p>
        </w:tc>
        <w:tc>
          <w:tcPr>
            <w:tcW w:w="1134" w:type="dxa"/>
            <w:tcBorders>
              <w:top w:val="single" w:sz="4" w:space="0" w:color="auto"/>
              <w:bottom w:val="single" w:sz="4" w:space="0" w:color="auto"/>
            </w:tcBorders>
            <w:shd w:val="clear" w:color="auto" w:fill="auto"/>
            <w:noWrap/>
            <w:vAlign w:val="center"/>
            <w:hideMark/>
          </w:tcPr>
          <w:p w14:paraId="5239F3B4"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Resultado Neto</w:t>
            </w:r>
          </w:p>
        </w:tc>
        <w:tc>
          <w:tcPr>
            <w:tcW w:w="1460" w:type="dxa"/>
            <w:tcBorders>
              <w:top w:val="single" w:sz="4" w:space="0" w:color="auto"/>
              <w:bottom w:val="single" w:sz="4" w:space="0" w:color="auto"/>
              <w:right w:val="nil"/>
            </w:tcBorders>
            <w:shd w:val="clear" w:color="auto" w:fill="auto"/>
            <w:noWrap/>
            <w:vAlign w:val="center"/>
            <w:hideMark/>
          </w:tcPr>
          <w:p w14:paraId="14472C37" w14:textId="154A3CD5"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Resultado Neto</w:t>
            </w:r>
            <w:r w:rsidR="00EE3AA9" w:rsidRPr="009B6A5E">
              <w:rPr>
                <w:rFonts w:eastAsia="Times New Roman" w:cs="Calibri"/>
                <w:color w:val="auto"/>
                <w:vertAlign w:val="superscript"/>
                <w:lang w:val="es-CR"/>
              </w:rPr>
              <w:t>2/</w:t>
            </w:r>
          </w:p>
        </w:tc>
      </w:tr>
      <w:tr w:rsidR="007D5AE5" w:rsidRPr="00E3523C" w14:paraId="240B4EF1" w14:textId="77777777" w:rsidTr="00803C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left w:val="nil"/>
              <w:bottom w:val="nil"/>
              <w:right w:val="nil"/>
            </w:tcBorders>
            <w:shd w:val="clear" w:color="auto" w:fill="auto"/>
            <w:noWrap/>
          </w:tcPr>
          <w:p w14:paraId="5B0DF9F5" w14:textId="77777777" w:rsidR="007D5AE5" w:rsidRPr="00E3523C" w:rsidRDefault="007D5AE5" w:rsidP="00A46A72">
            <w:pPr>
              <w:jc w:val="center"/>
              <w:rPr>
                <w:rFonts w:eastAsia="Times New Roman" w:cs="Calibri"/>
                <w:color w:val="000000"/>
                <w:lang w:val="es-CR"/>
              </w:rPr>
            </w:pPr>
            <w:r w:rsidRPr="00E3523C">
              <w:t>2016</w:t>
            </w:r>
          </w:p>
        </w:tc>
        <w:tc>
          <w:tcPr>
            <w:tcW w:w="1500" w:type="dxa"/>
            <w:tcBorders>
              <w:top w:val="single" w:sz="4" w:space="0" w:color="auto"/>
              <w:left w:val="nil"/>
              <w:bottom w:val="nil"/>
              <w:right w:val="nil"/>
            </w:tcBorders>
            <w:shd w:val="clear" w:color="auto" w:fill="auto"/>
            <w:noWrap/>
          </w:tcPr>
          <w:p w14:paraId="423B076B"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42 700</w:t>
            </w:r>
          </w:p>
        </w:tc>
        <w:tc>
          <w:tcPr>
            <w:tcW w:w="1275" w:type="dxa"/>
            <w:tcBorders>
              <w:top w:val="single" w:sz="4" w:space="0" w:color="auto"/>
              <w:left w:val="nil"/>
              <w:bottom w:val="nil"/>
              <w:right w:val="nil"/>
            </w:tcBorders>
            <w:shd w:val="clear" w:color="auto" w:fill="auto"/>
            <w:noWrap/>
          </w:tcPr>
          <w:p w14:paraId="6D985E6C"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30 542</w:t>
            </w:r>
          </w:p>
        </w:tc>
        <w:tc>
          <w:tcPr>
            <w:tcW w:w="1134" w:type="dxa"/>
            <w:tcBorders>
              <w:top w:val="single" w:sz="4" w:space="0" w:color="auto"/>
              <w:left w:val="nil"/>
              <w:bottom w:val="nil"/>
              <w:right w:val="nil"/>
            </w:tcBorders>
            <w:shd w:val="clear" w:color="auto" w:fill="auto"/>
            <w:noWrap/>
          </w:tcPr>
          <w:p w14:paraId="096B4B2D"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12 157</w:t>
            </w:r>
          </w:p>
        </w:tc>
        <w:tc>
          <w:tcPr>
            <w:tcW w:w="1134" w:type="dxa"/>
            <w:tcBorders>
              <w:top w:val="single" w:sz="4" w:space="0" w:color="auto"/>
              <w:left w:val="nil"/>
              <w:bottom w:val="nil"/>
              <w:right w:val="nil"/>
            </w:tcBorders>
            <w:shd w:val="clear" w:color="auto" w:fill="auto"/>
            <w:noWrap/>
          </w:tcPr>
          <w:p w14:paraId="742FAD39"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6 612</w:t>
            </w:r>
          </w:p>
        </w:tc>
        <w:tc>
          <w:tcPr>
            <w:tcW w:w="1460" w:type="dxa"/>
            <w:tcBorders>
              <w:top w:val="single" w:sz="4" w:space="0" w:color="auto"/>
              <w:left w:val="nil"/>
              <w:bottom w:val="nil"/>
              <w:right w:val="nil"/>
            </w:tcBorders>
            <w:shd w:val="clear" w:color="auto" w:fill="auto"/>
            <w:noWrap/>
          </w:tcPr>
          <w:p w14:paraId="64156688" w14:textId="77777777" w:rsidR="007D5AE5" w:rsidRPr="00E3523C"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E3523C">
              <w:t>15 214</w:t>
            </w:r>
          </w:p>
        </w:tc>
      </w:tr>
      <w:tr w:rsidR="007D5AE5" w:rsidRPr="00E3523C" w14:paraId="499EF6BB" w14:textId="77777777" w:rsidTr="005D5F24">
        <w:trPr>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tcPr>
          <w:p w14:paraId="60E03DBA" w14:textId="77777777" w:rsidR="007D5AE5" w:rsidRPr="00E3523C" w:rsidRDefault="007D5AE5" w:rsidP="00A46A72">
            <w:pPr>
              <w:jc w:val="center"/>
              <w:rPr>
                <w:rFonts w:eastAsia="Times New Roman" w:cs="Calibri"/>
                <w:color w:val="000000"/>
                <w:lang w:val="es-CR"/>
              </w:rPr>
            </w:pPr>
            <w:r w:rsidRPr="00E3523C">
              <w:t>2017</w:t>
            </w:r>
          </w:p>
        </w:tc>
        <w:tc>
          <w:tcPr>
            <w:tcW w:w="1500" w:type="dxa"/>
            <w:tcBorders>
              <w:top w:val="nil"/>
              <w:left w:val="nil"/>
              <w:bottom w:val="nil"/>
              <w:right w:val="nil"/>
            </w:tcBorders>
            <w:shd w:val="clear" w:color="auto" w:fill="auto"/>
            <w:noWrap/>
          </w:tcPr>
          <w:p w14:paraId="15AD0208"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37 791</w:t>
            </w:r>
          </w:p>
        </w:tc>
        <w:tc>
          <w:tcPr>
            <w:tcW w:w="1275" w:type="dxa"/>
            <w:tcBorders>
              <w:top w:val="nil"/>
              <w:left w:val="nil"/>
              <w:bottom w:val="nil"/>
              <w:right w:val="nil"/>
            </w:tcBorders>
            <w:shd w:val="clear" w:color="auto" w:fill="auto"/>
            <w:noWrap/>
          </w:tcPr>
          <w:p w14:paraId="2933B13E"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30 184</w:t>
            </w:r>
          </w:p>
        </w:tc>
        <w:tc>
          <w:tcPr>
            <w:tcW w:w="1134" w:type="dxa"/>
            <w:tcBorders>
              <w:top w:val="nil"/>
              <w:left w:val="nil"/>
              <w:bottom w:val="nil"/>
              <w:right w:val="nil"/>
            </w:tcBorders>
            <w:shd w:val="clear" w:color="auto" w:fill="auto"/>
            <w:noWrap/>
          </w:tcPr>
          <w:p w14:paraId="3F23642D"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7 606</w:t>
            </w:r>
          </w:p>
        </w:tc>
        <w:tc>
          <w:tcPr>
            <w:tcW w:w="1134" w:type="dxa"/>
            <w:tcBorders>
              <w:top w:val="nil"/>
              <w:left w:val="nil"/>
              <w:bottom w:val="nil"/>
              <w:right w:val="nil"/>
            </w:tcBorders>
            <w:shd w:val="clear" w:color="auto" w:fill="auto"/>
            <w:noWrap/>
          </w:tcPr>
          <w:p w14:paraId="4BC6E538"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4 521</w:t>
            </w:r>
          </w:p>
        </w:tc>
        <w:tc>
          <w:tcPr>
            <w:tcW w:w="1460" w:type="dxa"/>
            <w:tcBorders>
              <w:top w:val="nil"/>
              <w:left w:val="nil"/>
              <w:bottom w:val="nil"/>
              <w:right w:val="nil"/>
            </w:tcBorders>
            <w:shd w:val="clear" w:color="auto" w:fill="auto"/>
            <w:noWrap/>
          </w:tcPr>
          <w:p w14:paraId="28546B23" w14:textId="77777777" w:rsidR="007D5AE5" w:rsidRPr="00E3523C"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E3523C">
              <w:t>10 430</w:t>
            </w:r>
          </w:p>
        </w:tc>
      </w:tr>
      <w:tr w:rsidR="007D5AE5" w:rsidRPr="00E3523C" w14:paraId="4AF76E82" w14:textId="77777777" w:rsidTr="005D5F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hideMark/>
          </w:tcPr>
          <w:p w14:paraId="726C35AD" w14:textId="77777777" w:rsidR="007D5AE5" w:rsidRPr="00E3523C" w:rsidRDefault="007D5AE5" w:rsidP="00A46A72">
            <w:pPr>
              <w:jc w:val="center"/>
              <w:rPr>
                <w:rFonts w:eastAsia="Times New Roman" w:cs="Calibri"/>
                <w:color w:val="000000"/>
                <w:lang w:val="es-CR"/>
              </w:rPr>
            </w:pPr>
            <w:r w:rsidRPr="00E3523C">
              <w:t>2018</w:t>
            </w:r>
          </w:p>
        </w:tc>
        <w:tc>
          <w:tcPr>
            <w:tcW w:w="1500" w:type="dxa"/>
            <w:tcBorders>
              <w:top w:val="nil"/>
              <w:left w:val="nil"/>
              <w:bottom w:val="nil"/>
              <w:right w:val="nil"/>
            </w:tcBorders>
            <w:shd w:val="clear" w:color="auto" w:fill="auto"/>
            <w:noWrap/>
            <w:hideMark/>
          </w:tcPr>
          <w:p w14:paraId="3C543492"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42 730</w:t>
            </w:r>
          </w:p>
        </w:tc>
        <w:tc>
          <w:tcPr>
            <w:tcW w:w="1275" w:type="dxa"/>
            <w:tcBorders>
              <w:top w:val="nil"/>
              <w:left w:val="nil"/>
              <w:bottom w:val="nil"/>
              <w:right w:val="nil"/>
            </w:tcBorders>
            <w:shd w:val="clear" w:color="auto" w:fill="auto"/>
            <w:noWrap/>
            <w:hideMark/>
          </w:tcPr>
          <w:p w14:paraId="05718F4C"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31 963</w:t>
            </w:r>
          </w:p>
        </w:tc>
        <w:tc>
          <w:tcPr>
            <w:tcW w:w="1134" w:type="dxa"/>
            <w:tcBorders>
              <w:top w:val="nil"/>
              <w:left w:val="nil"/>
              <w:bottom w:val="nil"/>
              <w:right w:val="nil"/>
            </w:tcBorders>
            <w:shd w:val="clear" w:color="auto" w:fill="auto"/>
            <w:noWrap/>
            <w:hideMark/>
          </w:tcPr>
          <w:p w14:paraId="70930A4F"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10 767</w:t>
            </w:r>
          </w:p>
        </w:tc>
        <w:tc>
          <w:tcPr>
            <w:tcW w:w="1134" w:type="dxa"/>
            <w:tcBorders>
              <w:top w:val="nil"/>
              <w:left w:val="nil"/>
              <w:bottom w:val="nil"/>
              <w:right w:val="nil"/>
            </w:tcBorders>
            <w:shd w:val="clear" w:color="auto" w:fill="auto"/>
            <w:noWrap/>
            <w:hideMark/>
          </w:tcPr>
          <w:p w14:paraId="53FF5F46"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6 548</w:t>
            </w:r>
          </w:p>
        </w:tc>
        <w:tc>
          <w:tcPr>
            <w:tcW w:w="1460" w:type="dxa"/>
            <w:tcBorders>
              <w:top w:val="nil"/>
              <w:left w:val="nil"/>
              <w:bottom w:val="nil"/>
              <w:right w:val="nil"/>
            </w:tcBorders>
            <w:shd w:val="clear" w:color="auto" w:fill="auto"/>
            <w:noWrap/>
            <w:hideMark/>
          </w:tcPr>
          <w:p w14:paraId="06F6F3E6" w14:textId="77777777" w:rsidR="007D5AE5" w:rsidRPr="00E3523C"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15 094</w:t>
            </w:r>
          </w:p>
        </w:tc>
      </w:tr>
      <w:tr w:rsidR="007D5AE5" w:rsidRPr="00E3523C" w14:paraId="608C40AD" w14:textId="77777777" w:rsidTr="005D5F24">
        <w:trPr>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hideMark/>
          </w:tcPr>
          <w:p w14:paraId="115754A9" w14:textId="77777777" w:rsidR="007D5AE5" w:rsidRPr="00E3523C" w:rsidRDefault="007D5AE5" w:rsidP="00A46A72">
            <w:pPr>
              <w:jc w:val="center"/>
              <w:rPr>
                <w:rFonts w:eastAsia="Times New Roman" w:cs="Calibri"/>
                <w:color w:val="000000"/>
                <w:lang w:val="es-CR"/>
              </w:rPr>
            </w:pPr>
            <w:r w:rsidRPr="00E3523C">
              <w:t>2019</w:t>
            </w:r>
          </w:p>
        </w:tc>
        <w:tc>
          <w:tcPr>
            <w:tcW w:w="1500" w:type="dxa"/>
            <w:tcBorders>
              <w:top w:val="nil"/>
              <w:left w:val="nil"/>
              <w:bottom w:val="nil"/>
              <w:right w:val="nil"/>
            </w:tcBorders>
            <w:shd w:val="clear" w:color="auto" w:fill="auto"/>
            <w:noWrap/>
            <w:hideMark/>
          </w:tcPr>
          <w:p w14:paraId="5E578C4B"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49 847</w:t>
            </w:r>
          </w:p>
        </w:tc>
        <w:tc>
          <w:tcPr>
            <w:tcW w:w="1275" w:type="dxa"/>
            <w:tcBorders>
              <w:top w:val="nil"/>
              <w:left w:val="nil"/>
              <w:bottom w:val="nil"/>
              <w:right w:val="nil"/>
            </w:tcBorders>
            <w:shd w:val="clear" w:color="auto" w:fill="auto"/>
            <w:noWrap/>
            <w:hideMark/>
          </w:tcPr>
          <w:p w14:paraId="5FADFC3A"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34 584</w:t>
            </w:r>
          </w:p>
        </w:tc>
        <w:tc>
          <w:tcPr>
            <w:tcW w:w="1134" w:type="dxa"/>
            <w:tcBorders>
              <w:top w:val="nil"/>
              <w:left w:val="nil"/>
              <w:bottom w:val="nil"/>
              <w:right w:val="nil"/>
            </w:tcBorders>
            <w:shd w:val="clear" w:color="auto" w:fill="auto"/>
            <w:noWrap/>
            <w:hideMark/>
          </w:tcPr>
          <w:p w14:paraId="30B214E3"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15 263</w:t>
            </w:r>
          </w:p>
        </w:tc>
        <w:tc>
          <w:tcPr>
            <w:tcW w:w="1134" w:type="dxa"/>
            <w:tcBorders>
              <w:top w:val="nil"/>
              <w:left w:val="nil"/>
              <w:bottom w:val="nil"/>
              <w:right w:val="nil"/>
            </w:tcBorders>
            <w:shd w:val="clear" w:color="auto" w:fill="auto"/>
            <w:noWrap/>
            <w:hideMark/>
          </w:tcPr>
          <w:p w14:paraId="3AD81DCF"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8 408</w:t>
            </w:r>
          </w:p>
        </w:tc>
        <w:tc>
          <w:tcPr>
            <w:tcW w:w="1460" w:type="dxa"/>
            <w:tcBorders>
              <w:top w:val="nil"/>
              <w:left w:val="nil"/>
              <w:bottom w:val="nil"/>
              <w:right w:val="nil"/>
            </w:tcBorders>
            <w:shd w:val="clear" w:color="auto" w:fill="auto"/>
            <w:noWrap/>
            <w:hideMark/>
          </w:tcPr>
          <w:p w14:paraId="0FFC63C5" w14:textId="77777777" w:rsidR="007D5AE5" w:rsidRPr="00E3523C"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20 535</w:t>
            </w:r>
          </w:p>
        </w:tc>
      </w:tr>
      <w:tr w:rsidR="007D5AE5" w:rsidRPr="00E3523C" w14:paraId="6EFC4F9B" w14:textId="77777777" w:rsidTr="00803C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hideMark/>
          </w:tcPr>
          <w:p w14:paraId="7F9A0AF4" w14:textId="77777777" w:rsidR="007D5AE5" w:rsidRPr="00E3523C" w:rsidRDefault="007D5AE5" w:rsidP="00A46A72">
            <w:pPr>
              <w:jc w:val="center"/>
              <w:rPr>
                <w:rFonts w:eastAsia="Times New Roman" w:cs="Calibri"/>
                <w:color w:val="000000"/>
                <w:lang w:val="es-CR"/>
              </w:rPr>
            </w:pPr>
            <w:r w:rsidRPr="00E3523C">
              <w:t>2020</w:t>
            </w:r>
          </w:p>
        </w:tc>
        <w:tc>
          <w:tcPr>
            <w:tcW w:w="1500" w:type="dxa"/>
            <w:tcBorders>
              <w:top w:val="nil"/>
              <w:left w:val="nil"/>
              <w:bottom w:val="nil"/>
              <w:right w:val="nil"/>
            </w:tcBorders>
            <w:shd w:val="clear" w:color="auto" w:fill="auto"/>
            <w:noWrap/>
            <w:hideMark/>
          </w:tcPr>
          <w:p w14:paraId="53A3383D"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45 196</w:t>
            </w:r>
          </w:p>
        </w:tc>
        <w:tc>
          <w:tcPr>
            <w:tcW w:w="1275" w:type="dxa"/>
            <w:tcBorders>
              <w:top w:val="nil"/>
              <w:left w:val="nil"/>
              <w:bottom w:val="nil"/>
              <w:right w:val="nil"/>
            </w:tcBorders>
            <w:shd w:val="clear" w:color="auto" w:fill="auto"/>
            <w:noWrap/>
            <w:hideMark/>
          </w:tcPr>
          <w:p w14:paraId="37B150E8"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34 492</w:t>
            </w:r>
          </w:p>
        </w:tc>
        <w:tc>
          <w:tcPr>
            <w:tcW w:w="1134" w:type="dxa"/>
            <w:tcBorders>
              <w:top w:val="nil"/>
              <w:left w:val="nil"/>
              <w:bottom w:val="nil"/>
              <w:right w:val="nil"/>
            </w:tcBorders>
            <w:shd w:val="clear" w:color="auto" w:fill="auto"/>
            <w:noWrap/>
            <w:hideMark/>
          </w:tcPr>
          <w:p w14:paraId="28799878"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10 704</w:t>
            </w:r>
          </w:p>
        </w:tc>
        <w:tc>
          <w:tcPr>
            <w:tcW w:w="1134" w:type="dxa"/>
            <w:tcBorders>
              <w:top w:val="nil"/>
              <w:left w:val="nil"/>
              <w:bottom w:val="nil"/>
              <w:right w:val="nil"/>
            </w:tcBorders>
            <w:shd w:val="clear" w:color="auto" w:fill="auto"/>
            <w:noWrap/>
            <w:hideMark/>
          </w:tcPr>
          <w:p w14:paraId="5BDAF24F"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6 633</w:t>
            </w:r>
          </w:p>
        </w:tc>
        <w:tc>
          <w:tcPr>
            <w:tcW w:w="1460" w:type="dxa"/>
            <w:tcBorders>
              <w:top w:val="nil"/>
              <w:left w:val="nil"/>
              <w:bottom w:val="nil"/>
              <w:right w:val="nil"/>
            </w:tcBorders>
            <w:shd w:val="clear" w:color="auto" w:fill="auto"/>
            <w:noWrap/>
            <w:hideMark/>
          </w:tcPr>
          <w:p w14:paraId="798E9BCF" w14:textId="77777777" w:rsidR="007D5AE5" w:rsidRPr="00E3523C"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16 743</w:t>
            </w:r>
          </w:p>
        </w:tc>
      </w:tr>
      <w:tr w:rsidR="00EE3AA9" w:rsidRPr="00E3523C" w14:paraId="04BEAAD7" w14:textId="77777777" w:rsidTr="00803CD9">
        <w:trPr>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single" w:sz="4" w:space="0" w:color="auto"/>
              <w:right w:val="nil"/>
            </w:tcBorders>
            <w:shd w:val="clear" w:color="auto" w:fill="auto"/>
            <w:noWrap/>
            <w:hideMark/>
          </w:tcPr>
          <w:p w14:paraId="6086CD71" w14:textId="30808487" w:rsidR="00EE3AA9" w:rsidRPr="00E3523C" w:rsidRDefault="00EE3AA9" w:rsidP="00EE3AA9">
            <w:pPr>
              <w:jc w:val="center"/>
              <w:rPr>
                <w:rFonts w:eastAsia="Times New Roman" w:cs="Calibri"/>
                <w:color w:val="000000"/>
                <w:lang w:val="es-CR"/>
              </w:rPr>
            </w:pPr>
            <w:r w:rsidRPr="00E3523C">
              <w:t>2021</w:t>
            </w:r>
            <w:r w:rsidR="00C86534">
              <w:rPr>
                <w:vertAlign w:val="superscript"/>
              </w:rPr>
              <w:t>3</w:t>
            </w:r>
            <w:r w:rsidR="009F2F14">
              <w:rPr>
                <w:vertAlign w:val="superscript"/>
              </w:rPr>
              <w:t>/</w:t>
            </w:r>
          </w:p>
        </w:tc>
        <w:tc>
          <w:tcPr>
            <w:tcW w:w="1500" w:type="dxa"/>
            <w:tcBorders>
              <w:top w:val="nil"/>
              <w:left w:val="nil"/>
              <w:bottom w:val="single" w:sz="4" w:space="0" w:color="auto"/>
              <w:right w:val="nil"/>
            </w:tcBorders>
            <w:shd w:val="clear" w:color="auto" w:fill="auto"/>
            <w:noWrap/>
            <w:vAlign w:val="center"/>
            <w:hideMark/>
          </w:tcPr>
          <w:p w14:paraId="2E8443B1" w14:textId="5A819311" w:rsidR="00EE3AA9" w:rsidRPr="008A119E" w:rsidRDefault="00EE3AA9" w:rsidP="00EE3AA9">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rPr>
                <w:rFonts w:cs="Calibri"/>
              </w:rPr>
              <w:t>38 421</w:t>
            </w:r>
          </w:p>
        </w:tc>
        <w:tc>
          <w:tcPr>
            <w:tcW w:w="1275" w:type="dxa"/>
            <w:tcBorders>
              <w:top w:val="nil"/>
              <w:left w:val="nil"/>
              <w:bottom w:val="single" w:sz="4" w:space="0" w:color="auto"/>
              <w:right w:val="nil"/>
            </w:tcBorders>
            <w:shd w:val="clear" w:color="auto" w:fill="auto"/>
            <w:noWrap/>
            <w:vAlign w:val="center"/>
            <w:hideMark/>
          </w:tcPr>
          <w:p w14:paraId="23259666" w14:textId="22B31A19" w:rsidR="00EE3AA9" w:rsidRPr="008A119E" w:rsidRDefault="00EE3AA9" w:rsidP="00EE3AA9">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rPr>
                <w:rFonts w:cs="Calibri"/>
              </w:rPr>
              <w:t>27 581</w:t>
            </w:r>
          </w:p>
        </w:tc>
        <w:tc>
          <w:tcPr>
            <w:tcW w:w="1134" w:type="dxa"/>
            <w:tcBorders>
              <w:top w:val="nil"/>
              <w:left w:val="nil"/>
              <w:bottom w:val="single" w:sz="4" w:space="0" w:color="auto"/>
              <w:right w:val="nil"/>
            </w:tcBorders>
            <w:shd w:val="clear" w:color="auto" w:fill="auto"/>
            <w:noWrap/>
            <w:vAlign w:val="center"/>
            <w:hideMark/>
          </w:tcPr>
          <w:p w14:paraId="74078A43" w14:textId="40492E94" w:rsidR="00EE3AA9" w:rsidRPr="008A119E" w:rsidRDefault="00EE3AA9" w:rsidP="00EE3AA9">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rPr>
                <w:rFonts w:cs="Calibri"/>
              </w:rPr>
              <w:t>10 840</w:t>
            </w:r>
          </w:p>
        </w:tc>
        <w:tc>
          <w:tcPr>
            <w:tcW w:w="1134" w:type="dxa"/>
            <w:tcBorders>
              <w:top w:val="nil"/>
              <w:left w:val="nil"/>
              <w:bottom w:val="single" w:sz="4" w:space="0" w:color="auto"/>
              <w:right w:val="nil"/>
            </w:tcBorders>
            <w:shd w:val="clear" w:color="auto" w:fill="auto"/>
            <w:noWrap/>
            <w:vAlign w:val="center"/>
            <w:hideMark/>
          </w:tcPr>
          <w:p w14:paraId="605029EB" w14:textId="7B2AA24C" w:rsidR="00EE3AA9" w:rsidRPr="008A119E" w:rsidRDefault="00EE3AA9" w:rsidP="00EE3AA9">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rPr>
                <w:rFonts w:cs="Calibri"/>
              </w:rPr>
              <w:t>6 596</w:t>
            </w:r>
          </w:p>
        </w:tc>
        <w:tc>
          <w:tcPr>
            <w:tcW w:w="1460" w:type="dxa"/>
            <w:tcBorders>
              <w:top w:val="nil"/>
              <w:left w:val="nil"/>
              <w:bottom w:val="single" w:sz="4" w:space="0" w:color="auto"/>
              <w:right w:val="nil"/>
            </w:tcBorders>
            <w:shd w:val="clear" w:color="auto" w:fill="auto"/>
            <w:noWrap/>
            <w:vAlign w:val="center"/>
            <w:hideMark/>
          </w:tcPr>
          <w:p w14:paraId="7E6506B1" w14:textId="1E1AC2E5" w:rsidR="00EE3AA9" w:rsidRPr="00E3523C" w:rsidRDefault="00EE3AA9" w:rsidP="00EE3AA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cs="Calibri"/>
                <w:color w:val="000000"/>
              </w:rPr>
              <w:t>15 642</w:t>
            </w:r>
          </w:p>
        </w:tc>
      </w:tr>
    </w:tbl>
    <w:p w14:paraId="6D61109B" w14:textId="014D322E" w:rsidR="00C86534" w:rsidRDefault="00C86534" w:rsidP="00270676">
      <w:pPr>
        <w:rPr>
          <w:b/>
          <w:bCs/>
          <w:sz w:val="18"/>
          <w:szCs w:val="18"/>
        </w:rPr>
      </w:pPr>
      <w:r>
        <w:rPr>
          <w:b/>
          <w:bCs/>
          <w:sz w:val="18"/>
          <w:szCs w:val="18"/>
        </w:rPr>
        <w:t>1/ En millones de colones</w:t>
      </w:r>
      <w:r w:rsidR="000137E8">
        <w:rPr>
          <w:b/>
          <w:bCs/>
          <w:sz w:val="18"/>
          <w:szCs w:val="18"/>
        </w:rPr>
        <w:t>.</w:t>
      </w:r>
    </w:p>
    <w:p w14:paraId="2196F285" w14:textId="03018BE9" w:rsidR="00270676" w:rsidRPr="00B02633" w:rsidRDefault="00C86534" w:rsidP="00270676">
      <w:pPr>
        <w:rPr>
          <w:b/>
          <w:bCs/>
          <w:sz w:val="18"/>
          <w:szCs w:val="18"/>
        </w:rPr>
      </w:pPr>
      <w:r>
        <w:rPr>
          <w:b/>
          <w:bCs/>
          <w:sz w:val="18"/>
          <w:szCs w:val="18"/>
        </w:rPr>
        <w:t>2</w:t>
      </w:r>
      <w:r w:rsidR="00270676" w:rsidRPr="00B02633">
        <w:rPr>
          <w:b/>
          <w:bCs/>
          <w:sz w:val="18"/>
          <w:szCs w:val="18"/>
        </w:rPr>
        <w:t>/ Antes de impuestos y participaciones.</w:t>
      </w:r>
    </w:p>
    <w:p w14:paraId="3AAB4CC9" w14:textId="47578120" w:rsidR="00C86534" w:rsidRPr="00EB008C" w:rsidRDefault="00C86534" w:rsidP="00C86534">
      <w:pPr>
        <w:pStyle w:val="Descripcin"/>
        <w:spacing w:after="0"/>
        <w:rPr>
          <w:b/>
          <w:bCs/>
          <w:i w:val="0"/>
          <w:iCs w:val="0"/>
          <w:color w:val="auto"/>
        </w:rPr>
      </w:pPr>
      <w:r>
        <w:rPr>
          <w:b/>
          <w:bCs/>
          <w:i w:val="0"/>
          <w:iCs w:val="0"/>
          <w:color w:val="auto"/>
        </w:rPr>
        <w:t>3</w:t>
      </w:r>
      <w:r w:rsidRPr="00EB008C">
        <w:rPr>
          <w:b/>
          <w:bCs/>
          <w:i w:val="0"/>
          <w:iCs w:val="0"/>
          <w:color w:val="auto"/>
        </w:rPr>
        <w:t>/ Datos acumulados a setiembre 2021.</w:t>
      </w:r>
    </w:p>
    <w:p w14:paraId="3C625D38" w14:textId="64391E1C" w:rsidR="00270676" w:rsidRDefault="00270676" w:rsidP="00270676">
      <w:pPr>
        <w:spacing w:after="200" w:line="276" w:lineRule="auto"/>
        <w:jc w:val="both"/>
        <w:rPr>
          <w:b/>
          <w:bCs/>
          <w:sz w:val="18"/>
          <w:szCs w:val="18"/>
        </w:rPr>
      </w:pPr>
      <w:r w:rsidRPr="00B02633">
        <w:rPr>
          <w:b/>
          <w:bCs/>
          <w:sz w:val="18"/>
          <w:szCs w:val="18"/>
        </w:rPr>
        <w:t>Fuente: Elaboración propia.</w:t>
      </w:r>
    </w:p>
    <w:p w14:paraId="6BB8E826" w14:textId="12789BB8" w:rsidR="00F266B1" w:rsidRDefault="00F266B1" w:rsidP="009A21D8">
      <w:pPr>
        <w:spacing w:after="200" w:line="276" w:lineRule="auto"/>
        <w:jc w:val="both"/>
        <w:rPr>
          <w:rFonts w:cstheme="minorHAnsi"/>
          <w:b/>
          <w:bCs/>
          <w:sz w:val="24"/>
          <w:szCs w:val="24"/>
        </w:rPr>
      </w:pPr>
      <w:r>
        <w:rPr>
          <w:rFonts w:cstheme="minorHAnsi"/>
          <w:b/>
          <w:bCs/>
          <w:sz w:val="24"/>
          <w:szCs w:val="24"/>
        </w:rPr>
        <w:br w:type="page"/>
      </w:r>
    </w:p>
    <w:p w14:paraId="303651D0" w14:textId="5F188199" w:rsidR="003A671B" w:rsidRDefault="00F944CB" w:rsidP="00D97917">
      <w:pPr>
        <w:pStyle w:val="Ttulo1"/>
        <w:rPr>
          <w:lang w:val="es-CR"/>
        </w:rPr>
      </w:pPr>
      <w:bookmarkStart w:id="13" w:name="_Toc89331003"/>
      <w:r>
        <w:rPr>
          <w:lang w:val="es-CR"/>
        </w:rPr>
        <w:lastRenderedPageBreak/>
        <w:t>Abreviaturas</w:t>
      </w:r>
      <w:bookmarkEnd w:id="13"/>
    </w:p>
    <w:p w14:paraId="2BDC66AF" w14:textId="77777777" w:rsidR="00F944CB" w:rsidRPr="00453EB6" w:rsidRDefault="00F944CB" w:rsidP="003A671B">
      <w:pPr>
        <w:rPr>
          <w:rFonts w:ascii="Times New Roman" w:hAnsi="Times New Roman" w:cs="Times New Roman"/>
          <w:sz w:val="24"/>
          <w:lang w:val="es-CR"/>
        </w:rPr>
      </w:pPr>
    </w:p>
    <w:p w14:paraId="50DAF9B7" w14:textId="45984821" w:rsidR="005B30C0" w:rsidRPr="00966E1F" w:rsidRDefault="005B30C0" w:rsidP="003A671B">
      <w:pPr>
        <w:rPr>
          <w:rFonts w:cs="Times New Roman"/>
          <w:lang w:val="es-CR"/>
        </w:rPr>
      </w:pPr>
      <w:r w:rsidRPr="00966E1F">
        <w:rPr>
          <w:rFonts w:cs="Times New Roman"/>
          <w:lang w:val="es-CR"/>
        </w:rPr>
        <w:t>BNCR: Banco Nacional de Costa Rica</w:t>
      </w:r>
    </w:p>
    <w:p w14:paraId="0DD7BC9E" w14:textId="77777777" w:rsidR="00C97709" w:rsidRPr="00966E1F" w:rsidRDefault="00C97709" w:rsidP="00C97709">
      <w:pPr>
        <w:rPr>
          <w:rFonts w:cs="Times New Roman"/>
          <w:lang w:val="es-CR"/>
        </w:rPr>
      </w:pPr>
      <w:r w:rsidRPr="00966E1F">
        <w:rPr>
          <w:rFonts w:cs="Times New Roman"/>
          <w:lang w:val="es-CR"/>
        </w:rPr>
        <w:t>FBCR: Fondo de Jubilaciones de los Empleados del Banco de Costa Rica</w:t>
      </w:r>
    </w:p>
    <w:p w14:paraId="4132DDA7" w14:textId="4CC80C7A" w:rsidR="003A671B" w:rsidRPr="00966E1F" w:rsidRDefault="003A671B" w:rsidP="003A671B">
      <w:pPr>
        <w:rPr>
          <w:rFonts w:cs="Times New Roman"/>
          <w:lang w:val="es-CR"/>
        </w:rPr>
      </w:pPr>
      <w:r w:rsidRPr="00966E1F">
        <w:rPr>
          <w:rFonts w:cs="Times New Roman"/>
          <w:lang w:val="es-CR"/>
        </w:rPr>
        <w:t xml:space="preserve">FBNCR </w:t>
      </w:r>
      <w:r w:rsidR="00C528E8" w:rsidRPr="00966E1F">
        <w:rPr>
          <w:rFonts w:cs="Times New Roman"/>
          <w:lang w:val="es-CR"/>
        </w:rPr>
        <w:t>Fondo de Garantías y Jubilaciones del BNCR</w:t>
      </w:r>
    </w:p>
    <w:p w14:paraId="61552C81" w14:textId="1B993951" w:rsidR="003A671B" w:rsidRPr="00966E1F" w:rsidRDefault="003A671B" w:rsidP="003A671B">
      <w:pPr>
        <w:rPr>
          <w:rFonts w:cs="Times New Roman"/>
        </w:rPr>
      </w:pPr>
      <w:r w:rsidRPr="00966E1F">
        <w:rPr>
          <w:rFonts w:cs="Times New Roman"/>
        </w:rPr>
        <w:t>FBOMBEROS: Fondo de Pensiones del Benemérito Cuerpo de Bombero</w:t>
      </w:r>
    </w:p>
    <w:p w14:paraId="0788560A" w14:textId="5A3AFB44" w:rsidR="00A50FE6" w:rsidRPr="00966E1F" w:rsidRDefault="00A50FE6" w:rsidP="004250B7">
      <w:pPr>
        <w:jc w:val="both"/>
      </w:pPr>
      <w:r w:rsidRPr="00966E1F">
        <w:t xml:space="preserve">FCL: Fondo de Capitalización Laboral. </w:t>
      </w:r>
    </w:p>
    <w:p w14:paraId="167CC764" w14:textId="77777777" w:rsidR="005B30C0" w:rsidRPr="00966E1F" w:rsidRDefault="003A671B" w:rsidP="003A671B">
      <w:pPr>
        <w:rPr>
          <w:rFonts w:cs="Times New Roman"/>
          <w:lang w:val="es-CR"/>
        </w:rPr>
      </w:pPr>
      <w:r w:rsidRPr="00966E1F">
        <w:rPr>
          <w:rFonts w:cs="Times New Roman"/>
          <w:lang w:val="es-CR"/>
        </w:rPr>
        <w:t xml:space="preserve">FICE: </w:t>
      </w:r>
      <w:r w:rsidR="005B30C0" w:rsidRPr="00966E1F">
        <w:rPr>
          <w:rFonts w:cs="Times New Roman"/>
          <w:lang w:val="es-CR"/>
        </w:rPr>
        <w:t>Fondo de Garantías y Jubilaciones del BNCR</w:t>
      </w:r>
    </w:p>
    <w:p w14:paraId="4ECCF937" w14:textId="77777777" w:rsidR="00C97709" w:rsidRPr="00966E1F" w:rsidRDefault="00C97709" w:rsidP="00C97709">
      <w:pPr>
        <w:rPr>
          <w:rFonts w:cs="Times New Roman"/>
          <w:lang w:val="es-CR"/>
        </w:rPr>
      </w:pPr>
      <w:r w:rsidRPr="00966E1F">
        <w:rPr>
          <w:rFonts w:cs="Times New Roman"/>
          <w:lang w:val="es-CR"/>
        </w:rPr>
        <w:t>FICT: Fondo de Empleados del Instituto Costarricense de Turismo</w:t>
      </w:r>
    </w:p>
    <w:p w14:paraId="0DCB9B33" w14:textId="3E3BC837" w:rsidR="003A671B" w:rsidRPr="00966E1F" w:rsidRDefault="003A671B" w:rsidP="003A671B">
      <w:pPr>
        <w:rPr>
          <w:rFonts w:cs="Times New Roman"/>
        </w:rPr>
      </w:pPr>
      <w:r w:rsidRPr="00966E1F">
        <w:rPr>
          <w:rFonts w:cs="Times New Roman"/>
        </w:rPr>
        <w:t>FPJ: Fondo de Jubilaciones y Pensiones del Poder Judicial</w:t>
      </w:r>
    </w:p>
    <w:p w14:paraId="26D1DDA6" w14:textId="77777777" w:rsidR="00C97709" w:rsidRPr="00966E1F" w:rsidRDefault="00C97709" w:rsidP="00C97709">
      <w:pPr>
        <w:rPr>
          <w:rFonts w:cs="Times New Roman"/>
          <w:lang w:val="es-CR"/>
        </w:rPr>
      </w:pPr>
      <w:r w:rsidRPr="00966E1F">
        <w:rPr>
          <w:rFonts w:cs="Times New Roman"/>
          <w:lang w:val="es-CR"/>
        </w:rPr>
        <w:t>FRE: Fondo de Retiro de los Empleados de la Caja Costarricense de Seguro Social.</w:t>
      </w:r>
    </w:p>
    <w:p w14:paraId="506CB5B9" w14:textId="77777777" w:rsidR="00C97709" w:rsidRPr="00966E1F" w:rsidRDefault="00C97709" w:rsidP="00C97709">
      <w:pPr>
        <w:rPr>
          <w:rFonts w:cs="Times New Roman"/>
          <w:lang w:val="es-CR"/>
        </w:rPr>
      </w:pPr>
      <w:r w:rsidRPr="00966E1F">
        <w:rPr>
          <w:rFonts w:cs="Times New Roman"/>
          <w:lang w:val="es-CR"/>
        </w:rPr>
        <w:t>FVENTLOT: Fondo de Jubilaciones y Pensiones de los Vendedores de Lotería.</w:t>
      </w:r>
    </w:p>
    <w:p w14:paraId="05473C4F" w14:textId="77777777" w:rsidR="00015663" w:rsidRPr="00966E1F" w:rsidRDefault="00015663" w:rsidP="00015663">
      <w:pPr>
        <w:jc w:val="both"/>
      </w:pPr>
      <w:r w:rsidRPr="00966E1F">
        <w:t>IVM: Régimen de Invalidez, Vejez y Muerte de la Caja Costarricense de Seguro Social.</w:t>
      </w:r>
    </w:p>
    <w:p w14:paraId="1E462DCC" w14:textId="036DF1B0" w:rsidR="00BB7031" w:rsidRPr="00966E1F" w:rsidRDefault="00BB7031" w:rsidP="003A671B">
      <w:pPr>
        <w:rPr>
          <w:rFonts w:cs="Times New Roman"/>
        </w:rPr>
      </w:pPr>
      <w:r w:rsidRPr="00966E1F">
        <w:rPr>
          <w:rFonts w:cs="Times New Roman"/>
        </w:rPr>
        <w:t>LTP: Ley de Protección al Trabajador.</w:t>
      </w:r>
    </w:p>
    <w:p w14:paraId="3E036562" w14:textId="471225EF" w:rsidR="000D46DB" w:rsidRPr="00966E1F" w:rsidRDefault="000D46DB" w:rsidP="003A671B">
      <w:pPr>
        <w:rPr>
          <w:rFonts w:cs="Times New Roman"/>
        </w:rPr>
      </w:pPr>
      <w:r w:rsidRPr="00966E1F">
        <w:rPr>
          <w:rFonts w:cs="Times New Roman"/>
        </w:rPr>
        <w:t>OPC: Operadora de Pensiones Complementaria</w:t>
      </w:r>
      <w:r w:rsidR="00017958" w:rsidRPr="00966E1F">
        <w:rPr>
          <w:rFonts w:cs="Times New Roman"/>
        </w:rPr>
        <w:t xml:space="preserve"> u operadoras de pensiones complementarias.</w:t>
      </w:r>
    </w:p>
    <w:p w14:paraId="6341FDE7" w14:textId="32212E8B" w:rsidR="00E4478C" w:rsidRPr="00966E1F" w:rsidRDefault="00E4478C" w:rsidP="003A671B">
      <w:pPr>
        <w:rPr>
          <w:rFonts w:cs="Times New Roman"/>
        </w:rPr>
      </w:pPr>
      <w:r w:rsidRPr="00966E1F">
        <w:rPr>
          <w:rFonts w:cs="Times New Roman"/>
        </w:rPr>
        <w:t>PIB: Producto Interno Bruto</w:t>
      </w:r>
    </w:p>
    <w:p w14:paraId="342B4497" w14:textId="60D840FC" w:rsidR="003A671B" w:rsidRPr="00966E1F" w:rsidRDefault="003A671B" w:rsidP="003A671B">
      <w:pPr>
        <w:rPr>
          <w:rFonts w:cs="Times New Roman"/>
        </w:rPr>
      </w:pPr>
      <w:r w:rsidRPr="00966E1F">
        <w:rPr>
          <w:rFonts w:cs="Times New Roman"/>
        </w:rPr>
        <w:t>RCCMN: Régimen de Capitalización Colectiva del Magisterio Nacional.</w:t>
      </w:r>
    </w:p>
    <w:p w14:paraId="1A7C8B4F" w14:textId="0E236014" w:rsidR="004250B7" w:rsidRPr="00966E1F" w:rsidRDefault="00015663" w:rsidP="004250B7">
      <w:pPr>
        <w:jc w:val="both"/>
      </w:pPr>
      <w:r w:rsidRPr="00966E1F">
        <w:t>R</w:t>
      </w:r>
      <w:r w:rsidR="004250B7" w:rsidRPr="00966E1F">
        <w:t>IVM: Régimen de Invalidez, Vejez y Muerte de la Caja Costarricense de Seguro Social.</w:t>
      </w:r>
    </w:p>
    <w:p w14:paraId="4FAEDB7B" w14:textId="60AAF152" w:rsidR="004250B7" w:rsidRPr="00966E1F" w:rsidRDefault="00B51E0B" w:rsidP="004250B7">
      <w:pPr>
        <w:jc w:val="both"/>
      </w:pPr>
      <w:r w:rsidRPr="00966E1F">
        <w:t>SNP: Sistema Nacional de Pensiones.</w:t>
      </w:r>
    </w:p>
    <w:p w14:paraId="18F8D2CC" w14:textId="2A8863E0" w:rsidR="00E271BE" w:rsidRPr="00966E1F" w:rsidRDefault="00E271BE" w:rsidP="004250B7">
      <w:pPr>
        <w:jc w:val="both"/>
      </w:pPr>
      <w:r w:rsidRPr="00966E1F">
        <w:t>SUPEN: Superintendencia de Pensiones.</w:t>
      </w:r>
    </w:p>
    <w:p w14:paraId="286BB32B" w14:textId="77777777" w:rsidR="00C97709" w:rsidRPr="00C97709" w:rsidRDefault="00C97709">
      <w:pPr>
        <w:rPr>
          <w:rFonts w:ascii="Times New Roman" w:hAnsi="Times New Roman" w:cs="Times New Roman"/>
          <w:sz w:val="24"/>
          <w:lang w:val="es-CR"/>
        </w:rPr>
      </w:pPr>
    </w:p>
    <w:sectPr w:rsidR="00C97709" w:rsidRPr="00C97709" w:rsidSect="00EA4C18">
      <w:headerReference w:type="default" r:id="rId22"/>
      <w:footerReference w:type="default" r:id="rId23"/>
      <w:pgSz w:w="12240" w:h="15840"/>
      <w:pgMar w:top="1417" w:right="1325"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AD96" w14:textId="77777777" w:rsidR="00881C90" w:rsidRDefault="00881C90" w:rsidP="00907FB5">
      <w:r>
        <w:separator/>
      </w:r>
    </w:p>
  </w:endnote>
  <w:endnote w:type="continuationSeparator" w:id="0">
    <w:p w14:paraId="4C9D5343" w14:textId="77777777" w:rsidR="00881C90" w:rsidRDefault="00881C90" w:rsidP="00907FB5">
      <w:r>
        <w:continuationSeparator/>
      </w:r>
    </w:p>
  </w:endnote>
  <w:endnote w:type="continuationNotice" w:id="1">
    <w:p w14:paraId="14BEA1BA" w14:textId="77777777" w:rsidR="00881C90" w:rsidRDefault="0088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1352" w14:textId="77777777" w:rsidR="00EB604E" w:rsidRDefault="00EB60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CD2D" w14:textId="77777777" w:rsidR="00EB604E" w:rsidRDefault="00EB60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2501" w14:textId="77777777" w:rsidR="00EB604E" w:rsidRDefault="00EB604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6561" w14:textId="77777777" w:rsidR="00EB604E" w:rsidRPr="00BE078A" w:rsidRDefault="00EB604E" w:rsidP="0099659B">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777A856F" w14:textId="77777777" w:rsidR="00EB604E" w:rsidRDefault="00EB60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8DC9" w14:textId="77777777" w:rsidR="00881C90" w:rsidRDefault="00881C90" w:rsidP="00907FB5">
      <w:r>
        <w:separator/>
      </w:r>
    </w:p>
  </w:footnote>
  <w:footnote w:type="continuationSeparator" w:id="0">
    <w:p w14:paraId="4AC87EB0" w14:textId="77777777" w:rsidR="00881C90" w:rsidRDefault="00881C90" w:rsidP="00907FB5">
      <w:r>
        <w:continuationSeparator/>
      </w:r>
    </w:p>
  </w:footnote>
  <w:footnote w:type="continuationNotice" w:id="1">
    <w:p w14:paraId="07461E82" w14:textId="77777777" w:rsidR="00881C90" w:rsidRDefault="00881C90"/>
  </w:footnote>
  <w:footnote w:id="2">
    <w:p w14:paraId="7547D27E" w14:textId="3D0582B7" w:rsidR="00EB604E" w:rsidRPr="00526554" w:rsidRDefault="00EB604E" w:rsidP="00526554">
      <w:pPr>
        <w:pStyle w:val="Textonotapie"/>
        <w:jc w:val="both"/>
        <w:rPr>
          <w:sz w:val="18"/>
          <w:szCs w:val="18"/>
        </w:rPr>
      </w:pPr>
      <w:r>
        <w:rPr>
          <w:rStyle w:val="Refdenotaalpie"/>
        </w:rPr>
        <w:footnoteRef/>
      </w:r>
      <w:r>
        <w:t xml:space="preserve"> </w:t>
      </w:r>
      <w:r w:rsidRPr="00526554">
        <w:rPr>
          <w:sz w:val="18"/>
          <w:szCs w:val="18"/>
        </w:rPr>
        <w:t>De conformidad con la modificación a la Ley de Protección al Trabajador, mediante la Ley para Resguardar el Derecho de los Trabajadores a Retirar los Recursos de la Pensión Complementaria (ley 9 906) del 5 de octubre de 2020.</w:t>
      </w:r>
    </w:p>
  </w:footnote>
  <w:footnote w:id="3">
    <w:p w14:paraId="6F16DD7F" w14:textId="7D0F6B36" w:rsidR="00EB604E" w:rsidRPr="00B57359" w:rsidRDefault="00EB604E" w:rsidP="000A787A">
      <w:pPr>
        <w:pStyle w:val="Textonotapie"/>
        <w:jc w:val="both"/>
        <w:rPr>
          <w:sz w:val="18"/>
          <w:szCs w:val="18"/>
          <w:lang w:val="es-CR"/>
        </w:rPr>
      </w:pPr>
      <w:r>
        <w:rPr>
          <w:rStyle w:val="Refdenotaalpie"/>
        </w:rPr>
        <w:footnoteRef/>
      </w:r>
      <w:r>
        <w:t xml:space="preserve"> </w:t>
      </w:r>
      <w:r w:rsidRPr="00B57359">
        <w:rPr>
          <w:sz w:val="18"/>
          <w:szCs w:val="18"/>
          <w:lang w:val="es-CR"/>
        </w:rPr>
        <w:t xml:space="preserve">De conformidad con el artículo 4 del </w:t>
      </w:r>
      <w:r w:rsidRPr="00B57359">
        <w:rPr>
          <w:i/>
          <w:iCs/>
          <w:sz w:val="18"/>
          <w:szCs w:val="18"/>
          <w:lang w:val="es-CR"/>
        </w:rPr>
        <w:t>Reglamento sobre la Apertura y Funcionamiento de las Entidades Autorizadas y el Funcionamiento de los Fondos de Pensiones, Capitalización Laboral y Ahorro Voluntario Previstos en la Ley de Protección al Trabajador</w:t>
      </w:r>
      <w:r w:rsidRPr="00B57359">
        <w:rPr>
          <w:sz w:val="18"/>
          <w:szCs w:val="18"/>
          <w:lang w:val="es-CR"/>
        </w:rPr>
        <w:t xml:space="preserve">, la adjudicación de la administración de estos recursos se realiza mediante una licitación entre Operadoras de Pensiones, por un plazo de 2 años prorrogables. </w:t>
      </w:r>
    </w:p>
  </w:footnote>
  <w:footnote w:id="4">
    <w:p w14:paraId="6D3B2635" w14:textId="34F912EE" w:rsidR="00EB604E" w:rsidRPr="00575802" w:rsidRDefault="00EB604E">
      <w:pPr>
        <w:pStyle w:val="Textonotapie"/>
        <w:rPr>
          <w:sz w:val="18"/>
          <w:szCs w:val="18"/>
          <w:lang w:val="es-CR"/>
        </w:rPr>
      </w:pPr>
      <w:r>
        <w:rPr>
          <w:rStyle w:val="Refdenotaalpie"/>
        </w:rPr>
        <w:footnoteRef/>
      </w:r>
      <w:r>
        <w:t xml:space="preserve"> </w:t>
      </w:r>
      <w:r w:rsidRPr="00575802">
        <w:rPr>
          <w:sz w:val="18"/>
          <w:szCs w:val="18"/>
        </w:rPr>
        <w:t>No considera las carteras crediticias de los fondos que otorgan crédito a sus cotizantes.</w:t>
      </w:r>
    </w:p>
  </w:footnote>
  <w:footnote w:id="5">
    <w:p w14:paraId="7A1D1E05" w14:textId="386ACD0E" w:rsidR="00EB604E" w:rsidRPr="007A45AD" w:rsidRDefault="00EB604E" w:rsidP="007A45AD">
      <w:pPr>
        <w:pStyle w:val="Textonotapie"/>
        <w:jc w:val="both"/>
        <w:rPr>
          <w:sz w:val="18"/>
          <w:szCs w:val="18"/>
        </w:rPr>
      </w:pPr>
      <w:r>
        <w:rPr>
          <w:rStyle w:val="Refdenotaalpie"/>
        </w:rPr>
        <w:footnoteRef/>
      </w:r>
      <w:r>
        <w:t xml:space="preserve"> </w:t>
      </w:r>
      <w:r w:rsidRPr="007A45AD">
        <w:rPr>
          <w:sz w:val="18"/>
          <w:szCs w:val="18"/>
        </w:rPr>
        <w:t>El proyecto de ley también contempló que la Junta de Pensiones y Jubilaciones del Magisterio Nacional pueda invertir hasta un 20% de los recursos del fondo en proyectos de infraestructura</w:t>
      </w:r>
      <w:r>
        <w:rPr>
          <w:sz w:val="18"/>
          <w:szCs w:val="18"/>
        </w:rPr>
        <w:t xml:space="preserve"> en el territorio nacional</w:t>
      </w:r>
      <w:r w:rsidRPr="007A45AD">
        <w:rPr>
          <w:sz w:val="18"/>
          <w:szCs w:val="18"/>
        </w:rPr>
        <w:t>.</w:t>
      </w:r>
    </w:p>
  </w:footnote>
  <w:footnote w:id="6">
    <w:p w14:paraId="5D367643" w14:textId="7EFA03C6" w:rsidR="00EB604E" w:rsidRPr="00B07492" w:rsidRDefault="00EB604E" w:rsidP="000A787A">
      <w:pPr>
        <w:pStyle w:val="Textonotapie"/>
        <w:jc w:val="both"/>
        <w:rPr>
          <w:sz w:val="18"/>
          <w:szCs w:val="18"/>
        </w:rPr>
      </w:pPr>
      <w:r>
        <w:rPr>
          <w:rStyle w:val="Refdenotaalpie"/>
        </w:rPr>
        <w:footnoteRef/>
      </w:r>
      <w:r>
        <w:t xml:space="preserve"> </w:t>
      </w:r>
      <w:r w:rsidRPr="00B07492">
        <w:rPr>
          <w:sz w:val="18"/>
          <w:szCs w:val="18"/>
        </w:rPr>
        <w:t>Motivado entre otras razones, por la estrategia de financiamiento del Gobierno y los ajustes en materia fiscal emprendid</w:t>
      </w:r>
      <w:r w:rsidR="00EE04D5">
        <w:rPr>
          <w:sz w:val="18"/>
          <w:szCs w:val="18"/>
        </w:rPr>
        <w:t>o</w:t>
      </w:r>
      <w:r w:rsidRPr="00B07492">
        <w:rPr>
          <w:sz w:val="18"/>
          <w:szCs w:val="18"/>
        </w:rPr>
        <w:t>s por el Ministerio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2169" w14:textId="77777777" w:rsidR="00EB604E" w:rsidRDefault="00EB60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0E6B" w14:textId="1B029A1E" w:rsidR="00EB604E" w:rsidRDefault="00EB604E" w:rsidP="006C61CB">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23B2" w14:textId="77777777" w:rsidR="00EB604E" w:rsidRDefault="00EB604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0143" w14:textId="77777777" w:rsidR="00EB604E" w:rsidRDefault="00EB604E" w:rsidP="006C61CB">
    <w:pPr>
      <w:pStyle w:val="Encabezado"/>
      <w:jc w:val="both"/>
    </w:pPr>
    <w:r>
      <w:rPr>
        <w:noProof/>
      </w:rPr>
      <w:drawing>
        <wp:anchor distT="0" distB="0" distL="114300" distR="114300" simplePos="0" relativeHeight="251658241" behindDoc="0" locked="0" layoutInCell="1" allowOverlap="1" wp14:anchorId="6A8D4C44" wp14:editId="49B3C051">
          <wp:simplePos x="0" y="0"/>
          <wp:positionH relativeFrom="margin">
            <wp:align>right</wp:align>
          </wp:positionH>
          <wp:positionV relativeFrom="paragraph">
            <wp:posOffset>-164694</wp:posOffset>
          </wp:positionV>
          <wp:extent cx="950595" cy="615315"/>
          <wp:effectExtent l="0" t="0" r="1905" b="0"/>
          <wp:wrapTopAndBottom/>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0FE5C7AF" wp14:editId="7D2A3965">
          <wp:simplePos x="0" y="0"/>
          <wp:positionH relativeFrom="page">
            <wp:posOffset>812165</wp:posOffset>
          </wp:positionH>
          <wp:positionV relativeFrom="page">
            <wp:posOffset>184150</wp:posOffset>
          </wp:positionV>
          <wp:extent cx="1945005" cy="899795"/>
          <wp:effectExtent l="0" t="0" r="0" b="0"/>
          <wp:wrapTopAndBottom/>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8"/>
    <w:multiLevelType w:val="hybridMultilevel"/>
    <w:tmpl w:val="11D0BB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A12102"/>
    <w:multiLevelType w:val="multilevel"/>
    <w:tmpl w:val="E9BC6D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E85C0D"/>
    <w:multiLevelType w:val="multilevel"/>
    <w:tmpl w:val="655CED9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CCA2EFB"/>
    <w:multiLevelType w:val="hybridMultilevel"/>
    <w:tmpl w:val="EFC04248"/>
    <w:lvl w:ilvl="0" w:tplc="1A2A469A">
      <w:start w:val="936"/>
      <w:numFmt w:val="bullet"/>
      <w:lvlText w:val=""/>
      <w:lvlJc w:val="left"/>
      <w:pPr>
        <w:ind w:left="720" w:hanging="360"/>
      </w:pPr>
      <w:rPr>
        <w:rFonts w:ascii="Symbol" w:eastAsiaTheme="minorHAns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097A8C"/>
    <w:multiLevelType w:val="multilevel"/>
    <w:tmpl w:val="C418610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E8A4EEE"/>
    <w:multiLevelType w:val="multilevel"/>
    <w:tmpl w:val="7A60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66925"/>
    <w:multiLevelType w:val="hybridMultilevel"/>
    <w:tmpl w:val="2160BEA4"/>
    <w:lvl w:ilvl="0" w:tplc="CC325416">
      <w:start w:val="1"/>
      <w:numFmt w:val="decimal"/>
      <w:lvlText w:val="%1."/>
      <w:lvlJc w:val="left"/>
      <w:pPr>
        <w:ind w:left="360" w:hanging="360"/>
      </w:pPr>
      <w:rPr>
        <w:rFonts w:asciiTheme="minorHAnsi" w:hAnsiTheme="minorHAnsi" w:cstheme="minorBidi"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C405A3E"/>
    <w:multiLevelType w:val="multilevel"/>
    <w:tmpl w:val="70248FCA"/>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EF640E0"/>
    <w:multiLevelType w:val="multilevel"/>
    <w:tmpl w:val="05502D3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EB544A"/>
    <w:multiLevelType w:val="multilevel"/>
    <w:tmpl w:val="A09AC7F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F93CC1"/>
    <w:multiLevelType w:val="hybridMultilevel"/>
    <w:tmpl w:val="3F5863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AB01EBC"/>
    <w:multiLevelType w:val="hybridMultilevel"/>
    <w:tmpl w:val="CE22A402"/>
    <w:lvl w:ilvl="0" w:tplc="490E24A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B4D3AB7"/>
    <w:multiLevelType w:val="hybridMultilevel"/>
    <w:tmpl w:val="D3F4D44E"/>
    <w:lvl w:ilvl="0" w:tplc="654CA942">
      <w:start w:val="1"/>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F8B0596"/>
    <w:multiLevelType w:val="multilevel"/>
    <w:tmpl w:val="627A503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14A6C90"/>
    <w:multiLevelType w:val="multilevel"/>
    <w:tmpl w:val="52BA2E3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7B6AEF"/>
    <w:multiLevelType w:val="hybridMultilevel"/>
    <w:tmpl w:val="A2400E9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4D807E60"/>
    <w:multiLevelType w:val="hybridMultilevel"/>
    <w:tmpl w:val="B7860E1C"/>
    <w:lvl w:ilvl="0" w:tplc="EB46748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D716CA"/>
    <w:multiLevelType w:val="multilevel"/>
    <w:tmpl w:val="661E124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5283919"/>
    <w:multiLevelType w:val="hybridMultilevel"/>
    <w:tmpl w:val="174AF76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5822545E"/>
    <w:multiLevelType w:val="multilevel"/>
    <w:tmpl w:val="8956289A"/>
    <w:lvl w:ilvl="0">
      <w:start w:val="2"/>
      <w:numFmt w:val="decimal"/>
      <w:lvlText w:val="%1."/>
      <w:lvlJc w:val="left"/>
      <w:pPr>
        <w:ind w:left="1188" w:hanging="48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508" w:hanging="10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588" w:hanging="1440"/>
      </w:pPr>
      <w:rPr>
        <w:rFonts w:hint="default"/>
      </w:rPr>
    </w:lvl>
    <w:lvl w:ilvl="5">
      <w:start w:val="1"/>
      <w:numFmt w:val="decimal"/>
      <w:lvlText w:val="%1.%2.%3.%4.%5.%6."/>
      <w:lvlJc w:val="left"/>
      <w:pPr>
        <w:ind w:left="4308" w:hanging="1800"/>
      </w:pPr>
      <w:rPr>
        <w:rFonts w:hint="default"/>
      </w:rPr>
    </w:lvl>
    <w:lvl w:ilvl="6">
      <w:start w:val="1"/>
      <w:numFmt w:val="decimal"/>
      <w:lvlText w:val="%1.%2.%3.%4.%5.%6.%7."/>
      <w:lvlJc w:val="left"/>
      <w:pPr>
        <w:ind w:left="5028" w:hanging="2160"/>
      </w:pPr>
      <w:rPr>
        <w:rFonts w:hint="default"/>
      </w:rPr>
    </w:lvl>
    <w:lvl w:ilvl="7">
      <w:start w:val="1"/>
      <w:numFmt w:val="decimal"/>
      <w:lvlText w:val="%1.%2.%3.%4.%5.%6.%7.%8."/>
      <w:lvlJc w:val="left"/>
      <w:pPr>
        <w:ind w:left="5388" w:hanging="2160"/>
      </w:pPr>
      <w:rPr>
        <w:rFonts w:hint="default"/>
      </w:rPr>
    </w:lvl>
    <w:lvl w:ilvl="8">
      <w:start w:val="1"/>
      <w:numFmt w:val="decimal"/>
      <w:lvlText w:val="%1.%2.%3.%4.%5.%6.%7.%8.%9."/>
      <w:lvlJc w:val="left"/>
      <w:pPr>
        <w:ind w:left="6108" w:hanging="2520"/>
      </w:pPr>
      <w:rPr>
        <w:rFonts w:hint="default"/>
      </w:rPr>
    </w:lvl>
  </w:abstractNum>
  <w:abstractNum w:abstractNumId="20" w15:restartNumberingAfterBreak="0">
    <w:nsid w:val="59137D6D"/>
    <w:multiLevelType w:val="multilevel"/>
    <w:tmpl w:val="4A06589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9BF3CD4"/>
    <w:multiLevelType w:val="hybridMultilevel"/>
    <w:tmpl w:val="0E00963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5AD43879"/>
    <w:multiLevelType w:val="multilevel"/>
    <w:tmpl w:val="4F32CA4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1B6856"/>
    <w:multiLevelType w:val="multilevel"/>
    <w:tmpl w:val="D06654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F6F6B49"/>
    <w:multiLevelType w:val="hybridMultilevel"/>
    <w:tmpl w:val="2B98B7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A95F12"/>
    <w:multiLevelType w:val="multilevel"/>
    <w:tmpl w:val="F25E9C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865496D"/>
    <w:multiLevelType w:val="hybridMultilevel"/>
    <w:tmpl w:val="0E00963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6AA63BC5"/>
    <w:multiLevelType w:val="hybridMultilevel"/>
    <w:tmpl w:val="5168619E"/>
    <w:lvl w:ilvl="0" w:tplc="EB46748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F084E1E"/>
    <w:multiLevelType w:val="hybridMultilevel"/>
    <w:tmpl w:val="F73E9E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0FB2565"/>
    <w:multiLevelType w:val="multilevel"/>
    <w:tmpl w:val="8956289A"/>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740D6A11"/>
    <w:multiLevelType w:val="hybridMultilevel"/>
    <w:tmpl w:val="BEC66CF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0E0110"/>
    <w:multiLevelType w:val="hybridMultilevel"/>
    <w:tmpl w:val="41246452"/>
    <w:lvl w:ilvl="0" w:tplc="1CD8DB46">
      <w:start w:val="1"/>
      <w:numFmt w:val="decimal"/>
      <w:lvlText w:val="(%1)"/>
      <w:lvlJc w:val="left"/>
      <w:pPr>
        <w:ind w:left="644" w:hanging="360"/>
      </w:pPr>
      <w:rPr>
        <w:sz w:val="22"/>
        <w:szCs w:val="22"/>
        <w:vertAlign w:val="superscript"/>
      </w:r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32" w15:restartNumberingAfterBreak="0">
    <w:nsid w:val="7C105077"/>
    <w:multiLevelType w:val="hybridMultilevel"/>
    <w:tmpl w:val="3C2852E4"/>
    <w:lvl w:ilvl="0" w:tplc="C096DDB4">
      <w:numFmt w:val="bullet"/>
      <w:lvlText w:val=""/>
      <w:lvlJc w:val="left"/>
      <w:pPr>
        <w:ind w:left="1065" w:hanging="705"/>
      </w:pPr>
      <w:rPr>
        <w:rFonts w:ascii="Symbol" w:eastAsiaTheme="minorHAnsi" w:hAnsi="Symbol" w:cstheme="minorHAns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0"/>
  </w:num>
  <w:num w:numId="4">
    <w:abstractNumId w:val="11"/>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17"/>
  </w:num>
  <w:num w:numId="13">
    <w:abstractNumId w:val="14"/>
  </w:num>
  <w:num w:numId="14">
    <w:abstractNumId w:val="22"/>
  </w:num>
  <w:num w:numId="15">
    <w:abstractNumId w:val="1"/>
  </w:num>
  <w:num w:numId="16">
    <w:abstractNumId w:val="30"/>
  </w:num>
  <w:num w:numId="17">
    <w:abstractNumId w:val="7"/>
  </w:num>
  <w:num w:numId="18">
    <w:abstractNumId w:val="29"/>
  </w:num>
  <w:num w:numId="19">
    <w:abstractNumId w:val="19"/>
  </w:num>
  <w:num w:numId="20">
    <w:abstractNumId w:val="4"/>
  </w:num>
  <w:num w:numId="21">
    <w:abstractNumId w:val="2"/>
  </w:num>
  <w:num w:numId="22">
    <w:abstractNumId w:val="25"/>
  </w:num>
  <w:num w:numId="23">
    <w:abstractNumId w:val="13"/>
  </w:num>
  <w:num w:numId="24">
    <w:abstractNumId w:val="9"/>
  </w:num>
  <w:num w:numId="25">
    <w:abstractNumId w:val="20"/>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D3"/>
    <w:rsid w:val="00000268"/>
    <w:rsid w:val="00000E39"/>
    <w:rsid w:val="000047DA"/>
    <w:rsid w:val="00004F14"/>
    <w:rsid w:val="000057E0"/>
    <w:rsid w:val="00005E2B"/>
    <w:rsid w:val="00006931"/>
    <w:rsid w:val="00007978"/>
    <w:rsid w:val="00007EE8"/>
    <w:rsid w:val="00010F60"/>
    <w:rsid w:val="0001207D"/>
    <w:rsid w:val="00012C7F"/>
    <w:rsid w:val="000137E8"/>
    <w:rsid w:val="000154A4"/>
    <w:rsid w:val="00015663"/>
    <w:rsid w:val="00016EB3"/>
    <w:rsid w:val="00017958"/>
    <w:rsid w:val="00017EF0"/>
    <w:rsid w:val="000202B3"/>
    <w:rsid w:val="00020C40"/>
    <w:rsid w:val="000241A9"/>
    <w:rsid w:val="00025A9B"/>
    <w:rsid w:val="00026208"/>
    <w:rsid w:val="0003198B"/>
    <w:rsid w:val="00032290"/>
    <w:rsid w:val="00033280"/>
    <w:rsid w:val="000353C3"/>
    <w:rsid w:val="00035FAC"/>
    <w:rsid w:val="00036631"/>
    <w:rsid w:val="00037AE3"/>
    <w:rsid w:val="000401A5"/>
    <w:rsid w:val="00043771"/>
    <w:rsid w:val="000475A6"/>
    <w:rsid w:val="000477B8"/>
    <w:rsid w:val="00050357"/>
    <w:rsid w:val="000510ED"/>
    <w:rsid w:val="000516E9"/>
    <w:rsid w:val="0005192A"/>
    <w:rsid w:val="00051A8E"/>
    <w:rsid w:val="00051C99"/>
    <w:rsid w:val="000527A7"/>
    <w:rsid w:val="0005331D"/>
    <w:rsid w:val="00053857"/>
    <w:rsid w:val="00054769"/>
    <w:rsid w:val="00054DD3"/>
    <w:rsid w:val="0005512B"/>
    <w:rsid w:val="00055B5B"/>
    <w:rsid w:val="00055C74"/>
    <w:rsid w:val="00057B15"/>
    <w:rsid w:val="00060CD9"/>
    <w:rsid w:val="00060E44"/>
    <w:rsid w:val="00061688"/>
    <w:rsid w:val="00061AD5"/>
    <w:rsid w:val="00061D2A"/>
    <w:rsid w:val="000622E2"/>
    <w:rsid w:val="00062764"/>
    <w:rsid w:val="000636AC"/>
    <w:rsid w:val="00064059"/>
    <w:rsid w:val="0006445B"/>
    <w:rsid w:val="0006447B"/>
    <w:rsid w:val="0006483D"/>
    <w:rsid w:val="00067569"/>
    <w:rsid w:val="000679BC"/>
    <w:rsid w:val="00067B7C"/>
    <w:rsid w:val="00071378"/>
    <w:rsid w:val="00071515"/>
    <w:rsid w:val="00071915"/>
    <w:rsid w:val="00071A35"/>
    <w:rsid w:val="00072C2A"/>
    <w:rsid w:val="00072DAC"/>
    <w:rsid w:val="00076111"/>
    <w:rsid w:val="00076125"/>
    <w:rsid w:val="00080298"/>
    <w:rsid w:val="00080334"/>
    <w:rsid w:val="00080588"/>
    <w:rsid w:val="00082144"/>
    <w:rsid w:val="0008219A"/>
    <w:rsid w:val="000826B3"/>
    <w:rsid w:val="0008376C"/>
    <w:rsid w:val="00084CDB"/>
    <w:rsid w:val="00085C6D"/>
    <w:rsid w:val="000904CC"/>
    <w:rsid w:val="00092044"/>
    <w:rsid w:val="0009427F"/>
    <w:rsid w:val="000943E1"/>
    <w:rsid w:val="0009530E"/>
    <w:rsid w:val="000959A1"/>
    <w:rsid w:val="00095A91"/>
    <w:rsid w:val="000A01F2"/>
    <w:rsid w:val="000A063B"/>
    <w:rsid w:val="000A2C6A"/>
    <w:rsid w:val="000A3BDC"/>
    <w:rsid w:val="000A66D9"/>
    <w:rsid w:val="000A787A"/>
    <w:rsid w:val="000A7BC2"/>
    <w:rsid w:val="000B0608"/>
    <w:rsid w:val="000B0D7B"/>
    <w:rsid w:val="000B0DE3"/>
    <w:rsid w:val="000B12F9"/>
    <w:rsid w:val="000B229E"/>
    <w:rsid w:val="000B2ACF"/>
    <w:rsid w:val="000B339E"/>
    <w:rsid w:val="000B5DDA"/>
    <w:rsid w:val="000B60CF"/>
    <w:rsid w:val="000B65E0"/>
    <w:rsid w:val="000B69D9"/>
    <w:rsid w:val="000B6FFF"/>
    <w:rsid w:val="000B762D"/>
    <w:rsid w:val="000B76F2"/>
    <w:rsid w:val="000C02FB"/>
    <w:rsid w:val="000C0B0F"/>
    <w:rsid w:val="000C0B9A"/>
    <w:rsid w:val="000C19AF"/>
    <w:rsid w:val="000C23A4"/>
    <w:rsid w:val="000C240E"/>
    <w:rsid w:val="000C4D01"/>
    <w:rsid w:val="000C5168"/>
    <w:rsid w:val="000C6389"/>
    <w:rsid w:val="000C6D8F"/>
    <w:rsid w:val="000C70DC"/>
    <w:rsid w:val="000C7F04"/>
    <w:rsid w:val="000D1F04"/>
    <w:rsid w:val="000D23AA"/>
    <w:rsid w:val="000D2DC1"/>
    <w:rsid w:val="000D3D6D"/>
    <w:rsid w:val="000D3DCB"/>
    <w:rsid w:val="000D42DB"/>
    <w:rsid w:val="000D451D"/>
    <w:rsid w:val="000D46DB"/>
    <w:rsid w:val="000D4746"/>
    <w:rsid w:val="000D4CAA"/>
    <w:rsid w:val="000D4CED"/>
    <w:rsid w:val="000D68BD"/>
    <w:rsid w:val="000D6AB0"/>
    <w:rsid w:val="000E16A1"/>
    <w:rsid w:val="000E2E9F"/>
    <w:rsid w:val="000E34B0"/>
    <w:rsid w:val="000E3CCD"/>
    <w:rsid w:val="000E57CB"/>
    <w:rsid w:val="000E62BC"/>
    <w:rsid w:val="000E6B81"/>
    <w:rsid w:val="000E713B"/>
    <w:rsid w:val="000F00AF"/>
    <w:rsid w:val="000F0ECC"/>
    <w:rsid w:val="000F1063"/>
    <w:rsid w:val="000F10C6"/>
    <w:rsid w:val="000F1831"/>
    <w:rsid w:val="000F2C4C"/>
    <w:rsid w:val="000F3F6C"/>
    <w:rsid w:val="000F4A88"/>
    <w:rsid w:val="000F5A75"/>
    <w:rsid w:val="00100F10"/>
    <w:rsid w:val="0010149D"/>
    <w:rsid w:val="00101848"/>
    <w:rsid w:val="0010189D"/>
    <w:rsid w:val="00101907"/>
    <w:rsid w:val="00102227"/>
    <w:rsid w:val="001025A2"/>
    <w:rsid w:val="001028CA"/>
    <w:rsid w:val="00102D30"/>
    <w:rsid w:val="0010407E"/>
    <w:rsid w:val="00104C5F"/>
    <w:rsid w:val="00104F71"/>
    <w:rsid w:val="001131B9"/>
    <w:rsid w:val="0011322B"/>
    <w:rsid w:val="00113E63"/>
    <w:rsid w:val="001143B2"/>
    <w:rsid w:val="00114D1E"/>
    <w:rsid w:val="00115108"/>
    <w:rsid w:val="00116690"/>
    <w:rsid w:val="001167E1"/>
    <w:rsid w:val="00117732"/>
    <w:rsid w:val="001218E1"/>
    <w:rsid w:val="00122376"/>
    <w:rsid w:val="00122CE3"/>
    <w:rsid w:val="00123A40"/>
    <w:rsid w:val="001248C4"/>
    <w:rsid w:val="001253DB"/>
    <w:rsid w:val="00127068"/>
    <w:rsid w:val="0012736C"/>
    <w:rsid w:val="00130777"/>
    <w:rsid w:val="00131B90"/>
    <w:rsid w:val="001321E7"/>
    <w:rsid w:val="00132FAB"/>
    <w:rsid w:val="001355A1"/>
    <w:rsid w:val="00135936"/>
    <w:rsid w:val="00135D73"/>
    <w:rsid w:val="001364FD"/>
    <w:rsid w:val="00137B6F"/>
    <w:rsid w:val="0014068E"/>
    <w:rsid w:val="00141152"/>
    <w:rsid w:val="001436FE"/>
    <w:rsid w:val="00145E1C"/>
    <w:rsid w:val="00146827"/>
    <w:rsid w:val="00146CF4"/>
    <w:rsid w:val="0015033C"/>
    <w:rsid w:val="00150743"/>
    <w:rsid w:val="001523D1"/>
    <w:rsid w:val="001553A6"/>
    <w:rsid w:val="001556A6"/>
    <w:rsid w:val="00156D0D"/>
    <w:rsid w:val="00156E25"/>
    <w:rsid w:val="00157C55"/>
    <w:rsid w:val="00164294"/>
    <w:rsid w:val="00165AF9"/>
    <w:rsid w:val="00165DAD"/>
    <w:rsid w:val="0016628F"/>
    <w:rsid w:val="00167070"/>
    <w:rsid w:val="00167866"/>
    <w:rsid w:val="00167EDC"/>
    <w:rsid w:val="001704F1"/>
    <w:rsid w:val="0017180C"/>
    <w:rsid w:val="001719D5"/>
    <w:rsid w:val="00172D4F"/>
    <w:rsid w:val="0017412B"/>
    <w:rsid w:val="00174161"/>
    <w:rsid w:val="00174960"/>
    <w:rsid w:val="00177F1D"/>
    <w:rsid w:val="0018244A"/>
    <w:rsid w:val="00182AA0"/>
    <w:rsid w:val="00183051"/>
    <w:rsid w:val="001833F2"/>
    <w:rsid w:val="00183A3B"/>
    <w:rsid w:val="001840B6"/>
    <w:rsid w:val="00185865"/>
    <w:rsid w:val="00185FEE"/>
    <w:rsid w:val="00186052"/>
    <w:rsid w:val="00187EDC"/>
    <w:rsid w:val="001925AC"/>
    <w:rsid w:val="001973FF"/>
    <w:rsid w:val="00197C15"/>
    <w:rsid w:val="001A0652"/>
    <w:rsid w:val="001A06BF"/>
    <w:rsid w:val="001A1390"/>
    <w:rsid w:val="001A225E"/>
    <w:rsid w:val="001A2ED4"/>
    <w:rsid w:val="001A3C95"/>
    <w:rsid w:val="001A4964"/>
    <w:rsid w:val="001A4CDF"/>
    <w:rsid w:val="001A6375"/>
    <w:rsid w:val="001B0301"/>
    <w:rsid w:val="001B1468"/>
    <w:rsid w:val="001B1B1F"/>
    <w:rsid w:val="001B1CDD"/>
    <w:rsid w:val="001B2158"/>
    <w:rsid w:val="001B2D8B"/>
    <w:rsid w:val="001B30F7"/>
    <w:rsid w:val="001B4296"/>
    <w:rsid w:val="001B42F4"/>
    <w:rsid w:val="001B4A0C"/>
    <w:rsid w:val="001B5250"/>
    <w:rsid w:val="001B5E24"/>
    <w:rsid w:val="001B5FFB"/>
    <w:rsid w:val="001B6C3D"/>
    <w:rsid w:val="001C0301"/>
    <w:rsid w:val="001C12C1"/>
    <w:rsid w:val="001C2098"/>
    <w:rsid w:val="001C2BE3"/>
    <w:rsid w:val="001C41EC"/>
    <w:rsid w:val="001C4DDA"/>
    <w:rsid w:val="001C50BB"/>
    <w:rsid w:val="001C7581"/>
    <w:rsid w:val="001D0EC5"/>
    <w:rsid w:val="001D31E9"/>
    <w:rsid w:val="001D43D4"/>
    <w:rsid w:val="001D4DCF"/>
    <w:rsid w:val="001D7260"/>
    <w:rsid w:val="001D7D8D"/>
    <w:rsid w:val="001E0766"/>
    <w:rsid w:val="001E25DA"/>
    <w:rsid w:val="001E2804"/>
    <w:rsid w:val="001E33DB"/>
    <w:rsid w:val="001E50BA"/>
    <w:rsid w:val="001F1DB6"/>
    <w:rsid w:val="001F2888"/>
    <w:rsid w:val="001F4072"/>
    <w:rsid w:val="001F43EF"/>
    <w:rsid w:val="001F48C0"/>
    <w:rsid w:val="001F6256"/>
    <w:rsid w:val="00200006"/>
    <w:rsid w:val="00200A54"/>
    <w:rsid w:val="0020221D"/>
    <w:rsid w:val="00202DC2"/>
    <w:rsid w:val="00204355"/>
    <w:rsid w:val="002060B5"/>
    <w:rsid w:val="002071C6"/>
    <w:rsid w:val="00207BC4"/>
    <w:rsid w:val="002101FD"/>
    <w:rsid w:val="00210257"/>
    <w:rsid w:val="00211237"/>
    <w:rsid w:val="002114F3"/>
    <w:rsid w:val="00212FAE"/>
    <w:rsid w:val="00213DAD"/>
    <w:rsid w:val="00215EFD"/>
    <w:rsid w:val="002166E7"/>
    <w:rsid w:val="0021685D"/>
    <w:rsid w:val="00216B1F"/>
    <w:rsid w:val="00216D70"/>
    <w:rsid w:val="00217A45"/>
    <w:rsid w:val="00221E94"/>
    <w:rsid w:val="0022267D"/>
    <w:rsid w:val="002232A7"/>
    <w:rsid w:val="00225902"/>
    <w:rsid w:val="002275C1"/>
    <w:rsid w:val="0023083D"/>
    <w:rsid w:val="00232AED"/>
    <w:rsid w:val="00233A3E"/>
    <w:rsid w:val="00233F84"/>
    <w:rsid w:val="00233F9E"/>
    <w:rsid w:val="002343F8"/>
    <w:rsid w:val="00235C0B"/>
    <w:rsid w:val="00235E29"/>
    <w:rsid w:val="00235F64"/>
    <w:rsid w:val="002410F7"/>
    <w:rsid w:val="00241A91"/>
    <w:rsid w:val="00243F1D"/>
    <w:rsid w:val="00243FC4"/>
    <w:rsid w:val="002450B4"/>
    <w:rsid w:val="002454FE"/>
    <w:rsid w:val="00246B91"/>
    <w:rsid w:val="0024709D"/>
    <w:rsid w:val="00250B3A"/>
    <w:rsid w:val="00250BFD"/>
    <w:rsid w:val="00250FB2"/>
    <w:rsid w:val="0025327C"/>
    <w:rsid w:val="00253595"/>
    <w:rsid w:val="002537BC"/>
    <w:rsid w:val="00253B4B"/>
    <w:rsid w:val="00255FAE"/>
    <w:rsid w:val="00256C5C"/>
    <w:rsid w:val="00256FB6"/>
    <w:rsid w:val="0025754C"/>
    <w:rsid w:val="00257C5E"/>
    <w:rsid w:val="002603A2"/>
    <w:rsid w:val="00261CB6"/>
    <w:rsid w:val="002625CB"/>
    <w:rsid w:val="00264830"/>
    <w:rsid w:val="00264F10"/>
    <w:rsid w:val="00264F81"/>
    <w:rsid w:val="002650F8"/>
    <w:rsid w:val="00265AC6"/>
    <w:rsid w:val="00267923"/>
    <w:rsid w:val="00267B12"/>
    <w:rsid w:val="0027025E"/>
    <w:rsid w:val="00270676"/>
    <w:rsid w:val="00271877"/>
    <w:rsid w:val="002732ED"/>
    <w:rsid w:val="0027404E"/>
    <w:rsid w:val="00275C55"/>
    <w:rsid w:val="00281F4C"/>
    <w:rsid w:val="0028264B"/>
    <w:rsid w:val="00283F01"/>
    <w:rsid w:val="00283F44"/>
    <w:rsid w:val="00286195"/>
    <w:rsid w:val="00286D36"/>
    <w:rsid w:val="0029005C"/>
    <w:rsid w:val="0029016A"/>
    <w:rsid w:val="00290851"/>
    <w:rsid w:val="00292B8A"/>
    <w:rsid w:val="00292C1A"/>
    <w:rsid w:val="002942E0"/>
    <w:rsid w:val="0029536C"/>
    <w:rsid w:val="00296665"/>
    <w:rsid w:val="0029755F"/>
    <w:rsid w:val="002A028E"/>
    <w:rsid w:val="002A2352"/>
    <w:rsid w:val="002A31CA"/>
    <w:rsid w:val="002A39D2"/>
    <w:rsid w:val="002A4B5C"/>
    <w:rsid w:val="002A4CF0"/>
    <w:rsid w:val="002A580F"/>
    <w:rsid w:val="002A7015"/>
    <w:rsid w:val="002B0029"/>
    <w:rsid w:val="002B0CD2"/>
    <w:rsid w:val="002B3CFD"/>
    <w:rsid w:val="002B432A"/>
    <w:rsid w:val="002B4E5E"/>
    <w:rsid w:val="002B5B00"/>
    <w:rsid w:val="002C0B66"/>
    <w:rsid w:val="002C16DD"/>
    <w:rsid w:val="002C4D60"/>
    <w:rsid w:val="002C5A57"/>
    <w:rsid w:val="002C677E"/>
    <w:rsid w:val="002D1D17"/>
    <w:rsid w:val="002D2046"/>
    <w:rsid w:val="002D2869"/>
    <w:rsid w:val="002D2A95"/>
    <w:rsid w:val="002D3D06"/>
    <w:rsid w:val="002D4203"/>
    <w:rsid w:val="002D422C"/>
    <w:rsid w:val="002D4414"/>
    <w:rsid w:val="002D6BC7"/>
    <w:rsid w:val="002E0024"/>
    <w:rsid w:val="002E03D0"/>
    <w:rsid w:val="002E1948"/>
    <w:rsid w:val="002E2A29"/>
    <w:rsid w:val="002E3576"/>
    <w:rsid w:val="002E440E"/>
    <w:rsid w:val="002E49E1"/>
    <w:rsid w:val="002E604B"/>
    <w:rsid w:val="002E61FC"/>
    <w:rsid w:val="002E69DD"/>
    <w:rsid w:val="002E7005"/>
    <w:rsid w:val="002E75DC"/>
    <w:rsid w:val="002F05FF"/>
    <w:rsid w:val="002F1032"/>
    <w:rsid w:val="002F14FA"/>
    <w:rsid w:val="002F1E2A"/>
    <w:rsid w:val="002F2179"/>
    <w:rsid w:val="002F4AB6"/>
    <w:rsid w:val="002F4FA0"/>
    <w:rsid w:val="002F5C42"/>
    <w:rsid w:val="00303AF8"/>
    <w:rsid w:val="003044AC"/>
    <w:rsid w:val="003044F1"/>
    <w:rsid w:val="0030524B"/>
    <w:rsid w:val="00305389"/>
    <w:rsid w:val="00305560"/>
    <w:rsid w:val="003055DB"/>
    <w:rsid w:val="00307DC7"/>
    <w:rsid w:val="0031041E"/>
    <w:rsid w:val="00310B02"/>
    <w:rsid w:val="00310C29"/>
    <w:rsid w:val="00311FDD"/>
    <w:rsid w:val="00311FE6"/>
    <w:rsid w:val="00313182"/>
    <w:rsid w:val="00313642"/>
    <w:rsid w:val="003136BC"/>
    <w:rsid w:val="003141DA"/>
    <w:rsid w:val="00314A4F"/>
    <w:rsid w:val="00320111"/>
    <w:rsid w:val="00320273"/>
    <w:rsid w:val="0032190B"/>
    <w:rsid w:val="00321A52"/>
    <w:rsid w:val="00322CB0"/>
    <w:rsid w:val="003231BB"/>
    <w:rsid w:val="00323A51"/>
    <w:rsid w:val="00324644"/>
    <w:rsid w:val="00324A91"/>
    <w:rsid w:val="00325C3A"/>
    <w:rsid w:val="00326122"/>
    <w:rsid w:val="00326C19"/>
    <w:rsid w:val="00326F92"/>
    <w:rsid w:val="00327F7B"/>
    <w:rsid w:val="00333151"/>
    <w:rsid w:val="003340DF"/>
    <w:rsid w:val="00334249"/>
    <w:rsid w:val="00334CB2"/>
    <w:rsid w:val="003356E0"/>
    <w:rsid w:val="00335F8E"/>
    <w:rsid w:val="00336BB6"/>
    <w:rsid w:val="003377E6"/>
    <w:rsid w:val="00337AF2"/>
    <w:rsid w:val="00337C7B"/>
    <w:rsid w:val="00340456"/>
    <w:rsid w:val="00340E7E"/>
    <w:rsid w:val="003412EF"/>
    <w:rsid w:val="00342894"/>
    <w:rsid w:val="0034309C"/>
    <w:rsid w:val="0034392B"/>
    <w:rsid w:val="00344B57"/>
    <w:rsid w:val="00346543"/>
    <w:rsid w:val="00347166"/>
    <w:rsid w:val="003478E0"/>
    <w:rsid w:val="00352046"/>
    <w:rsid w:val="00352363"/>
    <w:rsid w:val="0035324B"/>
    <w:rsid w:val="00353343"/>
    <w:rsid w:val="00355216"/>
    <w:rsid w:val="00356127"/>
    <w:rsid w:val="00356618"/>
    <w:rsid w:val="0035730F"/>
    <w:rsid w:val="003608A6"/>
    <w:rsid w:val="00361A1F"/>
    <w:rsid w:val="0036238B"/>
    <w:rsid w:val="003631C8"/>
    <w:rsid w:val="00363743"/>
    <w:rsid w:val="00363E10"/>
    <w:rsid w:val="00364753"/>
    <w:rsid w:val="00364A36"/>
    <w:rsid w:val="0036555D"/>
    <w:rsid w:val="00365C65"/>
    <w:rsid w:val="00366687"/>
    <w:rsid w:val="00372635"/>
    <w:rsid w:val="00373B27"/>
    <w:rsid w:val="00373F2D"/>
    <w:rsid w:val="00374EE8"/>
    <w:rsid w:val="00377FF8"/>
    <w:rsid w:val="00380037"/>
    <w:rsid w:val="003803A1"/>
    <w:rsid w:val="00380AF3"/>
    <w:rsid w:val="003813B6"/>
    <w:rsid w:val="00381EA9"/>
    <w:rsid w:val="00381F24"/>
    <w:rsid w:val="00382E24"/>
    <w:rsid w:val="00383815"/>
    <w:rsid w:val="00383DE2"/>
    <w:rsid w:val="00383E4F"/>
    <w:rsid w:val="00384D8F"/>
    <w:rsid w:val="00385088"/>
    <w:rsid w:val="003851A4"/>
    <w:rsid w:val="003852D5"/>
    <w:rsid w:val="00387DC6"/>
    <w:rsid w:val="00390BF3"/>
    <w:rsid w:val="00390C2D"/>
    <w:rsid w:val="00392033"/>
    <w:rsid w:val="0039252D"/>
    <w:rsid w:val="003926AF"/>
    <w:rsid w:val="00392A2B"/>
    <w:rsid w:val="00395298"/>
    <w:rsid w:val="00396391"/>
    <w:rsid w:val="003964CF"/>
    <w:rsid w:val="00396D2D"/>
    <w:rsid w:val="00397C45"/>
    <w:rsid w:val="003A0A5D"/>
    <w:rsid w:val="003A0DE4"/>
    <w:rsid w:val="003A43DC"/>
    <w:rsid w:val="003A47D7"/>
    <w:rsid w:val="003A5B3F"/>
    <w:rsid w:val="003A671B"/>
    <w:rsid w:val="003A76C7"/>
    <w:rsid w:val="003B001A"/>
    <w:rsid w:val="003B0AF6"/>
    <w:rsid w:val="003B124B"/>
    <w:rsid w:val="003B1E61"/>
    <w:rsid w:val="003B3DFB"/>
    <w:rsid w:val="003B41E6"/>
    <w:rsid w:val="003B4C55"/>
    <w:rsid w:val="003B54BD"/>
    <w:rsid w:val="003B6A32"/>
    <w:rsid w:val="003B6EEA"/>
    <w:rsid w:val="003B7644"/>
    <w:rsid w:val="003C1D95"/>
    <w:rsid w:val="003C41D8"/>
    <w:rsid w:val="003C55DF"/>
    <w:rsid w:val="003C5B63"/>
    <w:rsid w:val="003C66BC"/>
    <w:rsid w:val="003D0BEA"/>
    <w:rsid w:val="003D0C44"/>
    <w:rsid w:val="003D1423"/>
    <w:rsid w:val="003D1DBC"/>
    <w:rsid w:val="003D22FE"/>
    <w:rsid w:val="003D28C1"/>
    <w:rsid w:val="003D29E9"/>
    <w:rsid w:val="003D2DB5"/>
    <w:rsid w:val="003D43F8"/>
    <w:rsid w:val="003D44DB"/>
    <w:rsid w:val="003D474B"/>
    <w:rsid w:val="003D48D8"/>
    <w:rsid w:val="003D4BF1"/>
    <w:rsid w:val="003D4E24"/>
    <w:rsid w:val="003D7BBE"/>
    <w:rsid w:val="003E06C5"/>
    <w:rsid w:val="003E1278"/>
    <w:rsid w:val="003E1279"/>
    <w:rsid w:val="003E12F5"/>
    <w:rsid w:val="003E190C"/>
    <w:rsid w:val="003E6708"/>
    <w:rsid w:val="003E6A1A"/>
    <w:rsid w:val="003F0816"/>
    <w:rsid w:val="003F146F"/>
    <w:rsid w:val="003F237E"/>
    <w:rsid w:val="003F29B8"/>
    <w:rsid w:val="003F59FE"/>
    <w:rsid w:val="003F64A7"/>
    <w:rsid w:val="003F6C5E"/>
    <w:rsid w:val="003F6CEA"/>
    <w:rsid w:val="003F788C"/>
    <w:rsid w:val="003F7D0E"/>
    <w:rsid w:val="004007C9"/>
    <w:rsid w:val="00400E1E"/>
    <w:rsid w:val="00401135"/>
    <w:rsid w:val="0040249B"/>
    <w:rsid w:val="0040303C"/>
    <w:rsid w:val="00403198"/>
    <w:rsid w:val="0040340E"/>
    <w:rsid w:val="0040403C"/>
    <w:rsid w:val="00404D46"/>
    <w:rsid w:val="00405A9D"/>
    <w:rsid w:val="00405B43"/>
    <w:rsid w:val="00406CDE"/>
    <w:rsid w:val="004073D6"/>
    <w:rsid w:val="0041023B"/>
    <w:rsid w:val="0041160C"/>
    <w:rsid w:val="00411F55"/>
    <w:rsid w:val="00412D9B"/>
    <w:rsid w:val="00413094"/>
    <w:rsid w:val="004134A4"/>
    <w:rsid w:val="00414135"/>
    <w:rsid w:val="00414A6E"/>
    <w:rsid w:val="00416DC9"/>
    <w:rsid w:val="00420188"/>
    <w:rsid w:val="0042019E"/>
    <w:rsid w:val="004207F3"/>
    <w:rsid w:val="00420CD9"/>
    <w:rsid w:val="00421C8F"/>
    <w:rsid w:val="00421E82"/>
    <w:rsid w:val="00424377"/>
    <w:rsid w:val="004250B7"/>
    <w:rsid w:val="00425C88"/>
    <w:rsid w:val="00425E18"/>
    <w:rsid w:val="00426403"/>
    <w:rsid w:val="00426BA4"/>
    <w:rsid w:val="00427CE4"/>
    <w:rsid w:val="00427E03"/>
    <w:rsid w:val="00430DB7"/>
    <w:rsid w:val="00430FE1"/>
    <w:rsid w:val="004330F7"/>
    <w:rsid w:val="004335EA"/>
    <w:rsid w:val="00433DB3"/>
    <w:rsid w:val="00434563"/>
    <w:rsid w:val="00434DEA"/>
    <w:rsid w:val="00434F74"/>
    <w:rsid w:val="00436813"/>
    <w:rsid w:val="00437BF6"/>
    <w:rsid w:val="004405ED"/>
    <w:rsid w:val="00441241"/>
    <w:rsid w:val="00442A4F"/>
    <w:rsid w:val="00442B8C"/>
    <w:rsid w:val="00443607"/>
    <w:rsid w:val="00443C41"/>
    <w:rsid w:val="004451B5"/>
    <w:rsid w:val="00446424"/>
    <w:rsid w:val="004464FF"/>
    <w:rsid w:val="004539A2"/>
    <w:rsid w:val="00453EB6"/>
    <w:rsid w:val="00454622"/>
    <w:rsid w:val="00455854"/>
    <w:rsid w:val="00455855"/>
    <w:rsid w:val="004566B9"/>
    <w:rsid w:val="00461275"/>
    <w:rsid w:val="00461656"/>
    <w:rsid w:val="00462319"/>
    <w:rsid w:val="00462881"/>
    <w:rsid w:val="00463133"/>
    <w:rsid w:val="00464458"/>
    <w:rsid w:val="0046546A"/>
    <w:rsid w:val="00466EF3"/>
    <w:rsid w:val="00467AD2"/>
    <w:rsid w:val="00467ED5"/>
    <w:rsid w:val="004711B8"/>
    <w:rsid w:val="004726E2"/>
    <w:rsid w:val="00472DD6"/>
    <w:rsid w:val="00474487"/>
    <w:rsid w:val="004747AC"/>
    <w:rsid w:val="0047612E"/>
    <w:rsid w:val="00476ABD"/>
    <w:rsid w:val="00476E5C"/>
    <w:rsid w:val="004774AE"/>
    <w:rsid w:val="00477912"/>
    <w:rsid w:val="00481CE0"/>
    <w:rsid w:val="0048250C"/>
    <w:rsid w:val="00483AFA"/>
    <w:rsid w:val="00485D1B"/>
    <w:rsid w:val="004868CE"/>
    <w:rsid w:val="00487FF0"/>
    <w:rsid w:val="004906DC"/>
    <w:rsid w:val="0049156B"/>
    <w:rsid w:val="00491764"/>
    <w:rsid w:val="004917CF"/>
    <w:rsid w:val="004929BC"/>
    <w:rsid w:val="0049351D"/>
    <w:rsid w:val="00493871"/>
    <w:rsid w:val="0049475E"/>
    <w:rsid w:val="00494F8E"/>
    <w:rsid w:val="00495255"/>
    <w:rsid w:val="00497712"/>
    <w:rsid w:val="004A017C"/>
    <w:rsid w:val="004A070A"/>
    <w:rsid w:val="004A2149"/>
    <w:rsid w:val="004A3925"/>
    <w:rsid w:val="004A4E9F"/>
    <w:rsid w:val="004A593F"/>
    <w:rsid w:val="004A61AA"/>
    <w:rsid w:val="004A6D4E"/>
    <w:rsid w:val="004A6F18"/>
    <w:rsid w:val="004A7544"/>
    <w:rsid w:val="004A7B9C"/>
    <w:rsid w:val="004B01E8"/>
    <w:rsid w:val="004B0279"/>
    <w:rsid w:val="004B1263"/>
    <w:rsid w:val="004B2733"/>
    <w:rsid w:val="004B2885"/>
    <w:rsid w:val="004B29E9"/>
    <w:rsid w:val="004B3168"/>
    <w:rsid w:val="004B3290"/>
    <w:rsid w:val="004B3F5A"/>
    <w:rsid w:val="004B425F"/>
    <w:rsid w:val="004B4E12"/>
    <w:rsid w:val="004B547C"/>
    <w:rsid w:val="004B7B19"/>
    <w:rsid w:val="004C0381"/>
    <w:rsid w:val="004C04CB"/>
    <w:rsid w:val="004C0D3F"/>
    <w:rsid w:val="004C17E6"/>
    <w:rsid w:val="004C239D"/>
    <w:rsid w:val="004C3704"/>
    <w:rsid w:val="004C45C1"/>
    <w:rsid w:val="004D0928"/>
    <w:rsid w:val="004D0F88"/>
    <w:rsid w:val="004D10A5"/>
    <w:rsid w:val="004D1A50"/>
    <w:rsid w:val="004D1DD1"/>
    <w:rsid w:val="004D2C2E"/>
    <w:rsid w:val="004D51D3"/>
    <w:rsid w:val="004D53A6"/>
    <w:rsid w:val="004D6632"/>
    <w:rsid w:val="004D7577"/>
    <w:rsid w:val="004D7CDC"/>
    <w:rsid w:val="004E069C"/>
    <w:rsid w:val="004E06F2"/>
    <w:rsid w:val="004E1065"/>
    <w:rsid w:val="004E1557"/>
    <w:rsid w:val="004E2D10"/>
    <w:rsid w:val="004E2DBD"/>
    <w:rsid w:val="004E4252"/>
    <w:rsid w:val="004E4AAB"/>
    <w:rsid w:val="004E6426"/>
    <w:rsid w:val="004E684C"/>
    <w:rsid w:val="004F1542"/>
    <w:rsid w:val="004F1F12"/>
    <w:rsid w:val="004F23B0"/>
    <w:rsid w:val="004F2B5E"/>
    <w:rsid w:val="004F326C"/>
    <w:rsid w:val="004F398A"/>
    <w:rsid w:val="004F6B1C"/>
    <w:rsid w:val="004F7638"/>
    <w:rsid w:val="00500576"/>
    <w:rsid w:val="00502240"/>
    <w:rsid w:val="0050455A"/>
    <w:rsid w:val="00505145"/>
    <w:rsid w:val="005062AC"/>
    <w:rsid w:val="0050717A"/>
    <w:rsid w:val="00510F97"/>
    <w:rsid w:val="00511CC3"/>
    <w:rsid w:val="00511CFC"/>
    <w:rsid w:val="005128E6"/>
    <w:rsid w:val="0051416E"/>
    <w:rsid w:val="005151E6"/>
    <w:rsid w:val="005153AB"/>
    <w:rsid w:val="00515DCB"/>
    <w:rsid w:val="00520865"/>
    <w:rsid w:val="00520F32"/>
    <w:rsid w:val="00521A67"/>
    <w:rsid w:val="00522FF0"/>
    <w:rsid w:val="0052330E"/>
    <w:rsid w:val="00523CDE"/>
    <w:rsid w:val="00524623"/>
    <w:rsid w:val="0052564E"/>
    <w:rsid w:val="00526554"/>
    <w:rsid w:val="005309D9"/>
    <w:rsid w:val="00530AE8"/>
    <w:rsid w:val="005313A3"/>
    <w:rsid w:val="00531E19"/>
    <w:rsid w:val="005331B7"/>
    <w:rsid w:val="00534832"/>
    <w:rsid w:val="00534949"/>
    <w:rsid w:val="00534EEC"/>
    <w:rsid w:val="00535053"/>
    <w:rsid w:val="0053517D"/>
    <w:rsid w:val="00535890"/>
    <w:rsid w:val="00536451"/>
    <w:rsid w:val="00537A9B"/>
    <w:rsid w:val="00540097"/>
    <w:rsid w:val="00540C4E"/>
    <w:rsid w:val="00540E94"/>
    <w:rsid w:val="00541248"/>
    <w:rsid w:val="005414BB"/>
    <w:rsid w:val="00542693"/>
    <w:rsid w:val="005459B8"/>
    <w:rsid w:val="0054646E"/>
    <w:rsid w:val="005465B4"/>
    <w:rsid w:val="0054722F"/>
    <w:rsid w:val="005476CA"/>
    <w:rsid w:val="00550509"/>
    <w:rsid w:val="00550AD5"/>
    <w:rsid w:val="00553968"/>
    <w:rsid w:val="00556864"/>
    <w:rsid w:val="005573B3"/>
    <w:rsid w:val="00557DFA"/>
    <w:rsid w:val="00560B2C"/>
    <w:rsid w:val="0056179F"/>
    <w:rsid w:val="005623BA"/>
    <w:rsid w:val="00565265"/>
    <w:rsid w:val="00565A3E"/>
    <w:rsid w:val="00567AF8"/>
    <w:rsid w:val="0057038C"/>
    <w:rsid w:val="0057078B"/>
    <w:rsid w:val="00570964"/>
    <w:rsid w:val="00570D7B"/>
    <w:rsid w:val="00571469"/>
    <w:rsid w:val="005736E5"/>
    <w:rsid w:val="00575802"/>
    <w:rsid w:val="00576471"/>
    <w:rsid w:val="0057685A"/>
    <w:rsid w:val="005773DC"/>
    <w:rsid w:val="00577ECF"/>
    <w:rsid w:val="005802A3"/>
    <w:rsid w:val="00580596"/>
    <w:rsid w:val="00580B10"/>
    <w:rsid w:val="005837D7"/>
    <w:rsid w:val="0058407B"/>
    <w:rsid w:val="00584743"/>
    <w:rsid w:val="005848CB"/>
    <w:rsid w:val="00584981"/>
    <w:rsid w:val="0058713A"/>
    <w:rsid w:val="0058761E"/>
    <w:rsid w:val="00590E25"/>
    <w:rsid w:val="00591AA4"/>
    <w:rsid w:val="00591C55"/>
    <w:rsid w:val="00592669"/>
    <w:rsid w:val="005957E5"/>
    <w:rsid w:val="005960D3"/>
    <w:rsid w:val="00596261"/>
    <w:rsid w:val="00596BFE"/>
    <w:rsid w:val="00596D62"/>
    <w:rsid w:val="005973B8"/>
    <w:rsid w:val="00597946"/>
    <w:rsid w:val="005A3AFD"/>
    <w:rsid w:val="005A4228"/>
    <w:rsid w:val="005A4B13"/>
    <w:rsid w:val="005A4E93"/>
    <w:rsid w:val="005A5576"/>
    <w:rsid w:val="005A5763"/>
    <w:rsid w:val="005A5939"/>
    <w:rsid w:val="005A6736"/>
    <w:rsid w:val="005B22D4"/>
    <w:rsid w:val="005B23A9"/>
    <w:rsid w:val="005B2744"/>
    <w:rsid w:val="005B29A8"/>
    <w:rsid w:val="005B29B5"/>
    <w:rsid w:val="005B30C0"/>
    <w:rsid w:val="005B331C"/>
    <w:rsid w:val="005B5724"/>
    <w:rsid w:val="005B6AE8"/>
    <w:rsid w:val="005B6D77"/>
    <w:rsid w:val="005B6E42"/>
    <w:rsid w:val="005B753D"/>
    <w:rsid w:val="005C0BBF"/>
    <w:rsid w:val="005C1B03"/>
    <w:rsid w:val="005C3209"/>
    <w:rsid w:val="005C413A"/>
    <w:rsid w:val="005C442F"/>
    <w:rsid w:val="005C50A1"/>
    <w:rsid w:val="005C5D3E"/>
    <w:rsid w:val="005C62A5"/>
    <w:rsid w:val="005C65F4"/>
    <w:rsid w:val="005D12EF"/>
    <w:rsid w:val="005D131D"/>
    <w:rsid w:val="005D1A14"/>
    <w:rsid w:val="005D1AF2"/>
    <w:rsid w:val="005D317A"/>
    <w:rsid w:val="005D352E"/>
    <w:rsid w:val="005D427C"/>
    <w:rsid w:val="005D4AD2"/>
    <w:rsid w:val="005D5199"/>
    <w:rsid w:val="005D5F24"/>
    <w:rsid w:val="005D5F4B"/>
    <w:rsid w:val="005E0AFF"/>
    <w:rsid w:val="005E11EF"/>
    <w:rsid w:val="005E3146"/>
    <w:rsid w:val="005E32BF"/>
    <w:rsid w:val="005E3704"/>
    <w:rsid w:val="005E3E07"/>
    <w:rsid w:val="005E4BAD"/>
    <w:rsid w:val="005E5BD0"/>
    <w:rsid w:val="005E6001"/>
    <w:rsid w:val="005E60D8"/>
    <w:rsid w:val="005E6BE5"/>
    <w:rsid w:val="005E777B"/>
    <w:rsid w:val="005F034D"/>
    <w:rsid w:val="005F068F"/>
    <w:rsid w:val="005F09EC"/>
    <w:rsid w:val="005F1507"/>
    <w:rsid w:val="005F24D1"/>
    <w:rsid w:val="005F2582"/>
    <w:rsid w:val="005F2815"/>
    <w:rsid w:val="005F3049"/>
    <w:rsid w:val="005F315B"/>
    <w:rsid w:val="005F325B"/>
    <w:rsid w:val="005F350F"/>
    <w:rsid w:val="005F3F93"/>
    <w:rsid w:val="005F428D"/>
    <w:rsid w:val="005F42F4"/>
    <w:rsid w:val="005F495D"/>
    <w:rsid w:val="005F6476"/>
    <w:rsid w:val="005F79FF"/>
    <w:rsid w:val="005F7C0B"/>
    <w:rsid w:val="00600EE8"/>
    <w:rsid w:val="00600FE4"/>
    <w:rsid w:val="00601083"/>
    <w:rsid w:val="006023D3"/>
    <w:rsid w:val="006027AE"/>
    <w:rsid w:val="00603BD3"/>
    <w:rsid w:val="0060430E"/>
    <w:rsid w:val="006043B5"/>
    <w:rsid w:val="00604E59"/>
    <w:rsid w:val="00605F16"/>
    <w:rsid w:val="00610260"/>
    <w:rsid w:val="006106D6"/>
    <w:rsid w:val="006134D4"/>
    <w:rsid w:val="00615E3D"/>
    <w:rsid w:val="00616706"/>
    <w:rsid w:val="00616BA9"/>
    <w:rsid w:val="00616D0F"/>
    <w:rsid w:val="0061784C"/>
    <w:rsid w:val="006216FA"/>
    <w:rsid w:val="00622717"/>
    <w:rsid w:val="00622B42"/>
    <w:rsid w:val="006243A8"/>
    <w:rsid w:val="006245BE"/>
    <w:rsid w:val="00624AF9"/>
    <w:rsid w:val="00624C85"/>
    <w:rsid w:val="00625728"/>
    <w:rsid w:val="00625A88"/>
    <w:rsid w:val="0062638F"/>
    <w:rsid w:val="00626A3A"/>
    <w:rsid w:val="00627079"/>
    <w:rsid w:val="00627CEB"/>
    <w:rsid w:val="0063053B"/>
    <w:rsid w:val="00630954"/>
    <w:rsid w:val="00631740"/>
    <w:rsid w:val="00632F79"/>
    <w:rsid w:val="00637442"/>
    <w:rsid w:val="0064034B"/>
    <w:rsid w:val="00640566"/>
    <w:rsid w:val="00640CC8"/>
    <w:rsid w:val="00640E5D"/>
    <w:rsid w:val="00640FC7"/>
    <w:rsid w:val="00644003"/>
    <w:rsid w:val="0064431D"/>
    <w:rsid w:val="00645BBA"/>
    <w:rsid w:val="0064684F"/>
    <w:rsid w:val="006470D0"/>
    <w:rsid w:val="00652E3D"/>
    <w:rsid w:val="00654BB0"/>
    <w:rsid w:val="00655EFD"/>
    <w:rsid w:val="00655FF7"/>
    <w:rsid w:val="006564B4"/>
    <w:rsid w:val="0065777A"/>
    <w:rsid w:val="006617E8"/>
    <w:rsid w:val="00661D12"/>
    <w:rsid w:val="00663B9C"/>
    <w:rsid w:val="00664025"/>
    <w:rsid w:val="006648B8"/>
    <w:rsid w:val="006660FF"/>
    <w:rsid w:val="006662EA"/>
    <w:rsid w:val="00667F79"/>
    <w:rsid w:val="00667F83"/>
    <w:rsid w:val="00670334"/>
    <w:rsid w:val="00670685"/>
    <w:rsid w:val="0067103F"/>
    <w:rsid w:val="00671499"/>
    <w:rsid w:val="006719F6"/>
    <w:rsid w:val="006720A4"/>
    <w:rsid w:val="00673436"/>
    <w:rsid w:val="00673466"/>
    <w:rsid w:val="0067465B"/>
    <w:rsid w:val="00675764"/>
    <w:rsid w:val="006764F3"/>
    <w:rsid w:val="006769E8"/>
    <w:rsid w:val="0067767E"/>
    <w:rsid w:val="0068062D"/>
    <w:rsid w:val="00680B63"/>
    <w:rsid w:val="006820A8"/>
    <w:rsid w:val="00682485"/>
    <w:rsid w:val="00682E84"/>
    <w:rsid w:val="006845AB"/>
    <w:rsid w:val="006852E1"/>
    <w:rsid w:val="00685877"/>
    <w:rsid w:val="0069103D"/>
    <w:rsid w:val="00691527"/>
    <w:rsid w:val="00691A6B"/>
    <w:rsid w:val="00691EAB"/>
    <w:rsid w:val="00692B1F"/>
    <w:rsid w:val="00694252"/>
    <w:rsid w:val="00694BBA"/>
    <w:rsid w:val="006958FA"/>
    <w:rsid w:val="00695F0C"/>
    <w:rsid w:val="00697EF2"/>
    <w:rsid w:val="006A170E"/>
    <w:rsid w:val="006A2434"/>
    <w:rsid w:val="006A6111"/>
    <w:rsid w:val="006A75EC"/>
    <w:rsid w:val="006A76EA"/>
    <w:rsid w:val="006B17D1"/>
    <w:rsid w:val="006B454A"/>
    <w:rsid w:val="006B5743"/>
    <w:rsid w:val="006B61A5"/>
    <w:rsid w:val="006B61B8"/>
    <w:rsid w:val="006B6BC8"/>
    <w:rsid w:val="006B741E"/>
    <w:rsid w:val="006B76F1"/>
    <w:rsid w:val="006C2FDA"/>
    <w:rsid w:val="006C3440"/>
    <w:rsid w:val="006C4A91"/>
    <w:rsid w:val="006C5FCD"/>
    <w:rsid w:val="006C61CB"/>
    <w:rsid w:val="006C657C"/>
    <w:rsid w:val="006C69A8"/>
    <w:rsid w:val="006C6A12"/>
    <w:rsid w:val="006D0281"/>
    <w:rsid w:val="006D1EA5"/>
    <w:rsid w:val="006D20E2"/>
    <w:rsid w:val="006D281E"/>
    <w:rsid w:val="006D315B"/>
    <w:rsid w:val="006D3F8F"/>
    <w:rsid w:val="006D4152"/>
    <w:rsid w:val="006D5654"/>
    <w:rsid w:val="006D630A"/>
    <w:rsid w:val="006D7521"/>
    <w:rsid w:val="006E022A"/>
    <w:rsid w:val="006E04C2"/>
    <w:rsid w:val="006E04FF"/>
    <w:rsid w:val="006E0E71"/>
    <w:rsid w:val="006E2313"/>
    <w:rsid w:val="006E35A4"/>
    <w:rsid w:val="006E56E2"/>
    <w:rsid w:val="006E6257"/>
    <w:rsid w:val="006E6D72"/>
    <w:rsid w:val="006F01EE"/>
    <w:rsid w:val="006F087A"/>
    <w:rsid w:val="006F11B4"/>
    <w:rsid w:val="006F14E3"/>
    <w:rsid w:val="006F15EE"/>
    <w:rsid w:val="006F1964"/>
    <w:rsid w:val="006F2AA6"/>
    <w:rsid w:val="006F5336"/>
    <w:rsid w:val="006F5904"/>
    <w:rsid w:val="006F64F0"/>
    <w:rsid w:val="006F7CD1"/>
    <w:rsid w:val="006F7D0B"/>
    <w:rsid w:val="00700688"/>
    <w:rsid w:val="00703060"/>
    <w:rsid w:val="007050FD"/>
    <w:rsid w:val="007051BD"/>
    <w:rsid w:val="00705E20"/>
    <w:rsid w:val="007071A1"/>
    <w:rsid w:val="00707242"/>
    <w:rsid w:val="007078D2"/>
    <w:rsid w:val="00707B13"/>
    <w:rsid w:val="00711A2A"/>
    <w:rsid w:val="00711BD5"/>
    <w:rsid w:val="0071221C"/>
    <w:rsid w:val="0071230C"/>
    <w:rsid w:val="00713878"/>
    <w:rsid w:val="007142F7"/>
    <w:rsid w:val="007144FE"/>
    <w:rsid w:val="00715215"/>
    <w:rsid w:val="00717260"/>
    <w:rsid w:val="00721D6B"/>
    <w:rsid w:val="00721E7E"/>
    <w:rsid w:val="00722D6A"/>
    <w:rsid w:val="00722DE4"/>
    <w:rsid w:val="0072337B"/>
    <w:rsid w:val="0072497F"/>
    <w:rsid w:val="007258E9"/>
    <w:rsid w:val="0072779C"/>
    <w:rsid w:val="00730191"/>
    <w:rsid w:val="007306B4"/>
    <w:rsid w:val="0073190C"/>
    <w:rsid w:val="00731B1C"/>
    <w:rsid w:val="00731DA2"/>
    <w:rsid w:val="00732B4B"/>
    <w:rsid w:val="00732FF5"/>
    <w:rsid w:val="00734FFA"/>
    <w:rsid w:val="00736C9B"/>
    <w:rsid w:val="00736EEC"/>
    <w:rsid w:val="00736F6D"/>
    <w:rsid w:val="007374F9"/>
    <w:rsid w:val="007379AD"/>
    <w:rsid w:val="00740EA3"/>
    <w:rsid w:val="0074188B"/>
    <w:rsid w:val="00741CB6"/>
    <w:rsid w:val="007420E0"/>
    <w:rsid w:val="0074265C"/>
    <w:rsid w:val="00744BDB"/>
    <w:rsid w:val="00744E06"/>
    <w:rsid w:val="00745BAB"/>
    <w:rsid w:val="0074650D"/>
    <w:rsid w:val="00746626"/>
    <w:rsid w:val="00746988"/>
    <w:rsid w:val="0075013D"/>
    <w:rsid w:val="0075104F"/>
    <w:rsid w:val="007514D8"/>
    <w:rsid w:val="00751B65"/>
    <w:rsid w:val="00751C91"/>
    <w:rsid w:val="0075289C"/>
    <w:rsid w:val="0075537C"/>
    <w:rsid w:val="007568A0"/>
    <w:rsid w:val="007573C4"/>
    <w:rsid w:val="007575E9"/>
    <w:rsid w:val="00760573"/>
    <w:rsid w:val="007629EA"/>
    <w:rsid w:val="00762C04"/>
    <w:rsid w:val="0076653C"/>
    <w:rsid w:val="0076661B"/>
    <w:rsid w:val="0076777C"/>
    <w:rsid w:val="007677D9"/>
    <w:rsid w:val="007705B8"/>
    <w:rsid w:val="00771EBB"/>
    <w:rsid w:val="00773825"/>
    <w:rsid w:val="007755E6"/>
    <w:rsid w:val="0077561E"/>
    <w:rsid w:val="00775BA4"/>
    <w:rsid w:val="007775D6"/>
    <w:rsid w:val="00780234"/>
    <w:rsid w:val="00780F6D"/>
    <w:rsid w:val="00781B12"/>
    <w:rsid w:val="00782224"/>
    <w:rsid w:val="00783110"/>
    <w:rsid w:val="00783380"/>
    <w:rsid w:val="00783DA0"/>
    <w:rsid w:val="00783F49"/>
    <w:rsid w:val="00785449"/>
    <w:rsid w:val="00785DF6"/>
    <w:rsid w:val="007872F7"/>
    <w:rsid w:val="00790DF9"/>
    <w:rsid w:val="00791578"/>
    <w:rsid w:val="007919F2"/>
    <w:rsid w:val="0079266F"/>
    <w:rsid w:val="00792855"/>
    <w:rsid w:val="0079287C"/>
    <w:rsid w:val="007928D8"/>
    <w:rsid w:val="00792BCD"/>
    <w:rsid w:val="00792C3D"/>
    <w:rsid w:val="00792EC3"/>
    <w:rsid w:val="0079409D"/>
    <w:rsid w:val="0079419C"/>
    <w:rsid w:val="0079474E"/>
    <w:rsid w:val="0079491B"/>
    <w:rsid w:val="00795A6B"/>
    <w:rsid w:val="007A45AD"/>
    <w:rsid w:val="007A5129"/>
    <w:rsid w:val="007A5C85"/>
    <w:rsid w:val="007A684E"/>
    <w:rsid w:val="007B03B2"/>
    <w:rsid w:val="007B03D8"/>
    <w:rsid w:val="007B09C1"/>
    <w:rsid w:val="007B14F2"/>
    <w:rsid w:val="007B1B48"/>
    <w:rsid w:val="007B3255"/>
    <w:rsid w:val="007B3579"/>
    <w:rsid w:val="007B3E18"/>
    <w:rsid w:val="007B56B3"/>
    <w:rsid w:val="007B5BF5"/>
    <w:rsid w:val="007B644B"/>
    <w:rsid w:val="007B6676"/>
    <w:rsid w:val="007B7567"/>
    <w:rsid w:val="007C046B"/>
    <w:rsid w:val="007C0782"/>
    <w:rsid w:val="007C3375"/>
    <w:rsid w:val="007C4653"/>
    <w:rsid w:val="007C46BD"/>
    <w:rsid w:val="007C4A20"/>
    <w:rsid w:val="007C5524"/>
    <w:rsid w:val="007C61F7"/>
    <w:rsid w:val="007C6272"/>
    <w:rsid w:val="007C746B"/>
    <w:rsid w:val="007C7867"/>
    <w:rsid w:val="007D0160"/>
    <w:rsid w:val="007D0901"/>
    <w:rsid w:val="007D091F"/>
    <w:rsid w:val="007D0A11"/>
    <w:rsid w:val="007D267C"/>
    <w:rsid w:val="007D26BC"/>
    <w:rsid w:val="007D2889"/>
    <w:rsid w:val="007D37B0"/>
    <w:rsid w:val="007D3C02"/>
    <w:rsid w:val="007D4FFB"/>
    <w:rsid w:val="007D5A8E"/>
    <w:rsid w:val="007D5AE5"/>
    <w:rsid w:val="007E02E9"/>
    <w:rsid w:val="007E1275"/>
    <w:rsid w:val="007E15EE"/>
    <w:rsid w:val="007E17C8"/>
    <w:rsid w:val="007E1BBB"/>
    <w:rsid w:val="007E1ECD"/>
    <w:rsid w:val="007E2924"/>
    <w:rsid w:val="007E2CD3"/>
    <w:rsid w:val="007E2FC1"/>
    <w:rsid w:val="007E3AB0"/>
    <w:rsid w:val="007E44A8"/>
    <w:rsid w:val="007E5D86"/>
    <w:rsid w:val="007E688D"/>
    <w:rsid w:val="007E6AFF"/>
    <w:rsid w:val="007E7135"/>
    <w:rsid w:val="007F0491"/>
    <w:rsid w:val="007F095B"/>
    <w:rsid w:val="007F0FC3"/>
    <w:rsid w:val="007F260C"/>
    <w:rsid w:val="007F2757"/>
    <w:rsid w:val="007F328F"/>
    <w:rsid w:val="007F6DB4"/>
    <w:rsid w:val="007F7515"/>
    <w:rsid w:val="007F7577"/>
    <w:rsid w:val="00800093"/>
    <w:rsid w:val="008031C3"/>
    <w:rsid w:val="00803B09"/>
    <w:rsid w:val="00803CD9"/>
    <w:rsid w:val="00804A8E"/>
    <w:rsid w:val="00804B93"/>
    <w:rsid w:val="00804E4A"/>
    <w:rsid w:val="008059B6"/>
    <w:rsid w:val="00805E89"/>
    <w:rsid w:val="008062CF"/>
    <w:rsid w:val="008064BA"/>
    <w:rsid w:val="008101AC"/>
    <w:rsid w:val="008101C5"/>
    <w:rsid w:val="00812122"/>
    <w:rsid w:val="008121CA"/>
    <w:rsid w:val="00813D26"/>
    <w:rsid w:val="00817A98"/>
    <w:rsid w:val="008200AE"/>
    <w:rsid w:val="0082262D"/>
    <w:rsid w:val="00822C4C"/>
    <w:rsid w:val="008230EC"/>
    <w:rsid w:val="008231A6"/>
    <w:rsid w:val="00823576"/>
    <w:rsid w:val="008239F6"/>
    <w:rsid w:val="00823B68"/>
    <w:rsid w:val="00824652"/>
    <w:rsid w:val="0082489A"/>
    <w:rsid w:val="008262BA"/>
    <w:rsid w:val="008303DB"/>
    <w:rsid w:val="00830EE0"/>
    <w:rsid w:val="00831676"/>
    <w:rsid w:val="00832360"/>
    <w:rsid w:val="00833F10"/>
    <w:rsid w:val="00835564"/>
    <w:rsid w:val="008362C1"/>
    <w:rsid w:val="0083791C"/>
    <w:rsid w:val="00840235"/>
    <w:rsid w:val="008418D7"/>
    <w:rsid w:val="00841903"/>
    <w:rsid w:val="00841A7E"/>
    <w:rsid w:val="00841ACE"/>
    <w:rsid w:val="008420E7"/>
    <w:rsid w:val="008421ED"/>
    <w:rsid w:val="00842FE4"/>
    <w:rsid w:val="00843C8A"/>
    <w:rsid w:val="008448AC"/>
    <w:rsid w:val="008454C6"/>
    <w:rsid w:val="008466FA"/>
    <w:rsid w:val="0085044F"/>
    <w:rsid w:val="00851B9B"/>
    <w:rsid w:val="00851E54"/>
    <w:rsid w:val="008526E6"/>
    <w:rsid w:val="0085271B"/>
    <w:rsid w:val="00853669"/>
    <w:rsid w:val="00853FFC"/>
    <w:rsid w:val="008551F3"/>
    <w:rsid w:val="00856600"/>
    <w:rsid w:val="0085676B"/>
    <w:rsid w:val="0085733D"/>
    <w:rsid w:val="0086021F"/>
    <w:rsid w:val="00861B8B"/>
    <w:rsid w:val="0086207B"/>
    <w:rsid w:val="00862494"/>
    <w:rsid w:val="008628EF"/>
    <w:rsid w:val="00864448"/>
    <w:rsid w:val="008644FF"/>
    <w:rsid w:val="00864E94"/>
    <w:rsid w:val="00865759"/>
    <w:rsid w:val="00865942"/>
    <w:rsid w:val="0086650B"/>
    <w:rsid w:val="00867047"/>
    <w:rsid w:val="008707B4"/>
    <w:rsid w:val="00870FC5"/>
    <w:rsid w:val="00871DAE"/>
    <w:rsid w:val="008728DA"/>
    <w:rsid w:val="00873009"/>
    <w:rsid w:val="008736F9"/>
    <w:rsid w:val="00873D6A"/>
    <w:rsid w:val="008749C0"/>
    <w:rsid w:val="008753E8"/>
    <w:rsid w:val="008754C9"/>
    <w:rsid w:val="00875EA7"/>
    <w:rsid w:val="00876F07"/>
    <w:rsid w:val="00876F34"/>
    <w:rsid w:val="008776F0"/>
    <w:rsid w:val="008776FD"/>
    <w:rsid w:val="00880D6D"/>
    <w:rsid w:val="008810D5"/>
    <w:rsid w:val="008814D8"/>
    <w:rsid w:val="00881C90"/>
    <w:rsid w:val="008833E5"/>
    <w:rsid w:val="00883544"/>
    <w:rsid w:val="008835FC"/>
    <w:rsid w:val="008839DB"/>
    <w:rsid w:val="00883F38"/>
    <w:rsid w:val="00884011"/>
    <w:rsid w:val="00884441"/>
    <w:rsid w:val="00886698"/>
    <w:rsid w:val="00886AAA"/>
    <w:rsid w:val="00886B8E"/>
    <w:rsid w:val="008870A5"/>
    <w:rsid w:val="008914A0"/>
    <w:rsid w:val="00894301"/>
    <w:rsid w:val="008950DF"/>
    <w:rsid w:val="00897216"/>
    <w:rsid w:val="00897526"/>
    <w:rsid w:val="008A053C"/>
    <w:rsid w:val="008A0AA3"/>
    <w:rsid w:val="008A119E"/>
    <w:rsid w:val="008A11DC"/>
    <w:rsid w:val="008A1395"/>
    <w:rsid w:val="008A23C9"/>
    <w:rsid w:val="008A2E76"/>
    <w:rsid w:val="008A3455"/>
    <w:rsid w:val="008A3CFB"/>
    <w:rsid w:val="008A4535"/>
    <w:rsid w:val="008A4610"/>
    <w:rsid w:val="008A476C"/>
    <w:rsid w:val="008A5EDB"/>
    <w:rsid w:val="008A68D5"/>
    <w:rsid w:val="008A7A87"/>
    <w:rsid w:val="008B00BB"/>
    <w:rsid w:val="008B0F64"/>
    <w:rsid w:val="008B1322"/>
    <w:rsid w:val="008B1F09"/>
    <w:rsid w:val="008B20D7"/>
    <w:rsid w:val="008B328B"/>
    <w:rsid w:val="008B32C9"/>
    <w:rsid w:val="008B3462"/>
    <w:rsid w:val="008B4FC2"/>
    <w:rsid w:val="008B63E6"/>
    <w:rsid w:val="008B7641"/>
    <w:rsid w:val="008C0E01"/>
    <w:rsid w:val="008C44A9"/>
    <w:rsid w:val="008C5642"/>
    <w:rsid w:val="008C5B87"/>
    <w:rsid w:val="008C5E1E"/>
    <w:rsid w:val="008C7471"/>
    <w:rsid w:val="008C7E55"/>
    <w:rsid w:val="008D0AE1"/>
    <w:rsid w:val="008D130C"/>
    <w:rsid w:val="008D2333"/>
    <w:rsid w:val="008D32D0"/>
    <w:rsid w:val="008D4346"/>
    <w:rsid w:val="008D4ED6"/>
    <w:rsid w:val="008D5DC1"/>
    <w:rsid w:val="008D7BFE"/>
    <w:rsid w:val="008E100A"/>
    <w:rsid w:val="008E189A"/>
    <w:rsid w:val="008E2D10"/>
    <w:rsid w:val="008E3DB1"/>
    <w:rsid w:val="008E4844"/>
    <w:rsid w:val="008E4A37"/>
    <w:rsid w:val="008E4EAE"/>
    <w:rsid w:val="008E6A6D"/>
    <w:rsid w:val="008E6D5E"/>
    <w:rsid w:val="008E70A1"/>
    <w:rsid w:val="008E72F2"/>
    <w:rsid w:val="008E77E4"/>
    <w:rsid w:val="008F0657"/>
    <w:rsid w:val="008F1412"/>
    <w:rsid w:val="008F2167"/>
    <w:rsid w:val="008F35C1"/>
    <w:rsid w:val="008F387B"/>
    <w:rsid w:val="008F4DDA"/>
    <w:rsid w:val="008F684D"/>
    <w:rsid w:val="008F7A1E"/>
    <w:rsid w:val="00900DC5"/>
    <w:rsid w:val="00900DF2"/>
    <w:rsid w:val="00900F4C"/>
    <w:rsid w:val="0090138A"/>
    <w:rsid w:val="00901B0C"/>
    <w:rsid w:val="00902190"/>
    <w:rsid w:val="00903E89"/>
    <w:rsid w:val="00904447"/>
    <w:rsid w:val="0090587F"/>
    <w:rsid w:val="00906111"/>
    <w:rsid w:val="00906556"/>
    <w:rsid w:val="00906B5B"/>
    <w:rsid w:val="00906CA9"/>
    <w:rsid w:val="00906D5D"/>
    <w:rsid w:val="00907667"/>
    <w:rsid w:val="00907CA3"/>
    <w:rsid w:val="00907FB5"/>
    <w:rsid w:val="0091045C"/>
    <w:rsid w:val="00910FA7"/>
    <w:rsid w:val="009110E0"/>
    <w:rsid w:val="009111C6"/>
    <w:rsid w:val="009124B3"/>
    <w:rsid w:val="009138C2"/>
    <w:rsid w:val="00913BBD"/>
    <w:rsid w:val="00914809"/>
    <w:rsid w:val="00914CD6"/>
    <w:rsid w:val="00914F1B"/>
    <w:rsid w:val="00915DA5"/>
    <w:rsid w:val="00916E6C"/>
    <w:rsid w:val="00921514"/>
    <w:rsid w:val="00921723"/>
    <w:rsid w:val="00922E7F"/>
    <w:rsid w:val="00924300"/>
    <w:rsid w:val="00924A81"/>
    <w:rsid w:val="00925399"/>
    <w:rsid w:val="00926604"/>
    <w:rsid w:val="0092665C"/>
    <w:rsid w:val="009266CC"/>
    <w:rsid w:val="0092722C"/>
    <w:rsid w:val="00930CEF"/>
    <w:rsid w:val="00930EC2"/>
    <w:rsid w:val="009312F7"/>
    <w:rsid w:val="00931744"/>
    <w:rsid w:val="00931E36"/>
    <w:rsid w:val="00932391"/>
    <w:rsid w:val="009329C5"/>
    <w:rsid w:val="00932ED7"/>
    <w:rsid w:val="009330BD"/>
    <w:rsid w:val="00933B6F"/>
    <w:rsid w:val="009340A9"/>
    <w:rsid w:val="00934661"/>
    <w:rsid w:val="00935BD9"/>
    <w:rsid w:val="00935CEF"/>
    <w:rsid w:val="009360BF"/>
    <w:rsid w:val="00936B58"/>
    <w:rsid w:val="00936C79"/>
    <w:rsid w:val="00936EB8"/>
    <w:rsid w:val="00936FEF"/>
    <w:rsid w:val="0093792F"/>
    <w:rsid w:val="00941D1A"/>
    <w:rsid w:val="00941E74"/>
    <w:rsid w:val="00942101"/>
    <w:rsid w:val="0094374D"/>
    <w:rsid w:val="009437DB"/>
    <w:rsid w:val="00944A8F"/>
    <w:rsid w:val="009457E1"/>
    <w:rsid w:val="00946914"/>
    <w:rsid w:val="00946A98"/>
    <w:rsid w:val="00947CC2"/>
    <w:rsid w:val="00951ECA"/>
    <w:rsid w:val="00953194"/>
    <w:rsid w:val="0095337F"/>
    <w:rsid w:val="00953C2C"/>
    <w:rsid w:val="00955EF8"/>
    <w:rsid w:val="0095658A"/>
    <w:rsid w:val="0095699F"/>
    <w:rsid w:val="009574AD"/>
    <w:rsid w:val="009577D1"/>
    <w:rsid w:val="00960674"/>
    <w:rsid w:val="0096170E"/>
    <w:rsid w:val="00961DF1"/>
    <w:rsid w:val="0096210C"/>
    <w:rsid w:val="0096333C"/>
    <w:rsid w:val="009633D5"/>
    <w:rsid w:val="0096385A"/>
    <w:rsid w:val="0096397A"/>
    <w:rsid w:val="00963C56"/>
    <w:rsid w:val="00964128"/>
    <w:rsid w:val="00964FBB"/>
    <w:rsid w:val="00965DA6"/>
    <w:rsid w:val="0096613A"/>
    <w:rsid w:val="00966E1F"/>
    <w:rsid w:val="00967410"/>
    <w:rsid w:val="0096794C"/>
    <w:rsid w:val="0097049F"/>
    <w:rsid w:val="00970D07"/>
    <w:rsid w:val="0097101A"/>
    <w:rsid w:val="00971F5D"/>
    <w:rsid w:val="009722E8"/>
    <w:rsid w:val="009745BD"/>
    <w:rsid w:val="009748E5"/>
    <w:rsid w:val="00974C62"/>
    <w:rsid w:val="00975050"/>
    <w:rsid w:val="00975428"/>
    <w:rsid w:val="00976776"/>
    <w:rsid w:val="00977224"/>
    <w:rsid w:val="00977AD4"/>
    <w:rsid w:val="00981FF6"/>
    <w:rsid w:val="00982404"/>
    <w:rsid w:val="00983FFB"/>
    <w:rsid w:val="0098518E"/>
    <w:rsid w:val="00985488"/>
    <w:rsid w:val="009855BB"/>
    <w:rsid w:val="0098590B"/>
    <w:rsid w:val="00986845"/>
    <w:rsid w:val="0098791E"/>
    <w:rsid w:val="00987E57"/>
    <w:rsid w:val="00991126"/>
    <w:rsid w:val="00991F0D"/>
    <w:rsid w:val="00992D5C"/>
    <w:rsid w:val="00992F51"/>
    <w:rsid w:val="009931A5"/>
    <w:rsid w:val="0099471E"/>
    <w:rsid w:val="00994998"/>
    <w:rsid w:val="00994C0B"/>
    <w:rsid w:val="009964D7"/>
    <w:rsid w:val="0099659B"/>
    <w:rsid w:val="009966DF"/>
    <w:rsid w:val="00996DA2"/>
    <w:rsid w:val="00997403"/>
    <w:rsid w:val="009A1A75"/>
    <w:rsid w:val="009A21D2"/>
    <w:rsid w:val="009A21D8"/>
    <w:rsid w:val="009A2D76"/>
    <w:rsid w:val="009A3FB6"/>
    <w:rsid w:val="009A4CD7"/>
    <w:rsid w:val="009A63E5"/>
    <w:rsid w:val="009A714F"/>
    <w:rsid w:val="009A78F4"/>
    <w:rsid w:val="009B11AE"/>
    <w:rsid w:val="009B17F3"/>
    <w:rsid w:val="009B2894"/>
    <w:rsid w:val="009B29B8"/>
    <w:rsid w:val="009B31A7"/>
    <w:rsid w:val="009B40BD"/>
    <w:rsid w:val="009B481B"/>
    <w:rsid w:val="009B4DC0"/>
    <w:rsid w:val="009B51B0"/>
    <w:rsid w:val="009B53F9"/>
    <w:rsid w:val="009B5FD4"/>
    <w:rsid w:val="009B6232"/>
    <w:rsid w:val="009B6A5E"/>
    <w:rsid w:val="009B7194"/>
    <w:rsid w:val="009B7BA2"/>
    <w:rsid w:val="009C0397"/>
    <w:rsid w:val="009C0B79"/>
    <w:rsid w:val="009C0C72"/>
    <w:rsid w:val="009C15CC"/>
    <w:rsid w:val="009C1EDF"/>
    <w:rsid w:val="009C21A2"/>
    <w:rsid w:val="009C224A"/>
    <w:rsid w:val="009C24DE"/>
    <w:rsid w:val="009C2F44"/>
    <w:rsid w:val="009C3D0F"/>
    <w:rsid w:val="009C50ED"/>
    <w:rsid w:val="009C7EC1"/>
    <w:rsid w:val="009D13BD"/>
    <w:rsid w:val="009D13CA"/>
    <w:rsid w:val="009D1520"/>
    <w:rsid w:val="009D1817"/>
    <w:rsid w:val="009D1EA1"/>
    <w:rsid w:val="009D2E7F"/>
    <w:rsid w:val="009D30B5"/>
    <w:rsid w:val="009D33F8"/>
    <w:rsid w:val="009D35A2"/>
    <w:rsid w:val="009D4067"/>
    <w:rsid w:val="009D49BC"/>
    <w:rsid w:val="009D4A66"/>
    <w:rsid w:val="009D659D"/>
    <w:rsid w:val="009D75A3"/>
    <w:rsid w:val="009E0B34"/>
    <w:rsid w:val="009E3409"/>
    <w:rsid w:val="009E34D1"/>
    <w:rsid w:val="009E3ADB"/>
    <w:rsid w:val="009E404E"/>
    <w:rsid w:val="009E4257"/>
    <w:rsid w:val="009E462A"/>
    <w:rsid w:val="009E4E0E"/>
    <w:rsid w:val="009E6130"/>
    <w:rsid w:val="009E67D7"/>
    <w:rsid w:val="009E70DB"/>
    <w:rsid w:val="009E781B"/>
    <w:rsid w:val="009E7D1B"/>
    <w:rsid w:val="009F0FA1"/>
    <w:rsid w:val="009F1348"/>
    <w:rsid w:val="009F2733"/>
    <w:rsid w:val="009F288E"/>
    <w:rsid w:val="009F2C93"/>
    <w:rsid w:val="009F2F14"/>
    <w:rsid w:val="009F3370"/>
    <w:rsid w:val="009F6321"/>
    <w:rsid w:val="009F6497"/>
    <w:rsid w:val="009F6A31"/>
    <w:rsid w:val="009F7163"/>
    <w:rsid w:val="009F7AC9"/>
    <w:rsid w:val="00A00244"/>
    <w:rsid w:val="00A03730"/>
    <w:rsid w:val="00A03854"/>
    <w:rsid w:val="00A03A3D"/>
    <w:rsid w:val="00A03EAF"/>
    <w:rsid w:val="00A04162"/>
    <w:rsid w:val="00A04BDA"/>
    <w:rsid w:val="00A05883"/>
    <w:rsid w:val="00A06B02"/>
    <w:rsid w:val="00A06D77"/>
    <w:rsid w:val="00A101C3"/>
    <w:rsid w:val="00A115EC"/>
    <w:rsid w:val="00A12023"/>
    <w:rsid w:val="00A12AA3"/>
    <w:rsid w:val="00A1391E"/>
    <w:rsid w:val="00A14329"/>
    <w:rsid w:val="00A150BF"/>
    <w:rsid w:val="00A1640B"/>
    <w:rsid w:val="00A1682C"/>
    <w:rsid w:val="00A20241"/>
    <w:rsid w:val="00A209A6"/>
    <w:rsid w:val="00A2111D"/>
    <w:rsid w:val="00A21146"/>
    <w:rsid w:val="00A21369"/>
    <w:rsid w:val="00A222E3"/>
    <w:rsid w:val="00A224E5"/>
    <w:rsid w:val="00A228D6"/>
    <w:rsid w:val="00A2300F"/>
    <w:rsid w:val="00A23E44"/>
    <w:rsid w:val="00A256C9"/>
    <w:rsid w:val="00A25761"/>
    <w:rsid w:val="00A26036"/>
    <w:rsid w:val="00A3067B"/>
    <w:rsid w:val="00A32545"/>
    <w:rsid w:val="00A34186"/>
    <w:rsid w:val="00A34878"/>
    <w:rsid w:val="00A34B33"/>
    <w:rsid w:val="00A34E05"/>
    <w:rsid w:val="00A36F35"/>
    <w:rsid w:val="00A37C90"/>
    <w:rsid w:val="00A401ED"/>
    <w:rsid w:val="00A404EF"/>
    <w:rsid w:val="00A40D37"/>
    <w:rsid w:val="00A4197B"/>
    <w:rsid w:val="00A43D4E"/>
    <w:rsid w:val="00A46A72"/>
    <w:rsid w:val="00A46B8D"/>
    <w:rsid w:val="00A46F02"/>
    <w:rsid w:val="00A47D07"/>
    <w:rsid w:val="00A507B4"/>
    <w:rsid w:val="00A50FCB"/>
    <w:rsid w:val="00A50FE6"/>
    <w:rsid w:val="00A52098"/>
    <w:rsid w:val="00A520DD"/>
    <w:rsid w:val="00A53F0B"/>
    <w:rsid w:val="00A547C1"/>
    <w:rsid w:val="00A54A54"/>
    <w:rsid w:val="00A54AF8"/>
    <w:rsid w:val="00A55959"/>
    <w:rsid w:val="00A573D4"/>
    <w:rsid w:val="00A576CF"/>
    <w:rsid w:val="00A57A1F"/>
    <w:rsid w:val="00A60760"/>
    <w:rsid w:val="00A609EB"/>
    <w:rsid w:val="00A60E81"/>
    <w:rsid w:val="00A617BB"/>
    <w:rsid w:val="00A63586"/>
    <w:rsid w:val="00A63A38"/>
    <w:rsid w:val="00A64BA4"/>
    <w:rsid w:val="00A64D1E"/>
    <w:rsid w:val="00A65DA9"/>
    <w:rsid w:val="00A67596"/>
    <w:rsid w:val="00A67A7C"/>
    <w:rsid w:val="00A67D02"/>
    <w:rsid w:val="00A700F8"/>
    <w:rsid w:val="00A70126"/>
    <w:rsid w:val="00A70809"/>
    <w:rsid w:val="00A70B59"/>
    <w:rsid w:val="00A71A5D"/>
    <w:rsid w:val="00A722A2"/>
    <w:rsid w:val="00A72799"/>
    <w:rsid w:val="00A72E33"/>
    <w:rsid w:val="00A73CC6"/>
    <w:rsid w:val="00A74BE4"/>
    <w:rsid w:val="00A75694"/>
    <w:rsid w:val="00A7576E"/>
    <w:rsid w:val="00A764EB"/>
    <w:rsid w:val="00A77DDC"/>
    <w:rsid w:val="00A77FB0"/>
    <w:rsid w:val="00A80841"/>
    <w:rsid w:val="00A80AB4"/>
    <w:rsid w:val="00A81282"/>
    <w:rsid w:val="00A82320"/>
    <w:rsid w:val="00A8266F"/>
    <w:rsid w:val="00A831BD"/>
    <w:rsid w:val="00A840DC"/>
    <w:rsid w:val="00A85868"/>
    <w:rsid w:val="00A875AF"/>
    <w:rsid w:val="00A87D92"/>
    <w:rsid w:val="00A87F1A"/>
    <w:rsid w:val="00A87FC1"/>
    <w:rsid w:val="00A90DAE"/>
    <w:rsid w:val="00A9164B"/>
    <w:rsid w:val="00A918AB"/>
    <w:rsid w:val="00A926DC"/>
    <w:rsid w:val="00A92908"/>
    <w:rsid w:val="00A93046"/>
    <w:rsid w:val="00A930F2"/>
    <w:rsid w:val="00A938AB"/>
    <w:rsid w:val="00A93DB3"/>
    <w:rsid w:val="00A947F6"/>
    <w:rsid w:val="00AA1A76"/>
    <w:rsid w:val="00AA210B"/>
    <w:rsid w:val="00AA2F66"/>
    <w:rsid w:val="00AA3B1E"/>
    <w:rsid w:val="00AA4209"/>
    <w:rsid w:val="00AA4E0C"/>
    <w:rsid w:val="00AA6670"/>
    <w:rsid w:val="00AA71B8"/>
    <w:rsid w:val="00AA7AD9"/>
    <w:rsid w:val="00AB0DA8"/>
    <w:rsid w:val="00AB1084"/>
    <w:rsid w:val="00AB1367"/>
    <w:rsid w:val="00AB2D43"/>
    <w:rsid w:val="00AB2DB2"/>
    <w:rsid w:val="00AB3461"/>
    <w:rsid w:val="00AB4E7C"/>
    <w:rsid w:val="00AB5DF2"/>
    <w:rsid w:val="00AB6AB8"/>
    <w:rsid w:val="00AC05C9"/>
    <w:rsid w:val="00AC097F"/>
    <w:rsid w:val="00AC0B98"/>
    <w:rsid w:val="00AC14E2"/>
    <w:rsid w:val="00AC38E8"/>
    <w:rsid w:val="00AC3A95"/>
    <w:rsid w:val="00AC5A07"/>
    <w:rsid w:val="00AC5C2D"/>
    <w:rsid w:val="00AC65DE"/>
    <w:rsid w:val="00AD0336"/>
    <w:rsid w:val="00AD2458"/>
    <w:rsid w:val="00AD372D"/>
    <w:rsid w:val="00AD4167"/>
    <w:rsid w:val="00AD5C09"/>
    <w:rsid w:val="00AD69B9"/>
    <w:rsid w:val="00AD6D3B"/>
    <w:rsid w:val="00AD6E7A"/>
    <w:rsid w:val="00AD76CE"/>
    <w:rsid w:val="00AD7848"/>
    <w:rsid w:val="00AE0173"/>
    <w:rsid w:val="00AE0513"/>
    <w:rsid w:val="00AE28F4"/>
    <w:rsid w:val="00AE4185"/>
    <w:rsid w:val="00AE588E"/>
    <w:rsid w:val="00AF0D06"/>
    <w:rsid w:val="00AF4083"/>
    <w:rsid w:val="00AF44A5"/>
    <w:rsid w:val="00AF6C9A"/>
    <w:rsid w:val="00AF76E2"/>
    <w:rsid w:val="00AF7F71"/>
    <w:rsid w:val="00B017BB"/>
    <w:rsid w:val="00B01E3F"/>
    <w:rsid w:val="00B02633"/>
    <w:rsid w:val="00B027E1"/>
    <w:rsid w:val="00B032BC"/>
    <w:rsid w:val="00B03500"/>
    <w:rsid w:val="00B035E3"/>
    <w:rsid w:val="00B03651"/>
    <w:rsid w:val="00B0391D"/>
    <w:rsid w:val="00B041F6"/>
    <w:rsid w:val="00B04649"/>
    <w:rsid w:val="00B04E62"/>
    <w:rsid w:val="00B0556E"/>
    <w:rsid w:val="00B06397"/>
    <w:rsid w:val="00B063D5"/>
    <w:rsid w:val="00B07492"/>
    <w:rsid w:val="00B11103"/>
    <w:rsid w:val="00B11EC1"/>
    <w:rsid w:val="00B13FC5"/>
    <w:rsid w:val="00B1514C"/>
    <w:rsid w:val="00B20571"/>
    <w:rsid w:val="00B21990"/>
    <w:rsid w:val="00B21C22"/>
    <w:rsid w:val="00B23354"/>
    <w:rsid w:val="00B23679"/>
    <w:rsid w:val="00B24846"/>
    <w:rsid w:val="00B24873"/>
    <w:rsid w:val="00B25670"/>
    <w:rsid w:val="00B269F7"/>
    <w:rsid w:val="00B274B1"/>
    <w:rsid w:val="00B30153"/>
    <w:rsid w:val="00B305A9"/>
    <w:rsid w:val="00B30D83"/>
    <w:rsid w:val="00B31960"/>
    <w:rsid w:val="00B31C5C"/>
    <w:rsid w:val="00B3223C"/>
    <w:rsid w:val="00B3230D"/>
    <w:rsid w:val="00B335C9"/>
    <w:rsid w:val="00B33DD9"/>
    <w:rsid w:val="00B33FB4"/>
    <w:rsid w:val="00B35796"/>
    <w:rsid w:val="00B402C7"/>
    <w:rsid w:val="00B40997"/>
    <w:rsid w:val="00B41C49"/>
    <w:rsid w:val="00B420F4"/>
    <w:rsid w:val="00B42EFB"/>
    <w:rsid w:val="00B42F0E"/>
    <w:rsid w:val="00B439FA"/>
    <w:rsid w:val="00B43BEE"/>
    <w:rsid w:val="00B440C0"/>
    <w:rsid w:val="00B45149"/>
    <w:rsid w:val="00B45E35"/>
    <w:rsid w:val="00B465BA"/>
    <w:rsid w:val="00B47648"/>
    <w:rsid w:val="00B47CC8"/>
    <w:rsid w:val="00B50A80"/>
    <w:rsid w:val="00B51E0B"/>
    <w:rsid w:val="00B51F96"/>
    <w:rsid w:val="00B5273D"/>
    <w:rsid w:val="00B52B36"/>
    <w:rsid w:val="00B55C22"/>
    <w:rsid w:val="00B55D34"/>
    <w:rsid w:val="00B55F75"/>
    <w:rsid w:val="00B56094"/>
    <w:rsid w:val="00B56A66"/>
    <w:rsid w:val="00B57359"/>
    <w:rsid w:val="00B60148"/>
    <w:rsid w:val="00B60F00"/>
    <w:rsid w:val="00B62079"/>
    <w:rsid w:val="00B6226D"/>
    <w:rsid w:val="00B66AF7"/>
    <w:rsid w:val="00B674EA"/>
    <w:rsid w:val="00B70AA7"/>
    <w:rsid w:val="00B720C7"/>
    <w:rsid w:val="00B73000"/>
    <w:rsid w:val="00B7300C"/>
    <w:rsid w:val="00B73CD9"/>
    <w:rsid w:val="00B73FFA"/>
    <w:rsid w:val="00B7402B"/>
    <w:rsid w:val="00B7432D"/>
    <w:rsid w:val="00B74A73"/>
    <w:rsid w:val="00B74CE7"/>
    <w:rsid w:val="00B7561D"/>
    <w:rsid w:val="00B75C8E"/>
    <w:rsid w:val="00B763E9"/>
    <w:rsid w:val="00B76946"/>
    <w:rsid w:val="00B77103"/>
    <w:rsid w:val="00B82492"/>
    <w:rsid w:val="00B8343B"/>
    <w:rsid w:val="00B83E11"/>
    <w:rsid w:val="00B84D55"/>
    <w:rsid w:val="00B853A4"/>
    <w:rsid w:val="00B860F4"/>
    <w:rsid w:val="00B86328"/>
    <w:rsid w:val="00B8756C"/>
    <w:rsid w:val="00B87840"/>
    <w:rsid w:val="00B90DB1"/>
    <w:rsid w:val="00B91F15"/>
    <w:rsid w:val="00B9252B"/>
    <w:rsid w:val="00B931F5"/>
    <w:rsid w:val="00B94B47"/>
    <w:rsid w:val="00B95323"/>
    <w:rsid w:val="00B9644E"/>
    <w:rsid w:val="00B96AC5"/>
    <w:rsid w:val="00BA012F"/>
    <w:rsid w:val="00BA06BA"/>
    <w:rsid w:val="00BA0B4D"/>
    <w:rsid w:val="00BA12A9"/>
    <w:rsid w:val="00BA2F2B"/>
    <w:rsid w:val="00BA3503"/>
    <w:rsid w:val="00BA4193"/>
    <w:rsid w:val="00BA42C6"/>
    <w:rsid w:val="00BA45BC"/>
    <w:rsid w:val="00BA4733"/>
    <w:rsid w:val="00BA4D75"/>
    <w:rsid w:val="00BA6C1C"/>
    <w:rsid w:val="00BA7250"/>
    <w:rsid w:val="00BA786C"/>
    <w:rsid w:val="00BA7AAC"/>
    <w:rsid w:val="00BB0072"/>
    <w:rsid w:val="00BB0F90"/>
    <w:rsid w:val="00BB461D"/>
    <w:rsid w:val="00BB5DDB"/>
    <w:rsid w:val="00BB657D"/>
    <w:rsid w:val="00BB67F3"/>
    <w:rsid w:val="00BB7031"/>
    <w:rsid w:val="00BB78A3"/>
    <w:rsid w:val="00BB7ECD"/>
    <w:rsid w:val="00BC06B5"/>
    <w:rsid w:val="00BC06BD"/>
    <w:rsid w:val="00BC1536"/>
    <w:rsid w:val="00BC52D3"/>
    <w:rsid w:val="00BC6A51"/>
    <w:rsid w:val="00BC7FE3"/>
    <w:rsid w:val="00BD00CE"/>
    <w:rsid w:val="00BD2B93"/>
    <w:rsid w:val="00BD2F94"/>
    <w:rsid w:val="00BD4E09"/>
    <w:rsid w:val="00BD66F7"/>
    <w:rsid w:val="00BD6A56"/>
    <w:rsid w:val="00BD6DFD"/>
    <w:rsid w:val="00BD7A88"/>
    <w:rsid w:val="00BD7AAE"/>
    <w:rsid w:val="00BE2911"/>
    <w:rsid w:val="00BE3DC8"/>
    <w:rsid w:val="00BE4A7B"/>
    <w:rsid w:val="00BE5B87"/>
    <w:rsid w:val="00BE7440"/>
    <w:rsid w:val="00BE7B56"/>
    <w:rsid w:val="00BF02F7"/>
    <w:rsid w:val="00BF0FCE"/>
    <w:rsid w:val="00BF141F"/>
    <w:rsid w:val="00BF1898"/>
    <w:rsid w:val="00BF1935"/>
    <w:rsid w:val="00BF1EA2"/>
    <w:rsid w:val="00BF29B3"/>
    <w:rsid w:val="00BF2B71"/>
    <w:rsid w:val="00BF2F3E"/>
    <w:rsid w:val="00BF3AC9"/>
    <w:rsid w:val="00BF3DA7"/>
    <w:rsid w:val="00BF592A"/>
    <w:rsid w:val="00BF6236"/>
    <w:rsid w:val="00BF72CF"/>
    <w:rsid w:val="00BF7398"/>
    <w:rsid w:val="00C00B95"/>
    <w:rsid w:val="00C01541"/>
    <w:rsid w:val="00C01814"/>
    <w:rsid w:val="00C01DA6"/>
    <w:rsid w:val="00C0207A"/>
    <w:rsid w:val="00C0218B"/>
    <w:rsid w:val="00C024E1"/>
    <w:rsid w:val="00C04D26"/>
    <w:rsid w:val="00C0565F"/>
    <w:rsid w:val="00C0624E"/>
    <w:rsid w:val="00C06724"/>
    <w:rsid w:val="00C07DB6"/>
    <w:rsid w:val="00C10365"/>
    <w:rsid w:val="00C103E9"/>
    <w:rsid w:val="00C106B1"/>
    <w:rsid w:val="00C10F40"/>
    <w:rsid w:val="00C13129"/>
    <w:rsid w:val="00C15653"/>
    <w:rsid w:val="00C1662D"/>
    <w:rsid w:val="00C17122"/>
    <w:rsid w:val="00C175BE"/>
    <w:rsid w:val="00C226DC"/>
    <w:rsid w:val="00C2346C"/>
    <w:rsid w:val="00C24D96"/>
    <w:rsid w:val="00C24F11"/>
    <w:rsid w:val="00C25677"/>
    <w:rsid w:val="00C27081"/>
    <w:rsid w:val="00C30D0C"/>
    <w:rsid w:val="00C311EC"/>
    <w:rsid w:val="00C32778"/>
    <w:rsid w:val="00C33C75"/>
    <w:rsid w:val="00C34609"/>
    <w:rsid w:val="00C34940"/>
    <w:rsid w:val="00C354A5"/>
    <w:rsid w:val="00C357B0"/>
    <w:rsid w:val="00C35DBB"/>
    <w:rsid w:val="00C3692D"/>
    <w:rsid w:val="00C36E1D"/>
    <w:rsid w:val="00C4127C"/>
    <w:rsid w:val="00C43B76"/>
    <w:rsid w:val="00C43EA9"/>
    <w:rsid w:val="00C45E17"/>
    <w:rsid w:val="00C4674C"/>
    <w:rsid w:val="00C467CF"/>
    <w:rsid w:val="00C47517"/>
    <w:rsid w:val="00C5040E"/>
    <w:rsid w:val="00C504DA"/>
    <w:rsid w:val="00C50CA5"/>
    <w:rsid w:val="00C50F61"/>
    <w:rsid w:val="00C522B8"/>
    <w:rsid w:val="00C528E8"/>
    <w:rsid w:val="00C530D4"/>
    <w:rsid w:val="00C5445D"/>
    <w:rsid w:val="00C54543"/>
    <w:rsid w:val="00C5554C"/>
    <w:rsid w:val="00C616CF"/>
    <w:rsid w:val="00C617A3"/>
    <w:rsid w:val="00C62486"/>
    <w:rsid w:val="00C628B5"/>
    <w:rsid w:val="00C62E4C"/>
    <w:rsid w:val="00C62EE6"/>
    <w:rsid w:val="00C655DA"/>
    <w:rsid w:val="00C6583B"/>
    <w:rsid w:val="00C6679E"/>
    <w:rsid w:val="00C6759C"/>
    <w:rsid w:val="00C67CF3"/>
    <w:rsid w:val="00C67D71"/>
    <w:rsid w:val="00C67F69"/>
    <w:rsid w:val="00C718AB"/>
    <w:rsid w:val="00C72D01"/>
    <w:rsid w:val="00C73C1C"/>
    <w:rsid w:val="00C7535E"/>
    <w:rsid w:val="00C76646"/>
    <w:rsid w:val="00C7675B"/>
    <w:rsid w:val="00C76DF5"/>
    <w:rsid w:val="00C77976"/>
    <w:rsid w:val="00C77CF3"/>
    <w:rsid w:val="00C77EBE"/>
    <w:rsid w:val="00C80E13"/>
    <w:rsid w:val="00C818BD"/>
    <w:rsid w:val="00C81CF8"/>
    <w:rsid w:val="00C81E5F"/>
    <w:rsid w:val="00C83DCA"/>
    <w:rsid w:val="00C846BA"/>
    <w:rsid w:val="00C86534"/>
    <w:rsid w:val="00C86EA2"/>
    <w:rsid w:val="00C87A46"/>
    <w:rsid w:val="00C90688"/>
    <w:rsid w:val="00C90E42"/>
    <w:rsid w:val="00C93B02"/>
    <w:rsid w:val="00C9492F"/>
    <w:rsid w:val="00C95785"/>
    <w:rsid w:val="00C958F2"/>
    <w:rsid w:val="00C95951"/>
    <w:rsid w:val="00C966A7"/>
    <w:rsid w:val="00C97709"/>
    <w:rsid w:val="00CA13A6"/>
    <w:rsid w:val="00CA1E65"/>
    <w:rsid w:val="00CA25F4"/>
    <w:rsid w:val="00CA2CF4"/>
    <w:rsid w:val="00CA30BE"/>
    <w:rsid w:val="00CA3162"/>
    <w:rsid w:val="00CA5275"/>
    <w:rsid w:val="00CA6AA6"/>
    <w:rsid w:val="00CB0AE0"/>
    <w:rsid w:val="00CB35BA"/>
    <w:rsid w:val="00CB394A"/>
    <w:rsid w:val="00CB5F11"/>
    <w:rsid w:val="00CB65AF"/>
    <w:rsid w:val="00CB692C"/>
    <w:rsid w:val="00CB6999"/>
    <w:rsid w:val="00CC006E"/>
    <w:rsid w:val="00CC0121"/>
    <w:rsid w:val="00CC01D9"/>
    <w:rsid w:val="00CC058B"/>
    <w:rsid w:val="00CC22B0"/>
    <w:rsid w:val="00CC2B2D"/>
    <w:rsid w:val="00CC2C96"/>
    <w:rsid w:val="00CC48A6"/>
    <w:rsid w:val="00CC52F8"/>
    <w:rsid w:val="00CC61BE"/>
    <w:rsid w:val="00CD0DD5"/>
    <w:rsid w:val="00CD1E46"/>
    <w:rsid w:val="00CD2987"/>
    <w:rsid w:val="00CD3931"/>
    <w:rsid w:val="00CD3B6A"/>
    <w:rsid w:val="00CD3F11"/>
    <w:rsid w:val="00CD3F39"/>
    <w:rsid w:val="00CD537B"/>
    <w:rsid w:val="00CD571E"/>
    <w:rsid w:val="00CD577C"/>
    <w:rsid w:val="00CD6FDC"/>
    <w:rsid w:val="00CD7740"/>
    <w:rsid w:val="00CE02AE"/>
    <w:rsid w:val="00CE04BE"/>
    <w:rsid w:val="00CE09A6"/>
    <w:rsid w:val="00CE2A69"/>
    <w:rsid w:val="00CE2F6C"/>
    <w:rsid w:val="00CE47B3"/>
    <w:rsid w:val="00CE47E8"/>
    <w:rsid w:val="00CE5037"/>
    <w:rsid w:val="00CE5057"/>
    <w:rsid w:val="00CE5449"/>
    <w:rsid w:val="00CE6575"/>
    <w:rsid w:val="00CE6F0D"/>
    <w:rsid w:val="00CE7E42"/>
    <w:rsid w:val="00CF0329"/>
    <w:rsid w:val="00CF0819"/>
    <w:rsid w:val="00CF2955"/>
    <w:rsid w:val="00CF3CEA"/>
    <w:rsid w:val="00CF4548"/>
    <w:rsid w:val="00CF479B"/>
    <w:rsid w:val="00CF66DC"/>
    <w:rsid w:val="00D00570"/>
    <w:rsid w:val="00D00CFD"/>
    <w:rsid w:val="00D05015"/>
    <w:rsid w:val="00D05480"/>
    <w:rsid w:val="00D0580B"/>
    <w:rsid w:val="00D0619C"/>
    <w:rsid w:val="00D0666A"/>
    <w:rsid w:val="00D069A8"/>
    <w:rsid w:val="00D06A4F"/>
    <w:rsid w:val="00D06E3F"/>
    <w:rsid w:val="00D077AD"/>
    <w:rsid w:val="00D07C48"/>
    <w:rsid w:val="00D1042C"/>
    <w:rsid w:val="00D10673"/>
    <w:rsid w:val="00D11C94"/>
    <w:rsid w:val="00D1240C"/>
    <w:rsid w:val="00D12C80"/>
    <w:rsid w:val="00D12CDD"/>
    <w:rsid w:val="00D12F92"/>
    <w:rsid w:val="00D14337"/>
    <w:rsid w:val="00D15460"/>
    <w:rsid w:val="00D1623E"/>
    <w:rsid w:val="00D167DF"/>
    <w:rsid w:val="00D215B1"/>
    <w:rsid w:val="00D21F87"/>
    <w:rsid w:val="00D22496"/>
    <w:rsid w:val="00D226EE"/>
    <w:rsid w:val="00D22724"/>
    <w:rsid w:val="00D227FE"/>
    <w:rsid w:val="00D22E6F"/>
    <w:rsid w:val="00D23059"/>
    <w:rsid w:val="00D25108"/>
    <w:rsid w:val="00D26C61"/>
    <w:rsid w:val="00D31211"/>
    <w:rsid w:val="00D33606"/>
    <w:rsid w:val="00D34366"/>
    <w:rsid w:val="00D34CE8"/>
    <w:rsid w:val="00D364EE"/>
    <w:rsid w:val="00D371FE"/>
    <w:rsid w:val="00D415C1"/>
    <w:rsid w:val="00D4169B"/>
    <w:rsid w:val="00D41A9F"/>
    <w:rsid w:val="00D42A65"/>
    <w:rsid w:val="00D42C5E"/>
    <w:rsid w:val="00D42C70"/>
    <w:rsid w:val="00D434A2"/>
    <w:rsid w:val="00D44098"/>
    <w:rsid w:val="00D45121"/>
    <w:rsid w:val="00D4558A"/>
    <w:rsid w:val="00D45D80"/>
    <w:rsid w:val="00D45EF1"/>
    <w:rsid w:val="00D4624F"/>
    <w:rsid w:val="00D466FB"/>
    <w:rsid w:val="00D46E6D"/>
    <w:rsid w:val="00D477D0"/>
    <w:rsid w:val="00D479D9"/>
    <w:rsid w:val="00D50EE6"/>
    <w:rsid w:val="00D51261"/>
    <w:rsid w:val="00D535C5"/>
    <w:rsid w:val="00D53C1A"/>
    <w:rsid w:val="00D54401"/>
    <w:rsid w:val="00D54B0F"/>
    <w:rsid w:val="00D551D9"/>
    <w:rsid w:val="00D55DD2"/>
    <w:rsid w:val="00D579E5"/>
    <w:rsid w:val="00D57BFB"/>
    <w:rsid w:val="00D60685"/>
    <w:rsid w:val="00D6232F"/>
    <w:rsid w:val="00D625E2"/>
    <w:rsid w:val="00D62B4F"/>
    <w:rsid w:val="00D63A51"/>
    <w:rsid w:val="00D64863"/>
    <w:rsid w:val="00D6501A"/>
    <w:rsid w:val="00D65141"/>
    <w:rsid w:val="00D65E5D"/>
    <w:rsid w:val="00D67BD7"/>
    <w:rsid w:val="00D701B5"/>
    <w:rsid w:val="00D7088F"/>
    <w:rsid w:val="00D70A11"/>
    <w:rsid w:val="00D7187D"/>
    <w:rsid w:val="00D71A0E"/>
    <w:rsid w:val="00D72460"/>
    <w:rsid w:val="00D725ED"/>
    <w:rsid w:val="00D73055"/>
    <w:rsid w:val="00D76683"/>
    <w:rsid w:val="00D76E0D"/>
    <w:rsid w:val="00D81E89"/>
    <w:rsid w:val="00D82067"/>
    <w:rsid w:val="00D839E8"/>
    <w:rsid w:val="00D84631"/>
    <w:rsid w:val="00D84B03"/>
    <w:rsid w:val="00D86A2C"/>
    <w:rsid w:val="00D90537"/>
    <w:rsid w:val="00D90B26"/>
    <w:rsid w:val="00D91606"/>
    <w:rsid w:val="00D92257"/>
    <w:rsid w:val="00D926C4"/>
    <w:rsid w:val="00D94F5B"/>
    <w:rsid w:val="00D94F66"/>
    <w:rsid w:val="00D9587E"/>
    <w:rsid w:val="00D95DFA"/>
    <w:rsid w:val="00D9609E"/>
    <w:rsid w:val="00D97055"/>
    <w:rsid w:val="00D97917"/>
    <w:rsid w:val="00D97C1E"/>
    <w:rsid w:val="00DA0096"/>
    <w:rsid w:val="00DA05D3"/>
    <w:rsid w:val="00DA0855"/>
    <w:rsid w:val="00DA101C"/>
    <w:rsid w:val="00DA4574"/>
    <w:rsid w:val="00DA4C77"/>
    <w:rsid w:val="00DA4F7A"/>
    <w:rsid w:val="00DA538E"/>
    <w:rsid w:val="00DA60B1"/>
    <w:rsid w:val="00DA6C7D"/>
    <w:rsid w:val="00DA70C9"/>
    <w:rsid w:val="00DB1335"/>
    <w:rsid w:val="00DB343A"/>
    <w:rsid w:val="00DB3C0E"/>
    <w:rsid w:val="00DB3EA2"/>
    <w:rsid w:val="00DB3FDC"/>
    <w:rsid w:val="00DB4415"/>
    <w:rsid w:val="00DB4482"/>
    <w:rsid w:val="00DB4E94"/>
    <w:rsid w:val="00DB52D5"/>
    <w:rsid w:val="00DB534B"/>
    <w:rsid w:val="00DB56EF"/>
    <w:rsid w:val="00DB5B60"/>
    <w:rsid w:val="00DB61A9"/>
    <w:rsid w:val="00DC04C5"/>
    <w:rsid w:val="00DC159D"/>
    <w:rsid w:val="00DC27D5"/>
    <w:rsid w:val="00DC38B3"/>
    <w:rsid w:val="00DC41D1"/>
    <w:rsid w:val="00DC432D"/>
    <w:rsid w:val="00DC459B"/>
    <w:rsid w:val="00DC4777"/>
    <w:rsid w:val="00DC5039"/>
    <w:rsid w:val="00DC52B4"/>
    <w:rsid w:val="00DC65F3"/>
    <w:rsid w:val="00DC6CE3"/>
    <w:rsid w:val="00DD03EB"/>
    <w:rsid w:val="00DD07E8"/>
    <w:rsid w:val="00DD1041"/>
    <w:rsid w:val="00DD3215"/>
    <w:rsid w:val="00DD399E"/>
    <w:rsid w:val="00DD3FB6"/>
    <w:rsid w:val="00DD42E3"/>
    <w:rsid w:val="00DD4330"/>
    <w:rsid w:val="00DD448D"/>
    <w:rsid w:val="00DD53A7"/>
    <w:rsid w:val="00DD5BBE"/>
    <w:rsid w:val="00DD5BF9"/>
    <w:rsid w:val="00DD5D3D"/>
    <w:rsid w:val="00DD5EE2"/>
    <w:rsid w:val="00DD630E"/>
    <w:rsid w:val="00DD7728"/>
    <w:rsid w:val="00DE05EA"/>
    <w:rsid w:val="00DE0705"/>
    <w:rsid w:val="00DE0A29"/>
    <w:rsid w:val="00DE1C16"/>
    <w:rsid w:val="00DE26BE"/>
    <w:rsid w:val="00DE37C7"/>
    <w:rsid w:val="00DE4396"/>
    <w:rsid w:val="00DE4613"/>
    <w:rsid w:val="00DE682D"/>
    <w:rsid w:val="00DE6DC7"/>
    <w:rsid w:val="00DF1711"/>
    <w:rsid w:val="00DF2474"/>
    <w:rsid w:val="00DF258C"/>
    <w:rsid w:val="00DF2760"/>
    <w:rsid w:val="00DF2A4B"/>
    <w:rsid w:val="00DF481B"/>
    <w:rsid w:val="00DF72B9"/>
    <w:rsid w:val="00DF7AB1"/>
    <w:rsid w:val="00E020DC"/>
    <w:rsid w:val="00E02222"/>
    <w:rsid w:val="00E03BE6"/>
    <w:rsid w:val="00E03C79"/>
    <w:rsid w:val="00E04D78"/>
    <w:rsid w:val="00E04DC2"/>
    <w:rsid w:val="00E05EBB"/>
    <w:rsid w:val="00E0632D"/>
    <w:rsid w:val="00E0687B"/>
    <w:rsid w:val="00E07FB1"/>
    <w:rsid w:val="00E10CDE"/>
    <w:rsid w:val="00E12E82"/>
    <w:rsid w:val="00E12EFC"/>
    <w:rsid w:val="00E1339A"/>
    <w:rsid w:val="00E1368D"/>
    <w:rsid w:val="00E14276"/>
    <w:rsid w:val="00E150C2"/>
    <w:rsid w:val="00E152AF"/>
    <w:rsid w:val="00E1577D"/>
    <w:rsid w:val="00E165F1"/>
    <w:rsid w:val="00E172D1"/>
    <w:rsid w:val="00E202EE"/>
    <w:rsid w:val="00E2030C"/>
    <w:rsid w:val="00E2327E"/>
    <w:rsid w:val="00E23432"/>
    <w:rsid w:val="00E23F62"/>
    <w:rsid w:val="00E23F8C"/>
    <w:rsid w:val="00E264F0"/>
    <w:rsid w:val="00E26E0F"/>
    <w:rsid w:val="00E271BE"/>
    <w:rsid w:val="00E276F2"/>
    <w:rsid w:val="00E27BC6"/>
    <w:rsid w:val="00E32665"/>
    <w:rsid w:val="00E3428D"/>
    <w:rsid w:val="00E347AB"/>
    <w:rsid w:val="00E34CF3"/>
    <w:rsid w:val="00E35062"/>
    <w:rsid w:val="00E355B4"/>
    <w:rsid w:val="00E35F18"/>
    <w:rsid w:val="00E365BF"/>
    <w:rsid w:val="00E36C6F"/>
    <w:rsid w:val="00E3771E"/>
    <w:rsid w:val="00E37CBF"/>
    <w:rsid w:val="00E37CE5"/>
    <w:rsid w:val="00E40164"/>
    <w:rsid w:val="00E407CB"/>
    <w:rsid w:val="00E40F3B"/>
    <w:rsid w:val="00E416B0"/>
    <w:rsid w:val="00E4350A"/>
    <w:rsid w:val="00E4476C"/>
    <w:rsid w:val="00E4478C"/>
    <w:rsid w:val="00E44E9D"/>
    <w:rsid w:val="00E459A7"/>
    <w:rsid w:val="00E47B5F"/>
    <w:rsid w:val="00E51FF3"/>
    <w:rsid w:val="00E53041"/>
    <w:rsid w:val="00E53CF4"/>
    <w:rsid w:val="00E552B3"/>
    <w:rsid w:val="00E55901"/>
    <w:rsid w:val="00E55CA1"/>
    <w:rsid w:val="00E55DDE"/>
    <w:rsid w:val="00E57D3A"/>
    <w:rsid w:val="00E6044B"/>
    <w:rsid w:val="00E6093F"/>
    <w:rsid w:val="00E60FB9"/>
    <w:rsid w:val="00E616E5"/>
    <w:rsid w:val="00E62572"/>
    <w:rsid w:val="00E629DC"/>
    <w:rsid w:val="00E62F96"/>
    <w:rsid w:val="00E631CF"/>
    <w:rsid w:val="00E63A9D"/>
    <w:rsid w:val="00E70DE7"/>
    <w:rsid w:val="00E71D10"/>
    <w:rsid w:val="00E72043"/>
    <w:rsid w:val="00E7254B"/>
    <w:rsid w:val="00E728C0"/>
    <w:rsid w:val="00E72D4C"/>
    <w:rsid w:val="00E72DB6"/>
    <w:rsid w:val="00E749C6"/>
    <w:rsid w:val="00E74B56"/>
    <w:rsid w:val="00E75282"/>
    <w:rsid w:val="00E753F5"/>
    <w:rsid w:val="00E766E3"/>
    <w:rsid w:val="00E76B3B"/>
    <w:rsid w:val="00E77E6B"/>
    <w:rsid w:val="00E8011A"/>
    <w:rsid w:val="00E813AA"/>
    <w:rsid w:val="00E81502"/>
    <w:rsid w:val="00E82FC5"/>
    <w:rsid w:val="00E84D6A"/>
    <w:rsid w:val="00E84D76"/>
    <w:rsid w:val="00E85251"/>
    <w:rsid w:val="00E8540F"/>
    <w:rsid w:val="00E85648"/>
    <w:rsid w:val="00E85778"/>
    <w:rsid w:val="00E86441"/>
    <w:rsid w:val="00E90E00"/>
    <w:rsid w:val="00E914A2"/>
    <w:rsid w:val="00E91D17"/>
    <w:rsid w:val="00E9208B"/>
    <w:rsid w:val="00E920A7"/>
    <w:rsid w:val="00E92793"/>
    <w:rsid w:val="00E92E92"/>
    <w:rsid w:val="00E94658"/>
    <w:rsid w:val="00E95644"/>
    <w:rsid w:val="00E96538"/>
    <w:rsid w:val="00EA01E3"/>
    <w:rsid w:val="00EA058C"/>
    <w:rsid w:val="00EA0AF6"/>
    <w:rsid w:val="00EA0B5D"/>
    <w:rsid w:val="00EA28FB"/>
    <w:rsid w:val="00EA3474"/>
    <w:rsid w:val="00EA4C18"/>
    <w:rsid w:val="00EA5146"/>
    <w:rsid w:val="00EA5FBB"/>
    <w:rsid w:val="00EA5FC9"/>
    <w:rsid w:val="00EA65BD"/>
    <w:rsid w:val="00EA7691"/>
    <w:rsid w:val="00EB30D2"/>
    <w:rsid w:val="00EB4DA9"/>
    <w:rsid w:val="00EB5E92"/>
    <w:rsid w:val="00EB5F86"/>
    <w:rsid w:val="00EB604E"/>
    <w:rsid w:val="00EB7228"/>
    <w:rsid w:val="00EB79A1"/>
    <w:rsid w:val="00EB7A3A"/>
    <w:rsid w:val="00EB7C17"/>
    <w:rsid w:val="00EC0504"/>
    <w:rsid w:val="00EC08E1"/>
    <w:rsid w:val="00EC12F0"/>
    <w:rsid w:val="00EC1568"/>
    <w:rsid w:val="00EC1677"/>
    <w:rsid w:val="00EC2F53"/>
    <w:rsid w:val="00EC372F"/>
    <w:rsid w:val="00EC4978"/>
    <w:rsid w:val="00EC4D47"/>
    <w:rsid w:val="00EC60D0"/>
    <w:rsid w:val="00EC64C2"/>
    <w:rsid w:val="00EC7FAA"/>
    <w:rsid w:val="00ED02E9"/>
    <w:rsid w:val="00ED0982"/>
    <w:rsid w:val="00ED09EF"/>
    <w:rsid w:val="00ED13C3"/>
    <w:rsid w:val="00ED1EFA"/>
    <w:rsid w:val="00ED2796"/>
    <w:rsid w:val="00ED65D2"/>
    <w:rsid w:val="00ED7EA7"/>
    <w:rsid w:val="00EE0208"/>
    <w:rsid w:val="00EE04D5"/>
    <w:rsid w:val="00EE10C9"/>
    <w:rsid w:val="00EE11D9"/>
    <w:rsid w:val="00EE1789"/>
    <w:rsid w:val="00EE262A"/>
    <w:rsid w:val="00EE3AA9"/>
    <w:rsid w:val="00EE3EDE"/>
    <w:rsid w:val="00EE4CB8"/>
    <w:rsid w:val="00EE5276"/>
    <w:rsid w:val="00EE6848"/>
    <w:rsid w:val="00EE7ECF"/>
    <w:rsid w:val="00EF01D5"/>
    <w:rsid w:val="00EF1743"/>
    <w:rsid w:val="00EF2087"/>
    <w:rsid w:val="00EF2172"/>
    <w:rsid w:val="00EF5D11"/>
    <w:rsid w:val="00EF5D3E"/>
    <w:rsid w:val="00EF6E90"/>
    <w:rsid w:val="00EF7A28"/>
    <w:rsid w:val="00EF7C40"/>
    <w:rsid w:val="00F00167"/>
    <w:rsid w:val="00F00776"/>
    <w:rsid w:val="00F00CA7"/>
    <w:rsid w:val="00F0243E"/>
    <w:rsid w:val="00F025B3"/>
    <w:rsid w:val="00F036DC"/>
    <w:rsid w:val="00F043D2"/>
    <w:rsid w:val="00F05125"/>
    <w:rsid w:val="00F06B38"/>
    <w:rsid w:val="00F06EF1"/>
    <w:rsid w:val="00F0735F"/>
    <w:rsid w:val="00F073F9"/>
    <w:rsid w:val="00F07AA1"/>
    <w:rsid w:val="00F07B17"/>
    <w:rsid w:val="00F07F02"/>
    <w:rsid w:val="00F1191E"/>
    <w:rsid w:val="00F11EF9"/>
    <w:rsid w:val="00F1474C"/>
    <w:rsid w:val="00F15B6D"/>
    <w:rsid w:val="00F16503"/>
    <w:rsid w:val="00F1654A"/>
    <w:rsid w:val="00F16696"/>
    <w:rsid w:val="00F17158"/>
    <w:rsid w:val="00F17554"/>
    <w:rsid w:val="00F175F1"/>
    <w:rsid w:val="00F17F16"/>
    <w:rsid w:val="00F22D69"/>
    <w:rsid w:val="00F233E0"/>
    <w:rsid w:val="00F246AE"/>
    <w:rsid w:val="00F248F1"/>
    <w:rsid w:val="00F24D1E"/>
    <w:rsid w:val="00F24DF9"/>
    <w:rsid w:val="00F25969"/>
    <w:rsid w:val="00F266B1"/>
    <w:rsid w:val="00F266FB"/>
    <w:rsid w:val="00F26920"/>
    <w:rsid w:val="00F27467"/>
    <w:rsid w:val="00F277AF"/>
    <w:rsid w:val="00F301E1"/>
    <w:rsid w:val="00F304E3"/>
    <w:rsid w:val="00F30D23"/>
    <w:rsid w:val="00F31885"/>
    <w:rsid w:val="00F31E09"/>
    <w:rsid w:val="00F33457"/>
    <w:rsid w:val="00F338A7"/>
    <w:rsid w:val="00F33CCB"/>
    <w:rsid w:val="00F36600"/>
    <w:rsid w:val="00F37648"/>
    <w:rsid w:val="00F37B5E"/>
    <w:rsid w:val="00F40C65"/>
    <w:rsid w:val="00F40CD9"/>
    <w:rsid w:val="00F4476F"/>
    <w:rsid w:val="00F44F67"/>
    <w:rsid w:val="00F456D6"/>
    <w:rsid w:val="00F45B29"/>
    <w:rsid w:val="00F46166"/>
    <w:rsid w:val="00F4625E"/>
    <w:rsid w:val="00F518C9"/>
    <w:rsid w:val="00F51AA9"/>
    <w:rsid w:val="00F51FD9"/>
    <w:rsid w:val="00F52118"/>
    <w:rsid w:val="00F52B3B"/>
    <w:rsid w:val="00F52B87"/>
    <w:rsid w:val="00F53240"/>
    <w:rsid w:val="00F533C8"/>
    <w:rsid w:val="00F53538"/>
    <w:rsid w:val="00F53832"/>
    <w:rsid w:val="00F539B7"/>
    <w:rsid w:val="00F53B85"/>
    <w:rsid w:val="00F55DA9"/>
    <w:rsid w:val="00F56345"/>
    <w:rsid w:val="00F563AD"/>
    <w:rsid w:val="00F6040A"/>
    <w:rsid w:val="00F621DB"/>
    <w:rsid w:val="00F621F4"/>
    <w:rsid w:val="00F62ACC"/>
    <w:rsid w:val="00F63B03"/>
    <w:rsid w:val="00F64C3D"/>
    <w:rsid w:val="00F64ECB"/>
    <w:rsid w:val="00F65ADA"/>
    <w:rsid w:val="00F66805"/>
    <w:rsid w:val="00F66CB1"/>
    <w:rsid w:val="00F715DE"/>
    <w:rsid w:val="00F71AA3"/>
    <w:rsid w:val="00F725AA"/>
    <w:rsid w:val="00F759C6"/>
    <w:rsid w:val="00F761E2"/>
    <w:rsid w:val="00F763D3"/>
    <w:rsid w:val="00F768DD"/>
    <w:rsid w:val="00F7694B"/>
    <w:rsid w:val="00F76EBF"/>
    <w:rsid w:val="00F76FF7"/>
    <w:rsid w:val="00F7793F"/>
    <w:rsid w:val="00F8081C"/>
    <w:rsid w:val="00F809C5"/>
    <w:rsid w:val="00F81473"/>
    <w:rsid w:val="00F81836"/>
    <w:rsid w:val="00F82B01"/>
    <w:rsid w:val="00F84FB2"/>
    <w:rsid w:val="00F85E3B"/>
    <w:rsid w:val="00F860F2"/>
    <w:rsid w:val="00F868DA"/>
    <w:rsid w:val="00F86BA7"/>
    <w:rsid w:val="00F873AF"/>
    <w:rsid w:val="00F87488"/>
    <w:rsid w:val="00F87E78"/>
    <w:rsid w:val="00F90993"/>
    <w:rsid w:val="00F938D7"/>
    <w:rsid w:val="00F9409F"/>
    <w:rsid w:val="00F944CB"/>
    <w:rsid w:val="00F95006"/>
    <w:rsid w:val="00F95D70"/>
    <w:rsid w:val="00F966D7"/>
    <w:rsid w:val="00F969C4"/>
    <w:rsid w:val="00F96DBC"/>
    <w:rsid w:val="00F96E8A"/>
    <w:rsid w:val="00F97A99"/>
    <w:rsid w:val="00FA03AC"/>
    <w:rsid w:val="00FA15BA"/>
    <w:rsid w:val="00FA22F7"/>
    <w:rsid w:val="00FA39C6"/>
    <w:rsid w:val="00FA3DE4"/>
    <w:rsid w:val="00FA46DF"/>
    <w:rsid w:val="00FA56D8"/>
    <w:rsid w:val="00FA599B"/>
    <w:rsid w:val="00FA62F4"/>
    <w:rsid w:val="00FA6886"/>
    <w:rsid w:val="00FA7AD6"/>
    <w:rsid w:val="00FA7E73"/>
    <w:rsid w:val="00FB025E"/>
    <w:rsid w:val="00FB0918"/>
    <w:rsid w:val="00FB0A66"/>
    <w:rsid w:val="00FB1331"/>
    <w:rsid w:val="00FB1BCB"/>
    <w:rsid w:val="00FB1E7D"/>
    <w:rsid w:val="00FB1EE5"/>
    <w:rsid w:val="00FB2DC1"/>
    <w:rsid w:val="00FB4AAC"/>
    <w:rsid w:val="00FB53C6"/>
    <w:rsid w:val="00FB54D7"/>
    <w:rsid w:val="00FB7709"/>
    <w:rsid w:val="00FC0B2D"/>
    <w:rsid w:val="00FC11BC"/>
    <w:rsid w:val="00FC23F3"/>
    <w:rsid w:val="00FC3570"/>
    <w:rsid w:val="00FC4F6F"/>
    <w:rsid w:val="00FC5980"/>
    <w:rsid w:val="00FC6992"/>
    <w:rsid w:val="00FD032B"/>
    <w:rsid w:val="00FD0EB2"/>
    <w:rsid w:val="00FD0FE8"/>
    <w:rsid w:val="00FD17AB"/>
    <w:rsid w:val="00FD260F"/>
    <w:rsid w:val="00FD2DE0"/>
    <w:rsid w:val="00FD2EAD"/>
    <w:rsid w:val="00FD383D"/>
    <w:rsid w:val="00FD4885"/>
    <w:rsid w:val="00FD4FDF"/>
    <w:rsid w:val="00FD5870"/>
    <w:rsid w:val="00FD67B9"/>
    <w:rsid w:val="00FD7248"/>
    <w:rsid w:val="00FD7912"/>
    <w:rsid w:val="00FE000C"/>
    <w:rsid w:val="00FE0948"/>
    <w:rsid w:val="00FE0A81"/>
    <w:rsid w:val="00FE1D5D"/>
    <w:rsid w:val="00FE1E36"/>
    <w:rsid w:val="00FE2E5F"/>
    <w:rsid w:val="00FE43D6"/>
    <w:rsid w:val="00FE47C0"/>
    <w:rsid w:val="00FE667B"/>
    <w:rsid w:val="00FE75E4"/>
    <w:rsid w:val="00FE7A88"/>
    <w:rsid w:val="00FE7D58"/>
    <w:rsid w:val="00FF13F8"/>
    <w:rsid w:val="00FF18B2"/>
    <w:rsid w:val="00FF2ECB"/>
    <w:rsid w:val="00FF3348"/>
    <w:rsid w:val="00FF52D6"/>
    <w:rsid w:val="00FF5663"/>
    <w:rsid w:val="00FF62E5"/>
    <w:rsid w:val="00FF6B6D"/>
    <w:rsid w:val="22482533"/>
    <w:rsid w:val="27BB1AF7"/>
    <w:rsid w:val="28D42581"/>
    <w:rsid w:val="3B06EC0F"/>
    <w:rsid w:val="4E066B60"/>
    <w:rsid w:val="52B337F5"/>
    <w:rsid w:val="62214E51"/>
    <w:rsid w:val="6722EBE6"/>
    <w:rsid w:val="679577CF"/>
    <w:rsid w:val="6D53906A"/>
    <w:rsid w:val="7A57EDB7"/>
    <w:rsid w:val="7F04BA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529DE"/>
  <w15:chartTrackingRefBased/>
  <w15:docId w15:val="{6183C341-AB11-4B65-8DD1-2C3BDE06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02"/>
    <w:pPr>
      <w:spacing w:after="0" w:line="240" w:lineRule="auto"/>
    </w:pPr>
    <w:rPr>
      <w:lang w:val="es-ES"/>
    </w:rPr>
  </w:style>
  <w:style w:type="paragraph" w:styleId="Ttulo1">
    <w:name w:val="heading 1"/>
    <w:basedOn w:val="Normal"/>
    <w:next w:val="Normal"/>
    <w:link w:val="Ttulo1Car"/>
    <w:uiPriority w:val="9"/>
    <w:qFormat/>
    <w:rsid w:val="00FD032B"/>
    <w:pPr>
      <w:keepNext/>
      <w:keepLines/>
      <w:contextualSpacing/>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Ttulo1"/>
    <w:next w:val="Normal"/>
    <w:link w:val="Ttulo2Car"/>
    <w:uiPriority w:val="9"/>
    <w:unhideWhenUsed/>
    <w:qFormat/>
    <w:rsid w:val="00054DD3"/>
    <w:pPr>
      <w:outlineLvl w:val="1"/>
    </w:pPr>
    <w:rPr>
      <w:sz w:val="32"/>
      <w:szCs w:val="32"/>
    </w:rPr>
  </w:style>
  <w:style w:type="paragraph" w:styleId="Ttulo3">
    <w:name w:val="heading 3"/>
    <w:basedOn w:val="Ttulo2"/>
    <w:next w:val="Normal"/>
    <w:link w:val="Ttulo3Car"/>
    <w:uiPriority w:val="9"/>
    <w:unhideWhenUsed/>
    <w:qFormat/>
    <w:rsid w:val="00F338A7"/>
    <w:pPr>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FB5"/>
    <w:pPr>
      <w:tabs>
        <w:tab w:val="center" w:pos="4252"/>
        <w:tab w:val="right" w:pos="8504"/>
      </w:tabs>
    </w:pPr>
  </w:style>
  <w:style w:type="character" w:customStyle="1" w:styleId="EncabezadoCar">
    <w:name w:val="Encabezado Car"/>
    <w:basedOn w:val="Fuentedeprrafopredeter"/>
    <w:link w:val="Encabezado"/>
    <w:rsid w:val="00907FB5"/>
    <w:rPr>
      <w:lang w:val="es-ES"/>
    </w:rPr>
  </w:style>
  <w:style w:type="paragraph" w:styleId="Piedepgina">
    <w:name w:val="footer"/>
    <w:basedOn w:val="Normal"/>
    <w:link w:val="PiedepginaCar"/>
    <w:uiPriority w:val="99"/>
    <w:unhideWhenUsed/>
    <w:rsid w:val="00907FB5"/>
    <w:pPr>
      <w:tabs>
        <w:tab w:val="center" w:pos="4252"/>
        <w:tab w:val="right" w:pos="8504"/>
      </w:tabs>
    </w:pPr>
  </w:style>
  <w:style w:type="character" w:customStyle="1" w:styleId="PiedepginaCar">
    <w:name w:val="Pie de página Car"/>
    <w:basedOn w:val="Fuentedeprrafopredeter"/>
    <w:link w:val="Piedepgina"/>
    <w:uiPriority w:val="99"/>
    <w:rsid w:val="00907FB5"/>
    <w:rPr>
      <w:lang w:val="es-ES"/>
    </w:rPr>
  </w:style>
  <w:style w:type="character" w:styleId="Hipervnculo">
    <w:name w:val="Hyperlink"/>
    <w:basedOn w:val="Fuentedeprrafopredeter"/>
    <w:uiPriority w:val="99"/>
    <w:rsid w:val="00907FB5"/>
    <w:rPr>
      <w:color w:val="0000FF"/>
      <w:u w:val="single"/>
    </w:rPr>
  </w:style>
  <w:style w:type="paragraph" w:styleId="Prrafodelista">
    <w:name w:val="List Paragraph"/>
    <w:aliases w:val="Informe"/>
    <w:basedOn w:val="Normal"/>
    <w:link w:val="PrrafodelistaCar"/>
    <w:uiPriority w:val="34"/>
    <w:qFormat/>
    <w:rsid w:val="006023D3"/>
    <w:pPr>
      <w:ind w:left="720"/>
      <w:contextualSpacing/>
    </w:pPr>
  </w:style>
  <w:style w:type="paragraph" w:styleId="Sinespaciado">
    <w:name w:val="No Spacing"/>
    <w:link w:val="SinespaciadoCar"/>
    <w:uiPriority w:val="1"/>
    <w:qFormat/>
    <w:rsid w:val="006023D3"/>
    <w:pPr>
      <w:spacing w:after="0" w:line="240" w:lineRule="auto"/>
    </w:pPr>
    <w:rPr>
      <w:lang w:val="es-ES"/>
    </w:rPr>
  </w:style>
  <w:style w:type="character" w:customStyle="1" w:styleId="PrrafodelistaCar">
    <w:name w:val="Párrafo de lista Car"/>
    <w:aliases w:val="Informe Car"/>
    <w:link w:val="Prrafodelista"/>
    <w:uiPriority w:val="34"/>
    <w:rsid w:val="006023D3"/>
    <w:rPr>
      <w:lang w:val="es-ES"/>
    </w:rPr>
  </w:style>
  <w:style w:type="character" w:customStyle="1" w:styleId="SinespaciadoCar">
    <w:name w:val="Sin espaciado Car"/>
    <w:basedOn w:val="Fuentedeprrafopredeter"/>
    <w:link w:val="Sinespaciado"/>
    <w:uiPriority w:val="1"/>
    <w:rsid w:val="006023D3"/>
    <w:rPr>
      <w:lang w:val="es-ES"/>
    </w:rPr>
  </w:style>
  <w:style w:type="table" w:styleId="Tablaconcuadrcula">
    <w:name w:val="Table Grid"/>
    <w:basedOn w:val="Tablanormal"/>
    <w:uiPriority w:val="59"/>
    <w:rsid w:val="0060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6023D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1">
    <w:name w:val="normaltextrun1"/>
    <w:basedOn w:val="Fuentedeprrafopredeter"/>
    <w:rsid w:val="00664025"/>
  </w:style>
  <w:style w:type="character" w:customStyle="1" w:styleId="eop">
    <w:name w:val="eop"/>
    <w:basedOn w:val="Fuentedeprrafopredeter"/>
    <w:rsid w:val="00664025"/>
  </w:style>
  <w:style w:type="character" w:customStyle="1" w:styleId="Ttulo1Car">
    <w:name w:val="Título 1 Car"/>
    <w:basedOn w:val="Fuentedeprrafopredeter"/>
    <w:link w:val="Ttulo1"/>
    <w:uiPriority w:val="9"/>
    <w:rsid w:val="00FD032B"/>
    <w:rPr>
      <w:rFonts w:asciiTheme="majorHAnsi" w:eastAsiaTheme="majorEastAsia" w:hAnsiTheme="majorHAnsi" w:cstheme="majorBidi"/>
      <w:color w:val="365F91" w:themeColor="accent1" w:themeShade="BF"/>
      <w:sz w:val="36"/>
      <w:szCs w:val="36"/>
      <w:lang w:val="es-ES"/>
    </w:rPr>
  </w:style>
  <w:style w:type="character" w:styleId="Mencinsinresolver">
    <w:name w:val="Unresolved Mention"/>
    <w:basedOn w:val="Fuentedeprrafopredeter"/>
    <w:uiPriority w:val="99"/>
    <w:semiHidden/>
    <w:unhideWhenUsed/>
    <w:rsid w:val="00E62F96"/>
    <w:rPr>
      <w:color w:val="605E5C"/>
      <w:shd w:val="clear" w:color="auto" w:fill="E1DFDD"/>
    </w:rPr>
  </w:style>
  <w:style w:type="character" w:customStyle="1" w:styleId="Ttulo2Car">
    <w:name w:val="Título 2 Car"/>
    <w:basedOn w:val="Fuentedeprrafopredeter"/>
    <w:link w:val="Ttulo2"/>
    <w:uiPriority w:val="9"/>
    <w:rsid w:val="00054DD3"/>
    <w:rPr>
      <w:rFonts w:asciiTheme="majorHAnsi" w:eastAsiaTheme="majorEastAsia" w:hAnsiTheme="majorHAnsi" w:cstheme="majorBidi"/>
      <w:color w:val="365F91" w:themeColor="accent1" w:themeShade="BF"/>
      <w:sz w:val="32"/>
      <w:szCs w:val="32"/>
      <w:lang w:val="es-ES"/>
    </w:rPr>
  </w:style>
  <w:style w:type="paragraph" w:styleId="Descripcin">
    <w:name w:val="caption"/>
    <w:basedOn w:val="Normal"/>
    <w:next w:val="Normal"/>
    <w:uiPriority w:val="35"/>
    <w:unhideWhenUsed/>
    <w:qFormat/>
    <w:rsid w:val="005C62A5"/>
    <w:pPr>
      <w:spacing w:after="200"/>
    </w:pPr>
    <w:rPr>
      <w:i/>
      <w:iCs/>
      <w:color w:val="1F497D" w:themeColor="text2"/>
      <w:sz w:val="18"/>
      <w:szCs w:val="18"/>
    </w:rPr>
  </w:style>
  <w:style w:type="paragraph" w:styleId="Textonotapie">
    <w:name w:val="footnote text"/>
    <w:basedOn w:val="Normal"/>
    <w:link w:val="TextonotapieCar"/>
    <w:uiPriority w:val="99"/>
    <w:semiHidden/>
    <w:unhideWhenUsed/>
    <w:rsid w:val="009B481B"/>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B481B"/>
    <w:rPr>
      <w:rFonts w:ascii="Calibri" w:eastAsia="Calibri" w:hAnsi="Calibri" w:cs="Times New Roman"/>
      <w:sz w:val="20"/>
      <w:szCs w:val="20"/>
      <w:lang w:val="es-ES"/>
    </w:rPr>
  </w:style>
  <w:style w:type="character" w:styleId="Refdenotaalpie">
    <w:name w:val="footnote reference"/>
    <w:uiPriority w:val="99"/>
    <w:semiHidden/>
    <w:unhideWhenUsed/>
    <w:rsid w:val="009B481B"/>
    <w:rPr>
      <w:vertAlign w:val="superscript"/>
    </w:rPr>
  </w:style>
  <w:style w:type="paragraph" w:styleId="TtuloTDC">
    <w:name w:val="TOC Heading"/>
    <w:basedOn w:val="Ttulo1"/>
    <w:next w:val="Normal"/>
    <w:uiPriority w:val="39"/>
    <w:unhideWhenUsed/>
    <w:qFormat/>
    <w:rsid w:val="00C7675B"/>
    <w:pPr>
      <w:spacing w:before="240" w:line="259" w:lineRule="auto"/>
      <w:contextualSpacing w:val="0"/>
      <w:outlineLvl w:val="9"/>
    </w:pPr>
    <w:rPr>
      <w:sz w:val="32"/>
      <w:szCs w:val="32"/>
      <w:lang w:val="es-CR" w:eastAsia="es-CR"/>
    </w:rPr>
  </w:style>
  <w:style w:type="paragraph" w:styleId="TDC1">
    <w:name w:val="toc 1"/>
    <w:basedOn w:val="Normal"/>
    <w:next w:val="Normal"/>
    <w:autoRedefine/>
    <w:uiPriority w:val="39"/>
    <w:unhideWhenUsed/>
    <w:rsid w:val="00C7675B"/>
    <w:pPr>
      <w:spacing w:after="100"/>
    </w:pPr>
  </w:style>
  <w:style w:type="paragraph" w:styleId="TDC2">
    <w:name w:val="toc 2"/>
    <w:basedOn w:val="Normal"/>
    <w:next w:val="Normal"/>
    <w:autoRedefine/>
    <w:uiPriority w:val="39"/>
    <w:unhideWhenUsed/>
    <w:rsid w:val="00C7675B"/>
    <w:pPr>
      <w:spacing w:after="100"/>
      <w:ind w:left="220"/>
    </w:pPr>
  </w:style>
  <w:style w:type="table" w:styleId="Tablaconcuadrcula4-nfasis1">
    <w:name w:val="Grid Table 4 Accent 1"/>
    <w:basedOn w:val="Tablanormal"/>
    <w:uiPriority w:val="49"/>
    <w:rsid w:val="007D5AE5"/>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ar">
    <w:name w:val="Título 3 Car"/>
    <w:basedOn w:val="Fuentedeprrafopredeter"/>
    <w:link w:val="Ttulo3"/>
    <w:uiPriority w:val="9"/>
    <w:rsid w:val="00F338A7"/>
    <w:rPr>
      <w:rFonts w:asciiTheme="majorHAnsi" w:eastAsiaTheme="majorEastAsia" w:hAnsiTheme="majorHAnsi" w:cstheme="majorBidi"/>
      <w:color w:val="365F91" w:themeColor="accent1" w:themeShade="BF"/>
      <w:sz w:val="28"/>
      <w:szCs w:val="28"/>
      <w:lang w:val="es-ES"/>
    </w:rPr>
  </w:style>
  <w:style w:type="paragraph" w:styleId="TDC3">
    <w:name w:val="toc 3"/>
    <w:basedOn w:val="Normal"/>
    <w:next w:val="Normal"/>
    <w:autoRedefine/>
    <w:uiPriority w:val="39"/>
    <w:unhideWhenUsed/>
    <w:rsid w:val="00286D36"/>
    <w:pPr>
      <w:spacing w:after="100"/>
      <w:ind w:left="440"/>
    </w:pPr>
  </w:style>
  <w:style w:type="character" w:styleId="Refdecomentario">
    <w:name w:val="annotation reference"/>
    <w:basedOn w:val="Fuentedeprrafopredeter"/>
    <w:uiPriority w:val="99"/>
    <w:semiHidden/>
    <w:unhideWhenUsed/>
    <w:rsid w:val="00D84631"/>
    <w:rPr>
      <w:sz w:val="16"/>
      <w:szCs w:val="16"/>
    </w:rPr>
  </w:style>
  <w:style w:type="paragraph" w:styleId="Textocomentario">
    <w:name w:val="annotation text"/>
    <w:basedOn w:val="Normal"/>
    <w:link w:val="TextocomentarioCar"/>
    <w:uiPriority w:val="99"/>
    <w:unhideWhenUsed/>
    <w:rsid w:val="00D84631"/>
    <w:rPr>
      <w:sz w:val="20"/>
      <w:szCs w:val="20"/>
    </w:rPr>
  </w:style>
  <w:style w:type="character" w:customStyle="1" w:styleId="TextocomentarioCar">
    <w:name w:val="Texto comentario Car"/>
    <w:basedOn w:val="Fuentedeprrafopredeter"/>
    <w:link w:val="Textocomentario"/>
    <w:uiPriority w:val="99"/>
    <w:rsid w:val="00D8463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84631"/>
    <w:rPr>
      <w:b/>
      <w:bCs/>
    </w:rPr>
  </w:style>
  <w:style w:type="character" w:customStyle="1" w:styleId="AsuntodelcomentarioCar">
    <w:name w:val="Asunto del comentario Car"/>
    <w:basedOn w:val="TextocomentarioCar"/>
    <w:link w:val="Asuntodelcomentario"/>
    <w:uiPriority w:val="99"/>
    <w:semiHidden/>
    <w:rsid w:val="00D84631"/>
    <w:rPr>
      <w:b/>
      <w:bCs/>
      <w:sz w:val="20"/>
      <w:szCs w:val="20"/>
      <w:lang w:val="es-ES"/>
    </w:rPr>
  </w:style>
  <w:style w:type="paragraph" w:styleId="Textodeglobo">
    <w:name w:val="Balloon Text"/>
    <w:basedOn w:val="Normal"/>
    <w:link w:val="TextodegloboCar"/>
    <w:uiPriority w:val="99"/>
    <w:semiHidden/>
    <w:unhideWhenUsed/>
    <w:rsid w:val="00D846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631"/>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EB7C17"/>
    <w:rPr>
      <w:color w:val="800080" w:themeColor="followedHyperlink"/>
      <w:u w:val="single"/>
    </w:rPr>
  </w:style>
  <w:style w:type="paragraph" w:customStyle="1" w:styleId="paragraph">
    <w:name w:val="paragraph"/>
    <w:basedOn w:val="Normal"/>
    <w:rsid w:val="00C43EA9"/>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1638">
      <w:bodyDiv w:val="1"/>
      <w:marLeft w:val="0"/>
      <w:marRight w:val="0"/>
      <w:marTop w:val="0"/>
      <w:marBottom w:val="0"/>
      <w:divBdr>
        <w:top w:val="none" w:sz="0" w:space="0" w:color="auto"/>
        <w:left w:val="none" w:sz="0" w:space="0" w:color="auto"/>
        <w:bottom w:val="none" w:sz="0" w:space="0" w:color="auto"/>
        <w:right w:val="none" w:sz="0" w:space="0" w:color="auto"/>
      </w:divBdr>
    </w:div>
    <w:div w:id="417799252">
      <w:bodyDiv w:val="1"/>
      <w:marLeft w:val="0"/>
      <w:marRight w:val="0"/>
      <w:marTop w:val="0"/>
      <w:marBottom w:val="0"/>
      <w:divBdr>
        <w:top w:val="none" w:sz="0" w:space="0" w:color="auto"/>
        <w:left w:val="none" w:sz="0" w:space="0" w:color="auto"/>
        <w:bottom w:val="none" w:sz="0" w:space="0" w:color="auto"/>
        <w:right w:val="none" w:sz="0" w:space="0" w:color="auto"/>
      </w:divBdr>
    </w:div>
    <w:div w:id="439573509">
      <w:bodyDiv w:val="1"/>
      <w:marLeft w:val="0"/>
      <w:marRight w:val="0"/>
      <w:marTop w:val="0"/>
      <w:marBottom w:val="0"/>
      <w:divBdr>
        <w:top w:val="none" w:sz="0" w:space="0" w:color="auto"/>
        <w:left w:val="none" w:sz="0" w:space="0" w:color="auto"/>
        <w:bottom w:val="none" w:sz="0" w:space="0" w:color="auto"/>
        <w:right w:val="none" w:sz="0" w:space="0" w:color="auto"/>
      </w:divBdr>
    </w:div>
    <w:div w:id="485363879">
      <w:bodyDiv w:val="1"/>
      <w:marLeft w:val="0"/>
      <w:marRight w:val="0"/>
      <w:marTop w:val="0"/>
      <w:marBottom w:val="0"/>
      <w:divBdr>
        <w:top w:val="none" w:sz="0" w:space="0" w:color="auto"/>
        <w:left w:val="none" w:sz="0" w:space="0" w:color="auto"/>
        <w:bottom w:val="none" w:sz="0" w:space="0" w:color="auto"/>
        <w:right w:val="none" w:sz="0" w:space="0" w:color="auto"/>
      </w:divBdr>
    </w:div>
    <w:div w:id="507865749">
      <w:bodyDiv w:val="1"/>
      <w:marLeft w:val="0"/>
      <w:marRight w:val="0"/>
      <w:marTop w:val="0"/>
      <w:marBottom w:val="0"/>
      <w:divBdr>
        <w:top w:val="none" w:sz="0" w:space="0" w:color="auto"/>
        <w:left w:val="none" w:sz="0" w:space="0" w:color="auto"/>
        <w:bottom w:val="none" w:sz="0" w:space="0" w:color="auto"/>
        <w:right w:val="none" w:sz="0" w:space="0" w:color="auto"/>
      </w:divBdr>
    </w:div>
    <w:div w:id="525942942">
      <w:bodyDiv w:val="1"/>
      <w:marLeft w:val="0"/>
      <w:marRight w:val="0"/>
      <w:marTop w:val="0"/>
      <w:marBottom w:val="0"/>
      <w:divBdr>
        <w:top w:val="none" w:sz="0" w:space="0" w:color="auto"/>
        <w:left w:val="none" w:sz="0" w:space="0" w:color="auto"/>
        <w:bottom w:val="none" w:sz="0" w:space="0" w:color="auto"/>
        <w:right w:val="none" w:sz="0" w:space="0" w:color="auto"/>
      </w:divBdr>
    </w:div>
    <w:div w:id="550731254">
      <w:bodyDiv w:val="1"/>
      <w:marLeft w:val="0"/>
      <w:marRight w:val="0"/>
      <w:marTop w:val="0"/>
      <w:marBottom w:val="0"/>
      <w:divBdr>
        <w:top w:val="none" w:sz="0" w:space="0" w:color="auto"/>
        <w:left w:val="none" w:sz="0" w:space="0" w:color="auto"/>
        <w:bottom w:val="none" w:sz="0" w:space="0" w:color="auto"/>
        <w:right w:val="none" w:sz="0" w:space="0" w:color="auto"/>
      </w:divBdr>
    </w:div>
    <w:div w:id="583690153">
      <w:bodyDiv w:val="1"/>
      <w:marLeft w:val="0"/>
      <w:marRight w:val="0"/>
      <w:marTop w:val="0"/>
      <w:marBottom w:val="0"/>
      <w:divBdr>
        <w:top w:val="none" w:sz="0" w:space="0" w:color="auto"/>
        <w:left w:val="none" w:sz="0" w:space="0" w:color="auto"/>
        <w:bottom w:val="none" w:sz="0" w:space="0" w:color="auto"/>
        <w:right w:val="none" w:sz="0" w:space="0" w:color="auto"/>
      </w:divBdr>
    </w:div>
    <w:div w:id="603457406">
      <w:bodyDiv w:val="1"/>
      <w:marLeft w:val="0"/>
      <w:marRight w:val="0"/>
      <w:marTop w:val="0"/>
      <w:marBottom w:val="0"/>
      <w:divBdr>
        <w:top w:val="none" w:sz="0" w:space="0" w:color="auto"/>
        <w:left w:val="none" w:sz="0" w:space="0" w:color="auto"/>
        <w:bottom w:val="none" w:sz="0" w:space="0" w:color="auto"/>
        <w:right w:val="none" w:sz="0" w:space="0" w:color="auto"/>
      </w:divBdr>
    </w:div>
    <w:div w:id="662468424">
      <w:bodyDiv w:val="1"/>
      <w:marLeft w:val="0"/>
      <w:marRight w:val="0"/>
      <w:marTop w:val="0"/>
      <w:marBottom w:val="0"/>
      <w:divBdr>
        <w:top w:val="none" w:sz="0" w:space="0" w:color="auto"/>
        <w:left w:val="none" w:sz="0" w:space="0" w:color="auto"/>
        <w:bottom w:val="none" w:sz="0" w:space="0" w:color="auto"/>
        <w:right w:val="none" w:sz="0" w:space="0" w:color="auto"/>
      </w:divBdr>
    </w:div>
    <w:div w:id="675115471">
      <w:bodyDiv w:val="1"/>
      <w:marLeft w:val="0"/>
      <w:marRight w:val="0"/>
      <w:marTop w:val="0"/>
      <w:marBottom w:val="0"/>
      <w:divBdr>
        <w:top w:val="none" w:sz="0" w:space="0" w:color="auto"/>
        <w:left w:val="none" w:sz="0" w:space="0" w:color="auto"/>
        <w:bottom w:val="none" w:sz="0" w:space="0" w:color="auto"/>
        <w:right w:val="none" w:sz="0" w:space="0" w:color="auto"/>
      </w:divBdr>
    </w:div>
    <w:div w:id="883753592">
      <w:bodyDiv w:val="1"/>
      <w:marLeft w:val="0"/>
      <w:marRight w:val="0"/>
      <w:marTop w:val="0"/>
      <w:marBottom w:val="0"/>
      <w:divBdr>
        <w:top w:val="none" w:sz="0" w:space="0" w:color="auto"/>
        <w:left w:val="none" w:sz="0" w:space="0" w:color="auto"/>
        <w:bottom w:val="none" w:sz="0" w:space="0" w:color="auto"/>
        <w:right w:val="none" w:sz="0" w:space="0" w:color="auto"/>
      </w:divBdr>
    </w:div>
    <w:div w:id="950555554">
      <w:bodyDiv w:val="1"/>
      <w:marLeft w:val="0"/>
      <w:marRight w:val="0"/>
      <w:marTop w:val="0"/>
      <w:marBottom w:val="0"/>
      <w:divBdr>
        <w:top w:val="none" w:sz="0" w:space="0" w:color="auto"/>
        <w:left w:val="none" w:sz="0" w:space="0" w:color="auto"/>
        <w:bottom w:val="none" w:sz="0" w:space="0" w:color="auto"/>
        <w:right w:val="none" w:sz="0" w:space="0" w:color="auto"/>
      </w:divBdr>
    </w:div>
    <w:div w:id="1045987317">
      <w:bodyDiv w:val="1"/>
      <w:marLeft w:val="0"/>
      <w:marRight w:val="0"/>
      <w:marTop w:val="0"/>
      <w:marBottom w:val="0"/>
      <w:divBdr>
        <w:top w:val="none" w:sz="0" w:space="0" w:color="auto"/>
        <w:left w:val="none" w:sz="0" w:space="0" w:color="auto"/>
        <w:bottom w:val="none" w:sz="0" w:space="0" w:color="auto"/>
        <w:right w:val="none" w:sz="0" w:space="0" w:color="auto"/>
      </w:divBdr>
    </w:div>
    <w:div w:id="1239443107">
      <w:bodyDiv w:val="1"/>
      <w:marLeft w:val="0"/>
      <w:marRight w:val="0"/>
      <w:marTop w:val="0"/>
      <w:marBottom w:val="0"/>
      <w:divBdr>
        <w:top w:val="none" w:sz="0" w:space="0" w:color="auto"/>
        <w:left w:val="none" w:sz="0" w:space="0" w:color="auto"/>
        <w:bottom w:val="none" w:sz="0" w:space="0" w:color="auto"/>
        <w:right w:val="none" w:sz="0" w:space="0" w:color="auto"/>
      </w:divBdr>
    </w:div>
    <w:div w:id="1266960768">
      <w:bodyDiv w:val="1"/>
      <w:marLeft w:val="0"/>
      <w:marRight w:val="0"/>
      <w:marTop w:val="0"/>
      <w:marBottom w:val="0"/>
      <w:divBdr>
        <w:top w:val="none" w:sz="0" w:space="0" w:color="auto"/>
        <w:left w:val="none" w:sz="0" w:space="0" w:color="auto"/>
        <w:bottom w:val="none" w:sz="0" w:space="0" w:color="auto"/>
        <w:right w:val="none" w:sz="0" w:space="0" w:color="auto"/>
      </w:divBdr>
    </w:div>
    <w:div w:id="1419137417">
      <w:bodyDiv w:val="1"/>
      <w:marLeft w:val="0"/>
      <w:marRight w:val="0"/>
      <w:marTop w:val="0"/>
      <w:marBottom w:val="0"/>
      <w:divBdr>
        <w:top w:val="none" w:sz="0" w:space="0" w:color="auto"/>
        <w:left w:val="none" w:sz="0" w:space="0" w:color="auto"/>
        <w:bottom w:val="none" w:sz="0" w:space="0" w:color="auto"/>
        <w:right w:val="none" w:sz="0" w:space="0" w:color="auto"/>
      </w:divBdr>
    </w:div>
    <w:div w:id="1451165384">
      <w:bodyDiv w:val="1"/>
      <w:marLeft w:val="0"/>
      <w:marRight w:val="0"/>
      <w:marTop w:val="0"/>
      <w:marBottom w:val="0"/>
      <w:divBdr>
        <w:top w:val="none" w:sz="0" w:space="0" w:color="auto"/>
        <w:left w:val="none" w:sz="0" w:space="0" w:color="auto"/>
        <w:bottom w:val="none" w:sz="0" w:space="0" w:color="auto"/>
        <w:right w:val="none" w:sz="0" w:space="0" w:color="auto"/>
      </w:divBdr>
    </w:div>
    <w:div w:id="1522626137">
      <w:bodyDiv w:val="1"/>
      <w:marLeft w:val="0"/>
      <w:marRight w:val="0"/>
      <w:marTop w:val="0"/>
      <w:marBottom w:val="0"/>
      <w:divBdr>
        <w:top w:val="none" w:sz="0" w:space="0" w:color="auto"/>
        <w:left w:val="none" w:sz="0" w:space="0" w:color="auto"/>
        <w:bottom w:val="none" w:sz="0" w:space="0" w:color="auto"/>
        <w:right w:val="none" w:sz="0" w:space="0" w:color="auto"/>
      </w:divBdr>
    </w:div>
    <w:div w:id="1598520495">
      <w:bodyDiv w:val="1"/>
      <w:marLeft w:val="0"/>
      <w:marRight w:val="0"/>
      <w:marTop w:val="0"/>
      <w:marBottom w:val="0"/>
      <w:divBdr>
        <w:top w:val="none" w:sz="0" w:space="0" w:color="auto"/>
        <w:left w:val="none" w:sz="0" w:space="0" w:color="auto"/>
        <w:bottom w:val="none" w:sz="0" w:space="0" w:color="auto"/>
        <w:right w:val="none" w:sz="0" w:space="0" w:color="auto"/>
      </w:divBdr>
    </w:div>
    <w:div w:id="1688284793">
      <w:bodyDiv w:val="1"/>
      <w:marLeft w:val="0"/>
      <w:marRight w:val="0"/>
      <w:marTop w:val="0"/>
      <w:marBottom w:val="0"/>
      <w:divBdr>
        <w:top w:val="none" w:sz="0" w:space="0" w:color="auto"/>
        <w:left w:val="none" w:sz="0" w:space="0" w:color="auto"/>
        <w:bottom w:val="none" w:sz="0" w:space="0" w:color="auto"/>
        <w:right w:val="none" w:sz="0" w:space="0" w:color="auto"/>
      </w:divBdr>
    </w:div>
    <w:div w:id="1699970090">
      <w:bodyDiv w:val="1"/>
      <w:marLeft w:val="0"/>
      <w:marRight w:val="0"/>
      <w:marTop w:val="0"/>
      <w:marBottom w:val="0"/>
      <w:divBdr>
        <w:top w:val="none" w:sz="0" w:space="0" w:color="auto"/>
        <w:left w:val="none" w:sz="0" w:space="0" w:color="auto"/>
        <w:bottom w:val="none" w:sz="0" w:space="0" w:color="auto"/>
        <w:right w:val="none" w:sz="0" w:space="0" w:color="auto"/>
      </w:divBdr>
    </w:div>
    <w:div w:id="179374550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10629180">
      <w:bodyDiv w:val="1"/>
      <w:marLeft w:val="0"/>
      <w:marRight w:val="0"/>
      <w:marTop w:val="0"/>
      <w:marBottom w:val="0"/>
      <w:divBdr>
        <w:top w:val="none" w:sz="0" w:space="0" w:color="auto"/>
        <w:left w:val="none" w:sz="0" w:space="0" w:color="auto"/>
        <w:bottom w:val="none" w:sz="0" w:space="0" w:color="auto"/>
        <w:right w:val="none" w:sz="0" w:space="0" w:color="auto"/>
      </w:divBdr>
    </w:div>
    <w:div w:id="1885284941">
      <w:bodyDiv w:val="1"/>
      <w:marLeft w:val="0"/>
      <w:marRight w:val="0"/>
      <w:marTop w:val="0"/>
      <w:marBottom w:val="0"/>
      <w:divBdr>
        <w:top w:val="none" w:sz="0" w:space="0" w:color="auto"/>
        <w:left w:val="none" w:sz="0" w:space="0" w:color="auto"/>
        <w:bottom w:val="none" w:sz="0" w:space="0" w:color="auto"/>
        <w:right w:val="none" w:sz="0" w:space="0" w:color="auto"/>
      </w:divBdr>
    </w:div>
    <w:div w:id="2010331745">
      <w:bodyDiv w:val="1"/>
      <w:marLeft w:val="0"/>
      <w:marRight w:val="0"/>
      <w:marTop w:val="0"/>
      <w:marBottom w:val="0"/>
      <w:divBdr>
        <w:top w:val="none" w:sz="0" w:space="0" w:color="auto"/>
        <w:left w:val="none" w:sz="0" w:space="0" w:color="auto"/>
        <w:bottom w:val="none" w:sz="0" w:space="0" w:color="auto"/>
        <w:right w:val="none" w:sz="0" w:space="0" w:color="auto"/>
      </w:divBdr>
    </w:div>
    <w:div w:id="2041515968">
      <w:bodyDiv w:val="1"/>
      <w:marLeft w:val="0"/>
      <w:marRight w:val="0"/>
      <w:marTop w:val="0"/>
      <w:marBottom w:val="0"/>
      <w:divBdr>
        <w:top w:val="none" w:sz="0" w:space="0" w:color="auto"/>
        <w:left w:val="none" w:sz="0" w:space="0" w:color="auto"/>
        <w:bottom w:val="none" w:sz="0" w:space="0" w:color="auto"/>
        <w:right w:val="none" w:sz="0" w:space="0" w:color="auto"/>
      </w:divBdr>
    </w:div>
    <w:div w:id="2091462379">
      <w:bodyDiv w:val="1"/>
      <w:marLeft w:val="0"/>
      <w:marRight w:val="0"/>
      <w:marTop w:val="0"/>
      <w:marBottom w:val="0"/>
      <w:divBdr>
        <w:top w:val="none" w:sz="0" w:space="0" w:color="auto"/>
        <w:left w:val="none" w:sz="0" w:space="0" w:color="auto"/>
        <w:bottom w:val="none" w:sz="0" w:space="0" w:color="auto"/>
        <w:right w:val="none" w:sz="0" w:space="0" w:color="auto"/>
      </w:divBdr>
    </w:div>
    <w:div w:id="21154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ralesvr\AppData\Roaming\Microsoft\Templates\Hoja%20SUPEN.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ccr-my.sharepoint.com/personal/hernandezba_supen_fi_cr/Documents/Proyectos/Informe%20conyutura/Informe%20Conyutura%20III%20T/Estad&#237;stica%20IC%20III%20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bccr-my.sharepoint.com/personal/hernandezba_supen_fi_cr/Documents/Proyectos/Informe%20conyutura/Informe%20Conyutura%20III%20T/Estad&#237;stica%20IC%20III%20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bccr-my.sharepoint.com/personal/hernandezba_supen_fi_cr/Documents/Proyectos/Informe%20conyutura/Informe%20Conyutura%20III%20T/Estad&#237;stica%20IC%20III%20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os%20Usuarios\hernandezba\Desktop\Estad&#237;stica%20IC%20III%20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9450867169949"/>
          <c:y val="6.729658792650918E-2"/>
          <c:w val="0.50680050888550321"/>
          <c:h val="0.78918513564182857"/>
        </c:manualLayout>
      </c:layout>
      <c:barChart>
        <c:barDir val="col"/>
        <c:grouping val="stacked"/>
        <c:varyColors val="0"/>
        <c:ser>
          <c:idx val="0"/>
          <c:order val="0"/>
          <c:tx>
            <c:strRef>
              <c:f>Activo!$B$24</c:f>
              <c:strCache>
                <c:ptCount val="1"/>
                <c:pt idx="0">
                  <c:v>Fondo de Capitalización Laboral</c:v>
                </c:pt>
              </c:strCache>
            </c:strRef>
          </c:tx>
          <c:spPr>
            <a:solidFill>
              <a:schemeClr val="accent1"/>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Activo!$B$25:$B$36</c:f>
              <c:numCache>
                <c:formatCode>_-* #\ ##0.000_-;\-* #\ ##0.000_-;_-* "-"??_-;_-@_-</c:formatCode>
                <c:ptCount val="12"/>
                <c:pt idx="0">
                  <c:v>0.37758497349279002</c:v>
                </c:pt>
                <c:pt idx="1">
                  <c:v>0.30237424868655</c:v>
                </c:pt>
                <c:pt idx="2">
                  <c:v>0.37924599498111999</c:v>
                </c:pt>
                <c:pt idx="3">
                  <c:v>0.46087351818978001</c:v>
                </c:pt>
                <c:pt idx="4">
                  <c:v>0.53172622033729999</c:v>
                </c:pt>
                <c:pt idx="5">
                  <c:v>0.62663351038924997</c:v>
                </c:pt>
                <c:pt idx="6">
                  <c:v>0.49952520989500998</c:v>
                </c:pt>
                <c:pt idx="7">
                  <c:v>0.56977895297609005</c:v>
                </c:pt>
                <c:pt idx="8">
                  <c:v>0.62508713847675001</c:v>
                </c:pt>
                <c:pt idx="9">
                  <c:v>0.72465513350761002</c:v>
                </c:pt>
                <c:pt idx="10">
                  <c:v>0.73302074826222996</c:v>
                </c:pt>
                <c:pt idx="11">
                  <c:v>0.56162939175338</c:v>
                </c:pt>
              </c:numCache>
            </c:numRef>
          </c:val>
          <c:extLst>
            <c:ext xmlns:c16="http://schemas.microsoft.com/office/drawing/2014/chart" uri="{C3380CC4-5D6E-409C-BE32-E72D297353CC}">
              <c16:uniqueId val="{00000000-B24C-41CC-AD83-8B711A3DED29}"/>
            </c:ext>
          </c:extLst>
        </c:ser>
        <c:ser>
          <c:idx val="1"/>
          <c:order val="1"/>
          <c:tx>
            <c:strRef>
              <c:f>Activo!$C$24</c:f>
              <c:strCache>
                <c:ptCount val="1"/>
                <c:pt idx="0">
                  <c:v>Planes Voluntarios</c:v>
                </c:pt>
              </c:strCache>
            </c:strRef>
          </c:tx>
          <c:spPr>
            <a:solidFill>
              <a:schemeClr val="accent2"/>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Activo!$C$25:$C$36</c:f>
              <c:numCache>
                <c:formatCode>_-* #\ ##0.000_-;\-* #\ ##0.000_-;_-* "-"??_-;_-@_-</c:formatCode>
                <c:ptCount val="12"/>
                <c:pt idx="0">
                  <c:v>0.17195796892910301</c:v>
                </c:pt>
                <c:pt idx="1">
                  <c:v>0.17952226052714099</c:v>
                </c:pt>
                <c:pt idx="2">
                  <c:v>0.184627219173434</c:v>
                </c:pt>
                <c:pt idx="3">
                  <c:v>0.20362797783183001</c:v>
                </c:pt>
                <c:pt idx="4">
                  <c:v>0.21923935125043501</c:v>
                </c:pt>
                <c:pt idx="5">
                  <c:v>0.25086128230229499</c:v>
                </c:pt>
                <c:pt idx="6">
                  <c:v>0.28851913269344498</c:v>
                </c:pt>
                <c:pt idx="7">
                  <c:v>0.318460539294183</c:v>
                </c:pt>
                <c:pt idx="8">
                  <c:v>0.341995056160177</c:v>
                </c:pt>
                <c:pt idx="9">
                  <c:v>0.39361887619519698</c:v>
                </c:pt>
                <c:pt idx="10">
                  <c:v>0.45417075020415998</c:v>
                </c:pt>
                <c:pt idx="11">
                  <c:v>0.56500393641719104</c:v>
                </c:pt>
              </c:numCache>
            </c:numRef>
          </c:val>
          <c:extLst>
            <c:ext xmlns:c16="http://schemas.microsoft.com/office/drawing/2014/chart" uri="{C3380CC4-5D6E-409C-BE32-E72D297353CC}">
              <c16:uniqueId val="{00000001-B24C-41CC-AD83-8B711A3DED29}"/>
            </c:ext>
          </c:extLst>
        </c:ser>
        <c:ser>
          <c:idx val="2"/>
          <c:order val="2"/>
          <c:tx>
            <c:strRef>
              <c:f>Activo!$D$24</c:f>
              <c:strCache>
                <c:ptCount val="1"/>
                <c:pt idx="0">
                  <c:v>Régimen Obligatorio Complementario</c:v>
                </c:pt>
              </c:strCache>
            </c:strRef>
          </c:tx>
          <c:spPr>
            <a:solidFill>
              <a:schemeClr val="accent3"/>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Activo!$D$25:$D$36</c:f>
              <c:numCache>
                <c:formatCode>_-* #\ ##0.000_-;\-* #\ ##0.000_-;_-* "-"??_-;_-@_-</c:formatCode>
                <c:ptCount val="12"/>
                <c:pt idx="0">
                  <c:v>1.4568919565431799</c:v>
                </c:pt>
                <c:pt idx="1">
                  <c:v>1.8055407988371299</c:v>
                </c:pt>
                <c:pt idx="2">
                  <c:v>2.22898511556757</c:v>
                </c:pt>
                <c:pt idx="3">
                  <c:v>2.74334720764808</c:v>
                </c:pt>
                <c:pt idx="4">
                  <c:v>3.21685753199713</c:v>
                </c:pt>
                <c:pt idx="5">
                  <c:v>3.87641127595831</c:v>
                </c:pt>
                <c:pt idx="6">
                  <c:v>4.4579054772766096</c:v>
                </c:pt>
                <c:pt idx="7">
                  <c:v>5.0534913627572404</c:v>
                </c:pt>
                <c:pt idx="8">
                  <c:v>5.6668539109234404</c:v>
                </c:pt>
                <c:pt idx="9">
                  <c:v>6.8508475886768601</c:v>
                </c:pt>
                <c:pt idx="10">
                  <c:v>7.8664910546024496</c:v>
                </c:pt>
                <c:pt idx="11">
                  <c:v>9.4255305573884911</c:v>
                </c:pt>
              </c:numCache>
            </c:numRef>
          </c:val>
          <c:extLst>
            <c:ext xmlns:c16="http://schemas.microsoft.com/office/drawing/2014/chart" uri="{C3380CC4-5D6E-409C-BE32-E72D297353CC}">
              <c16:uniqueId val="{00000002-B24C-41CC-AD83-8B711A3DED29}"/>
            </c:ext>
          </c:extLst>
        </c:ser>
        <c:ser>
          <c:idx val="3"/>
          <c:order val="3"/>
          <c:tx>
            <c:strRef>
              <c:f>Activo!$E$24</c:f>
              <c:strCache>
                <c:ptCount val="1"/>
                <c:pt idx="0">
                  <c:v>Regímenes Básicos Sustitutos</c:v>
                </c:pt>
              </c:strCache>
            </c:strRef>
          </c:tx>
          <c:spPr>
            <a:solidFill>
              <a:schemeClr val="accent4"/>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Activo!$E$25:$E$36</c:f>
              <c:numCache>
                <c:formatCode>_-* #\ ##0.000_-;\-* #\ ##0.000_-;_-* "-"??_-;_-@_-</c:formatCode>
                <c:ptCount val="12"/>
                <c:pt idx="0">
                  <c:v>1.25728892430232</c:v>
                </c:pt>
                <c:pt idx="1">
                  <c:v>1.4677862957298999</c:v>
                </c:pt>
                <c:pt idx="2">
                  <c:v>1.69622205438962</c:v>
                </c:pt>
                <c:pt idx="3">
                  <c:v>1.43910679533172</c:v>
                </c:pt>
                <c:pt idx="4">
                  <c:v>1.6723162251665902</c:v>
                </c:pt>
                <c:pt idx="5">
                  <c:v>2.00195846850034</c:v>
                </c:pt>
                <c:pt idx="6">
                  <c:v>2.3342637255577601</c:v>
                </c:pt>
                <c:pt idx="7">
                  <c:v>2.6547632996576698</c:v>
                </c:pt>
                <c:pt idx="8">
                  <c:v>3.0031769200416898</c:v>
                </c:pt>
                <c:pt idx="9">
                  <c:v>3.6225673215315499</c:v>
                </c:pt>
                <c:pt idx="10">
                  <c:v>4.7075385813816899</c:v>
                </c:pt>
                <c:pt idx="11">
                  <c:v>5.2542952236978993</c:v>
                </c:pt>
              </c:numCache>
            </c:numRef>
          </c:val>
          <c:extLst>
            <c:ext xmlns:c16="http://schemas.microsoft.com/office/drawing/2014/chart" uri="{C3380CC4-5D6E-409C-BE32-E72D297353CC}">
              <c16:uniqueId val="{00000003-B24C-41CC-AD83-8B711A3DED29}"/>
            </c:ext>
          </c:extLst>
        </c:ser>
        <c:ser>
          <c:idx val="4"/>
          <c:order val="4"/>
          <c:tx>
            <c:strRef>
              <c:f>Activo!$F$24</c:f>
              <c:strCache>
                <c:ptCount val="1"/>
                <c:pt idx="0">
                  <c:v>Regímenes Ocupacionales Complementarios</c:v>
                </c:pt>
              </c:strCache>
            </c:strRef>
          </c:tx>
          <c:spPr>
            <a:solidFill>
              <a:schemeClr val="accent5"/>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Activo!$F$25:$F$36</c:f>
              <c:numCache>
                <c:formatCode>_-* #\ ##0.000_-;\-* #\ ##0.000_-;_-* "-"??_-;_-@_-</c:formatCode>
                <c:ptCount val="12"/>
                <c:pt idx="0">
                  <c:v>6.4359717239919997E-2</c:v>
                </c:pt>
                <c:pt idx="1">
                  <c:v>7.5906551435889993E-2</c:v>
                </c:pt>
                <c:pt idx="2">
                  <c:v>9.0065997832899994E-2</c:v>
                </c:pt>
                <c:pt idx="3">
                  <c:v>0.62232204967185001</c:v>
                </c:pt>
                <c:pt idx="4">
                  <c:v>0.67686945057893999</c:v>
                </c:pt>
                <c:pt idx="5">
                  <c:v>0.74383261028804004</c:v>
                </c:pt>
                <c:pt idx="6">
                  <c:v>0.78788628585081999</c:v>
                </c:pt>
                <c:pt idx="7">
                  <c:v>0.79824832826771996</c:v>
                </c:pt>
                <c:pt idx="8">
                  <c:v>0.82641658157191</c:v>
                </c:pt>
                <c:pt idx="9">
                  <c:v>0.90873995754376002</c:v>
                </c:pt>
                <c:pt idx="10">
                  <c:v>0.92572625482253001</c:v>
                </c:pt>
                <c:pt idx="11">
                  <c:v>1.01495790151425</c:v>
                </c:pt>
              </c:numCache>
            </c:numRef>
          </c:val>
          <c:extLst>
            <c:ext xmlns:c16="http://schemas.microsoft.com/office/drawing/2014/chart" uri="{C3380CC4-5D6E-409C-BE32-E72D297353CC}">
              <c16:uniqueId val="{00000004-B24C-41CC-AD83-8B711A3DED29}"/>
            </c:ext>
          </c:extLst>
        </c:ser>
        <c:ser>
          <c:idx val="5"/>
          <c:order val="5"/>
          <c:tx>
            <c:strRef>
              <c:f>Activo!$G$24</c:f>
              <c:strCache>
                <c:ptCount val="1"/>
                <c:pt idx="0">
                  <c:v>Régimen Básico</c:v>
                </c:pt>
              </c:strCache>
            </c:strRef>
          </c:tx>
          <c:spPr>
            <a:solidFill>
              <a:schemeClr val="accent6"/>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Activo!$G$25:$G$36</c:f>
              <c:numCache>
                <c:formatCode>_-* #\ ##0.000_-;\-* #\ ##0.000_-;_-* "-"??_-;_-@_-</c:formatCode>
                <c:ptCount val="12"/>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3.0622645146567899</c:v>
                </c:pt>
                <c:pt idx="11">
                  <c:v>3.25383301747461</c:v>
                </c:pt>
              </c:numCache>
            </c:numRef>
          </c:val>
          <c:extLst>
            <c:ext xmlns:c16="http://schemas.microsoft.com/office/drawing/2014/chart" uri="{C3380CC4-5D6E-409C-BE32-E72D297353CC}">
              <c16:uniqueId val="{00000005-B24C-41CC-AD83-8B711A3DED29}"/>
            </c:ext>
          </c:extLst>
        </c:ser>
        <c:dLbls>
          <c:showLegendKey val="0"/>
          <c:showVal val="0"/>
          <c:showCatName val="0"/>
          <c:showSerName val="0"/>
          <c:showPercent val="0"/>
          <c:showBubbleSize val="0"/>
        </c:dLbls>
        <c:gapWidth val="55"/>
        <c:overlap val="100"/>
        <c:axId val="1953945871"/>
        <c:axId val="1952308191"/>
      </c:barChart>
      <c:lineChart>
        <c:grouping val="stacked"/>
        <c:varyColors val="0"/>
        <c:ser>
          <c:idx val="6"/>
          <c:order val="6"/>
          <c:tx>
            <c:strRef>
              <c:f>Activo!$I$24</c:f>
              <c:strCache>
                <c:ptCount val="1"/>
                <c:pt idx="0">
                  <c:v>% PIB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t" anchorCtr="0">
                <a:spAutoFit/>
              </a:bodyPr>
              <a:lstStyle/>
              <a:p>
                <a:pPr>
                  <a:defRPr sz="900" b="0" i="0" u="none" strike="noStrike" kern="1200" baseline="0">
                    <a:solidFill>
                      <a:schemeClr val="dk1"/>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Activo!$I$25:$I$36</c:f>
              <c:numCache>
                <c:formatCode>0%</c:formatCode>
                <c:ptCount val="12"/>
                <c:pt idx="0">
                  <c:v>0.24245427136020203</c:v>
                </c:pt>
                <c:pt idx="1">
                  <c:v>0.25275266490164167</c:v>
                </c:pt>
                <c:pt idx="2">
                  <c:v>0.267228023151313</c:v>
                </c:pt>
                <c:pt idx="3">
                  <c:v>0.28880746766551224</c:v>
                </c:pt>
                <c:pt idx="4">
                  <c:v>0.29665935502777663</c:v>
                </c:pt>
                <c:pt idx="5">
                  <c:v>0.31730602504325323</c:v>
                </c:pt>
                <c:pt idx="6">
                  <c:v>0.32125139431734417</c:v>
                </c:pt>
                <c:pt idx="7">
                  <c:v>0.34389672381050684</c:v>
                </c:pt>
                <c:pt idx="8">
                  <c:v>0.37352784274294243</c:v>
                </c:pt>
                <c:pt idx="9">
                  <c:v>0.42794427983617345</c:v>
                </c:pt>
                <c:pt idx="10">
                  <c:v>0.51338688416877298</c:v>
                </c:pt>
                <c:pt idx="11">
                  <c:v>0.55895055669169491</c:v>
                </c:pt>
              </c:numCache>
            </c:numRef>
          </c:val>
          <c:smooth val="0"/>
          <c:extLst>
            <c:ext xmlns:c16="http://schemas.microsoft.com/office/drawing/2014/chart" uri="{C3380CC4-5D6E-409C-BE32-E72D297353CC}">
              <c16:uniqueId val="{00000012-B24C-41CC-AD83-8B711A3DED29}"/>
            </c:ext>
          </c:extLst>
        </c:ser>
        <c:dLbls>
          <c:showLegendKey val="0"/>
          <c:showVal val="0"/>
          <c:showCatName val="0"/>
          <c:showSerName val="0"/>
          <c:showPercent val="0"/>
          <c:showBubbleSize val="0"/>
        </c:dLbls>
        <c:marker val="1"/>
        <c:smooth val="0"/>
        <c:axId val="1956588463"/>
        <c:axId val="2051111855"/>
      </c:lineChart>
      <c:catAx>
        <c:axId val="1953945871"/>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dk1"/>
                </a:solidFill>
                <a:latin typeface="+mn-lt"/>
                <a:ea typeface="+mn-ea"/>
                <a:cs typeface="+mn-cs"/>
              </a:defRPr>
            </a:pPr>
            <a:endParaRPr lang="es-CR"/>
          </a:p>
        </c:txPr>
        <c:crossAx val="1952308191"/>
        <c:crosses val="autoZero"/>
        <c:auto val="0"/>
        <c:lblAlgn val="ctr"/>
        <c:lblOffset val="100"/>
        <c:noMultiLvlLbl val="0"/>
      </c:catAx>
      <c:valAx>
        <c:axId val="1952308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s-CR"/>
                  <a:t>Activos</a:t>
                </a:r>
                <a:r>
                  <a:rPr lang="es-CR" baseline="0"/>
                  <a:t> en b</a:t>
                </a:r>
                <a:r>
                  <a:rPr lang="es-CR"/>
                  <a:t>illlones de colones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R"/>
            </a:p>
          </c:txPr>
        </c:title>
        <c:numFmt formatCode="_-* #\ ##0.000_-;\-* #\ ##0.000_-;_-* &quot;-&quot;??_-;_-@_-" sourceLinked="1"/>
        <c:majorTickMark val="none"/>
        <c:minorTickMark val="none"/>
        <c:tickLblPos val="nextTo"/>
        <c:spPr>
          <a:noFill/>
          <a:ln>
            <a:solidFill>
              <a:schemeClr val="bg1">
                <a:alpha val="98000"/>
              </a:schemeClr>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953945871"/>
        <c:crosses val="autoZero"/>
        <c:crossBetween val="between"/>
      </c:valAx>
      <c:valAx>
        <c:axId val="2051111855"/>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CR"/>
          </a:p>
        </c:txPr>
        <c:crossAx val="1956588463"/>
        <c:crosses val="max"/>
        <c:crossBetween val="between"/>
      </c:valAx>
      <c:catAx>
        <c:axId val="1956588463"/>
        <c:scaling>
          <c:orientation val="minMax"/>
        </c:scaling>
        <c:delete val="1"/>
        <c:axPos val="b"/>
        <c:majorTickMark val="out"/>
        <c:minorTickMark val="none"/>
        <c:tickLblPos val="nextTo"/>
        <c:crossAx val="2051111855"/>
        <c:crosses val="autoZero"/>
        <c:auto val="1"/>
        <c:lblAlgn val="ctr"/>
        <c:lblOffset val="100"/>
        <c:noMultiLvlLbl val="0"/>
      </c:catAx>
      <c:spPr>
        <a:noFill/>
        <a:ln>
          <a:noFill/>
        </a:ln>
        <a:effectLst/>
      </c:spPr>
    </c:plotArea>
    <c:legend>
      <c:legendPos val="r"/>
      <c:layout>
        <c:manualLayout>
          <c:xMode val="edge"/>
          <c:yMode val="edge"/>
          <c:x val="0.66409851945001852"/>
          <c:y val="0.20363569775765344"/>
          <c:w val="0.30273742209832849"/>
          <c:h val="0.5535677584275906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R"/>
        </a:p>
      </c:txPr>
    </c:legend>
    <c:plotVisOnly val="1"/>
    <c:dispBlanksAs val="gap"/>
    <c:showDLblsOverMax val="0"/>
  </c:chart>
  <c:spPr>
    <a:solidFill>
      <a:schemeClr val="lt1"/>
    </a:solidFill>
    <a:ln w="25400" cap="flat" cmpd="sng" algn="ctr">
      <a:solidFill>
        <a:schemeClr val="bg1"/>
      </a:solidFill>
      <a:prstDash val="solid"/>
      <a:round/>
    </a:ln>
    <a:effectLst/>
  </c:spPr>
  <c:txPr>
    <a:bodyPr/>
    <a:lstStyle/>
    <a:p>
      <a:pPr>
        <a:defRPr>
          <a:solidFill>
            <a:schemeClr val="dk1"/>
          </a:solidFill>
          <a:latin typeface="+mn-lt"/>
          <a:ea typeface="+mn-ea"/>
          <a:cs typeface="+mn-cs"/>
        </a:defRPr>
      </a:pPr>
      <a:endParaRPr lang="es-C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744-48E3-888F-2FB7F7F75258}"/>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744-48E3-888F-2FB7F7F75258}"/>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744-48E3-888F-2FB7F7F75258}"/>
              </c:ext>
            </c:extLst>
          </c:dPt>
          <c:dLbls>
            <c:dLbl>
              <c:idx val="0"/>
              <c:layout>
                <c:manualLayout>
                  <c:x val="5.8444444444444445E-2"/>
                  <c:y val="3.12095363079615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hade val="65000"/>
                        </a:schemeClr>
                      </a:solidFill>
                      <a:latin typeface="+mn-lt"/>
                      <a:ea typeface="+mn-ea"/>
                      <a:cs typeface="+mn-cs"/>
                    </a:defRPr>
                  </a:pPr>
                  <a:endParaRPr lang="es-C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44-48E3-888F-2FB7F7F75258}"/>
                </c:ext>
              </c:extLst>
            </c:dLbl>
            <c:dLbl>
              <c:idx val="1"/>
              <c:layout>
                <c:manualLayout>
                  <c:x val="2.6156058617672791E-2"/>
                  <c:y val="-7.041338582677174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44-48E3-888F-2FB7F7F75258}"/>
                </c:ext>
              </c:extLst>
            </c:dLbl>
            <c:dLbl>
              <c:idx val="2"/>
              <c:layout>
                <c:manualLayout>
                  <c:x val="-5.5509842519685042E-2"/>
                  <c:y val="-4.57793817439486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tint val="65000"/>
                        </a:schemeClr>
                      </a:solidFill>
                      <a:latin typeface="+mn-lt"/>
                      <a:ea typeface="+mn-ea"/>
                      <a:cs typeface="+mn-cs"/>
                    </a:defRPr>
                  </a:pPr>
                  <a:endParaRPr lang="es-C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44-48E3-888F-2FB7F7F75258}"/>
                </c:ext>
              </c:extLst>
            </c:dLbl>
            <c:spPr>
              <a:noFill/>
              <a:ln>
                <a:noFill/>
              </a:ln>
              <a:effectLst/>
            </c:sp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Activo!$E$82:$G$82</c:f>
              <c:strCache>
                <c:ptCount val="3"/>
                <c:pt idx="0">
                  <c:v>Poder Judicial</c:v>
                </c:pt>
                <c:pt idx="1">
                  <c:v>FCCMN</c:v>
                </c:pt>
                <c:pt idx="2">
                  <c:v>IVM</c:v>
                </c:pt>
              </c:strCache>
            </c:strRef>
          </c:cat>
          <c:val>
            <c:numRef>
              <c:f>Activo!$E$83:$G$83</c:f>
              <c:numCache>
                <c:formatCode>_-* #\ ##0.000_-;\-* #\ ##0.000_-;_-* "-"??_-;_-@_-</c:formatCode>
                <c:ptCount val="3"/>
                <c:pt idx="0">
                  <c:v>0.73098989757247002</c:v>
                </c:pt>
                <c:pt idx="1">
                  <c:v>3.73986594525419</c:v>
                </c:pt>
                <c:pt idx="2" formatCode="General">
                  <c:v>3.25383301747461</c:v>
                </c:pt>
              </c:numCache>
            </c:numRef>
          </c:val>
          <c:extLst>
            <c:ext xmlns:c16="http://schemas.microsoft.com/office/drawing/2014/chart" uri="{C3380CC4-5D6E-409C-BE32-E72D297353CC}">
              <c16:uniqueId val="{00000006-6744-48E3-888F-2FB7F7F7525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LT!$C$22</c:f>
              <c:strCache>
                <c:ptCount val="1"/>
                <c:pt idx="0">
                  <c:v>ROP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LT!$B$23:$B$55</c:f>
              <c:numCache>
                <c:formatCode>mmm\-yy</c:formatCode>
                <c:ptCount val="3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numCache>
            </c:numRef>
          </c:cat>
          <c:val>
            <c:numRef>
              <c:f>LT!$C$23:$C$55</c:f>
              <c:numCache>
                <c:formatCode>General</c:formatCode>
                <c:ptCount val="33"/>
                <c:pt idx="0">
                  <c:v>3942</c:v>
                </c:pt>
                <c:pt idx="1">
                  <c:v>3745</c:v>
                </c:pt>
                <c:pt idx="2">
                  <c:v>5292</c:v>
                </c:pt>
                <c:pt idx="3">
                  <c:v>6267</c:v>
                </c:pt>
                <c:pt idx="4">
                  <c:v>9746</c:v>
                </c:pt>
                <c:pt idx="5">
                  <c:v>8611</c:v>
                </c:pt>
                <c:pt idx="6">
                  <c:v>11182</c:v>
                </c:pt>
                <c:pt idx="7">
                  <c:v>7199</c:v>
                </c:pt>
                <c:pt idx="8">
                  <c:v>8473</c:v>
                </c:pt>
                <c:pt idx="9">
                  <c:v>12488</c:v>
                </c:pt>
                <c:pt idx="10">
                  <c:v>9396</c:v>
                </c:pt>
                <c:pt idx="11">
                  <c:v>5268</c:v>
                </c:pt>
                <c:pt idx="12">
                  <c:v>9850</c:v>
                </c:pt>
                <c:pt idx="13">
                  <c:v>9766</c:v>
                </c:pt>
                <c:pt idx="14">
                  <c:v>8054</c:v>
                </c:pt>
                <c:pt idx="15">
                  <c:v>6185</c:v>
                </c:pt>
                <c:pt idx="16">
                  <c:v>4203</c:v>
                </c:pt>
                <c:pt idx="17">
                  <c:v>0</c:v>
                </c:pt>
                <c:pt idx="18">
                  <c:v>0</c:v>
                </c:pt>
                <c:pt idx="19">
                  <c:v>0</c:v>
                </c:pt>
                <c:pt idx="20">
                  <c:v>15398</c:v>
                </c:pt>
                <c:pt idx="21">
                  <c:v>5155</c:v>
                </c:pt>
                <c:pt idx="22">
                  <c:v>5640</c:v>
                </c:pt>
                <c:pt idx="23">
                  <c:v>3922</c:v>
                </c:pt>
                <c:pt idx="24">
                  <c:v>6686</c:v>
                </c:pt>
                <c:pt idx="25">
                  <c:v>8024</c:v>
                </c:pt>
                <c:pt idx="26">
                  <c:v>10586</c:v>
                </c:pt>
                <c:pt idx="27">
                  <c:v>13530</c:v>
                </c:pt>
                <c:pt idx="28">
                  <c:v>10568</c:v>
                </c:pt>
                <c:pt idx="29">
                  <c:v>12930</c:v>
                </c:pt>
                <c:pt idx="30">
                  <c:v>10498</c:v>
                </c:pt>
                <c:pt idx="31">
                  <c:v>11142</c:v>
                </c:pt>
                <c:pt idx="32">
                  <c:v>16126</c:v>
                </c:pt>
              </c:numCache>
            </c:numRef>
          </c:val>
          <c:extLst>
            <c:ext xmlns:c16="http://schemas.microsoft.com/office/drawing/2014/chart" uri="{C3380CC4-5D6E-409C-BE32-E72D297353CC}">
              <c16:uniqueId val="{00000000-B143-4525-A0ED-4CBBEE346C5C}"/>
            </c:ext>
          </c:extLst>
        </c:ser>
        <c:dLbls>
          <c:showLegendKey val="0"/>
          <c:showVal val="0"/>
          <c:showCatName val="0"/>
          <c:showSerName val="0"/>
          <c:showPercent val="0"/>
          <c:showBubbleSize val="0"/>
        </c:dLbls>
        <c:gapWidth val="100"/>
        <c:overlap val="-24"/>
        <c:axId val="1038200751"/>
        <c:axId val="1084846287"/>
      </c:barChart>
      <c:dateAx>
        <c:axId val="1038200751"/>
        <c:scaling>
          <c:orientation val="minMax"/>
        </c:scaling>
        <c:delete val="0"/>
        <c:axPos val="b"/>
        <c:numFmt formatCode="mmm\-yy"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R"/>
          </a:p>
        </c:txPr>
        <c:crossAx val="1084846287"/>
        <c:crosses val="autoZero"/>
        <c:auto val="1"/>
        <c:lblOffset val="100"/>
        <c:baseTimeUnit val="months"/>
      </c:dateAx>
      <c:valAx>
        <c:axId val="1084846287"/>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s-CR" b="0"/>
                  <a:t>Cantidad de traslados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R"/>
          </a:p>
        </c:txPr>
        <c:crossAx val="1038200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13274827430713"/>
          <c:y val="7.0183130517776193E-2"/>
          <c:w val="0.55110958742516736"/>
          <c:h val="0.72539997121769695"/>
        </c:manualLayout>
      </c:layout>
      <c:lineChart>
        <c:grouping val="standard"/>
        <c:varyColors val="0"/>
        <c:ser>
          <c:idx val="0"/>
          <c:order val="0"/>
          <c:tx>
            <c:strRef>
              <c:f>Rendimiento!$C$17</c:f>
              <c:strCache>
                <c:ptCount val="1"/>
                <c:pt idx="0">
                  <c:v>BAC</c:v>
                </c:pt>
              </c:strCache>
            </c:strRef>
          </c:tx>
          <c:spPr>
            <a:ln w="22225" cap="rnd" cmpd="sng" algn="ctr">
              <a:solidFill>
                <a:schemeClr val="accent1"/>
              </a:solidFill>
              <a:round/>
            </a:ln>
            <a:effectLst/>
          </c:spPr>
          <c:marker>
            <c:symbol val="none"/>
          </c:marker>
          <c:cat>
            <c:numRef>
              <c:f>Rendimiento!$B$42:$B$53</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Rendimiento!$C$42:$C$53</c:f>
              <c:numCache>
                <c:formatCode>General</c:formatCode>
                <c:ptCount val="12"/>
                <c:pt idx="0">
                  <c:v>9.27</c:v>
                </c:pt>
                <c:pt idx="1">
                  <c:v>9.3000000000000007</c:v>
                </c:pt>
                <c:pt idx="2">
                  <c:v>9.34</c:v>
                </c:pt>
                <c:pt idx="3">
                  <c:v>9.36</c:v>
                </c:pt>
                <c:pt idx="4">
                  <c:v>9.43</c:v>
                </c:pt>
                <c:pt idx="5">
                  <c:v>9.41</c:v>
                </c:pt>
                <c:pt idx="6">
                  <c:v>9.5</c:v>
                </c:pt>
                <c:pt idx="7">
                  <c:v>9.68</c:v>
                </c:pt>
                <c:pt idx="8">
                  <c:v>9.8000000000000007</c:v>
                </c:pt>
                <c:pt idx="9">
                  <c:v>9.94</c:v>
                </c:pt>
                <c:pt idx="10">
                  <c:v>10.220000000000001</c:v>
                </c:pt>
                <c:pt idx="11">
                  <c:v>10.46</c:v>
                </c:pt>
              </c:numCache>
            </c:numRef>
          </c:val>
          <c:smooth val="0"/>
          <c:extLst>
            <c:ext xmlns:c16="http://schemas.microsoft.com/office/drawing/2014/chart" uri="{C3380CC4-5D6E-409C-BE32-E72D297353CC}">
              <c16:uniqueId val="{00000000-CB34-4028-8D7A-C143DAB233A8}"/>
            </c:ext>
          </c:extLst>
        </c:ser>
        <c:ser>
          <c:idx val="1"/>
          <c:order val="1"/>
          <c:tx>
            <c:strRef>
              <c:f>Rendimiento!$D$17</c:f>
              <c:strCache>
                <c:ptCount val="1"/>
                <c:pt idx="0">
                  <c:v>BCR</c:v>
                </c:pt>
              </c:strCache>
            </c:strRef>
          </c:tx>
          <c:spPr>
            <a:ln w="22225" cap="rnd" cmpd="sng" algn="ctr">
              <a:solidFill>
                <a:schemeClr val="accent2"/>
              </a:solidFill>
              <a:round/>
            </a:ln>
            <a:effectLst/>
          </c:spPr>
          <c:marker>
            <c:symbol val="none"/>
          </c:marker>
          <c:cat>
            <c:numRef>
              <c:f>Rendimiento!$B$42:$B$53</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Rendimiento!$D$42:$D$53</c:f>
              <c:numCache>
                <c:formatCode>General</c:formatCode>
                <c:ptCount val="12"/>
                <c:pt idx="0">
                  <c:v>9.3000000000000007</c:v>
                </c:pt>
                <c:pt idx="1">
                  <c:v>9.2899999999999991</c:v>
                </c:pt>
                <c:pt idx="2">
                  <c:v>9.3000000000000007</c:v>
                </c:pt>
                <c:pt idx="3">
                  <c:v>9.34</c:v>
                </c:pt>
                <c:pt idx="4">
                  <c:v>9.44</c:v>
                </c:pt>
                <c:pt idx="5">
                  <c:v>9.43</c:v>
                </c:pt>
                <c:pt idx="6">
                  <c:v>9.4700000000000006</c:v>
                </c:pt>
                <c:pt idx="7">
                  <c:v>9.61</c:v>
                </c:pt>
                <c:pt idx="8">
                  <c:v>9.6999999999999993</c:v>
                </c:pt>
                <c:pt idx="9">
                  <c:v>9.76</c:v>
                </c:pt>
                <c:pt idx="10">
                  <c:v>9.9</c:v>
                </c:pt>
                <c:pt idx="11">
                  <c:v>10.06</c:v>
                </c:pt>
              </c:numCache>
            </c:numRef>
          </c:val>
          <c:smooth val="0"/>
          <c:extLst>
            <c:ext xmlns:c16="http://schemas.microsoft.com/office/drawing/2014/chart" uri="{C3380CC4-5D6E-409C-BE32-E72D297353CC}">
              <c16:uniqueId val="{00000001-CB34-4028-8D7A-C143DAB233A8}"/>
            </c:ext>
          </c:extLst>
        </c:ser>
        <c:ser>
          <c:idx val="2"/>
          <c:order val="2"/>
          <c:tx>
            <c:strRef>
              <c:f>Rendimiento!$E$17</c:f>
              <c:strCache>
                <c:ptCount val="1"/>
                <c:pt idx="0">
                  <c:v>BN</c:v>
                </c:pt>
              </c:strCache>
            </c:strRef>
          </c:tx>
          <c:spPr>
            <a:ln w="22225" cap="rnd" cmpd="sng" algn="ctr">
              <a:solidFill>
                <a:schemeClr val="accent3"/>
              </a:solidFill>
              <a:round/>
            </a:ln>
            <a:effectLst/>
          </c:spPr>
          <c:marker>
            <c:symbol val="none"/>
          </c:marker>
          <c:cat>
            <c:numRef>
              <c:f>Rendimiento!$B$42:$B$53</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Rendimiento!$E$42:$E$53</c:f>
              <c:numCache>
                <c:formatCode>General</c:formatCode>
                <c:ptCount val="12"/>
                <c:pt idx="0">
                  <c:v>9.5500000000000007</c:v>
                </c:pt>
                <c:pt idx="1">
                  <c:v>9.52</c:v>
                </c:pt>
                <c:pt idx="2">
                  <c:v>9.58</c:v>
                </c:pt>
                <c:pt idx="3">
                  <c:v>9.67</c:v>
                </c:pt>
                <c:pt idx="4">
                  <c:v>9.82</c:v>
                </c:pt>
                <c:pt idx="5">
                  <c:v>9.73</c:v>
                </c:pt>
                <c:pt idx="6">
                  <c:v>9.83</c:v>
                </c:pt>
                <c:pt idx="7">
                  <c:v>9.99</c:v>
                </c:pt>
                <c:pt idx="8">
                  <c:v>10.11</c:v>
                </c:pt>
                <c:pt idx="9">
                  <c:v>10.19</c:v>
                </c:pt>
                <c:pt idx="10">
                  <c:v>10.37</c:v>
                </c:pt>
                <c:pt idx="11">
                  <c:v>10.56</c:v>
                </c:pt>
              </c:numCache>
            </c:numRef>
          </c:val>
          <c:smooth val="0"/>
          <c:extLst>
            <c:ext xmlns:c16="http://schemas.microsoft.com/office/drawing/2014/chart" uri="{C3380CC4-5D6E-409C-BE32-E72D297353CC}">
              <c16:uniqueId val="{00000002-CB34-4028-8D7A-C143DAB233A8}"/>
            </c:ext>
          </c:extLst>
        </c:ser>
        <c:ser>
          <c:idx val="3"/>
          <c:order val="3"/>
          <c:tx>
            <c:strRef>
              <c:f>Rendimiento!$F$17</c:f>
              <c:strCache>
                <c:ptCount val="1"/>
                <c:pt idx="0">
                  <c:v>CCSS</c:v>
                </c:pt>
              </c:strCache>
            </c:strRef>
          </c:tx>
          <c:spPr>
            <a:ln w="22225" cap="rnd" cmpd="sng" algn="ctr">
              <a:solidFill>
                <a:schemeClr val="accent4"/>
              </a:solidFill>
              <a:round/>
            </a:ln>
            <a:effectLst/>
          </c:spPr>
          <c:marker>
            <c:symbol val="none"/>
          </c:marker>
          <c:cat>
            <c:numRef>
              <c:f>Rendimiento!$B$42:$B$53</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Rendimiento!$F$42:$F$53</c:f>
              <c:numCache>
                <c:formatCode>General</c:formatCode>
                <c:ptCount val="12"/>
                <c:pt idx="0">
                  <c:v>9.8800000000000008</c:v>
                </c:pt>
                <c:pt idx="1">
                  <c:v>9.92</c:v>
                </c:pt>
                <c:pt idx="2">
                  <c:v>10.06</c:v>
                </c:pt>
                <c:pt idx="3">
                  <c:v>10.199999999999999</c:v>
                </c:pt>
                <c:pt idx="4">
                  <c:v>10.34</c:v>
                </c:pt>
                <c:pt idx="5">
                  <c:v>10.25</c:v>
                </c:pt>
                <c:pt idx="6">
                  <c:v>10.38</c:v>
                </c:pt>
                <c:pt idx="7">
                  <c:v>10.43</c:v>
                </c:pt>
                <c:pt idx="8">
                  <c:v>10.55</c:v>
                </c:pt>
                <c:pt idx="9">
                  <c:v>10.64</c:v>
                </c:pt>
                <c:pt idx="10">
                  <c:v>10.76</c:v>
                </c:pt>
                <c:pt idx="11">
                  <c:v>10.85</c:v>
                </c:pt>
              </c:numCache>
            </c:numRef>
          </c:val>
          <c:smooth val="0"/>
          <c:extLst>
            <c:ext xmlns:c16="http://schemas.microsoft.com/office/drawing/2014/chart" uri="{C3380CC4-5D6E-409C-BE32-E72D297353CC}">
              <c16:uniqueId val="{00000003-CB34-4028-8D7A-C143DAB233A8}"/>
            </c:ext>
          </c:extLst>
        </c:ser>
        <c:ser>
          <c:idx val="4"/>
          <c:order val="4"/>
          <c:tx>
            <c:strRef>
              <c:f>Rendimiento!$G$17</c:f>
              <c:strCache>
                <c:ptCount val="1"/>
                <c:pt idx="0">
                  <c:v>Popular</c:v>
                </c:pt>
              </c:strCache>
            </c:strRef>
          </c:tx>
          <c:spPr>
            <a:ln w="22225" cap="rnd" cmpd="sng" algn="ctr">
              <a:solidFill>
                <a:schemeClr val="accent5"/>
              </a:solidFill>
              <a:round/>
            </a:ln>
            <a:effectLst/>
          </c:spPr>
          <c:marker>
            <c:symbol val="none"/>
          </c:marker>
          <c:cat>
            <c:numRef>
              <c:f>Rendimiento!$B$42:$B$53</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Rendimiento!$G$42:$G$53</c:f>
              <c:numCache>
                <c:formatCode>General</c:formatCode>
                <c:ptCount val="12"/>
                <c:pt idx="0">
                  <c:v>9.09</c:v>
                </c:pt>
                <c:pt idx="1">
                  <c:v>9.16</c:v>
                </c:pt>
                <c:pt idx="2">
                  <c:v>9.2799999999999994</c:v>
                </c:pt>
                <c:pt idx="3">
                  <c:v>9.43</c:v>
                </c:pt>
                <c:pt idx="4">
                  <c:v>9.58</c:v>
                </c:pt>
                <c:pt idx="5">
                  <c:v>9.5399999999999991</c:v>
                </c:pt>
                <c:pt idx="6">
                  <c:v>9.68</c:v>
                </c:pt>
                <c:pt idx="7">
                  <c:v>9.6999999999999993</c:v>
                </c:pt>
                <c:pt idx="8">
                  <c:v>9.81</c:v>
                </c:pt>
                <c:pt idx="9">
                  <c:v>9.91</c:v>
                </c:pt>
                <c:pt idx="10">
                  <c:v>10.029999999999999</c:v>
                </c:pt>
                <c:pt idx="11">
                  <c:v>10.1</c:v>
                </c:pt>
              </c:numCache>
            </c:numRef>
          </c:val>
          <c:smooth val="0"/>
          <c:extLst>
            <c:ext xmlns:c16="http://schemas.microsoft.com/office/drawing/2014/chart" uri="{C3380CC4-5D6E-409C-BE32-E72D297353CC}">
              <c16:uniqueId val="{00000004-CB34-4028-8D7A-C143DAB233A8}"/>
            </c:ext>
          </c:extLst>
        </c:ser>
        <c:ser>
          <c:idx val="5"/>
          <c:order val="5"/>
          <c:tx>
            <c:strRef>
              <c:f>Rendimiento!$H$17</c:f>
              <c:strCache>
                <c:ptCount val="1"/>
                <c:pt idx="0">
                  <c:v>Vida Plena</c:v>
                </c:pt>
              </c:strCache>
            </c:strRef>
          </c:tx>
          <c:spPr>
            <a:ln w="22225" cap="rnd" cmpd="sng" algn="ctr">
              <a:solidFill>
                <a:schemeClr val="accent6"/>
              </a:solidFill>
              <a:round/>
            </a:ln>
            <a:effectLst/>
          </c:spPr>
          <c:marker>
            <c:symbol val="none"/>
          </c:marker>
          <c:cat>
            <c:numRef>
              <c:f>Rendimiento!$B$42:$B$53</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Rendimiento!$H$42:$H$53</c:f>
              <c:numCache>
                <c:formatCode>General</c:formatCode>
                <c:ptCount val="12"/>
                <c:pt idx="0">
                  <c:v>9.3800000000000008</c:v>
                </c:pt>
                <c:pt idx="1">
                  <c:v>9.4</c:v>
                </c:pt>
                <c:pt idx="2">
                  <c:v>9.4700000000000006</c:v>
                </c:pt>
                <c:pt idx="3">
                  <c:v>9.5</c:v>
                </c:pt>
                <c:pt idx="4">
                  <c:v>9.6</c:v>
                </c:pt>
                <c:pt idx="5">
                  <c:v>9.57</c:v>
                </c:pt>
                <c:pt idx="6">
                  <c:v>9.6300000000000008</c:v>
                </c:pt>
                <c:pt idx="7">
                  <c:v>9.7200000000000006</c:v>
                </c:pt>
                <c:pt idx="8">
                  <c:v>9.81</c:v>
                </c:pt>
                <c:pt idx="9">
                  <c:v>9.89</c:v>
                </c:pt>
                <c:pt idx="10">
                  <c:v>10.06</c:v>
                </c:pt>
                <c:pt idx="11">
                  <c:v>10.199999999999999</c:v>
                </c:pt>
              </c:numCache>
            </c:numRef>
          </c:val>
          <c:smooth val="0"/>
          <c:extLst>
            <c:ext xmlns:c16="http://schemas.microsoft.com/office/drawing/2014/chart" uri="{C3380CC4-5D6E-409C-BE32-E72D297353CC}">
              <c16:uniqueId val="{00000005-CB34-4028-8D7A-C143DAB233A8}"/>
            </c:ext>
          </c:extLst>
        </c:ser>
        <c:dLbls>
          <c:showLegendKey val="0"/>
          <c:showVal val="0"/>
          <c:showCatName val="0"/>
          <c:showSerName val="0"/>
          <c:showPercent val="0"/>
          <c:showBubbleSize val="0"/>
        </c:dLbls>
        <c:smooth val="0"/>
        <c:axId val="813308815"/>
        <c:axId val="1901304671"/>
      </c:lineChart>
      <c:dateAx>
        <c:axId val="813308815"/>
        <c:scaling>
          <c:orientation val="minMax"/>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901304671"/>
        <c:crosses val="autoZero"/>
        <c:auto val="1"/>
        <c:lblOffset val="100"/>
        <c:baseTimeUnit val="months"/>
      </c:dateAx>
      <c:valAx>
        <c:axId val="1901304671"/>
        <c:scaling>
          <c:orientation val="minMax"/>
          <c:max val="11"/>
          <c:min val="8.5"/>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r>
                  <a:rPr lang="es-CR" cap="none"/>
                  <a:t>Rendimiento porcentual</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81330881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R"/>
        </a:p>
      </c:txPr>
    </c:legend>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0.2065</cdr:x>
      <cdr:y>0.89305</cdr:y>
    </cdr:from>
    <cdr:to>
      <cdr:x>0.58828</cdr:x>
      <cdr:y>0.98844</cdr:y>
    </cdr:to>
    <cdr:sp macro="" textlink="">
      <cdr:nvSpPr>
        <cdr:cNvPr id="2" name="Cuadro de texto 1"/>
        <cdr:cNvSpPr txBox="1"/>
      </cdr:nvSpPr>
      <cdr:spPr>
        <a:xfrm xmlns:a="http://schemas.openxmlformats.org/drawingml/2006/main">
          <a:off x="1265274" y="3285150"/>
          <a:ext cx="2339163" cy="350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R" sz="1100"/>
        </a:p>
      </cdr:txBody>
    </cdr:sp>
  </cdr:relSizeAnchor>
</c:userShapes>
</file>

<file path=word/drawings/drawing2.xml><?xml version="1.0" encoding="utf-8"?>
<c:userShapes xmlns:c="http://schemas.openxmlformats.org/drawingml/2006/chart">
  <cdr:relSizeAnchor xmlns:cdr="http://schemas.openxmlformats.org/drawingml/2006/chartDrawing">
    <cdr:from>
      <cdr:x>0.03125</cdr:x>
      <cdr:y>0.88889</cdr:y>
    </cdr:from>
    <cdr:to>
      <cdr:x>0.42292</cdr:x>
      <cdr:y>0.96875</cdr:y>
    </cdr:to>
    <cdr:sp macro="" textlink="">
      <cdr:nvSpPr>
        <cdr:cNvPr id="2" name="Cuadro de texto 1"/>
        <cdr:cNvSpPr txBox="1"/>
      </cdr:nvSpPr>
      <cdr:spPr>
        <a:xfrm xmlns:a="http://schemas.openxmlformats.org/drawingml/2006/main">
          <a:off x="142875" y="2438400"/>
          <a:ext cx="17907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R"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6856631F615B3409059BBB0F9B27DCB" ma:contentTypeVersion="15" ma:contentTypeDescription="Crear nuevo documento." ma:contentTypeScope="" ma:versionID="47210b89c82ae1714ee5357ee90d6da2">
  <xsd:schema xmlns:xsd="http://www.w3.org/2001/XMLSchema" xmlns:xs="http://www.w3.org/2001/XMLSchema" xmlns:p="http://schemas.microsoft.com/office/2006/metadata/properties" xmlns:ns2="b18c669d-fb4a-4eb9-a4d1-62cdc1f0ce82" xmlns:ns3="2771f82f-2111-4618-a6ac-913e60384c73" targetNamespace="http://schemas.microsoft.com/office/2006/metadata/properties" ma:root="true" ma:fieldsID="004a81f54fee428c8bd711f989c5dc6b" ns2:_="" ns3:_="">
    <xsd:import namespace="b18c669d-fb4a-4eb9-a4d1-62cdc1f0ce82"/>
    <xsd:import namespace="2771f82f-2111-4618-a6ac-913e60384c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4"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f82f-2111-4618-a6ac-913e60384c7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1D9281D-6792-4CF9-B7A5-AA3540E83344}">
  <ds:schemaRefs>
    <ds:schemaRef ds:uri="http://schemas.openxmlformats.org/officeDocument/2006/bibliography"/>
  </ds:schemaRefs>
</ds:datastoreItem>
</file>

<file path=customXml/itemProps2.xml><?xml version="1.0" encoding="utf-8"?>
<ds:datastoreItem xmlns:ds="http://schemas.openxmlformats.org/officeDocument/2006/customXml" ds:itemID="{302862A8-EB59-470F-888D-44B074B3365D}">
  <ds:schemaRefs>
    <ds:schemaRef ds:uri="http://purl.org/dc/dcmitype/"/>
    <ds:schemaRef ds:uri="2771f82f-2111-4618-a6ac-913e60384c7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b18c669d-fb4a-4eb9-a4d1-62cdc1f0ce82"/>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4F5D90A-5091-46E1-A261-7764646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669d-fb4a-4eb9-a4d1-62cdc1f0ce82"/>
    <ds:schemaRef ds:uri="2771f82f-2111-4618-a6ac-913e603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7D643-D225-4A14-B798-089F535E4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Hoja SUPEN</Template>
  <TotalTime>0</TotalTime>
  <Pages>13</Pages>
  <Words>3175</Words>
  <Characters>17465</Characters>
  <Application>Microsoft Office Word</Application>
  <DocSecurity>0</DocSecurity>
  <Lines>145</Lines>
  <Paragraphs>41</Paragraphs>
  <ScaleCrop>false</ScaleCrop>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BARQUERO ADRIAN</dc:creator>
  <cp:keywords/>
  <dc:description/>
  <cp:lastModifiedBy>CORRALES VEGA RUDY</cp:lastModifiedBy>
  <cp:revision>2</cp:revision>
  <dcterms:created xsi:type="dcterms:W3CDTF">2021-12-02T15:57:00Z</dcterms:created>
  <dcterms:modified xsi:type="dcterms:W3CDTF">2021-12-02T15:57:00Z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0x01010016856631F615B3409059BBB0F9B27DCB</vt:lpwstr>
  </property>
</Properties>
</file>