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DA15A" w14:textId="77777777" w:rsidR="002B6731" w:rsidRPr="00D70332" w:rsidRDefault="002B6731" w:rsidP="00C07436">
      <w:pPr>
        <w:jc w:val="center"/>
        <w:rPr>
          <w:rFonts w:ascii="Segoe UI" w:hAnsi="Segoe UI" w:cs="Segoe UI"/>
        </w:rPr>
      </w:pPr>
      <w:bookmarkStart w:id="0" w:name="_Hlk8031810"/>
      <w:bookmarkEnd w:id="0"/>
      <w:r w:rsidRPr="00D70332">
        <w:rPr>
          <w:rFonts w:ascii="Segoe UI" w:hAnsi="Segoe UI" w:cs="Segoe UI"/>
          <w:noProof/>
          <w:lang w:val="es-CR" w:eastAsia="es-CR"/>
        </w:rPr>
        <mc:AlternateContent>
          <mc:Choice Requires="wps">
            <w:drawing>
              <wp:anchor distT="0" distB="0" distL="457200" distR="118745" simplePos="0" relativeHeight="251658240" behindDoc="0" locked="0" layoutInCell="0" allowOverlap="1" wp14:anchorId="16C507AC" wp14:editId="1FC40F74">
                <wp:simplePos x="0" y="0"/>
                <wp:positionH relativeFrom="margin">
                  <wp:posOffset>1434465</wp:posOffset>
                </wp:positionH>
                <wp:positionV relativeFrom="paragraph">
                  <wp:posOffset>5080</wp:posOffset>
                </wp:positionV>
                <wp:extent cx="4810125" cy="7625080"/>
                <wp:effectExtent l="0" t="0" r="0" b="0"/>
                <wp:wrapSquare wrapText="bothSides"/>
                <wp:docPr id="205"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7625080"/>
                        </a:xfrm>
                        <a:prstGeom prst="rect">
                          <a:avLst/>
                        </a:prstGeom>
                        <a:noFill/>
                        <a:ln w="15875">
                          <a:noFill/>
                        </a:ln>
                      </wps:spPr>
                      <wps:style>
                        <a:lnRef idx="0">
                          <a:scrgbClr r="0" g="0" b="0"/>
                        </a:lnRef>
                        <a:fillRef idx="1003">
                          <a:schemeClr val="lt1"/>
                        </a:fillRef>
                        <a:effectRef idx="0">
                          <a:scrgbClr r="0" g="0" b="0"/>
                        </a:effectRef>
                        <a:fontRef idx="major"/>
                      </wps:style>
                      <wps:txbx>
                        <w:txbxContent>
                          <w:p w14:paraId="67E78169" w14:textId="77777777" w:rsidR="00533777" w:rsidRPr="00C26828" w:rsidRDefault="00533777" w:rsidP="002B6731">
                            <w:pPr>
                              <w:pBdr>
                                <w:left w:val="single" w:sz="4" w:space="9" w:color="4F81BD" w:themeColor="accent1"/>
                              </w:pBdr>
                              <w:jc w:val="center"/>
                              <w:rPr>
                                <w:rFonts w:asciiTheme="majorHAnsi" w:eastAsiaTheme="majorEastAsia" w:hAnsiTheme="majorHAnsi" w:cstheme="majorBidi"/>
                                <w:sz w:val="40"/>
                                <w:szCs w:val="40"/>
                              </w:rPr>
                            </w:pPr>
                            <w:bookmarkStart w:id="1" w:name="_Hlk63666386"/>
                            <w:bookmarkEnd w:id="1"/>
                          </w:p>
                          <w:p w14:paraId="375C7635" w14:textId="77777777" w:rsidR="00533777" w:rsidRPr="00C26828" w:rsidRDefault="00533777" w:rsidP="002B6731">
                            <w:pPr>
                              <w:pBdr>
                                <w:left w:val="single" w:sz="4" w:space="9" w:color="4F81BD" w:themeColor="accent1"/>
                              </w:pBdr>
                              <w:jc w:val="center"/>
                              <w:rPr>
                                <w:rFonts w:asciiTheme="majorHAnsi" w:eastAsiaTheme="majorEastAsia" w:hAnsiTheme="majorHAnsi" w:cstheme="majorBidi"/>
                                <w:sz w:val="40"/>
                                <w:szCs w:val="40"/>
                              </w:rPr>
                            </w:pPr>
                          </w:p>
                          <w:p w14:paraId="712F99A8" w14:textId="77777777" w:rsidR="00533777" w:rsidRPr="00C26828" w:rsidRDefault="00533777" w:rsidP="002B6731">
                            <w:pPr>
                              <w:pBdr>
                                <w:left w:val="single" w:sz="4" w:space="9" w:color="4F81BD" w:themeColor="accent1"/>
                              </w:pBdr>
                              <w:jc w:val="center"/>
                              <w:rPr>
                                <w:rFonts w:asciiTheme="majorHAnsi" w:eastAsiaTheme="majorEastAsia" w:hAnsiTheme="majorHAnsi" w:cstheme="majorBidi"/>
                                <w:sz w:val="40"/>
                                <w:szCs w:val="40"/>
                              </w:rPr>
                            </w:pPr>
                          </w:p>
                          <w:p w14:paraId="4A26AA08" w14:textId="77777777" w:rsidR="00533777" w:rsidRPr="00007611" w:rsidRDefault="00533777" w:rsidP="002B6731">
                            <w:pPr>
                              <w:pBdr>
                                <w:left w:val="single" w:sz="4" w:space="9" w:color="4F81BD" w:themeColor="accent1"/>
                              </w:pBdr>
                              <w:jc w:val="center"/>
                              <w:rPr>
                                <w:rFonts w:asciiTheme="majorHAnsi" w:eastAsiaTheme="majorEastAsia" w:hAnsiTheme="majorHAnsi" w:cstheme="majorBidi"/>
                                <w:b/>
                                <w:sz w:val="36"/>
                                <w:szCs w:val="40"/>
                              </w:rPr>
                            </w:pPr>
                            <w:r w:rsidRPr="00007611">
                              <w:rPr>
                                <w:rFonts w:asciiTheme="majorHAnsi" w:eastAsiaTheme="majorEastAsia" w:hAnsiTheme="majorHAnsi" w:cstheme="majorBidi"/>
                                <w:b/>
                                <w:sz w:val="36"/>
                                <w:szCs w:val="40"/>
                              </w:rPr>
                              <w:t>INFORME DE COYUNTURA Y</w:t>
                            </w:r>
                            <w:r>
                              <w:rPr>
                                <w:rFonts w:asciiTheme="majorHAnsi" w:eastAsiaTheme="majorEastAsia" w:hAnsiTheme="majorHAnsi" w:cstheme="majorBidi"/>
                                <w:b/>
                                <w:sz w:val="36"/>
                                <w:szCs w:val="40"/>
                              </w:rPr>
                              <w:t xml:space="preserve"> </w:t>
                            </w:r>
                            <w:r w:rsidRPr="00007611">
                              <w:rPr>
                                <w:rFonts w:asciiTheme="majorHAnsi" w:eastAsiaTheme="majorEastAsia" w:hAnsiTheme="majorHAnsi" w:cstheme="majorBidi"/>
                                <w:b/>
                                <w:sz w:val="36"/>
                                <w:szCs w:val="40"/>
                              </w:rPr>
                              <w:t>SUPERVISIÓN</w:t>
                            </w:r>
                          </w:p>
                          <w:p w14:paraId="4855D33E" w14:textId="77777777" w:rsidR="00533777" w:rsidRPr="00C26828" w:rsidRDefault="00533777" w:rsidP="002B6731">
                            <w:pPr>
                              <w:pBdr>
                                <w:left w:val="single" w:sz="4" w:space="9" w:color="4F81BD" w:themeColor="accent1"/>
                              </w:pBdr>
                              <w:jc w:val="center"/>
                              <w:rPr>
                                <w:rFonts w:asciiTheme="majorHAnsi" w:eastAsiaTheme="majorEastAsia" w:hAnsiTheme="majorHAnsi" w:cstheme="majorBidi"/>
                                <w:sz w:val="32"/>
                                <w:szCs w:val="40"/>
                              </w:rPr>
                            </w:pPr>
                          </w:p>
                          <w:p w14:paraId="1F95BF4D" w14:textId="77777777" w:rsidR="00533777" w:rsidRPr="00C26828" w:rsidRDefault="00533777" w:rsidP="002B6731">
                            <w:pPr>
                              <w:pBdr>
                                <w:left w:val="single" w:sz="4" w:space="9" w:color="4F81BD" w:themeColor="accent1"/>
                              </w:pBdr>
                              <w:rPr>
                                <w:rFonts w:asciiTheme="majorHAnsi" w:eastAsiaTheme="majorEastAsia" w:hAnsiTheme="majorHAnsi" w:cstheme="majorBidi"/>
                                <w:sz w:val="32"/>
                                <w:szCs w:val="40"/>
                              </w:rPr>
                            </w:pPr>
                          </w:p>
                          <w:p w14:paraId="4ED8B547" w14:textId="77777777" w:rsidR="00533777" w:rsidRDefault="00533777" w:rsidP="002B6731">
                            <w:pPr>
                              <w:pBdr>
                                <w:left w:val="single" w:sz="4" w:space="9" w:color="4F81BD" w:themeColor="accent1"/>
                              </w:pBdr>
                              <w:jc w:val="center"/>
                              <w:rPr>
                                <w:rFonts w:asciiTheme="majorHAnsi" w:eastAsiaTheme="majorEastAsia" w:hAnsiTheme="majorHAnsi" w:cstheme="majorBidi"/>
                                <w:sz w:val="32"/>
                                <w:szCs w:val="40"/>
                              </w:rPr>
                            </w:pPr>
                            <w:r w:rsidRPr="00AC2538">
                              <w:rPr>
                                <w:rFonts w:asciiTheme="majorHAnsi" w:eastAsiaTheme="majorEastAsia" w:hAnsiTheme="majorHAnsi" w:cstheme="majorBidi"/>
                                <w:sz w:val="32"/>
                                <w:szCs w:val="40"/>
                              </w:rPr>
                              <w:t xml:space="preserve">Evolución de los sistemas de pensiones </w:t>
                            </w:r>
                          </w:p>
                          <w:p w14:paraId="6AAF497F" w14:textId="77777777" w:rsidR="00533777" w:rsidRDefault="00533777" w:rsidP="002B6731">
                            <w:pPr>
                              <w:pBdr>
                                <w:left w:val="single" w:sz="4" w:space="9" w:color="4F81BD" w:themeColor="accent1"/>
                              </w:pBdr>
                              <w:jc w:val="center"/>
                              <w:rPr>
                                <w:rFonts w:asciiTheme="majorHAnsi" w:eastAsiaTheme="majorEastAsia" w:hAnsiTheme="majorHAnsi" w:cstheme="majorBidi"/>
                                <w:sz w:val="32"/>
                                <w:szCs w:val="40"/>
                              </w:rPr>
                            </w:pPr>
                            <w:r w:rsidRPr="00AC2538">
                              <w:rPr>
                                <w:rFonts w:asciiTheme="majorHAnsi" w:eastAsiaTheme="majorEastAsia" w:hAnsiTheme="majorHAnsi" w:cstheme="majorBidi"/>
                                <w:sz w:val="32"/>
                                <w:szCs w:val="40"/>
                              </w:rPr>
                              <w:t>y situación de los entes supervisados</w:t>
                            </w:r>
                          </w:p>
                          <w:p w14:paraId="61A36BC5" w14:textId="77777777" w:rsidR="00533777" w:rsidRPr="00AC2538" w:rsidRDefault="00533777" w:rsidP="002B6731">
                            <w:pPr>
                              <w:pBdr>
                                <w:left w:val="single" w:sz="4" w:space="9" w:color="4F81BD" w:themeColor="accent1"/>
                              </w:pBdr>
                              <w:jc w:val="center"/>
                              <w:rPr>
                                <w:rFonts w:asciiTheme="majorHAnsi" w:eastAsiaTheme="majorEastAsia" w:hAnsiTheme="majorHAnsi" w:cstheme="majorBidi"/>
                                <w:sz w:val="32"/>
                                <w:szCs w:val="40"/>
                              </w:rPr>
                            </w:pPr>
                          </w:p>
                          <w:p w14:paraId="556A4E37" w14:textId="77777777" w:rsidR="00533777" w:rsidRPr="00AC2538" w:rsidRDefault="00A4744A" w:rsidP="002B6731">
                            <w:pPr>
                              <w:pBdr>
                                <w:left w:val="single" w:sz="4" w:space="9" w:color="4F81BD" w:themeColor="accent1"/>
                              </w:pBdr>
                              <w:jc w:val="center"/>
                              <w:rPr>
                                <w:rFonts w:asciiTheme="majorHAnsi" w:eastAsiaTheme="majorEastAsia" w:hAnsiTheme="majorHAnsi" w:cstheme="majorBidi"/>
                                <w:sz w:val="32"/>
                                <w:szCs w:val="40"/>
                              </w:rPr>
                            </w:pPr>
                            <w:r>
                              <w:rPr>
                                <w:rFonts w:asciiTheme="majorHAnsi" w:eastAsiaTheme="majorEastAsia" w:hAnsiTheme="majorHAnsi" w:cstheme="majorBidi"/>
                                <w:sz w:val="32"/>
                                <w:szCs w:val="40"/>
                              </w:rPr>
                              <w:t>Primer</w:t>
                            </w:r>
                            <w:r w:rsidR="00533777">
                              <w:rPr>
                                <w:rFonts w:asciiTheme="majorHAnsi" w:eastAsiaTheme="majorEastAsia" w:hAnsiTheme="majorHAnsi" w:cstheme="majorBidi"/>
                                <w:sz w:val="32"/>
                                <w:szCs w:val="40"/>
                              </w:rPr>
                              <w:t xml:space="preserve"> </w:t>
                            </w:r>
                            <w:r w:rsidR="00533777" w:rsidRPr="00AC2538">
                              <w:rPr>
                                <w:rFonts w:asciiTheme="majorHAnsi" w:eastAsiaTheme="majorEastAsia" w:hAnsiTheme="majorHAnsi" w:cstheme="majorBidi"/>
                                <w:sz w:val="32"/>
                                <w:szCs w:val="40"/>
                              </w:rPr>
                              <w:t>Trimestre</w:t>
                            </w:r>
                          </w:p>
                          <w:p w14:paraId="6A47722A" w14:textId="77777777" w:rsidR="00533777" w:rsidRPr="00AC2538" w:rsidRDefault="00533777" w:rsidP="002B6731">
                            <w:pPr>
                              <w:pBdr>
                                <w:left w:val="single" w:sz="4" w:space="9" w:color="4F81BD" w:themeColor="accent1"/>
                              </w:pBdr>
                              <w:jc w:val="center"/>
                            </w:pPr>
                            <w:r w:rsidRPr="00AC2538">
                              <w:rPr>
                                <w:rFonts w:asciiTheme="majorHAnsi" w:eastAsiaTheme="majorEastAsia" w:hAnsiTheme="majorHAnsi" w:cstheme="majorBidi"/>
                                <w:sz w:val="32"/>
                                <w:szCs w:val="40"/>
                              </w:rPr>
                              <w:t>20</w:t>
                            </w:r>
                            <w:r>
                              <w:rPr>
                                <w:rFonts w:asciiTheme="majorHAnsi" w:eastAsiaTheme="majorEastAsia" w:hAnsiTheme="majorHAnsi" w:cstheme="majorBidi"/>
                                <w:sz w:val="32"/>
                                <w:szCs w:val="40"/>
                              </w:rPr>
                              <w:t>2</w:t>
                            </w:r>
                            <w:r w:rsidR="00A4744A">
                              <w:rPr>
                                <w:rFonts w:asciiTheme="majorHAnsi" w:eastAsiaTheme="majorEastAsia" w:hAnsiTheme="majorHAnsi" w:cstheme="majorBidi"/>
                                <w:sz w:val="32"/>
                                <w:szCs w:val="40"/>
                              </w:rPr>
                              <w:t>1</w:t>
                            </w:r>
                          </w:p>
                          <w:p w14:paraId="51F39B76" w14:textId="77777777" w:rsidR="00533777" w:rsidRPr="00AC2538" w:rsidRDefault="00533777" w:rsidP="002B6731">
                            <w:pPr>
                              <w:pBdr>
                                <w:left w:val="single" w:sz="4" w:space="9" w:color="4F81BD" w:themeColor="accent1"/>
                              </w:pBdr>
                              <w:jc w:val="center"/>
                              <w:rPr>
                                <w:rFonts w:asciiTheme="majorHAnsi" w:eastAsiaTheme="majorEastAsia" w:hAnsiTheme="majorHAnsi" w:cstheme="majorBidi"/>
                                <w:szCs w:val="40"/>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C507AC" id="Autoforma 14" o:spid="_x0000_s1026" style="position:absolute;left:0;text-align:left;margin-left:112.95pt;margin-top:.4pt;width:378.75pt;height:600.4pt;z-index:251658240;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" o:allowincell="f" filled="f" stroked="f" strokeweight="1.25pt">
                <v:textbox inset=",7.2pt,,7.2pt">
                  <w:txbxContent>
                    <w:p w14:paraId="67E78169" w14:textId="77777777" w:rsidR="00533777" w:rsidRPr="00C26828" w:rsidRDefault="00533777" w:rsidP="002B6731">
                      <w:pPr>
                        <w:pBdr>
                          <w:left w:val="single" w:sz="4" w:space="9" w:color="4F81BD" w:themeColor="accent1"/>
                        </w:pBdr>
                        <w:jc w:val="center"/>
                        <w:rPr>
                          <w:rFonts w:asciiTheme="majorHAnsi" w:eastAsiaTheme="majorEastAsia" w:hAnsiTheme="majorHAnsi" w:cstheme="majorBidi"/>
                          <w:sz w:val="40"/>
                          <w:szCs w:val="40"/>
                        </w:rPr>
                      </w:pPr>
                      <w:bookmarkStart w:id="2" w:name="_Hlk63666386"/>
                      <w:bookmarkEnd w:id="2"/>
                    </w:p>
                    <w:p w14:paraId="375C7635" w14:textId="77777777" w:rsidR="00533777" w:rsidRPr="00C26828" w:rsidRDefault="00533777" w:rsidP="002B6731">
                      <w:pPr>
                        <w:pBdr>
                          <w:left w:val="single" w:sz="4" w:space="9" w:color="4F81BD" w:themeColor="accent1"/>
                        </w:pBdr>
                        <w:jc w:val="center"/>
                        <w:rPr>
                          <w:rFonts w:asciiTheme="majorHAnsi" w:eastAsiaTheme="majorEastAsia" w:hAnsiTheme="majorHAnsi" w:cstheme="majorBidi"/>
                          <w:sz w:val="40"/>
                          <w:szCs w:val="40"/>
                        </w:rPr>
                      </w:pPr>
                    </w:p>
                    <w:p w14:paraId="712F99A8" w14:textId="77777777" w:rsidR="00533777" w:rsidRPr="00C26828" w:rsidRDefault="00533777" w:rsidP="002B6731">
                      <w:pPr>
                        <w:pBdr>
                          <w:left w:val="single" w:sz="4" w:space="9" w:color="4F81BD" w:themeColor="accent1"/>
                        </w:pBdr>
                        <w:jc w:val="center"/>
                        <w:rPr>
                          <w:rFonts w:asciiTheme="majorHAnsi" w:eastAsiaTheme="majorEastAsia" w:hAnsiTheme="majorHAnsi" w:cstheme="majorBidi"/>
                          <w:sz w:val="40"/>
                          <w:szCs w:val="40"/>
                        </w:rPr>
                      </w:pPr>
                    </w:p>
                    <w:p w14:paraId="4A26AA08" w14:textId="77777777" w:rsidR="00533777" w:rsidRPr="00007611" w:rsidRDefault="00533777" w:rsidP="002B6731">
                      <w:pPr>
                        <w:pBdr>
                          <w:left w:val="single" w:sz="4" w:space="9" w:color="4F81BD" w:themeColor="accent1"/>
                        </w:pBdr>
                        <w:jc w:val="center"/>
                        <w:rPr>
                          <w:rFonts w:asciiTheme="majorHAnsi" w:eastAsiaTheme="majorEastAsia" w:hAnsiTheme="majorHAnsi" w:cstheme="majorBidi"/>
                          <w:b/>
                          <w:sz w:val="36"/>
                          <w:szCs w:val="40"/>
                        </w:rPr>
                      </w:pPr>
                      <w:r w:rsidRPr="00007611">
                        <w:rPr>
                          <w:rFonts w:asciiTheme="majorHAnsi" w:eastAsiaTheme="majorEastAsia" w:hAnsiTheme="majorHAnsi" w:cstheme="majorBidi"/>
                          <w:b/>
                          <w:sz w:val="36"/>
                          <w:szCs w:val="40"/>
                        </w:rPr>
                        <w:t>INFORME DE COYUNTURA Y</w:t>
                      </w:r>
                      <w:r>
                        <w:rPr>
                          <w:rFonts w:asciiTheme="majorHAnsi" w:eastAsiaTheme="majorEastAsia" w:hAnsiTheme="majorHAnsi" w:cstheme="majorBidi"/>
                          <w:b/>
                          <w:sz w:val="36"/>
                          <w:szCs w:val="40"/>
                        </w:rPr>
                        <w:t xml:space="preserve"> </w:t>
                      </w:r>
                      <w:r w:rsidRPr="00007611">
                        <w:rPr>
                          <w:rFonts w:asciiTheme="majorHAnsi" w:eastAsiaTheme="majorEastAsia" w:hAnsiTheme="majorHAnsi" w:cstheme="majorBidi"/>
                          <w:b/>
                          <w:sz w:val="36"/>
                          <w:szCs w:val="40"/>
                        </w:rPr>
                        <w:t>SUPERVISIÓN</w:t>
                      </w:r>
                    </w:p>
                    <w:p w14:paraId="4855D33E" w14:textId="77777777" w:rsidR="00533777" w:rsidRPr="00C26828" w:rsidRDefault="00533777" w:rsidP="002B6731">
                      <w:pPr>
                        <w:pBdr>
                          <w:left w:val="single" w:sz="4" w:space="9" w:color="4F81BD" w:themeColor="accent1"/>
                        </w:pBdr>
                        <w:jc w:val="center"/>
                        <w:rPr>
                          <w:rFonts w:asciiTheme="majorHAnsi" w:eastAsiaTheme="majorEastAsia" w:hAnsiTheme="majorHAnsi" w:cstheme="majorBidi"/>
                          <w:sz w:val="32"/>
                          <w:szCs w:val="40"/>
                        </w:rPr>
                      </w:pPr>
                    </w:p>
                    <w:p w14:paraId="1F95BF4D" w14:textId="77777777" w:rsidR="00533777" w:rsidRPr="00C26828" w:rsidRDefault="00533777" w:rsidP="002B6731">
                      <w:pPr>
                        <w:pBdr>
                          <w:left w:val="single" w:sz="4" w:space="9" w:color="4F81BD" w:themeColor="accent1"/>
                        </w:pBdr>
                        <w:rPr>
                          <w:rFonts w:asciiTheme="majorHAnsi" w:eastAsiaTheme="majorEastAsia" w:hAnsiTheme="majorHAnsi" w:cstheme="majorBidi"/>
                          <w:sz w:val="32"/>
                          <w:szCs w:val="40"/>
                        </w:rPr>
                      </w:pPr>
                    </w:p>
                    <w:p w14:paraId="4ED8B547" w14:textId="77777777" w:rsidR="00533777" w:rsidRDefault="00533777" w:rsidP="002B6731">
                      <w:pPr>
                        <w:pBdr>
                          <w:left w:val="single" w:sz="4" w:space="9" w:color="4F81BD" w:themeColor="accent1"/>
                        </w:pBdr>
                        <w:jc w:val="center"/>
                        <w:rPr>
                          <w:rFonts w:asciiTheme="majorHAnsi" w:eastAsiaTheme="majorEastAsia" w:hAnsiTheme="majorHAnsi" w:cstheme="majorBidi"/>
                          <w:sz w:val="32"/>
                          <w:szCs w:val="40"/>
                        </w:rPr>
                      </w:pPr>
                      <w:r w:rsidRPr="00AC2538">
                        <w:rPr>
                          <w:rFonts w:asciiTheme="majorHAnsi" w:eastAsiaTheme="majorEastAsia" w:hAnsiTheme="majorHAnsi" w:cstheme="majorBidi"/>
                          <w:sz w:val="32"/>
                          <w:szCs w:val="40"/>
                        </w:rPr>
                        <w:t xml:space="preserve">Evolución de los sistemas de pensiones </w:t>
                      </w:r>
                    </w:p>
                    <w:p w14:paraId="6AAF497F" w14:textId="77777777" w:rsidR="00533777" w:rsidRDefault="00533777" w:rsidP="002B6731">
                      <w:pPr>
                        <w:pBdr>
                          <w:left w:val="single" w:sz="4" w:space="9" w:color="4F81BD" w:themeColor="accent1"/>
                        </w:pBdr>
                        <w:jc w:val="center"/>
                        <w:rPr>
                          <w:rFonts w:asciiTheme="majorHAnsi" w:eastAsiaTheme="majorEastAsia" w:hAnsiTheme="majorHAnsi" w:cstheme="majorBidi"/>
                          <w:sz w:val="32"/>
                          <w:szCs w:val="40"/>
                        </w:rPr>
                      </w:pPr>
                      <w:r w:rsidRPr="00AC2538">
                        <w:rPr>
                          <w:rFonts w:asciiTheme="majorHAnsi" w:eastAsiaTheme="majorEastAsia" w:hAnsiTheme="majorHAnsi" w:cstheme="majorBidi"/>
                          <w:sz w:val="32"/>
                          <w:szCs w:val="40"/>
                        </w:rPr>
                        <w:t>y situación de los entes supervisados</w:t>
                      </w:r>
                    </w:p>
                    <w:p w14:paraId="61A36BC5" w14:textId="77777777" w:rsidR="00533777" w:rsidRPr="00AC2538" w:rsidRDefault="00533777" w:rsidP="002B6731">
                      <w:pPr>
                        <w:pBdr>
                          <w:left w:val="single" w:sz="4" w:space="9" w:color="4F81BD" w:themeColor="accent1"/>
                        </w:pBdr>
                        <w:jc w:val="center"/>
                        <w:rPr>
                          <w:rFonts w:asciiTheme="majorHAnsi" w:eastAsiaTheme="majorEastAsia" w:hAnsiTheme="majorHAnsi" w:cstheme="majorBidi"/>
                          <w:sz w:val="32"/>
                          <w:szCs w:val="40"/>
                        </w:rPr>
                      </w:pPr>
                    </w:p>
                    <w:p w14:paraId="556A4E37" w14:textId="77777777" w:rsidR="00533777" w:rsidRPr="00AC2538" w:rsidRDefault="00A4744A" w:rsidP="002B6731">
                      <w:pPr>
                        <w:pBdr>
                          <w:left w:val="single" w:sz="4" w:space="9" w:color="4F81BD" w:themeColor="accent1"/>
                        </w:pBdr>
                        <w:jc w:val="center"/>
                        <w:rPr>
                          <w:rFonts w:asciiTheme="majorHAnsi" w:eastAsiaTheme="majorEastAsia" w:hAnsiTheme="majorHAnsi" w:cstheme="majorBidi"/>
                          <w:sz w:val="32"/>
                          <w:szCs w:val="40"/>
                        </w:rPr>
                      </w:pPr>
                      <w:r>
                        <w:rPr>
                          <w:rFonts w:asciiTheme="majorHAnsi" w:eastAsiaTheme="majorEastAsia" w:hAnsiTheme="majorHAnsi" w:cstheme="majorBidi"/>
                          <w:sz w:val="32"/>
                          <w:szCs w:val="40"/>
                        </w:rPr>
                        <w:t>Primer</w:t>
                      </w:r>
                      <w:r w:rsidR="00533777">
                        <w:rPr>
                          <w:rFonts w:asciiTheme="majorHAnsi" w:eastAsiaTheme="majorEastAsia" w:hAnsiTheme="majorHAnsi" w:cstheme="majorBidi"/>
                          <w:sz w:val="32"/>
                          <w:szCs w:val="40"/>
                        </w:rPr>
                        <w:t xml:space="preserve"> </w:t>
                      </w:r>
                      <w:r w:rsidR="00533777" w:rsidRPr="00AC2538">
                        <w:rPr>
                          <w:rFonts w:asciiTheme="majorHAnsi" w:eastAsiaTheme="majorEastAsia" w:hAnsiTheme="majorHAnsi" w:cstheme="majorBidi"/>
                          <w:sz w:val="32"/>
                          <w:szCs w:val="40"/>
                        </w:rPr>
                        <w:t>Trimestre</w:t>
                      </w:r>
                    </w:p>
                    <w:p w14:paraId="6A47722A" w14:textId="77777777" w:rsidR="00533777" w:rsidRPr="00AC2538" w:rsidRDefault="00533777" w:rsidP="002B6731">
                      <w:pPr>
                        <w:pBdr>
                          <w:left w:val="single" w:sz="4" w:space="9" w:color="4F81BD" w:themeColor="accent1"/>
                        </w:pBdr>
                        <w:jc w:val="center"/>
                      </w:pPr>
                      <w:r w:rsidRPr="00AC2538">
                        <w:rPr>
                          <w:rFonts w:asciiTheme="majorHAnsi" w:eastAsiaTheme="majorEastAsia" w:hAnsiTheme="majorHAnsi" w:cstheme="majorBidi"/>
                          <w:sz w:val="32"/>
                          <w:szCs w:val="40"/>
                        </w:rPr>
                        <w:t>20</w:t>
                      </w:r>
                      <w:r>
                        <w:rPr>
                          <w:rFonts w:asciiTheme="majorHAnsi" w:eastAsiaTheme="majorEastAsia" w:hAnsiTheme="majorHAnsi" w:cstheme="majorBidi"/>
                          <w:sz w:val="32"/>
                          <w:szCs w:val="40"/>
                        </w:rPr>
                        <w:t>2</w:t>
                      </w:r>
                      <w:r w:rsidR="00A4744A">
                        <w:rPr>
                          <w:rFonts w:asciiTheme="majorHAnsi" w:eastAsiaTheme="majorEastAsia" w:hAnsiTheme="majorHAnsi" w:cstheme="majorBidi"/>
                          <w:sz w:val="32"/>
                          <w:szCs w:val="40"/>
                        </w:rPr>
                        <w:t>1</w:t>
                      </w:r>
                    </w:p>
                    <w:p w14:paraId="51F39B76" w14:textId="77777777" w:rsidR="00533777" w:rsidRPr="00AC2538" w:rsidRDefault="00533777" w:rsidP="002B6731">
                      <w:pPr>
                        <w:pBdr>
                          <w:left w:val="single" w:sz="4" w:space="9" w:color="4F81BD" w:themeColor="accent1"/>
                        </w:pBdr>
                        <w:jc w:val="center"/>
                        <w:rPr>
                          <w:rFonts w:asciiTheme="majorHAnsi" w:eastAsiaTheme="majorEastAsia" w:hAnsiTheme="majorHAnsi" w:cstheme="majorBidi"/>
                          <w:szCs w:val="40"/>
                        </w:rPr>
                      </w:pPr>
                    </w:p>
                  </w:txbxContent>
                </v:textbox>
                <w10:wrap type="square" anchorx="margin"/>
              </v:rect>
            </w:pict>
          </mc:Fallback>
        </mc:AlternateContent>
      </w:r>
    </w:p>
    <w:p w14:paraId="099FCE6B" w14:textId="77777777" w:rsidR="002B6731" w:rsidRPr="00D70332" w:rsidRDefault="002B6731" w:rsidP="002B6731">
      <w:pPr>
        <w:rPr>
          <w:rFonts w:ascii="Segoe UI" w:hAnsi="Segoe UI" w:cs="Segoe UI"/>
        </w:rPr>
      </w:pPr>
    </w:p>
    <w:p w14:paraId="52BE9C76" w14:textId="77777777" w:rsidR="002B6731" w:rsidRPr="00D70332" w:rsidRDefault="002B6731" w:rsidP="002B6731">
      <w:pPr>
        <w:rPr>
          <w:rFonts w:ascii="Segoe UI" w:hAnsi="Segoe UI" w:cs="Segoe UI"/>
        </w:rPr>
      </w:pPr>
    </w:p>
    <w:p w14:paraId="7585408B" w14:textId="77777777" w:rsidR="002B6731" w:rsidRPr="00D70332" w:rsidRDefault="002B6731" w:rsidP="002B6731">
      <w:pPr>
        <w:rPr>
          <w:rFonts w:ascii="Segoe UI" w:hAnsi="Segoe UI" w:cs="Segoe UI"/>
        </w:rPr>
      </w:pPr>
    </w:p>
    <w:p w14:paraId="140A00FF" w14:textId="77777777" w:rsidR="002B6731" w:rsidRPr="00D70332" w:rsidRDefault="002B6731" w:rsidP="002B6731">
      <w:pPr>
        <w:rPr>
          <w:rFonts w:ascii="Segoe UI" w:hAnsi="Segoe UI" w:cs="Segoe UI"/>
        </w:rPr>
      </w:pPr>
    </w:p>
    <w:p w14:paraId="5ED4EAB6" w14:textId="77777777" w:rsidR="002B6731" w:rsidRPr="00D70332" w:rsidRDefault="002B6731" w:rsidP="002B6731">
      <w:pPr>
        <w:rPr>
          <w:rFonts w:ascii="Segoe UI" w:hAnsi="Segoe UI" w:cs="Segoe UI"/>
        </w:rPr>
      </w:pPr>
      <w:r w:rsidRPr="00D70332">
        <w:rPr>
          <w:rFonts w:ascii="Segoe UI" w:hAnsi="Segoe UI" w:cs="Segoe UI"/>
          <w:noProof/>
          <w:lang w:eastAsia="es-ES"/>
        </w:rPr>
        <w:drawing>
          <wp:anchor distT="0" distB="0" distL="114300" distR="114300" simplePos="0" relativeHeight="251658241" behindDoc="1" locked="0" layoutInCell="1" allowOverlap="1" wp14:anchorId="3F9190EF" wp14:editId="4E71F8B7">
            <wp:simplePos x="0" y="0"/>
            <wp:positionH relativeFrom="page">
              <wp:posOffset>161925</wp:posOffset>
            </wp:positionH>
            <wp:positionV relativeFrom="page">
              <wp:posOffset>2381250</wp:posOffset>
            </wp:positionV>
            <wp:extent cx="2244090" cy="1038225"/>
            <wp:effectExtent l="0" t="0" r="3810" b="952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4090" cy="1038225"/>
                    </a:xfrm>
                    <a:prstGeom prst="rect">
                      <a:avLst/>
                    </a:prstGeom>
                    <a:noFill/>
                  </pic:spPr>
                </pic:pic>
              </a:graphicData>
            </a:graphic>
            <wp14:sizeRelH relativeFrom="margin">
              <wp14:pctWidth>0</wp14:pctWidth>
            </wp14:sizeRelH>
            <wp14:sizeRelV relativeFrom="margin">
              <wp14:pctHeight>0</wp14:pctHeight>
            </wp14:sizeRelV>
          </wp:anchor>
        </w:drawing>
      </w:r>
    </w:p>
    <w:p w14:paraId="293D2B2D" w14:textId="77777777" w:rsidR="002B6731" w:rsidRPr="00D70332" w:rsidRDefault="002B6731" w:rsidP="002B6731">
      <w:pPr>
        <w:rPr>
          <w:rFonts w:ascii="Segoe UI" w:hAnsi="Segoe UI" w:cs="Segoe UI"/>
        </w:rPr>
      </w:pPr>
    </w:p>
    <w:p w14:paraId="62F01B1F" w14:textId="77777777" w:rsidR="002B6731" w:rsidRPr="00D70332" w:rsidRDefault="002B6731" w:rsidP="002B6731">
      <w:pPr>
        <w:rPr>
          <w:rFonts w:ascii="Segoe UI" w:hAnsi="Segoe UI" w:cs="Segoe UI"/>
        </w:rPr>
        <w:sectPr w:rsidR="002B6731" w:rsidRPr="00D70332" w:rsidSect="004722B6">
          <w:headerReference w:type="default" r:id="rId12"/>
          <w:footerReference w:type="default" r:id="rId13"/>
          <w:pgSz w:w="12240" w:h="15840"/>
          <w:pgMar w:top="1417" w:right="1701" w:bottom="1417" w:left="1701" w:header="708" w:footer="708" w:gutter="0"/>
          <w:cols w:space="708"/>
          <w:titlePg/>
          <w:docGrid w:linePitch="360"/>
        </w:sectPr>
      </w:pPr>
    </w:p>
    <w:p w14:paraId="304D6FBF" w14:textId="77777777" w:rsidR="002B6731" w:rsidRPr="00D70332" w:rsidRDefault="002B6731" w:rsidP="002B6731">
      <w:pPr>
        <w:jc w:val="center"/>
        <w:rPr>
          <w:rFonts w:ascii="Segoe UI" w:hAnsi="Segoe UI" w:cs="Segoe UI"/>
        </w:rPr>
      </w:pPr>
    </w:p>
    <w:p w14:paraId="25C4B30D" w14:textId="77777777" w:rsidR="005F5DAD" w:rsidRPr="0093453D" w:rsidRDefault="002B6731" w:rsidP="002B6731">
      <w:pPr>
        <w:pStyle w:val="paragraph"/>
        <w:jc w:val="both"/>
        <w:textAlignment w:val="baseline"/>
        <w:rPr>
          <w:rStyle w:val="eop"/>
          <w:rFonts w:asciiTheme="minorHAnsi" w:hAnsiTheme="minorHAnsi" w:cs="Segoe UI"/>
          <w:sz w:val="22"/>
          <w:szCs w:val="22"/>
          <w:lang w:val="es-ES"/>
        </w:rPr>
      </w:pPr>
      <w:r w:rsidRPr="0093453D">
        <w:rPr>
          <w:rStyle w:val="normaltextrun1"/>
          <w:rFonts w:asciiTheme="minorHAnsi" w:hAnsiTheme="minorHAnsi" w:cs="Segoe UI"/>
          <w:sz w:val="22"/>
          <w:szCs w:val="22"/>
        </w:rPr>
        <w:t xml:space="preserve">La información contenida en este documento es propiedad intelectual de la Superintendencia de Pensiones (SUPEN) y de uso reservado para el Consejo Nacional de Supervisión del Sistema Financiero (CONASSIF). Dicha información podría ser de carácter confidencial o tener derechos reservados y privilegios legales asociados. La SUPEN no se hace legalmente responsable de la transmisión incorrecta de la información aquí contenida. La confección del documento estuvo a cargo de la División de Planificación y Normativa de la SUPEN. Cualquier duda a consulta sobre este documento favor canalizarla a la dirección de correo: </w:t>
      </w:r>
      <w:hyperlink r:id="rId14" w:tgtFrame="_blank" w:history="1">
        <w:r w:rsidRPr="0093453D">
          <w:rPr>
            <w:rStyle w:val="normaltextrun1"/>
            <w:rFonts w:asciiTheme="minorHAnsi" w:hAnsiTheme="minorHAnsi" w:cs="Segoe UI"/>
            <w:color w:val="548DD4"/>
            <w:sz w:val="22"/>
            <w:szCs w:val="22"/>
            <w:u w:val="single"/>
          </w:rPr>
          <w:t>Supen@Supen.fi.cr</w:t>
        </w:r>
      </w:hyperlink>
      <w:r w:rsidRPr="0093453D">
        <w:rPr>
          <w:rStyle w:val="eop"/>
          <w:rFonts w:asciiTheme="minorHAnsi" w:hAnsiTheme="minorHAnsi" w:cs="Segoe UI"/>
          <w:sz w:val="22"/>
          <w:szCs w:val="22"/>
          <w:lang w:val="es-ES"/>
        </w:rPr>
        <w:t> </w:t>
      </w:r>
      <w:r w:rsidR="005F5DAD" w:rsidRPr="0093453D">
        <w:rPr>
          <w:rStyle w:val="eop"/>
          <w:rFonts w:asciiTheme="minorHAnsi" w:hAnsiTheme="minorHAnsi" w:cs="Segoe UI"/>
          <w:sz w:val="22"/>
          <w:szCs w:val="22"/>
          <w:lang w:val="es-ES"/>
        </w:rPr>
        <w:br w:type="page"/>
      </w:r>
    </w:p>
    <w:sdt>
      <w:sdtPr>
        <w:rPr>
          <w:rFonts w:asciiTheme="minorHAnsi" w:eastAsiaTheme="minorHAnsi" w:hAnsiTheme="minorHAnsi" w:cstheme="minorBidi"/>
          <w:color w:val="auto"/>
          <w:sz w:val="22"/>
          <w:szCs w:val="22"/>
          <w:lang w:val="es-ES" w:eastAsia="en-US"/>
        </w:rPr>
        <w:id w:val="1721554443"/>
        <w:docPartObj>
          <w:docPartGallery w:val="Table of Contents"/>
          <w:docPartUnique/>
        </w:docPartObj>
      </w:sdtPr>
      <w:sdtEndPr>
        <w:rPr>
          <w:b/>
          <w:bCs/>
        </w:rPr>
      </w:sdtEndPr>
      <w:sdtContent>
        <w:p w14:paraId="0615CA33" w14:textId="77777777" w:rsidR="00F27883" w:rsidRDefault="00F27883">
          <w:pPr>
            <w:pStyle w:val="TtuloTDC"/>
          </w:pPr>
          <w:r>
            <w:rPr>
              <w:lang w:val="es-ES"/>
            </w:rPr>
            <w:t>Contenido</w:t>
          </w:r>
        </w:p>
        <w:p w14:paraId="5EF8B43D" w14:textId="207F9AF7" w:rsidR="008800BE" w:rsidRDefault="00F27883">
          <w:pPr>
            <w:pStyle w:val="TDC1"/>
            <w:tabs>
              <w:tab w:val="left" w:pos="440"/>
              <w:tab w:val="right" w:leader="dot" w:pos="8828"/>
            </w:tabs>
            <w:rPr>
              <w:rFonts w:cstheme="minorBidi"/>
              <w:noProof/>
            </w:rPr>
          </w:pPr>
          <w:r>
            <w:fldChar w:fldCharType="begin"/>
          </w:r>
          <w:r>
            <w:instrText xml:space="preserve"> TOC \o "1-3" \h \z \u </w:instrText>
          </w:r>
          <w:r>
            <w:fldChar w:fldCharType="separate"/>
          </w:r>
          <w:hyperlink w:anchor="_Toc73096114" w:history="1">
            <w:r w:rsidR="008800BE" w:rsidRPr="00B461A5">
              <w:rPr>
                <w:rStyle w:val="Hipervnculo"/>
                <w:noProof/>
              </w:rPr>
              <w:t>1.</w:t>
            </w:r>
            <w:r w:rsidR="008800BE">
              <w:rPr>
                <w:rFonts w:cstheme="minorBidi"/>
                <w:noProof/>
              </w:rPr>
              <w:tab/>
            </w:r>
            <w:r w:rsidR="008800BE" w:rsidRPr="00B461A5">
              <w:rPr>
                <w:rStyle w:val="Hipervnculo"/>
                <w:noProof/>
              </w:rPr>
              <w:t>Definiciones</w:t>
            </w:r>
            <w:r w:rsidR="008800BE">
              <w:rPr>
                <w:noProof/>
                <w:webHidden/>
              </w:rPr>
              <w:tab/>
            </w:r>
            <w:r w:rsidR="008800BE">
              <w:rPr>
                <w:noProof/>
                <w:webHidden/>
              </w:rPr>
              <w:fldChar w:fldCharType="begin"/>
            </w:r>
            <w:r w:rsidR="008800BE">
              <w:rPr>
                <w:noProof/>
                <w:webHidden/>
              </w:rPr>
              <w:instrText xml:space="preserve"> PAGEREF _Toc73096114 \h </w:instrText>
            </w:r>
            <w:r w:rsidR="008800BE">
              <w:rPr>
                <w:noProof/>
                <w:webHidden/>
              </w:rPr>
            </w:r>
            <w:r w:rsidR="008800BE">
              <w:rPr>
                <w:noProof/>
                <w:webHidden/>
              </w:rPr>
              <w:fldChar w:fldCharType="separate"/>
            </w:r>
            <w:r w:rsidR="008800BE">
              <w:rPr>
                <w:noProof/>
                <w:webHidden/>
              </w:rPr>
              <w:t>4</w:t>
            </w:r>
            <w:r w:rsidR="008800BE">
              <w:rPr>
                <w:noProof/>
                <w:webHidden/>
              </w:rPr>
              <w:fldChar w:fldCharType="end"/>
            </w:r>
          </w:hyperlink>
        </w:p>
        <w:p w14:paraId="0627708A" w14:textId="493EC2F7" w:rsidR="008800BE" w:rsidRDefault="000969D3">
          <w:pPr>
            <w:pStyle w:val="TDC1"/>
            <w:tabs>
              <w:tab w:val="left" w:pos="440"/>
              <w:tab w:val="right" w:leader="dot" w:pos="8828"/>
            </w:tabs>
            <w:rPr>
              <w:rFonts w:cstheme="minorBidi"/>
              <w:noProof/>
            </w:rPr>
          </w:pPr>
          <w:hyperlink w:anchor="_Toc73096115" w:history="1">
            <w:r w:rsidR="008800BE" w:rsidRPr="00B461A5">
              <w:rPr>
                <w:rStyle w:val="Hipervnculo"/>
                <w:noProof/>
              </w:rPr>
              <w:t>2.</w:t>
            </w:r>
            <w:r w:rsidR="008800BE">
              <w:rPr>
                <w:rFonts w:cstheme="minorBidi"/>
                <w:noProof/>
              </w:rPr>
              <w:tab/>
            </w:r>
            <w:r w:rsidR="008800BE" w:rsidRPr="00B461A5">
              <w:rPr>
                <w:rStyle w:val="Hipervnculo"/>
                <w:noProof/>
              </w:rPr>
              <w:t>Resumen ejecutivo</w:t>
            </w:r>
            <w:r w:rsidR="008800BE">
              <w:rPr>
                <w:noProof/>
                <w:webHidden/>
              </w:rPr>
              <w:tab/>
            </w:r>
            <w:r w:rsidR="008800BE">
              <w:rPr>
                <w:noProof/>
                <w:webHidden/>
              </w:rPr>
              <w:fldChar w:fldCharType="begin"/>
            </w:r>
            <w:r w:rsidR="008800BE">
              <w:rPr>
                <w:noProof/>
                <w:webHidden/>
              </w:rPr>
              <w:instrText xml:space="preserve"> PAGEREF _Toc73096115 \h </w:instrText>
            </w:r>
            <w:r w:rsidR="008800BE">
              <w:rPr>
                <w:noProof/>
                <w:webHidden/>
              </w:rPr>
            </w:r>
            <w:r w:rsidR="008800BE">
              <w:rPr>
                <w:noProof/>
                <w:webHidden/>
              </w:rPr>
              <w:fldChar w:fldCharType="separate"/>
            </w:r>
            <w:r w:rsidR="008800BE">
              <w:rPr>
                <w:noProof/>
                <w:webHidden/>
              </w:rPr>
              <w:t>5</w:t>
            </w:r>
            <w:r w:rsidR="008800BE">
              <w:rPr>
                <w:noProof/>
                <w:webHidden/>
              </w:rPr>
              <w:fldChar w:fldCharType="end"/>
            </w:r>
          </w:hyperlink>
        </w:p>
        <w:p w14:paraId="32151295" w14:textId="6767C042" w:rsidR="008800BE" w:rsidRDefault="000969D3">
          <w:pPr>
            <w:pStyle w:val="TDC1"/>
            <w:tabs>
              <w:tab w:val="left" w:pos="440"/>
              <w:tab w:val="right" w:leader="dot" w:pos="8828"/>
            </w:tabs>
            <w:rPr>
              <w:rFonts w:cstheme="minorBidi"/>
              <w:noProof/>
            </w:rPr>
          </w:pPr>
          <w:hyperlink w:anchor="_Toc73096116" w:history="1">
            <w:r w:rsidR="008800BE" w:rsidRPr="00B461A5">
              <w:rPr>
                <w:rStyle w:val="Hipervnculo"/>
                <w:noProof/>
              </w:rPr>
              <w:t>3.</w:t>
            </w:r>
            <w:r w:rsidR="008800BE">
              <w:rPr>
                <w:rFonts w:cstheme="minorBidi"/>
                <w:noProof/>
              </w:rPr>
              <w:tab/>
            </w:r>
            <w:r w:rsidR="008800BE" w:rsidRPr="00B461A5">
              <w:rPr>
                <w:rStyle w:val="Hipervnculo"/>
                <w:noProof/>
              </w:rPr>
              <w:t>Estadísticas</w:t>
            </w:r>
            <w:r w:rsidR="008800BE">
              <w:rPr>
                <w:noProof/>
                <w:webHidden/>
              </w:rPr>
              <w:tab/>
            </w:r>
            <w:r w:rsidR="008800BE">
              <w:rPr>
                <w:noProof/>
                <w:webHidden/>
              </w:rPr>
              <w:fldChar w:fldCharType="begin"/>
            </w:r>
            <w:r w:rsidR="008800BE">
              <w:rPr>
                <w:noProof/>
                <w:webHidden/>
              </w:rPr>
              <w:instrText xml:space="preserve"> PAGEREF _Toc73096116 \h </w:instrText>
            </w:r>
            <w:r w:rsidR="008800BE">
              <w:rPr>
                <w:noProof/>
                <w:webHidden/>
              </w:rPr>
            </w:r>
            <w:r w:rsidR="008800BE">
              <w:rPr>
                <w:noProof/>
                <w:webHidden/>
              </w:rPr>
              <w:fldChar w:fldCharType="separate"/>
            </w:r>
            <w:r w:rsidR="008800BE">
              <w:rPr>
                <w:noProof/>
                <w:webHidden/>
              </w:rPr>
              <w:t>6</w:t>
            </w:r>
            <w:r w:rsidR="008800BE">
              <w:rPr>
                <w:noProof/>
                <w:webHidden/>
              </w:rPr>
              <w:fldChar w:fldCharType="end"/>
            </w:r>
          </w:hyperlink>
        </w:p>
        <w:p w14:paraId="6D76BDA9" w14:textId="6FD4133C" w:rsidR="008800BE" w:rsidRDefault="000969D3">
          <w:pPr>
            <w:pStyle w:val="TDC2"/>
            <w:tabs>
              <w:tab w:val="left" w:pos="880"/>
              <w:tab w:val="right" w:leader="dot" w:pos="8828"/>
            </w:tabs>
            <w:rPr>
              <w:rFonts w:cstheme="minorBidi"/>
              <w:noProof/>
            </w:rPr>
          </w:pPr>
          <w:hyperlink w:anchor="_Toc73096117" w:history="1">
            <w:r w:rsidR="008800BE" w:rsidRPr="00B461A5">
              <w:rPr>
                <w:rStyle w:val="Hipervnculo"/>
                <w:noProof/>
              </w:rPr>
              <w:t>3.1.</w:t>
            </w:r>
            <w:r w:rsidR="008800BE">
              <w:rPr>
                <w:rFonts w:cstheme="minorBidi"/>
                <w:noProof/>
              </w:rPr>
              <w:tab/>
            </w:r>
            <w:r w:rsidR="008800BE" w:rsidRPr="00B461A5">
              <w:rPr>
                <w:rStyle w:val="Hipervnculo"/>
                <w:noProof/>
              </w:rPr>
              <w:t>Sistema Nacional de Pensiones</w:t>
            </w:r>
            <w:r w:rsidR="008800BE">
              <w:rPr>
                <w:noProof/>
                <w:webHidden/>
              </w:rPr>
              <w:tab/>
            </w:r>
            <w:r w:rsidR="008800BE">
              <w:rPr>
                <w:noProof/>
                <w:webHidden/>
              </w:rPr>
              <w:fldChar w:fldCharType="begin"/>
            </w:r>
            <w:r w:rsidR="008800BE">
              <w:rPr>
                <w:noProof/>
                <w:webHidden/>
              </w:rPr>
              <w:instrText xml:space="preserve"> PAGEREF _Toc73096117 \h </w:instrText>
            </w:r>
            <w:r w:rsidR="008800BE">
              <w:rPr>
                <w:noProof/>
                <w:webHidden/>
              </w:rPr>
            </w:r>
            <w:r w:rsidR="008800BE">
              <w:rPr>
                <w:noProof/>
                <w:webHidden/>
              </w:rPr>
              <w:fldChar w:fldCharType="separate"/>
            </w:r>
            <w:r w:rsidR="008800BE">
              <w:rPr>
                <w:noProof/>
                <w:webHidden/>
              </w:rPr>
              <w:t>6</w:t>
            </w:r>
            <w:r w:rsidR="008800BE">
              <w:rPr>
                <w:noProof/>
                <w:webHidden/>
              </w:rPr>
              <w:fldChar w:fldCharType="end"/>
            </w:r>
          </w:hyperlink>
        </w:p>
        <w:p w14:paraId="7F56ECEF" w14:textId="37C34DDE" w:rsidR="008800BE" w:rsidRDefault="000969D3">
          <w:pPr>
            <w:pStyle w:val="TDC2"/>
            <w:tabs>
              <w:tab w:val="left" w:pos="880"/>
              <w:tab w:val="right" w:leader="dot" w:pos="8828"/>
            </w:tabs>
            <w:rPr>
              <w:rFonts w:cstheme="minorBidi"/>
              <w:noProof/>
            </w:rPr>
          </w:pPr>
          <w:hyperlink w:anchor="_Toc73096118" w:history="1">
            <w:r w:rsidR="008800BE" w:rsidRPr="00B461A5">
              <w:rPr>
                <w:rStyle w:val="Hipervnculo"/>
                <w:noProof/>
              </w:rPr>
              <w:t>3.2.</w:t>
            </w:r>
            <w:r w:rsidR="008800BE">
              <w:rPr>
                <w:rFonts w:cstheme="minorBidi"/>
                <w:noProof/>
              </w:rPr>
              <w:tab/>
            </w:r>
            <w:r w:rsidR="008800BE" w:rsidRPr="00B461A5">
              <w:rPr>
                <w:rStyle w:val="Hipervnculo"/>
                <w:noProof/>
              </w:rPr>
              <w:t>Activos administrados</w:t>
            </w:r>
            <w:r w:rsidR="008800BE">
              <w:rPr>
                <w:noProof/>
                <w:webHidden/>
              </w:rPr>
              <w:tab/>
            </w:r>
            <w:r w:rsidR="008800BE">
              <w:rPr>
                <w:noProof/>
                <w:webHidden/>
              </w:rPr>
              <w:fldChar w:fldCharType="begin"/>
            </w:r>
            <w:r w:rsidR="008800BE">
              <w:rPr>
                <w:noProof/>
                <w:webHidden/>
              </w:rPr>
              <w:instrText xml:space="preserve"> PAGEREF _Toc73096118 \h </w:instrText>
            </w:r>
            <w:r w:rsidR="008800BE">
              <w:rPr>
                <w:noProof/>
                <w:webHidden/>
              </w:rPr>
            </w:r>
            <w:r w:rsidR="008800BE">
              <w:rPr>
                <w:noProof/>
                <w:webHidden/>
              </w:rPr>
              <w:fldChar w:fldCharType="separate"/>
            </w:r>
            <w:r w:rsidR="008800BE">
              <w:rPr>
                <w:noProof/>
                <w:webHidden/>
              </w:rPr>
              <w:t>6</w:t>
            </w:r>
            <w:r w:rsidR="008800BE">
              <w:rPr>
                <w:noProof/>
                <w:webHidden/>
              </w:rPr>
              <w:fldChar w:fldCharType="end"/>
            </w:r>
          </w:hyperlink>
        </w:p>
        <w:p w14:paraId="44CC866F" w14:textId="3F8E2779" w:rsidR="008800BE" w:rsidRDefault="000969D3">
          <w:pPr>
            <w:pStyle w:val="TDC2"/>
            <w:tabs>
              <w:tab w:val="left" w:pos="880"/>
              <w:tab w:val="right" w:leader="dot" w:pos="8828"/>
            </w:tabs>
            <w:rPr>
              <w:rFonts w:cstheme="minorBidi"/>
              <w:noProof/>
            </w:rPr>
          </w:pPr>
          <w:hyperlink w:anchor="_Toc73096119" w:history="1">
            <w:r w:rsidR="008800BE" w:rsidRPr="00B461A5">
              <w:rPr>
                <w:rStyle w:val="Hipervnculo"/>
                <w:noProof/>
              </w:rPr>
              <w:t>3.3.</w:t>
            </w:r>
            <w:r w:rsidR="008800BE">
              <w:rPr>
                <w:rFonts w:cstheme="minorBidi"/>
                <w:noProof/>
              </w:rPr>
              <w:tab/>
            </w:r>
            <w:r w:rsidR="008800BE" w:rsidRPr="00B461A5">
              <w:rPr>
                <w:rStyle w:val="Hipervnculo"/>
                <w:noProof/>
              </w:rPr>
              <w:t>Inversiones</w:t>
            </w:r>
            <w:r w:rsidR="008800BE">
              <w:rPr>
                <w:noProof/>
                <w:webHidden/>
              </w:rPr>
              <w:tab/>
            </w:r>
            <w:r w:rsidR="008800BE">
              <w:rPr>
                <w:noProof/>
                <w:webHidden/>
              </w:rPr>
              <w:fldChar w:fldCharType="begin"/>
            </w:r>
            <w:r w:rsidR="008800BE">
              <w:rPr>
                <w:noProof/>
                <w:webHidden/>
              </w:rPr>
              <w:instrText xml:space="preserve"> PAGEREF _Toc73096119 \h </w:instrText>
            </w:r>
            <w:r w:rsidR="008800BE">
              <w:rPr>
                <w:noProof/>
                <w:webHidden/>
              </w:rPr>
            </w:r>
            <w:r w:rsidR="008800BE">
              <w:rPr>
                <w:noProof/>
                <w:webHidden/>
              </w:rPr>
              <w:fldChar w:fldCharType="separate"/>
            </w:r>
            <w:r w:rsidR="008800BE">
              <w:rPr>
                <w:noProof/>
                <w:webHidden/>
              </w:rPr>
              <w:t>7</w:t>
            </w:r>
            <w:r w:rsidR="008800BE">
              <w:rPr>
                <w:noProof/>
                <w:webHidden/>
              </w:rPr>
              <w:fldChar w:fldCharType="end"/>
            </w:r>
          </w:hyperlink>
        </w:p>
        <w:p w14:paraId="754E22AB" w14:textId="44880219" w:rsidR="008800BE" w:rsidRDefault="000969D3">
          <w:pPr>
            <w:pStyle w:val="TDC2"/>
            <w:tabs>
              <w:tab w:val="left" w:pos="880"/>
              <w:tab w:val="right" w:leader="dot" w:pos="8828"/>
            </w:tabs>
            <w:rPr>
              <w:rFonts w:cstheme="minorBidi"/>
              <w:noProof/>
            </w:rPr>
          </w:pPr>
          <w:hyperlink w:anchor="_Toc73096120" w:history="1">
            <w:r w:rsidR="008800BE" w:rsidRPr="00B461A5">
              <w:rPr>
                <w:rStyle w:val="Hipervnculo"/>
                <w:noProof/>
              </w:rPr>
              <w:t>3.4.</w:t>
            </w:r>
            <w:r w:rsidR="008800BE">
              <w:rPr>
                <w:rFonts w:cstheme="minorBidi"/>
                <w:noProof/>
              </w:rPr>
              <w:tab/>
            </w:r>
            <w:r w:rsidR="008800BE" w:rsidRPr="00B461A5">
              <w:rPr>
                <w:rStyle w:val="Hipervnculo"/>
                <w:noProof/>
              </w:rPr>
              <w:t>Rentabilidad</w:t>
            </w:r>
            <w:r w:rsidR="008800BE">
              <w:rPr>
                <w:noProof/>
                <w:webHidden/>
              </w:rPr>
              <w:tab/>
            </w:r>
            <w:r w:rsidR="008800BE">
              <w:rPr>
                <w:noProof/>
                <w:webHidden/>
              </w:rPr>
              <w:fldChar w:fldCharType="begin"/>
            </w:r>
            <w:r w:rsidR="008800BE">
              <w:rPr>
                <w:noProof/>
                <w:webHidden/>
              </w:rPr>
              <w:instrText xml:space="preserve"> PAGEREF _Toc73096120 \h </w:instrText>
            </w:r>
            <w:r w:rsidR="008800BE">
              <w:rPr>
                <w:noProof/>
                <w:webHidden/>
              </w:rPr>
            </w:r>
            <w:r w:rsidR="008800BE">
              <w:rPr>
                <w:noProof/>
                <w:webHidden/>
              </w:rPr>
              <w:fldChar w:fldCharType="separate"/>
            </w:r>
            <w:r w:rsidR="008800BE">
              <w:rPr>
                <w:noProof/>
                <w:webHidden/>
              </w:rPr>
              <w:t>9</w:t>
            </w:r>
            <w:r w:rsidR="008800BE">
              <w:rPr>
                <w:noProof/>
                <w:webHidden/>
              </w:rPr>
              <w:fldChar w:fldCharType="end"/>
            </w:r>
          </w:hyperlink>
        </w:p>
        <w:p w14:paraId="5194EBDD" w14:textId="0433E5E9" w:rsidR="008800BE" w:rsidRDefault="000969D3">
          <w:pPr>
            <w:pStyle w:val="TDC2"/>
            <w:tabs>
              <w:tab w:val="left" w:pos="880"/>
              <w:tab w:val="right" w:leader="dot" w:pos="8828"/>
            </w:tabs>
            <w:rPr>
              <w:rFonts w:cstheme="minorBidi"/>
              <w:noProof/>
            </w:rPr>
          </w:pPr>
          <w:hyperlink w:anchor="_Toc73096121" w:history="1">
            <w:r w:rsidR="008800BE" w:rsidRPr="00B461A5">
              <w:rPr>
                <w:rStyle w:val="Hipervnculo"/>
                <w:noProof/>
              </w:rPr>
              <w:t>3.5.</w:t>
            </w:r>
            <w:r w:rsidR="008800BE">
              <w:rPr>
                <w:rFonts w:cstheme="minorBidi"/>
                <w:noProof/>
              </w:rPr>
              <w:tab/>
            </w:r>
            <w:r w:rsidR="008800BE" w:rsidRPr="00B461A5">
              <w:rPr>
                <w:rStyle w:val="Hipervnculo"/>
                <w:noProof/>
              </w:rPr>
              <w:t>Rentabilidad del ROP</w:t>
            </w:r>
            <w:r w:rsidR="008800BE">
              <w:rPr>
                <w:noProof/>
                <w:webHidden/>
              </w:rPr>
              <w:tab/>
            </w:r>
            <w:r w:rsidR="008800BE">
              <w:rPr>
                <w:noProof/>
                <w:webHidden/>
              </w:rPr>
              <w:fldChar w:fldCharType="begin"/>
            </w:r>
            <w:r w:rsidR="008800BE">
              <w:rPr>
                <w:noProof/>
                <w:webHidden/>
              </w:rPr>
              <w:instrText xml:space="preserve"> PAGEREF _Toc73096121 \h </w:instrText>
            </w:r>
            <w:r w:rsidR="008800BE">
              <w:rPr>
                <w:noProof/>
                <w:webHidden/>
              </w:rPr>
            </w:r>
            <w:r w:rsidR="008800BE">
              <w:rPr>
                <w:noProof/>
                <w:webHidden/>
              </w:rPr>
              <w:fldChar w:fldCharType="separate"/>
            </w:r>
            <w:r w:rsidR="008800BE">
              <w:rPr>
                <w:noProof/>
                <w:webHidden/>
              </w:rPr>
              <w:t>9</w:t>
            </w:r>
            <w:r w:rsidR="008800BE">
              <w:rPr>
                <w:noProof/>
                <w:webHidden/>
              </w:rPr>
              <w:fldChar w:fldCharType="end"/>
            </w:r>
          </w:hyperlink>
        </w:p>
        <w:p w14:paraId="59294CEF" w14:textId="46E82150" w:rsidR="008800BE" w:rsidRDefault="000969D3">
          <w:pPr>
            <w:pStyle w:val="TDC2"/>
            <w:tabs>
              <w:tab w:val="left" w:pos="880"/>
              <w:tab w:val="right" w:leader="dot" w:pos="8828"/>
            </w:tabs>
            <w:rPr>
              <w:rFonts w:cstheme="minorBidi"/>
              <w:noProof/>
            </w:rPr>
          </w:pPr>
          <w:hyperlink w:anchor="_Toc73096122" w:history="1">
            <w:r w:rsidR="008800BE" w:rsidRPr="00B461A5">
              <w:rPr>
                <w:rStyle w:val="Hipervnculo"/>
                <w:noProof/>
              </w:rPr>
              <w:t>3.6.</w:t>
            </w:r>
            <w:r w:rsidR="008800BE">
              <w:rPr>
                <w:rFonts w:cstheme="minorBidi"/>
                <w:noProof/>
              </w:rPr>
              <w:tab/>
            </w:r>
            <w:r w:rsidR="008800BE" w:rsidRPr="00B461A5">
              <w:rPr>
                <w:rStyle w:val="Hipervnculo"/>
                <w:noProof/>
              </w:rPr>
              <w:t>Desempeño de Gestores</w:t>
            </w:r>
            <w:r w:rsidR="008800BE">
              <w:rPr>
                <w:noProof/>
                <w:webHidden/>
              </w:rPr>
              <w:tab/>
            </w:r>
            <w:r w:rsidR="008800BE">
              <w:rPr>
                <w:noProof/>
                <w:webHidden/>
              </w:rPr>
              <w:fldChar w:fldCharType="begin"/>
            </w:r>
            <w:r w:rsidR="008800BE">
              <w:rPr>
                <w:noProof/>
                <w:webHidden/>
              </w:rPr>
              <w:instrText xml:space="preserve"> PAGEREF _Toc73096122 \h </w:instrText>
            </w:r>
            <w:r w:rsidR="008800BE">
              <w:rPr>
                <w:noProof/>
                <w:webHidden/>
              </w:rPr>
            </w:r>
            <w:r w:rsidR="008800BE">
              <w:rPr>
                <w:noProof/>
                <w:webHidden/>
              </w:rPr>
              <w:fldChar w:fldCharType="separate"/>
            </w:r>
            <w:r w:rsidR="008800BE">
              <w:rPr>
                <w:noProof/>
                <w:webHidden/>
              </w:rPr>
              <w:t>10</w:t>
            </w:r>
            <w:r w:rsidR="008800BE">
              <w:rPr>
                <w:noProof/>
                <w:webHidden/>
              </w:rPr>
              <w:fldChar w:fldCharType="end"/>
            </w:r>
          </w:hyperlink>
        </w:p>
        <w:p w14:paraId="207949E3" w14:textId="5506F9FE" w:rsidR="008800BE" w:rsidRDefault="000969D3">
          <w:pPr>
            <w:pStyle w:val="TDC1"/>
            <w:tabs>
              <w:tab w:val="left" w:pos="440"/>
              <w:tab w:val="right" w:leader="dot" w:pos="8828"/>
            </w:tabs>
            <w:rPr>
              <w:rFonts w:cstheme="minorBidi"/>
              <w:noProof/>
            </w:rPr>
          </w:pPr>
          <w:hyperlink w:anchor="_Toc73096123" w:history="1">
            <w:r w:rsidR="008800BE" w:rsidRPr="00B461A5">
              <w:rPr>
                <w:rStyle w:val="Hipervnculo"/>
                <w:noProof/>
              </w:rPr>
              <w:t>4.</w:t>
            </w:r>
            <w:r w:rsidR="008800BE">
              <w:rPr>
                <w:rFonts w:cstheme="minorBidi"/>
                <w:noProof/>
              </w:rPr>
              <w:tab/>
            </w:r>
            <w:r w:rsidR="008800BE" w:rsidRPr="00B461A5">
              <w:rPr>
                <w:rStyle w:val="Hipervnculo"/>
                <w:noProof/>
              </w:rPr>
              <w:t>Aspectos jurídicos relevantes</w:t>
            </w:r>
            <w:r w:rsidR="008800BE">
              <w:rPr>
                <w:noProof/>
                <w:webHidden/>
              </w:rPr>
              <w:tab/>
            </w:r>
            <w:r w:rsidR="008800BE">
              <w:rPr>
                <w:noProof/>
                <w:webHidden/>
              </w:rPr>
              <w:fldChar w:fldCharType="begin"/>
            </w:r>
            <w:r w:rsidR="008800BE">
              <w:rPr>
                <w:noProof/>
                <w:webHidden/>
              </w:rPr>
              <w:instrText xml:space="preserve"> PAGEREF _Toc73096123 \h </w:instrText>
            </w:r>
            <w:r w:rsidR="008800BE">
              <w:rPr>
                <w:noProof/>
                <w:webHidden/>
              </w:rPr>
            </w:r>
            <w:r w:rsidR="008800BE">
              <w:rPr>
                <w:noProof/>
                <w:webHidden/>
              </w:rPr>
              <w:fldChar w:fldCharType="separate"/>
            </w:r>
            <w:r w:rsidR="008800BE">
              <w:rPr>
                <w:noProof/>
                <w:webHidden/>
              </w:rPr>
              <w:t>11</w:t>
            </w:r>
            <w:r w:rsidR="008800BE">
              <w:rPr>
                <w:noProof/>
                <w:webHidden/>
              </w:rPr>
              <w:fldChar w:fldCharType="end"/>
            </w:r>
          </w:hyperlink>
        </w:p>
        <w:p w14:paraId="681453DE" w14:textId="51550652" w:rsidR="008800BE" w:rsidRDefault="000969D3">
          <w:pPr>
            <w:pStyle w:val="TDC2"/>
            <w:tabs>
              <w:tab w:val="left" w:pos="880"/>
              <w:tab w:val="right" w:leader="dot" w:pos="8828"/>
            </w:tabs>
            <w:rPr>
              <w:rFonts w:cstheme="minorBidi"/>
              <w:noProof/>
            </w:rPr>
          </w:pPr>
          <w:hyperlink w:anchor="_Toc73096124" w:history="1">
            <w:r w:rsidR="008800BE" w:rsidRPr="00B461A5">
              <w:rPr>
                <w:rStyle w:val="Hipervnculo"/>
                <w:noProof/>
              </w:rPr>
              <w:t>4.1.</w:t>
            </w:r>
            <w:r w:rsidR="008800BE">
              <w:rPr>
                <w:rFonts w:cstheme="minorBidi"/>
                <w:noProof/>
              </w:rPr>
              <w:tab/>
            </w:r>
            <w:r w:rsidR="008800BE" w:rsidRPr="00B461A5">
              <w:rPr>
                <w:rStyle w:val="Hipervnculo"/>
                <w:noProof/>
              </w:rPr>
              <w:t>Consultas y denuncias</w:t>
            </w:r>
            <w:r w:rsidR="008800BE">
              <w:rPr>
                <w:noProof/>
                <w:webHidden/>
              </w:rPr>
              <w:tab/>
            </w:r>
            <w:r w:rsidR="008800BE">
              <w:rPr>
                <w:noProof/>
                <w:webHidden/>
              </w:rPr>
              <w:fldChar w:fldCharType="begin"/>
            </w:r>
            <w:r w:rsidR="008800BE">
              <w:rPr>
                <w:noProof/>
                <w:webHidden/>
              </w:rPr>
              <w:instrText xml:space="preserve"> PAGEREF _Toc73096124 \h </w:instrText>
            </w:r>
            <w:r w:rsidR="008800BE">
              <w:rPr>
                <w:noProof/>
                <w:webHidden/>
              </w:rPr>
            </w:r>
            <w:r w:rsidR="008800BE">
              <w:rPr>
                <w:noProof/>
                <w:webHidden/>
              </w:rPr>
              <w:fldChar w:fldCharType="separate"/>
            </w:r>
            <w:r w:rsidR="008800BE">
              <w:rPr>
                <w:noProof/>
                <w:webHidden/>
              </w:rPr>
              <w:t>11</w:t>
            </w:r>
            <w:r w:rsidR="008800BE">
              <w:rPr>
                <w:noProof/>
                <w:webHidden/>
              </w:rPr>
              <w:fldChar w:fldCharType="end"/>
            </w:r>
          </w:hyperlink>
        </w:p>
        <w:p w14:paraId="6EE253A5" w14:textId="0AD050F2" w:rsidR="008800BE" w:rsidRDefault="000969D3">
          <w:pPr>
            <w:pStyle w:val="TDC2"/>
            <w:tabs>
              <w:tab w:val="left" w:pos="880"/>
              <w:tab w:val="right" w:leader="dot" w:pos="8828"/>
            </w:tabs>
            <w:rPr>
              <w:rFonts w:cstheme="minorBidi"/>
              <w:noProof/>
            </w:rPr>
          </w:pPr>
          <w:hyperlink w:anchor="_Toc73096125" w:history="1">
            <w:r w:rsidR="008800BE" w:rsidRPr="00B461A5">
              <w:rPr>
                <w:rStyle w:val="Hipervnculo"/>
                <w:noProof/>
              </w:rPr>
              <w:t>4.2.</w:t>
            </w:r>
            <w:r w:rsidR="008800BE">
              <w:rPr>
                <w:rFonts w:cstheme="minorBidi"/>
                <w:noProof/>
              </w:rPr>
              <w:tab/>
            </w:r>
            <w:r w:rsidR="008800BE" w:rsidRPr="00B461A5">
              <w:rPr>
                <w:rStyle w:val="Hipervnculo"/>
                <w:noProof/>
              </w:rPr>
              <w:t>Proyectos de Ley</w:t>
            </w:r>
            <w:r w:rsidR="008800BE">
              <w:rPr>
                <w:noProof/>
                <w:webHidden/>
              </w:rPr>
              <w:tab/>
            </w:r>
            <w:r w:rsidR="008800BE">
              <w:rPr>
                <w:noProof/>
                <w:webHidden/>
              </w:rPr>
              <w:fldChar w:fldCharType="begin"/>
            </w:r>
            <w:r w:rsidR="008800BE">
              <w:rPr>
                <w:noProof/>
                <w:webHidden/>
              </w:rPr>
              <w:instrText xml:space="preserve"> PAGEREF _Toc73096125 \h </w:instrText>
            </w:r>
            <w:r w:rsidR="008800BE">
              <w:rPr>
                <w:noProof/>
                <w:webHidden/>
              </w:rPr>
            </w:r>
            <w:r w:rsidR="008800BE">
              <w:rPr>
                <w:noProof/>
                <w:webHidden/>
              </w:rPr>
              <w:fldChar w:fldCharType="separate"/>
            </w:r>
            <w:r w:rsidR="008800BE">
              <w:rPr>
                <w:noProof/>
                <w:webHidden/>
              </w:rPr>
              <w:t>13</w:t>
            </w:r>
            <w:r w:rsidR="008800BE">
              <w:rPr>
                <w:noProof/>
                <w:webHidden/>
              </w:rPr>
              <w:fldChar w:fldCharType="end"/>
            </w:r>
          </w:hyperlink>
        </w:p>
        <w:p w14:paraId="7BAFE5A3" w14:textId="3EA7D954" w:rsidR="008800BE" w:rsidRDefault="000969D3">
          <w:pPr>
            <w:pStyle w:val="TDC2"/>
            <w:tabs>
              <w:tab w:val="left" w:pos="880"/>
              <w:tab w:val="right" w:leader="dot" w:pos="8828"/>
            </w:tabs>
            <w:rPr>
              <w:rFonts w:cstheme="minorBidi"/>
              <w:noProof/>
            </w:rPr>
          </w:pPr>
          <w:hyperlink w:anchor="_Toc73096126" w:history="1">
            <w:r w:rsidR="008800BE" w:rsidRPr="00B461A5">
              <w:rPr>
                <w:rStyle w:val="Hipervnculo"/>
                <w:noProof/>
              </w:rPr>
              <w:t>4.3.</w:t>
            </w:r>
            <w:r w:rsidR="008800BE">
              <w:rPr>
                <w:rFonts w:cstheme="minorBidi"/>
                <w:noProof/>
              </w:rPr>
              <w:tab/>
            </w:r>
            <w:r w:rsidR="008800BE" w:rsidRPr="00B461A5">
              <w:rPr>
                <w:rStyle w:val="Hipervnculo"/>
                <w:noProof/>
              </w:rPr>
              <w:t>Reformas Reglamentarias</w:t>
            </w:r>
            <w:r w:rsidR="008800BE">
              <w:rPr>
                <w:noProof/>
                <w:webHidden/>
              </w:rPr>
              <w:tab/>
            </w:r>
            <w:r w:rsidR="008800BE">
              <w:rPr>
                <w:noProof/>
                <w:webHidden/>
              </w:rPr>
              <w:fldChar w:fldCharType="begin"/>
            </w:r>
            <w:r w:rsidR="008800BE">
              <w:rPr>
                <w:noProof/>
                <w:webHidden/>
              </w:rPr>
              <w:instrText xml:space="preserve"> PAGEREF _Toc73096126 \h </w:instrText>
            </w:r>
            <w:r w:rsidR="008800BE">
              <w:rPr>
                <w:noProof/>
                <w:webHidden/>
              </w:rPr>
            </w:r>
            <w:r w:rsidR="008800BE">
              <w:rPr>
                <w:noProof/>
                <w:webHidden/>
              </w:rPr>
              <w:fldChar w:fldCharType="separate"/>
            </w:r>
            <w:r w:rsidR="008800BE">
              <w:rPr>
                <w:noProof/>
                <w:webHidden/>
              </w:rPr>
              <w:t>13</w:t>
            </w:r>
            <w:r w:rsidR="008800BE">
              <w:rPr>
                <w:noProof/>
                <w:webHidden/>
              </w:rPr>
              <w:fldChar w:fldCharType="end"/>
            </w:r>
          </w:hyperlink>
        </w:p>
        <w:p w14:paraId="2609926E" w14:textId="627892B8" w:rsidR="008800BE" w:rsidRDefault="000969D3">
          <w:pPr>
            <w:pStyle w:val="TDC2"/>
            <w:tabs>
              <w:tab w:val="left" w:pos="880"/>
              <w:tab w:val="right" w:leader="dot" w:pos="8828"/>
            </w:tabs>
            <w:rPr>
              <w:rFonts w:cstheme="minorBidi"/>
              <w:noProof/>
            </w:rPr>
          </w:pPr>
          <w:hyperlink w:anchor="_Toc73096127" w:history="1">
            <w:r w:rsidR="008800BE" w:rsidRPr="00B461A5">
              <w:rPr>
                <w:rStyle w:val="Hipervnculo"/>
                <w:noProof/>
              </w:rPr>
              <w:t>4.4.</w:t>
            </w:r>
            <w:r w:rsidR="008800BE">
              <w:rPr>
                <w:rFonts w:cstheme="minorBidi"/>
                <w:noProof/>
              </w:rPr>
              <w:tab/>
            </w:r>
            <w:r w:rsidR="008800BE" w:rsidRPr="00B461A5">
              <w:rPr>
                <w:rStyle w:val="Hipervnculo"/>
                <w:noProof/>
              </w:rPr>
              <w:t>Acuerdos del Superintendente</w:t>
            </w:r>
            <w:r w:rsidR="008800BE">
              <w:rPr>
                <w:noProof/>
                <w:webHidden/>
              </w:rPr>
              <w:tab/>
            </w:r>
            <w:r w:rsidR="008800BE">
              <w:rPr>
                <w:noProof/>
                <w:webHidden/>
              </w:rPr>
              <w:fldChar w:fldCharType="begin"/>
            </w:r>
            <w:r w:rsidR="008800BE">
              <w:rPr>
                <w:noProof/>
                <w:webHidden/>
              </w:rPr>
              <w:instrText xml:space="preserve"> PAGEREF _Toc73096127 \h </w:instrText>
            </w:r>
            <w:r w:rsidR="008800BE">
              <w:rPr>
                <w:noProof/>
                <w:webHidden/>
              </w:rPr>
            </w:r>
            <w:r w:rsidR="008800BE">
              <w:rPr>
                <w:noProof/>
                <w:webHidden/>
              </w:rPr>
              <w:fldChar w:fldCharType="separate"/>
            </w:r>
            <w:r w:rsidR="008800BE">
              <w:rPr>
                <w:noProof/>
                <w:webHidden/>
              </w:rPr>
              <w:t>14</w:t>
            </w:r>
            <w:r w:rsidR="008800BE">
              <w:rPr>
                <w:noProof/>
                <w:webHidden/>
              </w:rPr>
              <w:fldChar w:fldCharType="end"/>
            </w:r>
          </w:hyperlink>
        </w:p>
        <w:p w14:paraId="1722E0C0" w14:textId="5843554F" w:rsidR="00AE6135" w:rsidRDefault="00F27883" w:rsidP="00A336D4">
          <w:pPr>
            <w:rPr>
              <w:b/>
              <w:bCs/>
            </w:rPr>
          </w:pPr>
          <w:r>
            <w:rPr>
              <w:b/>
              <w:bCs/>
            </w:rPr>
            <w:fldChar w:fldCharType="end"/>
          </w:r>
        </w:p>
      </w:sdtContent>
    </w:sdt>
    <w:p w14:paraId="3014E2F8" w14:textId="77777777" w:rsidR="00AE6135" w:rsidRDefault="00AE6135" w:rsidP="00A336D4"/>
    <w:p w14:paraId="2C5406EE" w14:textId="6ECB637F" w:rsidR="00973460" w:rsidRDefault="00973460">
      <w:r>
        <w:br w:type="page"/>
      </w:r>
    </w:p>
    <w:p w14:paraId="2E9AB333" w14:textId="77777777" w:rsidR="00C01A6B" w:rsidRPr="00AE6135" w:rsidRDefault="00C01A6B" w:rsidP="00AE6135">
      <w:pPr>
        <w:pStyle w:val="Ttulo1"/>
        <w:numPr>
          <w:ilvl w:val="0"/>
          <w:numId w:val="1"/>
        </w:numPr>
      </w:pPr>
      <w:bookmarkStart w:id="3" w:name="_Toc73096114"/>
      <w:r>
        <w:lastRenderedPageBreak/>
        <w:t>Definiciones</w:t>
      </w:r>
      <w:bookmarkEnd w:id="3"/>
    </w:p>
    <w:p w14:paraId="7FD98417" w14:textId="77777777" w:rsidR="00C01A6B" w:rsidRDefault="00C01A6B" w:rsidP="008C0B7D">
      <w:pPr>
        <w:spacing w:after="0" w:line="240" w:lineRule="auto"/>
        <w:jc w:val="both"/>
        <w:rPr>
          <w:rFonts w:ascii="Calibri" w:eastAsia="Times New Roman" w:hAnsi="Calibri" w:cs="Calibri"/>
          <w:color w:val="000000"/>
          <w:lang w:val="es-CR" w:eastAsia="es-CR"/>
        </w:rPr>
      </w:pPr>
    </w:p>
    <w:p w14:paraId="56AD5B05" w14:textId="77777777" w:rsidR="008C0B7D" w:rsidRDefault="008C0B7D" w:rsidP="008C0B7D">
      <w:pPr>
        <w:spacing w:after="0" w:line="240" w:lineRule="auto"/>
        <w:jc w:val="both"/>
        <w:rPr>
          <w:rFonts w:ascii="Calibri" w:eastAsia="Times New Roman" w:hAnsi="Calibri" w:cs="Calibri"/>
          <w:color w:val="000000"/>
          <w:lang w:val="es-CR" w:eastAsia="es-CR"/>
        </w:rPr>
      </w:pPr>
      <w:r w:rsidRPr="008C0B7D">
        <w:rPr>
          <w:rFonts w:ascii="Calibri" w:eastAsia="Times New Roman" w:hAnsi="Calibri" w:cs="Calibri"/>
          <w:color w:val="000000"/>
          <w:lang w:val="es-CR" w:eastAsia="es-CR"/>
        </w:rPr>
        <w:t>Para efectos de este reporte se utilizarán las definiciones y abreviaturas que se indican a continuación:</w:t>
      </w:r>
    </w:p>
    <w:p w14:paraId="5389A19C" w14:textId="77777777" w:rsidR="008C0B7D" w:rsidRPr="008C0B7D" w:rsidRDefault="008C0B7D" w:rsidP="008C0B7D">
      <w:pPr>
        <w:spacing w:after="0" w:line="240" w:lineRule="auto"/>
        <w:jc w:val="both"/>
        <w:rPr>
          <w:rFonts w:ascii="Calibri" w:eastAsia="Times New Roman" w:hAnsi="Calibri" w:cs="Calibri"/>
          <w:color w:val="000000"/>
          <w:lang w:val="es-CR" w:eastAsia="es-CR"/>
        </w:rPr>
      </w:pPr>
    </w:p>
    <w:p w14:paraId="6209D2DC" w14:textId="77777777" w:rsidR="00E5576F" w:rsidRDefault="00E5576F" w:rsidP="00164A7E">
      <w:pPr>
        <w:pStyle w:val="Prrafodelista"/>
        <w:numPr>
          <w:ilvl w:val="0"/>
          <w:numId w:val="2"/>
        </w:numPr>
        <w:spacing w:after="0" w:line="240" w:lineRule="auto"/>
        <w:ind w:left="567"/>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BCCR: Banco Central de Costa Rica</w:t>
      </w:r>
    </w:p>
    <w:p w14:paraId="2DEB1F0F" w14:textId="77777777" w:rsidR="00547456" w:rsidRDefault="00547456" w:rsidP="00164A7E">
      <w:pPr>
        <w:pStyle w:val="Prrafodelista"/>
        <w:numPr>
          <w:ilvl w:val="0"/>
          <w:numId w:val="2"/>
        </w:numPr>
        <w:spacing w:after="0" w:line="240" w:lineRule="auto"/>
        <w:ind w:left="567"/>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BPDC: Banco Popular y de Desarrollo Comunal</w:t>
      </w:r>
    </w:p>
    <w:p w14:paraId="301353D3" w14:textId="77777777" w:rsidR="000E7D3E" w:rsidRDefault="000E7D3E" w:rsidP="00164A7E">
      <w:pPr>
        <w:pStyle w:val="Prrafodelista"/>
        <w:numPr>
          <w:ilvl w:val="0"/>
          <w:numId w:val="2"/>
        </w:numPr>
        <w:spacing w:after="0" w:line="240" w:lineRule="auto"/>
        <w:ind w:left="567"/>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CCSS: Caja Costarricense del Seguro Social</w:t>
      </w:r>
    </w:p>
    <w:p w14:paraId="7083832A" w14:textId="77777777" w:rsidR="00F00A87" w:rsidRDefault="00F00A87" w:rsidP="00164A7E">
      <w:pPr>
        <w:pStyle w:val="Prrafodelista"/>
        <w:numPr>
          <w:ilvl w:val="0"/>
          <w:numId w:val="2"/>
        </w:numPr>
        <w:spacing w:after="0" w:line="240" w:lineRule="auto"/>
        <w:ind w:left="567"/>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CONASSIF: Consejo Nacional de Supervisión Financiera</w:t>
      </w:r>
    </w:p>
    <w:p w14:paraId="004BE756" w14:textId="77777777" w:rsidR="00F37BE9" w:rsidRDefault="00F37BE9" w:rsidP="00164A7E">
      <w:pPr>
        <w:pStyle w:val="Prrafodelista"/>
        <w:numPr>
          <w:ilvl w:val="0"/>
          <w:numId w:val="2"/>
        </w:numPr>
        <w:spacing w:after="0" w:line="240" w:lineRule="auto"/>
        <w:ind w:left="567"/>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 xml:space="preserve">DST: Dirección de </w:t>
      </w:r>
      <w:r w:rsidR="00E5576F">
        <w:rPr>
          <w:rFonts w:ascii="Calibri" w:eastAsia="Times New Roman" w:hAnsi="Calibri" w:cs="Calibri"/>
          <w:color w:val="000000"/>
          <w:lang w:val="es-CR" w:eastAsia="es-CR"/>
        </w:rPr>
        <w:t>Servicios Tecnológicos del BCCR</w:t>
      </w:r>
    </w:p>
    <w:p w14:paraId="7AF67221" w14:textId="77777777" w:rsidR="008E2F6D" w:rsidRPr="000E7D3E" w:rsidRDefault="008E2F6D" w:rsidP="00164A7E">
      <w:pPr>
        <w:pStyle w:val="Prrafodelista"/>
        <w:numPr>
          <w:ilvl w:val="0"/>
          <w:numId w:val="2"/>
        </w:numPr>
        <w:spacing w:after="0" w:line="240" w:lineRule="auto"/>
        <w:ind w:left="567"/>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 xml:space="preserve">ETF: </w:t>
      </w:r>
      <w:r w:rsidRPr="008E2F6D">
        <w:rPr>
          <w:rFonts w:ascii="Calibri" w:eastAsia="Times New Roman" w:hAnsi="Calibri" w:cs="Calibri"/>
          <w:color w:val="000000"/>
          <w:lang w:val="es-CR" w:eastAsia="es-CR"/>
        </w:rPr>
        <w:t>Exchange</w:t>
      </w:r>
      <w:r>
        <w:rPr>
          <w:rFonts w:ascii="Calibri" w:eastAsia="Times New Roman" w:hAnsi="Calibri" w:cs="Calibri"/>
          <w:color w:val="000000"/>
          <w:lang w:val="es-CR" w:eastAsia="es-CR"/>
        </w:rPr>
        <w:t xml:space="preserve"> </w:t>
      </w:r>
      <w:r w:rsidRPr="008E2F6D">
        <w:rPr>
          <w:rFonts w:ascii="Calibri" w:eastAsia="Times New Roman" w:hAnsi="Calibri" w:cs="Calibri"/>
          <w:color w:val="000000"/>
          <w:lang w:val="es-CR" w:eastAsia="es-CR"/>
        </w:rPr>
        <w:t>Traded Fund</w:t>
      </w:r>
    </w:p>
    <w:p w14:paraId="5B855C6A" w14:textId="77777777" w:rsidR="000E7D3E" w:rsidRPr="000E7D3E" w:rsidRDefault="000E7D3E" w:rsidP="00164A7E">
      <w:pPr>
        <w:pStyle w:val="Prrafodelista"/>
        <w:numPr>
          <w:ilvl w:val="0"/>
          <w:numId w:val="2"/>
        </w:numPr>
        <w:spacing w:after="0" w:line="240" w:lineRule="auto"/>
        <w:ind w:left="567"/>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FBCR: Fondo de Jubilaciones de los Empleados del Banco de Costa Rica</w:t>
      </w:r>
    </w:p>
    <w:p w14:paraId="26374379" w14:textId="77777777" w:rsidR="000E7D3E" w:rsidRDefault="000E7D3E" w:rsidP="00164A7E">
      <w:pPr>
        <w:pStyle w:val="Prrafodelista"/>
        <w:numPr>
          <w:ilvl w:val="0"/>
          <w:numId w:val="2"/>
        </w:numPr>
        <w:spacing w:after="0" w:line="240" w:lineRule="auto"/>
        <w:ind w:left="567"/>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FBNCR: Fondo de Garantías y Jubilaciones de los Empleados del Banco Nacional de Costa Rica.</w:t>
      </w:r>
    </w:p>
    <w:p w14:paraId="31244130" w14:textId="77777777" w:rsidR="007E6090" w:rsidRPr="000E7D3E" w:rsidRDefault="007E6090" w:rsidP="00164A7E">
      <w:pPr>
        <w:pStyle w:val="Prrafodelista"/>
        <w:numPr>
          <w:ilvl w:val="0"/>
          <w:numId w:val="2"/>
        </w:numPr>
        <w:spacing w:after="0" w:line="240" w:lineRule="auto"/>
        <w:ind w:left="567"/>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F</w:t>
      </w:r>
      <w:r w:rsidRPr="000E7D3E">
        <w:rPr>
          <w:rFonts w:ascii="Calibri" w:eastAsia="Times New Roman" w:hAnsi="Calibri" w:cs="Calibri"/>
          <w:color w:val="000000"/>
          <w:lang w:val="es-CR" w:eastAsia="es-CR"/>
        </w:rPr>
        <w:t>Bomberos: Fondo de Pensiones y Jubilaciones para los miembros del Benemérito Cuerpo de Bomberos de Costa Rica</w:t>
      </w:r>
    </w:p>
    <w:p w14:paraId="56E5AC2C" w14:textId="77777777" w:rsidR="000E7D3E" w:rsidRPr="000E7D3E" w:rsidRDefault="000E7D3E" w:rsidP="00164A7E">
      <w:pPr>
        <w:pStyle w:val="Prrafodelista"/>
        <w:numPr>
          <w:ilvl w:val="0"/>
          <w:numId w:val="2"/>
        </w:numPr>
        <w:spacing w:after="0" w:line="240" w:lineRule="auto"/>
        <w:ind w:left="567"/>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FCL: Fondo de capitalización laboral</w:t>
      </w:r>
    </w:p>
    <w:p w14:paraId="440AF6BD" w14:textId="77777777" w:rsidR="000E7D3E" w:rsidRPr="000E7D3E" w:rsidRDefault="000E7D3E" w:rsidP="00164A7E">
      <w:pPr>
        <w:pStyle w:val="Prrafodelista"/>
        <w:numPr>
          <w:ilvl w:val="0"/>
          <w:numId w:val="2"/>
        </w:numPr>
        <w:spacing w:after="0" w:line="240" w:lineRule="auto"/>
        <w:ind w:left="567"/>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FGN: Fondo de Garantía Notarial</w:t>
      </w:r>
    </w:p>
    <w:p w14:paraId="73A899EE" w14:textId="77777777" w:rsidR="000E7D3E" w:rsidRPr="000E7D3E" w:rsidRDefault="000E7D3E" w:rsidP="00164A7E">
      <w:pPr>
        <w:pStyle w:val="Prrafodelista"/>
        <w:numPr>
          <w:ilvl w:val="0"/>
          <w:numId w:val="2"/>
        </w:numPr>
        <w:spacing w:after="0" w:line="240" w:lineRule="auto"/>
        <w:ind w:left="567"/>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FICE: Fondo de Garantías y Ahorro de los Empleados del Instituto Costarricense de Electricidad</w:t>
      </w:r>
    </w:p>
    <w:p w14:paraId="26264788" w14:textId="77777777" w:rsidR="000E7D3E" w:rsidRDefault="000E7D3E" w:rsidP="00164A7E">
      <w:pPr>
        <w:pStyle w:val="Prrafodelista"/>
        <w:numPr>
          <w:ilvl w:val="0"/>
          <w:numId w:val="2"/>
        </w:numPr>
        <w:spacing w:after="0" w:line="240" w:lineRule="auto"/>
        <w:ind w:left="567"/>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FICT: Fondo de Empleados del Instituto Costarricense de Turismo</w:t>
      </w:r>
    </w:p>
    <w:p w14:paraId="259300DA" w14:textId="77777777" w:rsidR="000E7D3E" w:rsidRPr="000E7D3E" w:rsidRDefault="000E7D3E" w:rsidP="00164A7E">
      <w:pPr>
        <w:pStyle w:val="Prrafodelista"/>
        <w:numPr>
          <w:ilvl w:val="0"/>
          <w:numId w:val="2"/>
        </w:numPr>
        <w:spacing w:after="0" w:line="240" w:lineRule="auto"/>
        <w:ind w:left="567"/>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FPJ: Fondo de Jubilaciones y Pensiones del Poder Judicial.</w:t>
      </w:r>
    </w:p>
    <w:p w14:paraId="139479E0" w14:textId="77777777" w:rsidR="000E7D3E" w:rsidRPr="000E7D3E" w:rsidRDefault="000E7D3E" w:rsidP="00164A7E">
      <w:pPr>
        <w:pStyle w:val="Prrafodelista"/>
        <w:numPr>
          <w:ilvl w:val="0"/>
          <w:numId w:val="2"/>
        </w:numPr>
        <w:spacing w:after="0" w:line="240" w:lineRule="auto"/>
        <w:ind w:left="567"/>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FRE: Fondo de Retiro de los Empleados de la Caja Costarricense de Seguro Social.</w:t>
      </w:r>
    </w:p>
    <w:p w14:paraId="42142F36" w14:textId="77777777" w:rsidR="000E7D3E" w:rsidRDefault="000E7D3E" w:rsidP="00164A7E">
      <w:pPr>
        <w:pStyle w:val="Prrafodelista"/>
        <w:numPr>
          <w:ilvl w:val="0"/>
          <w:numId w:val="2"/>
        </w:numPr>
        <w:spacing w:after="0" w:line="240" w:lineRule="auto"/>
        <w:ind w:left="567"/>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FVENLOT: Fondo de Jubilaciones y Pensiones de los Vendedores de Lotería.</w:t>
      </w:r>
    </w:p>
    <w:p w14:paraId="1B64043C" w14:textId="77777777" w:rsidR="00E716A6" w:rsidRDefault="00E716A6" w:rsidP="00164A7E">
      <w:pPr>
        <w:pStyle w:val="Prrafodelista"/>
        <w:numPr>
          <w:ilvl w:val="0"/>
          <w:numId w:val="2"/>
        </w:numPr>
        <w:spacing w:after="0" w:line="240" w:lineRule="auto"/>
        <w:ind w:left="567"/>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INEC: I</w:t>
      </w:r>
      <w:r w:rsidR="00F31D6E">
        <w:rPr>
          <w:rFonts w:ascii="Calibri" w:eastAsia="Times New Roman" w:hAnsi="Calibri" w:cs="Calibri"/>
          <w:color w:val="000000"/>
          <w:lang w:val="es-CR" w:eastAsia="es-CR"/>
        </w:rPr>
        <w:t>nstituto Nacional de Estadística y Censos</w:t>
      </w:r>
    </w:p>
    <w:p w14:paraId="67032E90" w14:textId="77777777" w:rsidR="00681C9F" w:rsidRPr="000E7D3E" w:rsidRDefault="00681C9F" w:rsidP="00164A7E">
      <w:pPr>
        <w:pStyle w:val="Prrafodelista"/>
        <w:numPr>
          <w:ilvl w:val="0"/>
          <w:numId w:val="2"/>
        </w:numPr>
        <w:spacing w:after="0" w:line="240" w:lineRule="auto"/>
        <w:ind w:left="567"/>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JUPEMA: Junta de Pensiones del Magisterio Nacional</w:t>
      </w:r>
    </w:p>
    <w:p w14:paraId="001E3012" w14:textId="77777777" w:rsidR="000E7D3E" w:rsidRDefault="000E7D3E" w:rsidP="00164A7E">
      <w:pPr>
        <w:pStyle w:val="Prrafodelista"/>
        <w:numPr>
          <w:ilvl w:val="0"/>
          <w:numId w:val="2"/>
        </w:numPr>
        <w:spacing w:after="0" w:line="240" w:lineRule="auto"/>
        <w:ind w:left="567"/>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 xml:space="preserve">LPT: </w:t>
      </w:r>
      <w:bookmarkStart w:id="4" w:name="_Hlk55162105"/>
      <w:r w:rsidRPr="000E7D3E">
        <w:rPr>
          <w:rFonts w:ascii="Calibri" w:eastAsia="Times New Roman" w:hAnsi="Calibri" w:cs="Calibri"/>
          <w:color w:val="000000"/>
          <w:lang w:val="es-CR" w:eastAsia="es-CR"/>
        </w:rPr>
        <w:t>Ley de Protección al trabajador</w:t>
      </w:r>
      <w:bookmarkEnd w:id="4"/>
    </w:p>
    <w:p w14:paraId="2126C947" w14:textId="77777777" w:rsidR="00202EB9" w:rsidRDefault="00202EB9" w:rsidP="00164A7E">
      <w:pPr>
        <w:pStyle w:val="Prrafodelista"/>
        <w:numPr>
          <w:ilvl w:val="0"/>
          <w:numId w:val="2"/>
        </w:numPr>
        <w:spacing w:after="0" w:line="240" w:lineRule="auto"/>
        <w:ind w:left="567"/>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MS</w:t>
      </w:r>
      <w:r w:rsidR="00AE2E8F">
        <w:rPr>
          <w:rFonts w:ascii="Calibri" w:eastAsia="Times New Roman" w:hAnsi="Calibri" w:cs="Calibri"/>
          <w:color w:val="000000"/>
          <w:lang w:val="es-CR" w:eastAsia="es-CR"/>
        </w:rPr>
        <w:t xml:space="preserve">ER </w:t>
      </w:r>
      <w:r w:rsidR="00AE2E8F" w:rsidRPr="00AE2E8F">
        <w:rPr>
          <w:rFonts w:ascii="Calibri" w:eastAsia="Times New Roman" w:hAnsi="Calibri" w:cs="Calibri"/>
          <w:color w:val="000000"/>
          <w:lang w:val="es-CR" w:eastAsia="es-CR"/>
        </w:rPr>
        <w:t xml:space="preserve">Modelo de supervisión y evaluación de riesgos </w:t>
      </w:r>
    </w:p>
    <w:p w14:paraId="68047F1C" w14:textId="77777777" w:rsidR="000E7D3E" w:rsidRDefault="000E7D3E" w:rsidP="00164A7E">
      <w:pPr>
        <w:pStyle w:val="Prrafodelista"/>
        <w:numPr>
          <w:ilvl w:val="0"/>
          <w:numId w:val="2"/>
        </w:numPr>
        <w:spacing w:after="0" w:line="240" w:lineRule="auto"/>
        <w:ind w:left="567"/>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 xml:space="preserve">OPC: Operadoras de pensiones </w:t>
      </w:r>
      <w:r w:rsidR="007D617A">
        <w:rPr>
          <w:rFonts w:ascii="Calibri" w:eastAsia="Times New Roman" w:hAnsi="Calibri" w:cs="Calibri"/>
          <w:color w:val="000000"/>
          <w:lang w:val="es-CR" w:eastAsia="es-CR"/>
        </w:rPr>
        <w:t>complementarias</w:t>
      </w:r>
    </w:p>
    <w:p w14:paraId="0F8D46FE" w14:textId="77777777" w:rsidR="0008483B" w:rsidRDefault="0008483B" w:rsidP="00164A7E">
      <w:pPr>
        <w:pStyle w:val="Prrafodelista"/>
        <w:numPr>
          <w:ilvl w:val="0"/>
          <w:numId w:val="2"/>
        </w:numPr>
        <w:spacing w:after="0" w:line="240" w:lineRule="auto"/>
        <w:ind w:left="567"/>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PE: Plan estratégico de SUPEN</w:t>
      </w:r>
    </w:p>
    <w:p w14:paraId="39E92E61" w14:textId="77777777" w:rsidR="00EA3529" w:rsidRPr="000E7D3E" w:rsidRDefault="00EA3529" w:rsidP="00164A7E">
      <w:pPr>
        <w:pStyle w:val="Prrafodelista"/>
        <w:numPr>
          <w:ilvl w:val="0"/>
          <w:numId w:val="2"/>
        </w:numPr>
        <w:spacing w:after="0" w:line="240" w:lineRule="auto"/>
        <w:ind w:left="567"/>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PIB: Producto Interno Bruto</w:t>
      </w:r>
    </w:p>
    <w:p w14:paraId="41A50A3E" w14:textId="77777777" w:rsidR="000E7D3E" w:rsidRDefault="000E7D3E" w:rsidP="00164A7E">
      <w:pPr>
        <w:pStyle w:val="Prrafodelista"/>
        <w:numPr>
          <w:ilvl w:val="0"/>
          <w:numId w:val="2"/>
        </w:numPr>
        <w:spacing w:after="0" w:line="240" w:lineRule="auto"/>
        <w:ind w:left="567"/>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RCCMN: Régimen de Capitalización Colectiva del Sistema de Pensiones y Jubilaciones del Magisterio Nacional</w:t>
      </w:r>
    </w:p>
    <w:p w14:paraId="7386BF8B" w14:textId="77777777" w:rsidR="007D6E5B" w:rsidRDefault="007D6E5B" w:rsidP="00164A7E">
      <w:pPr>
        <w:pStyle w:val="Prrafodelista"/>
        <w:numPr>
          <w:ilvl w:val="0"/>
          <w:numId w:val="2"/>
        </w:numPr>
        <w:spacing w:after="0" w:line="240" w:lineRule="auto"/>
        <w:ind w:left="567"/>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RCI Regímenes de Capitalización Individual</w:t>
      </w:r>
    </w:p>
    <w:p w14:paraId="136F1B3B" w14:textId="77777777" w:rsidR="007A4DB7" w:rsidRPr="000E7D3E" w:rsidRDefault="007A4DB7" w:rsidP="00164A7E">
      <w:pPr>
        <w:pStyle w:val="Prrafodelista"/>
        <w:numPr>
          <w:ilvl w:val="0"/>
          <w:numId w:val="2"/>
        </w:numPr>
        <w:spacing w:after="0" w:line="240" w:lineRule="auto"/>
        <w:ind w:left="567"/>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R</w:t>
      </w:r>
      <w:r w:rsidRPr="000E7D3E">
        <w:rPr>
          <w:rFonts w:ascii="Calibri" w:eastAsia="Times New Roman" w:hAnsi="Calibri" w:cs="Calibri"/>
          <w:color w:val="000000"/>
          <w:lang w:val="es-CR" w:eastAsia="es-CR"/>
        </w:rPr>
        <w:t>IVM: Régimen de Invalidez, Vejez y Muerte de la CCSS</w:t>
      </w:r>
    </w:p>
    <w:p w14:paraId="287450EB" w14:textId="77777777" w:rsidR="000E7D3E" w:rsidRDefault="000E7D3E" w:rsidP="00164A7E">
      <w:pPr>
        <w:pStyle w:val="Prrafodelista"/>
        <w:numPr>
          <w:ilvl w:val="0"/>
          <w:numId w:val="2"/>
        </w:numPr>
        <w:spacing w:after="0" w:line="240" w:lineRule="auto"/>
        <w:ind w:left="567"/>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ROP: Régimen Obligatorios de Pensiones Complementario</w:t>
      </w:r>
    </w:p>
    <w:p w14:paraId="115120D7" w14:textId="77777777" w:rsidR="007D6E5B" w:rsidRDefault="007D6E5B" w:rsidP="00164A7E">
      <w:pPr>
        <w:pStyle w:val="Prrafodelista"/>
        <w:numPr>
          <w:ilvl w:val="0"/>
          <w:numId w:val="2"/>
        </w:numPr>
        <w:spacing w:after="0" w:line="240" w:lineRule="auto"/>
        <w:ind w:left="567"/>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SEC</w:t>
      </w:r>
      <w:r w:rsidR="00ED0B1D">
        <w:rPr>
          <w:rFonts w:ascii="Calibri" w:eastAsia="Times New Roman" w:hAnsi="Calibri" w:cs="Calibri"/>
          <w:color w:val="000000"/>
          <w:lang w:val="es-CR" w:eastAsia="es-CR"/>
        </w:rPr>
        <w:t xml:space="preserve">: </w:t>
      </w:r>
      <w:r w:rsidR="00CF6EE8" w:rsidRPr="00CF6EE8">
        <w:rPr>
          <w:rFonts w:ascii="Calibri" w:eastAsia="Times New Roman" w:hAnsi="Calibri" w:cs="Calibri"/>
          <w:color w:val="000000"/>
          <w:lang w:val="es-CR" w:eastAsia="es-CR"/>
        </w:rPr>
        <w:t>Servicio Electrónico de Compensación y Liquidación entre Entidades Autorizadas</w:t>
      </w:r>
    </w:p>
    <w:p w14:paraId="706586EF" w14:textId="77777777" w:rsidR="00FE1E6D" w:rsidRPr="000E7D3E" w:rsidRDefault="00FE1E6D" w:rsidP="00164A7E">
      <w:pPr>
        <w:pStyle w:val="Prrafodelista"/>
        <w:numPr>
          <w:ilvl w:val="0"/>
          <w:numId w:val="2"/>
        </w:numPr>
        <w:spacing w:after="0" w:line="240" w:lineRule="auto"/>
        <w:ind w:left="567"/>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SGC</w:t>
      </w:r>
      <w:r w:rsidR="00041F6B">
        <w:rPr>
          <w:rFonts w:ascii="Calibri" w:eastAsia="Times New Roman" w:hAnsi="Calibri" w:cs="Calibri"/>
          <w:color w:val="000000"/>
          <w:lang w:val="es-CR" w:eastAsia="es-CR"/>
        </w:rPr>
        <w:t>: Sistema de Gestión de Calidad</w:t>
      </w:r>
    </w:p>
    <w:p w14:paraId="01F66CD3" w14:textId="77777777" w:rsidR="000A0944" w:rsidRDefault="000A0944" w:rsidP="00164A7E">
      <w:pPr>
        <w:pStyle w:val="Prrafodelista"/>
        <w:numPr>
          <w:ilvl w:val="0"/>
          <w:numId w:val="2"/>
        </w:numPr>
        <w:spacing w:after="0" w:line="240" w:lineRule="auto"/>
        <w:ind w:left="567"/>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 xml:space="preserve">SICERE: </w:t>
      </w:r>
      <w:r w:rsidRPr="000A0944">
        <w:rPr>
          <w:rFonts w:ascii="Calibri" w:eastAsia="Times New Roman" w:hAnsi="Calibri" w:cs="Calibri"/>
          <w:color w:val="000000"/>
          <w:lang w:val="es-CR" w:eastAsia="es-CR"/>
        </w:rPr>
        <w:t xml:space="preserve">Sistema Centralizado de Recaudación </w:t>
      </w:r>
    </w:p>
    <w:p w14:paraId="65B980A4" w14:textId="77777777" w:rsidR="000E7D3E" w:rsidRPr="000E7D3E" w:rsidRDefault="000E7D3E" w:rsidP="00164A7E">
      <w:pPr>
        <w:pStyle w:val="Prrafodelista"/>
        <w:numPr>
          <w:ilvl w:val="0"/>
          <w:numId w:val="2"/>
        </w:numPr>
        <w:spacing w:after="0" w:line="240" w:lineRule="auto"/>
        <w:ind w:left="567"/>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SNP: Sistema Nacional de Pensiones</w:t>
      </w:r>
    </w:p>
    <w:p w14:paraId="1888F0F2" w14:textId="77777777" w:rsidR="005C12B3" w:rsidRDefault="000E7D3E" w:rsidP="00164A7E">
      <w:pPr>
        <w:pStyle w:val="Prrafodelista"/>
        <w:numPr>
          <w:ilvl w:val="0"/>
          <w:numId w:val="2"/>
        </w:numPr>
        <w:spacing w:after="0" w:line="240" w:lineRule="auto"/>
        <w:ind w:left="567"/>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SUPEN: Superintendencia de Pensiones, órgano de desconcentración máxima del Banco Central de Costa Rica</w:t>
      </w:r>
    </w:p>
    <w:p w14:paraId="58902477" w14:textId="77777777" w:rsidR="007970CA" w:rsidRDefault="007970CA" w:rsidP="007970CA">
      <w:pPr>
        <w:spacing w:after="0" w:line="240" w:lineRule="auto"/>
        <w:jc w:val="both"/>
        <w:rPr>
          <w:rFonts w:ascii="Calibri" w:eastAsia="Times New Roman" w:hAnsi="Calibri" w:cs="Calibri"/>
          <w:color w:val="000000"/>
          <w:lang w:val="es-CR" w:eastAsia="es-CR"/>
        </w:rPr>
      </w:pPr>
    </w:p>
    <w:p w14:paraId="2CD3DE0C" w14:textId="77777777" w:rsidR="007970CA" w:rsidRPr="007970CA" w:rsidRDefault="007970CA" w:rsidP="007970CA">
      <w:pPr>
        <w:spacing w:after="0" w:line="240" w:lineRule="auto"/>
        <w:jc w:val="both"/>
        <w:rPr>
          <w:rFonts w:ascii="Calibri" w:eastAsia="Times New Roman" w:hAnsi="Calibri" w:cs="Calibri"/>
          <w:color w:val="000000"/>
          <w:lang w:val="es-CR" w:eastAsia="es-CR"/>
        </w:rPr>
      </w:pPr>
    </w:p>
    <w:p w14:paraId="56FA2CA7" w14:textId="77777777" w:rsidR="002B6731" w:rsidRDefault="00394DBE" w:rsidP="00C570BE">
      <w:pPr>
        <w:pStyle w:val="Ttulo1"/>
        <w:numPr>
          <w:ilvl w:val="0"/>
          <w:numId w:val="1"/>
        </w:numPr>
      </w:pPr>
      <w:bookmarkStart w:id="5" w:name="_Toc73096115"/>
      <w:r>
        <w:lastRenderedPageBreak/>
        <w:t>Resumen ejecutivo</w:t>
      </w:r>
      <w:bookmarkEnd w:id="5"/>
    </w:p>
    <w:p w14:paraId="568FE8A5" w14:textId="77777777" w:rsidR="00512A6F" w:rsidRDefault="00512A6F" w:rsidP="00512A6F">
      <w:pPr>
        <w:spacing w:after="0" w:line="240" w:lineRule="auto"/>
        <w:jc w:val="both"/>
        <w:rPr>
          <w:rFonts w:ascii="Calibri" w:eastAsia="Times New Roman" w:hAnsi="Calibri" w:cs="Calibri"/>
          <w:color w:val="000000"/>
          <w:lang w:val="es-CR" w:eastAsia="es-CR"/>
        </w:rPr>
      </w:pPr>
    </w:p>
    <w:p w14:paraId="69DCE3F2" w14:textId="77777777" w:rsidR="00F07074" w:rsidRPr="00270ECD" w:rsidRDefault="00512A6F" w:rsidP="00512A6F">
      <w:pPr>
        <w:spacing w:after="0" w:line="240" w:lineRule="auto"/>
        <w:jc w:val="both"/>
      </w:pPr>
      <w:r w:rsidRPr="00270ECD">
        <w:t xml:space="preserve">El Sistema Nacional de Pensiones (SNP) y el Fondo de Capitalización Laboral (FCL) administran recursos, a </w:t>
      </w:r>
      <w:r w:rsidR="003472BE">
        <w:t>marzo del</w:t>
      </w:r>
      <w:r w:rsidRPr="00270ECD">
        <w:t xml:space="preserve"> 202</w:t>
      </w:r>
      <w:r w:rsidR="003472BE">
        <w:t>1</w:t>
      </w:r>
      <w:r w:rsidRPr="00270ECD">
        <w:t xml:space="preserve">, que totalizan </w:t>
      </w:r>
      <w:bookmarkStart w:id="6" w:name="_Hlk48293175"/>
      <w:r w:rsidRPr="00270ECD">
        <w:t>₡</w:t>
      </w:r>
      <w:bookmarkEnd w:id="6"/>
      <w:r w:rsidRPr="00270ECD">
        <w:t>1</w:t>
      </w:r>
      <w:r w:rsidR="00DC6DA3" w:rsidRPr="00270ECD">
        <w:t>7,</w:t>
      </w:r>
      <w:r w:rsidR="00BB3DB6" w:rsidRPr="00270ECD">
        <w:t>6</w:t>
      </w:r>
      <w:r w:rsidRPr="00270ECD">
        <w:t xml:space="preserve"> billones, </w:t>
      </w:r>
      <w:r w:rsidR="00256911" w:rsidRPr="00270ECD">
        <w:t>equivalentes</w:t>
      </w:r>
      <w:r w:rsidRPr="00270ECD">
        <w:t xml:space="preserve"> al </w:t>
      </w:r>
      <w:r w:rsidR="00BB3DB6" w:rsidRPr="00270ECD">
        <w:t>47</w:t>
      </w:r>
      <w:r w:rsidRPr="00270ECD">
        <w:t xml:space="preserve">% del Producto Interno Bruto (PIB). </w:t>
      </w:r>
      <w:r w:rsidR="00270ECD" w:rsidRPr="00270ECD">
        <w:t>El crecimiento durante el trimestre ha sido del 3,6%, por encima del observado para el mismo periodo el año pasado que fue del 2,1%.</w:t>
      </w:r>
      <w:r w:rsidRPr="00270ECD">
        <w:t xml:space="preserve"> </w:t>
      </w:r>
    </w:p>
    <w:p w14:paraId="5A21AB3B" w14:textId="77777777" w:rsidR="00276942" w:rsidRPr="00A4744A" w:rsidRDefault="00276942" w:rsidP="00435A82">
      <w:pPr>
        <w:spacing w:after="0" w:line="240" w:lineRule="auto"/>
        <w:jc w:val="both"/>
        <w:rPr>
          <w:rFonts w:ascii="Calibri" w:eastAsia="Times New Roman" w:hAnsi="Calibri" w:cs="Calibri"/>
          <w:color w:val="000000"/>
          <w:highlight w:val="yellow"/>
          <w:lang w:val="es-CR" w:eastAsia="es-CR"/>
        </w:rPr>
      </w:pPr>
    </w:p>
    <w:p w14:paraId="58B2DAFC" w14:textId="77777777" w:rsidR="00050CDB" w:rsidRDefault="00050CDB" w:rsidP="00050CDB">
      <w:pPr>
        <w:spacing w:after="0" w:line="240" w:lineRule="auto"/>
        <w:jc w:val="both"/>
      </w:pPr>
      <w:r w:rsidRPr="001664B0">
        <w:t>Durante el trimestre, l</w:t>
      </w:r>
      <w:r w:rsidR="000C2E69" w:rsidRPr="001664B0">
        <w:t xml:space="preserve">a inversión en el extranjero de los portafolios de pensiones ha presentado una </w:t>
      </w:r>
      <w:r w:rsidR="00535704" w:rsidRPr="001664B0">
        <w:t>tendencia al alza</w:t>
      </w:r>
      <w:r w:rsidR="005D6773" w:rsidRPr="001664B0">
        <w:t xml:space="preserve"> y</w:t>
      </w:r>
      <w:r w:rsidR="000C2E69" w:rsidRPr="001664B0">
        <w:t xml:space="preserve"> </w:t>
      </w:r>
      <w:r w:rsidR="00AA42FE" w:rsidRPr="001664B0">
        <w:t>en el mercado local</w:t>
      </w:r>
      <w:r w:rsidR="009D4411" w:rsidRPr="001664B0">
        <w:t>,</w:t>
      </w:r>
      <w:r w:rsidR="00AA42FE" w:rsidRPr="001664B0">
        <w:t xml:space="preserve"> </w:t>
      </w:r>
      <w:r w:rsidR="00C123D8" w:rsidRPr="001664B0">
        <w:t>la curva de rendimientos en colones del BCCR</w:t>
      </w:r>
      <w:r w:rsidR="00407059" w:rsidRPr="001664B0">
        <w:t>,</w:t>
      </w:r>
      <w:r w:rsidR="00C123D8" w:rsidRPr="001664B0">
        <w:t xml:space="preserve"> </w:t>
      </w:r>
      <w:r w:rsidR="005A48A9" w:rsidRPr="001664B0">
        <w:t xml:space="preserve">presentó un desplazamiento hacia arriba </w:t>
      </w:r>
      <w:r w:rsidR="005A48A9" w:rsidRPr="005270E0">
        <w:t>en los plazos inferiores a los 2,5 años, afectando de manera negativa el valor de las inversiones en locales de los portafolios de pensiones</w:t>
      </w:r>
      <w:r w:rsidRPr="005270E0">
        <w:t xml:space="preserve">, contrario a lo presentado en los plazos superiores a los </w:t>
      </w:r>
      <w:r w:rsidR="001664B0" w:rsidRPr="005270E0">
        <w:t>2,</w:t>
      </w:r>
      <w:r w:rsidRPr="005270E0">
        <w:t>5 años</w:t>
      </w:r>
      <w:r w:rsidR="00C123D8" w:rsidRPr="005270E0">
        <w:t>.</w:t>
      </w:r>
      <w:r w:rsidRPr="005270E0">
        <w:t xml:space="preserve"> La combinación de la evolución de los mercados internacionales y del mercado local afectó negativa o positivamente la rentabilidad de los fondos administrados en este </w:t>
      </w:r>
      <w:r w:rsidR="001664B0" w:rsidRPr="005270E0">
        <w:t>primer</w:t>
      </w:r>
      <w:r w:rsidRPr="005270E0">
        <w:t xml:space="preserve"> trimestre, dependiendo de la composición de los portafolios.</w:t>
      </w:r>
      <w:r w:rsidRPr="00A26E04">
        <w:t xml:space="preserve"> </w:t>
      </w:r>
    </w:p>
    <w:p w14:paraId="6087EC9B" w14:textId="77777777" w:rsidR="00250CD1" w:rsidRPr="00533777" w:rsidRDefault="00250CD1" w:rsidP="00662B8B">
      <w:pPr>
        <w:spacing w:after="0" w:line="240" w:lineRule="auto"/>
        <w:jc w:val="both"/>
        <w:rPr>
          <w:highlight w:val="yellow"/>
        </w:rPr>
      </w:pPr>
    </w:p>
    <w:p w14:paraId="598CE833" w14:textId="77777777" w:rsidR="00B72304" w:rsidRDefault="00B72304" w:rsidP="00B72304">
      <w:pPr>
        <w:spacing w:after="0" w:line="240" w:lineRule="auto"/>
        <w:jc w:val="both"/>
      </w:pPr>
      <w:r>
        <w:t>El portafolio de las inversiones (sin incluir carteras de crédito) del SNP y el FCL equivale a ₡15,8 billones. Del total de inversiones hay una concentración de ₡11,9 billones en Sector Público (un 75,6%), de estos ₡10,6 billones se encuentran invertidos en instrumentos del Ministerio de Hacienda y Banco Central de Costa Rica. El 76% de los portafolios de pensiones se concentra en colones costarricenses y el restante 24% en US dólares. La exposición en esta última moneda se incrementó un 7,5% durante los primeros tres meses del 2021 para todo el SNP y FCL.</w:t>
      </w:r>
    </w:p>
    <w:p w14:paraId="0DB4C9F7" w14:textId="77777777" w:rsidR="00B72304" w:rsidRDefault="00B72304" w:rsidP="00B72304">
      <w:pPr>
        <w:spacing w:after="0" w:line="240" w:lineRule="auto"/>
        <w:jc w:val="both"/>
      </w:pPr>
    </w:p>
    <w:p w14:paraId="6BB4CF9C" w14:textId="77777777" w:rsidR="00B0086C" w:rsidRPr="00B0086C" w:rsidRDefault="00B0086C" w:rsidP="000D5DDF">
      <w:pPr>
        <w:jc w:val="both"/>
        <w:rPr>
          <w:lang w:val="es-CR"/>
        </w:rPr>
      </w:pPr>
    </w:p>
    <w:p w14:paraId="128D8D6F" w14:textId="77777777" w:rsidR="00662B8B" w:rsidRDefault="00662B8B" w:rsidP="000D5DDF">
      <w:pPr>
        <w:spacing w:after="0" w:line="240" w:lineRule="auto"/>
        <w:jc w:val="both"/>
      </w:pPr>
    </w:p>
    <w:p w14:paraId="5B77953E" w14:textId="77777777" w:rsidR="00351FA1" w:rsidRDefault="00351FA1">
      <w:pPr>
        <w:rPr>
          <w:rFonts w:asciiTheme="majorHAnsi" w:eastAsiaTheme="majorEastAsia" w:hAnsiTheme="majorHAnsi" w:cstheme="majorBidi"/>
          <w:color w:val="365F91" w:themeColor="accent1" w:themeShade="BF"/>
          <w:sz w:val="32"/>
          <w:szCs w:val="32"/>
        </w:rPr>
      </w:pPr>
      <w:r>
        <w:br w:type="page"/>
      </w:r>
    </w:p>
    <w:p w14:paraId="42F4BB74" w14:textId="77777777" w:rsidR="00394DBE" w:rsidRPr="003235E6" w:rsidRDefault="006929F8" w:rsidP="00E2531A">
      <w:pPr>
        <w:pStyle w:val="Ttulo1"/>
        <w:numPr>
          <w:ilvl w:val="0"/>
          <w:numId w:val="1"/>
        </w:numPr>
      </w:pPr>
      <w:bookmarkStart w:id="7" w:name="_Toc73096116"/>
      <w:r w:rsidRPr="003235E6">
        <w:lastRenderedPageBreak/>
        <w:t>Estadísticas</w:t>
      </w:r>
      <w:bookmarkEnd w:id="7"/>
    </w:p>
    <w:p w14:paraId="41C81D31" w14:textId="77777777" w:rsidR="00CF174B" w:rsidRPr="003235E6" w:rsidRDefault="00657BE3" w:rsidP="00E2531A">
      <w:pPr>
        <w:pStyle w:val="Ttulo2"/>
        <w:numPr>
          <w:ilvl w:val="1"/>
          <w:numId w:val="1"/>
        </w:numPr>
      </w:pPr>
      <w:bookmarkStart w:id="8" w:name="_Toc73096117"/>
      <w:r w:rsidRPr="003235E6">
        <w:t>Sistema Nacional de Pensiones</w:t>
      </w:r>
      <w:bookmarkEnd w:id="8"/>
    </w:p>
    <w:p w14:paraId="3514C8A7" w14:textId="77777777" w:rsidR="00CF174B" w:rsidRPr="00CF174B" w:rsidRDefault="00CF174B" w:rsidP="00CF174B">
      <w:pPr>
        <w:spacing w:after="0" w:line="240" w:lineRule="auto"/>
        <w:jc w:val="both"/>
        <w:rPr>
          <w:rFonts w:ascii="Calibri" w:eastAsia="Times New Roman" w:hAnsi="Calibri" w:cs="Calibri"/>
          <w:color w:val="000000"/>
          <w:lang w:val="es-CR" w:eastAsia="es-CR"/>
        </w:rPr>
      </w:pPr>
    </w:p>
    <w:p w14:paraId="79627F10" w14:textId="77777777" w:rsidR="001B3226" w:rsidRPr="00C02D80" w:rsidRDefault="001B3226" w:rsidP="00BC1E76">
      <w:pPr>
        <w:pStyle w:val="Descripcin"/>
        <w:spacing w:after="0"/>
        <w:jc w:val="center"/>
      </w:pPr>
      <w:r w:rsidRPr="00C02D80">
        <w:t xml:space="preserve">Tabla </w:t>
      </w:r>
      <w:r w:rsidRPr="00C02D80">
        <w:fldChar w:fldCharType="begin"/>
      </w:r>
      <w:r w:rsidRPr="00C02D80">
        <w:instrText xml:space="preserve"> SEQ Tabla \* ARABIC </w:instrText>
      </w:r>
      <w:r w:rsidRPr="00C02D80">
        <w:fldChar w:fldCharType="separate"/>
      </w:r>
      <w:r w:rsidR="00A95DB6">
        <w:rPr>
          <w:noProof/>
        </w:rPr>
        <w:t>1</w:t>
      </w:r>
      <w:r w:rsidRPr="00C02D80">
        <w:fldChar w:fldCharType="end"/>
      </w:r>
      <w:r w:rsidRPr="00C02D80">
        <w:t xml:space="preserve">: </w:t>
      </w:r>
      <w:r w:rsidR="00BC1E76" w:rsidRPr="00C02D80">
        <w:t>Sistema Nacional de Pensiones</w:t>
      </w:r>
      <w:r w:rsidR="00D142B9" w:rsidRPr="00C02D80">
        <w:t xml:space="preserve"> </w:t>
      </w:r>
    </w:p>
    <w:p w14:paraId="52B18531" w14:textId="77777777" w:rsidR="001B3226" w:rsidRPr="00C02D80" w:rsidRDefault="001B3226" w:rsidP="001B3226">
      <w:pPr>
        <w:pStyle w:val="Descripcin"/>
        <w:tabs>
          <w:tab w:val="center" w:pos="4419"/>
          <w:tab w:val="left" w:pos="5788"/>
        </w:tabs>
        <w:spacing w:after="0"/>
        <w:jc w:val="center"/>
      </w:pPr>
      <w:r w:rsidRPr="00C02D80">
        <w:t>Al 3</w:t>
      </w:r>
      <w:r w:rsidR="001B08BD" w:rsidRPr="00C02D80">
        <w:t>1</w:t>
      </w:r>
      <w:r w:rsidRPr="00C02D80">
        <w:t xml:space="preserve"> </w:t>
      </w:r>
      <w:r w:rsidR="00C02D80" w:rsidRPr="00C02D80">
        <w:t>de marzo</w:t>
      </w:r>
      <w:r w:rsidR="00B520C8" w:rsidRPr="00C02D80">
        <w:t xml:space="preserve"> </w:t>
      </w:r>
      <w:r w:rsidRPr="00C02D80">
        <w:t>del 202</w:t>
      </w:r>
      <w:r w:rsidR="00C02D80" w:rsidRPr="00C02D80">
        <w:t>1</w:t>
      </w:r>
    </w:p>
    <w:tbl>
      <w:tblPr>
        <w:tblW w:w="9971" w:type="dxa"/>
        <w:jc w:val="center"/>
        <w:tblCellMar>
          <w:left w:w="70" w:type="dxa"/>
          <w:right w:w="70" w:type="dxa"/>
        </w:tblCellMar>
        <w:tblLook w:val="04A0" w:firstRow="1" w:lastRow="0" w:firstColumn="1" w:lastColumn="0" w:noHBand="0" w:noVBand="1"/>
      </w:tblPr>
      <w:tblGrid>
        <w:gridCol w:w="3822"/>
        <w:gridCol w:w="1070"/>
        <w:gridCol w:w="1192"/>
        <w:gridCol w:w="1246"/>
        <w:gridCol w:w="905"/>
        <w:gridCol w:w="701"/>
        <w:gridCol w:w="1036"/>
      </w:tblGrid>
      <w:tr w:rsidR="00967F4A" w:rsidRPr="00967F4A" w14:paraId="5F07022A" w14:textId="77777777" w:rsidTr="006D71EB">
        <w:trPr>
          <w:trHeight w:val="234"/>
          <w:jc w:val="center"/>
        </w:trPr>
        <w:tc>
          <w:tcPr>
            <w:tcW w:w="0" w:type="auto"/>
            <w:vMerge w:val="restart"/>
            <w:tcBorders>
              <w:top w:val="single" w:sz="8" w:space="0" w:color="8DB3E2"/>
              <w:left w:val="single" w:sz="8" w:space="0" w:color="8DB3E2"/>
              <w:bottom w:val="single" w:sz="8" w:space="0" w:color="95B3D7"/>
              <w:right w:val="single" w:sz="8" w:space="0" w:color="8DB3E2"/>
            </w:tcBorders>
            <w:shd w:val="clear" w:color="000000" w:fill="4F81BD"/>
            <w:noWrap/>
            <w:vAlign w:val="center"/>
            <w:hideMark/>
          </w:tcPr>
          <w:p w14:paraId="7F4F96B8" w14:textId="77777777" w:rsidR="00967F4A" w:rsidRPr="00967F4A" w:rsidRDefault="00967F4A" w:rsidP="00967F4A">
            <w:pPr>
              <w:spacing w:after="0" w:line="240" w:lineRule="auto"/>
              <w:jc w:val="center"/>
              <w:rPr>
                <w:rFonts w:ascii="Calibri" w:eastAsia="Times New Roman" w:hAnsi="Calibri" w:cs="Calibri"/>
                <w:b/>
                <w:bCs/>
                <w:color w:val="FFFFFF"/>
                <w:sz w:val="20"/>
                <w:szCs w:val="20"/>
                <w:lang w:val="es-CR" w:eastAsia="es-CR"/>
              </w:rPr>
            </w:pPr>
            <w:r w:rsidRPr="00967F4A">
              <w:rPr>
                <w:rFonts w:ascii="Calibri" w:eastAsia="Times New Roman" w:hAnsi="Calibri" w:cs="Calibri"/>
                <w:b/>
                <w:bCs/>
                <w:color w:val="FFFFFF"/>
                <w:sz w:val="20"/>
                <w:szCs w:val="20"/>
                <w:lang w:val="es-CR" w:eastAsia="es-CR"/>
              </w:rPr>
              <w:t>Tipo de Fondo</w:t>
            </w:r>
          </w:p>
        </w:tc>
        <w:tc>
          <w:tcPr>
            <w:tcW w:w="1070" w:type="dxa"/>
            <w:vMerge w:val="restart"/>
            <w:tcBorders>
              <w:top w:val="single" w:sz="8" w:space="0" w:color="8DB3E2"/>
              <w:left w:val="single" w:sz="8" w:space="0" w:color="8DB3E2"/>
              <w:bottom w:val="single" w:sz="8" w:space="0" w:color="95B3D7"/>
              <w:right w:val="single" w:sz="8" w:space="0" w:color="8DB3E2"/>
            </w:tcBorders>
            <w:shd w:val="clear" w:color="000000" w:fill="4F81BD"/>
            <w:noWrap/>
            <w:vAlign w:val="center"/>
            <w:hideMark/>
          </w:tcPr>
          <w:p w14:paraId="2B55FC98" w14:textId="77777777" w:rsidR="00967F4A" w:rsidRPr="00967F4A" w:rsidRDefault="00967F4A" w:rsidP="00967F4A">
            <w:pPr>
              <w:spacing w:after="0" w:line="240" w:lineRule="auto"/>
              <w:jc w:val="center"/>
              <w:rPr>
                <w:rFonts w:ascii="Calibri" w:eastAsia="Times New Roman" w:hAnsi="Calibri" w:cs="Calibri"/>
                <w:b/>
                <w:bCs/>
                <w:color w:val="FFFFFF"/>
                <w:sz w:val="20"/>
                <w:szCs w:val="20"/>
                <w:lang w:val="es-CR" w:eastAsia="es-CR"/>
              </w:rPr>
            </w:pPr>
            <w:r w:rsidRPr="00967F4A">
              <w:rPr>
                <w:rFonts w:ascii="Calibri" w:eastAsia="Times New Roman" w:hAnsi="Calibri" w:cs="Calibri"/>
                <w:b/>
                <w:bCs/>
                <w:color w:val="FFFFFF"/>
                <w:sz w:val="20"/>
                <w:szCs w:val="20"/>
                <w:lang w:val="es-CR" w:eastAsia="es-CR"/>
              </w:rPr>
              <w:t>Afiliados</w:t>
            </w:r>
          </w:p>
        </w:tc>
        <w:tc>
          <w:tcPr>
            <w:tcW w:w="0" w:type="auto"/>
            <w:vMerge w:val="restart"/>
            <w:tcBorders>
              <w:top w:val="single" w:sz="8" w:space="0" w:color="8DB3E2"/>
              <w:left w:val="single" w:sz="8" w:space="0" w:color="8DB3E2"/>
              <w:bottom w:val="single" w:sz="8" w:space="0" w:color="95B3D7"/>
              <w:right w:val="single" w:sz="8" w:space="0" w:color="8DB3E2"/>
            </w:tcBorders>
            <w:shd w:val="clear" w:color="000000" w:fill="4F81BD"/>
            <w:noWrap/>
            <w:vAlign w:val="center"/>
            <w:hideMark/>
          </w:tcPr>
          <w:p w14:paraId="1CC80E7D" w14:textId="77777777" w:rsidR="00967F4A" w:rsidRPr="00967F4A" w:rsidRDefault="00967F4A" w:rsidP="00967F4A">
            <w:pPr>
              <w:spacing w:after="0" w:line="240" w:lineRule="auto"/>
              <w:jc w:val="center"/>
              <w:rPr>
                <w:rFonts w:ascii="Calibri" w:eastAsia="Times New Roman" w:hAnsi="Calibri" w:cs="Calibri"/>
                <w:b/>
                <w:bCs/>
                <w:color w:val="FFFFFF"/>
                <w:sz w:val="20"/>
                <w:szCs w:val="20"/>
                <w:lang w:val="es-CR" w:eastAsia="es-CR"/>
              </w:rPr>
            </w:pPr>
            <w:r w:rsidRPr="00967F4A">
              <w:rPr>
                <w:rFonts w:ascii="Calibri" w:eastAsia="Times New Roman" w:hAnsi="Calibri" w:cs="Calibri"/>
                <w:b/>
                <w:bCs/>
                <w:color w:val="FFFFFF"/>
                <w:sz w:val="20"/>
                <w:szCs w:val="20"/>
                <w:lang w:val="es-CR" w:eastAsia="es-CR"/>
              </w:rPr>
              <w:t>Pensionados</w:t>
            </w:r>
          </w:p>
        </w:tc>
        <w:tc>
          <w:tcPr>
            <w:tcW w:w="0" w:type="auto"/>
            <w:gridSpan w:val="3"/>
            <w:tcBorders>
              <w:top w:val="single" w:sz="8" w:space="0" w:color="8DB3E2"/>
              <w:left w:val="nil"/>
              <w:bottom w:val="single" w:sz="8" w:space="0" w:color="8DB3E2"/>
              <w:right w:val="single" w:sz="8" w:space="0" w:color="8DB3E2"/>
            </w:tcBorders>
            <w:shd w:val="clear" w:color="000000" w:fill="4F81BD"/>
            <w:noWrap/>
            <w:vAlign w:val="center"/>
            <w:hideMark/>
          </w:tcPr>
          <w:p w14:paraId="41E09EE3" w14:textId="77777777" w:rsidR="00967F4A" w:rsidRPr="00967F4A" w:rsidRDefault="00967F4A" w:rsidP="00967F4A">
            <w:pPr>
              <w:spacing w:after="0" w:line="240" w:lineRule="auto"/>
              <w:jc w:val="center"/>
              <w:rPr>
                <w:rFonts w:ascii="Calibri" w:eastAsia="Times New Roman" w:hAnsi="Calibri" w:cs="Calibri"/>
                <w:b/>
                <w:bCs/>
                <w:color w:val="FFFFFF"/>
                <w:sz w:val="20"/>
                <w:szCs w:val="20"/>
                <w:lang w:val="es-CR" w:eastAsia="es-CR"/>
              </w:rPr>
            </w:pPr>
            <w:r w:rsidRPr="00967F4A">
              <w:rPr>
                <w:rFonts w:ascii="Calibri" w:eastAsia="Times New Roman" w:hAnsi="Calibri" w:cs="Calibri"/>
                <w:b/>
                <w:bCs/>
                <w:color w:val="FFFFFF"/>
                <w:sz w:val="20"/>
                <w:szCs w:val="20"/>
                <w:lang w:val="es-CR" w:eastAsia="es-CR"/>
              </w:rPr>
              <w:t>Contribuciones</w:t>
            </w:r>
          </w:p>
        </w:tc>
        <w:tc>
          <w:tcPr>
            <w:tcW w:w="0" w:type="auto"/>
            <w:vMerge w:val="restart"/>
            <w:tcBorders>
              <w:top w:val="single" w:sz="8" w:space="0" w:color="8DB3E2"/>
              <w:left w:val="single" w:sz="8" w:space="0" w:color="8DB3E2"/>
              <w:bottom w:val="single" w:sz="8" w:space="0" w:color="95B3D7"/>
              <w:right w:val="single" w:sz="8" w:space="0" w:color="8DB3E2"/>
            </w:tcBorders>
            <w:shd w:val="clear" w:color="000000" w:fill="4F81BD"/>
            <w:vAlign w:val="center"/>
            <w:hideMark/>
          </w:tcPr>
          <w:p w14:paraId="613C3D42" w14:textId="77777777" w:rsidR="00967F4A" w:rsidRPr="00967F4A" w:rsidRDefault="00967F4A" w:rsidP="00967F4A">
            <w:pPr>
              <w:spacing w:after="0" w:line="240" w:lineRule="auto"/>
              <w:jc w:val="center"/>
              <w:rPr>
                <w:rFonts w:ascii="Calibri" w:eastAsia="Times New Roman" w:hAnsi="Calibri" w:cs="Calibri"/>
                <w:b/>
                <w:bCs/>
                <w:color w:val="FFFFFF"/>
                <w:sz w:val="20"/>
                <w:szCs w:val="20"/>
                <w:lang w:val="es-CR" w:eastAsia="es-CR"/>
              </w:rPr>
            </w:pPr>
            <w:r w:rsidRPr="00967F4A">
              <w:rPr>
                <w:rFonts w:ascii="Calibri" w:eastAsia="Times New Roman" w:hAnsi="Calibri" w:cs="Calibri"/>
                <w:b/>
                <w:bCs/>
                <w:color w:val="FFFFFF"/>
                <w:sz w:val="20"/>
                <w:szCs w:val="20"/>
                <w:lang w:val="es-CR" w:eastAsia="es-CR"/>
              </w:rPr>
              <w:t>Pensión promedio</w:t>
            </w:r>
          </w:p>
        </w:tc>
      </w:tr>
      <w:tr w:rsidR="00967F4A" w:rsidRPr="00967F4A" w14:paraId="4E3EEA13" w14:textId="77777777" w:rsidTr="006D71EB">
        <w:trPr>
          <w:trHeight w:val="234"/>
          <w:jc w:val="center"/>
        </w:trPr>
        <w:tc>
          <w:tcPr>
            <w:tcW w:w="0" w:type="auto"/>
            <w:vMerge/>
            <w:tcBorders>
              <w:top w:val="single" w:sz="8" w:space="0" w:color="8DB3E2"/>
              <w:left w:val="single" w:sz="8" w:space="0" w:color="8DB3E2"/>
              <w:bottom w:val="single" w:sz="8" w:space="0" w:color="95B3D7"/>
              <w:right w:val="single" w:sz="8" w:space="0" w:color="8DB3E2"/>
            </w:tcBorders>
            <w:vAlign w:val="center"/>
            <w:hideMark/>
          </w:tcPr>
          <w:p w14:paraId="2AEAE265" w14:textId="77777777" w:rsidR="00967F4A" w:rsidRPr="00967F4A" w:rsidRDefault="00967F4A" w:rsidP="00967F4A">
            <w:pPr>
              <w:spacing w:after="0" w:line="240" w:lineRule="auto"/>
              <w:rPr>
                <w:rFonts w:ascii="Calibri" w:eastAsia="Times New Roman" w:hAnsi="Calibri" w:cs="Calibri"/>
                <w:b/>
                <w:bCs/>
                <w:color w:val="FFFFFF"/>
                <w:sz w:val="20"/>
                <w:szCs w:val="20"/>
                <w:lang w:val="es-CR" w:eastAsia="es-CR"/>
              </w:rPr>
            </w:pPr>
          </w:p>
        </w:tc>
        <w:tc>
          <w:tcPr>
            <w:tcW w:w="1070" w:type="dxa"/>
            <w:vMerge/>
            <w:tcBorders>
              <w:top w:val="single" w:sz="8" w:space="0" w:color="8DB3E2"/>
              <w:left w:val="single" w:sz="8" w:space="0" w:color="8DB3E2"/>
              <w:bottom w:val="single" w:sz="8" w:space="0" w:color="95B3D7"/>
              <w:right w:val="single" w:sz="8" w:space="0" w:color="8DB3E2"/>
            </w:tcBorders>
            <w:vAlign w:val="center"/>
            <w:hideMark/>
          </w:tcPr>
          <w:p w14:paraId="0FFC0E11" w14:textId="77777777" w:rsidR="00967F4A" w:rsidRPr="00967F4A" w:rsidRDefault="00967F4A" w:rsidP="00967F4A">
            <w:pPr>
              <w:spacing w:after="0" w:line="240" w:lineRule="auto"/>
              <w:rPr>
                <w:rFonts w:ascii="Calibri" w:eastAsia="Times New Roman" w:hAnsi="Calibri" w:cs="Calibri"/>
                <w:b/>
                <w:bCs/>
                <w:color w:val="FFFFFF"/>
                <w:sz w:val="20"/>
                <w:szCs w:val="20"/>
                <w:lang w:val="es-CR" w:eastAsia="es-CR"/>
              </w:rPr>
            </w:pPr>
          </w:p>
        </w:tc>
        <w:tc>
          <w:tcPr>
            <w:tcW w:w="0" w:type="auto"/>
            <w:vMerge/>
            <w:tcBorders>
              <w:top w:val="single" w:sz="8" w:space="0" w:color="8DB3E2"/>
              <w:left w:val="single" w:sz="8" w:space="0" w:color="8DB3E2"/>
              <w:bottom w:val="single" w:sz="8" w:space="0" w:color="95B3D7"/>
              <w:right w:val="single" w:sz="8" w:space="0" w:color="8DB3E2"/>
            </w:tcBorders>
            <w:vAlign w:val="center"/>
            <w:hideMark/>
          </w:tcPr>
          <w:p w14:paraId="53B45FB1" w14:textId="77777777" w:rsidR="00967F4A" w:rsidRPr="00967F4A" w:rsidRDefault="00967F4A" w:rsidP="00967F4A">
            <w:pPr>
              <w:spacing w:after="0" w:line="240" w:lineRule="auto"/>
              <w:rPr>
                <w:rFonts w:ascii="Calibri" w:eastAsia="Times New Roman" w:hAnsi="Calibri" w:cs="Calibri"/>
                <w:b/>
                <w:bCs/>
                <w:color w:val="FFFFFF"/>
                <w:sz w:val="20"/>
                <w:szCs w:val="20"/>
                <w:lang w:val="es-CR" w:eastAsia="es-CR"/>
              </w:rPr>
            </w:pPr>
          </w:p>
        </w:tc>
        <w:tc>
          <w:tcPr>
            <w:tcW w:w="0" w:type="auto"/>
            <w:tcBorders>
              <w:top w:val="nil"/>
              <w:left w:val="nil"/>
              <w:bottom w:val="single" w:sz="8" w:space="0" w:color="95B3D7"/>
              <w:right w:val="single" w:sz="8" w:space="0" w:color="95B3D7"/>
            </w:tcBorders>
            <w:shd w:val="clear" w:color="000000" w:fill="4F81BD"/>
            <w:noWrap/>
            <w:vAlign w:val="center"/>
            <w:hideMark/>
          </w:tcPr>
          <w:p w14:paraId="49C7E803" w14:textId="77777777" w:rsidR="00967F4A" w:rsidRPr="00967F4A" w:rsidRDefault="00967F4A" w:rsidP="00967F4A">
            <w:pPr>
              <w:spacing w:after="0" w:line="240" w:lineRule="auto"/>
              <w:rPr>
                <w:rFonts w:ascii="Calibri" w:eastAsia="Times New Roman" w:hAnsi="Calibri" w:cs="Calibri"/>
                <w:b/>
                <w:bCs/>
                <w:color w:val="FFFFFF"/>
                <w:sz w:val="20"/>
                <w:szCs w:val="20"/>
                <w:lang w:val="es-CR" w:eastAsia="es-CR"/>
              </w:rPr>
            </w:pPr>
            <w:r w:rsidRPr="00967F4A">
              <w:rPr>
                <w:rFonts w:ascii="Calibri" w:eastAsia="Times New Roman" w:hAnsi="Calibri" w:cs="Calibri"/>
                <w:b/>
                <w:bCs/>
                <w:color w:val="FFFFFF"/>
                <w:sz w:val="20"/>
                <w:szCs w:val="20"/>
                <w:lang w:val="es-CR" w:eastAsia="es-CR"/>
              </w:rPr>
              <w:t>Trabajador</w:t>
            </w:r>
          </w:p>
        </w:tc>
        <w:tc>
          <w:tcPr>
            <w:tcW w:w="0" w:type="auto"/>
            <w:tcBorders>
              <w:top w:val="nil"/>
              <w:left w:val="nil"/>
              <w:bottom w:val="single" w:sz="8" w:space="0" w:color="95B3D7"/>
              <w:right w:val="single" w:sz="8" w:space="0" w:color="95B3D7"/>
            </w:tcBorders>
            <w:shd w:val="clear" w:color="000000" w:fill="4F81BD"/>
            <w:noWrap/>
            <w:vAlign w:val="center"/>
            <w:hideMark/>
          </w:tcPr>
          <w:p w14:paraId="151C8559" w14:textId="77777777" w:rsidR="00967F4A" w:rsidRPr="00967F4A" w:rsidRDefault="00967F4A" w:rsidP="00967F4A">
            <w:pPr>
              <w:spacing w:after="0" w:line="240" w:lineRule="auto"/>
              <w:rPr>
                <w:rFonts w:ascii="Calibri" w:eastAsia="Times New Roman" w:hAnsi="Calibri" w:cs="Calibri"/>
                <w:b/>
                <w:bCs/>
                <w:color w:val="FFFFFF"/>
                <w:sz w:val="20"/>
                <w:szCs w:val="20"/>
                <w:lang w:val="es-CR" w:eastAsia="es-CR"/>
              </w:rPr>
            </w:pPr>
            <w:r w:rsidRPr="00967F4A">
              <w:rPr>
                <w:rFonts w:ascii="Calibri" w:eastAsia="Times New Roman" w:hAnsi="Calibri" w:cs="Calibri"/>
                <w:b/>
                <w:bCs/>
                <w:color w:val="FFFFFF"/>
                <w:sz w:val="20"/>
                <w:szCs w:val="20"/>
                <w:lang w:val="es-CR" w:eastAsia="es-CR"/>
              </w:rPr>
              <w:t>Patrono</w:t>
            </w:r>
          </w:p>
        </w:tc>
        <w:tc>
          <w:tcPr>
            <w:tcW w:w="0" w:type="auto"/>
            <w:tcBorders>
              <w:top w:val="nil"/>
              <w:left w:val="nil"/>
              <w:bottom w:val="single" w:sz="8" w:space="0" w:color="95B3D7"/>
              <w:right w:val="single" w:sz="8" w:space="0" w:color="8DB3E2"/>
            </w:tcBorders>
            <w:shd w:val="clear" w:color="000000" w:fill="4F81BD"/>
            <w:noWrap/>
            <w:vAlign w:val="center"/>
            <w:hideMark/>
          </w:tcPr>
          <w:p w14:paraId="02345B09" w14:textId="77777777" w:rsidR="00967F4A" w:rsidRPr="00967F4A" w:rsidRDefault="00967F4A" w:rsidP="00967F4A">
            <w:pPr>
              <w:spacing w:after="0" w:line="240" w:lineRule="auto"/>
              <w:rPr>
                <w:rFonts w:ascii="Calibri" w:eastAsia="Times New Roman" w:hAnsi="Calibri" w:cs="Calibri"/>
                <w:b/>
                <w:bCs/>
                <w:color w:val="FFFFFF"/>
                <w:sz w:val="20"/>
                <w:szCs w:val="20"/>
                <w:lang w:val="es-CR" w:eastAsia="es-CR"/>
              </w:rPr>
            </w:pPr>
            <w:r w:rsidRPr="00967F4A">
              <w:rPr>
                <w:rFonts w:ascii="Calibri" w:eastAsia="Times New Roman" w:hAnsi="Calibri" w:cs="Calibri"/>
                <w:b/>
                <w:bCs/>
                <w:color w:val="FFFFFF"/>
                <w:sz w:val="20"/>
                <w:szCs w:val="20"/>
                <w:lang w:val="es-CR" w:eastAsia="es-CR"/>
              </w:rPr>
              <w:t>Estado</w:t>
            </w:r>
          </w:p>
        </w:tc>
        <w:tc>
          <w:tcPr>
            <w:tcW w:w="0" w:type="auto"/>
            <w:vMerge/>
            <w:tcBorders>
              <w:top w:val="single" w:sz="8" w:space="0" w:color="8DB3E2"/>
              <w:left w:val="single" w:sz="8" w:space="0" w:color="8DB3E2"/>
              <w:bottom w:val="single" w:sz="8" w:space="0" w:color="95B3D7"/>
              <w:right w:val="single" w:sz="8" w:space="0" w:color="8DB3E2"/>
            </w:tcBorders>
            <w:vAlign w:val="center"/>
            <w:hideMark/>
          </w:tcPr>
          <w:p w14:paraId="2D95287C" w14:textId="77777777" w:rsidR="00967F4A" w:rsidRPr="00967F4A" w:rsidRDefault="00967F4A" w:rsidP="00967F4A">
            <w:pPr>
              <w:spacing w:after="0" w:line="240" w:lineRule="auto"/>
              <w:rPr>
                <w:rFonts w:ascii="Calibri" w:eastAsia="Times New Roman" w:hAnsi="Calibri" w:cs="Calibri"/>
                <w:b/>
                <w:bCs/>
                <w:color w:val="FFFFFF"/>
                <w:sz w:val="20"/>
                <w:szCs w:val="20"/>
                <w:lang w:val="es-CR" w:eastAsia="es-CR"/>
              </w:rPr>
            </w:pPr>
          </w:p>
        </w:tc>
      </w:tr>
      <w:tr w:rsidR="00967F4A" w:rsidRPr="00967F4A" w14:paraId="302A44EF" w14:textId="77777777" w:rsidTr="006D71EB">
        <w:trPr>
          <w:trHeight w:val="234"/>
          <w:jc w:val="center"/>
        </w:trPr>
        <w:tc>
          <w:tcPr>
            <w:tcW w:w="0" w:type="auto"/>
            <w:tcBorders>
              <w:top w:val="nil"/>
              <w:left w:val="single" w:sz="8" w:space="0" w:color="95B3D7"/>
              <w:bottom w:val="single" w:sz="8" w:space="0" w:color="95B3D7"/>
              <w:right w:val="single" w:sz="8" w:space="0" w:color="95B3D7"/>
            </w:tcBorders>
            <w:shd w:val="clear" w:color="auto" w:fill="auto"/>
            <w:noWrap/>
            <w:vAlign w:val="center"/>
            <w:hideMark/>
          </w:tcPr>
          <w:p w14:paraId="5EA6C141" w14:textId="77777777" w:rsidR="00967F4A" w:rsidRPr="00967F4A" w:rsidRDefault="00967F4A" w:rsidP="00967F4A">
            <w:pPr>
              <w:spacing w:after="0" w:line="240" w:lineRule="auto"/>
              <w:rPr>
                <w:rFonts w:ascii="Calibri" w:eastAsia="Times New Roman" w:hAnsi="Calibri" w:cs="Calibri"/>
                <w:b/>
                <w:bCs/>
                <w:sz w:val="20"/>
                <w:szCs w:val="20"/>
                <w:lang w:val="es-CR" w:eastAsia="es-CR"/>
              </w:rPr>
            </w:pPr>
            <w:r w:rsidRPr="00967F4A">
              <w:rPr>
                <w:rFonts w:ascii="Calibri" w:eastAsia="Times New Roman" w:hAnsi="Calibri" w:cs="Calibri"/>
                <w:b/>
                <w:bCs/>
                <w:sz w:val="20"/>
                <w:szCs w:val="20"/>
                <w:lang w:val="es-CR" w:eastAsia="es-CR"/>
              </w:rPr>
              <w:t>Régimen Básico (RIVM)*</w:t>
            </w:r>
          </w:p>
        </w:tc>
        <w:tc>
          <w:tcPr>
            <w:tcW w:w="1070" w:type="dxa"/>
            <w:tcBorders>
              <w:top w:val="nil"/>
              <w:left w:val="nil"/>
              <w:bottom w:val="single" w:sz="8" w:space="0" w:color="95B3D7"/>
              <w:right w:val="single" w:sz="8" w:space="0" w:color="95B3D7"/>
            </w:tcBorders>
            <w:shd w:val="clear" w:color="auto" w:fill="auto"/>
            <w:vAlign w:val="center"/>
            <w:hideMark/>
          </w:tcPr>
          <w:p w14:paraId="3E50B919" w14:textId="77777777" w:rsidR="00967F4A" w:rsidRPr="00967F4A" w:rsidRDefault="00967F4A" w:rsidP="00967F4A">
            <w:pPr>
              <w:spacing w:after="0" w:line="240" w:lineRule="auto"/>
              <w:jc w:val="right"/>
              <w:rPr>
                <w:rFonts w:ascii="Calibri" w:eastAsia="Times New Roman" w:hAnsi="Calibri" w:cs="Calibri"/>
                <w:sz w:val="18"/>
                <w:szCs w:val="18"/>
                <w:lang w:val="es-CR" w:eastAsia="es-CR"/>
              </w:rPr>
            </w:pPr>
            <w:r w:rsidRPr="00967F4A">
              <w:rPr>
                <w:rFonts w:ascii="Calibri" w:eastAsia="Times New Roman" w:hAnsi="Calibri" w:cs="Calibri"/>
                <w:sz w:val="18"/>
                <w:szCs w:val="18"/>
                <w:lang w:val="es-CR" w:eastAsia="es-CR"/>
              </w:rPr>
              <w:t>1 343 909</w:t>
            </w:r>
          </w:p>
        </w:tc>
        <w:tc>
          <w:tcPr>
            <w:tcW w:w="0" w:type="auto"/>
            <w:tcBorders>
              <w:top w:val="nil"/>
              <w:left w:val="nil"/>
              <w:bottom w:val="single" w:sz="8" w:space="0" w:color="95B3D7"/>
              <w:right w:val="single" w:sz="8" w:space="0" w:color="95B3D7"/>
            </w:tcBorders>
            <w:shd w:val="clear" w:color="auto" w:fill="auto"/>
            <w:vAlign w:val="center"/>
            <w:hideMark/>
          </w:tcPr>
          <w:p w14:paraId="39D9CFCC" w14:textId="77777777" w:rsidR="00967F4A" w:rsidRPr="00967F4A" w:rsidRDefault="00967F4A" w:rsidP="00967F4A">
            <w:pPr>
              <w:spacing w:after="0" w:line="240" w:lineRule="auto"/>
              <w:jc w:val="right"/>
              <w:rPr>
                <w:rFonts w:ascii="Calibri" w:eastAsia="Times New Roman" w:hAnsi="Calibri" w:cs="Calibri"/>
                <w:sz w:val="18"/>
                <w:szCs w:val="18"/>
                <w:lang w:val="es-CR" w:eastAsia="es-CR"/>
              </w:rPr>
            </w:pPr>
            <w:r w:rsidRPr="00967F4A">
              <w:rPr>
                <w:rFonts w:ascii="Calibri" w:eastAsia="Times New Roman" w:hAnsi="Calibri" w:cs="Calibri"/>
                <w:sz w:val="18"/>
                <w:szCs w:val="18"/>
                <w:lang w:val="es-CR" w:eastAsia="es-CR"/>
              </w:rPr>
              <w:t>300 590</w:t>
            </w:r>
          </w:p>
        </w:tc>
        <w:tc>
          <w:tcPr>
            <w:tcW w:w="0" w:type="auto"/>
            <w:tcBorders>
              <w:top w:val="nil"/>
              <w:left w:val="nil"/>
              <w:bottom w:val="single" w:sz="8" w:space="0" w:color="95B3D7"/>
              <w:right w:val="single" w:sz="8" w:space="0" w:color="95B3D7"/>
            </w:tcBorders>
            <w:shd w:val="clear" w:color="auto" w:fill="auto"/>
            <w:noWrap/>
            <w:vAlign w:val="center"/>
            <w:hideMark/>
          </w:tcPr>
          <w:p w14:paraId="7405852C"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4%</w:t>
            </w:r>
          </w:p>
        </w:tc>
        <w:tc>
          <w:tcPr>
            <w:tcW w:w="0" w:type="auto"/>
            <w:tcBorders>
              <w:top w:val="nil"/>
              <w:left w:val="nil"/>
              <w:bottom w:val="single" w:sz="8" w:space="0" w:color="95B3D7"/>
              <w:right w:val="single" w:sz="8" w:space="0" w:color="95B3D7"/>
            </w:tcBorders>
            <w:shd w:val="clear" w:color="auto" w:fill="auto"/>
            <w:noWrap/>
            <w:vAlign w:val="center"/>
            <w:hideMark/>
          </w:tcPr>
          <w:p w14:paraId="12D2CE71"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5,25%</w:t>
            </w:r>
          </w:p>
        </w:tc>
        <w:tc>
          <w:tcPr>
            <w:tcW w:w="0" w:type="auto"/>
            <w:tcBorders>
              <w:top w:val="nil"/>
              <w:left w:val="nil"/>
              <w:bottom w:val="single" w:sz="8" w:space="0" w:color="95B3D7"/>
              <w:right w:val="single" w:sz="8" w:space="0" w:color="95B3D7"/>
            </w:tcBorders>
            <w:shd w:val="clear" w:color="auto" w:fill="auto"/>
            <w:noWrap/>
            <w:vAlign w:val="center"/>
            <w:hideMark/>
          </w:tcPr>
          <w:p w14:paraId="3C46766E"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1,41%</w:t>
            </w:r>
          </w:p>
        </w:tc>
        <w:tc>
          <w:tcPr>
            <w:tcW w:w="0" w:type="auto"/>
            <w:tcBorders>
              <w:top w:val="nil"/>
              <w:left w:val="nil"/>
              <w:bottom w:val="single" w:sz="8" w:space="0" w:color="95B3D7"/>
              <w:right w:val="single" w:sz="8" w:space="0" w:color="95B3D7"/>
            </w:tcBorders>
            <w:shd w:val="clear" w:color="auto" w:fill="auto"/>
            <w:noWrap/>
            <w:vAlign w:val="center"/>
            <w:hideMark/>
          </w:tcPr>
          <w:p w14:paraId="763A2855" w14:textId="77777777" w:rsidR="00967F4A" w:rsidRPr="00967F4A" w:rsidRDefault="00967F4A" w:rsidP="00967F4A">
            <w:pPr>
              <w:spacing w:after="0" w:line="240" w:lineRule="auto"/>
              <w:jc w:val="right"/>
              <w:rPr>
                <w:rFonts w:ascii="Calibri" w:eastAsia="Times New Roman" w:hAnsi="Calibri" w:cs="Calibri"/>
                <w:sz w:val="18"/>
                <w:szCs w:val="18"/>
                <w:lang w:val="es-CR" w:eastAsia="es-CR"/>
              </w:rPr>
            </w:pPr>
            <w:r w:rsidRPr="00967F4A">
              <w:rPr>
                <w:rFonts w:ascii="Calibri" w:eastAsia="Times New Roman" w:hAnsi="Calibri" w:cs="Calibri"/>
                <w:sz w:val="18"/>
                <w:szCs w:val="18"/>
                <w:lang w:val="es-CR" w:eastAsia="es-CR"/>
              </w:rPr>
              <w:t>285 591</w:t>
            </w:r>
          </w:p>
        </w:tc>
      </w:tr>
      <w:tr w:rsidR="00967F4A" w:rsidRPr="00967F4A" w14:paraId="73265773" w14:textId="77777777" w:rsidTr="006D71EB">
        <w:trPr>
          <w:trHeight w:val="234"/>
          <w:jc w:val="center"/>
        </w:trPr>
        <w:tc>
          <w:tcPr>
            <w:tcW w:w="9971" w:type="dxa"/>
            <w:gridSpan w:val="7"/>
            <w:tcBorders>
              <w:top w:val="single" w:sz="8" w:space="0" w:color="95B3D7"/>
              <w:left w:val="single" w:sz="8" w:space="0" w:color="95B3D7"/>
              <w:bottom w:val="single" w:sz="8" w:space="0" w:color="95B3D7"/>
              <w:right w:val="single" w:sz="8" w:space="0" w:color="95B3D7"/>
            </w:tcBorders>
            <w:shd w:val="clear" w:color="000000" w:fill="DBE5F1"/>
            <w:noWrap/>
            <w:vAlign w:val="center"/>
            <w:hideMark/>
          </w:tcPr>
          <w:p w14:paraId="60A348A2" w14:textId="77777777" w:rsidR="00967F4A" w:rsidRPr="00967F4A" w:rsidRDefault="00967F4A" w:rsidP="00967F4A">
            <w:pPr>
              <w:spacing w:after="0" w:line="240" w:lineRule="auto"/>
              <w:rPr>
                <w:rFonts w:ascii="Calibri" w:eastAsia="Times New Roman" w:hAnsi="Calibri" w:cs="Calibri"/>
                <w:b/>
                <w:bCs/>
                <w:sz w:val="20"/>
                <w:szCs w:val="20"/>
                <w:lang w:val="es-CR" w:eastAsia="es-CR"/>
              </w:rPr>
            </w:pPr>
            <w:r w:rsidRPr="00967F4A">
              <w:rPr>
                <w:rFonts w:ascii="Calibri" w:eastAsia="Times New Roman" w:hAnsi="Calibri" w:cs="Calibri"/>
                <w:b/>
                <w:bCs/>
                <w:sz w:val="20"/>
                <w:szCs w:val="20"/>
                <w:lang w:val="es-CR" w:eastAsia="es-CR"/>
              </w:rPr>
              <w:t>Regímenes Básicos sustitutos</w:t>
            </w:r>
          </w:p>
        </w:tc>
      </w:tr>
      <w:tr w:rsidR="00967F4A" w:rsidRPr="00967F4A" w14:paraId="158E6A12" w14:textId="77777777" w:rsidTr="006D71EB">
        <w:trPr>
          <w:trHeight w:val="234"/>
          <w:jc w:val="center"/>
        </w:trPr>
        <w:tc>
          <w:tcPr>
            <w:tcW w:w="0" w:type="auto"/>
            <w:tcBorders>
              <w:top w:val="nil"/>
              <w:left w:val="single" w:sz="8" w:space="0" w:color="95B3D7"/>
              <w:bottom w:val="single" w:sz="8" w:space="0" w:color="95B3D7"/>
              <w:right w:val="single" w:sz="8" w:space="0" w:color="95B3D7"/>
            </w:tcBorders>
            <w:shd w:val="clear" w:color="auto" w:fill="auto"/>
            <w:noWrap/>
            <w:vAlign w:val="center"/>
            <w:hideMark/>
          </w:tcPr>
          <w:p w14:paraId="20F5C67F" w14:textId="77777777" w:rsidR="00967F4A" w:rsidRPr="00A95DB6" w:rsidRDefault="00967F4A" w:rsidP="00967F4A">
            <w:pPr>
              <w:spacing w:after="0" w:line="240" w:lineRule="auto"/>
              <w:rPr>
                <w:rFonts w:ascii="Calibri" w:eastAsia="Times New Roman" w:hAnsi="Calibri" w:cs="Calibri"/>
                <w:sz w:val="20"/>
                <w:szCs w:val="20"/>
                <w:lang w:val="es-CR" w:eastAsia="es-CR"/>
              </w:rPr>
            </w:pPr>
            <w:r w:rsidRPr="00A95DB6">
              <w:rPr>
                <w:rFonts w:ascii="Calibri" w:eastAsia="Times New Roman" w:hAnsi="Calibri" w:cs="Calibri"/>
                <w:sz w:val="20"/>
                <w:szCs w:val="20"/>
                <w:lang w:val="es-CR" w:eastAsia="es-CR"/>
              </w:rPr>
              <w:t xml:space="preserve">   RCCMN**</w:t>
            </w:r>
          </w:p>
        </w:tc>
        <w:tc>
          <w:tcPr>
            <w:tcW w:w="1070" w:type="dxa"/>
            <w:tcBorders>
              <w:top w:val="nil"/>
              <w:left w:val="nil"/>
              <w:bottom w:val="single" w:sz="8" w:space="0" w:color="95B3D7"/>
              <w:right w:val="single" w:sz="8" w:space="0" w:color="95B3D7"/>
            </w:tcBorders>
            <w:shd w:val="clear" w:color="auto" w:fill="auto"/>
            <w:vAlign w:val="center"/>
            <w:hideMark/>
          </w:tcPr>
          <w:p w14:paraId="0FCCC963"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94 887</w:t>
            </w:r>
          </w:p>
        </w:tc>
        <w:tc>
          <w:tcPr>
            <w:tcW w:w="0" w:type="auto"/>
            <w:tcBorders>
              <w:top w:val="nil"/>
              <w:left w:val="nil"/>
              <w:bottom w:val="single" w:sz="8" w:space="0" w:color="95B3D7"/>
              <w:right w:val="single" w:sz="8" w:space="0" w:color="95B3D7"/>
            </w:tcBorders>
            <w:shd w:val="clear" w:color="auto" w:fill="auto"/>
            <w:vAlign w:val="center"/>
            <w:hideMark/>
          </w:tcPr>
          <w:p w14:paraId="3E5686E0"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3 124</w:t>
            </w:r>
          </w:p>
        </w:tc>
        <w:tc>
          <w:tcPr>
            <w:tcW w:w="0" w:type="auto"/>
            <w:tcBorders>
              <w:top w:val="nil"/>
              <w:left w:val="nil"/>
              <w:bottom w:val="single" w:sz="8" w:space="0" w:color="95B3D7"/>
              <w:right w:val="single" w:sz="8" w:space="0" w:color="95B3D7"/>
            </w:tcBorders>
            <w:shd w:val="clear" w:color="auto" w:fill="auto"/>
            <w:noWrap/>
            <w:vAlign w:val="center"/>
            <w:hideMark/>
          </w:tcPr>
          <w:p w14:paraId="188103CA"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8%</w:t>
            </w:r>
          </w:p>
        </w:tc>
        <w:tc>
          <w:tcPr>
            <w:tcW w:w="0" w:type="auto"/>
            <w:tcBorders>
              <w:top w:val="nil"/>
              <w:left w:val="nil"/>
              <w:bottom w:val="single" w:sz="8" w:space="0" w:color="95B3D7"/>
              <w:right w:val="single" w:sz="8" w:space="0" w:color="95B3D7"/>
            </w:tcBorders>
            <w:shd w:val="clear" w:color="auto" w:fill="auto"/>
            <w:noWrap/>
            <w:vAlign w:val="center"/>
            <w:hideMark/>
          </w:tcPr>
          <w:p w14:paraId="287B09A4"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6,75%</w:t>
            </w:r>
          </w:p>
        </w:tc>
        <w:tc>
          <w:tcPr>
            <w:tcW w:w="0" w:type="auto"/>
            <w:tcBorders>
              <w:top w:val="nil"/>
              <w:left w:val="nil"/>
              <w:bottom w:val="single" w:sz="8" w:space="0" w:color="95B3D7"/>
              <w:right w:val="single" w:sz="8" w:space="0" w:color="95B3D7"/>
            </w:tcBorders>
            <w:shd w:val="clear" w:color="auto" w:fill="auto"/>
            <w:noWrap/>
            <w:vAlign w:val="center"/>
            <w:hideMark/>
          </w:tcPr>
          <w:p w14:paraId="132DA755"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1,41%</w:t>
            </w:r>
          </w:p>
        </w:tc>
        <w:tc>
          <w:tcPr>
            <w:tcW w:w="0" w:type="auto"/>
            <w:tcBorders>
              <w:top w:val="nil"/>
              <w:left w:val="nil"/>
              <w:bottom w:val="single" w:sz="8" w:space="0" w:color="95B3D7"/>
              <w:right w:val="single" w:sz="8" w:space="0" w:color="95B3D7"/>
            </w:tcBorders>
            <w:shd w:val="clear" w:color="auto" w:fill="auto"/>
            <w:noWrap/>
            <w:vAlign w:val="center"/>
            <w:hideMark/>
          </w:tcPr>
          <w:p w14:paraId="597917AF"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387 515</w:t>
            </w:r>
          </w:p>
        </w:tc>
      </w:tr>
      <w:tr w:rsidR="00967F4A" w:rsidRPr="00967F4A" w14:paraId="5D9874C2" w14:textId="77777777" w:rsidTr="006D71EB">
        <w:trPr>
          <w:trHeight w:val="234"/>
          <w:jc w:val="center"/>
        </w:trPr>
        <w:tc>
          <w:tcPr>
            <w:tcW w:w="0" w:type="auto"/>
            <w:tcBorders>
              <w:top w:val="nil"/>
              <w:left w:val="single" w:sz="8" w:space="0" w:color="95B3D7"/>
              <w:bottom w:val="single" w:sz="8" w:space="0" w:color="95B3D7"/>
              <w:right w:val="single" w:sz="8" w:space="0" w:color="95B3D7"/>
            </w:tcBorders>
            <w:shd w:val="clear" w:color="000000" w:fill="DBE5F1"/>
            <w:noWrap/>
            <w:vAlign w:val="center"/>
            <w:hideMark/>
          </w:tcPr>
          <w:p w14:paraId="1387F1AF" w14:textId="77777777" w:rsidR="00967F4A" w:rsidRPr="00A95DB6" w:rsidRDefault="00967F4A" w:rsidP="00967F4A">
            <w:pPr>
              <w:spacing w:after="0" w:line="240" w:lineRule="auto"/>
              <w:rPr>
                <w:rFonts w:ascii="Calibri" w:eastAsia="Times New Roman" w:hAnsi="Calibri" w:cs="Calibri"/>
                <w:sz w:val="20"/>
                <w:szCs w:val="20"/>
                <w:lang w:val="es-CR" w:eastAsia="es-CR"/>
              </w:rPr>
            </w:pPr>
            <w:r w:rsidRPr="00A95DB6">
              <w:rPr>
                <w:rFonts w:ascii="Calibri" w:eastAsia="Times New Roman" w:hAnsi="Calibri" w:cs="Calibri"/>
                <w:sz w:val="20"/>
                <w:szCs w:val="20"/>
                <w:lang w:val="es-CR" w:eastAsia="es-CR"/>
              </w:rPr>
              <w:t xml:space="preserve">   FPJ</w:t>
            </w:r>
          </w:p>
        </w:tc>
        <w:tc>
          <w:tcPr>
            <w:tcW w:w="1070" w:type="dxa"/>
            <w:tcBorders>
              <w:top w:val="nil"/>
              <w:left w:val="nil"/>
              <w:bottom w:val="single" w:sz="8" w:space="0" w:color="95B3D7"/>
              <w:right w:val="single" w:sz="8" w:space="0" w:color="95B3D7"/>
            </w:tcBorders>
            <w:shd w:val="clear" w:color="000000" w:fill="DBE5F1"/>
            <w:vAlign w:val="center"/>
            <w:hideMark/>
          </w:tcPr>
          <w:p w14:paraId="614F8271"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13 710</w:t>
            </w:r>
          </w:p>
        </w:tc>
        <w:tc>
          <w:tcPr>
            <w:tcW w:w="0" w:type="auto"/>
            <w:tcBorders>
              <w:top w:val="nil"/>
              <w:left w:val="nil"/>
              <w:bottom w:val="single" w:sz="8" w:space="0" w:color="95B3D7"/>
              <w:right w:val="single" w:sz="8" w:space="0" w:color="95B3D7"/>
            </w:tcBorders>
            <w:shd w:val="clear" w:color="000000" w:fill="DBE5F1"/>
            <w:vAlign w:val="center"/>
            <w:hideMark/>
          </w:tcPr>
          <w:p w14:paraId="424C07E9"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4 228</w:t>
            </w:r>
          </w:p>
        </w:tc>
        <w:tc>
          <w:tcPr>
            <w:tcW w:w="0" w:type="auto"/>
            <w:tcBorders>
              <w:top w:val="nil"/>
              <w:left w:val="nil"/>
              <w:bottom w:val="single" w:sz="8" w:space="0" w:color="95B3D7"/>
              <w:right w:val="single" w:sz="8" w:space="0" w:color="95B3D7"/>
            </w:tcBorders>
            <w:shd w:val="clear" w:color="000000" w:fill="DBE5F1"/>
            <w:noWrap/>
            <w:vAlign w:val="center"/>
            <w:hideMark/>
          </w:tcPr>
          <w:p w14:paraId="79D84DD5"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13%***</w:t>
            </w:r>
          </w:p>
        </w:tc>
        <w:tc>
          <w:tcPr>
            <w:tcW w:w="0" w:type="auto"/>
            <w:tcBorders>
              <w:top w:val="nil"/>
              <w:left w:val="nil"/>
              <w:bottom w:val="single" w:sz="8" w:space="0" w:color="95B3D7"/>
              <w:right w:val="single" w:sz="8" w:space="0" w:color="95B3D7"/>
            </w:tcBorders>
            <w:shd w:val="clear" w:color="000000" w:fill="DBE5F1"/>
            <w:noWrap/>
            <w:vAlign w:val="center"/>
            <w:hideMark/>
          </w:tcPr>
          <w:p w14:paraId="7A2EDC90"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14,36%</w:t>
            </w:r>
          </w:p>
        </w:tc>
        <w:tc>
          <w:tcPr>
            <w:tcW w:w="0" w:type="auto"/>
            <w:tcBorders>
              <w:top w:val="nil"/>
              <w:left w:val="nil"/>
              <w:bottom w:val="single" w:sz="8" w:space="0" w:color="95B3D7"/>
              <w:right w:val="single" w:sz="8" w:space="0" w:color="95B3D7"/>
            </w:tcBorders>
            <w:shd w:val="clear" w:color="000000" w:fill="DBE5F1"/>
            <w:noWrap/>
            <w:vAlign w:val="center"/>
            <w:hideMark/>
          </w:tcPr>
          <w:p w14:paraId="72D067A3"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1,41%</w:t>
            </w:r>
          </w:p>
        </w:tc>
        <w:tc>
          <w:tcPr>
            <w:tcW w:w="0" w:type="auto"/>
            <w:tcBorders>
              <w:top w:val="nil"/>
              <w:left w:val="nil"/>
              <w:bottom w:val="single" w:sz="8" w:space="0" w:color="95B3D7"/>
              <w:right w:val="single" w:sz="8" w:space="0" w:color="95B3D7"/>
            </w:tcBorders>
            <w:shd w:val="clear" w:color="000000" w:fill="DBE5F1"/>
            <w:noWrap/>
            <w:vAlign w:val="center"/>
            <w:hideMark/>
          </w:tcPr>
          <w:p w14:paraId="4024C4A3"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1 856 890</w:t>
            </w:r>
          </w:p>
        </w:tc>
      </w:tr>
      <w:tr w:rsidR="00967F4A" w:rsidRPr="00967F4A" w14:paraId="4AB644DD" w14:textId="77777777" w:rsidTr="006D71EB">
        <w:trPr>
          <w:trHeight w:val="234"/>
          <w:jc w:val="center"/>
        </w:trPr>
        <w:tc>
          <w:tcPr>
            <w:tcW w:w="0" w:type="auto"/>
            <w:tcBorders>
              <w:top w:val="nil"/>
              <w:left w:val="single" w:sz="8" w:space="0" w:color="95B3D7"/>
              <w:bottom w:val="single" w:sz="8" w:space="0" w:color="95B3D7"/>
              <w:right w:val="single" w:sz="8" w:space="0" w:color="95B3D7"/>
            </w:tcBorders>
            <w:shd w:val="clear" w:color="auto" w:fill="auto"/>
            <w:noWrap/>
            <w:vAlign w:val="center"/>
            <w:hideMark/>
          </w:tcPr>
          <w:p w14:paraId="3CC4249F" w14:textId="77777777" w:rsidR="00967F4A" w:rsidRPr="00A95DB6" w:rsidRDefault="00967F4A" w:rsidP="00967F4A">
            <w:pPr>
              <w:spacing w:after="0" w:line="240" w:lineRule="auto"/>
              <w:rPr>
                <w:rFonts w:ascii="Calibri" w:eastAsia="Times New Roman" w:hAnsi="Calibri" w:cs="Calibri"/>
                <w:sz w:val="20"/>
                <w:szCs w:val="20"/>
                <w:lang w:val="es-CR" w:eastAsia="es-CR"/>
              </w:rPr>
            </w:pPr>
            <w:r w:rsidRPr="00A95DB6">
              <w:rPr>
                <w:rFonts w:ascii="Calibri" w:eastAsia="Times New Roman" w:hAnsi="Calibri" w:cs="Calibri"/>
                <w:sz w:val="20"/>
                <w:szCs w:val="20"/>
                <w:lang w:val="es-CR" w:eastAsia="es-CR"/>
              </w:rPr>
              <w:t xml:space="preserve">   FBOMBEROS</w:t>
            </w:r>
          </w:p>
        </w:tc>
        <w:tc>
          <w:tcPr>
            <w:tcW w:w="1070" w:type="dxa"/>
            <w:tcBorders>
              <w:top w:val="nil"/>
              <w:left w:val="nil"/>
              <w:bottom w:val="single" w:sz="8" w:space="0" w:color="95B3D7"/>
              <w:right w:val="single" w:sz="8" w:space="0" w:color="95B3D7"/>
            </w:tcBorders>
            <w:shd w:val="clear" w:color="auto" w:fill="auto"/>
            <w:vAlign w:val="center"/>
            <w:hideMark/>
          </w:tcPr>
          <w:p w14:paraId="4BBDC20D"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2</w:t>
            </w:r>
          </w:p>
        </w:tc>
        <w:tc>
          <w:tcPr>
            <w:tcW w:w="0" w:type="auto"/>
            <w:tcBorders>
              <w:top w:val="nil"/>
              <w:left w:val="nil"/>
              <w:bottom w:val="single" w:sz="8" w:space="0" w:color="95B3D7"/>
              <w:right w:val="single" w:sz="8" w:space="0" w:color="95B3D7"/>
            </w:tcBorders>
            <w:shd w:val="clear" w:color="auto" w:fill="auto"/>
            <w:vAlign w:val="center"/>
            <w:hideMark/>
          </w:tcPr>
          <w:p w14:paraId="49CA41D7"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221</w:t>
            </w:r>
          </w:p>
        </w:tc>
        <w:tc>
          <w:tcPr>
            <w:tcW w:w="0" w:type="auto"/>
            <w:tcBorders>
              <w:top w:val="nil"/>
              <w:left w:val="nil"/>
              <w:bottom w:val="single" w:sz="8" w:space="0" w:color="95B3D7"/>
              <w:right w:val="single" w:sz="8" w:space="0" w:color="95B3D7"/>
            </w:tcBorders>
            <w:shd w:val="clear" w:color="auto" w:fill="auto"/>
            <w:noWrap/>
            <w:vAlign w:val="center"/>
            <w:hideMark/>
          </w:tcPr>
          <w:p w14:paraId="6F4CBC21"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12,50%</w:t>
            </w:r>
          </w:p>
        </w:tc>
        <w:tc>
          <w:tcPr>
            <w:tcW w:w="0" w:type="auto"/>
            <w:tcBorders>
              <w:top w:val="nil"/>
              <w:left w:val="nil"/>
              <w:bottom w:val="single" w:sz="8" w:space="0" w:color="95B3D7"/>
              <w:right w:val="single" w:sz="8" w:space="0" w:color="95B3D7"/>
            </w:tcBorders>
            <w:shd w:val="clear" w:color="auto" w:fill="auto"/>
            <w:noWrap/>
            <w:vAlign w:val="center"/>
            <w:hideMark/>
          </w:tcPr>
          <w:p w14:paraId="6DDA34D2"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37,50%</w:t>
            </w:r>
          </w:p>
        </w:tc>
        <w:tc>
          <w:tcPr>
            <w:tcW w:w="0" w:type="auto"/>
            <w:tcBorders>
              <w:top w:val="nil"/>
              <w:left w:val="nil"/>
              <w:bottom w:val="single" w:sz="8" w:space="0" w:color="95B3D7"/>
              <w:right w:val="single" w:sz="8" w:space="0" w:color="95B3D7"/>
            </w:tcBorders>
            <w:shd w:val="clear" w:color="auto" w:fill="auto"/>
            <w:noWrap/>
            <w:vAlign w:val="center"/>
            <w:hideMark/>
          </w:tcPr>
          <w:p w14:paraId="67295FC9"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0%</w:t>
            </w:r>
          </w:p>
        </w:tc>
        <w:tc>
          <w:tcPr>
            <w:tcW w:w="0" w:type="auto"/>
            <w:tcBorders>
              <w:top w:val="nil"/>
              <w:left w:val="nil"/>
              <w:bottom w:val="single" w:sz="8" w:space="0" w:color="95B3D7"/>
              <w:right w:val="single" w:sz="8" w:space="0" w:color="95B3D7"/>
            </w:tcBorders>
            <w:shd w:val="clear" w:color="auto" w:fill="auto"/>
            <w:noWrap/>
            <w:vAlign w:val="center"/>
            <w:hideMark/>
          </w:tcPr>
          <w:p w14:paraId="394C99D5"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929 196</w:t>
            </w:r>
          </w:p>
        </w:tc>
      </w:tr>
      <w:tr w:rsidR="00967F4A" w:rsidRPr="00967F4A" w14:paraId="4300D801" w14:textId="77777777" w:rsidTr="006D71EB">
        <w:trPr>
          <w:trHeight w:val="234"/>
          <w:jc w:val="center"/>
        </w:trPr>
        <w:tc>
          <w:tcPr>
            <w:tcW w:w="9971" w:type="dxa"/>
            <w:gridSpan w:val="7"/>
            <w:tcBorders>
              <w:top w:val="single" w:sz="8" w:space="0" w:color="95B3D7"/>
              <w:left w:val="single" w:sz="8" w:space="0" w:color="95B3D7"/>
              <w:bottom w:val="single" w:sz="8" w:space="0" w:color="95B3D7"/>
              <w:right w:val="single" w:sz="8" w:space="0" w:color="95B3D7"/>
            </w:tcBorders>
            <w:shd w:val="clear" w:color="000000" w:fill="DBE5F1"/>
            <w:noWrap/>
            <w:vAlign w:val="center"/>
            <w:hideMark/>
          </w:tcPr>
          <w:p w14:paraId="4D7CACDF" w14:textId="77777777" w:rsidR="00967F4A" w:rsidRPr="00967F4A" w:rsidRDefault="00967F4A" w:rsidP="00967F4A">
            <w:pPr>
              <w:spacing w:after="0" w:line="240" w:lineRule="auto"/>
              <w:rPr>
                <w:rFonts w:ascii="Calibri" w:eastAsia="Times New Roman" w:hAnsi="Calibri" w:cs="Calibri"/>
                <w:b/>
                <w:bCs/>
                <w:sz w:val="20"/>
                <w:szCs w:val="20"/>
                <w:lang w:val="es-CR" w:eastAsia="es-CR"/>
              </w:rPr>
            </w:pPr>
            <w:r w:rsidRPr="00967F4A">
              <w:rPr>
                <w:rFonts w:ascii="Calibri" w:eastAsia="Times New Roman" w:hAnsi="Calibri" w:cs="Calibri"/>
                <w:b/>
                <w:bCs/>
                <w:sz w:val="20"/>
                <w:szCs w:val="20"/>
                <w:lang w:val="es-CR" w:eastAsia="es-CR"/>
              </w:rPr>
              <w:t>Regímenes Ocupacionales Complementarios</w:t>
            </w:r>
          </w:p>
        </w:tc>
      </w:tr>
      <w:tr w:rsidR="00967F4A" w:rsidRPr="00967F4A" w14:paraId="0E275D0F" w14:textId="77777777" w:rsidTr="006D71EB">
        <w:trPr>
          <w:trHeight w:val="234"/>
          <w:jc w:val="center"/>
        </w:trPr>
        <w:tc>
          <w:tcPr>
            <w:tcW w:w="0" w:type="auto"/>
            <w:tcBorders>
              <w:top w:val="nil"/>
              <w:left w:val="single" w:sz="8" w:space="0" w:color="95B3D7"/>
              <w:bottom w:val="single" w:sz="8" w:space="0" w:color="95B3D7"/>
              <w:right w:val="single" w:sz="8" w:space="0" w:color="95B3D7"/>
            </w:tcBorders>
            <w:shd w:val="clear" w:color="auto" w:fill="auto"/>
            <w:noWrap/>
            <w:vAlign w:val="center"/>
            <w:hideMark/>
          </w:tcPr>
          <w:p w14:paraId="126B74E9" w14:textId="77777777" w:rsidR="00967F4A" w:rsidRPr="00A95DB6" w:rsidRDefault="00967F4A" w:rsidP="00967F4A">
            <w:pPr>
              <w:spacing w:after="0" w:line="240" w:lineRule="auto"/>
              <w:rPr>
                <w:rFonts w:ascii="Calibri" w:eastAsia="Times New Roman" w:hAnsi="Calibri" w:cs="Calibri"/>
                <w:sz w:val="20"/>
                <w:szCs w:val="20"/>
                <w:lang w:val="es-CR" w:eastAsia="es-CR"/>
              </w:rPr>
            </w:pPr>
            <w:r w:rsidRPr="00A95DB6">
              <w:rPr>
                <w:rFonts w:ascii="Calibri" w:eastAsia="Times New Roman" w:hAnsi="Calibri" w:cs="Calibri"/>
                <w:sz w:val="20"/>
                <w:szCs w:val="20"/>
                <w:lang w:val="es-CR" w:eastAsia="es-CR"/>
              </w:rPr>
              <w:t xml:space="preserve">   FBNCR </w:t>
            </w:r>
          </w:p>
        </w:tc>
        <w:tc>
          <w:tcPr>
            <w:tcW w:w="1070" w:type="dxa"/>
            <w:tcBorders>
              <w:top w:val="nil"/>
              <w:left w:val="nil"/>
              <w:bottom w:val="single" w:sz="8" w:space="0" w:color="95B3D7"/>
              <w:right w:val="single" w:sz="8" w:space="0" w:color="95B3D7"/>
            </w:tcBorders>
            <w:shd w:val="clear" w:color="auto" w:fill="auto"/>
            <w:vAlign w:val="center"/>
            <w:hideMark/>
          </w:tcPr>
          <w:p w14:paraId="3F70BA41"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5 121</w:t>
            </w:r>
          </w:p>
        </w:tc>
        <w:tc>
          <w:tcPr>
            <w:tcW w:w="0" w:type="auto"/>
            <w:tcBorders>
              <w:top w:val="nil"/>
              <w:left w:val="nil"/>
              <w:bottom w:val="single" w:sz="8" w:space="0" w:color="95B3D7"/>
              <w:right w:val="single" w:sz="8" w:space="0" w:color="95B3D7"/>
            </w:tcBorders>
            <w:shd w:val="clear" w:color="auto" w:fill="auto"/>
            <w:vAlign w:val="center"/>
            <w:hideMark/>
          </w:tcPr>
          <w:p w14:paraId="62A61E83"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1 587</w:t>
            </w:r>
          </w:p>
        </w:tc>
        <w:tc>
          <w:tcPr>
            <w:tcW w:w="0" w:type="auto"/>
            <w:tcBorders>
              <w:top w:val="nil"/>
              <w:left w:val="nil"/>
              <w:bottom w:val="single" w:sz="8" w:space="0" w:color="95B3D7"/>
              <w:right w:val="single" w:sz="8" w:space="0" w:color="95B3D7"/>
            </w:tcBorders>
            <w:shd w:val="clear" w:color="auto" w:fill="auto"/>
            <w:noWrap/>
            <w:vAlign w:val="center"/>
            <w:hideMark/>
          </w:tcPr>
          <w:p w14:paraId="19ED6BB2"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5,50%</w:t>
            </w:r>
          </w:p>
        </w:tc>
        <w:tc>
          <w:tcPr>
            <w:tcW w:w="0" w:type="auto"/>
            <w:tcBorders>
              <w:top w:val="nil"/>
              <w:left w:val="nil"/>
              <w:bottom w:val="single" w:sz="8" w:space="0" w:color="95B3D7"/>
              <w:right w:val="single" w:sz="8" w:space="0" w:color="95B3D7"/>
            </w:tcBorders>
            <w:shd w:val="clear" w:color="auto" w:fill="auto"/>
            <w:noWrap/>
            <w:vAlign w:val="center"/>
            <w:hideMark/>
          </w:tcPr>
          <w:p w14:paraId="444958EA"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10%</w:t>
            </w:r>
          </w:p>
        </w:tc>
        <w:tc>
          <w:tcPr>
            <w:tcW w:w="0" w:type="auto"/>
            <w:tcBorders>
              <w:top w:val="nil"/>
              <w:left w:val="nil"/>
              <w:bottom w:val="single" w:sz="8" w:space="0" w:color="95B3D7"/>
              <w:right w:val="single" w:sz="8" w:space="0" w:color="95B3D7"/>
            </w:tcBorders>
            <w:shd w:val="clear" w:color="auto" w:fill="auto"/>
            <w:noWrap/>
            <w:vAlign w:val="center"/>
            <w:hideMark/>
          </w:tcPr>
          <w:p w14:paraId="4CE4ED43"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0%</w:t>
            </w:r>
          </w:p>
        </w:tc>
        <w:tc>
          <w:tcPr>
            <w:tcW w:w="0" w:type="auto"/>
            <w:tcBorders>
              <w:top w:val="nil"/>
              <w:left w:val="nil"/>
              <w:bottom w:val="single" w:sz="8" w:space="0" w:color="95B3D7"/>
              <w:right w:val="single" w:sz="8" w:space="0" w:color="95B3D7"/>
            </w:tcBorders>
            <w:shd w:val="clear" w:color="auto" w:fill="auto"/>
            <w:noWrap/>
            <w:vAlign w:val="center"/>
            <w:hideMark/>
          </w:tcPr>
          <w:p w14:paraId="056EFE88"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757 925</w:t>
            </w:r>
          </w:p>
        </w:tc>
      </w:tr>
      <w:tr w:rsidR="00967F4A" w:rsidRPr="00967F4A" w14:paraId="4291A4B2" w14:textId="77777777" w:rsidTr="006D71EB">
        <w:trPr>
          <w:trHeight w:val="234"/>
          <w:jc w:val="center"/>
        </w:trPr>
        <w:tc>
          <w:tcPr>
            <w:tcW w:w="0" w:type="auto"/>
            <w:tcBorders>
              <w:top w:val="nil"/>
              <w:left w:val="single" w:sz="8" w:space="0" w:color="95B3D7"/>
              <w:bottom w:val="single" w:sz="8" w:space="0" w:color="95B3D7"/>
              <w:right w:val="single" w:sz="8" w:space="0" w:color="95B3D7"/>
            </w:tcBorders>
            <w:shd w:val="clear" w:color="000000" w:fill="DBE5F1"/>
            <w:noWrap/>
            <w:vAlign w:val="center"/>
            <w:hideMark/>
          </w:tcPr>
          <w:p w14:paraId="1729BE07" w14:textId="77777777" w:rsidR="00967F4A" w:rsidRPr="00A95DB6" w:rsidRDefault="00967F4A" w:rsidP="00967F4A">
            <w:pPr>
              <w:spacing w:after="0" w:line="240" w:lineRule="auto"/>
              <w:rPr>
                <w:rFonts w:ascii="Calibri" w:eastAsia="Times New Roman" w:hAnsi="Calibri" w:cs="Calibri"/>
                <w:sz w:val="20"/>
                <w:szCs w:val="20"/>
                <w:lang w:val="es-CR" w:eastAsia="es-CR"/>
              </w:rPr>
            </w:pPr>
            <w:r w:rsidRPr="00A95DB6">
              <w:rPr>
                <w:rFonts w:ascii="Calibri" w:eastAsia="Times New Roman" w:hAnsi="Calibri" w:cs="Calibri"/>
                <w:sz w:val="20"/>
                <w:szCs w:val="20"/>
                <w:lang w:val="es-CR" w:eastAsia="es-CR"/>
              </w:rPr>
              <w:t xml:space="preserve">   FICE</w:t>
            </w:r>
          </w:p>
        </w:tc>
        <w:tc>
          <w:tcPr>
            <w:tcW w:w="1070" w:type="dxa"/>
            <w:tcBorders>
              <w:top w:val="nil"/>
              <w:left w:val="nil"/>
              <w:bottom w:val="single" w:sz="8" w:space="0" w:color="95B3D7"/>
              <w:right w:val="single" w:sz="8" w:space="0" w:color="95B3D7"/>
            </w:tcBorders>
            <w:shd w:val="clear" w:color="000000" w:fill="DBE5F1"/>
            <w:vAlign w:val="center"/>
            <w:hideMark/>
          </w:tcPr>
          <w:p w14:paraId="376BC126"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11 698</w:t>
            </w:r>
          </w:p>
        </w:tc>
        <w:tc>
          <w:tcPr>
            <w:tcW w:w="0" w:type="auto"/>
            <w:tcBorders>
              <w:top w:val="nil"/>
              <w:left w:val="nil"/>
              <w:bottom w:val="single" w:sz="8" w:space="0" w:color="95B3D7"/>
              <w:right w:val="single" w:sz="8" w:space="0" w:color="95B3D7"/>
            </w:tcBorders>
            <w:shd w:val="clear" w:color="000000" w:fill="DBE5F1"/>
            <w:vAlign w:val="center"/>
            <w:hideMark/>
          </w:tcPr>
          <w:p w14:paraId="3BDDA7E5"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4 416</w:t>
            </w:r>
          </w:p>
        </w:tc>
        <w:tc>
          <w:tcPr>
            <w:tcW w:w="0" w:type="auto"/>
            <w:tcBorders>
              <w:top w:val="nil"/>
              <w:left w:val="nil"/>
              <w:bottom w:val="single" w:sz="8" w:space="0" w:color="95B3D7"/>
              <w:right w:val="single" w:sz="8" w:space="0" w:color="95B3D7"/>
            </w:tcBorders>
            <w:shd w:val="clear" w:color="000000" w:fill="DBE5F1"/>
            <w:noWrap/>
            <w:vAlign w:val="center"/>
            <w:hideMark/>
          </w:tcPr>
          <w:p w14:paraId="417ED4E8"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1%</w:t>
            </w:r>
          </w:p>
        </w:tc>
        <w:tc>
          <w:tcPr>
            <w:tcW w:w="0" w:type="auto"/>
            <w:tcBorders>
              <w:top w:val="nil"/>
              <w:left w:val="nil"/>
              <w:bottom w:val="single" w:sz="8" w:space="0" w:color="95B3D7"/>
              <w:right w:val="single" w:sz="8" w:space="0" w:color="95B3D7"/>
            </w:tcBorders>
            <w:shd w:val="clear" w:color="000000" w:fill="DBE5F1"/>
            <w:noWrap/>
            <w:vAlign w:val="center"/>
            <w:hideMark/>
          </w:tcPr>
          <w:p w14:paraId="39BAA485"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4,50%</w:t>
            </w:r>
          </w:p>
        </w:tc>
        <w:tc>
          <w:tcPr>
            <w:tcW w:w="0" w:type="auto"/>
            <w:tcBorders>
              <w:top w:val="nil"/>
              <w:left w:val="nil"/>
              <w:bottom w:val="single" w:sz="8" w:space="0" w:color="95B3D7"/>
              <w:right w:val="single" w:sz="8" w:space="0" w:color="95B3D7"/>
            </w:tcBorders>
            <w:shd w:val="clear" w:color="000000" w:fill="DBE5F1"/>
            <w:noWrap/>
            <w:vAlign w:val="center"/>
            <w:hideMark/>
          </w:tcPr>
          <w:p w14:paraId="48464CCC"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0%</w:t>
            </w:r>
          </w:p>
        </w:tc>
        <w:tc>
          <w:tcPr>
            <w:tcW w:w="0" w:type="auto"/>
            <w:tcBorders>
              <w:top w:val="nil"/>
              <w:left w:val="nil"/>
              <w:bottom w:val="single" w:sz="8" w:space="0" w:color="95B3D7"/>
              <w:right w:val="single" w:sz="8" w:space="0" w:color="95B3D7"/>
            </w:tcBorders>
            <w:shd w:val="clear" w:color="000000" w:fill="DBE5F1"/>
            <w:noWrap/>
            <w:vAlign w:val="center"/>
            <w:hideMark/>
          </w:tcPr>
          <w:p w14:paraId="4BFCF6B7"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298 742</w:t>
            </w:r>
          </w:p>
        </w:tc>
      </w:tr>
      <w:tr w:rsidR="00967F4A" w:rsidRPr="00967F4A" w14:paraId="3D3BA05A" w14:textId="77777777" w:rsidTr="006D71EB">
        <w:trPr>
          <w:trHeight w:val="234"/>
          <w:jc w:val="center"/>
        </w:trPr>
        <w:tc>
          <w:tcPr>
            <w:tcW w:w="0" w:type="auto"/>
            <w:tcBorders>
              <w:top w:val="nil"/>
              <w:left w:val="single" w:sz="8" w:space="0" w:color="95B3D7"/>
              <w:bottom w:val="single" w:sz="8" w:space="0" w:color="95B3D7"/>
              <w:right w:val="single" w:sz="8" w:space="0" w:color="95B3D7"/>
            </w:tcBorders>
            <w:shd w:val="clear" w:color="auto" w:fill="auto"/>
            <w:noWrap/>
            <w:vAlign w:val="center"/>
            <w:hideMark/>
          </w:tcPr>
          <w:p w14:paraId="68680ED0" w14:textId="77777777" w:rsidR="00967F4A" w:rsidRPr="00A95DB6" w:rsidRDefault="00967F4A" w:rsidP="00967F4A">
            <w:pPr>
              <w:spacing w:after="0" w:line="240" w:lineRule="auto"/>
              <w:rPr>
                <w:rFonts w:ascii="Calibri" w:eastAsia="Times New Roman" w:hAnsi="Calibri" w:cs="Calibri"/>
                <w:sz w:val="20"/>
                <w:szCs w:val="20"/>
                <w:lang w:val="es-CR" w:eastAsia="es-CR"/>
              </w:rPr>
            </w:pPr>
            <w:r w:rsidRPr="00A95DB6">
              <w:rPr>
                <w:rFonts w:ascii="Calibri" w:eastAsia="Times New Roman" w:hAnsi="Calibri" w:cs="Calibri"/>
                <w:sz w:val="20"/>
                <w:szCs w:val="20"/>
                <w:lang w:val="es-CR" w:eastAsia="es-CR"/>
              </w:rPr>
              <w:t xml:space="preserve">   FRE</w:t>
            </w:r>
          </w:p>
        </w:tc>
        <w:tc>
          <w:tcPr>
            <w:tcW w:w="1070" w:type="dxa"/>
            <w:tcBorders>
              <w:top w:val="nil"/>
              <w:left w:val="nil"/>
              <w:bottom w:val="single" w:sz="8" w:space="0" w:color="95B3D7"/>
              <w:right w:val="single" w:sz="8" w:space="0" w:color="95B3D7"/>
            </w:tcBorders>
            <w:shd w:val="clear" w:color="auto" w:fill="auto"/>
            <w:vAlign w:val="center"/>
            <w:hideMark/>
          </w:tcPr>
          <w:p w14:paraId="7B0D2CB5"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60 876</w:t>
            </w:r>
          </w:p>
        </w:tc>
        <w:tc>
          <w:tcPr>
            <w:tcW w:w="0" w:type="auto"/>
            <w:tcBorders>
              <w:top w:val="nil"/>
              <w:left w:val="nil"/>
              <w:bottom w:val="single" w:sz="8" w:space="0" w:color="95B3D7"/>
              <w:right w:val="single" w:sz="8" w:space="0" w:color="95B3D7"/>
            </w:tcBorders>
            <w:shd w:val="clear" w:color="auto" w:fill="auto"/>
            <w:vAlign w:val="center"/>
            <w:hideMark/>
          </w:tcPr>
          <w:p w14:paraId="43791237"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18 331</w:t>
            </w:r>
          </w:p>
        </w:tc>
        <w:tc>
          <w:tcPr>
            <w:tcW w:w="0" w:type="auto"/>
            <w:tcBorders>
              <w:top w:val="nil"/>
              <w:left w:val="nil"/>
              <w:bottom w:val="single" w:sz="8" w:space="0" w:color="95B3D7"/>
              <w:right w:val="single" w:sz="8" w:space="0" w:color="95B3D7"/>
            </w:tcBorders>
            <w:shd w:val="clear" w:color="auto" w:fill="auto"/>
            <w:noWrap/>
            <w:vAlign w:val="center"/>
            <w:hideMark/>
          </w:tcPr>
          <w:p w14:paraId="16BCA891"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0%</w:t>
            </w:r>
          </w:p>
        </w:tc>
        <w:tc>
          <w:tcPr>
            <w:tcW w:w="0" w:type="auto"/>
            <w:tcBorders>
              <w:top w:val="nil"/>
              <w:left w:val="nil"/>
              <w:bottom w:val="single" w:sz="8" w:space="0" w:color="95B3D7"/>
              <w:right w:val="single" w:sz="8" w:space="0" w:color="95B3D7"/>
            </w:tcBorders>
            <w:shd w:val="clear" w:color="auto" w:fill="auto"/>
            <w:noWrap/>
            <w:vAlign w:val="center"/>
            <w:hideMark/>
          </w:tcPr>
          <w:p w14:paraId="5E9B7B52"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2%</w:t>
            </w:r>
          </w:p>
        </w:tc>
        <w:tc>
          <w:tcPr>
            <w:tcW w:w="0" w:type="auto"/>
            <w:tcBorders>
              <w:top w:val="nil"/>
              <w:left w:val="nil"/>
              <w:bottom w:val="single" w:sz="8" w:space="0" w:color="95B3D7"/>
              <w:right w:val="single" w:sz="8" w:space="0" w:color="95B3D7"/>
            </w:tcBorders>
            <w:shd w:val="clear" w:color="auto" w:fill="auto"/>
            <w:noWrap/>
            <w:vAlign w:val="center"/>
            <w:hideMark/>
          </w:tcPr>
          <w:p w14:paraId="0DD6DEEB"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0%</w:t>
            </w:r>
          </w:p>
        </w:tc>
        <w:tc>
          <w:tcPr>
            <w:tcW w:w="0" w:type="auto"/>
            <w:tcBorders>
              <w:top w:val="nil"/>
              <w:left w:val="nil"/>
              <w:bottom w:val="single" w:sz="8" w:space="0" w:color="95B3D7"/>
              <w:right w:val="single" w:sz="8" w:space="0" w:color="95B3D7"/>
            </w:tcBorders>
            <w:shd w:val="clear" w:color="auto" w:fill="auto"/>
            <w:noWrap/>
            <w:vAlign w:val="center"/>
            <w:hideMark/>
          </w:tcPr>
          <w:p w14:paraId="0732A6F4"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133 232</w:t>
            </w:r>
          </w:p>
        </w:tc>
      </w:tr>
      <w:tr w:rsidR="00967F4A" w:rsidRPr="00967F4A" w14:paraId="372E66C0" w14:textId="77777777" w:rsidTr="006D71EB">
        <w:trPr>
          <w:trHeight w:val="513"/>
          <w:jc w:val="center"/>
        </w:trPr>
        <w:tc>
          <w:tcPr>
            <w:tcW w:w="0" w:type="auto"/>
            <w:tcBorders>
              <w:top w:val="nil"/>
              <w:left w:val="single" w:sz="8" w:space="0" w:color="95B3D7"/>
              <w:bottom w:val="single" w:sz="8" w:space="0" w:color="95B3D7"/>
              <w:right w:val="single" w:sz="8" w:space="0" w:color="95B3D7"/>
            </w:tcBorders>
            <w:shd w:val="clear" w:color="000000" w:fill="DBE5F1"/>
            <w:noWrap/>
            <w:vAlign w:val="center"/>
            <w:hideMark/>
          </w:tcPr>
          <w:p w14:paraId="33838200" w14:textId="77777777" w:rsidR="00967F4A" w:rsidRPr="00A95DB6" w:rsidRDefault="00967F4A" w:rsidP="00967F4A">
            <w:pPr>
              <w:spacing w:after="0" w:line="240" w:lineRule="auto"/>
              <w:rPr>
                <w:rFonts w:ascii="Calibri" w:eastAsia="Times New Roman" w:hAnsi="Calibri" w:cs="Calibri"/>
                <w:sz w:val="20"/>
                <w:szCs w:val="20"/>
                <w:lang w:val="es-CR" w:eastAsia="es-CR"/>
              </w:rPr>
            </w:pPr>
            <w:r w:rsidRPr="00A95DB6">
              <w:rPr>
                <w:rFonts w:ascii="Calibri" w:eastAsia="Times New Roman" w:hAnsi="Calibri" w:cs="Calibri"/>
                <w:sz w:val="20"/>
                <w:szCs w:val="20"/>
                <w:lang w:val="es-CR" w:eastAsia="es-CR"/>
              </w:rPr>
              <w:t xml:space="preserve">   FVENTLOT</w:t>
            </w:r>
          </w:p>
        </w:tc>
        <w:tc>
          <w:tcPr>
            <w:tcW w:w="1070" w:type="dxa"/>
            <w:tcBorders>
              <w:top w:val="nil"/>
              <w:left w:val="nil"/>
              <w:bottom w:val="single" w:sz="8" w:space="0" w:color="95B3D7"/>
              <w:right w:val="single" w:sz="8" w:space="0" w:color="95B3D7"/>
            </w:tcBorders>
            <w:shd w:val="clear" w:color="000000" w:fill="DBE5F1"/>
            <w:vAlign w:val="center"/>
            <w:hideMark/>
          </w:tcPr>
          <w:p w14:paraId="571F03A7"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1 692</w:t>
            </w:r>
          </w:p>
        </w:tc>
        <w:tc>
          <w:tcPr>
            <w:tcW w:w="0" w:type="auto"/>
            <w:tcBorders>
              <w:top w:val="nil"/>
              <w:left w:val="nil"/>
              <w:bottom w:val="single" w:sz="8" w:space="0" w:color="95B3D7"/>
              <w:right w:val="single" w:sz="8" w:space="0" w:color="95B3D7"/>
            </w:tcBorders>
            <w:shd w:val="clear" w:color="000000" w:fill="DBE5F1"/>
            <w:vAlign w:val="center"/>
            <w:hideMark/>
          </w:tcPr>
          <w:p w14:paraId="5BDC0CB6"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453</w:t>
            </w:r>
          </w:p>
        </w:tc>
        <w:tc>
          <w:tcPr>
            <w:tcW w:w="0" w:type="auto"/>
            <w:tcBorders>
              <w:top w:val="nil"/>
              <w:left w:val="nil"/>
              <w:bottom w:val="single" w:sz="8" w:space="0" w:color="95B3D7"/>
              <w:right w:val="single" w:sz="8" w:space="0" w:color="95B3D7"/>
            </w:tcBorders>
            <w:shd w:val="clear" w:color="000000" w:fill="DBE5F1"/>
            <w:vAlign w:val="center"/>
            <w:hideMark/>
          </w:tcPr>
          <w:p w14:paraId="23E0834D" w14:textId="77777777" w:rsidR="00967F4A" w:rsidRPr="00967F4A" w:rsidRDefault="00967F4A" w:rsidP="00967F4A">
            <w:pPr>
              <w:spacing w:after="0" w:line="240" w:lineRule="auto"/>
              <w:jc w:val="center"/>
              <w:rPr>
                <w:rFonts w:ascii="Calibri" w:eastAsia="Times New Roman" w:hAnsi="Calibri" w:cs="Calibri"/>
                <w:sz w:val="16"/>
                <w:szCs w:val="16"/>
                <w:lang w:val="es-CR" w:eastAsia="es-CR"/>
              </w:rPr>
            </w:pPr>
            <w:r w:rsidRPr="00967F4A">
              <w:rPr>
                <w:rFonts w:ascii="Calibri" w:eastAsia="Times New Roman" w:hAnsi="Calibri" w:cs="Calibri"/>
                <w:sz w:val="16"/>
                <w:szCs w:val="16"/>
                <w:lang w:val="es-CR" w:eastAsia="es-CR"/>
              </w:rPr>
              <w:t>0,25% del monto aportado por Patrono</w:t>
            </w:r>
          </w:p>
        </w:tc>
        <w:tc>
          <w:tcPr>
            <w:tcW w:w="0" w:type="auto"/>
            <w:tcBorders>
              <w:top w:val="nil"/>
              <w:left w:val="nil"/>
              <w:bottom w:val="single" w:sz="8" w:space="0" w:color="95B3D7"/>
              <w:right w:val="single" w:sz="8" w:space="0" w:color="95B3D7"/>
            </w:tcBorders>
            <w:shd w:val="clear" w:color="000000" w:fill="DBE5F1"/>
            <w:vAlign w:val="center"/>
            <w:hideMark/>
          </w:tcPr>
          <w:p w14:paraId="7719EB00" w14:textId="77777777" w:rsidR="00967F4A" w:rsidRPr="00967F4A" w:rsidRDefault="00967F4A" w:rsidP="00967F4A">
            <w:pPr>
              <w:spacing w:after="0" w:line="240" w:lineRule="auto"/>
              <w:jc w:val="center"/>
              <w:rPr>
                <w:rFonts w:ascii="Calibri" w:eastAsia="Times New Roman" w:hAnsi="Calibri" w:cs="Calibri"/>
                <w:sz w:val="16"/>
                <w:szCs w:val="16"/>
                <w:lang w:val="es-CR" w:eastAsia="es-CR"/>
              </w:rPr>
            </w:pPr>
            <w:r w:rsidRPr="00967F4A">
              <w:rPr>
                <w:rFonts w:ascii="Calibri" w:eastAsia="Times New Roman" w:hAnsi="Calibri" w:cs="Calibri"/>
                <w:sz w:val="16"/>
                <w:szCs w:val="16"/>
                <w:lang w:val="es-CR" w:eastAsia="es-CR"/>
              </w:rPr>
              <w:t>1% de ventas de lotería</w:t>
            </w:r>
          </w:p>
        </w:tc>
        <w:tc>
          <w:tcPr>
            <w:tcW w:w="0" w:type="auto"/>
            <w:tcBorders>
              <w:top w:val="nil"/>
              <w:left w:val="nil"/>
              <w:bottom w:val="single" w:sz="8" w:space="0" w:color="95B3D7"/>
              <w:right w:val="single" w:sz="8" w:space="0" w:color="95B3D7"/>
            </w:tcBorders>
            <w:shd w:val="clear" w:color="000000" w:fill="DBE5F1"/>
            <w:noWrap/>
            <w:vAlign w:val="center"/>
            <w:hideMark/>
          </w:tcPr>
          <w:p w14:paraId="38594A86"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0%</w:t>
            </w:r>
          </w:p>
        </w:tc>
        <w:tc>
          <w:tcPr>
            <w:tcW w:w="0" w:type="auto"/>
            <w:tcBorders>
              <w:top w:val="nil"/>
              <w:left w:val="nil"/>
              <w:bottom w:val="single" w:sz="8" w:space="0" w:color="95B3D7"/>
              <w:right w:val="single" w:sz="8" w:space="0" w:color="95B3D7"/>
            </w:tcBorders>
            <w:shd w:val="clear" w:color="000000" w:fill="DBE5F1"/>
            <w:noWrap/>
            <w:vAlign w:val="center"/>
            <w:hideMark/>
          </w:tcPr>
          <w:p w14:paraId="548CC355"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144 406</w:t>
            </w:r>
          </w:p>
        </w:tc>
      </w:tr>
      <w:tr w:rsidR="00967F4A" w:rsidRPr="00967F4A" w14:paraId="620989F1" w14:textId="77777777" w:rsidTr="006D71EB">
        <w:trPr>
          <w:trHeight w:val="234"/>
          <w:jc w:val="center"/>
        </w:trPr>
        <w:tc>
          <w:tcPr>
            <w:tcW w:w="0" w:type="auto"/>
            <w:tcBorders>
              <w:top w:val="nil"/>
              <w:left w:val="single" w:sz="8" w:space="0" w:color="95B3D7"/>
              <w:bottom w:val="single" w:sz="8" w:space="0" w:color="95B3D7"/>
              <w:right w:val="single" w:sz="8" w:space="0" w:color="95B3D7"/>
            </w:tcBorders>
            <w:shd w:val="clear" w:color="auto" w:fill="auto"/>
            <w:noWrap/>
            <w:vAlign w:val="center"/>
            <w:hideMark/>
          </w:tcPr>
          <w:p w14:paraId="0A28A98C" w14:textId="77777777" w:rsidR="00967F4A" w:rsidRPr="00A95DB6" w:rsidRDefault="00967F4A" w:rsidP="00967F4A">
            <w:pPr>
              <w:spacing w:after="0" w:line="240" w:lineRule="auto"/>
              <w:rPr>
                <w:rFonts w:ascii="Calibri" w:eastAsia="Times New Roman" w:hAnsi="Calibri" w:cs="Calibri"/>
                <w:sz w:val="20"/>
                <w:szCs w:val="20"/>
                <w:lang w:val="es-CR" w:eastAsia="es-CR"/>
              </w:rPr>
            </w:pPr>
            <w:r w:rsidRPr="00A95DB6">
              <w:rPr>
                <w:rFonts w:ascii="Calibri" w:eastAsia="Times New Roman" w:hAnsi="Calibri" w:cs="Calibri"/>
                <w:sz w:val="20"/>
                <w:szCs w:val="20"/>
                <w:lang w:val="es-CR" w:eastAsia="es-CR"/>
              </w:rPr>
              <w:t xml:space="preserve">   FBCR</w:t>
            </w:r>
          </w:p>
        </w:tc>
        <w:tc>
          <w:tcPr>
            <w:tcW w:w="1070" w:type="dxa"/>
            <w:tcBorders>
              <w:top w:val="nil"/>
              <w:left w:val="nil"/>
              <w:bottom w:val="single" w:sz="8" w:space="0" w:color="95B3D7"/>
              <w:right w:val="single" w:sz="8" w:space="0" w:color="95B3D7"/>
            </w:tcBorders>
            <w:shd w:val="clear" w:color="auto" w:fill="auto"/>
            <w:vAlign w:val="center"/>
            <w:hideMark/>
          </w:tcPr>
          <w:p w14:paraId="54FD1283"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3 899</w:t>
            </w:r>
          </w:p>
        </w:tc>
        <w:tc>
          <w:tcPr>
            <w:tcW w:w="0" w:type="auto"/>
            <w:tcBorders>
              <w:top w:val="nil"/>
              <w:left w:val="nil"/>
              <w:bottom w:val="single" w:sz="8" w:space="0" w:color="95B3D7"/>
              <w:right w:val="single" w:sz="8" w:space="0" w:color="95B3D7"/>
            </w:tcBorders>
            <w:shd w:val="clear" w:color="auto" w:fill="auto"/>
            <w:vAlign w:val="center"/>
            <w:hideMark/>
          </w:tcPr>
          <w:p w14:paraId="0BBBFD57"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30</w:t>
            </w:r>
          </w:p>
        </w:tc>
        <w:tc>
          <w:tcPr>
            <w:tcW w:w="0" w:type="auto"/>
            <w:tcBorders>
              <w:top w:val="nil"/>
              <w:left w:val="nil"/>
              <w:bottom w:val="single" w:sz="8" w:space="0" w:color="95B3D7"/>
              <w:right w:val="single" w:sz="8" w:space="0" w:color="95B3D7"/>
            </w:tcBorders>
            <w:shd w:val="clear" w:color="auto" w:fill="auto"/>
            <w:noWrap/>
            <w:vAlign w:val="center"/>
            <w:hideMark/>
          </w:tcPr>
          <w:p w14:paraId="45F2AC9A"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0,50%</w:t>
            </w:r>
          </w:p>
        </w:tc>
        <w:tc>
          <w:tcPr>
            <w:tcW w:w="0" w:type="auto"/>
            <w:tcBorders>
              <w:top w:val="nil"/>
              <w:left w:val="nil"/>
              <w:bottom w:val="single" w:sz="8" w:space="0" w:color="95B3D7"/>
              <w:right w:val="single" w:sz="8" w:space="0" w:color="95B3D7"/>
            </w:tcBorders>
            <w:shd w:val="clear" w:color="auto" w:fill="auto"/>
            <w:noWrap/>
            <w:vAlign w:val="center"/>
            <w:hideMark/>
          </w:tcPr>
          <w:p w14:paraId="09D45A0E"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10%</w:t>
            </w:r>
          </w:p>
        </w:tc>
        <w:tc>
          <w:tcPr>
            <w:tcW w:w="0" w:type="auto"/>
            <w:tcBorders>
              <w:top w:val="nil"/>
              <w:left w:val="nil"/>
              <w:bottom w:val="single" w:sz="8" w:space="0" w:color="95B3D7"/>
              <w:right w:val="single" w:sz="8" w:space="0" w:color="95B3D7"/>
            </w:tcBorders>
            <w:shd w:val="clear" w:color="auto" w:fill="auto"/>
            <w:noWrap/>
            <w:vAlign w:val="center"/>
            <w:hideMark/>
          </w:tcPr>
          <w:p w14:paraId="328F70DA"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0%</w:t>
            </w:r>
          </w:p>
        </w:tc>
        <w:tc>
          <w:tcPr>
            <w:tcW w:w="0" w:type="auto"/>
            <w:tcBorders>
              <w:top w:val="nil"/>
              <w:left w:val="nil"/>
              <w:bottom w:val="single" w:sz="8" w:space="0" w:color="95B3D7"/>
              <w:right w:val="single" w:sz="8" w:space="0" w:color="95B3D7"/>
            </w:tcBorders>
            <w:shd w:val="clear" w:color="auto" w:fill="auto"/>
            <w:noWrap/>
            <w:vAlign w:val="center"/>
            <w:hideMark/>
          </w:tcPr>
          <w:p w14:paraId="43E923A7"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95 933</w:t>
            </w:r>
          </w:p>
        </w:tc>
      </w:tr>
      <w:tr w:rsidR="00967F4A" w:rsidRPr="00967F4A" w14:paraId="570B12AB" w14:textId="77777777" w:rsidTr="006D71EB">
        <w:trPr>
          <w:trHeight w:val="234"/>
          <w:jc w:val="center"/>
        </w:trPr>
        <w:tc>
          <w:tcPr>
            <w:tcW w:w="0" w:type="auto"/>
            <w:tcBorders>
              <w:top w:val="nil"/>
              <w:left w:val="single" w:sz="8" w:space="0" w:color="95B3D7"/>
              <w:bottom w:val="single" w:sz="8" w:space="0" w:color="95B3D7"/>
              <w:right w:val="single" w:sz="8" w:space="0" w:color="95B3D7"/>
            </w:tcBorders>
            <w:shd w:val="clear" w:color="000000" w:fill="DBE5F1"/>
            <w:noWrap/>
            <w:vAlign w:val="center"/>
            <w:hideMark/>
          </w:tcPr>
          <w:p w14:paraId="22FDDF4F" w14:textId="77777777" w:rsidR="00967F4A" w:rsidRPr="00A95DB6" w:rsidRDefault="00967F4A" w:rsidP="00967F4A">
            <w:pPr>
              <w:spacing w:after="0" w:line="240" w:lineRule="auto"/>
              <w:rPr>
                <w:rFonts w:ascii="Calibri" w:eastAsia="Times New Roman" w:hAnsi="Calibri" w:cs="Calibri"/>
                <w:sz w:val="20"/>
                <w:szCs w:val="20"/>
                <w:lang w:val="es-CR" w:eastAsia="es-CR"/>
              </w:rPr>
            </w:pPr>
            <w:r w:rsidRPr="00A95DB6">
              <w:rPr>
                <w:rFonts w:ascii="Calibri" w:eastAsia="Times New Roman" w:hAnsi="Calibri" w:cs="Calibri"/>
                <w:sz w:val="20"/>
                <w:szCs w:val="20"/>
                <w:lang w:val="es-CR" w:eastAsia="es-CR"/>
              </w:rPr>
              <w:t xml:space="preserve">   FICT</w:t>
            </w:r>
          </w:p>
        </w:tc>
        <w:tc>
          <w:tcPr>
            <w:tcW w:w="1070" w:type="dxa"/>
            <w:tcBorders>
              <w:top w:val="nil"/>
              <w:left w:val="nil"/>
              <w:bottom w:val="single" w:sz="8" w:space="0" w:color="95B3D7"/>
              <w:right w:val="single" w:sz="8" w:space="0" w:color="95B3D7"/>
            </w:tcBorders>
            <w:shd w:val="clear" w:color="000000" w:fill="DBE5F1"/>
            <w:vAlign w:val="center"/>
            <w:hideMark/>
          </w:tcPr>
          <w:p w14:paraId="006C9DBD"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282</w:t>
            </w:r>
          </w:p>
        </w:tc>
        <w:tc>
          <w:tcPr>
            <w:tcW w:w="0" w:type="auto"/>
            <w:tcBorders>
              <w:top w:val="nil"/>
              <w:left w:val="nil"/>
              <w:bottom w:val="single" w:sz="8" w:space="0" w:color="95B3D7"/>
              <w:right w:val="single" w:sz="8" w:space="0" w:color="95B3D7"/>
            </w:tcBorders>
            <w:shd w:val="clear" w:color="000000" w:fill="DBE5F1"/>
            <w:vAlign w:val="center"/>
            <w:hideMark/>
          </w:tcPr>
          <w:p w14:paraId="61EC0C70"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0</w:t>
            </w:r>
          </w:p>
        </w:tc>
        <w:tc>
          <w:tcPr>
            <w:tcW w:w="0" w:type="auto"/>
            <w:tcBorders>
              <w:top w:val="nil"/>
              <w:left w:val="nil"/>
              <w:bottom w:val="single" w:sz="8" w:space="0" w:color="95B3D7"/>
              <w:right w:val="single" w:sz="8" w:space="0" w:color="95B3D7"/>
            </w:tcBorders>
            <w:shd w:val="clear" w:color="000000" w:fill="DBE5F1"/>
            <w:noWrap/>
            <w:vAlign w:val="center"/>
            <w:hideMark/>
          </w:tcPr>
          <w:p w14:paraId="37A6080B"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0%</w:t>
            </w:r>
          </w:p>
        </w:tc>
        <w:tc>
          <w:tcPr>
            <w:tcW w:w="0" w:type="auto"/>
            <w:tcBorders>
              <w:top w:val="nil"/>
              <w:left w:val="nil"/>
              <w:bottom w:val="single" w:sz="8" w:space="0" w:color="95B3D7"/>
              <w:right w:val="single" w:sz="8" w:space="0" w:color="95B3D7"/>
            </w:tcBorders>
            <w:shd w:val="clear" w:color="000000" w:fill="DBE5F1"/>
            <w:noWrap/>
            <w:vAlign w:val="center"/>
            <w:hideMark/>
          </w:tcPr>
          <w:p w14:paraId="778F6DC0"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5%</w:t>
            </w:r>
          </w:p>
        </w:tc>
        <w:tc>
          <w:tcPr>
            <w:tcW w:w="0" w:type="auto"/>
            <w:tcBorders>
              <w:top w:val="nil"/>
              <w:left w:val="nil"/>
              <w:bottom w:val="single" w:sz="8" w:space="0" w:color="95B3D7"/>
              <w:right w:val="single" w:sz="8" w:space="0" w:color="95B3D7"/>
            </w:tcBorders>
            <w:shd w:val="clear" w:color="000000" w:fill="DBE5F1"/>
            <w:noWrap/>
            <w:vAlign w:val="center"/>
            <w:hideMark/>
          </w:tcPr>
          <w:p w14:paraId="54726432"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0%</w:t>
            </w:r>
          </w:p>
        </w:tc>
        <w:tc>
          <w:tcPr>
            <w:tcW w:w="0" w:type="auto"/>
            <w:tcBorders>
              <w:top w:val="nil"/>
              <w:left w:val="nil"/>
              <w:bottom w:val="single" w:sz="8" w:space="0" w:color="95B3D7"/>
              <w:right w:val="single" w:sz="8" w:space="0" w:color="95B3D7"/>
            </w:tcBorders>
            <w:shd w:val="clear" w:color="000000" w:fill="DBE5F1"/>
            <w:noWrap/>
            <w:vAlign w:val="center"/>
            <w:hideMark/>
          </w:tcPr>
          <w:p w14:paraId="437ABF56"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0</w:t>
            </w:r>
          </w:p>
        </w:tc>
      </w:tr>
      <w:tr w:rsidR="00967F4A" w:rsidRPr="00967F4A" w14:paraId="3873FBD2" w14:textId="77777777" w:rsidTr="006D71EB">
        <w:trPr>
          <w:trHeight w:val="234"/>
          <w:jc w:val="center"/>
        </w:trPr>
        <w:tc>
          <w:tcPr>
            <w:tcW w:w="0" w:type="auto"/>
            <w:tcBorders>
              <w:top w:val="nil"/>
              <w:left w:val="single" w:sz="8" w:space="0" w:color="95B3D7"/>
              <w:bottom w:val="single" w:sz="8" w:space="0" w:color="95B3D7"/>
              <w:right w:val="single" w:sz="8" w:space="0" w:color="95B3D7"/>
            </w:tcBorders>
            <w:shd w:val="clear" w:color="auto" w:fill="auto"/>
            <w:noWrap/>
            <w:vAlign w:val="center"/>
            <w:hideMark/>
          </w:tcPr>
          <w:p w14:paraId="5ED80E73" w14:textId="77777777" w:rsidR="00967F4A" w:rsidRPr="00967F4A" w:rsidRDefault="00967F4A" w:rsidP="00967F4A">
            <w:pPr>
              <w:spacing w:after="0" w:line="240" w:lineRule="auto"/>
              <w:rPr>
                <w:rFonts w:ascii="Calibri" w:eastAsia="Times New Roman" w:hAnsi="Calibri" w:cs="Calibri"/>
                <w:b/>
                <w:bCs/>
                <w:sz w:val="20"/>
                <w:szCs w:val="20"/>
                <w:lang w:val="es-CR" w:eastAsia="es-CR"/>
              </w:rPr>
            </w:pPr>
            <w:r w:rsidRPr="00967F4A">
              <w:rPr>
                <w:rFonts w:ascii="Calibri" w:eastAsia="Times New Roman" w:hAnsi="Calibri" w:cs="Calibri"/>
                <w:b/>
                <w:bCs/>
                <w:sz w:val="20"/>
                <w:szCs w:val="20"/>
                <w:lang w:val="es-CR" w:eastAsia="es-CR"/>
              </w:rPr>
              <w:t>Régimen Obligatorio Complementario (ROP)</w:t>
            </w:r>
          </w:p>
        </w:tc>
        <w:tc>
          <w:tcPr>
            <w:tcW w:w="1070" w:type="dxa"/>
            <w:tcBorders>
              <w:top w:val="nil"/>
              <w:left w:val="nil"/>
              <w:bottom w:val="single" w:sz="8" w:space="0" w:color="95B3D7"/>
              <w:right w:val="single" w:sz="8" w:space="0" w:color="95B3D7"/>
            </w:tcBorders>
            <w:shd w:val="clear" w:color="auto" w:fill="auto"/>
            <w:vAlign w:val="center"/>
            <w:hideMark/>
          </w:tcPr>
          <w:p w14:paraId="21AF33F0"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2 815 508</w:t>
            </w:r>
          </w:p>
        </w:tc>
        <w:tc>
          <w:tcPr>
            <w:tcW w:w="0" w:type="auto"/>
            <w:tcBorders>
              <w:top w:val="nil"/>
              <w:left w:val="nil"/>
              <w:bottom w:val="single" w:sz="8" w:space="0" w:color="95B3D7"/>
              <w:right w:val="single" w:sz="8" w:space="0" w:color="95B3D7"/>
            </w:tcBorders>
            <w:shd w:val="clear" w:color="auto" w:fill="auto"/>
            <w:vAlign w:val="center"/>
            <w:hideMark/>
          </w:tcPr>
          <w:p w14:paraId="59682FB7"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19 432</w:t>
            </w:r>
          </w:p>
        </w:tc>
        <w:tc>
          <w:tcPr>
            <w:tcW w:w="0" w:type="auto"/>
            <w:tcBorders>
              <w:top w:val="nil"/>
              <w:left w:val="nil"/>
              <w:bottom w:val="single" w:sz="8" w:space="0" w:color="95B3D7"/>
              <w:right w:val="single" w:sz="8" w:space="0" w:color="95B3D7"/>
            </w:tcBorders>
            <w:shd w:val="clear" w:color="auto" w:fill="auto"/>
            <w:noWrap/>
            <w:vAlign w:val="center"/>
            <w:hideMark/>
          </w:tcPr>
          <w:p w14:paraId="0CFB5BCC"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1%</w:t>
            </w:r>
          </w:p>
        </w:tc>
        <w:tc>
          <w:tcPr>
            <w:tcW w:w="0" w:type="auto"/>
            <w:tcBorders>
              <w:top w:val="nil"/>
              <w:left w:val="nil"/>
              <w:bottom w:val="single" w:sz="8" w:space="0" w:color="95B3D7"/>
              <w:right w:val="single" w:sz="8" w:space="0" w:color="95B3D7"/>
            </w:tcBorders>
            <w:shd w:val="clear" w:color="auto" w:fill="auto"/>
            <w:noWrap/>
            <w:vAlign w:val="center"/>
            <w:hideMark/>
          </w:tcPr>
          <w:p w14:paraId="21FD4C32"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3,25%</w:t>
            </w:r>
          </w:p>
        </w:tc>
        <w:tc>
          <w:tcPr>
            <w:tcW w:w="0" w:type="auto"/>
            <w:tcBorders>
              <w:top w:val="nil"/>
              <w:left w:val="nil"/>
              <w:bottom w:val="single" w:sz="8" w:space="0" w:color="95B3D7"/>
              <w:right w:val="single" w:sz="8" w:space="0" w:color="95B3D7"/>
            </w:tcBorders>
            <w:shd w:val="clear" w:color="auto" w:fill="auto"/>
            <w:noWrap/>
            <w:vAlign w:val="center"/>
            <w:hideMark/>
          </w:tcPr>
          <w:p w14:paraId="0D60DEA7"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0%</w:t>
            </w:r>
          </w:p>
        </w:tc>
        <w:tc>
          <w:tcPr>
            <w:tcW w:w="0" w:type="auto"/>
            <w:tcBorders>
              <w:top w:val="nil"/>
              <w:left w:val="nil"/>
              <w:bottom w:val="single" w:sz="8" w:space="0" w:color="95B3D7"/>
              <w:right w:val="single" w:sz="8" w:space="0" w:color="95B3D7"/>
            </w:tcBorders>
            <w:shd w:val="clear" w:color="auto" w:fill="auto"/>
            <w:noWrap/>
            <w:vAlign w:val="center"/>
            <w:hideMark/>
          </w:tcPr>
          <w:p w14:paraId="584A60E4"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158 038</w:t>
            </w:r>
          </w:p>
        </w:tc>
      </w:tr>
      <w:tr w:rsidR="00967F4A" w:rsidRPr="00967F4A" w14:paraId="5477FB50" w14:textId="77777777" w:rsidTr="006D71EB">
        <w:trPr>
          <w:trHeight w:val="234"/>
          <w:jc w:val="center"/>
        </w:trPr>
        <w:tc>
          <w:tcPr>
            <w:tcW w:w="0" w:type="auto"/>
            <w:tcBorders>
              <w:top w:val="nil"/>
              <w:left w:val="single" w:sz="8" w:space="0" w:color="95B3D7"/>
              <w:bottom w:val="single" w:sz="8" w:space="0" w:color="95B3D7"/>
              <w:right w:val="single" w:sz="8" w:space="0" w:color="95B3D7"/>
            </w:tcBorders>
            <w:shd w:val="clear" w:color="000000" w:fill="DBE5F1"/>
            <w:noWrap/>
            <w:vAlign w:val="center"/>
            <w:hideMark/>
          </w:tcPr>
          <w:p w14:paraId="54907DD5" w14:textId="77777777" w:rsidR="00967F4A" w:rsidRPr="00967F4A" w:rsidRDefault="00967F4A" w:rsidP="00967F4A">
            <w:pPr>
              <w:spacing w:after="0" w:line="240" w:lineRule="auto"/>
              <w:rPr>
                <w:rFonts w:ascii="Calibri" w:eastAsia="Times New Roman" w:hAnsi="Calibri" w:cs="Calibri"/>
                <w:b/>
                <w:bCs/>
                <w:sz w:val="20"/>
                <w:szCs w:val="20"/>
                <w:lang w:val="es-CR" w:eastAsia="es-CR"/>
              </w:rPr>
            </w:pPr>
            <w:r w:rsidRPr="00967F4A">
              <w:rPr>
                <w:rFonts w:ascii="Calibri" w:eastAsia="Times New Roman" w:hAnsi="Calibri" w:cs="Calibri"/>
                <w:b/>
                <w:bCs/>
                <w:sz w:val="20"/>
                <w:szCs w:val="20"/>
                <w:lang w:val="es-CR" w:eastAsia="es-CR"/>
              </w:rPr>
              <w:t>Planes Voluntarios</w:t>
            </w:r>
          </w:p>
        </w:tc>
        <w:tc>
          <w:tcPr>
            <w:tcW w:w="1070" w:type="dxa"/>
            <w:tcBorders>
              <w:top w:val="nil"/>
              <w:left w:val="nil"/>
              <w:bottom w:val="single" w:sz="8" w:space="0" w:color="95B3D7"/>
              <w:right w:val="single" w:sz="8" w:space="0" w:color="95B3D7"/>
            </w:tcBorders>
            <w:shd w:val="clear" w:color="000000" w:fill="DBE5F1"/>
            <w:vAlign w:val="center"/>
            <w:hideMark/>
          </w:tcPr>
          <w:p w14:paraId="4638265A"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161 720</w:t>
            </w:r>
          </w:p>
        </w:tc>
        <w:tc>
          <w:tcPr>
            <w:tcW w:w="0" w:type="auto"/>
            <w:tcBorders>
              <w:top w:val="nil"/>
              <w:left w:val="nil"/>
              <w:bottom w:val="single" w:sz="8" w:space="0" w:color="95B3D7"/>
              <w:right w:val="single" w:sz="8" w:space="0" w:color="95B3D7"/>
            </w:tcBorders>
            <w:shd w:val="clear" w:color="000000" w:fill="DBE5F1"/>
            <w:noWrap/>
            <w:vAlign w:val="center"/>
            <w:hideMark/>
          </w:tcPr>
          <w:p w14:paraId="73241998"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7</w:t>
            </w:r>
          </w:p>
        </w:tc>
        <w:tc>
          <w:tcPr>
            <w:tcW w:w="0" w:type="auto"/>
            <w:tcBorders>
              <w:top w:val="nil"/>
              <w:left w:val="nil"/>
              <w:bottom w:val="single" w:sz="8" w:space="0" w:color="95B3D7"/>
              <w:right w:val="single" w:sz="8" w:space="0" w:color="95B3D7"/>
            </w:tcBorders>
            <w:shd w:val="clear" w:color="000000" w:fill="DBE5F1"/>
            <w:vAlign w:val="center"/>
            <w:hideMark/>
          </w:tcPr>
          <w:p w14:paraId="4AF6C053"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Libre</w:t>
            </w:r>
          </w:p>
        </w:tc>
        <w:tc>
          <w:tcPr>
            <w:tcW w:w="0" w:type="auto"/>
            <w:tcBorders>
              <w:top w:val="nil"/>
              <w:left w:val="nil"/>
              <w:bottom w:val="single" w:sz="8" w:space="0" w:color="95B3D7"/>
              <w:right w:val="single" w:sz="8" w:space="0" w:color="95B3D7"/>
            </w:tcBorders>
            <w:shd w:val="clear" w:color="000000" w:fill="DBE5F1"/>
            <w:noWrap/>
            <w:vAlign w:val="center"/>
            <w:hideMark/>
          </w:tcPr>
          <w:p w14:paraId="773CFD66"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0%</w:t>
            </w:r>
          </w:p>
        </w:tc>
        <w:tc>
          <w:tcPr>
            <w:tcW w:w="0" w:type="auto"/>
            <w:tcBorders>
              <w:top w:val="nil"/>
              <w:left w:val="nil"/>
              <w:bottom w:val="single" w:sz="8" w:space="0" w:color="95B3D7"/>
              <w:right w:val="single" w:sz="8" w:space="0" w:color="95B3D7"/>
            </w:tcBorders>
            <w:shd w:val="clear" w:color="000000" w:fill="DBE5F1"/>
            <w:noWrap/>
            <w:vAlign w:val="center"/>
            <w:hideMark/>
          </w:tcPr>
          <w:p w14:paraId="79D23CAB"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0%</w:t>
            </w:r>
          </w:p>
        </w:tc>
        <w:tc>
          <w:tcPr>
            <w:tcW w:w="0" w:type="auto"/>
            <w:tcBorders>
              <w:top w:val="nil"/>
              <w:left w:val="nil"/>
              <w:bottom w:val="single" w:sz="8" w:space="0" w:color="95B3D7"/>
              <w:right w:val="single" w:sz="8" w:space="0" w:color="95B3D7"/>
            </w:tcBorders>
            <w:shd w:val="clear" w:color="000000" w:fill="DBE5F1"/>
            <w:noWrap/>
            <w:vAlign w:val="center"/>
            <w:hideMark/>
          </w:tcPr>
          <w:p w14:paraId="116E6DD3"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167</w:t>
            </w:r>
            <w:r w:rsidR="003235E6">
              <w:rPr>
                <w:rFonts w:ascii="Calibri" w:eastAsia="Times New Roman" w:hAnsi="Calibri" w:cs="Calibri"/>
                <w:sz w:val="20"/>
                <w:szCs w:val="20"/>
                <w:lang w:val="es-CR" w:eastAsia="es-CR"/>
              </w:rPr>
              <w:t xml:space="preserve"> </w:t>
            </w:r>
            <w:r w:rsidRPr="00967F4A">
              <w:rPr>
                <w:rFonts w:ascii="Calibri" w:eastAsia="Times New Roman" w:hAnsi="Calibri" w:cs="Calibri"/>
                <w:sz w:val="20"/>
                <w:szCs w:val="20"/>
                <w:lang w:val="es-CR" w:eastAsia="es-CR"/>
              </w:rPr>
              <w:t>14</w:t>
            </w:r>
            <w:r w:rsidR="003235E6">
              <w:rPr>
                <w:rFonts w:ascii="Calibri" w:eastAsia="Times New Roman" w:hAnsi="Calibri" w:cs="Calibri"/>
                <w:sz w:val="20"/>
                <w:szCs w:val="20"/>
                <w:lang w:val="es-CR" w:eastAsia="es-CR"/>
              </w:rPr>
              <w:t>3</w:t>
            </w:r>
          </w:p>
        </w:tc>
      </w:tr>
      <w:tr w:rsidR="00967F4A" w:rsidRPr="00967F4A" w14:paraId="6441344A" w14:textId="77777777" w:rsidTr="006D71EB">
        <w:trPr>
          <w:trHeight w:val="234"/>
          <w:jc w:val="center"/>
        </w:trPr>
        <w:tc>
          <w:tcPr>
            <w:tcW w:w="0" w:type="auto"/>
            <w:tcBorders>
              <w:top w:val="nil"/>
              <w:left w:val="single" w:sz="8" w:space="0" w:color="95B3D7"/>
              <w:bottom w:val="single" w:sz="8" w:space="0" w:color="95B3D7"/>
              <w:right w:val="single" w:sz="8" w:space="0" w:color="95B3D7"/>
            </w:tcBorders>
            <w:shd w:val="clear" w:color="auto" w:fill="auto"/>
            <w:noWrap/>
            <w:vAlign w:val="center"/>
            <w:hideMark/>
          </w:tcPr>
          <w:p w14:paraId="19F106BA" w14:textId="77777777" w:rsidR="00967F4A" w:rsidRPr="00967F4A" w:rsidRDefault="00967F4A" w:rsidP="00967F4A">
            <w:pPr>
              <w:spacing w:after="0" w:line="240" w:lineRule="auto"/>
              <w:rPr>
                <w:rFonts w:ascii="Calibri" w:eastAsia="Times New Roman" w:hAnsi="Calibri" w:cs="Calibri"/>
                <w:b/>
                <w:bCs/>
                <w:sz w:val="20"/>
                <w:szCs w:val="20"/>
                <w:lang w:val="es-CR" w:eastAsia="es-CR"/>
              </w:rPr>
            </w:pPr>
            <w:r w:rsidRPr="00967F4A">
              <w:rPr>
                <w:rFonts w:ascii="Calibri" w:eastAsia="Times New Roman" w:hAnsi="Calibri" w:cs="Calibri"/>
                <w:b/>
                <w:bCs/>
                <w:sz w:val="20"/>
                <w:szCs w:val="20"/>
                <w:lang w:val="es-CR" w:eastAsia="es-CR"/>
              </w:rPr>
              <w:t>Fondo de Capitalización Laboral (FCL)</w:t>
            </w:r>
          </w:p>
        </w:tc>
        <w:tc>
          <w:tcPr>
            <w:tcW w:w="1070" w:type="dxa"/>
            <w:tcBorders>
              <w:top w:val="nil"/>
              <w:left w:val="nil"/>
              <w:bottom w:val="single" w:sz="8" w:space="0" w:color="95B3D7"/>
              <w:right w:val="single" w:sz="8" w:space="0" w:color="95B3D7"/>
            </w:tcBorders>
            <w:shd w:val="clear" w:color="auto" w:fill="auto"/>
            <w:vAlign w:val="center"/>
            <w:hideMark/>
          </w:tcPr>
          <w:p w14:paraId="4E9BDF2B"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2 537 711</w:t>
            </w:r>
          </w:p>
        </w:tc>
        <w:tc>
          <w:tcPr>
            <w:tcW w:w="0" w:type="auto"/>
            <w:tcBorders>
              <w:top w:val="nil"/>
              <w:left w:val="nil"/>
              <w:bottom w:val="single" w:sz="8" w:space="0" w:color="95B3D7"/>
              <w:right w:val="single" w:sz="8" w:space="0" w:color="95B3D7"/>
            </w:tcBorders>
            <w:shd w:val="clear" w:color="auto" w:fill="auto"/>
            <w:noWrap/>
            <w:vAlign w:val="center"/>
            <w:hideMark/>
          </w:tcPr>
          <w:p w14:paraId="4CCD470B"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NA</w:t>
            </w:r>
          </w:p>
        </w:tc>
        <w:tc>
          <w:tcPr>
            <w:tcW w:w="0" w:type="auto"/>
            <w:tcBorders>
              <w:top w:val="nil"/>
              <w:left w:val="nil"/>
              <w:bottom w:val="single" w:sz="8" w:space="0" w:color="95B3D7"/>
              <w:right w:val="single" w:sz="8" w:space="0" w:color="95B3D7"/>
            </w:tcBorders>
            <w:shd w:val="clear" w:color="auto" w:fill="auto"/>
            <w:noWrap/>
            <w:vAlign w:val="center"/>
            <w:hideMark/>
          </w:tcPr>
          <w:p w14:paraId="7A2B4357"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1,50%</w:t>
            </w:r>
          </w:p>
        </w:tc>
        <w:tc>
          <w:tcPr>
            <w:tcW w:w="0" w:type="auto"/>
            <w:tcBorders>
              <w:top w:val="nil"/>
              <w:left w:val="nil"/>
              <w:bottom w:val="single" w:sz="8" w:space="0" w:color="95B3D7"/>
              <w:right w:val="single" w:sz="8" w:space="0" w:color="95B3D7"/>
            </w:tcBorders>
            <w:shd w:val="clear" w:color="auto" w:fill="auto"/>
            <w:noWrap/>
            <w:vAlign w:val="center"/>
            <w:hideMark/>
          </w:tcPr>
          <w:p w14:paraId="68C35258"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0%</w:t>
            </w:r>
          </w:p>
        </w:tc>
        <w:tc>
          <w:tcPr>
            <w:tcW w:w="0" w:type="auto"/>
            <w:tcBorders>
              <w:top w:val="nil"/>
              <w:left w:val="nil"/>
              <w:bottom w:val="single" w:sz="8" w:space="0" w:color="95B3D7"/>
              <w:right w:val="single" w:sz="8" w:space="0" w:color="95B3D7"/>
            </w:tcBorders>
            <w:shd w:val="clear" w:color="auto" w:fill="auto"/>
            <w:noWrap/>
            <w:vAlign w:val="center"/>
            <w:hideMark/>
          </w:tcPr>
          <w:p w14:paraId="283AEFFC"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0%</w:t>
            </w:r>
          </w:p>
        </w:tc>
        <w:tc>
          <w:tcPr>
            <w:tcW w:w="0" w:type="auto"/>
            <w:tcBorders>
              <w:top w:val="nil"/>
              <w:left w:val="nil"/>
              <w:bottom w:val="single" w:sz="8" w:space="0" w:color="95B3D7"/>
              <w:right w:val="single" w:sz="8" w:space="0" w:color="95B3D7"/>
            </w:tcBorders>
            <w:shd w:val="clear" w:color="auto" w:fill="auto"/>
            <w:noWrap/>
            <w:vAlign w:val="center"/>
            <w:hideMark/>
          </w:tcPr>
          <w:p w14:paraId="78154D3E" w14:textId="77777777" w:rsidR="00967F4A" w:rsidRPr="00967F4A" w:rsidRDefault="00967F4A" w:rsidP="00967F4A">
            <w:pPr>
              <w:spacing w:after="0" w:line="240" w:lineRule="auto"/>
              <w:jc w:val="right"/>
              <w:rPr>
                <w:rFonts w:ascii="Calibri" w:eastAsia="Times New Roman" w:hAnsi="Calibri" w:cs="Calibri"/>
                <w:sz w:val="20"/>
                <w:szCs w:val="20"/>
                <w:lang w:val="es-CR" w:eastAsia="es-CR"/>
              </w:rPr>
            </w:pPr>
            <w:r w:rsidRPr="00967F4A">
              <w:rPr>
                <w:rFonts w:ascii="Calibri" w:eastAsia="Times New Roman" w:hAnsi="Calibri" w:cs="Calibri"/>
                <w:sz w:val="20"/>
                <w:szCs w:val="20"/>
                <w:lang w:val="es-CR" w:eastAsia="es-CR"/>
              </w:rPr>
              <w:t>NA</w:t>
            </w:r>
          </w:p>
        </w:tc>
      </w:tr>
    </w:tbl>
    <w:p w14:paraId="347FE2F6" w14:textId="77777777" w:rsidR="006D71EB" w:rsidRPr="006D71EB" w:rsidRDefault="006D71EB" w:rsidP="006D71EB">
      <w:pPr>
        <w:pStyle w:val="Descripcin"/>
        <w:spacing w:after="0"/>
        <w:ind w:left="708" w:hanging="708"/>
        <w:jc w:val="both"/>
      </w:pPr>
      <w:r w:rsidRPr="006D71EB">
        <w:t>* Datos de afiliados,</w:t>
      </w:r>
      <w:r>
        <w:t xml:space="preserve"> </w:t>
      </w:r>
      <w:r w:rsidRPr="006D71EB">
        <w:t>pensionados y pensión promedio a febrero para RIVM. Último dato disponible.</w:t>
      </w:r>
      <w:r w:rsidRPr="006D71EB">
        <w:tab/>
      </w:r>
      <w:r w:rsidRPr="006D71EB">
        <w:tab/>
      </w:r>
    </w:p>
    <w:p w14:paraId="2932B64F" w14:textId="77777777" w:rsidR="00C02D80" w:rsidRDefault="006D71EB" w:rsidP="006D71EB">
      <w:pPr>
        <w:pStyle w:val="Descripcin"/>
        <w:spacing w:after="0"/>
        <w:ind w:left="708" w:hanging="708"/>
        <w:jc w:val="both"/>
      </w:pPr>
      <w:r w:rsidRPr="006D71EB">
        <w:t>** Datos de afiliados a febrero para el RIVM y RCCMN. Último dato disponible.</w:t>
      </w:r>
    </w:p>
    <w:p w14:paraId="1988BE5B" w14:textId="77777777" w:rsidR="000A60AE" w:rsidRDefault="000A60AE" w:rsidP="000A60AE">
      <w:pPr>
        <w:pStyle w:val="Descripcin"/>
        <w:spacing w:after="0"/>
        <w:jc w:val="both"/>
      </w:pPr>
      <w:r>
        <w:t>*** Cotizan el trabajador y el pensionado</w:t>
      </w:r>
    </w:p>
    <w:p w14:paraId="2DFB71BE" w14:textId="77777777" w:rsidR="00AE03F5" w:rsidRPr="006D71EB" w:rsidRDefault="00F4271C" w:rsidP="00EC4748">
      <w:pPr>
        <w:pStyle w:val="Descripcin"/>
        <w:spacing w:after="0"/>
        <w:ind w:left="708" w:hanging="708"/>
        <w:jc w:val="both"/>
      </w:pPr>
      <w:r w:rsidRPr="006D71EB">
        <w:t>Fuente: Elaboración propia</w:t>
      </w:r>
    </w:p>
    <w:p w14:paraId="224740D8" w14:textId="77777777" w:rsidR="00C17399" w:rsidRPr="00C83D68" w:rsidRDefault="00C17399" w:rsidP="00C83D68">
      <w:pPr>
        <w:spacing w:after="0" w:line="240" w:lineRule="auto"/>
      </w:pPr>
    </w:p>
    <w:p w14:paraId="228F6880" w14:textId="77777777" w:rsidR="004308B6" w:rsidRPr="00BE77BC" w:rsidRDefault="006929F8" w:rsidP="00E2531A">
      <w:pPr>
        <w:pStyle w:val="Ttulo2"/>
        <w:numPr>
          <w:ilvl w:val="1"/>
          <w:numId w:val="1"/>
        </w:numPr>
      </w:pPr>
      <w:bookmarkStart w:id="9" w:name="_Toc73096118"/>
      <w:r w:rsidRPr="00BE77BC">
        <w:t>Activos administrados</w:t>
      </w:r>
      <w:bookmarkEnd w:id="9"/>
      <w:r w:rsidR="20532F7E" w:rsidRPr="00BE77BC">
        <w:t xml:space="preserve"> </w:t>
      </w:r>
    </w:p>
    <w:p w14:paraId="72A8BBA8" w14:textId="77777777" w:rsidR="00380159" w:rsidRDefault="00380159" w:rsidP="00841412">
      <w:pPr>
        <w:spacing w:after="0" w:line="240" w:lineRule="auto"/>
        <w:jc w:val="both"/>
      </w:pPr>
    </w:p>
    <w:p w14:paraId="4E340EF9" w14:textId="77777777" w:rsidR="00CA77B1" w:rsidRPr="00BE77BC" w:rsidRDefault="00CA77B1" w:rsidP="00841412">
      <w:pPr>
        <w:spacing w:after="0" w:line="240" w:lineRule="auto"/>
        <w:jc w:val="both"/>
      </w:pPr>
      <w:r w:rsidRPr="00BE77BC">
        <w:t>El Sistema Nacional de Pensiones (SNP) y el FCL</w:t>
      </w:r>
      <w:r w:rsidR="00681C9F" w:rsidRPr="00BE77BC">
        <w:t xml:space="preserve"> </w:t>
      </w:r>
      <w:r w:rsidRPr="00BE77BC">
        <w:t>administran recursos, a</w:t>
      </w:r>
      <w:r w:rsidR="003235E6" w:rsidRPr="00BE77BC">
        <w:t xml:space="preserve"> marzo</w:t>
      </w:r>
      <w:r w:rsidRPr="00BE77BC">
        <w:t xml:space="preserve"> del 202</w:t>
      </w:r>
      <w:r w:rsidR="003235E6" w:rsidRPr="00BE77BC">
        <w:t>1</w:t>
      </w:r>
      <w:r w:rsidRPr="00BE77BC">
        <w:t xml:space="preserve">, que totalizan </w:t>
      </w:r>
      <w:r w:rsidR="00C13D0C" w:rsidRPr="00BE77BC">
        <w:t>₡</w:t>
      </w:r>
      <w:r w:rsidRPr="00BE77BC">
        <w:t>1</w:t>
      </w:r>
      <w:r w:rsidR="0045724B" w:rsidRPr="00BE77BC">
        <w:t>7</w:t>
      </w:r>
      <w:r w:rsidR="00B7101C" w:rsidRPr="00BE77BC">
        <w:t>,6</w:t>
      </w:r>
      <w:r w:rsidRPr="00BE77BC">
        <w:t xml:space="preserve"> billones, esto corresponde al </w:t>
      </w:r>
      <w:r w:rsidR="00B7101C" w:rsidRPr="00BE77BC">
        <w:t>47</w:t>
      </w:r>
      <w:r w:rsidRPr="00BE77BC">
        <w:t>% del PIB</w:t>
      </w:r>
      <w:r w:rsidR="00905EA2" w:rsidRPr="00BE77BC">
        <w:rPr>
          <w:rStyle w:val="Refdenotaalpie"/>
        </w:rPr>
        <w:footnoteReference w:id="2"/>
      </w:r>
      <w:r w:rsidRPr="00BE77BC">
        <w:t xml:space="preserve">. El crecimiento </w:t>
      </w:r>
      <w:r w:rsidR="00110043" w:rsidRPr="00BE77BC">
        <w:t xml:space="preserve">durante </w:t>
      </w:r>
      <w:r w:rsidR="009A13F0" w:rsidRPr="00BE77BC">
        <w:t xml:space="preserve">el </w:t>
      </w:r>
      <w:r w:rsidR="009336BC" w:rsidRPr="00BE77BC">
        <w:t>trimestre</w:t>
      </w:r>
      <w:r w:rsidR="009417A3" w:rsidRPr="00BE77BC">
        <w:t xml:space="preserve"> ha sido d</w:t>
      </w:r>
      <w:r w:rsidRPr="00BE77BC">
        <w:t xml:space="preserve">el </w:t>
      </w:r>
      <w:r w:rsidR="00564642" w:rsidRPr="00BE77BC">
        <w:t>3,6</w:t>
      </w:r>
      <w:r w:rsidRPr="00BE77BC">
        <w:t>%</w:t>
      </w:r>
      <w:r w:rsidR="009417A3" w:rsidRPr="00BE77BC">
        <w:t>,</w:t>
      </w:r>
      <w:r w:rsidRPr="00BE77BC">
        <w:t xml:space="preserve"> </w:t>
      </w:r>
      <w:r w:rsidR="00D76AD1" w:rsidRPr="00BE77BC">
        <w:rPr>
          <w:rStyle w:val="normaltextrun"/>
          <w:rFonts w:ascii="Calibri" w:hAnsi="Calibri" w:cs="Calibri"/>
          <w:color w:val="000000"/>
          <w:shd w:val="clear" w:color="auto" w:fill="FFFFFF"/>
        </w:rPr>
        <w:t xml:space="preserve">por </w:t>
      </w:r>
      <w:r w:rsidR="006544E0" w:rsidRPr="00BE77BC">
        <w:rPr>
          <w:rStyle w:val="normaltextrun"/>
          <w:rFonts w:ascii="Calibri" w:hAnsi="Calibri" w:cs="Calibri"/>
          <w:color w:val="000000"/>
          <w:shd w:val="clear" w:color="auto" w:fill="FFFFFF"/>
        </w:rPr>
        <w:t>encima</w:t>
      </w:r>
      <w:r w:rsidR="00D76AD1" w:rsidRPr="00BE77BC">
        <w:rPr>
          <w:rStyle w:val="normaltextrun"/>
          <w:rFonts w:ascii="Calibri" w:hAnsi="Calibri" w:cs="Calibri"/>
          <w:color w:val="000000"/>
          <w:shd w:val="clear" w:color="auto" w:fill="FFFFFF"/>
        </w:rPr>
        <w:t xml:space="preserve"> </w:t>
      </w:r>
      <w:r w:rsidR="00DB3CE2" w:rsidRPr="00BE77BC">
        <w:rPr>
          <w:rStyle w:val="normaltextrun"/>
          <w:rFonts w:ascii="Calibri" w:hAnsi="Calibri" w:cs="Calibri"/>
          <w:color w:val="000000"/>
          <w:shd w:val="clear" w:color="auto" w:fill="FFFFFF"/>
        </w:rPr>
        <w:t>del</w:t>
      </w:r>
      <w:r w:rsidR="00D76AD1" w:rsidRPr="00BE77BC">
        <w:rPr>
          <w:rStyle w:val="normaltextrun"/>
          <w:rFonts w:ascii="Calibri" w:hAnsi="Calibri" w:cs="Calibri"/>
          <w:color w:val="000000"/>
          <w:shd w:val="clear" w:color="auto" w:fill="FFFFFF"/>
        </w:rPr>
        <w:t xml:space="preserve"> observado para el mismo per</w:t>
      </w:r>
      <w:r w:rsidR="000B0847">
        <w:rPr>
          <w:rStyle w:val="normaltextrun"/>
          <w:rFonts w:ascii="Calibri" w:hAnsi="Calibri" w:cs="Calibri"/>
          <w:color w:val="000000"/>
          <w:shd w:val="clear" w:color="auto" w:fill="FFFFFF"/>
        </w:rPr>
        <w:t>í</w:t>
      </w:r>
      <w:r w:rsidR="00D76AD1" w:rsidRPr="00BE77BC">
        <w:rPr>
          <w:rStyle w:val="normaltextrun"/>
          <w:rFonts w:ascii="Calibri" w:hAnsi="Calibri" w:cs="Calibri"/>
          <w:color w:val="000000"/>
          <w:shd w:val="clear" w:color="auto" w:fill="FFFFFF"/>
        </w:rPr>
        <w:t xml:space="preserve">odo el año pasado que fue del </w:t>
      </w:r>
      <w:r w:rsidR="006544E0" w:rsidRPr="00BE77BC">
        <w:rPr>
          <w:rStyle w:val="normaltextrun"/>
          <w:rFonts w:ascii="Calibri" w:hAnsi="Calibri" w:cs="Calibri"/>
          <w:color w:val="000000"/>
          <w:shd w:val="clear" w:color="auto" w:fill="FFFFFF"/>
        </w:rPr>
        <w:t>2,1</w:t>
      </w:r>
      <w:r w:rsidR="00D76AD1" w:rsidRPr="00BE77BC">
        <w:rPr>
          <w:rStyle w:val="normaltextrun"/>
          <w:rFonts w:ascii="Calibri" w:hAnsi="Calibri" w:cs="Calibri"/>
          <w:color w:val="000000"/>
          <w:shd w:val="clear" w:color="auto" w:fill="FFFFFF"/>
        </w:rPr>
        <w:t>%</w:t>
      </w:r>
      <w:r w:rsidR="00B23D86" w:rsidRPr="00BE77BC">
        <w:t>. El crecimiento de los activos</w:t>
      </w:r>
      <w:r w:rsidRPr="00BE77BC">
        <w:t xml:space="preserve"> se </w:t>
      </w:r>
      <w:r w:rsidR="009A13F0" w:rsidRPr="00BE77BC">
        <w:t xml:space="preserve">explica por el </w:t>
      </w:r>
      <w:r w:rsidR="00B744FE" w:rsidRPr="00BE77BC">
        <w:t>ingreso</w:t>
      </w:r>
      <w:r w:rsidRPr="00BE77BC">
        <w:t xml:space="preserve"> de</w:t>
      </w:r>
      <w:r w:rsidR="00B744FE" w:rsidRPr="00BE77BC">
        <w:t xml:space="preserve"> </w:t>
      </w:r>
      <w:r w:rsidRPr="00BE77BC">
        <w:t>aportes</w:t>
      </w:r>
      <w:r w:rsidR="00B744FE" w:rsidRPr="00BE77BC">
        <w:t xml:space="preserve"> a los diferentes fondos</w:t>
      </w:r>
      <w:r w:rsidRPr="00BE77BC">
        <w:t xml:space="preserve"> y la valoración de los activos</w:t>
      </w:r>
      <w:r w:rsidR="00BE77BC" w:rsidRPr="00BE77BC">
        <w:t>.</w:t>
      </w:r>
      <w:r w:rsidRPr="00BE77BC">
        <w:t xml:space="preserve"> </w:t>
      </w:r>
    </w:p>
    <w:p w14:paraId="3D7E08AA" w14:textId="77777777" w:rsidR="00841412" w:rsidRPr="00EA18A1" w:rsidRDefault="00841412" w:rsidP="00841412">
      <w:pPr>
        <w:spacing w:after="0" w:line="240" w:lineRule="auto"/>
        <w:jc w:val="both"/>
      </w:pPr>
    </w:p>
    <w:p w14:paraId="271F37C7" w14:textId="77777777" w:rsidR="00CA77B1" w:rsidRPr="00EA18A1" w:rsidRDefault="00CA77B1" w:rsidP="00841412">
      <w:pPr>
        <w:spacing w:after="0" w:line="240" w:lineRule="auto"/>
        <w:jc w:val="both"/>
      </w:pPr>
      <w:r w:rsidRPr="00EA18A1">
        <w:t>El Régimen de Invalidez, Vejez y Muerte administrado por la CCSS</w:t>
      </w:r>
      <w:r w:rsidR="0020715C" w:rsidRPr="00EA18A1">
        <w:t xml:space="preserve"> </w:t>
      </w:r>
      <w:r w:rsidRPr="00EA18A1">
        <w:t xml:space="preserve">creció un </w:t>
      </w:r>
      <w:r w:rsidR="002F36E9" w:rsidRPr="00EA18A1">
        <w:t>4,8</w:t>
      </w:r>
      <w:r w:rsidR="002D45E5" w:rsidRPr="00EA18A1">
        <w:t xml:space="preserve">% durante el </w:t>
      </w:r>
      <w:r w:rsidR="00C40EAC" w:rsidRPr="00EA18A1">
        <w:t>año</w:t>
      </w:r>
      <w:r w:rsidR="00F67F42" w:rsidRPr="00EA18A1">
        <w:t xml:space="preserve">, </w:t>
      </w:r>
      <w:r w:rsidR="002D45E5" w:rsidRPr="00EA18A1">
        <w:t>por debajo del promedio de los últimos diez años (7,9%)</w:t>
      </w:r>
      <w:r w:rsidRPr="00EA18A1">
        <w:t xml:space="preserve">, este fondo representa un </w:t>
      </w:r>
      <w:r w:rsidR="00F5725C" w:rsidRPr="00EA18A1">
        <w:t>8,9</w:t>
      </w:r>
      <w:r w:rsidRPr="00EA18A1">
        <w:t>% del PIB.</w:t>
      </w:r>
    </w:p>
    <w:p w14:paraId="73AB94D9" w14:textId="77777777" w:rsidR="00B9565E" w:rsidRPr="00EA18A1" w:rsidRDefault="00B9565E" w:rsidP="00841412">
      <w:pPr>
        <w:spacing w:after="0" w:line="240" w:lineRule="auto"/>
        <w:jc w:val="both"/>
      </w:pPr>
    </w:p>
    <w:p w14:paraId="187A3495" w14:textId="77777777" w:rsidR="00B9565E" w:rsidRPr="00EA18A1" w:rsidRDefault="00B9565E" w:rsidP="00B9565E">
      <w:pPr>
        <w:spacing w:after="0" w:line="240" w:lineRule="auto"/>
        <w:jc w:val="both"/>
      </w:pPr>
      <w:r w:rsidRPr="00EA18A1">
        <w:t>De los 14 gestores de fondos de pensiones, tres administran ₡</w:t>
      </w:r>
      <w:r w:rsidR="00A1160E" w:rsidRPr="00EA18A1">
        <w:t>10,3</w:t>
      </w:r>
      <w:r w:rsidRPr="00EA18A1">
        <w:t xml:space="preserve"> billones, que representan el </w:t>
      </w:r>
      <w:r w:rsidR="006A0C09" w:rsidRPr="00EA18A1">
        <w:t>58,</w:t>
      </w:r>
      <w:r w:rsidR="00D477CE" w:rsidRPr="00EA18A1">
        <w:t>2</w:t>
      </w:r>
      <w:r w:rsidRPr="00EA18A1">
        <w:t xml:space="preserve">% del total de activos. Estos tres gestores administran activos de más ₡3 billones cada uno, a </w:t>
      </w:r>
      <w:r w:rsidRPr="00EA18A1">
        <w:lastRenderedPageBreak/>
        <w:t>saber, Popular Pensiones</w:t>
      </w:r>
      <w:r w:rsidR="006A0C09" w:rsidRPr="00EA18A1">
        <w:t>, RCCMN y RIVM</w:t>
      </w:r>
      <w:r w:rsidRPr="00EA18A1">
        <w:t xml:space="preserve">, </w:t>
      </w:r>
      <w:r w:rsidR="006A0C09" w:rsidRPr="00EA18A1">
        <w:t xml:space="preserve">el primero un régimen complementario y </w:t>
      </w:r>
      <w:r w:rsidRPr="00EA18A1">
        <w:t xml:space="preserve">los </w:t>
      </w:r>
      <w:r w:rsidR="006A0C09" w:rsidRPr="00EA18A1">
        <w:t xml:space="preserve">otros </w:t>
      </w:r>
      <w:r w:rsidRPr="00EA18A1">
        <w:t>dos</w:t>
      </w:r>
      <w:r w:rsidR="006A0C09" w:rsidRPr="00EA18A1">
        <w:t xml:space="preserve">, </w:t>
      </w:r>
      <w:r w:rsidRPr="00EA18A1">
        <w:t>regímenes básicos</w:t>
      </w:r>
      <w:r w:rsidR="006A0C09" w:rsidRPr="00EA18A1">
        <w:t>.</w:t>
      </w:r>
    </w:p>
    <w:p w14:paraId="233FF366" w14:textId="77777777" w:rsidR="004A7273" w:rsidRPr="00EA18A1" w:rsidRDefault="004A7273" w:rsidP="00B9565E">
      <w:pPr>
        <w:spacing w:after="0" w:line="240" w:lineRule="auto"/>
        <w:jc w:val="both"/>
      </w:pPr>
    </w:p>
    <w:p w14:paraId="67695D87" w14:textId="77777777" w:rsidR="003F491D" w:rsidRPr="00EA18A1" w:rsidRDefault="00B9565E" w:rsidP="00225049">
      <w:pPr>
        <w:spacing w:after="0" w:line="240" w:lineRule="auto"/>
        <w:jc w:val="both"/>
      </w:pPr>
      <w:r w:rsidRPr="00EA18A1">
        <w:t xml:space="preserve">El mayor volumen de activos lo administran los planes obligatorios complementarios (ROP), los </w:t>
      </w:r>
      <w:r w:rsidR="006A0C09" w:rsidRPr="00EA18A1">
        <w:t>regímenes</w:t>
      </w:r>
      <w:r w:rsidRPr="00EA18A1">
        <w:t xml:space="preserve"> básicos</w:t>
      </w:r>
      <w:r w:rsidR="006A0C09" w:rsidRPr="00EA18A1">
        <w:t xml:space="preserve"> sustitutos</w:t>
      </w:r>
      <w:r w:rsidRPr="00EA18A1">
        <w:t xml:space="preserve"> y régimen </w:t>
      </w:r>
      <w:r w:rsidR="00CD0F65" w:rsidRPr="00EA18A1">
        <w:t xml:space="preserve">general </w:t>
      </w:r>
      <w:r w:rsidRPr="00EA18A1">
        <w:t>de seguridad social</w:t>
      </w:r>
      <w:r w:rsidR="002D2BA4" w:rsidRPr="00EA18A1">
        <w:t xml:space="preserve"> administrado por la CCSS.</w:t>
      </w:r>
      <w:r w:rsidR="003F491D" w:rsidRPr="00EA18A1">
        <w:t xml:space="preserve"> Sin embargo, el crecimiento del ROP durante </w:t>
      </w:r>
      <w:r w:rsidR="002A0844" w:rsidRPr="00EA18A1">
        <w:t>el trimestre</w:t>
      </w:r>
      <w:r w:rsidR="003F491D" w:rsidRPr="00EA18A1">
        <w:t xml:space="preserve"> ha sido del </w:t>
      </w:r>
      <w:r w:rsidR="00576307" w:rsidRPr="00EA18A1">
        <w:t>5,7</w:t>
      </w:r>
      <w:r w:rsidR="003F491D" w:rsidRPr="00EA18A1">
        <w:t>%</w:t>
      </w:r>
      <w:r w:rsidR="006B360C" w:rsidRPr="00EA18A1">
        <w:t>, bastante importante c</w:t>
      </w:r>
      <w:r w:rsidR="007F2162" w:rsidRPr="00EA18A1">
        <w:t xml:space="preserve">onsiderando que el crecimiento </w:t>
      </w:r>
      <w:r w:rsidR="006B360C" w:rsidRPr="00EA18A1">
        <w:t>durante todo el 2020 fue de un 14,</w:t>
      </w:r>
      <w:r w:rsidR="00225049" w:rsidRPr="00EA18A1">
        <w:t>8</w:t>
      </w:r>
      <w:r w:rsidR="006B360C" w:rsidRPr="00EA18A1">
        <w:t xml:space="preserve">% y </w:t>
      </w:r>
      <w:r w:rsidR="00076588" w:rsidRPr="00EA18A1">
        <w:t xml:space="preserve">el crecimiento promedio anual de los últimos 10 años que ronda el </w:t>
      </w:r>
      <w:r w:rsidR="00225049" w:rsidRPr="00EA18A1">
        <w:t>18,4</w:t>
      </w:r>
      <w:r w:rsidR="00076588" w:rsidRPr="00EA18A1">
        <w:t>%.</w:t>
      </w:r>
      <w:r w:rsidR="003F491D" w:rsidRPr="00EA18A1">
        <w:t xml:space="preserve"> </w:t>
      </w:r>
    </w:p>
    <w:p w14:paraId="5035FD34" w14:textId="77777777" w:rsidR="003F491D" w:rsidRPr="00EA18A1" w:rsidRDefault="003F491D" w:rsidP="00B9565E">
      <w:pPr>
        <w:spacing w:after="0" w:line="240" w:lineRule="auto"/>
        <w:jc w:val="both"/>
      </w:pPr>
    </w:p>
    <w:p w14:paraId="423F82B7" w14:textId="77777777" w:rsidR="006A0C09" w:rsidRDefault="003F491D" w:rsidP="00B9565E">
      <w:pPr>
        <w:spacing w:after="0" w:line="240" w:lineRule="auto"/>
        <w:jc w:val="both"/>
      </w:pPr>
      <w:r w:rsidRPr="00EA18A1">
        <w:t xml:space="preserve">Por otro lado, </w:t>
      </w:r>
      <w:r w:rsidR="002E51FC" w:rsidRPr="00EA18A1">
        <w:t>el activo de los</w:t>
      </w:r>
      <w:r w:rsidR="00B9565E" w:rsidRPr="00EA18A1">
        <w:t xml:space="preserve"> fondos voluntarios ha experimentado un crecimiento </w:t>
      </w:r>
      <w:r w:rsidR="006A0C09" w:rsidRPr="00EA18A1">
        <w:t xml:space="preserve">del </w:t>
      </w:r>
      <w:r w:rsidR="002E51FC" w:rsidRPr="00EA18A1">
        <w:t>7,7</w:t>
      </w:r>
      <w:r w:rsidR="006A0C09" w:rsidRPr="00EA18A1">
        <w:t xml:space="preserve">% durante </w:t>
      </w:r>
      <w:r w:rsidR="002E51FC" w:rsidRPr="00EA18A1">
        <w:t>el primer trimestre del 2021</w:t>
      </w:r>
      <w:r w:rsidR="00B9565E" w:rsidRPr="00EA18A1">
        <w:t>,</w:t>
      </w:r>
      <w:r w:rsidR="002E51FC" w:rsidRPr="00EA18A1">
        <w:t xml:space="preserve"> </w:t>
      </w:r>
      <w:r w:rsidR="00EE15D9">
        <w:t>mientras</w:t>
      </w:r>
      <w:r w:rsidR="00E574D4">
        <w:t xml:space="preserve"> que</w:t>
      </w:r>
      <w:r w:rsidR="002E51FC" w:rsidRPr="00EA18A1">
        <w:t xml:space="preserve"> todo el 2020 </w:t>
      </w:r>
      <w:r w:rsidR="001F416B">
        <w:t>creció</w:t>
      </w:r>
      <w:r w:rsidR="002E51FC" w:rsidRPr="00EA18A1">
        <w:t xml:space="preserve"> un 15</w:t>
      </w:r>
      <w:r w:rsidR="00EA18A1" w:rsidRPr="00EA18A1">
        <w:t>,8</w:t>
      </w:r>
      <w:r w:rsidR="002E51FC" w:rsidRPr="00EA18A1">
        <w:t>% y el crecimiento promedio anual de los últimos 10 años que ronda el 11,2%.</w:t>
      </w:r>
    </w:p>
    <w:p w14:paraId="1986839E" w14:textId="77777777" w:rsidR="00B9565E" w:rsidRDefault="00B9565E" w:rsidP="00841412">
      <w:pPr>
        <w:spacing w:after="0" w:line="240" w:lineRule="auto"/>
        <w:jc w:val="both"/>
      </w:pPr>
    </w:p>
    <w:p w14:paraId="587415C5" w14:textId="77777777" w:rsidR="00C42B4F" w:rsidRPr="00C42B4F" w:rsidRDefault="00BC414E" w:rsidP="00BC414E">
      <w:pPr>
        <w:pStyle w:val="Descripcin"/>
        <w:tabs>
          <w:tab w:val="center" w:pos="4419"/>
          <w:tab w:val="left" w:pos="5331"/>
        </w:tabs>
        <w:spacing w:after="0"/>
      </w:pPr>
      <w:r>
        <w:tab/>
      </w:r>
      <w:bookmarkStart w:id="10" w:name="_Hlk63436943"/>
      <w:r w:rsidR="00C42B4F">
        <w:t xml:space="preserve">Gráfico </w:t>
      </w:r>
      <w:r w:rsidR="00C42B4F">
        <w:fldChar w:fldCharType="begin"/>
      </w:r>
      <w:r w:rsidR="00C42B4F">
        <w:instrText xml:space="preserve"> SEQ Gráfico \* ARABIC </w:instrText>
      </w:r>
      <w:r w:rsidR="00C42B4F">
        <w:fldChar w:fldCharType="separate"/>
      </w:r>
      <w:r w:rsidR="00BB41E4">
        <w:rPr>
          <w:noProof/>
        </w:rPr>
        <w:t>1</w:t>
      </w:r>
      <w:r w:rsidR="00C42B4F">
        <w:fldChar w:fldCharType="end"/>
      </w:r>
      <w:r>
        <w:t xml:space="preserve">: </w:t>
      </w:r>
      <w:r w:rsidR="00C42B4F" w:rsidRPr="00C42B4F">
        <w:t>Activos del Sistema Nacional de Pensiones y FCL</w:t>
      </w:r>
    </w:p>
    <w:p w14:paraId="78740A71" w14:textId="77777777" w:rsidR="00C42B4F" w:rsidRPr="00C42B4F" w:rsidRDefault="00336650" w:rsidP="00C42B4F">
      <w:pPr>
        <w:pStyle w:val="Descripcin"/>
        <w:spacing w:after="0"/>
        <w:jc w:val="center"/>
      </w:pPr>
      <w:r>
        <w:t>Por tipo de fondo c</w:t>
      </w:r>
      <w:r w:rsidR="00C42B4F" w:rsidRPr="00C42B4F">
        <w:t>omo porcentaje de PIB</w:t>
      </w:r>
    </w:p>
    <w:p w14:paraId="16C19620" w14:textId="77777777" w:rsidR="003C32E5" w:rsidRDefault="00C42B4F" w:rsidP="00C42B4F">
      <w:pPr>
        <w:pStyle w:val="Descripcin"/>
        <w:spacing w:after="0"/>
        <w:jc w:val="center"/>
      </w:pPr>
      <w:r w:rsidRPr="00C42B4F">
        <w:t xml:space="preserve">Billones de colones costarricenses a </w:t>
      </w:r>
      <w:r>
        <w:t>diciembre</w:t>
      </w:r>
      <w:r w:rsidRPr="00C42B4F">
        <w:t xml:space="preserve"> de cada año</w:t>
      </w:r>
    </w:p>
    <w:p w14:paraId="1BA913E2" w14:textId="77777777" w:rsidR="00FA6DA6" w:rsidRDefault="00A672DC" w:rsidP="00A672DC">
      <w:pPr>
        <w:spacing w:after="20"/>
      </w:pPr>
      <w:r>
        <w:rPr>
          <w:noProof/>
        </w:rPr>
        <w:drawing>
          <wp:inline distT="0" distB="0" distL="0" distR="0" wp14:anchorId="65D368B6" wp14:editId="197E1369">
            <wp:extent cx="5612130" cy="3209925"/>
            <wp:effectExtent l="0" t="0" r="7620" b="9525"/>
            <wp:docPr id="2" name="Gráfico 2">
              <a:extLst xmlns:a="http://schemas.openxmlformats.org/drawingml/2006/main">
                <a:ext uri="{FF2B5EF4-FFF2-40B4-BE49-F238E27FC236}">
                  <a16:creationId xmlns:a16="http://schemas.microsoft.com/office/drawing/2014/main" id="{3041C285-6237-447A-AA69-B84481881C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End w:id="10"/>
    </w:p>
    <w:p w14:paraId="406C78CD" w14:textId="77777777" w:rsidR="00640375" w:rsidRDefault="00D65175" w:rsidP="009626BA">
      <w:pPr>
        <w:pStyle w:val="Descripcin"/>
        <w:spacing w:after="0"/>
        <w:jc w:val="both"/>
      </w:pPr>
      <w:r>
        <w:t xml:space="preserve">  </w:t>
      </w:r>
      <w:r w:rsidR="00640375">
        <w:t xml:space="preserve">* </w:t>
      </w:r>
      <w:r w:rsidR="009F255D">
        <w:t>Todos l</w:t>
      </w:r>
      <w:r w:rsidR="00640375">
        <w:t>os datos para el 2021 son con corte al 31 de marzo</w:t>
      </w:r>
      <w:r w:rsidR="009F255D">
        <w:t>, excepto para Régimen básico (RIVM)</w:t>
      </w:r>
      <w:r w:rsidR="002E11A3">
        <w:t>,</w:t>
      </w:r>
      <w:r w:rsidR="009626BA">
        <w:t xml:space="preserve"> los </w:t>
      </w:r>
      <w:r w:rsidR="002E11A3">
        <w:t>datos</w:t>
      </w:r>
      <w:r w:rsidR="009626BA">
        <w:t xml:space="preserve"> corresponden al 28 de febrero del 2021</w:t>
      </w:r>
      <w:r w:rsidR="009F2AD5">
        <w:t>, último dato disponible</w:t>
      </w:r>
      <w:r w:rsidR="009626BA">
        <w:t>.</w:t>
      </w:r>
    </w:p>
    <w:p w14:paraId="1C63370D" w14:textId="77777777" w:rsidR="009626BA" w:rsidRDefault="00640375" w:rsidP="009626BA">
      <w:pPr>
        <w:pStyle w:val="Descripcin"/>
        <w:spacing w:after="0"/>
        <w:jc w:val="both"/>
      </w:pPr>
      <w:r>
        <w:t xml:space="preserve">PIB es el </w:t>
      </w:r>
      <w:r w:rsidRPr="00D65175">
        <w:t>Producto Interno Bruto a precios de mercado, nominal</w:t>
      </w:r>
      <w:r>
        <w:t>. Publicado en la página Web del Banco Central</w:t>
      </w:r>
      <w:r w:rsidR="00A053EB">
        <w:t xml:space="preserve"> </w:t>
      </w:r>
    </w:p>
    <w:p w14:paraId="2543BAC0" w14:textId="77777777" w:rsidR="000252E5" w:rsidRDefault="00C42B4F" w:rsidP="000252E5">
      <w:pPr>
        <w:pStyle w:val="Descripcin"/>
        <w:spacing w:after="0"/>
        <w:jc w:val="both"/>
      </w:pPr>
      <w:r>
        <w:t>Fuente: Elaboración propia</w:t>
      </w:r>
    </w:p>
    <w:p w14:paraId="3260271A" w14:textId="77777777" w:rsidR="000252E5" w:rsidRPr="000252E5" w:rsidRDefault="000252E5" w:rsidP="000252E5">
      <w:pPr>
        <w:spacing w:after="0" w:line="240" w:lineRule="auto"/>
        <w:jc w:val="both"/>
      </w:pPr>
    </w:p>
    <w:p w14:paraId="2DC8D1A2" w14:textId="77777777" w:rsidR="00315A03" w:rsidRDefault="00315A03" w:rsidP="00CE0F8B">
      <w:pPr>
        <w:pStyle w:val="Ttulo2"/>
        <w:numPr>
          <w:ilvl w:val="1"/>
          <w:numId w:val="1"/>
        </w:numPr>
      </w:pPr>
      <w:bookmarkStart w:id="11" w:name="_Toc73096119"/>
      <w:r w:rsidRPr="004A7EA3">
        <w:t>Inversiones</w:t>
      </w:r>
      <w:bookmarkEnd w:id="11"/>
      <w:r w:rsidRPr="004A7EA3">
        <w:t xml:space="preserve"> </w:t>
      </w:r>
    </w:p>
    <w:p w14:paraId="0C1F0EBE" w14:textId="77777777" w:rsidR="000252E5" w:rsidRPr="000252E5" w:rsidRDefault="000252E5" w:rsidP="000252E5">
      <w:pPr>
        <w:spacing w:after="0" w:line="240" w:lineRule="auto"/>
        <w:jc w:val="both"/>
      </w:pPr>
    </w:p>
    <w:p w14:paraId="1E854F2A" w14:textId="77777777" w:rsidR="00315A03" w:rsidRPr="004A7EA3" w:rsidRDefault="00315A03" w:rsidP="00315A03">
      <w:pPr>
        <w:spacing w:after="0" w:line="240" w:lineRule="auto"/>
        <w:jc w:val="both"/>
      </w:pPr>
      <w:r w:rsidRPr="004A7EA3">
        <w:t>El portafolio de las inversiones (sin incluir carteras de crédito) del SNP y el FCL equivale a ₡15,</w:t>
      </w:r>
      <w:r w:rsidR="00BF6CE9" w:rsidRPr="004A7EA3">
        <w:t>8</w:t>
      </w:r>
      <w:r w:rsidRPr="004A7EA3">
        <w:t xml:space="preserve"> billones. Del total de inversiones hay una concentración de ₡11,</w:t>
      </w:r>
      <w:r w:rsidR="0021270A" w:rsidRPr="004A7EA3">
        <w:t>9</w:t>
      </w:r>
      <w:r w:rsidRPr="004A7EA3">
        <w:t xml:space="preserve"> billones en Sector Público (un 7</w:t>
      </w:r>
      <w:r w:rsidR="007C1B20" w:rsidRPr="004A7EA3">
        <w:t>5,6</w:t>
      </w:r>
      <w:r w:rsidRPr="004A7EA3">
        <w:t>%), de estos ₡10,6 billones se encuentran invertidos en instrumentos del Ministerio de Hacienda y Banco Central de Costa Rica. El 7</w:t>
      </w:r>
      <w:r w:rsidR="007D1B14" w:rsidRPr="004A7EA3">
        <w:t>6</w:t>
      </w:r>
      <w:r w:rsidRPr="004A7EA3">
        <w:t>% de</w:t>
      </w:r>
      <w:r w:rsidR="007D1B14" w:rsidRPr="004A7EA3">
        <w:t xml:space="preserve"> los portafolios de pensiones </w:t>
      </w:r>
      <w:r w:rsidRPr="004A7EA3">
        <w:t xml:space="preserve">se concentra en </w:t>
      </w:r>
      <w:r w:rsidRPr="004A7EA3">
        <w:lastRenderedPageBreak/>
        <w:t>colones costarricenses y el restante 2</w:t>
      </w:r>
      <w:r w:rsidR="00E9313E" w:rsidRPr="004A7EA3">
        <w:t>4</w:t>
      </w:r>
      <w:r w:rsidRPr="004A7EA3">
        <w:t xml:space="preserve">% en US dólares. La exposición en esta última moneda se incrementó un </w:t>
      </w:r>
      <w:r w:rsidR="00282880" w:rsidRPr="004A7EA3">
        <w:t>7,5</w:t>
      </w:r>
      <w:r w:rsidRPr="004A7EA3">
        <w:t xml:space="preserve">% durante los </w:t>
      </w:r>
      <w:r w:rsidR="00282880" w:rsidRPr="004A7EA3">
        <w:t>primeros</w:t>
      </w:r>
      <w:r w:rsidRPr="004A7EA3">
        <w:t xml:space="preserve"> tres meses</w:t>
      </w:r>
      <w:r w:rsidR="00282880" w:rsidRPr="004A7EA3">
        <w:t xml:space="preserve"> del 2021</w:t>
      </w:r>
      <w:r w:rsidRPr="004A7EA3">
        <w:t xml:space="preserve"> para todo el SNP y FCL.</w:t>
      </w:r>
    </w:p>
    <w:p w14:paraId="7B3AC450" w14:textId="77777777" w:rsidR="00315A03" w:rsidRPr="004A7EA3" w:rsidRDefault="00315A03" w:rsidP="00315A03">
      <w:pPr>
        <w:spacing w:after="0" w:line="240" w:lineRule="auto"/>
        <w:jc w:val="both"/>
      </w:pPr>
    </w:p>
    <w:p w14:paraId="188A2AE6" w14:textId="77777777" w:rsidR="00315A03" w:rsidRPr="004A7EA3" w:rsidRDefault="00315A03" w:rsidP="00315A03">
      <w:pPr>
        <w:spacing w:after="0" w:line="240" w:lineRule="auto"/>
        <w:jc w:val="both"/>
      </w:pPr>
      <w:r w:rsidRPr="004A7EA3">
        <w:t xml:space="preserve">El </w:t>
      </w:r>
      <w:r w:rsidR="00EC64B4" w:rsidRPr="004A7EA3">
        <w:t>13,2</w:t>
      </w:r>
      <w:r w:rsidRPr="004A7EA3">
        <w:t>% del total de los portafolios</w:t>
      </w:r>
      <w:r w:rsidR="00D629A4" w:rsidRPr="004A7EA3">
        <w:t xml:space="preserve"> del SNP y FCL </w:t>
      </w:r>
      <w:r w:rsidRPr="004A7EA3">
        <w:t>se invierten en el sector extranjero</w:t>
      </w:r>
      <w:r w:rsidR="00436E54" w:rsidRPr="004A7EA3">
        <w:t xml:space="preserve">. En el caso del ROP </w:t>
      </w:r>
      <w:r w:rsidR="00D629A4" w:rsidRPr="004A7EA3">
        <w:t xml:space="preserve">se presenta </w:t>
      </w:r>
      <w:r w:rsidRPr="004A7EA3">
        <w:t xml:space="preserve">un aumento del </w:t>
      </w:r>
      <w:r w:rsidR="00901C0D" w:rsidRPr="004A7EA3">
        <w:t>9,7</w:t>
      </w:r>
      <w:r w:rsidRPr="004A7EA3">
        <w:t xml:space="preserve">% con respecto al cierre del trimestre anterior, correspondiente el </w:t>
      </w:r>
      <w:r w:rsidR="005647F1" w:rsidRPr="004A7EA3">
        <w:t>9</w:t>
      </w:r>
      <w:r w:rsidR="00D629A4" w:rsidRPr="004A7EA3">
        <w:t>3,3</w:t>
      </w:r>
      <w:r w:rsidRPr="004A7EA3">
        <w:t>% a cartera gestionada por el ROP. Las inversiones de este tipo se concentran en Exchange Traded Funds (ETF) y participaciones de fondos de nivel I.</w:t>
      </w:r>
    </w:p>
    <w:p w14:paraId="079C7A85" w14:textId="77777777" w:rsidR="00315A03" w:rsidRPr="004A7EA3" w:rsidRDefault="00315A03" w:rsidP="00315A03">
      <w:pPr>
        <w:spacing w:after="0" w:line="240" w:lineRule="auto"/>
        <w:jc w:val="both"/>
      </w:pPr>
    </w:p>
    <w:p w14:paraId="1915064D" w14:textId="77777777" w:rsidR="00315A03" w:rsidRPr="004A7EA3" w:rsidRDefault="00315A03" w:rsidP="00315A03">
      <w:pPr>
        <w:pStyle w:val="Descripcin"/>
        <w:spacing w:after="0"/>
        <w:jc w:val="center"/>
      </w:pPr>
      <w:r w:rsidRPr="004A7EA3">
        <w:t xml:space="preserve">Tabla </w:t>
      </w:r>
      <w:r w:rsidRPr="004A7EA3">
        <w:fldChar w:fldCharType="begin"/>
      </w:r>
      <w:r w:rsidRPr="004A7EA3">
        <w:instrText xml:space="preserve"> SEQ Tabla \* ARABIC </w:instrText>
      </w:r>
      <w:r w:rsidRPr="004A7EA3">
        <w:fldChar w:fldCharType="separate"/>
      </w:r>
      <w:r w:rsidRPr="004A7EA3">
        <w:rPr>
          <w:noProof/>
        </w:rPr>
        <w:t>2</w:t>
      </w:r>
      <w:r w:rsidRPr="004A7EA3">
        <w:fldChar w:fldCharType="end"/>
      </w:r>
      <w:r w:rsidRPr="004A7EA3">
        <w:t>: Inversiones del Sistema Nacional de Pensiones y FCL</w:t>
      </w:r>
    </w:p>
    <w:p w14:paraId="569F8479" w14:textId="77777777" w:rsidR="00315A03" w:rsidRPr="004A7EA3" w:rsidRDefault="00315A03" w:rsidP="00315A03">
      <w:pPr>
        <w:pStyle w:val="Descripcin"/>
        <w:tabs>
          <w:tab w:val="center" w:pos="4419"/>
          <w:tab w:val="left" w:pos="5788"/>
        </w:tabs>
        <w:spacing w:after="0"/>
      </w:pPr>
      <w:r w:rsidRPr="004A7EA3">
        <w:tab/>
        <w:t>Por sector y tipo de fondo</w:t>
      </w:r>
    </w:p>
    <w:p w14:paraId="40AA0141" w14:textId="77777777" w:rsidR="00315A03" w:rsidRPr="004A7EA3" w:rsidRDefault="00315A03" w:rsidP="00315A03">
      <w:pPr>
        <w:pStyle w:val="Descripcin"/>
        <w:tabs>
          <w:tab w:val="center" w:pos="4419"/>
          <w:tab w:val="left" w:pos="5788"/>
        </w:tabs>
        <w:spacing w:after="0"/>
        <w:jc w:val="center"/>
      </w:pPr>
      <w:r w:rsidRPr="004A7EA3">
        <w:t>Millones de colones costarricenses</w:t>
      </w:r>
    </w:p>
    <w:p w14:paraId="54FEF8A6" w14:textId="77777777" w:rsidR="00315A03" w:rsidRPr="004A7EA3" w:rsidRDefault="00315A03" w:rsidP="00315A03">
      <w:pPr>
        <w:pStyle w:val="Descripcin"/>
        <w:tabs>
          <w:tab w:val="center" w:pos="4419"/>
          <w:tab w:val="left" w:pos="5788"/>
        </w:tabs>
        <w:spacing w:after="0"/>
        <w:jc w:val="center"/>
      </w:pPr>
      <w:r w:rsidRPr="004A7EA3">
        <w:t xml:space="preserve"> Al 31 de </w:t>
      </w:r>
      <w:r w:rsidR="003B0AB5">
        <w:t>marzo</w:t>
      </w:r>
      <w:r w:rsidRPr="004A7EA3">
        <w:t xml:space="preserve"> del 202</w:t>
      </w:r>
      <w:r w:rsidR="003B0AB5">
        <w:t>1</w:t>
      </w:r>
    </w:p>
    <w:tbl>
      <w:tblPr>
        <w:tblW w:w="10055" w:type="dxa"/>
        <w:jc w:val="center"/>
        <w:tblCellMar>
          <w:left w:w="70" w:type="dxa"/>
          <w:right w:w="70" w:type="dxa"/>
        </w:tblCellMar>
        <w:tblLook w:val="04A0" w:firstRow="1" w:lastRow="0" w:firstColumn="1" w:lastColumn="0" w:noHBand="0" w:noVBand="1"/>
      </w:tblPr>
      <w:tblGrid>
        <w:gridCol w:w="3827"/>
        <w:gridCol w:w="1078"/>
        <w:gridCol w:w="657"/>
        <w:gridCol w:w="1025"/>
        <w:gridCol w:w="657"/>
        <w:gridCol w:w="1110"/>
        <w:gridCol w:w="642"/>
        <w:gridCol w:w="1059"/>
      </w:tblGrid>
      <w:tr w:rsidR="00782518" w:rsidRPr="004A7EA3" w14:paraId="7C253038" w14:textId="77777777" w:rsidTr="00ED6015">
        <w:trPr>
          <w:trHeight w:val="241"/>
          <w:jc w:val="center"/>
        </w:trPr>
        <w:tc>
          <w:tcPr>
            <w:tcW w:w="3827" w:type="dxa"/>
            <w:vMerge w:val="restart"/>
            <w:tcBorders>
              <w:top w:val="single" w:sz="8" w:space="0" w:color="8DB3E2"/>
              <w:left w:val="single" w:sz="8" w:space="0" w:color="8DB3E2"/>
              <w:bottom w:val="single" w:sz="8" w:space="0" w:color="8DB3E2"/>
              <w:right w:val="single" w:sz="8" w:space="0" w:color="8DB3E2"/>
            </w:tcBorders>
            <w:shd w:val="clear" w:color="000000" w:fill="4F81BD"/>
            <w:noWrap/>
            <w:vAlign w:val="center"/>
            <w:hideMark/>
          </w:tcPr>
          <w:p w14:paraId="5495D092" w14:textId="77777777" w:rsidR="00782518" w:rsidRPr="00782518" w:rsidRDefault="00782518" w:rsidP="00782518">
            <w:pPr>
              <w:spacing w:after="0" w:line="240" w:lineRule="auto"/>
              <w:rPr>
                <w:rFonts w:ascii="Calibri" w:eastAsia="Times New Roman" w:hAnsi="Calibri" w:cs="Calibri"/>
                <w:b/>
                <w:bCs/>
                <w:color w:val="FFFFFF"/>
                <w:sz w:val="20"/>
                <w:szCs w:val="20"/>
                <w:lang w:val="es-CR" w:eastAsia="es-CR"/>
              </w:rPr>
            </w:pPr>
            <w:r w:rsidRPr="00782518">
              <w:rPr>
                <w:rFonts w:ascii="Calibri" w:eastAsia="Times New Roman" w:hAnsi="Calibri" w:cs="Calibri"/>
                <w:b/>
                <w:bCs/>
                <w:color w:val="FFFFFF"/>
                <w:sz w:val="20"/>
                <w:szCs w:val="20"/>
                <w:lang w:val="es-CR" w:eastAsia="es-CR"/>
              </w:rPr>
              <w:t>Tipo de Fondo</w:t>
            </w:r>
          </w:p>
        </w:tc>
        <w:tc>
          <w:tcPr>
            <w:tcW w:w="1735" w:type="dxa"/>
            <w:gridSpan w:val="2"/>
            <w:tcBorders>
              <w:top w:val="single" w:sz="8" w:space="0" w:color="8DB3E2"/>
              <w:left w:val="nil"/>
              <w:bottom w:val="single" w:sz="8" w:space="0" w:color="8DB3E2"/>
              <w:right w:val="single" w:sz="8" w:space="0" w:color="8DB3E2"/>
            </w:tcBorders>
            <w:shd w:val="clear" w:color="000000" w:fill="4F81BD"/>
            <w:noWrap/>
            <w:vAlign w:val="center"/>
            <w:hideMark/>
          </w:tcPr>
          <w:p w14:paraId="126F49D5" w14:textId="77777777" w:rsidR="00782518" w:rsidRPr="00782518" w:rsidRDefault="00782518" w:rsidP="00782518">
            <w:pPr>
              <w:spacing w:after="0" w:line="240" w:lineRule="auto"/>
              <w:jc w:val="center"/>
              <w:rPr>
                <w:rFonts w:ascii="Calibri" w:eastAsia="Times New Roman" w:hAnsi="Calibri" w:cs="Calibri"/>
                <w:b/>
                <w:bCs/>
                <w:color w:val="FFFFFF"/>
                <w:sz w:val="20"/>
                <w:szCs w:val="20"/>
                <w:lang w:val="es-CR" w:eastAsia="es-CR"/>
              </w:rPr>
            </w:pPr>
            <w:r w:rsidRPr="00782518">
              <w:rPr>
                <w:rFonts w:ascii="Calibri" w:eastAsia="Times New Roman" w:hAnsi="Calibri" w:cs="Calibri"/>
                <w:b/>
                <w:bCs/>
                <w:color w:val="FFFFFF"/>
                <w:sz w:val="20"/>
                <w:szCs w:val="20"/>
                <w:lang w:val="es-CR" w:eastAsia="es-CR"/>
              </w:rPr>
              <w:t>Extranjero</w:t>
            </w:r>
          </w:p>
        </w:tc>
        <w:tc>
          <w:tcPr>
            <w:tcW w:w="1682" w:type="dxa"/>
            <w:gridSpan w:val="2"/>
            <w:tcBorders>
              <w:top w:val="single" w:sz="8" w:space="0" w:color="8DB3E2"/>
              <w:left w:val="nil"/>
              <w:bottom w:val="single" w:sz="8" w:space="0" w:color="8DB3E2"/>
              <w:right w:val="single" w:sz="8" w:space="0" w:color="8DB3E2"/>
            </w:tcBorders>
            <w:shd w:val="clear" w:color="000000" w:fill="4F81BD"/>
            <w:noWrap/>
            <w:vAlign w:val="center"/>
            <w:hideMark/>
          </w:tcPr>
          <w:p w14:paraId="52702D38" w14:textId="77777777" w:rsidR="00782518" w:rsidRPr="00782518" w:rsidRDefault="00782518" w:rsidP="00782518">
            <w:pPr>
              <w:spacing w:after="0" w:line="240" w:lineRule="auto"/>
              <w:jc w:val="center"/>
              <w:rPr>
                <w:rFonts w:ascii="Calibri" w:eastAsia="Times New Roman" w:hAnsi="Calibri" w:cs="Calibri"/>
                <w:b/>
                <w:bCs/>
                <w:color w:val="FFFFFF"/>
                <w:sz w:val="20"/>
                <w:szCs w:val="20"/>
                <w:lang w:val="es-CR" w:eastAsia="es-CR"/>
              </w:rPr>
            </w:pPr>
            <w:r w:rsidRPr="00782518">
              <w:rPr>
                <w:rFonts w:ascii="Calibri" w:eastAsia="Times New Roman" w:hAnsi="Calibri" w:cs="Calibri"/>
                <w:b/>
                <w:bCs/>
                <w:color w:val="FFFFFF"/>
                <w:sz w:val="20"/>
                <w:szCs w:val="20"/>
                <w:lang w:val="es-CR" w:eastAsia="es-CR"/>
              </w:rPr>
              <w:t xml:space="preserve">   Privado</w:t>
            </w:r>
          </w:p>
        </w:tc>
        <w:tc>
          <w:tcPr>
            <w:tcW w:w="1752" w:type="dxa"/>
            <w:gridSpan w:val="2"/>
            <w:tcBorders>
              <w:top w:val="single" w:sz="8" w:space="0" w:color="8DB3E2"/>
              <w:left w:val="nil"/>
              <w:bottom w:val="single" w:sz="8" w:space="0" w:color="8DB3E2"/>
              <w:right w:val="single" w:sz="8" w:space="0" w:color="8DB3E2"/>
            </w:tcBorders>
            <w:shd w:val="clear" w:color="000000" w:fill="4F81BD"/>
            <w:vAlign w:val="center"/>
            <w:hideMark/>
          </w:tcPr>
          <w:p w14:paraId="3483AA11" w14:textId="77777777" w:rsidR="00782518" w:rsidRPr="00782518" w:rsidRDefault="00782518" w:rsidP="00782518">
            <w:pPr>
              <w:spacing w:after="0" w:line="240" w:lineRule="auto"/>
              <w:jc w:val="center"/>
              <w:rPr>
                <w:rFonts w:ascii="Calibri" w:eastAsia="Times New Roman" w:hAnsi="Calibri" w:cs="Calibri"/>
                <w:b/>
                <w:bCs/>
                <w:color w:val="FFFFFF"/>
                <w:sz w:val="20"/>
                <w:szCs w:val="20"/>
                <w:lang w:val="es-CR" w:eastAsia="es-CR"/>
              </w:rPr>
            </w:pPr>
            <w:r w:rsidRPr="00782518">
              <w:rPr>
                <w:rFonts w:ascii="Calibri" w:eastAsia="Times New Roman" w:hAnsi="Calibri" w:cs="Calibri"/>
                <w:b/>
                <w:bCs/>
                <w:color w:val="FFFFFF"/>
                <w:sz w:val="20"/>
                <w:szCs w:val="20"/>
                <w:lang w:val="es-CR" w:eastAsia="es-CR"/>
              </w:rPr>
              <w:t>Público</w:t>
            </w:r>
          </w:p>
        </w:tc>
        <w:tc>
          <w:tcPr>
            <w:tcW w:w="1059" w:type="dxa"/>
            <w:tcBorders>
              <w:top w:val="single" w:sz="8" w:space="0" w:color="8DB3E2"/>
              <w:left w:val="nil"/>
              <w:bottom w:val="single" w:sz="8" w:space="0" w:color="8DB3E2"/>
              <w:right w:val="single" w:sz="8" w:space="0" w:color="8DB3E2"/>
            </w:tcBorders>
            <w:shd w:val="clear" w:color="000000" w:fill="4F81BD"/>
            <w:noWrap/>
            <w:vAlign w:val="center"/>
            <w:hideMark/>
          </w:tcPr>
          <w:p w14:paraId="3A201728" w14:textId="77777777" w:rsidR="00782518" w:rsidRPr="00782518" w:rsidRDefault="00782518" w:rsidP="00782518">
            <w:pPr>
              <w:spacing w:after="0" w:line="240" w:lineRule="auto"/>
              <w:jc w:val="center"/>
              <w:rPr>
                <w:rFonts w:ascii="Calibri" w:eastAsia="Times New Roman" w:hAnsi="Calibri" w:cs="Calibri"/>
                <w:b/>
                <w:bCs/>
                <w:color w:val="FFFFFF"/>
                <w:sz w:val="20"/>
                <w:szCs w:val="20"/>
                <w:lang w:val="es-CR" w:eastAsia="es-CR"/>
              </w:rPr>
            </w:pPr>
            <w:r w:rsidRPr="00782518">
              <w:rPr>
                <w:rFonts w:ascii="Calibri" w:eastAsia="Times New Roman" w:hAnsi="Calibri" w:cs="Calibri"/>
                <w:b/>
                <w:bCs/>
                <w:color w:val="FFFFFF"/>
                <w:sz w:val="20"/>
                <w:szCs w:val="20"/>
                <w:lang w:val="es-CR" w:eastAsia="es-CR"/>
              </w:rPr>
              <w:t>Total</w:t>
            </w:r>
          </w:p>
        </w:tc>
      </w:tr>
      <w:tr w:rsidR="00782518" w:rsidRPr="004A7EA3" w14:paraId="640E4618" w14:textId="77777777" w:rsidTr="00ED6015">
        <w:trPr>
          <w:trHeight w:val="241"/>
          <w:jc w:val="center"/>
        </w:trPr>
        <w:tc>
          <w:tcPr>
            <w:tcW w:w="3827" w:type="dxa"/>
            <w:vMerge/>
            <w:tcBorders>
              <w:top w:val="single" w:sz="8" w:space="0" w:color="8DB3E2"/>
              <w:left w:val="single" w:sz="8" w:space="0" w:color="8DB3E2"/>
              <w:bottom w:val="single" w:sz="8" w:space="0" w:color="8DB3E2"/>
              <w:right w:val="single" w:sz="8" w:space="0" w:color="8DB3E2"/>
            </w:tcBorders>
            <w:vAlign w:val="center"/>
            <w:hideMark/>
          </w:tcPr>
          <w:p w14:paraId="39B7DA9E" w14:textId="77777777" w:rsidR="00782518" w:rsidRPr="00782518" w:rsidRDefault="00782518" w:rsidP="00782518">
            <w:pPr>
              <w:spacing w:after="0" w:line="240" w:lineRule="auto"/>
              <w:rPr>
                <w:rFonts w:ascii="Calibri" w:eastAsia="Times New Roman" w:hAnsi="Calibri" w:cs="Calibri"/>
                <w:b/>
                <w:bCs/>
                <w:color w:val="FFFFFF"/>
                <w:sz w:val="20"/>
                <w:szCs w:val="20"/>
                <w:lang w:val="es-CR" w:eastAsia="es-CR"/>
              </w:rPr>
            </w:pPr>
          </w:p>
        </w:tc>
        <w:tc>
          <w:tcPr>
            <w:tcW w:w="1078" w:type="dxa"/>
            <w:tcBorders>
              <w:top w:val="nil"/>
              <w:left w:val="nil"/>
              <w:bottom w:val="single" w:sz="8" w:space="0" w:color="8DB3E2"/>
              <w:right w:val="single" w:sz="8" w:space="0" w:color="8DB3E2"/>
            </w:tcBorders>
            <w:shd w:val="clear" w:color="000000" w:fill="4F81BD"/>
            <w:noWrap/>
            <w:vAlign w:val="center"/>
            <w:hideMark/>
          </w:tcPr>
          <w:p w14:paraId="5D4AA60E" w14:textId="77777777" w:rsidR="00782518" w:rsidRPr="00782518" w:rsidRDefault="00782518" w:rsidP="00782518">
            <w:pPr>
              <w:spacing w:after="0" w:line="240" w:lineRule="auto"/>
              <w:jc w:val="center"/>
              <w:rPr>
                <w:rFonts w:ascii="Calibri" w:eastAsia="Times New Roman" w:hAnsi="Calibri" w:cs="Calibri"/>
                <w:b/>
                <w:bCs/>
                <w:color w:val="FFFFFF"/>
                <w:sz w:val="20"/>
                <w:szCs w:val="20"/>
                <w:lang w:val="es-CR" w:eastAsia="es-CR"/>
              </w:rPr>
            </w:pPr>
            <w:r w:rsidRPr="00782518">
              <w:rPr>
                <w:rFonts w:ascii="Calibri" w:eastAsia="Times New Roman" w:hAnsi="Calibri" w:cs="Calibri"/>
                <w:b/>
                <w:bCs/>
                <w:color w:val="FFFFFF"/>
                <w:sz w:val="20"/>
                <w:szCs w:val="20"/>
                <w:lang w:val="es-CR" w:eastAsia="es-CR"/>
              </w:rPr>
              <w:t>Monto</w:t>
            </w:r>
          </w:p>
        </w:tc>
        <w:tc>
          <w:tcPr>
            <w:tcW w:w="657" w:type="dxa"/>
            <w:tcBorders>
              <w:top w:val="nil"/>
              <w:left w:val="nil"/>
              <w:bottom w:val="single" w:sz="8" w:space="0" w:color="8DB3E2"/>
              <w:right w:val="single" w:sz="8" w:space="0" w:color="8DB3E2"/>
            </w:tcBorders>
            <w:shd w:val="clear" w:color="000000" w:fill="4F81BD"/>
            <w:noWrap/>
            <w:vAlign w:val="center"/>
            <w:hideMark/>
          </w:tcPr>
          <w:p w14:paraId="13D14BF1" w14:textId="77777777" w:rsidR="00782518" w:rsidRPr="00782518" w:rsidRDefault="00782518" w:rsidP="00782518">
            <w:pPr>
              <w:spacing w:after="0" w:line="240" w:lineRule="auto"/>
              <w:jc w:val="center"/>
              <w:rPr>
                <w:rFonts w:ascii="Calibri" w:eastAsia="Times New Roman" w:hAnsi="Calibri" w:cs="Calibri"/>
                <w:b/>
                <w:bCs/>
                <w:color w:val="FFFFFF"/>
                <w:sz w:val="20"/>
                <w:szCs w:val="20"/>
                <w:lang w:val="es-CR" w:eastAsia="es-CR"/>
              </w:rPr>
            </w:pPr>
            <w:r w:rsidRPr="00782518">
              <w:rPr>
                <w:rFonts w:ascii="Calibri" w:eastAsia="Times New Roman" w:hAnsi="Calibri" w:cs="Calibri"/>
                <w:b/>
                <w:bCs/>
                <w:color w:val="FFFFFF"/>
                <w:sz w:val="20"/>
                <w:szCs w:val="20"/>
                <w:lang w:val="es-CR" w:eastAsia="es-CR"/>
              </w:rPr>
              <w:t>%</w:t>
            </w:r>
          </w:p>
        </w:tc>
        <w:tc>
          <w:tcPr>
            <w:tcW w:w="1025" w:type="dxa"/>
            <w:tcBorders>
              <w:top w:val="nil"/>
              <w:left w:val="nil"/>
              <w:bottom w:val="single" w:sz="8" w:space="0" w:color="8DB3E2"/>
              <w:right w:val="single" w:sz="8" w:space="0" w:color="8DB3E2"/>
            </w:tcBorders>
            <w:shd w:val="clear" w:color="000000" w:fill="4F81BD"/>
            <w:noWrap/>
            <w:vAlign w:val="center"/>
            <w:hideMark/>
          </w:tcPr>
          <w:p w14:paraId="5F5B22C2" w14:textId="77777777" w:rsidR="00782518" w:rsidRPr="00782518" w:rsidRDefault="00782518" w:rsidP="00782518">
            <w:pPr>
              <w:spacing w:after="0" w:line="240" w:lineRule="auto"/>
              <w:jc w:val="center"/>
              <w:rPr>
                <w:rFonts w:ascii="Calibri" w:eastAsia="Times New Roman" w:hAnsi="Calibri" w:cs="Calibri"/>
                <w:b/>
                <w:bCs/>
                <w:color w:val="FFFFFF"/>
                <w:sz w:val="20"/>
                <w:szCs w:val="20"/>
                <w:lang w:val="es-CR" w:eastAsia="es-CR"/>
              </w:rPr>
            </w:pPr>
            <w:r w:rsidRPr="00782518">
              <w:rPr>
                <w:rFonts w:ascii="Calibri" w:eastAsia="Times New Roman" w:hAnsi="Calibri" w:cs="Calibri"/>
                <w:b/>
                <w:bCs/>
                <w:color w:val="FFFFFF"/>
                <w:sz w:val="20"/>
                <w:szCs w:val="20"/>
                <w:lang w:val="es-CR" w:eastAsia="es-CR"/>
              </w:rPr>
              <w:t>Monto</w:t>
            </w:r>
          </w:p>
        </w:tc>
        <w:tc>
          <w:tcPr>
            <w:tcW w:w="657" w:type="dxa"/>
            <w:tcBorders>
              <w:top w:val="nil"/>
              <w:left w:val="nil"/>
              <w:bottom w:val="single" w:sz="8" w:space="0" w:color="8DB3E2"/>
              <w:right w:val="single" w:sz="8" w:space="0" w:color="8DB3E2"/>
            </w:tcBorders>
            <w:shd w:val="clear" w:color="000000" w:fill="4F81BD"/>
            <w:noWrap/>
            <w:vAlign w:val="center"/>
            <w:hideMark/>
          </w:tcPr>
          <w:p w14:paraId="46514DE2" w14:textId="77777777" w:rsidR="00782518" w:rsidRPr="00782518" w:rsidRDefault="00782518" w:rsidP="00782518">
            <w:pPr>
              <w:spacing w:after="0" w:line="240" w:lineRule="auto"/>
              <w:jc w:val="center"/>
              <w:rPr>
                <w:rFonts w:ascii="Calibri" w:eastAsia="Times New Roman" w:hAnsi="Calibri" w:cs="Calibri"/>
                <w:b/>
                <w:bCs/>
                <w:color w:val="FFFFFF"/>
                <w:sz w:val="20"/>
                <w:szCs w:val="20"/>
                <w:lang w:val="es-CR" w:eastAsia="es-CR"/>
              </w:rPr>
            </w:pPr>
            <w:r w:rsidRPr="00782518">
              <w:rPr>
                <w:rFonts w:ascii="Calibri" w:eastAsia="Times New Roman" w:hAnsi="Calibri" w:cs="Calibri"/>
                <w:b/>
                <w:bCs/>
                <w:color w:val="FFFFFF"/>
                <w:sz w:val="20"/>
                <w:szCs w:val="20"/>
                <w:lang w:val="es-CR" w:eastAsia="es-CR"/>
              </w:rPr>
              <w:t>%</w:t>
            </w:r>
          </w:p>
        </w:tc>
        <w:tc>
          <w:tcPr>
            <w:tcW w:w="1110" w:type="dxa"/>
            <w:tcBorders>
              <w:top w:val="nil"/>
              <w:left w:val="nil"/>
              <w:bottom w:val="single" w:sz="8" w:space="0" w:color="8DB3E2"/>
              <w:right w:val="single" w:sz="8" w:space="0" w:color="8DB3E2"/>
            </w:tcBorders>
            <w:shd w:val="clear" w:color="000000" w:fill="4F81BD"/>
            <w:noWrap/>
            <w:vAlign w:val="center"/>
            <w:hideMark/>
          </w:tcPr>
          <w:p w14:paraId="3825B609" w14:textId="77777777" w:rsidR="00782518" w:rsidRPr="00782518" w:rsidRDefault="00782518" w:rsidP="00782518">
            <w:pPr>
              <w:spacing w:after="0" w:line="240" w:lineRule="auto"/>
              <w:jc w:val="center"/>
              <w:rPr>
                <w:rFonts w:ascii="Calibri" w:eastAsia="Times New Roman" w:hAnsi="Calibri" w:cs="Calibri"/>
                <w:b/>
                <w:bCs/>
                <w:color w:val="FFFFFF"/>
                <w:sz w:val="20"/>
                <w:szCs w:val="20"/>
                <w:lang w:val="es-CR" w:eastAsia="es-CR"/>
              </w:rPr>
            </w:pPr>
            <w:r w:rsidRPr="00782518">
              <w:rPr>
                <w:rFonts w:ascii="Calibri" w:eastAsia="Times New Roman" w:hAnsi="Calibri" w:cs="Calibri"/>
                <w:b/>
                <w:bCs/>
                <w:color w:val="FFFFFF"/>
                <w:sz w:val="20"/>
                <w:szCs w:val="20"/>
                <w:lang w:val="es-CR" w:eastAsia="es-CR"/>
              </w:rPr>
              <w:t>Monto</w:t>
            </w:r>
          </w:p>
        </w:tc>
        <w:tc>
          <w:tcPr>
            <w:tcW w:w="642" w:type="dxa"/>
            <w:tcBorders>
              <w:top w:val="nil"/>
              <w:left w:val="nil"/>
              <w:bottom w:val="single" w:sz="8" w:space="0" w:color="8DB3E2"/>
              <w:right w:val="single" w:sz="8" w:space="0" w:color="8DB3E2"/>
            </w:tcBorders>
            <w:shd w:val="clear" w:color="000000" w:fill="4F81BD"/>
            <w:noWrap/>
            <w:vAlign w:val="center"/>
            <w:hideMark/>
          </w:tcPr>
          <w:p w14:paraId="19C5566E" w14:textId="77777777" w:rsidR="00782518" w:rsidRPr="00782518" w:rsidRDefault="00782518" w:rsidP="00782518">
            <w:pPr>
              <w:spacing w:after="0" w:line="240" w:lineRule="auto"/>
              <w:jc w:val="center"/>
              <w:rPr>
                <w:rFonts w:ascii="Calibri" w:eastAsia="Times New Roman" w:hAnsi="Calibri" w:cs="Calibri"/>
                <w:b/>
                <w:bCs/>
                <w:color w:val="FFFFFF"/>
                <w:sz w:val="20"/>
                <w:szCs w:val="20"/>
                <w:lang w:val="es-CR" w:eastAsia="es-CR"/>
              </w:rPr>
            </w:pPr>
            <w:r w:rsidRPr="00782518">
              <w:rPr>
                <w:rFonts w:ascii="Calibri" w:eastAsia="Times New Roman" w:hAnsi="Calibri" w:cs="Calibri"/>
                <w:b/>
                <w:bCs/>
                <w:color w:val="FFFFFF"/>
                <w:sz w:val="20"/>
                <w:szCs w:val="20"/>
                <w:lang w:val="es-CR" w:eastAsia="es-CR"/>
              </w:rPr>
              <w:t>%</w:t>
            </w:r>
          </w:p>
        </w:tc>
        <w:tc>
          <w:tcPr>
            <w:tcW w:w="1059" w:type="dxa"/>
            <w:tcBorders>
              <w:top w:val="nil"/>
              <w:left w:val="nil"/>
              <w:bottom w:val="single" w:sz="8" w:space="0" w:color="8DB3E2"/>
              <w:right w:val="single" w:sz="8" w:space="0" w:color="8DB3E2"/>
            </w:tcBorders>
            <w:shd w:val="clear" w:color="000000" w:fill="4F81BD"/>
            <w:noWrap/>
            <w:vAlign w:val="center"/>
            <w:hideMark/>
          </w:tcPr>
          <w:p w14:paraId="429187A9" w14:textId="77777777" w:rsidR="00782518" w:rsidRPr="00782518" w:rsidRDefault="00782518" w:rsidP="00782518">
            <w:pPr>
              <w:spacing w:after="0" w:line="240" w:lineRule="auto"/>
              <w:jc w:val="center"/>
              <w:rPr>
                <w:rFonts w:ascii="Calibri" w:eastAsia="Times New Roman" w:hAnsi="Calibri" w:cs="Calibri"/>
                <w:b/>
                <w:bCs/>
                <w:color w:val="FFFFFF"/>
                <w:sz w:val="20"/>
                <w:szCs w:val="20"/>
                <w:lang w:val="es-CR" w:eastAsia="es-CR"/>
              </w:rPr>
            </w:pPr>
            <w:r w:rsidRPr="00782518">
              <w:rPr>
                <w:rFonts w:ascii="Calibri" w:eastAsia="Times New Roman" w:hAnsi="Calibri" w:cs="Calibri"/>
                <w:b/>
                <w:bCs/>
                <w:color w:val="FFFFFF"/>
                <w:sz w:val="20"/>
                <w:szCs w:val="20"/>
                <w:lang w:val="es-CR" w:eastAsia="es-CR"/>
              </w:rPr>
              <w:t>Monto</w:t>
            </w:r>
          </w:p>
        </w:tc>
      </w:tr>
      <w:tr w:rsidR="00782518" w:rsidRPr="004A7EA3" w14:paraId="57E10DDE" w14:textId="77777777" w:rsidTr="00ED6015">
        <w:trPr>
          <w:trHeight w:val="241"/>
          <w:jc w:val="center"/>
        </w:trPr>
        <w:tc>
          <w:tcPr>
            <w:tcW w:w="3827" w:type="dxa"/>
            <w:tcBorders>
              <w:top w:val="nil"/>
              <w:left w:val="single" w:sz="8" w:space="0" w:color="8DB3E2"/>
              <w:bottom w:val="single" w:sz="8" w:space="0" w:color="8DB3E2"/>
              <w:right w:val="single" w:sz="8" w:space="0" w:color="8DB3E2"/>
            </w:tcBorders>
            <w:shd w:val="clear" w:color="auto" w:fill="auto"/>
            <w:noWrap/>
            <w:vAlign w:val="center"/>
            <w:hideMark/>
          </w:tcPr>
          <w:p w14:paraId="12A3EF8C" w14:textId="77777777" w:rsidR="00782518" w:rsidRPr="00782518" w:rsidRDefault="00782518" w:rsidP="00782518">
            <w:pPr>
              <w:spacing w:after="0" w:line="240" w:lineRule="auto"/>
              <w:rPr>
                <w:rFonts w:ascii="Calibri" w:eastAsia="Times New Roman" w:hAnsi="Calibri" w:cs="Calibri"/>
                <w:b/>
                <w:bCs/>
                <w:sz w:val="20"/>
                <w:szCs w:val="20"/>
                <w:lang w:val="es-CR" w:eastAsia="es-CR"/>
              </w:rPr>
            </w:pPr>
            <w:r w:rsidRPr="00782518">
              <w:rPr>
                <w:rFonts w:ascii="Calibri" w:eastAsia="Times New Roman" w:hAnsi="Calibri" w:cs="Calibri"/>
                <w:b/>
                <w:bCs/>
                <w:sz w:val="20"/>
                <w:szCs w:val="20"/>
                <w:lang w:val="es-CR" w:eastAsia="es-CR"/>
              </w:rPr>
              <w:t>Régimen Básico (RIVM)</w:t>
            </w:r>
          </w:p>
        </w:tc>
        <w:tc>
          <w:tcPr>
            <w:tcW w:w="1078" w:type="dxa"/>
            <w:tcBorders>
              <w:top w:val="nil"/>
              <w:left w:val="nil"/>
              <w:bottom w:val="single" w:sz="8" w:space="0" w:color="8DB3E2"/>
              <w:right w:val="single" w:sz="8" w:space="0" w:color="8DB3E2"/>
            </w:tcBorders>
            <w:shd w:val="clear" w:color="auto" w:fill="auto"/>
            <w:noWrap/>
            <w:vAlign w:val="center"/>
            <w:hideMark/>
          </w:tcPr>
          <w:p w14:paraId="362985C2"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4A7EA3">
              <w:rPr>
                <w:rFonts w:ascii="Calibri" w:eastAsia="Times New Roman" w:hAnsi="Calibri" w:cs="Calibri"/>
                <w:sz w:val="20"/>
                <w:szCs w:val="20"/>
                <w:lang w:val="es-CR" w:eastAsia="es-CR"/>
              </w:rPr>
              <w:t>-</w:t>
            </w:r>
          </w:p>
        </w:tc>
        <w:tc>
          <w:tcPr>
            <w:tcW w:w="657" w:type="dxa"/>
            <w:tcBorders>
              <w:top w:val="nil"/>
              <w:left w:val="nil"/>
              <w:bottom w:val="single" w:sz="8" w:space="0" w:color="8DB3E2"/>
              <w:right w:val="single" w:sz="8" w:space="0" w:color="8DB3E2"/>
            </w:tcBorders>
            <w:shd w:val="clear" w:color="auto" w:fill="auto"/>
            <w:noWrap/>
            <w:vAlign w:val="center"/>
            <w:hideMark/>
          </w:tcPr>
          <w:p w14:paraId="71FD2A48"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0,0%</w:t>
            </w:r>
          </w:p>
        </w:tc>
        <w:tc>
          <w:tcPr>
            <w:tcW w:w="1025" w:type="dxa"/>
            <w:tcBorders>
              <w:top w:val="nil"/>
              <w:left w:val="nil"/>
              <w:bottom w:val="single" w:sz="8" w:space="0" w:color="8DB3E2"/>
              <w:right w:val="single" w:sz="8" w:space="0" w:color="8DB3E2"/>
            </w:tcBorders>
            <w:shd w:val="clear" w:color="auto" w:fill="auto"/>
            <w:noWrap/>
            <w:vAlign w:val="center"/>
            <w:hideMark/>
          </w:tcPr>
          <w:p w14:paraId="184BFEF3"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93 507</w:t>
            </w:r>
          </w:p>
        </w:tc>
        <w:tc>
          <w:tcPr>
            <w:tcW w:w="657" w:type="dxa"/>
            <w:tcBorders>
              <w:top w:val="nil"/>
              <w:left w:val="nil"/>
              <w:bottom w:val="single" w:sz="8" w:space="0" w:color="8DB3E2"/>
              <w:right w:val="single" w:sz="8" w:space="0" w:color="8DB3E2"/>
            </w:tcBorders>
            <w:shd w:val="clear" w:color="auto" w:fill="auto"/>
            <w:noWrap/>
            <w:vAlign w:val="center"/>
            <w:hideMark/>
          </w:tcPr>
          <w:p w14:paraId="36806E3E"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3,9%</w:t>
            </w:r>
          </w:p>
        </w:tc>
        <w:tc>
          <w:tcPr>
            <w:tcW w:w="1110" w:type="dxa"/>
            <w:tcBorders>
              <w:top w:val="nil"/>
              <w:left w:val="nil"/>
              <w:bottom w:val="single" w:sz="8" w:space="0" w:color="8DB3E2"/>
              <w:right w:val="single" w:sz="8" w:space="0" w:color="8DB3E2"/>
            </w:tcBorders>
            <w:shd w:val="clear" w:color="auto" w:fill="auto"/>
            <w:noWrap/>
            <w:vAlign w:val="center"/>
            <w:hideMark/>
          </w:tcPr>
          <w:p w14:paraId="781222AD"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2 294 555</w:t>
            </w:r>
          </w:p>
        </w:tc>
        <w:tc>
          <w:tcPr>
            <w:tcW w:w="642" w:type="dxa"/>
            <w:tcBorders>
              <w:top w:val="nil"/>
              <w:left w:val="nil"/>
              <w:bottom w:val="single" w:sz="8" w:space="0" w:color="8DB3E2"/>
              <w:right w:val="single" w:sz="8" w:space="0" w:color="8DB3E2"/>
            </w:tcBorders>
            <w:shd w:val="clear" w:color="auto" w:fill="auto"/>
            <w:noWrap/>
            <w:vAlign w:val="center"/>
            <w:hideMark/>
          </w:tcPr>
          <w:p w14:paraId="6AC94519"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96,1%</w:t>
            </w:r>
          </w:p>
        </w:tc>
        <w:tc>
          <w:tcPr>
            <w:tcW w:w="1059" w:type="dxa"/>
            <w:tcBorders>
              <w:top w:val="nil"/>
              <w:left w:val="nil"/>
              <w:bottom w:val="single" w:sz="8" w:space="0" w:color="8DB3E2"/>
              <w:right w:val="single" w:sz="8" w:space="0" w:color="8DB3E2"/>
            </w:tcBorders>
            <w:shd w:val="clear" w:color="auto" w:fill="auto"/>
            <w:noWrap/>
            <w:vAlign w:val="center"/>
            <w:hideMark/>
          </w:tcPr>
          <w:p w14:paraId="466CD2D5"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2 388 061</w:t>
            </w:r>
          </w:p>
        </w:tc>
      </w:tr>
      <w:tr w:rsidR="00782518" w:rsidRPr="00782518" w14:paraId="2F9A65D0" w14:textId="77777777" w:rsidTr="00ED6015">
        <w:trPr>
          <w:trHeight w:val="241"/>
          <w:jc w:val="center"/>
        </w:trPr>
        <w:tc>
          <w:tcPr>
            <w:tcW w:w="10055" w:type="dxa"/>
            <w:gridSpan w:val="8"/>
            <w:tcBorders>
              <w:top w:val="single" w:sz="8" w:space="0" w:color="8DB3E2"/>
              <w:left w:val="single" w:sz="8" w:space="0" w:color="8DB3E2"/>
              <w:bottom w:val="single" w:sz="8" w:space="0" w:color="8DB3E2"/>
              <w:right w:val="single" w:sz="8" w:space="0" w:color="8DB3E2"/>
            </w:tcBorders>
            <w:shd w:val="clear" w:color="000000" w:fill="DBE5F1"/>
            <w:noWrap/>
            <w:vAlign w:val="center"/>
            <w:hideMark/>
          </w:tcPr>
          <w:p w14:paraId="6FDDEB57" w14:textId="77777777" w:rsidR="00782518" w:rsidRPr="00782518" w:rsidRDefault="00782518" w:rsidP="00782518">
            <w:pPr>
              <w:spacing w:after="0" w:line="240" w:lineRule="auto"/>
              <w:rPr>
                <w:rFonts w:ascii="Calibri" w:eastAsia="Times New Roman" w:hAnsi="Calibri" w:cs="Calibri"/>
                <w:b/>
                <w:bCs/>
                <w:sz w:val="20"/>
                <w:szCs w:val="20"/>
                <w:lang w:val="es-CR" w:eastAsia="es-CR"/>
              </w:rPr>
            </w:pPr>
            <w:r w:rsidRPr="00782518">
              <w:rPr>
                <w:rFonts w:ascii="Calibri" w:eastAsia="Times New Roman" w:hAnsi="Calibri" w:cs="Calibri"/>
                <w:b/>
                <w:bCs/>
                <w:sz w:val="20"/>
                <w:szCs w:val="20"/>
                <w:lang w:val="es-CR" w:eastAsia="es-CR"/>
              </w:rPr>
              <w:t>Regímenes Básicos Sustitutos</w:t>
            </w:r>
          </w:p>
        </w:tc>
      </w:tr>
      <w:tr w:rsidR="00782518" w:rsidRPr="004A7EA3" w14:paraId="33FDA5CE" w14:textId="77777777" w:rsidTr="00ED6015">
        <w:trPr>
          <w:trHeight w:val="241"/>
          <w:jc w:val="center"/>
        </w:trPr>
        <w:tc>
          <w:tcPr>
            <w:tcW w:w="3827" w:type="dxa"/>
            <w:tcBorders>
              <w:top w:val="nil"/>
              <w:left w:val="single" w:sz="8" w:space="0" w:color="8DB3E2"/>
              <w:bottom w:val="single" w:sz="8" w:space="0" w:color="8DB3E2"/>
              <w:right w:val="single" w:sz="8" w:space="0" w:color="8DB3E2"/>
            </w:tcBorders>
            <w:shd w:val="clear" w:color="auto" w:fill="auto"/>
            <w:noWrap/>
            <w:vAlign w:val="center"/>
            <w:hideMark/>
          </w:tcPr>
          <w:p w14:paraId="5140A41E" w14:textId="77777777" w:rsidR="00782518" w:rsidRPr="00782518" w:rsidRDefault="00782518" w:rsidP="00782518">
            <w:pPr>
              <w:spacing w:after="0" w:line="240" w:lineRule="auto"/>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 xml:space="preserve">     RCCMN</w:t>
            </w:r>
          </w:p>
        </w:tc>
        <w:tc>
          <w:tcPr>
            <w:tcW w:w="1078" w:type="dxa"/>
            <w:tcBorders>
              <w:top w:val="nil"/>
              <w:left w:val="nil"/>
              <w:bottom w:val="single" w:sz="8" w:space="0" w:color="8DB3E2"/>
              <w:right w:val="single" w:sz="8" w:space="0" w:color="8DB3E2"/>
            </w:tcBorders>
            <w:shd w:val="clear" w:color="auto" w:fill="auto"/>
            <w:noWrap/>
            <w:vAlign w:val="center"/>
            <w:hideMark/>
          </w:tcPr>
          <w:p w14:paraId="37E4FEA5"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 xml:space="preserve">                 -   </w:t>
            </w:r>
          </w:p>
        </w:tc>
        <w:tc>
          <w:tcPr>
            <w:tcW w:w="657" w:type="dxa"/>
            <w:tcBorders>
              <w:top w:val="nil"/>
              <w:left w:val="nil"/>
              <w:bottom w:val="single" w:sz="8" w:space="0" w:color="8DB3E2"/>
              <w:right w:val="single" w:sz="8" w:space="0" w:color="8DB3E2"/>
            </w:tcBorders>
            <w:shd w:val="clear" w:color="auto" w:fill="auto"/>
            <w:noWrap/>
            <w:vAlign w:val="center"/>
            <w:hideMark/>
          </w:tcPr>
          <w:p w14:paraId="6709E16C"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0,0%</w:t>
            </w:r>
          </w:p>
        </w:tc>
        <w:tc>
          <w:tcPr>
            <w:tcW w:w="1025" w:type="dxa"/>
            <w:tcBorders>
              <w:top w:val="nil"/>
              <w:left w:val="nil"/>
              <w:bottom w:val="single" w:sz="8" w:space="0" w:color="8DB3E2"/>
              <w:right w:val="single" w:sz="8" w:space="0" w:color="8DB3E2"/>
            </w:tcBorders>
            <w:shd w:val="clear" w:color="auto" w:fill="auto"/>
            <w:noWrap/>
            <w:vAlign w:val="center"/>
            <w:hideMark/>
          </w:tcPr>
          <w:p w14:paraId="0119D224"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420 136</w:t>
            </w:r>
          </w:p>
        </w:tc>
        <w:tc>
          <w:tcPr>
            <w:tcW w:w="657" w:type="dxa"/>
            <w:tcBorders>
              <w:top w:val="nil"/>
              <w:left w:val="nil"/>
              <w:bottom w:val="single" w:sz="8" w:space="0" w:color="8DB3E2"/>
              <w:right w:val="single" w:sz="8" w:space="0" w:color="8DB3E2"/>
            </w:tcBorders>
            <w:shd w:val="clear" w:color="auto" w:fill="auto"/>
            <w:noWrap/>
            <w:vAlign w:val="center"/>
            <w:hideMark/>
          </w:tcPr>
          <w:p w14:paraId="569F63C0"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13,3%</w:t>
            </w:r>
          </w:p>
        </w:tc>
        <w:tc>
          <w:tcPr>
            <w:tcW w:w="1110" w:type="dxa"/>
            <w:tcBorders>
              <w:top w:val="nil"/>
              <w:left w:val="nil"/>
              <w:bottom w:val="single" w:sz="8" w:space="0" w:color="8DB3E2"/>
              <w:right w:val="single" w:sz="8" w:space="0" w:color="8DB3E2"/>
            </w:tcBorders>
            <w:shd w:val="clear" w:color="auto" w:fill="auto"/>
            <w:noWrap/>
            <w:vAlign w:val="center"/>
            <w:hideMark/>
          </w:tcPr>
          <w:p w14:paraId="3BC2B131"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2 748 628</w:t>
            </w:r>
          </w:p>
        </w:tc>
        <w:tc>
          <w:tcPr>
            <w:tcW w:w="642" w:type="dxa"/>
            <w:tcBorders>
              <w:top w:val="nil"/>
              <w:left w:val="nil"/>
              <w:bottom w:val="single" w:sz="8" w:space="0" w:color="8DB3E2"/>
              <w:right w:val="single" w:sz="8" w:space="0" w:color="8DB3E2"/>
            </w:tcBorders>
            <w:shd w:val="clear" w:color="auto" w:fill="auto"/>
            <w:noWrap/>
            <w:vAlign w:val="center"/>
            <w:hideMark/>
          </w:tcPr>
          <w:p w14:paraId="37146E15"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86,7%</w:t>
            </w:r>
          </w:p>
        </w:tc>
        <w:tc>
          <w:tcPr>
            <w:tcW w:w="1059" w:type="dxa"/>
            <w:tcBorders>
              <w:top w:val="nil"/>
              <w:left w:val="nil"/>
              <w:bottom w:val="single" w:sz="8" w:space="0" w:color="8DB3E2"/>
              <w:right w:val="single" w:sz="8" w:space="0" w:color="8DB3E2"/>
            </w:tcBorders>
            <w:shd w:val="clear" w:color="auto" w:fill="auto"/>
            <w:noWrap/>
            <w:vAlign w:val="center"/>
            <w:hideMark/>
          </w:tcPr>
          <w:p w14:paraId="25CFE7D5"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3 168 763</w:t>
            </w:r>
          </w:p>
        </w:tc>
      </w:tr>
      <w:tr w:rsidR="00782518" w:rsidRPr="004A7EA3" w14:paraId="5F415408" w14:textId="77777777" w:rsidTr="00ED6015">
        <w:trPr>
          <w:trHeight w:val="241"/>
          <w:jc w:val="center"/>
        </w:trPr>
        <w:tc>
          <w:tcPr>
            <w:tcW w:w="3827" w:type="dxa"/>
            <w:tcBorders>
              <w:top w:val="nil"/>
              <w:left w:val="single" w:sz="8" w:space="0" w:color="8DB3E2"/>
              <w:bottom w:val="single" w:sz="8" w:space="0" w:color="8DB3E2"/>
              <w:right w:val="single" w:sz="8" w:space="0" w:color="8DB3E2"/>
            </w:tcBorders>
            <w:shd w:val="clear" w:color="000000" w:fill="DBE5F1"/>
            <w:noWrap/>
            <w:vAlign w:val="center"/>
            <w:hideMark/>
          </w:tcPr>
          <w:p w14:paraId="24CE97FE" w14:textId="77777777" w:rsidR="00782518" w:rsidRPr="00782518" w:rsidRDefault="00782518" w:rsidP="00782518">
            <w:pPr>
              <w:spacing w:after="0" w:line="240" w:lineRule="auto"/>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 xml:space="preserve">     FPJ</w:t>
            </w:r>
          </w:p>
        </w:tc>
        <w:tc>
          <w:tcPr>
            <w:tcW w:w="1078" w:type="dxa"/>
            <w:tcBorders>
              <w:top w:val="nil"/>
              <w:left w:val="nil"/>
              <w:bottom w:val="single" w:sz="8" w:space="0" w:color="8DB3E2"/>
              <w:right w:val="single" w:sz="8" w:space="0" w:color="8DB3E2"/>
            </w:tcBorders>
            <w:shd w:val="clear" w:color="000000" w:fill="DBE5F1"/>
            <w:noWrap/>
            <w:vAlign w:val="center"/>
            <w:hideMark/>
          </w:tcPr>
          <w:p w14:paraId="24A9C20B"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 xml:space="preserve">                 -   </w:t>
            </w:r>
          </w:p>
        </w:tc>
        <w:tc>
          <w:tcPr>
            <w:tcW w:w="657" w:type="dxa"/>
            <w:tcBorders>
              <w:top w:val="nil"/>
              <w:left w:val="nil"/>
              <w:bottom w:val="single" w:sz="8" w:space="0" w:color="8DB3E2"/>
              <w:right w:val="single" w:sz="8" w:space="0" w:color="8DB3E2"/>
            </w:tcBorders>
            <w:shd w:val="clear" w:color="000000" w:fill="DBE5F1"/>
            <w:noWrap/>
            <w:vAlign w:val="center"/>
            <w:hideMark/>
          </w:tcPr>
          <w:p w14:paraId="1F85E083"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0,0%</w:t>
            </w:r>
          </w:p>
        </w:tc>
        <w:tc>
          <w:tcPr>
            <w:tcW w:w="1025" w:type="dxa"/>
            <w:tcBorders>
              <w:top w:val="nil"/>
              <w:left w:val="nil"/>
              <w:bottom w:val="single" w:sz="8" w:space="0" w:color="8DB3E2"/>
              <w:right w:val="single" w:sz="8" w:space="0" w:color="8DB3E2"/>
            </w:tcBorders>
            <w:shd w:val="clear" w:color="000000" w:fill="DBE5F1"/>
            <w:noWrap/>
            <w:vAlign w:val="center"/>
            <w:hideMark/>
          </w:tcPr>
          <w:p w14:paraId="6E02C420"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113 544</w:t>
            </w:r>
          </w:p>
        </w:tc>
        <w:tc>
          <w:tcPr>
            <w:tcW w:w="657" w:type="dxa"/>
            <w:tcBorders>
              <w:top w:val="nil"/>
              <w:left w:val="nil"/>
              <w:bottom w:val="single" w:sz="8" w:space="0" w:color="8DB3E2"/>
              <w:right w:val="single" w:sz="8" w:space="0" w:color="8DB3E2"/>
            </w:tcBorders>
            <w:shd w:val="clear" w:color="000000" w:fill="DBE5F1"/>
            <w:noWrap/>
            <w:vAlign w:val="center"/>
            <w:hideMark/>
          </w:tcPr>
          <w:p w14:paraId="7B2AE4DA"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18,0%</w:t>
            </w:r>
          </w:p>
        </w:tc>
        <w:tc>
          <w:tcPr>
            <w:tcW w:w="1110" w:type="dxa"/>
            <w:tcBorders>
              <w:top w:val="nil"/>
              <w:left w:val="nil"/>
              <w:bottom w:val="single" w:sz="8" w:space="0" w:color="8DB3E2"/>
              <w:right w:val="single" w:sz="8" w:space="0" w:color="8DB3E2"/>
            </w:tcBorders>
            <w:shd w:val="clear" w:color="000000" w:fill="DBE5F1"/>
            <w:noWrap/>
            <w:vAlign w:val="center"/>
            <w:hideMark/>
          </w:tcPr>
          <w:p w14:paraId="379A6852"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518 913</w:t>
            </w:r>
          </w:p>
        </w:tc>
        <w:tc>
          <w:tcPr>
            <w:tcW w:w="642" w:type="dxa"/>
            <w:tcBorders>
              <w:top w:val="nil"/>
              <w:left w:val="nil"/>
              <w:bottom w:val="single" w:sz="8" w:space="0" w:color="8DB3E2"/>
              <w:right w:val="single" w:sz="8" w:space="0" w:color="8DB3E2"/>
            </w:tcBorders>
            <w:shd w:val="clear" w:color="000000" w:fill="DBE5F1"/>
            <w:noWrap/>
            <w:vAlign w:val="center"/>
            <w:hideMark/>
          </w:tcPr>
          <w:p w14:paraId="39A0E5A2"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82,0%</w:t>
            </w:r>
          </w:p>
        </w:tc>
        <w:tc>
          <w:tcPr>
            <w:tcW w:w="1059" w:type="dxa"/>
            <w:tcBorders>
              <w:top w:val="nil"/>
              <w:left w:val="nil"/>
              <w:bottom w:val="single" w:sz="8" w:space="0" w:color="8DB3E2"/>
              <w:right w:val="single" w:sz="8" w:space="0" w:color="8DB3E2"/>
            </w:tcBorders>
            <w:shd w:val="clear" w:color="000000" w:fill="DBE5F1"/>
            <w:noWrap/>
            <w:vAlign w:val="center"/>
            <w:hideMark/>
          </w:tcPr>
          <w:p w14:paraId="6C965B81"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632 457</w:t>
            </w:r>
          </w:p>
        </w:tc>
      </w:tr>
      <w:tr w:rsidR="00782518" w:rsidRPr="004A7EA3" w14:paraId="45914109" w14:textId="77777777" w:rsidTr="00ED6015">
        <w:trPr>
          <w:trHeight w:val="241"/>
          <w:jc w:val="center"/>
        </w:trPr>
        <w:tc>
          <w:tcPr>
            <w:tcW w:w="3827" w:type="dxa"/>
            <w:tcBorders>
              <w:top w:val="nil"/>
              <w:left w:val="single" w:sz="8" w:space="0" w:color="8DB3E2"/>
              <w:bottom w:val="single" w:sz="8" w:space="0" w:color="8DB3E2"/>
              <w:right w:val="single" w:sz="8" w:space="0" w:color="8DB3E2"/>
            </w:tcBorders>
            <w:shd w:val="clear" w:color="auto" w:fill="auto"/>
            <w:noWrap/>
            <w:vAlign w:val="center"/>
            <w:hideMark/>
          </w:tcPr>
          <w:p w14:paraId="68418D99" w14:textId="77777777" w:rsidR="00782518" w:rsidRPr="00782518" w:rsidRDefault="00782518" w:rsidP="00782518">
            <w:pPr>
              <w:spacing w:after="0" w:line="240" w:lineRule="auto"/>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 xml:space="preserve">     FBOMBEROS</w:t>
            </w:r>
          </w:p>
        </w:tc>
        <w:tc>
          <w:tcPr>
            <w:tcW w:w="1078" w:type="dxa"/>
            <w:tcBorders>
              <w:top w:val="nil"/>
              <w:left w:val="nil"/>
              <w:bottom w:val="single" w:sz="8" w:space="0" w:color="8DB3E2"/>
              <w:right w:val="single" w:sz="8" w:space="0" w:color="8DB3E2"/>
            </w:tcBorders>
            <w:shd w:val="clear" w:color="auto" w:fill="auto"/>
            <w:noWrap/>
            <w:vAlign w:val="center"/>
            <w:hideMark/>
          </w:tcPr>
          <w:p w14:paraId="35E2067E"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 xml:space="preserve">                 -   </w:t>
            </w:r>
          </w:p>
        </w:tc>
        <w:tc>
          <w:tcPr>
            <w:tcW w:w="657" w:type="dxa"/>
            <w:tcBorders>
              <w:top w:val="nil"/>
              <w:left w:val="nil"/>
              <w:bottom w:val="single" w:sz="8" w:space="0" w:color="8DB3E2"/>
              <w:right w:val="single" w:sz="8" w:space="0" w:color="8DB3E2"/>
            </w:tcBorders>
            <w:shd w:val="clear" w:color="auto" w:fill="auto"/>
            <w:noWrap/>
            <w:vAlign w:val="center"/>
            <w:hideMark/>
          </w:tcPr>
          <w:p w14:paraId="3B1FD66E"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0,0%</w:t>
            </w:r>
          </w:p>
        </w:tc>
        <w:tc>
          <w:tcPr>
            <w:tcW w:w="1025" w:type="dxa"/>
            <w:tcBorders>
              <w:top w:val="nil"/>
              <w:left w:val="nil"/>
              <w:bottom w:val="single" w:sz="8" w:space="0" w:color="8DB3E2"/>
              <w:right w:val="single" w:sz="8" w:space="0" w:color="8DB3E2"/>
            </w:tcBorders>
            <w:shd w:val="clear" w:color="auto" w:fill="auto"/>
            <w:noWrap/>
            <w:vAlign w:val="center"/>
            <w:hideMark/>
          </w:tcPr>
          <w:p w14:paraId="4F721ED0"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17 039</w:t>
            </w:r>
          </w:p>
        </w:tc>
        <w:tc>
          <w:tcPr>
            <w:tcW w:w="657" w:type="dxa"/>
            <w:tcBorders>
              <w:top w:val="nil"/>
              <w:left w:val="nil"/>
              <w:bottom w:val="single" w:sz="8" w:space="0" w:color="8DB3E2"/>
              <w:right w:val="single" w:sz="8" w:space="0" w:color="8DB3E2"/>
            </w:tcBorders>
            <w:shd w:val="clear" w:color="auto" w:fill="auto"/>
            <w:noWrap/>
            <w:vAlign w:val="center"/>
            <w:hideMark/>
          </w:tcPr>
          <w:p w14:paraId="6814FE22"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34,0%</w:t>
            </w:r>
          </w:p>
        </w:tc>
        <w:tc>
          <w:tcPr>
            <w:tcW w:w="1110" w:type="dxa"/>
            <w:tcBorders>
              <w:top w:val="nil"/>
              <w:left w:val="nil"/>
              <w:bottom w:val="single" w:sz="8" w:space="0" w:color="8DB3E2"/>
              <w:right w:val="single" w:sz="8" w:space="0" w:color="8DB3E2"/>
            </w:tcBorders>
            <w:shd w:val="clear" w:color="auto" w:fill="auto"/>
            <w:noWrap/>
            <w:vAlign w:val="center"/>
            <w:hideMark/>
          </w:tcPr>
          <w:p w14:paraId="08663FC3"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33 050</w:t>
            </w:r>
          </w:p>
        </w:tc>
        <w:tc>
          <w:tcPr>
            <w:tcW w:w="642" w:type="dxa"/>
            <w:tcBorders>
              <w:top w:val="nil"/>
              <w:left w:val="nil"/>
              <w:bottom w:val="single" w:sz="8" w:space="0" w:color="8DB3E2"/>
              <w:right w:val="single" w:sz="8" w:space="0" w:color="8DB3E2"/>
            </w:tcBorders>
            <w:shd w:val="clear" w:color="auto" w:fill="auto"/>
            <w:noWrap/>
            <w:vAlign w:val="center"/>
            <w:hideMark/>
          </w:tcPr>
          <w:p w14:paraId="55A8D469"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66,0%</w:t>
            </w:r>
          </w:p>
        </w:tc>
        <w:tc>
          <w:tcPr>
            <w:tcW w:w="1059" w:type="dxa"/>
            <w:tcBorders>
              <w:top w:val="nil"/>
              <w:left w:val="nil"/>
              <w:bottom w:val="single" w:sz="8" w:space="0" w:color="8DB3E2"/>
              <w:right w:val="single" w:sz="8" w:space="0" w:color="8DB3E2"/>
            </w:tcBorders>
            <w:shd w:val="clear" w:color="auto" w:fill="auto"/>
            <w:noWrap/>
            <w:vAlign w:val="center"/>
            <w:hideMark/>
          </w:tcPr>
          <w:p w14:paraId="48E99F4E"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50 090</w:t>
            </w:r>
          </w:p>
        </w:tc>
      </w:tr>
      <w:tr w:rsidR="00782518" w:rsidRPr="004A7EA3" w14:paraId="6D9016C9" w14:textId="77777777" w:rsidTr="00ED6015">
        <w:trPr>
          <w:trHeight w:val="241"/>
          <w:jc w:val="center"/>
        </w:trPr>
        <w:tc>
          <w:tcPr>
            <w:tcW w:w="3827" w:type="dxa"/>
            <w:tcBorders>
              <w:top w:val="nil"/>
              <w:left w:val="single" w:sz="8" w:space="0" w:color="8DB3E2"/>
              <w:bottom w:val="single" w:sz="8" w:space="0" w:color="8DB3E2"/>
              <w:right w:val="single" w:sz="8" w:space="0" w:color="8DB3E2"/>
            </w:tcBorders>
            <w:shd w:val="clear" w:color="000000" w:fill="DBE5F1"/>
            <w:noWrap/>
            <w:vAlign w:val="center"/>
            <w:hideMark/>
          </w:tcPr>
          <w:p w14:paraId="7078DDF8" w14:textId="77777777" w:rsidR="00782518" w:rsidRPr="00782518" w:rsidRDefault="00782518" w:rsidP="00782518">
            <w:pPr>
              <w:spacing w:after="0" w:line="240" w:lineRule="auto"/>
              <w:rPr>
                <w:rFonts w:ascii="Calibri" w:eastAsia="Times New Roman" w:hAnsi="Calibri" w:cs="Calibri"/>
                <w:b/>
                <w:bCs/>
                <w:sz w:val="20"/>
                <w:szCs w:val="20"/>
                <w:lang w:val="es-CR" w:eastAsia="es-CR"/>
              </w:rPr>
            </w:pPr>
            <w:r w:rsidRPr="00782518">
              <w:rPr>
                <w:rFonts w:ascii="Calibri" w:eastAsia="Times New Roman" w:hAnsi="Calibri" w:cs="Calibri"/>
                <w:b/>
                <w:bCs/>
                <w:sz w:val="20"/>
                <w:szCs w:val="20"/>
                <w:lang w:val="es-CR" w:eastAsia="es-CR"/>
              </w:rPr>
              <w:t>Regímenes Ocupacionales Complementarios</w:t>
            </w:r>
          </w:p>
        </w:tc>
        <w:tc>
          <w:tcPr>
            <w:tcW w:w="1078" w:type="dxa"/>
            <w:tcBorders>
              <w:top w:val="nil"/>
              <w:left w:val="nil"/>
              <w:bottom w:val="single" w:sz="8" w:space="0" w:color="8DB3E2"/>
              <w:right w:val="single" w:sz="8" w:space="0" w:color="8DB3E2"/>
            </w:tcBorders>
            <w:shd w:val="clear" w:color="000000" w:fill="DBE5F1"/>
            <w:noWrap/>
            <w:vAlign w:val="center"/>
            <w:hideMark/>
          </w:tcPr>
          <w:p w14:paraId="67E85BEB"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 xml:space="preserve">                 -</w:t>
            </w:r>
          </w:p>
        </w:tc>
        <w:tc>
          <w:tcPr>
            <w:tcW w:w="657" w:type="dxa"/>
            <w:tcBorders>
              <w:top w:val="nil"/>
              <w:left w:val="nil"/>
              <w:bottom w:val="single" w:sz="8" w:space="0" w:color="8DB3E2"/>
              <w:right w:val="single" w:sz="8" w:space="0" w:color="8DB3E2"/>
            </w:tcBorders>
            <w:shd w:val="clear" w:color="000000" w:fill="DBE5F1"/>
            <w:noWrap/>
            <w:vAlign w:val="center"/>
            <w:hideMark/>
          </w:tcPr>
          <w:p w14:paraId="581B24B4"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0,0%</w:t>
            </w:r>
          </w:p>
        </w:tc>
        <w:tc>
          <w:tcPr>
            <w:tcW w:w="1025" w:type="dxa"/>
            <w:tcBorders>
              <w:top w:val="nil"/>
              <w:left w:val="nil"/>
              <w:bottom w:val="single" w:sz="8" w:space="0" w:color="8DB3E2"/>
              <w:right w:val="single" w:sz="8" w:space="0" w:color="8DB3E2"/>
            </w:tcBorders>
            <w:shd w:val="clear" w:color="000000" w:fill="DBE5F1"/>
            <w:noWrap/>
            <w:vAlign w:val="center"/>
            <w:hideMark/>
          </w:tcPr>
          <w:p w14:paraId="245C0188"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181 103</w:t>
            </w:r>
          </w:p>
        </w:tc>
        <w:tc>
          <w:tcPr>
            <w:tcW w:w="657" w:type="dxa"/>
            <w:tcBorders>
              <w:top w:val="nil"/>
              <w:left w:val="nil"/>
              <w:bottom w:val="single" w:sz="8" w:space="0" w:color="8DB3E2"/>
              <w:right w:val="single" w:sz="8" w:space="0" w:color="8DB3E2"/>
            </w:tcBorders>
            <w:shd w:val="clear" w:color="000000" w:fill="DBE5F1"/>
            <w:noWrap/>
            <w:vAlign w:val="center"/>
            <w:hideMark/>
          </w:tcPr>
          <w:p w14:paraId="78B386B5"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19,6%</w:t>
            </w:r>
          </w:p>
        </w:tc>
        <w:tc>
          <w:tcPr>
            <w:tcW w:w="1110" w:type="dxa"/>
            <w:tcBorders>
              <w:top w:val="nil"/>
              <w:left w:val="nil"/>
              <w:bottom w:val="single" w:sz="8" w:space="0" w:color="8DB3E2"/>
              <w:right w:val="single" w:sz="8" w:space="0" w:color="8DB3E2"/>
            </w:tcBorders>
            <w:shd w:val="clear" w:color="000000" w:fill="DBE5F1"/>
            <w:noWrap/>
            <w:vAlign w:val="center"/>
            <w:hideMark/>
          </w:tcPr>
          <w:p w14:paraId="1A43D8D3"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742 596</w:t>
            </w:r>
          </w:p>
        </w:tc>
        <w:tc>
          <w:tcPr>
            <w:tcW w:w="642" w:type="dxa"/>
            <w:tcBorders>
              <w:top w:val="nil"/>
              <w:left w:val="nil"/>
              <w:bottom w:val="single" w:sz="8" w:space="0" w:color="8DB3E2"/>
              <w:right w:val="single" w:sz="8" w:space="0" w:color="8DB3E2"/>
            </w:tcBorders>
            <w:shd w:val="clear" w:color="000000" w:fill="DBE5F1"/>
            <w:noWrap/>
            <w:vAlign w:val="center"/>
            <w:hideMark/>
          </w:tcPr>
          <w:p w14:paraId="37E1CEED"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80,4%</w:t>
            </w:r>
          </w:p>
        </w:tc>
        <w:tc>
          <w:tcPr>
            <w:tcW w:w="1059" w:type="dxa"/>
            <w:tcBorders>
              <w:top w:val="nil"/>
              <w:left w:val="nil"/>
              <w:bottom w:val="single" w:sz="8" w:space="0" w:color="8DB3E2"/>
              <w:right w:val="single" w:sz="8" w:space="0" w:color="8DB3E2"/>
            </w:tcBorders>
            <w:shd w:val="clear" w:color="000000" w:fill="DBE5F1"/>
            <w:noWrap/>
            <w:vAlign w:val="center"/>
            <w:hideMark/>
          </w:tcPr>
          <w:p w14:paraId="6CCC1D61"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923 699</w:t>
            </w:r>
          </w:p>
        </w:tc>
      </w:tr>
      <w:tr w:rsidR="00782518" w:rsidRPr="004A7EA3" w14:paraId="043E5426" w14:textId="77777777" w:rsidTr="00ED6015">
        <w:trPr>
          <w:trHeight w:val="241"/>
          <w:jc w:val="center"/>
        </w:trPr>
        <w:tc>
          <w:tcPr>
            <w:tcW w:w="3827" w:type="dxa"/>
            <w:tcBorders>
              <w:top w:val="nil"/>
              <w:left w:val="single" w:sz="8" w:space="0" w:color="8DB3E2"/>
              <w:bottom w:val="single" w:sz="8" w:space="0" w:color="8DB3E2"/>
              <w:right w:val="single" w:sz="8" w:space="0" w:color="8DB3E2"/>
            </w:tcBorders>
            <w:shd w:val="clear" w:color="auto" w:fill="auto"/>
            <w:noWrap/>
            <w:vAlign w:val="center"/>
            <w:hideMark/>
          </w:tcPr>
          <w:p w14:paraId="4BC7034C" w14:textId="77777777" w:rsidR="00782518" w:rsidRPr="00782518" w:rsidRDefault="00782518" w:rsidP="00782518">
            <w:pPr>
              <w:spacing w:after="0" w:line="240" w:lineRule="auto"/>
              <w:rPr>
                <w:rFonts w:ascii="Calibri" w:eastAsia="Times New Roman" w:hAnsi="Calibri" w:cs="Calibri"/>
                <w:b/>
                <w:bCs/>
                <w:sz w:val="20"/>
                <w:szCs w:val="20"/>
                <w:lang w:val="es-CR" w:eastAsia="es-CR"/>
              </w:rPr>
            </w:pPr>
            <w:r w:rsidRPr="00782518">
              <w:rPr>
                <w:rFonts w:ascii="Calibri" w:eastAsia="Times New Roman" w:hAnsi="Calibri" w:cs="Calibri"/>
                <w:b/>
                <w:bCs/>
                <w:sz w:val="20"/>
                <w:szCs w:val="20"/>
                <w:lang w:val="es-CR" w:eastAsia="es-CR"/>
              </w:rPr>
              <w:t>Régimen Obligatorio Complementario</w:t>
            </w:r>
          </w:p>
        </w:tc>
        <w:tc>
          <w:tcPr>
            <w:tcW w:w="1078" w:type="dxa"/>
            <w:tcBorders>
              <w:top w:val="nil"/>
              <w:left w:val="nil"/>
              <w:bottom w:val="single" w:sz="8" w:space="0" w:color="8DB3E2"/>
              <w:right w:val="single" w:sz="8" w:space="0" w:color="8DB3E2"/>
            </w:tcBorders>
            <w:shd w:val="clear" w:color="auto" w:fill="auto"/>
            <w:noWrap/>
            <w:vAlign w:val="center"/>
            <w:hideMark/>
          </w:tcPr>
          <w:p w14:paraId="2CD65234"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 xml:space="preserve">  1 988 770 </w:t>
            </w:r>
          </w:p>
        </w:tc>
        <w:tc>
          <w:tcPr>
            <w:tcW w:w="657" w:type="dxa"/>
            <w:tcBorders>
              <w:top w:val="nil"/>
              <w:left w:val="nil"/>
              <w:bottom w:val="single" w:sz="8" w:space="0" w:color="8DB3E2"/>
              <w:right w:val="single" w:sz="8" w:space="0" w:color="8DB3E2"/>
            </w:tcBorders>
            <w:shd w:val="clear" w:color="auto" w:fill="auto"/>
            <w:noWrap/>
            <w:vAlign w:val="center"/>
            <w:hideMark/>
          </w:tcPr>
          <w:p w14:paraId="351C5554"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25,6%</w:t>
            </w:r>
          </w:p>
        </w:tc>
        <w:tc>
          <w:tcPr>
            <w:tcW w:w="1025" w:type="dxa"/>
            <w:tcBorders>
              <w:top w:val="nil"/>
              <w:left w:val="nil"/>
              <w:bottom w:val="single" w:sz="8" w:space="0" w:color="8DB3E2"/>
              <w:right w:val="single" w:sz="8" w:space="0" w:color="8DB3E2"/>
            </w:tcBorders>
            <w:shd w:val="clear" w:color="auto" w:fill="auto"/>
            <w:noWrap/>
            <w:vAlign w:val="center"/>
            <w:hideMark/>
          </w:tcPr>
          <w:p w14:paraId="1B025973"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776 964</w:t>
            </w:r>
          </w:p>
        </w:tc>
        <w:tc>
          <w:tcPr>
            <w:tcW w:w="657" w:type="dxa"/>
            <w:tcBorders>
              <w:top w:val="nil"/>
              <w:left w:val="nil"/>
              <w:bottom w:val="single" w:sz="8" w:space="0" w:color="8DB3E2"/>
              <w:right w:val="single" w:sz="8" w:space="0" w:color="8DB3E2"/>
            </w:tcBorders>
            <w:shd w:val="clear" w:color="auto" w:fill="auto"/>
            <w:noWrap/>
            <w:vAlign w:val="center"/>
            <w:hideMark/>
          </w:tcPr>
          <w:p w14:paraId="442E53C3"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10,0%</w:t>
            </w:r>
          </w:p>
        </w:tc>
        <w:tc>
          <w:tcPr>
            <w:tcW w:w="1110" w:type="dxa"/>
            <w:tcBorders>
              <w:top w:val="nil"/>
              <w:left w:val="nil"/>
              <w:bottom w:val="single" w:sz="8" w:space="0" w:color="8DB3E2"/>
              <w:right w:val="single" w:sz="8" w:space="0" w:color="8DB3E2"/>
            </w:tcBorders>
            <w:shd w:val="clear" w:color="auto" w:fill="auto"/>
            <w:noWrap/>
            <w:vAlign w:val="center"/>
            <w:hideMark/>
          </w:tcPr>
          <w:p w14:paraId="40504884"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5 010 606</w:t>
            </w:r>
          </w:p>
        </w:tc>
        <w:tc>
          <w:tcPr>
            <w:tcW w:w="642" w:type="dxa"/>
            <w:tcBorders>
              <w:top w:val="nil"/>
              <w:left w:val="nil"/>
              <w:bottom w:val="single" w:sz="8" w:space="0" w:color="8DB3E2"/>
              <w:right w:val="single" w:sz="8" w:space="0" w:color="8DB3E2"/>
            </w:tcBorders>
            <w:shd w:val="clear" w:color="auto" w:fill="auto"/>
            <w:noWrap/>
            <w:vAlign w:val="center"/>
            <w:hideMark/>
          </w:tcPr>
          <w:p w14:paraId="62FAC046"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64,4%</w:t>
            </w:r>
          </w:p>
        </w:tc>
        <w:tc>
          <w:tcPr>
            <w:tcW w:w="1059" w:type="dxa"/>
            <w:tcBorders>
              <w:top w:val="nil"/>
              <w:left w:val="nil"/>
              <w:bottom w:val="single" w:sz="8" w:space="0" w:color="8DB3E2"/>
              <w:right w:val="single" w:sz="8" w:space="0" w:color="8DB3E2"/>
            </w:tcBorders>
            <w:shd w:val="clear" w:color="auto" w:fill="auto"/>
            <w:noWrap/>
            <w:vAlign w:val="center"/>
            <w:hideMark/>
          </w:tcPr>
          <w:p w14:paraId="48AF32D8"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7 776 340</w:t>
            </w:r>
          </w:p>
        </w:tc>
      </w:tr>
      <w:tr w:rsidR="00782518" w:rsidRPr="004A7EA3" w14:paraId="6A96D601" w14:textId="77777777" w:rsidTr="00ED6015">
        <w:trPr>
          <w:trHeight w:val="241"/>
          <w:jc w:val="center"/>
        </w:trPr>
        <w:tc>
          <w:tcPr>
            <w:tcW w:w="3827" w:type="dxa"/>
            <w:tcBorders>
              <w:top w:val="nil"/>
              <w:left w:val="single" w:sz="8" w:space="0" w:color="8DB3E2"/>
              <w:bottom w:val="single" w:sz="8" w:space="0" w:color="8DB3E2"/>
              <w:right w:val="single" w:sz="8" w:space="0" w:color="8DB3E2"/>
            </w:tcBorders>
            <w:shd w:val="clear" w:color="000000" w:fill="DBE5F1"/>
            <w:noWrap/>
            <w:vAlign w:val="center"/>
            <w:hideMark/>
          </w:tcPr>
          <w:p w14:paraId="662EFAD0" w14:textId="77777777" w:rsidR="00782518" w:rsidRPr="00782518" w:rsidRDefault="00782518" w:rsidP="00782518">
            <w:pPr>
              <w:spacing w:after="0" w:line="240" w:lineRule="auto"/>
              <w:rPr>
                <w:rFonts w:ascii="Calibri" w:eastAsia="Times New Roman" w:hAnsi="Calibri" w:cs="Calibri"/>
                <w:b/>
                <w:bCs/>
                <w:sz w:val="20"/>
                <w:szCs w:val="20"/>
                <w:lang w:val="es-CR" w:eastAsia="es-CR"/>
              </w:rPr>
            </w:pPr>
            <w:r w:rsidRPr="00782518">
              <w:rPr>
                <w:rFonts w:ascii="Calibri" w:eastAsia="Times New Roman" w:hAnsi="Calibri" w:cs="Calibri"/>
                <w:b/>
                <w:bCs/>
                <w:sz w:val="20"/>
                <w:szCs w:val="20"/>
                <w:lang w:val="es-CR" w:eastAsia="es-CR"/>
              </w:rPr>
              <w:t>Planes Voluntarios</w:t>
            </w:r>
          </w:p>
        </w:tc>
        <w:tc>
          <w:tcPr>
            <w:tcW w:w="1078" w:type="dxa"/>
            <w:tcBorders>
              <w:top w:val="nil"/>
              <w:left w:val="nil"/>
              <w:bottom w:val="single" w:sz="8" w:space="0" w:color="8DB3E2"/>
              <w:right w:val="single" w:sz="8" w:space="0" w:color="8DB3E2"/>
            </w:tcBorders>
            <w:shd w:val="clear" w:color="000000" w:fill="DBE5F1"/>
            <w:noWrap/>
            <w:vAlign w:val="center"/>
            <w:hideMark/>
          </w:tcPr>
          <w:p w14:paraId="3358E291"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 xml:space="preserve">        36 271 </w:t>
            </w:r>
          </w:p>
        </w:tc>
        <w:tc>
          <w:tcPr>
            <w:tcW w:w="657" w:type="dxa"/>
            <w:tcBorders>
              <w:top w:val="nil"/>
              <w:left w:val="nil"/>
              <w:bottom w:val="single" w:sz="8" w:space="0" w:color="8DB3E2"/>
              <w:right w:val="single" w:sz="8" w:space="0" w:color="8DB3E2"/>
            </w:tcBorders>
            <w:shd w:val="clear" w:color="000000" w:fill="DBE5F1"/>
            <w:noWrap/>
            <w:vAlign w:val="center"/>
            <w:hideMark/>
          </w:tcPr>
          <w:p w14:paraId="73F8A8D1"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9,1%</w:t>
            </w:r>
          </w:p>
        </w:tc>
        <w:tc>
          <w:tcPr>
            <w:tcW w:w="1025" w:type="dxa"/>
            <w:tcBorders>
              <w:top w:val="nil"/>
              <w:left w:val="nil"/>
              <w:bottom w:val="single" w:sz="8" w:space="0" w:color="8DB3E2"/>
              <w:right w:val="single" w:sz="8" w:space="0" w:color="8DB3E2"/>
            </w:tcBorders>
            <w:shd w:val="clear" w:color="000000" w:fill="DBE5F1"/>
            <w:noWrap/>
            <w:vAlign w:val="center"/>
            <w:hideMark/>
          </w:tcPr>
          <w:p w14:paraId="25715975"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89 042</w:t>
            </w:r>
          </w:p>
        </w:tc>
        <w:tc>
          <w:tcPr>
            <w:tcW w:w="657" w:type="dxa"/>
            <w:tcBorders>
              <w:top w:val="nil"/>
              <w:left w:val="nil"/>
              <w:bottom w:val="single" w:sz="8" w:space="0" w:color="8DB3E2"/>
              <w:right w:val="single" w:sz="8" w:space="0" w:color="8DB3E2"/>
            </w:tcBorders>
            <w:shd w:val="clear" w:color="000000" w:fill="DBE5F1"/>
            <w:noWrap/>
            <w:vAlign w:val="center"/>
            <w:hideMark/>
          </w:tcPr>
          <w:p w14:paraId="088196FA"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22,2%</w:t>
            </w:r>
          </w:p>
        </w:tc>
        <w:tc>
          <w:tcPr>
            <w:tcW w:w="1110" w:type="dxa"/>
            <w:tcBorders>
              <w:top w:val="nil"/>
              <w:left w:val="nil"/>
              <w:bottom w:val="single" w:sz="8" w:space="0" w:color="8DB3E2"/>
              <w:right w:val="single" w:sz="8" w:space="0" w:color="8DB3E2"/>
            </w:tcBorders>
            <w:shd w:val="clear" w:color="000000" w:fill="DBE5F1"/>
            <w:noWrap/>
            <w:vAlign w:val="center"/>
            <w:hideMark/>
          </w:tcPr>
          <w:p w14:paraId="6E89B482"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274 997</w:t>
            </w:r>
          </w:p>
        </w:tc>
        <w:tc>
          <w:tcPr>
            <w:tcW w:w="642" w:type="dxa"/>
            <w:tcBorders>
              <w:top w:val="nil"/>
              <w:left w:val="nil"/>
              <w:bottom w:val="single" w:sz="8" w:space="0" w:color="8DB3E2"/>
              <w:right w:val="single" w:sz="8" w:space="0" w:color="8DB3E2"/>
            </w:tcBorders>
            <w:shd w:val="clear" w:color="000000" w:fill="DBE5F1"/>
            <w:noWrap/>
            <w:vAlign w:val="center"/>
            <w:hideMark/>
          </w:tcPr>
          <w:p w14:paraId="33DEC834"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68,7%</w:t>
            </w:r>
          </w:p>
        </w:tc>
        <w:tc>
          <w:tcPr>
            <w:tcW w:w="1059" w:type="dxa"/>
            <w:tcBorders>
              <w:top w:val="nil"/>
              <w:left w:val="nil"/>
              <w:bottom w:val="single" w:sz="8" w:space="0" w:color="8DB3E2"/>
              <w:right w:val="single" w:sz="8" w:space="0" w:color="8DB3E2"/>
            </w:tcBorders>
            <w:shd w:val="clear" w:color="000000" w:fill="DBE5F1"/>
            <w:noWrap/>
            <w:vAlign w:val="center"/>
            <w:hideMark/>
          </w:tcPr>
          <w:p w14:paraId="04B338CD"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400 310</w:t>
            </w:r>
          </w:p>
        </w:tc>
      </w:tr>
      <w:tr w:rsidR="00782518" w:rsidRPr="004A7EA3" w14:paraId="7CB0C8E6" w14:textId="77777777" w:rsidTr="00ED6015">
        <w:trPr>
          <w:trHeight w:val="241"/>
          <w:jc w:val="center"/>
        </w:trPr>
        <w:tc>
          <w:tcPr>
            <w:tcW w:w="3827" w:type="dxa"/>
            <w:tcBorders>
              <w:top w:val="nil"/>
              <w:left w:val="single" w:sz="8" w:space="0" w:color="8DB3E2"/>
              <w:bottom w:val="nil"/>
              <w:right w:val="single" w:sz="8" w:space="0" w:color="8DB3E2"/>
            </w:tcBorders>
            <w:shd w:val="clear" w:color="auto" w:fill="auto"/>
            <w:noWrap/>
            <w:vAlign w:val="center"/>
            <w:hideMark/>
          </w:tcPr>
          <w:p w14:paraId="379CD3C8" w14:textId="77777777" w:rsidR="00782518" w:rsidRPr="00782518" w:rsidRDefault="00782518" w:rsidP="00782518">
            <w:pPr>
              <w:spacing w:after="0" w:line="240" w:lineRule="auto"/>
              <w:rPr>
                <w:rFonts w:ascii="Calibri" w:eastAsia="Times New Roman" w:hAnsi="Calibri" w:cs="Calibri"/>
                <w:b/>
                <w:bCs/>
                <w:sz w:val="20"/>
                <w:szCs w:val="20"/>
                <w:lang w:val="es-CR" w:eastAsia="es-CR"/>
              </w:rPr>
            </w:pPr>
            <w:r w:rsidRPr="00782518">
              <w:rPr>
                <w:rFonts w:ascii="Calibri" w:eastAsia="Times New Roman" w:hAnsi="Calibri" w:cs="Calibri"/>
                <w:b/>
                <w:bCs/>
                <w:sz w:val="20"/>
                <w:szCs w:val="20"/>
                <w:lang w:val="es-CR" w:eastAsia="es-CR"/>
              </w:rPr>
              <w:t>Fondo de Capitalización Laboral</w:t>
            </w:r>
          </w:p>
        </w:tc>
        <w:tc>
          <w:tcPr>
            <w:tcW w:w="1078" w:type="dxa"/>
            <w:tcBorders>
              <w:top w:val="nil"/>
              <w:left w:val="nil"/>
              <w:bottom w:val="nil"/>
              <w:right w:val="single" w:sz="8" w:space="0" w:color="8DB3E2"/>
            </w:tcBorders>
            <w:shd w:val="clear" w:color="auto" w:fill="auto"/>
            <w:noWrap/>
            <w:vAlign w:val="center"/>
            <w:hideMark/>
          </w:tcPr>
          <w:p w14:paraId="16757D52"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 xml:space="preserve">        62 137 </w:t>
            </w:r>
          </w:p>
        </w:tc>
        <w:tc>
          <w:tcPr>
            <w:tcW w:w="657" w:type="dxa"/>
            <w:tcBorders>
              <w:top w:val="nil"/>
              <w:left w:val="nil"/>
              <w:bottom w:val="nil"/>
              <w:right w:val="single" w:sz="8" w:space="0" w:color="8DB3E2"/>
            </w:tcBorders>
            <w:shd w:val="clear" w:color="auto" w:fill="auto"/>
            <w:noWrap/>
            <w:vAlign w:val="center"/>
            <w:hideMark/>
          </w:tcPr>
          <w:p w14:paraId="34556837"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13,3%</w:t>
            </w:r>
          </w:p>
        </w:tc>
        <w:tc>
          <w:tcPr>
            <w:tcW w:w="1025" w:type="dxa"/>
            <w:tcBorders>
              <w:top w:val="nil"/>
              <w:left w:val="nil"/>
              <w:bottom w:val="nil"/>
              <w:right w:val="single" w:sz="8" w:space="0" w:color="8DB3E2"/>
            </w:tcBorders>
            <w:shd w:val="clear" w:color="auto" w:fill="auto"/>
            <w:noWrap/>
            <w:vAlign w:val="center"/>
            <w:hideMark/>
          </w:tcPr>
          <w:p w14:paraId="4B8BCD03"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81 087</w:t>
            </w:r>
          </w:p>
        </w:tc>
        <w:tc>
          <w:tcPr>
            <w:tcW w:w="657" w:type="dxa"/>
            <w:tcBorders>
              <w:top w:val="nil"/>
              <w:left w:val="nil"/>
              <w:bottom w:val="nil"/>
              <w:right w:val="single" w:sz="8" w:space="0" w:color="8DB3E2"/>
            </w:tcBorders>
            <w:shd w:val="clear" w:color="auto" w:fill="auto"/>
            <w:noWrap/>
            <w:vAlign w:val="center"/>
            <w:hideMark/>
          </w:tcPr>
          <w:p w14:paraId="4D44CD6C"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17,4%</w:t>
            </w:r>
          </w:p>
        </w:tc>
        <w:tc>
          <w:tcPr>
            <w:tcW w:w="1110" w:type="dxa"/>
            <w:tcBorders>
              <w:top w:val="nil"/>
              <w:left w:val="nil"/>
              <w:bottom w:val="nil"/>
              <w:right w:val="single" w:sz="8" w:space="0" w:color="8DB3E2"/>
            </w:tcBorders>
            <w:shd w:val="clear" w:color="auto" w:fill="auto"/>
            <w:noWrap/>
            <w:vAlign w:val="center"/>
            <w:hideMark/>
          </w:tcPr>
          <w:p w14:paraId="63898033"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323 547</w:t>
            </w:r>
          </w:p>
        </w:tc>
        <w:tc>
          <w:tcPr>
            <w:tcW w:w="642" w:type="dxa"/>
            <w:tcBorders>
              <w:top w:val="nil"/>
              <w:left w:val="nil"/>
              <w:bottom w:val="nil"/>
              <w:right w:val="single" w:sz="8" w:space="0" w:color="8DB3E2"/>
            </w:tcBorders>
            <w:shd w:val="clear" w:color="auto" w:fill="auto"/>
            <w:noWrap/>
            <w:vAlign w:val="center"/>
            <w:hideMark/>
          </w:tcPr>
          <w:p w14:paraId="2D0807CF"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69,3%</w:t>
            </w:r>
          </w:p>
        </w:tc>
        <w:tc>
          <w:tcPr>
            <w:tcW w:w="1059" w:type="dxa"/>
            <w:tcBorders>
              <w:top w:val="nil"/>
              <w:left w:val="nil"/>
              <w:bottom w:val="nil"/>
              <w:right w:val="single" w:sz="8" w:space="0" w:color="8DB3E2"/>
            </w:tcBorders>
            <w:shd w:val="clear" w:color="auto" w:fill="auto"/>
            <w:noWrap/>
            <w:vAlign w:val="center"/>
            <w:hideMark/>
          </w:tcPr>
          <w:p w14:paraId="28205D87" w14:textId="77777777" w:rsidR="00782518" w:rsidRPr="00782518" w:rsidRDefault="00782518" w:rsidP="00782518">
            <w:pPr>
              <w:spacing w:after="0" w:line="240" w:lineRule="auto"/>
              <w:jc w:val="right"/>
              <w:rPr>
                <w:rFonts w:ascii="Calibri" w:eastAsia="Times New Roman" w:hAnsi="Calibri" w:cs="Calibri"/>
                <w:sz w:val="20"/>
                <w:szCs w:val="20"/>
                <w:lang w:val="es-CR" w:eastAsia="es-CR"/>
              </w:rPr>
            </w:pPr>
            <w:r w:rsidRPr="00782518">
              <w:rPr>
                <w:rFonts w:ascii="Calibri" w:eastAsia="Times New Roman" w:hAnsi="Calibri" w:cs="Calibri"/>
                <w:sz w:val="20"/>
                <w:szCs w:val="20"/>
                <w:lang w:val="es-CR" w:eastAsia="es-CR"/>
              </w:rPr>
              <w:t>466 770</w:t>
            </w:r>
          </w:p>
        </w:tc>
      </w:tr>
      <w:tr w:rsidR="00782518" w:rsidRPr="004A7EA3" w14:paraId="362690C2" w14:textId="77777777" w:rsidTr="00ED6015">
        <w:trPr>
          <w:trHeight w:val="252"/>
          <w:jc w:val="center"/>
        </w:trPr>
        <w:tc>
          <w:tcPr>
            <w:tcW w:w="3827" w:type="dxa"/>
            <w:tcBorders>
              <w:top w:val="double" w:sz="6" w:space="0" w:color="8DB3E2"/>
              <w:left w:val="single" w:sz="8" w:space="0" w:color="8DB3E2"/>
              <w:bottom w:val="single" w:sz="8" w:space="0" w:color="95B3D7"/>
              <w:right w:val="single" w:sz="8" w:space="0" w:color="8DB3E2"/>
            </w:tcBorders>
            <w:shd w:val="clear" w:color="000000" w:fill="DBE5F1"/>
            <w:noWrap/>
            <w:vAlign w:val="center"/>
            <w:hideMark/>
          </w:tcPr>
          <w:p w14:paraId="25181CFD" w14:textId="77777777" w:rsidR="00782518" w:rsidRPr="00782518" w:rsidRDefault="00782518" w:rsidP="00782518">
            <w:pPr>
              <w:spacing w:after="0" w:line="240" w:lineRule="auto"/>
              <w:rPr>
                <w:rFonts w:ascii="Calibri" w:eastAsia="Times New Roman" w:hAnsi="Calibri" w:cs="Calibri"/>
                <w:b/>
                <w:bCs/>
                <w:sz w:val="20"/>
                <w:szCs w:val="20"/>
                <w:lang w:val="es-CR" w:eastAsia="es-CR"/>
              </w:rPr>
            </w:pPr>
            <w:r w:rsidRPr="00782518">
              <w:rPr>
                <w:rFonts w:ascii="Calibri" w:eastAsia="Times New Roman" w:hAnsi="Calibri" w:cs="Calibri"/>
                <w:b/>
                <w:bCs/>
                <w:sz w:val="20"/>
                <w:szCs w:val="20"/>
                <w:lang w:val="es-CR" w:eastAsia="es-CR"/>
              </w:rPr>
              <w:t>Total</w:t>
            </w:r>
          </w:p>
        </w:tc>
        <w:tc>
          <w:tcPr>
            <w:tcW w:w="1078" w:type="dxa"/>
            <w:tcBorders>
              <w:top w:val="double" w:sz="6" w:space="0" w:color="8DB3E2"/>
              <w:left w:val="nil"/>
              <w:bottom w:val="single" w:sz="8" w:space="0" w:color="95B3D7"/>
              <w:right w:val="single" w:sz="8" w:space="0" w:color="8DB3E2"/>
            </w:tcBorders>
            <w:shd w:val="clear" w:color="000000" w:fill="DBE5F1"/>
            <w:noWrap/>
            <w:vAlign w:val="center"/>
            <w:hideMark/>
          </w:tcPr>
          <w:p w14:paraId="291CCC16" w14:textId="77777777" w:rsidR="00782518" w:rsidRPr="00782518" w:rsidRDefault="00782518" w:rsidP="00782518">
            <w:pPr>
              <w:spacing w:after="0" w:line="240" w:lineRule="auto"/>
              <w:jc w:val="right"/>
              <w:rPr>
                <w:rFonts w:ascii="Calibri" w:eastAsia="Times New Roman" w:hAnsi="Calibri" w:cs="Calibri"/>
                <w:b/>
                <w:bCs/>
                <w:sz w:val="20"/>
                <w:szCs w:val="20"/>
                <w:lang w:val="es-CR" w:eastAsia="es-CR"/>
              </w:rPr>
            </w:pPr>
            <w:r w:rsidRPr="00782518">
              <w:rPr>
                <w:rFonts w:ascii="Calibri" w:eastAsia="Times New Roman" w:hAnsi="Calibri" w:cs="Calibri"/>
                <w:b/>
                <w:bCs/>
                <w:sz w:val="20"/>
                <w:szCs w:val="20"/>
                <w:lang w:val="es-CR" w:eastAsia="es-CR"/>
              </w:rPr>
              <w:t xml:space="preserve">  2 087 178 </w:t>
            </w:r>
          </w:p>
        </w:tc>
        <w:tc>
          <w:tcPr>
            <w:tcW w:w="657" w:type="dxa"/>
            <w:tcBorders>
              <w:top w:val="double" w:sz="6" w:space="0" w:color="8DB3E2"/>
              <w:left w:val="nil"/>
              <w:bottom w:val="single" w:sz="8" w:space="0" w:color="95B3D7"/>
              <w:right w:val="single" w:sz="8" w:space="0" w:color="8DB3E2"/>
            </w:tcBorders>
            <w:shd w:val="clear" w:color="000000" w:fill="DBE5F1"/>
            <w:noWrap/>
            <w:vAlign w:val="center"/>
            <w:hideMark/>
          </w:tcPr>
          <w:p w14:paraId="50CE27FB" w14:textId="77777777" w:rsidR="00782518" w:rsidRPr="00782518" w:rsidRDefault="00782518" w:rsidP="00782518">
            <w:pPr>
              <w:spacing w:after="0" w:line="240" w:lineRule="auto"/>
              <w:jc w:val="right"/>
              <w:rPr>
                <w:rFonts w:ascii="Calibri" w:eastAsia="Times New Roman" w:hAnsi="Calibri" w:cs="Calibri"/>
                <w:b/>
                <w:bCs/>
                <w:sz w:val="20"/>
                <w:szCs w:val="20"/>
                <w:lang w:val="es-CR" w:eastAsia="es-CR"/>
              </w:rPr>
            </w:pPr>
            <w:r w:rsidRPr="00782518">
              <w:rPr>
                <w:rFonts w:ascii="Calibri" w:eastAsia="Times New Roman" w:hAnsi="Calibri" w:cs="Calibri"/>
                <w:b/>
                <w:bCs/>
                <w:sz w:val="20"/>
                <w:szCs w:val="20"/>
                <w:lang w:val="es-CR" w:eastAsia="es-CR"/>
              </w:rPr>
              <w:t>13,2%</w:t>
            </w:r>
          </w:p>
        </w:tc>
        <w:tc>
          <w:tcPr>
            <w:tcW w:w="1025" w:type="dxa"/>
            <w:tcBorders>
              <w:top w:val="double" w:sz="6" w:space="0" w:color="8DB3E2"/>
              <w:left w:val="nil"/>
              <w:bottom w:val="single" w:sz="8" w:space="0" w:color="95B3D7"/>
              <w:right w:val="single" w:sz="8" w:space="0" w:color="8DB3E2"/>
            </w:tcBorders>
            <w:shd w:val="clear" w:color="000000" w:fill="DBE5F1"/>
            <w:noWrap/>
            <w:vAlign w:val="center"/>
            <w:hideMark/>
          </w:tcPr>
          <w:p w14:paraId="0FE0A6AC" w14:textId="77777777" w:rsidR="00782518" w:rsidRPr="00782518" w:rsidRDefault="00782518" w:rsidP="00782518">
            <w:pPr>
              <w:spacing w:after="0" w:line="240" w:lineRule="auto"/>
              <w:jc w:val="right"/>
              <w:rPr>
                <w:rFonts w:ascii="Calibri" w:eastAsia="Times New Roman" w:hAnsi="Calibri" w:cs="Calibri"/>
                <w:b/>
                <w:bCs/>
                <w:sz w:val="20"/>
                <w:szCs w:val="20"/>
                <w:lang w:val="es-CR" w:eastAsia="es-CR"/>
              </w:rPr>
            </w:pPr>
            <w:r w:rsidRPr="00782518">
              <w:rPr>
                <w:rFonts w:ascii="Calibri" w:eastAsia="Times New Roman" w:hAnsi="Calibri" w:cs="Calibri"/>
                <w:b/>
                <w:bCs/>
                <w:sz w:val="20"/>
                <w:szCs w:val="20"/>
                <w:lang w:val="es-CR" w:eastAsia="es-CR"/>
              </w:rPr>
              <w:t>1 772 421</w:t>
            </w:r>
          </w:p>
        </w:tc>
        <w:tc>
          <w:tcPr>
            <w:tcW w:w="657" w:type="dxa"/>
            <w:tcBorders>
              <w:top w:val="double" w:sz="6" w:space="0" w:color="8DB3E2"/>
              <w:left w:val="nil"/>
              <w:bottom w:val="single" w:sz="8" w:space="0" w:color="95B3D7"/>
              <w:right w:val="single" w:sz="8" w:space="0" w:color="8DB3E2"/>
            </w:tcBorders>
            <w:shd w:val="clear" w:color="000000" w:fill="DBE5F1"/>
            <w:noWrap/>
            <w:vAlign w:val="center"/>
            <w:hideMark/>
          </w:tcPr>
          <w:p w14:paraId="3866C9D6" w14:textId="77777777" w:rsidR="00782518" w:rsidRPr="00782518" w:rsidRDefault="00782518" w:rsidP="00782518">
            <w:pPr>
              <w:spacing w:after="0" w:line="240" w:lineRule="auto"/>
              <w:jc w:val="right"/>
              <w:rPr>
                <w:rFonts w:ascii="Calibri" w:eastAsia="Times New Roman" w:hAnsi="Calibri" w:cs="Calibri"/>
                <w:b/>
                <w:bCs/>
                <w:sz w:val="20"/>
                <w:szCs w:val="20"/>
                <w:lang w:val="es-CR" w:eastAsia="es-CR"/>
              </w:rPr>
            </w:pPr>
            <w:r w:rsidRPr="00782518">
              <w:rPr>
                <w:rFonts w:ascii="Calibri" w:eastAsia="Times New Roman" w:hAnsi="Calibri" w:cs="Calibri"/>
                <w:b/>
                <w:bCs/>
                <w:sz w:val="20"/>
                <w:szCs w:val="20"/>
                <w:lang w:val="es-CR" w:eastAsia="es-CR"/>
              </w:rPr>
              <w:t>11,2%</w:t>
            </w:r>
          </w:p>
        </w:tc>
        <w:tc>
          <w:tcPr>
            <w:tcW w:w="1110" w:type="dxa"/>
            <w:tcBorders>
              <w:top w:val="double" w:sz="6" w:space="0" w:color="8DB3E2"/>
              <w:left w:val="nil"/>
              <w:bottom w:val="single" w:sz="8" w:space="0" w:color="95B3D7"/>
              <w:right w:val="single" w:sz="8" w:space="0" w:color="8DB3E2"/>
            </w:tcBorders>
            <w:shd w:val="clear" w:color="000000" w:fill="DBE5F1"/>
            <w:noWrap/>
            <w:vAlign w:val="center"/>
            <w:hideMark/>
          </w:tcPr>
          <w:p w14:paraId="5A59D6CE" w14:textId="77777777" w:rsidR="00782518" w:rsidRPr="00782518" w:rsidRDefault="00782518" w:rsidP="00782518">
            <w:pPr>
              <w:spacing w:after="0" w:line="240" w:lineRule="auto"/>
              <w:jc w:val="right"/>
              <w:rPr>
                <w:rFonts w:ascii="Calibri" w:eastAsia="Times New Roman" w:hAnsi="Calibri" w:cs="Calibri"/>
                <w:b/>
                <w:bCs/>
                <w:sz w:val="20"/>
                <w:szCs w:val="20"/>
                <w:lang w:val="es-CR" w:eastAsia="es-CR"/>
              </w:rPr>
            </w:pPr>
            <w:r w:rsidRPr="00782518">
              <w:rPr>
                <w:rFonts w:ascii="Calibri" w:eastAsia="Times New Roman" w:hAnsi="Calibri" w:cs="Calibri"/>
                <w:b/>
                <w:bCs/>
                <w:sz w:val="20"/>
                <w:szCs w:val="20"/>
                <w:lang w:val="es-CR" w:eastAsia="es-CR"/>
              </w:rPr>
              <w:t>11 946 892</w:t>
            </w:r>
          </w:p>
        </w:tc>
        <w:tc>
          <w:tcPr>
            <w:tcW w:w="642" w:type="dxa"/>
            <w:tcBorders>
              <w:top w:val="double" w:sz="6" w:space="0" w:color="8DB3E2"/>
              <w:left w:val="nil"/>
              <w:bottom w:val="single" w:sz="8" w:space="0" w:color="95B3D7"/>
              <w:right w:val="single" w:sz="8" w:space="0" w:color="8DB3E2"/>
            </w:tcBorders>
            <w:shd w:val="clear" w:color="000000" w:fill="DBE5F1"/>
            <w:noWrap/>
            <w:vAlign w:val="center"/>
            <w:hideMark/>
          </w:tcPr>
          <w:p w14:paraId="4392824A" w14:textId="77777777" w:rsidR="00782518" w:rsidRPr="00782518" w:rsidRDefault="00782518" w:rsidP="00782518">
            <w:pPr>
              <w:spacing w:after="0" w:line="240" w:lineRule="auto"/>
              <w:jc w:val="right"/>
              <w:rPr>
                <w:rFonts w:ascii="Calibri" w:eastAsia="Times New Roman" w:hAnsi="Calibri" w:cs="Calibri"/>
                <w:b/>
                <w:bCs/>
                <w:sz w:val="20"/>
                <w:szCs w:val="20"/>
                <w:lang w:val="es-CR" w:eastAsia="es-CR"/>
              </w:rPr>
            </w:pPr>
            <w:r w:rsidRPr="00782518">
              <w:rPr>
                <w:rFonts w:ascii="Calibri" w:eastAsia="Times New Roman" w:hAnsi="Calibri" w:cs="Calibri"/>
                <w:b/>
                <w:bCs/>
                <w:sz w:val="20"/>
                <w:szCs w:val="20"/>
                <w:lang w:val="es-CR" w:eastAsia="es-CR"/>
              </w:rPr>
              <w:t>75,6%</w:t>
            </w:r>
          </w:p>
        </w:tc>
        <w:tc>
          <w:tcPr>
            <w:tcW w:w="1059" w:type="dxa"/>
            <w:tcBorders>
              <w:top w:val="double" w:sz="6" w:space="0" w:color="8DB3E2"/>
              <w:left w:val="nil"/>
              <w:bottom w:val="single" w:sz="8" w:space="0" w:color="95B3D7"/>
              <w:right w:val="single" w:sz="8" w:space="0" w:color="8DB3E2"/>
            </w:tcBorders>
            <w:shd w:val="clear" w:color="000000" w:fill="DBE5F1"/>
            <w:noWrap/>
            <w:vAlign w:val="center"/>
            <w:hideMark/>
          </w:tcPr>
          <w:p w14:paraId="669D2879" w14:textId="77777777" w:rsidR="00782518" w:rsidRPr="00782518" w:rsidRDefault="00782518" w:rsidP="00782518">
            <w:pPr>
              <w:spacing w:after="0" w:line="240" w:lineRule="auto"/>
              <w:jc w:val="right"/>
              <w:rPr>
                <w:rFonts w:ascii="Calibri" w:eastAsia="Times New Roman" w:hAnsi="Calibri" w:cs="Calibri"/>
                <w:b/>
                <w:bCs/>
                <w:sz w:val="20"/>
                <w:szCs w:val="20"/>
                <w:lang w:val="es-CR" w:eastAsia="es-CR"/>
              </w:rPr>
            </w:pPr>
            <w:r w:rsidRPr="00782518">
              <w:rPr>
                <w:rFonts w:ascii="Calibri" w:eastAsia="Times New Roman" w:hAnsi="Calibri" w:cs="Calibri"/>
                <w:b/>
                <w:bCs/>
                <w:sz w:val="20"/>
                <w:szCs w:val="20"/>
                <w:lang w:val="es-CR" w:eastAsia="es-CR"/>
              </w:rPr>
              <w:t>15 806 491</w:t>
            </w:r>
          </w:p>
        </w:tc>
      </w:tr>
    </w:tbl>
    <w:p w14:paraId="008C4469" w14:textId="77777777" w:rsidR="00315A03" w:rsidRPr="004A7EA3" w:rsidRDefault="00315A03" w:rsidP="00315A03">
      <w:pPr>
        <w:pStyle w:val="Descripcin"/>
        <w:spacing w:after="0"/>
      </w:pPr>
      <w:r w:rsidRPr="004A7EA3">
        <w:t xml:space="preserve"> Fuente: Elaboración propia</w:t>
      </w:r>
    </w:p>
    <w:p w14:paraId="20293322" w14:textId="77777777" w:rsidR="00315A03" w:rsidRPr="001A44F1" w:rsidRDefault="00315A03" w:rsidP="00315A03">
      <w:pPr>
        <w:spacing w:after="0" w:line="240" w:lineRule="auto"/>
        <w:jc w:val="both"/>
        <w:rPr>
          <w:highlight w:val="yellow"/>
        </w:rPr>
      </w:pPr>
    </w:p>
    <w:p w14:paraId="679B61AA" w14:textId="77777777" w:rsidR="00315A03" w:rsidRPr="00021BD0" w:rsidRDefault="00315A03" w:rsidP="000252E5">
      <w:pPr>
        <w:pStyle w:val="Descripcin"/>
        <w:spacing w:after="0"/>
        <w:jc w:val="center"/>
      </w:pPr>
      <w:r w:rsidRPr="00021BD0">
        <w:t xml:space="preserve">Tabla </w:t>
      </w:r>
      <w:r w:rsidRPr="00021BD0">
        <w:fldChar w:fldCharType="begin"/>
      </w:r>
      <w:r w:rsidRPr="00021BD0">
        <w:instrText xml:space="preserve"> SEQ Tabla \* ARABIC </w:instrText>
      </w:r>
      <w:r w:rsidRPr="00021BD0">
        <w:fldChar w:fldCharType="separate"/>
      </w:r>
      <w:r w:rsidR="00D67541">
        <w:rPr>
          <w:noProof/>
        </w:rPr>
        <w:t>3</w:t>
      </w:r>
      <w:r w:rsidRPr="00021BD0">
        <w:fldChar w:fldCharType="end"/>
      </w:r>
      <w:r w:rsidRPr="00021BD0">
        <w:t>: Inversiones del ROP</w:t>
      </w:r>
      <w:r w:rsidR="000252E5">
        <w:t xml:space="preserve"> e</w:t>
      </w:r>
      <w:r w:rsidRPr="00021BD0">
        <w:t>n moneda extranjera por sector</w:t>
      </w:r>
    </w:p>
    <w:p w14:paraId="4EFE9295" w14:textId="77777777" w:rsidR="00315A03" w:rsidRPr="00021BD0" w:rsidRDefault="00315A03" w:rsidP="00315A03">
      <w:pPr>
        <w:pStyle w:val="Descripcin"/>
        <w:spacing w:after="0"/>
        <w:jc w:val="center"/>
      </w:pPr>
      <w:r w:rsidRPr="00021BD0">
        <w:t>Como porcentaje del activo</w:t>
      </w:r>
    </w:p>
    <w:p w14:paraId="174A3BCB" w14:textId="77777777" w:rsidR="00315A03" w:rsidRDefault="00315A03" w:rsidP="00315A03">
      <w:pPr>
        <w:pStyle w:val="Descripcin"/>
        <w:spacing w:after="0"/>
        <w:jc w:val="center"/>
      </w:pPr>
      <w:r w:rsidRPr="00021BD0">
        <w:t xml:space="preserve">Al 31 de </w:t>
      </w:r>
      <w:r w:rsidR="00021BD0" w:rsidRPr="00021BD0">
        <w:t>marzo</w:t>
      </w:r>
      <w:r w:rsidRPr="00021BD0">
        <w:t xml:space="preserve"> de cada año</w:t>
      </w:r>
    </w:p>
    <w:tbl>
      <w:tblPr>
        <w:tblW w:w="7336" w:type="dxa"/>
        <w:jc w:val="center"/>
        <w:tblCellMar>
          <w:left w:w="70" w:type="dxa"/>
          <w:right w:w="70" w:type="dxa"/>
        </w:tblCellMar>
        <w:tblLook w:val="04A0" w:firstRow="1" w:lastRow="0" w:firstColumn="1" w:lastColumn="0" w:noHBand="0" w:noVBand="1"/>
      </w:tblPr>
      <w:tblGrid>
        <w:gridCol w:w="2183"/>
        <w:gridCol w:w="1016"/>
        <w:gridCol w:w="705"/>
        <w:gridCol w:w="947"/>
        <w:gridCol w:w="705"/>
        <w:gridCol w:w="1074"/>
        <w:gridCol w:w="706"/>
      </w:tblGrid>
      <w:tr w:rsidR="002B243B" w:rsidRPr="002B243B" w14:paraId="5D1E19B2" w14:textId="77777777" w:rsidTr="002B243B">
        <w:trPr>
          <w:trHeight w:val="225"/>
          <w:jc w:val="center"/>
        </w:trPr>
        <w:tc>
          <w:tcPr>
            <w:tcW w:w="2183" w:type="dxa"/>
            <w:vMerge w:val="restart"/>
            <w:tcBorders>
              <w:top w:val="single" w:sz="8" w:space="0" w:color="8DB3E2"/>
              <w:left w:val="single" w:sz="8" w:space="0" w:color="8DB3E2"/>
              <w:bottom w:val="single" w:sz="8" w:space="0" w:color="8DB3E2"/>
              <w:right w:val="single" w:sz="8" w:space="0" w:color="8DB3E2"/>
            </w:tcBorders>
            <w:shd w:val="clear" w:color="000000" w:fill="4F81BD"/>
            <w:noWrap/>
            <w:vAlign w:val="center"/>
            <w:hideMark/>
          </w:tcPr>
          <w:p w14:paraId="15E4902C" w14:textId="77777777" w:rsidR="002B243B" w:rsidRPr="002B243B" w:rsidRDefault="002B243B" w:rsidP="002B243B">
            <w:pPr>
              <w:spacing w:after="0" w:line="240" w:lineRule="auto"/>
              <w:rPr>
                <w:rFonts w:ascii="Calibri" w:eastAsia="Times New Roman" w:hAnsi="Calibri" w:cs="Calibri"/>
                <w:b/>
                <w:bCs/>
                <w:color w:val="FFFFFF"/>
                <w:sz w:val="20"/>
                <w:szCs w:val="20"/>
                <w:lang w:val="es-CR" w:eastAsia="es-CR"/>
              </w:rPr>
            </w:pPr>
            <w:bookmarkStart w:id="12" w:name="RANGE!A32"/>
            <w:r w:rsidRPr="002B243B">
              <w:rPr>
                <w:rFonts w:ascii="Calibri" w:eastAsia="Times New Roman" w:hAnsi="Calibri" w:cs="Calibri"/>
                <w:b/>
                <w:bCs/>
                <w:color w:val="FFFFFF"/>
                <w:sz w:val="20"/>
                <w:szCs w:val="20"/>
                <w:lang w:val="es-CR" w:eastAsia="es-CR"/>
              </w:rPr>
              <w:t>Operadora</w:t>
            </w:r>
            <w:bookmarkEnd w:id="12"/>
          </w:p>
        </w:tc>
        <w:tc>
          <w:tcPr>
            <w:tcW w:w="1721" w:type="dxa"/>
            <w:gridSpan w:val="2"/>
            <w:tcBorders>
              <w:top w:val="single" w:sz="8" w:space="0" w:color="8DB3E2"/>
              <w:left w:val="nil"/>
              <w:bottom w:val="single" w:sz="8" w:space="0" w:color="8DB3E2"/>
              <w:right w:val="single" w:sz="8" w:space="0" w:color="8DB3E2"/>
            </w:tcBorders>
            <w:shd w:val="clear" w:color="000000" w:fill="4F81BD"/>
            <w:noWrap/>
            <w:vAlign w:val="center"/>
            <w:hideMark/>
          </w:tcPr>
          <w:p w14:paraId="7C7BAF03" w14:textId="77777777" w:rsidR="002B243B" w:rsidRPr="002B243B" w:rsidRDefault="002B243B" w:rsidP="002B243B">
            <w:pPr>
              <w:spacing w:after="0" w:line="240" w:lineRule="auto"/>
              <w:jc w:val="center"/>
              <w:rPr>
                <w:rFonts w:ascii="Calibri" w:eastAsia="Times New Roman" w:hAnsi="Calibri" w:cs="Calibri"/>
                <w:b/>
                <w:bCs/>
                <w:color w:val="FFFFFF"/>
                <w:sz w:val="20"/>
                <w:szCs w:val="20"/>
                <w:lang w:val="es-CR" w:eastAsia="es-CR"/>
              </w:rPr>
            </w:pPr>
            <w:r w:rsidRPr="002B243B">
              <w:rPr>
                <w:rFonts w:ascii="Calibri" w:eastAsia="Times New Roman" w:hAnsi="Calibri" w:cs="Calibri"/>
                <w:b/>
                <w:bCs/>
                <w:color w:val="FFFFFF"/>
                <w:sz w:val="20"/>
                <w:szCs w:val="20"/>
                <w:lang w:val="es-CR" w:eastAsia="es-CR"/>
              </w:rPr>
              <w:t>2019</w:t>
            </w:r>
          </w:p>
        </w:tc>
        <w:tc>
          <w:tcPr>
            <w:tcW w:w="1652" w:type="dxa"/>
            <w:gridSpan w:val="2"/>
            <w:tcBorders>
              <w:top w:val="single" w:sz="8" w:space="0" w:color="8DB3E2"/>
              <w:left w:val="nil"/>
              <w:bottom w:val="single" w:sz="8" w:space="0" w:color="8DB3E2"/>
              <w:right w:val="single" w:sz="8" w:space="0" w:color="8DB3E2"/>
            </w:tcBorders>
            <w:shd w:val="clear" w:color="000000" w:fill="4F81BD"/>
            <w:noWrap/>
            <w:vAlign w:val="center"/>
            <w:hideMark/>
          </w:tcPr>
          <w:p w14:paraId="2FF60DC9" w14:textId="77777777" w:rsidR="002B243B" w:rsidRPr="002B243B" w:rsidRDefault="002B243B" w:rsidP="002B243B">
            <w:pPr>
              <w:spacing w:after="0" w:line="240" w:lineRule="auto"/>
              <w:jc w:val="center"/>
              <w:rPr>
                <w:rFonts w:ascii="Calibri" w:eastAsia="Times New Roman" w:hAnsi="Calibri" w:cs="Calibri"/>
                <w:b/>
                <w:bCs/>
                <w:color w:val="FFFFFF"/>
                <w:sz w:val="20"/>
                <w:szCs w:val="20"/>
                <w:lang w:val="es-CR" w:eastAsia="es-CR"/>
              </w:rPr>
            </w:pPr>
            <w:r w:rsidRPr="002B243B">
              <w:rPr>
                <w:rFonts w:ascii="Calibri" w:eastAsia="Times New Roman" w:hAnsi="Calibri" w:cs="Calibri"/>
                <w:b/>
                <w:bCs/>
                <w:color w:val="FFFFFF"/>
                <w:sz w:val="20"/>
                <w:szCs w:val="20"/>
                <w:lang w:val="es-CR" w:eastAsia="es-CR"/>
              </w:rPr>
              <w:t>2020</w:t>
            </w:r>
          </w:p>
        </w:tc>
        <w:tc>
          <w:tcPr>
            <w:tcW w:w="1780" w:type="dxa"/>
            <w:gridSpan w:val="2"/>
            <w:tcBorders>
              <w:top w:val="single" w:sz="8" w:space="0" w:color="8DB3E2"/>
              <w:left w:val="nil"/>
              <w:bottom w:val="single" w:sz="8" w:space="0" w:color="8DB3E2"/>
              <w:right w:val="single" w:sz="8" w:space="0" w:color="8DB3E2"/>
            </w:tcBorders>
            <w:shd w:val="clear" w:color="000000" w:fill="4F81BD"/>
            <w:noWrap/>
            <w:vAlign w:val="center"/>
            <w:hideMark/>
          </w:tcPr>
          <w:p w14:paraId="0D7BB010" w14:textId="77777777" w:rsidR="002B243B" w:rsidRPr="002B243B" w:rsidRDefault="002B243B" w:rsidP="002B243B">
            <w:pPr>
              <w:spacing w:after="0" w:line="240" w:lineRule="auto"/>
              <w:jc w:val="center"/>
              <w:rPr>
                <w:rFonts w:ascii="Calibri" w:eastAsia="Times New Roman" w:hAnsi="Calibri" w:cs="Calibri"/>
                <w:b/>
                <w:bCs/>
                <w:color w:val="FFFFFF"/>
                <w:sz w:val="20"/>
                <w:szCs w:val="20"/>
                <w:lang w:val="es-CR" w:eastAsia="es-CR"/>
              </w:rPr>
            </w:pPr>
            <w:r w:rsidRPr="002B243B">
              <w:rPr>
                <w:rFonts w:ascii="Calibri" w:eastAsia="Times New Roman" w:hAnsi="Calibri" w:cs="Calibri"/>
                <w:b/>
                <w:bCs/>
                <w:color w:val="FFFFFF"/>
                <w:sz w:val="20"/>
                <w:szCs w:val="20"/>
                <w:lang w:val="es-CR" w:eastAsia="es-CR"/>
              </w:rPr>
              <w:t>2021</w:t>
            </w:r>
          </w:p>
        </w:tc>
      </w:tr>
      <w:tr w:rsidR="002B243B" w:rsidRPr="002B243B" w14:paraId="5DF7A1B0" w14:textId="77777777" w:rsidTr="002B243B">
        <w:trPr>
          <w:trHeight w:val="225"/>
          <w:jc w:val="center"/>
        </w:trPr>
        <w:tc>
          <w:tcPr>
            <w:tcW w:w="2183" w:type="dxa"/>
            <w:vMerge/>
            <w:tcBorders>
              <w:top w:val="single" w:sz="8" w:space="0" w:color="8DB3E2"/>
              <w:left w:val="single" w:sz="8" w:space="0" w:color="8DB3E2"/>
              <w:bottom w:val="single" w:sz="8" w:space="0" w:color="8DB3E2"/>
              <w:right w:val="single" w:sz="8" w:space="0" w:color="8DB3E2"/>
            </w:tcBorders>
            <w:vAlign w:val="center"/>
            <w:hideMark/>
          </w:tcPr>
          <w:p w14:paraId="66CCB13B" w14:textId="77777777" w:rsidR="002B243B" w:rsidRPr="002B243B" w:rsidRDefault="002B243B" w:rsidP="002B243B">
            <w:pPr>
              <w:spacing w:after="0" w:line="240" w:lineRule="auto"/>
              <w:rPr>
                <w:rFonts w:ascii="Calibri" w:eastAsia="Times New Roman" w:hAnsi="Calibri" w:cs="Calibri"/>
                <w:b/>
                <w:bCs/>
                <w:color w:val="FFFFFF"/>
                <w:sz w:val="20"/>
                <w:szCs w:val="20"/>
                <w:lang w:val="es-CR" w:eastAsia="es-CR"/>
              </w:rPr>
            </w:pPr>
          </w:p>
        </w:tc>
        <w:tc>
          <w:tcPr>
            <w:tcW w:w="1016" w:type="dxa"/>
            <w:tcBorders>
              <w:top w:val="nil"/>
              <w:left w:val="nil"/>
              <w:bottom w:val="single" w:sz="8" w:space="0" w:color="8DB3E2"/>
              <w:right w:val="single" w:sz="8" w:space="0" w:color="8DB3E2"/>
            </w:tcBorders>
            <w:shd w:val="clear" w:color="000000" w:fill="4F81BD"/>
            <w:noWrap/>
            <w:vAlign w:val="center"/>
            <w:hideMark/>
          </w:tcPr>
          <w:p w14:paraId="55B81008" w14:textId="77777777" w:rsidR="002B243B" w:rsidRPr="002B243B" w:rsidRDefault="002B243B" w:rsidP="002B243B">
            <w:pPr>
              <w:spacing w:after="0" w:line="240" w:lineRule="auto"/>
              <w:jc w:val="center"/>
              <w:rPr>
                <w:rFonts w:ascii="Calibri" w:eastAsia="Times New Roman" w:hAnsi="Calibri" w:cs="Calibri"/>
                <w:b/>
                <w:bCs/>
                <w:color w:val="FFFFFF"/>
                <w:sz w:val="20"/>
                <w:szCs w:val="20"/>
                <w:lang w:val="es-CR" w:eastAsia="es-CR"/>
              </w:rPr>
            </w:pPr>
            <w:r w:rsidRPr="002B243B">
              <w:rPr>
                <w:rFonts w:ascii="Calibri" w:eastAsia="Times New Roman" w:hAnsi="Calibri" w:cs="Calibri"/>
                <w:b/>
                <w:bCs/>
                <w:color w:val="FFFFFF"/>
                <w:sz w:val="20"/>
                <w:szCs w:val="20"/>
                <w:lang w:val="es-CR" w:eastAsia="es-CR"/>
              </w:rPr>
              <w:t>Monto</w:t>
            </w:r>
          </w:p>
        </w:tc>
        <w:tc>
          <w:tcPr>
            <w:tcW w:w="705" w:type="dxa"/>
            <w:tcBorders>
              <w:top w:val="nil"/>
              <w:left w:val="nil"/>
              <w:bottom w:val="single" w:sz="8" w:space="0" w:color="8DB3E2"/>
              <w:right w:val="single" w:sz="8" w:space="0" w:color="8DB3E2"/>
            </w:tcBorders>
            <w:shd w:val="clear" w:color="000000" w:fill="4F81BD"/>
            <w:noWrap/>
            <w:vAlign w:val="center"/>
            <w:hideMark/>
          </w:tcPr>
          <w:p w14:paraId="114BD674" w14:textId="77777777" w:rsidR="002B243B" w:rsidRPr="002B243B" w:rsidRDefault="002B243B" w:rsidP="002B243B">
            <w:pPr>
              <w:spacing w:after="0" w:line="240" w:lineRule="auto"/>
              <w:jc w:val="center"/>
              <w:rPr>
                <w:rFonts w:ascii="Calibri" w:eastAsia="Times New Roman" w:hAnsi="Calibri" w:cs="Calibri"/>
                <w:b/>
                <w:bCs/>
                <w:color w:val="FFFFFF"/>
                <w:sz w:val="20"/>
                <w:szCs w:val="20"/>
                <w:lang w:val="es-CR" w:eastAsia="es-CR"/>
              </w:rPr>
            </w:pPr>
            <w:r w:rsidRPr="002B243B">
              <w:rPr>
                <w:rFonts w:ascii="Calibri" w:eastAsia="Times New Roman" w:hAnsi="Calibri" w:cs="Calibri"/>
                <w:b/>
                <w:bCs/>
                <w:color w:val="FFFFFF"/>
                <w:sz w:val="20"/>
                <w:szCs w:val="20"/>
                <w:lang w:val="es-CR" w:eastAsia="es-CR"/>
              </w:rPr>
              <w:t xml:space="preserve">% </w:t>
            </w:r>
          </w:p>
        </w:tc>
        <w:tc>
          <w:tcPr>
            <w:tcW w:w="947" w:type="dxa"/>
            <w:tcBorders>
              <w:top w:val="nil"/>
              <w:left w:val="nil"/>
              <w:bottom w:val="single" w:sz="8" w:space="0" w:color="8DB3E2"/>
              <w:right w:val="single" w:sz="8" w:space="0" w:color="8DB3E2"/>
            </w:tcBorders>
            <w:shd w:val="clear" w:color="000000" w:fill="4F81BD"/>
            <w:noWrap/>
            <w:vAlign w:val="center"/>
            <w:hideMark/>
          </w:tcPr>
          <w:p w14:paraId="256EE7ED" w14:textId="77777777" w:rsidR="002B243B" w:rsidRPr="002B243B" w:rsidRDefault="002B243B" w:rsidP="002B243B">
            <w:pPr>
              <w:spacing w:after="0" w:line="240" w:lineRule="auto"/>
              <w:jc w:val="center"/>
              <w:rPr>
                <w:rFonts w:ascii="Calibri" w:eastAsia="Times New Roman" w:hAnsi="Calibri" w:cs="Calibri"/>
                <w:b/>
                <w:bCs/>
                <w:color w:val="FFFFFF"/>
                <w:sz w:val="20"/>
                <w:szCs w:val="20"/>
                <w:lang w:val="es-CR" w:eastAsia="es-CR"/>
              </w:rPr>
            </w:pPr>
            <w:r w:rsidRPr="002B243B">
              <w:rPr>
                <w:rFonts w:ascii="Calibri" w:eastAsia="Times New Roman" w:hAnsi="Calibri" w:cs="Calibri"/>
                <w:b/>
                <w:bCs/>
                <w:color w:val="FFFFFF"/>
                <w:sz w:val="20"/>
                <w:szCs w:val="20"/>
                <w:lang w:val="es-CR" w:eastAsia="es-CR"/>
              </w:rPr>
              <w:t>Monto</w:t>
            </w:r>
          </w:p>
        </w:tc>
        <w:tc>
          <w:tcPr>
            <w:tcW w:w="705" w:type="dxa"/>
            <w:tcBorders>
              <w:top w:val="nil"/>
              <w:left w:val="nil"/>
              <w:bottom w:val="single" w:sz="8" w:space="0" w:color="8DB3E2"/>
              <w:right w:val="single" w:sz="8" w:space="0" w:color="8DB3E2"/>
            </w:tcBorders>
            <w:shd w:val="clear" w:color="000000" w:fill="4F81BD"/>
            <w:noWrap/>
            <w:vAlign w:val="center"/>
            <w:hideMark/>
          </w:tcPr>
          <w:p w14:paraId="2AC42306" w14:textId="77777777" w:rsidR="002B243B" w:rsidRPr="002B243B" w:rsidRDefault="002B243B" w:rsidP="002B243B">
            <w:pPr>
              <w:spacing w:after="0" w:line="240" w:lineRule="auto"/>
              <w:jc w:val="center"/>
              <w:rPr>
                <w:rFonts w:ascii="Calibri" w:eastAsia="Times New Roman" w:hAnsi="Calibri" w:cs="Calibri"/>
                <w:b/>
                <w:bCs/>
                <w:color w:val="FFFFFF"/>
                <w:sz w:val="20"/>
                <w:szCs w:val="20"/>
                <w:lang w:val="es-CR" w:eastAsia="es-CR"/>
              </w:rPr>
            </w:pPr>
            <w:r w:rsidRPr="002B243B">
              <w:rPr>
                <w:rFonts w:ascii="Calibri" w:eastAsia="Times New Roman" w:hAnsi="Calibri" w:cs="Calibri"/>
                <w:b/>
                <w:bCs/>
                <w:color w:val="FFFFFF"/>
                <w:sz w:val="20"/>
                <w:szCs w:val="20"/>
                <w:lang w:val="es-CR" w:eastAsia="es-CR"/>
              </w:rPr>
              <w:t xml:space="preserve">% </w:t>
            </w:r>
          </w:p>
        </w:tc>
        <w:tc>
          <w:tcPr>
            <w:tcW w:w="1074" w:type="dxa"/>
            <w:tcBorders>
              <w:top w:val="nil"/>
              <w:left w:val="nil"/>
              <w:bottom w:val="single" w:sz="8" w:space="0" w:color="8DB3E2"/>
              <w:right w:val="single" w:sz="8" w:space="0" w:color="8DB3E2"/>
            </w:tcBorders>
            <w:shd w:val="clear" w:color="000000" w:fill="4F81BD"/>
            <w:noWrap/>
            <w:vAlign w:val="center"/>
            <w:hideMark/>
          </w:tcPr>
          <w:p w14:paraId="4180724C" w14:textId="77777777" w:rsidR="002B243B" w:rsidRPr="002B243B" w:rsidRDefault="002B243B" w:rsidP="002B243B">
            <w:pPr>
              <w:spacing w:after="0" w:line="240" w:lineRule="auto"/>
              <w:jc w:val="center"/>
              <w:rPr>
                <w:rFonts w:ascii="Calibri" w:eastAsia="Times New Roman" w:hAnsi="Calibri" w:cs="Calibri"/>
                <w:b/>
                <w:bCs/>
                <w:color w:val="FFFFFF"/>
                <w:sz w:val="20"/>
                <w:szCs w:val="20"/>
                <w:lang w:val="es-CR" w:eastAsia="es-CR"/>
              </w:rPr>
            </w:pPr>
            <w:r w:rsidRPr="002B243B">
              <w:rPr>
                <w:rFonts w:ascii="Calibri" w:eastAsia="Times New Roman" w:hAnsi="Calibri" w:cs="Calibri"/>
                <w:b/>
                <w:bCs/>
                <w:color w:val="FFFFFF"/>
                <w:sz w:val="20"/>
                <w:szCs w:val="20"/>
                <w:lang w:val="es-CR" w:eastAsia="es-CR"/>
              </w:rPr>
              <w:t>Monto</w:t>
            </w:r>
          </w:p>
        </w:tc>
        <w:tc>
          <w:tcPr>
            <w:tcW w:w="705" w:type="dxa"/>
            <w:tcBorders>
              <w:top w:val="nil"/>
              <w:left w:val="nil"/>
              <w:bottom w:val="single" w:sz="8" w:space="0" w:color="8DB3E2"/>
              <w:right w:val="single" w:sz="8" w:space="0" w:color="8DB3E2"/>
            </w:tcBorders>
            <w:shd w:val="clear" w:color="000000" w:fill="4F81BD"/>
            <w:noWrap/>
            <w:vAlign w:val="center"/>
            <w:hideMark/>
          </w:tcPr>
          <w:p w14:paraId="77ADB4A2" w14:textId="77777777" w:rsidR="002B243B" w:rsidRPr="002B243B" w:rsidRDefault="002B243B" w:rsidP="002B243B">
            <w:pPr>
              <w:spacing w:after="0" w:line="240" w:lineRule="auto"/>
              <w:jc w:val="center"/>
              <w:rPr>
                <w:rFonts w:ascii="Calibri" w:eastAsia="Times New Roman" w:hAnsi="Calibri" w:cs="Calibri"/>
                <w:b/>
                <w:bCs/>
                <w:color w:val="FFFFFF"/>
                <w:sz w:val="20"/>
                <w:szCs w:val="20"/>
                <w:lang w:val="es-CR" w:eastAsia="es-CR"/>
              </w:rPr>
            </w:pPr>
            <w:r w:rsidRPr="002B243B">
              <w:rPr>
                <w:rFonts w:ascii="Calibri" w:eastAsia="Times New Roman" w:hAnsi="Calibri" w:cs="Calibri"/>
                <w:b/>
                <w:bCs/>
                <w:color w:val="FFFFFF"/>
                <w:sz w:val="20"/>
                <w:szCs w:val="20"/>
                <w:lang w:val="es-CR" w:eastAsia="es-CR"/>
              </w:rPr>
              <w:t xml:space="preserve">% </w:t>
            </w:r>
          </w:p>
        </w:tc>
      </w:tr>
      <w:tr w:rsidR="002B243B" w:rsidRPr="002B243B" w14:paraId="333FFCFE" w14:textId="77777777" w:rsidTr="002B243B">
        <w:trPr>
          <w:trHeight w:val="225"/>
          <w:jc w:val="center"/>
        </w:trPr>
        <w:tc>
          <w:tcPr>
            <w:tcW w:w="2183" w:type="dxa"/>
            <w:tcBorders>
              <w:top w:val="nil"/>
              <w:left w:val="single" w:sz="8" w:space="0" w:color="8DB3E2"/>
              <w:bottom w:val="single" w:sz="8" w:space="0" w:color="95B3D7"/>
              <w:right w:val="single" w:sz="8" w:space="0" w:color="8DB3E2"/>
            </w:tcBorders>
            <w:shd w:val="clear" w:color="auto" w:fill="auto"/>
            <w:noWrap/>
            <w:vAlign w:val="center"/>
            <w:hideMark/>
          </w:tcPr>
          <w:p w14:paraId="0002BA14" w14:textId="77777777" w:rsidR="002B243B" w:rsidRPr="002B243B" w:rsidRDefault="002B243B" w:rsidP="002B243B">
            <w:pPr>
              <w:spacing w:after="0" w:line="240" w:lineRule="auto"/>
              <w:rPr>
                <w:rFonts w:ascii="Calibri" w:eastAsia="Times New Roman" w:hAnsi="Calibri" w:cs="Calibri"/>
                <w:b/>
                <w:bCs/>
                <w:color w:val="000000"/>
                <w:sz w:val="20"/>
                <w:szCs w:val="20"/>
                <w:lang w:val="es-CR" w:eastAsia="es-CR"/>
              </w:rPr>
            </w:pPr>
            <w:r w:rsidRPr="002B243B">
              <w:rPr>
                <w:rFonts w:ascii="Calibri" w:eastAsia="Times New Roman" w:hAnsi="Calibri" w:cs="Calibri"/>
                <w:b/>
                <w:bCs/>
                <w:color w:val="000000"/>
                <w:sz w:val="20"/>
                <w:szCs w:val="20"/>
                <w:lang w:eastAsia="es-CR"/>
              </w:rPr>
              <w:t xml:space="preserve"> Sector Extranjero </w:t>
            </w:r>
          </w:p>
        </w:tc>
        <w:tc>
          <w:tcPr>
            <w:tcW w:w="1016" w:type="dxa"/>
            <w:tcBorders>
              <w:top w:val="nil"/>
              <w:left w:val="nil"/>
              <w:bottom w:val="single" w:sz="8" w:space="0" w:color="95B3D7"/>
              <w:right w:val="single" w:sz="8" w:space="0" w:color="8DB3E2"/>
            </w:tcBorders>
            <w:shd w:val="clear" w:color="auto" w:fill="auto"/>
            <w:noWrap/>
            <w:vAlign w:val="center"/>
            <w:hideMark/>
          </w:tcPr>
          <w:p w14:paraId="03A93C47" w14:textId="77777777" w:rsidR="002B243B" w:rsidRPr="002B243B" w:rsidRDefault="002B243B" w:rsidP="002B243B">
            <w:pPr>
              <w:spacing w:after="0" w:line="240" w:lineRule="auto"/>
              <w:jc w:val="right"/>
              <w:rPr>
                <w:rFonts w:ascii="Calibri" w:eastAsia="Times New Roman" w:hAnsi="Calibri" w:cs="Calibri"/>
                <w:b/>
                <w:bCs/>
                <w:color w:val="000000"/>
                <w:sz w:val="20"/>
                <w:szCs w:val="20"/>
                <w:lang w:val="es-CR" w:eastAsia="es-CR"/>
              </w:rPr>
            </w:pPr>
            <w:r w:rsidRPr="002B243B">
              <w:rPr>
                <w:rFonts w:ascii="Calibri" w:eastAsia="Times New Roman" w:hAnsi="Calibri" w:cs="Calibri"/>
                <w:b/>
                <w:bCs/>
                <w:color w:val="000000"/>
                <w:sz w:val="20"/>
                <w:szCs w:val="20"/>
                <w:lang w:eastAsia="es-CR"/>
              </w:rPr>
              <w:t>755 340</w:t>
            </w:r>
          </w:p>
        </w:tc>
        <w:tc>
          <w:tcPr>
            <w:tcW w:w="705" w:type="dxa"/>
            <w:tcBorders>
              <w:top w:val="nil"/>
              <w:left w:val="nil"/>
              <w:bottom w:val="single" w:sz="8" w:space="0" w:color="95B3D7"/>
              <w:right w:val="single" w:sz="8" w:space="0" w:color="8DB3E2"/>
            </w:tcBorders>
            <w:shd w:val="clear" w:color="auto" w:fill="auto"/>
            <w:noWrap/>
            <w:vAlign w:val="center"/>
            <w:hideMark/>
          </w:tcPr>
          <w:p w14:paraId="0E7A2D50" w14:textId="77777777" w:rsidR="002B243B" w:rsidRPr="002B243B" w:rsidRDefault="002B243B" w:rsidP="002B243B">
            <w:pPr>
              <w:spacing w:after="0" w:line="240" w:lineRule="auto"/>
              <w:jc w:val="right"/>
              <w:rPr>
                <w:rFonts w:ascii="Calibri" w:eastAsia="Times New Roman" w:hAnsi="Calibri" w:cs="Calibri"/>
                <w:b/>
                <w:bCs/>
                <w:color w:val="000000"/>
                <w:sz w:val="20"/>
                <w:szCs w:val="20"/>
                <w:lang w:val="es-CR" w:eastAsia="es-CR"/>
              </w:rPr>
            </w:pPr>
            <w:r w:rsidRPr="002B243B">
              <w:rPr>
                <w:rFonts w:ascii="Calibri" w:eastAsia="Times New Roman" w:hAnsi="Calibri" w:cs="Calibri"/>
                <w:b/>
                <w:bCs/>
                <w:color w:val="000000"/>
                <w:sz w:val="20"/>
                <w:szCs w:val="20"/>
                <w:lang w:eastAsia="es-CR"/>
              </w:rPr>
              <w:t>12,7%</w:t>
            </w:r>
          </w:p>
        </w:tc>
        <w:tc>
          <w:tcPr>
            <w:tcW w:w="947" w:type="dxa"/>
            <w:tcBorders>
              <w:top w:val="nil"/>
              <w:left w:val="nil"/>
              <w:bottom w:val="single" w:sz="8" w:space="0" w:color="95B3D7"/>
              <w:right w:val="single" w:sz="8" w:space="0" w:color="8DB3E2"/>
            </w:tcBorders>
            <w:shd w:val="clear" w:color="auto" w:fill="auto"/>
            <w:noWrap/>
            <w:vAlign w:val="center"/>
            <w:hideMark/>
          </w:tcPr>
          <w:p w14:paraId="00291C3F" w14:textId="77777777" w:rsidR="002B243B" w:rsidRPr="002B243B" w:rsidRDefault="002B243B" w:rsidP="002B243B">
            <w:pPr>
              <w:spacing w:after="0" w:line="240" w:lineRule="auto"/>
              <w:jc w:val="right"/>
              <w:rPr>
                <w:rFonts w:ascii="Calibri" w:eastAsia="Times New Roman" w:hAnsi="Calibri" w:cs="Calibri"/>
                <w:b/>
                <w:bCs/>
                <w:color w:val="000000"/>
                <w:sz w:val="20"/>
                <w:szCs w:val="20"/>
                <w:lang w:val="es-CR" w:eastAsia="es-CR"/>
              </w:rPr>
            </w:pPr>
            <w:r w:rsidRPr="002B243B">
              <w:rPr>
                <w:rFonts w:ascii="Calibri" w:eastAsia="Times New Roman" w:hAnsi="Calibri" w:cs="Calibri"/>
                <w:b/>
                <w:bCs/>
                <w:color w:val="000000"/>
                <w:sz w:val="20"/>
                <w:szCs w:val="20"/>
                <w:lang w:eastAsia="es-CR"/>
              </w:rPr>
              <w:t>777 830</w:t>
            </w:r>
          </w:p>
        </w:tc>
        <w:tc>
          <w:tcPr>
            <w:tcW w:w="705" w:type="dxa"/>
            <w:tcBorders>
              <w:top w:val="nil"/>
              <w:left w:val="nil"/>
              <w:bottom w:val="single" w:sz="8" w:space="0" w:color="95B3D7"/>
              <w:right w:val="single" w:sz="8" w:space="0" w:color="8DB3E2"/>
            </w:tcBorders>
            <w:shd w:val="clear" w:color="auto" w:fill="auto"/>
            <w:noWrap/>
            <w:vAlign w:val="center"/>
            <w:hideMark/>
          </w:tcPr>
          <w:p w14:paraId="442D5083" w14:textId="77777777" w:rsidR="002B243B" w:rsidRPr="002B243B" w:rsidRDefault="002B243B" w:rsidP="002B243B">
            <w:pPr>
              <w:spacing w:after="0" w:line="240" w:lineRule="auto"/>
              <w:jc w:val="right"/>
              <w:rPr>
                <w:rFonts w:ascii="Calibri" w:eastAsia="Times New Roman" w:hAnsi="Calibri" w:cs="Calibri"/>
                <w:b/>
                <w:bCs/>
                <w:color w:val="000000"/>
                <w:sz w:val="20"/>
                <w:szCs w:val="20"/>
                <w:lang w:val="es-CR" w:eastAsia="es-CR"/>
              </w:rPr>
            </w:pPr>
            <w:r w:rsidRPr="002B243B">
              <w:rPr>
                <w:rFonts w:ascii="Calibri" w:eastAsia="Times New Roman" w:hAnsi="Calibri" w:cs="Calibri"/>
                <w:b/>
                <w:bCs/>
                <w:color w:val="000000"/>
                <w:sz w:val="20"/>
                <w:szCs w:val="20"/>
                <w:lang w:eastAsia="es-CR"/>
              </w:rPr>
              <w:t>11,1%</w:t>
            </w:r>
          </w:p>
        </w:tc>
        <w:tc>
          <w:tcPr>
            <w:tcW w:w="1074" w:type="dxa"/>
            <w:tcBorders>
              <w:top w:val="nil"/>
              <w:left w:val="nil"/>
              <w:bottom w:val="single" w:sz="8" w:space="0" w:color="95B3D7"/>
              <w:right w:val="single" w:sz="8" w:space="0" w:color="8DB3E2"/>
            </w:tcBorders>
            <w:shd w:val="clear" w:color="auto" w:fill="auto"/>
            <w:noWrap/>
            <w:vAlign w:val="center"/>
            <w:hideMark/>
          </w:tcPr>
          <w:p w14:paraId="19769134" w14:textId="77777777" w:rsidR="002B243B" w:rsidRPr="002B243B" w:rsidRDefault="002B243B" w:rsidP="002B243B">
            <w:pPr>
              <w:spacing w:after="0" w:line="240" w:lineRule="auto"/>
              <w:jc w:val="right"/>
              <w:rPr>
                <w:rFonts w:ascii="Calibri" w:eastAsia="Times New Roman" w:hAnsi="Calibri" w:cs="Calibri"/>
                <w:b/>
                <w:bCs/>
                <w:color w:val="000000"/>
                <w:sz w:val="20"/>
                <w:szCs w:val="20"/>
                <w:lang w:val="es-CR" w:eastAsia="es-CR"/>
              </w:rPr>
            </w:pPr>
            <w:r w:rsidRPr="002B243B">
              <w:rPr>
                <w:rFonts w:ascii="Calibri" w:eastAsia="Times New Roman" w:hAnsi="Calibri" w:cs="Calibri"/>
                <w:b/>
                <w:bCs/>
                <w:color w:val="000000"/>
                <w:sz w:val="20"/>
                <w:szCs w:val="20"/>
                <w:lang w:eastAsia="es-CR"/>
              </w:rPr>
              <w:t>1 983 621</w:t>
            </w:r>
          </w:p>
        </w:tc>
        <w:tc>
          <w:tcPr>
            <w:tcW w:w="705" w:type="dxa"/>
            <w:tcBorders>
              <w:top w:val="nil"/>
              <w:left w:val="nil"/>
              <w:bottom w:val="single" w:sz="8" w:space="0" w:color="95B3D7"/>
              <w:right w:val="single" w:sz="8" w:space="0" w:color="8DB3E2"/>
            </w:tcBorders>
            <w:shd w:val="clear" w:color="auto" w:fill="auto"/>
            <w:noWrap/>
            <w:vAlign w:val="center"/>
            <w:hideMark/>
          </w:tcPr>
          <w:p w14:paraId="74AD310F" w14:textId="77777777" w:rsidR="002B243B" w:rsidRPr="002B243B" w:rsidRDefault="002B243B" w:rsidP="002B243B">
            <w:pPr>
              <w:spacing w:after="0" w:line="240" w:lineRule="auto"/>
              <w:jc w:val="right"/>
              <w:rPr>
                <w:rFonts w:ascii="Calibri" w:eastAsia="Times New Roman" w:hAnsi="Calibri" w:cs="Calibri"/>
                <w:b/>
                <w:bCs/>
                <w:color w:val="000000"/>
                <w:sz w:val="20"/>
                <w:szCs w:val="20"/>
                <w:lang w:val="es-CR" w:eastAsia="es-CR"/>
              </w:rPr>
            </w:pPr>
            <w:r w:rsidRPr="002B243B">
              <w:rPr>
                <w:rFonts w:ascii="Calibri" w:eastAsia="Times New Roman" w:hAnsi="Calibri" w:cs="Calibri"/>
                <w:b/>
                <w:bCs/>
                <w:color w:val="000000"/>
                <w:sz w:val="20"/>
                <w:szCs w:val="20"/>
                <w:lang w:eastAsia="es-CR"/>
              </w:rPr>
              <w:t>23,9%</w:t>
            </w:r>
          </w:p>
        </w:tc>
      </w:tr>
      <w:tr w:rsidR="002B243B" w:rsidRPr="002B243B" w14:paraId="05565FA1" w14:textId="77777777" w:rsidTr="002B243B">
        <w:trPr>
          <w:trHeight w:val="225"/>
          <w:jc w:val="center"/>
        </w:trPr>
        <w:tc>
          <w:tcPr>
            <w:tcW w:w="2183" w:type="dxa"/>
            <w:tcBorders>
              <w:top w:val="nil"/>
              <w:left w:val="single" w:sz="8" w:space="0" w:color="8DB3E2"/>
              <w:bottom w:val="single" w:sz="8" w:space="0" w:color="95B3D7"/>
              <w:right w:val="single" w:sz="8" w:space="0" w:color="8DB3E2"/>
            </w:tcBorders>
            <w:shd w:val="clear" w:color="000000" w:fill="DBE5F1"/>
            <w:noWrap/>
            <w:vAlign w:val="center"/>
            <w:hideMark/>
          </w:tcPr>
          <w:p w14:paraId="38D96F85" w14:textId="77777777" w:rsidR="002B243B" w:rsidRPr="002B243B" w:rsidRDefault="002B243B" w:rsidP="002B243B">
            <w:pPr>
              <w:spacing w:after="0" w:line="240" w:lineRule="auto"/>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 xml:space="preserve">        BCR Pensión</w:t>
            </w:r>
          </w:p>
        </w:tc>
        <w:tc>
          <w:tcPr>
            <w:tcW w:w="1016" w:type="dxa"/>
            <w:tcBorders>
              <w:top w:val="nil"/>
              <w:left w:val="nil"/>
              <w:bottom w:val="single" w:sz="8" w:space="0" w:color="95B3D7"/>
              <w:right w:val="single" w:sz="8" w:space="0" w:color="8DB3E2"/>
            </w:tcBorders>
            <w:shd w:val="clear" w:color="000000" w:fill="DBE5F1"/>
            <w:noWrap/>
            <w:vAlign w:val="center"/>
            <w:hideMark/>
          </w:tcPr>
          <w:p w14:paraId="08981397"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39 297</w:t>
            </w:r>
          </w:p>
        </w:tc>
        <w:tc>
          <w:tcPr>
            <w:tcW w:w="705" w:type="dxa"/>
            <w:tcBorders>
              <w:top w:val="nil"/>
              <w:left w:val="nil"/>
              <w:bottom w:val="single" w:sz="8" w:space="0" w:color="95B3D7"/>
              <w:right w:val="single" w:sz="8" w:space="0" w:color="8DB3E2"/>
            </w:tcBorders>
            <w:shd w:val="clear" w:color="000000" w:fill="DBE5F1"/>
            <w:noWrap/>
            <w:vAlign w:val="center"/>
            <w:hideMark/>
          </w:tcPr>
          <w:p w14:paraId="4D344C44"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val="es-CR" w:eastAsia="es-CR"/>
              </w:rPr>
              <w:t>4,5%</w:t>
            </w:r>
          </w:p>
        </w:tc>
        <w:tc>
          <w:tcPr>
            <w:tcW w:w="947" w:type="dxa"/>
            <w:tcBorders>
              <w:top w:val="nil"/>
              <w:left w:val="nil"/>
              <w:bottom w:val="single" w:sz="8" w:space="0" w:color="95B3D7"/>
              <w:right w:val="single" w:sz="8" w:space="0" w:color="8DB3E2"/>
            </w:tcBorders>
            <w:shd w:val="clear" w:color="000000" w:fill="DBE5F1"/>
            <w:noWrap/>
            <w:vAlign w:val="center"/>
            <w:hideMark/>
          </w:tcPr>
          <w:p w14:paraId="6A5EA052"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42 294</w:t>
            </w:r>
          </w:p>
        </w:tc>
        <w:tc>
          <w:tcPr>
            <w:tcW w:w="705" w:type="dxa"/>
            <w:tcBorders>
              <w:top w:val="nil"/>
              <w:left w:val="nil"/>
              <w:bottom w:val="single" w:sz="8" w:space="0" w:color="95B3D7"/>
              <w:right w:val="single" w:sz="8" w:space="0" w:color="8DB3E2"/>
            </w:tcBorders>
            <w:shd w:val="clear" w:color="000000" w:fill="DBE5F1"/>
            <w:noWrap/>
            <w:vAlign w:val="center"/>
            <w:hideMark/>
          </w:tcPr>
          <w:p w14:paraId="4B395EE7"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val="es-CR" w:eastAsia="es-CR"/>
              </w:rPr>
              <w:t>4,1%</w:t>
            </w:r>
          </w:p>
        </w:tc>
        <w:tc>
          <w:tcPr>
            <w:tcW w:w="1074" w:type="dxa"/>
            <w:tcBorders>
              <w:top w:val="nil"/>
              <w:left w:val="nil"/>
              <w:bottom w:val="single" w:sz="8" w:space="0" w:color="95B3D7"/>
              <w:right w:val="single" w:sz="8" w:space="0" w:color="8DB3E2"/>
            </w:tcBorders>
            <w:shd w:val="clear" w:color="000000" w:fill="DBE5F1"/>
            <w:noWrap/>
            <w:vAlign w:val="center"/>
            <w:hideMark/>
          </w:tcPr>
          <w:p w14:paraId="72FA9A15"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102 315</w:t>
            </w:r>
          </w:p>
        </w:tc>
        <w:tc>
          <w:tcPr>
            <w:tcW w:w="705" w:type="dxa"/>
            <w:tcBorders>
              <w:top w:val="nil"/>
              <w:left w:val="nil"/>
              <w:bottom w:val="single" w:sz="8" w:space="0" w:color="95B3D7"/>
              <w:right w:val="single" w:sz="8" w:space="0" w:color="8DB3E2"/>
            </w:tcBorders>
            <w:shd w:val="clear" w:color="000000" w:fill="DBE5F1"/>
            <w:noWrap/>
            <w:vAlign w:val="center"/>
            <w:hideMark/>
          </w:tcPr>
          <w:p w14:paraId="12F6137D"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8,9%</w:t>
            </w:r>
          </w:p>
        </w:tc>
      </w:tr>
      <w:tr w:rsidR="002B243B" w:rsidRPr="002B243B" w14:paraId="5D32521B" w14:textId="77777777" w:rsidTr="002B243B">
        <w:trPr>
          <w:trHeight w:val="225"/>
          <w:jc w:val="center"/>
        </w:trPr>
        <w:tc>
          <w:tcPr>
            <w:tcW w:w="2183" w:type="dxa"/>
            <w:tcBorders>
              <w:top w:val="nil"/>
              <w:left w:val="single" w:sz="8" w:space="0" w:color="8DB3E2"/>
              <w:bottom w:val="single" w:sz="8" w:space="0" w:color="95B3D7"/>
              <w:right w:val="single" w:sz="8" w:space="0" w:color="8DB3E2"/>
            </w:tcBorders>
            <w:shd w:val="clear" w:color="auto" w:fill="auto"/>
            <w:noWrap/>
            <w:vAlign w:val="center"/>
            <w:hideMark/>
          </w:tcPr>
          <w:p w14:paraId="5D9F6653" w14:textId="77777777" w:rsidR="002B243B" w:rsidRPr="002B243B" w:rsidRDefault="002B243B" w:rsidP="002B243B">
            <w:pPr>
              <w:spacing w:after="0" w:line="240" w:lineRule="auto"/>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 xml:space="preserve">        BN Vital </w:t>
            </w:r>
          </w:p>
        </w:tc>
        <w:tc>
          <w:tcPr>
            <w:tcW w:w="1016" w:type="dxa"/>
            <w:tcBorders>
              <w:top w:val="nil"/>
              <w:left w:val="nil"/>
              <w:bottom w:val="single" w:sz="8" w:space="0" w:color="95B3D7"/>
              <w:right w:val="single" w:sz="8" w:space="0" w:color="8DB3E2"/>
            </w:tcBorders>
            <w:shd w:val="clear" w:color="auto" w:fill="auto"/>
            <w:noWrap/>
            <w:vAlign w:val="center"/>
            <w:hideMark/>
          </w:tcPr>
          <w:p w14:paraId="472558E4"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52 824</w:t>
            </w:r>
          </w:p>
        </w:tc>
        <w:tc>
          <w:tcPr>
            <w:tcW w:w="705" w:type="dxa"/>
            <w:tcBorders>
              <w:top w:val="nil"/>
              <w:left w:val="nil"/>
              <w:bottom w:val="single" w:sz="8" w:space="0" w:color="95B3D7"/>
              <w:right w:val="single" w:sz="8" w:space="0" w:color="8DB3E2"/>
            </w:tcBorders>
            <w:shd w:val="clear" w:color="auto" w:fill="auto"/>
            <w:noWrap/>
            <w:vAlign w:val="center"/>
            <w:hideMark/>
          </w:tcPr>
          <w:p w14:paraId="7ECFFB64"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4,3%</w:t>
            </w:r>
          </w:p>
        </w:tc>
        <w:tc>
          <w:tcPr>
            <w:tcW w:w="947" w:type="dxa"/>
            <w:tcBorders>
              <w:top w:val="nil"/>
              <w:left w:val="nil"/>
              <w:bottom w:val="single" w:sz="8" w:space="0" w:color="95B3D7"/>
              <w:right w:val="single" w:sz="8" w:space="0" w:color="8DB3E2"/>
            </w:tcBorders>
            <w:shd w:val="clear" w:color="auto" w:fill="auto"/>
            <w:noWrap/>
            <w:vAlign w:val="center"/>
            <w:hideMark/>
          </w:tcPr>
          <w:p w14:paraId="0BEC1FFF"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49 197</w:t>
            </w:r>
          </w:p>
        </w:tc>
        <w:tc>
          <w:tcPr>
            <w:tcW w:w="705" w:type="dxa"/>
            <w:tcBorders>
              <w:top w:val="nil"/>
              <w:left w:val="nil"/>
              <w:bottom w:val="single" w:sz="8" w:space="0" w:color="95B3D7"/>
              <w:right w:val="single" w:sz="8" w:space="0" w:color="8DB3E2"/>
            </w:tcBorders>
            <w:shd w:val="clear" w:color="auto" w:fill="auto"/>
            <w:noWrap/>
            <w:vAlign w:val="center"/>
            <w:hideMark/>
          </w:tcPr>
          <w:p w14:paraId="7C942611"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3,4%</w:t>
            </w:r>
          </w:p>
        </w:tc>
        <w:tc>
          <w:tcPr>
            <w:tcW w:w="1074" w:type="dxa"/>
            <w:tcBorders>
              <w:top w:val="nil"/>
              <w:left w:val="nil"/>
              <w:bottom w:val="single" w:sz="8" w:space="0" w:color="95B3D7"/>
              <w:right w:val="single" w:sz="8" w:space="0" w:color="8DB3E2"/>
            </w:tcBorders>
            <w:shd w:val="clear" w:color="auto" w:fill="auto"/>
            <w:noWrap/>
            <w:vAlign w:val="center"/>
            <w:hideMark/>
          </w:tcPr>
          <w:p w14:paraId="5A854F5D"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288 232</w:t>
            </w:r>
          </w:p>
        </w:tc>
        <w:tc>
          <w:tcPr>
            <w:tcW w:w="705" w:type="dxa"/>
            <w:tcBorders>
              <w:top w:val="nil"/>
              <w:left w:val="nil"/>
              <w:bottom w:val="single" w:sz="8" w:space="0" w:color="95B3D7"/>
              <w:right w:val="single" w:sz="8" w:space="0" w:color="8DB3E2"/>
            </w:tcBorders>
            <w:shd w:val="clear" w:color="auto" w:fill="auto"/>
            <w:noWrap/>
            <w:vAlign w:val="center"/>
            <w:hideMark/>
          </w:tcPr>
          <w:p w14:paraId="47427FEC"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17,5%</w:t>
            </w:r>
          </w:p>
        </w:tc>
      </w:tr>
      <w:tr w:rsidR="002B243B" w:rsidRPr="002B243B" w14:paraId="7368FF04" w14:textId="77777777" w:rsidTr="002B243B">
        <w:trPr>
          <w:trHeight w:val="225"/>
          <w:jc w:val="center"/>
        </w:trPr>
        <w:tc>
          <w:tcPr>
            <w:tcW w:w="2183" w:type="dxa"/>
            <w:tcBorders>
              <w:top w:val="nil"/>
              <w:left w:val="single" w:sz="8" w:space="0" w:color="8DB3E2"/>
              <w:bottom w:val="single" w:sz="8" w:space="0" w:color="95B3D7"/>
              <w:right w:val="single" w:sz="8" w:space="0" w:color="8DB3E2"/>
            </w:tcBorders>
            <w:shd w:val="clear" w:color="000000" w:fill="DBE5F1"/>
            <w:noWrap/>
            <w:vAlign w:val="center"/>
            <w:hideMark/>
          </w:tcPr>
          <w:p w14:paraId="6E84B9AF" w14:textId="77777777" w:rsidR="002B243B" w:rsidRPr="002B243B" w:rsidRDefault="002B243B" w:rsidP="002B243B">
            <w:pPr>
              <w:spacing w:after="0" w:line="240" w:lineRule="auto"/>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 xml:space="preserve">        CCSS-OPC </w:t>
            </w:r>
          </w:p>
        </w:tc>
        <w:tc>
          <w:tcPr>
            <w:tcW w:w="1016" w:type="dxa"/>
            <w:tcBorders>
              <w:top w:val="nil"/>
              <w:left w:val="nil"/>
              <w:bottom w:val="single" w:sz="8" w:space="0" w:color="95B3D7"/>
              <w:right w:val="single" w:sz="8" w:space="0" w:color="8DB3E2"/>
            </w:tcBorders>
            <w:shd w:val="clear" w:color="000000" w:fill="DBE5F1"/>
            <w:noWrap/>
            <w:vAlign w:val="center"/>
            <w:hideMark/>
          </w:tcPr>
          <w:p w14:paraId="74D473A5"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37 420</w:t>
            </w:r>
          </w:p>
        </w:tc>
        <w:tc>
          <w:tcPr>
            <w:tcW w:w="705" w:type="dxa"/>
            <w:tcBorders>
              <w:top w:val="nil"/>
              <w:left w:val="nil"/>
              <w:bottom w:val="single" w:sz="8" w:space="0" w:color="95B3D7"/>
              <w:right w:val="single" w:sz="8" w:space="0" w:color="8DB3E2"/>
            </w:tcBorders>
            <w:shd w:val="clear" w:color="000000" w:fill="DBE5F1"/>
            <w:noWrap/>
            <w:vAlign w:val="center"/>
            <w:hideMark/>
          </w:tcPr>
          <w:p w14:paraId="15657190"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19,2%</w:t>
            </w:r>
          </w:p>
        </w:tc>
        <w:tc>
          <w:tcPr>
            <w:tcW w:w="947" w:type="dxa"/>
            <w:tcBorders>
              <w:top w:val="nil"/>
              <w:left w:val="nil"/>
              <w:bottom w:val="single" w:sz="8" w:space="0" w:color="95B3D7"/>
              <w:right w:val="single" w:sz="8" w:space="0" w:color="8DB3E2"/>
            </w:tcBorders>
            <w:shd w:val="clear" w:color="000000" w:fill="DBE5F1"/>
            <w:noWrap/>
            <w:vAlign w:val="center"/>
            <w:hideMark/>
          </w:tcPr>
          <w:p w14:paraId="6FC25516"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34 138</w:t>
            </w:r>
          </w:p>
        </w:tc>
        <w:tc>
          <w:tcPr>
            <w:tcW w:w="705" w:type="dxa"/>
            <w:tcBorders>
              <w:top w:val="nil"/>
              <w:left w:val="nil"/>
              <w:bottom w:val="single" w:sz="8" w:space="0" w:color="95B3D7"/>
              <w:right w:val="single" w:sz="8" w:space="0" w:color="8DB3E2"/>
            </w:tcBorders>
            <w:shd w:val="clear" w:color="000000" w:fill="DBE5F1"/>
            <w:noWrap/>
            <w:vAlign w:val="center"/>
            <w:hideMark/>
          </w:tcPr>
          <w:p w14:paraId="0D471A8A"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16,0%</w:t>
            </w:r>
          </w:p>
        </w:tc>
        <w:tc>
          <w:tcPr>
            <w:tcW w:w="1074" w:type="dxa"/>
            <w:tcBorders>
              <w:top w:val="nil"/>
              <w:left w:val="nil"/>
              <w:bottom w:val="single" w:sz="8" w:space="0" w:color="95B3D7"/>
              <w:right w:val="single" w:sz="8" w:space="0" w:color="8DB3E2"/>
            </w:tcBorders>
            <w:shd w:val="clear" w:color="000000" w:fill="DBE5F1"/>
            <w:noWrap/>
            <w:vAlign w:val="center"/>
            <w:hideMark/>
          </w:tcPr>
          <w:p w14:paraId="7BD1E92F"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59 972</w:t>
            </w:r>
          </w:p>
        </w:tc>
        <w:tc>
          <w:tcPr>
            <w:tcW w:w="705" w:type="dxa"/>
            <w:tcBorders>
              <w:top w:val="nil"/>
              <w:left w:val="nil"/>
              <w:bottom w:val="single" w:sz="8" w:space="0" w:color="95B3D7"/>
              <w:right w:val="single" w:sz="8" w:space="0" w:color="8DB3E2"/>
            </w:tcBorders>
            <w:shd w:val="clear" w:color="000000" w:fill="DBE5F1"/>
            <w:noWrap/>
            <w:vAlign w:val="center"/>
            <w:hideMark/>
          </w:tcPr>
          <w:p w14:paraId="3EEBB419"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23,4%</w:t>
            </w:r>
          </w:p>
        </w:tc>
      </w:tr>
      <w:tr w:rsidR="002B243B" w:rsidRPr="002B243B" w14:paraId="3E23E7B3" w14:textId="77777777" w:rsidTr="002B243B">
        <w:trPr>
          <w:trHeight w:val="225"/>
          <w:jc w:val="center"/>
        </w:trPr>
        <w:tc>
          <w:tcPr>
            <w:tcW w:w="2183" w:type="dxa"/>
            <w:tcBorders>
              <w:top w:val="nil"/>
              <w:left w:val="single" w:sz="8" w:space="0" w:color="8DB3E2"/>
              <w:bottom w:val="single" w:sz="8" w:space="0" w:color="95B3D7"/>
              <w:right w:val="single" w:sz="8" w:space="0" w:color="8DB3E2"/>
            </w:tcBorders>
            <w:shd w:val="clear" w:color="auto" w:fill="auto"/>
            <w:noWrap/>
            <w:vAlign w:val="center"/>
            <w:hideMark/>
          </w:tcPr>
          <w:p w14:paraId="1E0C37CA" w14:textId="77777777" w:rsidR="002B243B" w:rsidRPr="002B243B" w:rsidRDefault="002B243B" w:rsidP="002B243B">
            <w:pPr>
              <w:spacing w:after="0" w:line="240" w:lineRule="auto"/>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 xml:space="preserve">        Popular</w:t>
            </w:r>
          </w:p>
        </w:tc>
        <w:tc>
          <w:tcPr>
            <w:tcW w:w="1016" w:type="dxa"/>
            <w:tcBorders>
              <w:top w:val="nil"/>
              <w:left w:val="nil"/>
              <w:bottom w:val="single" w:sz="8" w:space="0" w:color="95B3D7"/>
              <w:right w:val="single" w:sz="8" w:space="0" w:color="8DB3E2"/>
            </w:tcBorders>
            <w:shd w:val="clear" w:color="auto" w:fill="auto"/>
            <w:noWrap/>
            <w:vAlign w:val="center"/>
            <w:hideMark/>
          </w:tcPr>
          <w:p w14:paraId="55C4F342"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458 987</w:t>
            </w:r>
          </w:p>
        </w:tc>
        <w:tc>
          <w:tcPr>
            <w:tcW w:w="705" w:type="dxa"/>
            <w:tcBorders>
              <w:top w:val="nil"/>
              <w:left w:val="nil"/>
              <w:bottom w:val="single" w:sz="8" w:space="0" w:color="95B3D7"/>
              <w:right w:val="single" w:sz="8" w:space="0" w:color="8DB3E2"/>
            </w:tcBorders>
            <w:shd w:val="clear" w:color="auto" w:fill="auto"/>
            <w:noWrap/>
            <w:vAlign w:val="center"/>
            <w:hideMark/>
          </w:tcPr>
          <w:p w14:paraId="7FB511A0"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20,4%</w:t>
            </w:r>
          </w:p>
        </w:tc>
        <w:tc>
          <w:tcPr>
            <w:tcW w:w="947" w:type="dxa"/>
            <w:tcBorders>
              <w:top w:val="nil"/>
              <w:left w:val="nil"/>
              <w:bottom w:val="single" w:sz="8" w:space="0" w:color="95B3D7"/>
              <w:right w:val="single" w:sz="8" w:space="0" w:color="8DB3E2"/>
            </w:tcBorders>
            <w:shd w:val="clear" w:color="auto" w:fill="auto"/>
            <w:noWrap/>
            <w:vAlign w:val="center"/>
            <w:hideMark/>
          </w:tcPr>
          <w:p w14:paraId="6072217B"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522 682</w:t>
            </w:r>
          </w:p>
        </w:tc>
        <w:tc>
          <w:tcPr>
            <w:tcW w:w="705" w:type="dxa"/>
            <w:tcBorders>
              <w:top w:val="nil"/>
              <w:left w:val="nil"/>
              <w:bottom w:val="single" w:sz="8" w:space="0" w:color="95B3D7"/>
              <w:right w:val="single" w:sz="8" w:space="0" w:color="8DB3E2"/>
            </w:tcBorders>
            <w:shd w:val="clear" w:color="auto" w:fill="auto"/>
            <w:noWrap/>
            <w:vAlign w:val="center"/>
            <w:hideMark/>
          </w:tcPr>
          <w:p w14:paraId="157B5D5A"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19,5%</w:t>
            </w:r>
          </w:p>
        </w:tc>
        <w:tc>
          <w:tcPr>
            <w:tcW w:w="1074" w:type="dxa"/>
            <w:tcBorders>
              <w:top w:val="nil"/>
              <w:left w:val="nil"/>
              <w:bottom w:val="single" w:sz="8" w:space="0" w:color="95B3D7"/>
              <w:right w:val="single" w:sz="8" w:space="0" w:color="8DB3E2"/>
            </w:tcBorders>
            <w:shd w:val="clear" w:color="auto" w:fill="auto"/>
            <w:noWrap/>
            <w:vAlign w:val="center"/>
            <w:hideMark/>
          </w:tcPr>
          <w:p w14:paraId="38B90E3A"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1 163 170</w:t>
            </w:r>
          </w:p>
        </w:tc>
        <w:tc>
          <w:tcPr>
            <w:tcW w:w="705" w:type="dxa"/>
            <w:tcBorders>
              <w:top w:val="nil"/>
              <w:left w:val="nil"/>
              <w:bottom w:val="single" w:sz="8" w:space="0" w:color="95B3D7"/>
              <w:right w:val="single" w:sz="8" w:space="0" w:color="8DB3E2"/>
            </w:tcBorders>
            <w:shd w:val="clear" w:color="auto" w:fill="auto"/>
            <w:noWrap/>
            <w:vAlign w:val="center"/>
            <w:hideMark/>
          </w:tcPr>
          <w:p w14:paraId="2E639A51"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35,0%</w:t>
            </w:r>
          </w:p>
        </w:tc>
      </w:tr>
      <w:tr w:rsidR="002B243B" w:rsidRPr="002B243B" w14:paraId="15653AE5" w14:textId="77777777" w:rsidTr="002B243B">
        <w:trPr>
          <w:trHeight w:val="225"/>
          <w:jc w:val="center"/>
        </w:trPr>
        <w:tc>
          <w:tcPr>
            <w:tcW w:w="2183" w:type="dxa"/>
            <w:tcBorders>
              <w:top w:val="nil"/>
              <w:left w:val="single" w:sz="8" w:space="0" w:color="8DB3E2"/>
              <w:bottom w:val="single" w:sz="8" w:space="0" w:color="95B3D7"/>
              <w:right w:val="single" w:sz="8" w:space="0" w:color="8DB3E2"/>
            </w:tcBorders>
            <w:shd w:val="clear" w:color="000000" w:fill="DBE5F1"/>
            <w:noWrap/>
            <w:vAlign w:val="center"/>
            <w:hideMark/>
          </w:tcPr>
          <w:p w14:paraId="027C8271" w14:textId="77777777" w:rsidR="002B243B" w:rsidRPr="002B243B" w:rsidRDefault="002B243B" w:rsidP="002B243B">
            <w:pPr>
              <w:spacing w:after="0" w:line="240" w:lineRule="auto"/>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 xml:space="preserve">        SJ-Pensiones </w:t>
            </w:r>
          </w:p>
        </w:tc>
        <w:tc>
          <w:tcPr>
            <w:tcW w:w="1016" w:type="dxa"/>
            <w:tcBorders>
              <w:top w:val="nil"/>
              <w:left w:val="nil"/>
              <w:bottom w:val="single" w:sz="8" w:space="0" w:color="95B3D7"/>
              <w:right w:val="single" w:sz="8" w:space="0" w:color="8DB3E2"/>
            </w:tcBorders>
            <w:shd w:val="clear" w:color="000000" w:fill="DBE5F1"/>
            <w:noWrap/>
            <w:vAlign w:val="center"/>
            <w:hideMark/>
          </w:tcPr>
          <w:p w14:paraId="7DA4D64E"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122 359</w:t>
            </w:r>
          </w:p>
        </w:tc>
        <w:tc>
          <w:tcPr>
            <w:tcW w:w="705" w:type="dxa"/>
            <w:tcBorders>
              <w:top w:val="nil"/>
              <w:left w:val="nil"/>
              <w:bottom w:val="single" w:sz="8" w:space="0" w:color="95B3D7"/>
              <w:right w:val="single" w:sz="8" w:space="0" w:color="8DB3E2"/>
            </w:tcBorders>
            <w:shd w:val="clear" w:color="000000" w:fill="DBE5F1"/>
            <w:noWrap/>
            <w:vAlign w:val="center"/>
            <w:hideMark/>
          </w:tcPr>
          <w:p w14:paraId="37BE6374"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16,8%</w:t>
            </w:r>
          </w:p>
        </w:tc>
        <w:tc>
          <w:tcPr>
            <w:tcW w:w="947" w:type="dxa"/>
            <w:tcBorders>
              <w:top w:val="nil"/>
              <w:left w:val="nil"/>
              <w:bottom w:val="single" w:sz="8" w:space="0" w:color="95B3D7"/>
              <w:right w:val="single" w:sz="8" w:space="0" w:color="8DB3E2"/>
            </w:tcBorders>
            <w:shd w:val="clear" w:color="000000" w:fill="DBE5F1"/>
            <w:noWrap/>
            <w:vAlign w:val="center"/>
            <w:hideMark/>
          </w:tcPr>
          <w:p w14:paraId="1DFA1FF3"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92 483</w:t>
            </w:r>
          </w:p>
        </w:tc>
        <w:tc>
          <w:tcPr>
            <w:tcW w:w="705" w:type="dxa"/>
            <w:tcBorders>
              <w:top w:val="nil"/>
              <w:left w:val="nil"/>
              <w:bottom w:val="single" w:sz="8" w:space="0" w:color="95B3D7"/>
              <w:right w:val="single" w:sz="8" w:space="0" w:color="8DB3E2"/>
            </w:tcBorders>
            <w:shd w:val="clear" w:color="000000" w:fill="DBE5F1"/>
            <w:noWrap/>
            <w:vAlign w:val="center"/>
            <w:hideMark/>
          </w:tcPr>
          <w:p w14:paraId="1FA879B5"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10,8%</w:t>
            </w:r>
          </w:p>
        </w:tc>
        <w:tc>
          <w:tcPr>
            <w:tcW w:w="1074" w:type="dxa"/>
            <w:tcBorders>
              <w:top w:val="nil"/>
              <w:left w:val="nil"/>
              <w:bottom w:val="single" w:sz="8" w:space="0" w:color="95B3D7"/>
              <w:right w:val="single" w:sz="8" w:space="0" w:color="8DB3E2"/>
            </w:tcBorders>
            <w:shd w:val="clear" w:color="000000" w:fill="DBE5F1"/>
            <w:noWrap/>
            <w:vAlign w:val="center"/>
            <w:hideMark/>
          </w:tcPr>
          <w:p w14:paraId="1D51D2B9"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269 976</w:t>
            </w:r>
          </w:p>
        </w:tc>
        <w:tc>
          <w:tcPr>
            <w:tcW w:w="705" w:type="dxa"/>
            <w:tcBorders>
              <w:top w:val="nil"/>
              <w:left w:val="nil"/>
              <w:bottom w:val="single" w:sz="8" w:space="0" w:color="95B3D7"/>
              <w:right w:val="single" w:sz="8" w:space="0" w:color="8DB3E2"/>
            </w:tcBorders>
            <w:shd w:val="clear" w:color="000000" w:fill="DBE5F1"/>
            <w:noWrap/>
            <w:vAlign w:val="center"/>
            <w:hideMark/>
          </w:tcPr>
          <w:p w14:paraId="670DBEFF"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27,2%</w:t>
            </w:r>
          </w:p>
        </w:tc>
      </w:tr>
      <w:tr w:rsidR="002B243B" w:rsidRPr="002B243B" w14:paraId="045B190D" w14:textId="77777777" w:rsidTr="002B243B">
        <w:trPr>
          <w:trHeight w:val="225"/>
          <w:jc w:val="center"/>
        </w:trPr>
        <w:tc>
          <w:tcPr>
            <w:tcW w:w="2183" w:type="dxa"/>
            <w:tcBorders>
              <w:top w:val="nil"/>
              <w:left w:val="single" w:sz="8" w:space="0" w:color="8DB3E2"/>
              <w:bottom w:val="single" w:sz="8" w:space="0" w:color="95B3D7"/>
              <w:right w:val="single" w:sz="8" w:space="0" w:color="8DB3E2"/>
            </w:tcBorders>
            <w:shd w:val="clear" w:color="auto" w:fill="auto"/>
            <w:noWrap/>
            <w:vAlign w:val="center"/>
            <w:hideMark/>
          </w:tcPr>
          <w:p w14:paraId="67911923" w14:textId="77777777" w:rsidR="002B243B" w:rsidRPr="002B243B" w:rsidRDefault="002B243B" w:rsidP="002B243B">
            <w:pPr>
              <w:spacing w:after="0" w:line="240" w:lineRule="auto"/>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 xml:space="preserve">        Vida Plena </w:t>
            </w:r>
          </w:p>
        </w:tc>
        <w:tc>
          <w:tcPr>
            <w:tcW w:w="1016" w:type="dxa"/>
            <w:tcBorders>
              <w:top w:val="nil"/>
              <w:left w:val="nil"/>
              <w:bottom w:val="single" w:sz="8" w:space="0" w:color="95B3D7"/>
              <w:right w:val="single" w:sz="8" w:space="0" w:color="8DB3E2"/>
            </w:tcBorders>
            <w:shd w:val="clear" w:color="auto" w:fill="auto"/>
            <w:noWrap/>
            <w:vAlign w:val="center"/>
            <w:hideMark/>
          </w:tcPr>
          <w:p w14:paraId="447E4B86"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44 454</w:t>
            </w:r>
          </w:p>
        </w:tc>
        <w:tc>
          <w:tcPr>
            <w:tcW w:w="705" w:type="dxa"/>
            <w:tcBorders>
              <w:top w:val="nil"/>
              <w:left w:val="nil"/>
              <w:bottom w:val="single" w:sz="8" w:space="0" w:color="95B3D7"/>
              <w:right w:val="single" w:sz="8" w:space="0" w:color="8DB3E2"/>
            </w:tcBorders>
            <w:shd w:val="clear" w:color="auto" w:fill="auto"/>
            <w:noWrap/>
            <w:vAlign w:val="center"/>
            <w:hideMark/>
          </w:tcPr>
          <w:p w14:paraId="3C243E87"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6,5%</w:t>
            </w:r>
          </w:p>
        </w:tc>
        <w:tc>
          <w:tcPr>
            <w:tcW w:w="947" w:type="dxa"/>
            <w:tcBorders>
              <w:top w:val="nil"/>
              <w:left w:val="nil"/>
              <w:bottom w:val="single" w:sz="8" w:space="0" w:color="95B3D7"/>
              <w:right w:val="single" w:sz="8" w:space="0" w:color="8DB3E2"/>
            </w:tcBorders>
            <w:shd w:val="clear" w:color="auto" w:fill="auto"/>
            <w:noWrap/>
            <w:vAlign w:val="center"/>
            <w:hideMark/>
          </w:tcPr>
          <w:p w14:paraId="557F9BA1"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37 035</w:t>
            </w:r>
          </w:p>
        </w:tc>
        <w:tc>
          <w:tcPr>
            <w:tcW w:w="705" w:type="dxa"/>
            <w:tcBorders>
              <w:top w:val="nil"/>
              <w:left w:val="nil"/>
              <w:bottom w:val="single" w:sz="8" w:space="0" w:color="95B3D7"/>
              <w:right w:val="single" w:sz="8" w:space="0" w:color="8DB3E2"/>
            </w:tcBorders>
            <w:shd w:val="clear" w:color="auto" w:fill="auto"/>
            <w:noWrap/>
            <w:vAlign w:val="center"/>
            <w:hideMark/>
          </w:tcPr>
          <w:p w14:paraId="1B82607C"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4,6%</w:t>
            </w:r>
          </w:p>
        </w:tc>
        <w:tc>
          <w:tcPr>
            <w:tcW w:w="1074" w:type="dxa"/>
            <w:tcBorders>
              <w:top w:val="nil"/>
              <w:left w:val="nil"/>
              <w:bottom w:val="single" w:sz="8" w:space="0" w:color="95B3D7"/>
              <w:right w:val="single" w:sz="8" w:space="0" w:color="8DB3E2"/>
            </w:tcBorders>
            <w:shd w:val="clear" w:color="auto" w:fill="auto"/>
            <w:noWrap/>
            <w:vAlign w:val="center"/>
            <w:hideMark/>
          </w:tcPr>
          <w:p w14:paraId="73BC2539"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99 956</w:t>
            </w:r>
          </w:p>
        </w:tc>
        <w:tc>
          <w:tcPr>
            <w:tcW w:w="705" w:type="dxa"/>
            <w:tcBorders>
              <w:top w:val="nil"/>
              <w:left w:val="nil"/>
              <w:bottom w:val="single" w:sz="8" w:space="0" w:color="95B3D7"/>
              <w:right w:val="single" w:sz="8" w:space="0" w:color="8DB3E2"/>
            </w:tcBorders>
            <w:shd w:val="clear" w:color="auto" w:fill="auto"/>
            <w:noWrap/>
            <w:vAlign w:val="center"/>
            <w:hideMark/>
          </w:tcPr>
          <w:p w14:paraId="13ECF40B"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10,8%</w:t>
            </w:r>
          </w:p>
        </w:tc>
      </w:tr>
      <w:tr w:rsidR="002B243B" w:rsidRPr="002B243B" w14:paraId="3CBD9B20" w14:textId="77777777" w:rsidTr="002B243B">
        <w:trPr>
          <w:trHeight w:val="225"/>
          <w:jc w:val="center"/>
        </w:trPr>
        <w:tc>
          <w:tcPr>
            <w:tcW w:w="2183" w:type="dxa"/>
            <w:tcBorders>
              <w:top w:val="nil"/>
              <w:left w:val="single" w:sz="8" w:space="0" w:color="8DB3E2"/>
              <w:bottom w:val="single" w:sz="8" w:space="0" w:color="95B3D7"/>
              <w:right w:val="single" w:sz="8" w:space="0" w:color="8DB3E2"/>
            </w:tcBorders>
            <w:shd w:val="clear" w:color="000000" w:fill="DBE5F1"/>
            <w:noWrap/>
            <w:vAlign w:val="center"/>
            <w:hideMark/>
          </w:tcPr>
          <w:p w14:paraId="35DCAD0A" w14:textId="77777777" w:rsidR="002B243B" w:rsidRPr="002B243B" w:rsidRDefault="002B243B" w:rsidP="002B243B">
            <w:pPr>
              <w:spacing w:after="0" w:line="240" w:lineRule="auto"/>
              <w:rPr>
                <w:rFonts w:ascii="Calibri" w:eastAsia="Times New Roman" w:hAnsi="Calibri" w:cs="Calibri"/>
                <w:b/>
                <w:bCs/>
                <w:color w:val="000000"/>
                <w:sz w:val="20"/>
                <w:szCs w:val="20"/>
                <w:lang w:val="es-CR" w:eastAsia="es-CR"/>
              </w:rPr>
            </w:pPr>
            <w:r w:rsidRPr="002B243B">
              <w:rPr>
                <w:rFonts w:ascii="Calibri" w:eastAsia="Times New Roman" w:hAnsi="Calibri" w:cs="Calibri"/>
                <w:b/>
                <w:bCs/>
                <w:color w:val="000000"/>
                <w:sz w:val="20"/>
                <w:szCs w:val="20"/>
                <w:lang w:eastAsia="es-CR"/>
              </w:rPr>
              <w:t xml:space="preserve"> Sector Local </w:t>
            </w:r>
          </w:p>
        </w:tc>
        <w:tc>
          <w:tcPr>
            <w:tcW w:w="1016" w:type="dxa"/>
            <w:tcBorders>
              <w:top w:val="nil"/>
              <w:left w:val="nil"/>
              <w:bottom w:val="single" w:sz="8" w:space="0" w:color="95B3D7"/>
              <w:right w:val="single" w:sz="8" w:space="0" w:color="8DB3E2"/>
            </w:tcBorders>
            <w:shd w:val="clear" w:color="000000" w:fill="DBE5F1"/>
            <w:noWrap/>
            <w:vAlign w:val="center"/>
            <w:hideMark/>
          </w:tcPr>
          <w:p w14:paraId="6DE71DA4" w14:textId="77777777" w:rsidR="002B243B" w:rsidRPr="002B243B" w:rsidRDefault="002B243B" w:rsidP="002B243B">
            <w:pPr>
              <w:spacing w:after="0" w:line="240" w:lineRule="auto"/>
              <w:jc w:val="right"/>
              <w:rPr>
                <w:rFonts w:ascii="Calibri" w:eastAsia="Times New Roman" w:hAnsi="Calibri" w:cs="Calibri"/>
                <w:b/>
                <w:bCs/>
                <w:color w:val="000000"/>
                <w:sz w:val="20"/>
                <w:szCs w:val="20"/>
                <w:lang w:val="es-CR" w:eastAsia="es-CR"/>
              </w:rPr>
            </w:pPr>
            <w:r w:rsidRPr="002B243B">
              <w:rPr>
                <w:rFonts w:ascii="Calibri" w:eastAsia="Times New Roman" w:hAnsi="Calibri" w:cs="Calibri"/>
                <w:b/>
                <w:bCs/>
                <w:color w:val="000000"/>
                <w:sz w:val="20"/>
                <w:szCs w:val="20"/>
                <w:lang w:eastAsia="es-CR"/>
              </w:rPr>
              <w:t>959 142</w:t>
            </w:r>
          </w:p>
        </w:tc>
        <w:tc>
          <w:tcPr>
            <w:tcW w:w="705" w:type="dxa"/>
            <w:tcBorders>
              <w:top w:val="nil"/>
              <w:left w:val="nil"/>
              <w:bottom w:val="single" w:sz="8" w:space="0" w:color="95B3D7"/>
              <w:right w:val="single" w:sz="8" w:space="0" w:color="8DB3E2"/>
            </w:tcBorders>
            <w:shd w:val="clear" w:color="000000" w:fill="DBE5F1"/>
            <w:noWrap/>
            <w:vAlign w:val="center"/>
            <w:hideMark/>
          </w:tcPr>
          <w:p w14:paraId="56690195" w14:textId="77777777" w:rsidR="002B243B" w:rsidRPr="002B243B" w:rsidRDefault="002B243B" w:rsidP="002B243B">
            <w:pPr>
              <w:spacing w:after="0" w:line="240" w:lineRule="auto"/>
              <w:jc w:val="right"/>
              <w:rPr>
                <w:rFonts w:ascii="Calibri" w:eastAsia="Times New Roman" w:hAnsi="Calibri" w:cs="Calibri"/>
                <w:b/>
                <w:bCs/>
                <w:color w:val="000000"/>
                <w:sz w:val="20"/>
                <w:szCs w:val="20"/>
                <w:lang w:val="es-CR" w:eastAsia="es-CR"/>
              </w:rPr>
            </w:pPr>
            <w:r w:rsidRPr="002B243B">
              <w:rPr>
                <w:rFonts w:ascii="Calibri" w:eastAsia="Times New Roman" w:hAnsi="Calibri" w:cs="Calibri"/>
                <w:b/>
                <w:bCs/>
                <w:color w:val="000000"/>
                <w:sz w:val="20"/>
                <w:szCs w:val="20"/>
                <w:lang w:eastAsia="es-CR"/>
              </w:rPr>
              <w:t>16,1%</w:t>
            </w:r>
          </w:p>
        </w:tc>
        <w:tc>
          <w:tcPr>
            <w:tcW w:w="947" w:type="dxa"/>
            <w:tcBorders>
              <w:top w:val="nil"/>
              <w:left w:val="nil"/>
              <w:bottom w:val="single" w:sz="8" w:space="0" w:color="95B3D7"/>
              <w:right w:val="single" w:sz="8" w:space="0" w:color="8DB3E2"/>
            </w:tcBorders>
            <w:shd w:val="clear" w:color="000000" w:fill="DBE5F1"/>
            <w:noWrap/>
            <w:vAlign w:val="center"/>
            <w:hideMark/>
          </w:tcPr>
          <w:p w14:paraId="156E8547" w14:textId="77777777" w:rsidR="002B243B" w:rsidRPr="002B243B" w:rsidRDefault="002B243B" w:rsidP="002B243B">
            <w:pPr>
              <w:spacing w:after="0" w:line="240" w:lineRule="auto"/>
              <w:jc w:val="right"/>
              <w:rPr>
                <w:rFonts w:ascii="Calibri" w:eastAsia="Times New Roman" w:hAnsi="Calibri" w:cs="Calibri"/>
                <w:b/>
                <w:bCs/>
                <w:color w:val="000000"/>
                <w:sz w:val="20"/>
                <w:szCs w:val="20"/>
                <w:lang w:val="es-CR" w:eastAsia="es-CR"/>
              </w:rPr>
            </w:pPr>
            <w:r w:rsidRPr="002B243B">
              <w:rPr>
                <w:rFonts w:ascii="Calibri" w:eastAsia="Times New Roman" w:hAnsi="Calibri" w:cs="Calibri"/>
                <w:b/>
                <w:bCs/>
                <w:color w:val="000000"/>
                <w:sz w:val="20"/>
                <w:szCs w:val="20"/>
                <w:lang w:eastAsia="es-CR"/>
              </w:rPr>
              <w:t>1 142 465</w:t>
            </w:r>
          </w:p>
        </w:tc>
        <w:tc>
          <w:tcPr>
            <w:tcW w:w="705" w:type="dxa"/>
            <w:tcBorders>
              <w:top w:val="nil"/>
              <w:left w:val="nil"/>
              <w:bottom w:val="single" w:sz="8" w:space="0" w:color="95B3D7"/>
              <w:right w:val="single" w:sz="8" w:space="0" w:color="8DB3E2"/>
            </w:tcBorders>
            <w:shd w:val="clear" w:color="000000" w:fill="DBE5F1"/>
            <w:noWrap/>
            <w:vAlign w:val="center"/>
            <w:hideMark/>
          </w:tcPr>
          <w:p w14:paraId="4BFBA798" w14:textId="77777777" w:rsidR="002B243B" w:rsidRPr="002B243B" w:rsidRDefault="002B243B" w:rsidP="002B243B">
            <w:pPr>
              <w:spacing w:after="0" w:line="240" w:lineRule="auto"/>
              <w:jc w:val="right"/>
              <w:rPr>
                <w:rFonts w:ascii="Calibri" w:eastAsia="Times New Roman" w:hAnsi="Calibri" w:cs="Calibri"/>
                <w:b/>
                <w:bCs/>
                <w:color w:val="000000"/>
                <w:sz w:val="20"/>
                <w:szCs w:val="20"/>
                <w:lang w:val="es-CR" w:eastAsia="es-CR"/>
              </w:rPr>
            </w:pPr>
            <w:r w:rsidRPr="002B243B">
              <w:rPr>
                <w:rFonts w:ascii="Calibri" w:eastAsia="Times New Roman" w:hAnsi="Calibri" w:cs="Calibri"/>
                <w:b/>
                <w:bCs/>
                <w:color w:val="000000"/>
                <w:sz w:val="20"/>
                <w:szCs w:val="20"/>
                <w:lang w:eastAsia="es-CR"/>
              </w:rPr>
              <w:t>16,2%</w:t>
            </w:r>
          </w:p>
        </w:tc>
        <w:tc>
          <w:tcPr>
            <w:tcW w:w="1074" w:type="dxa"/>
            <w:tcBorders>
              <w:top w:val="nil"/>
              <w:left w:val="nil"/>
              <w:bottom w:val="single" w:sz="8" w:space="0" w:color="95B3D7"/>
              <w:right w:val="single" w:sz="8" w:space="0" w:color="8DB3E2"/>
            </w:tcBorders>
            <w:shd w:val="clear" w:color="000000" w:fill="DBE5F1"/>
            <w:noWrap/>
            <w:vAlign w:val="center"/>
            <w:hideMark/>
          </w:tcPr>
          <w:p w14:paraId="105951E8" w14:textId="77777777" w:rsidR="002B243B" w:rsidRPr="002B243B" w:rsidRDefault="002B243B" w:rsidP="002B243B">
            <w:pPr>
              <w:spacing w:after="0" w:line="240" w:lineRule="auto"/>
              <w:jc w:val="right"/>
              <w:rPr>
                <w:rFonts w:ascii="Calibri" w:eastAsia="Times New Roman" w:hAnsi="Calibri" w:cs="Calibri"/>
                <w:b/>
                <w:bCs/>
                <w:color w:val="000000"/>
                <w:sz w:val="20"/>
                <w:szCs w:val="20"/>
                <w:lang w:val="es-CR" w:eastAsia="es-CR"/>
              </w:rPr>
            </w:pPr>
            <w:r w:rsidRPr="002B243B">
              <w:rPr>
                <w:rFonts w:ascii="Calibri" w:eastAsia="Times New Roman" w:hAnsi="Calibri" w:cs="Calibri"/>
                <w:b/>
                <w:bCs/>
                <w:color w:val="000000"/>
                <w:sz w:val="20"/>
                <w:szCs w:val="20"/>
                <w:lang w:eastAsia="es-CR"/>
              </w:rPr>
              <w:t>960 548</w:t>
            </w:r>
          </w:p>
        </w:tc>
        <w:tc>
          <w:tcPr>
            <w:tcW w:w="705" w:type="dxa"/>
            <w:tcBorders>
              <w:top w:val="nil"/>
              <w:left w:val="nil"/>
              <w:bottom w:val="single" w:sz="8" w:space="0" w:color="95B3D7"/>
              <w:right w:val="single" w:sz="8" w:space="0" w:color="8DB3E2"/>
            </w:tcBorders>
            <w:shd w:val="clear" w:color="000000" w:fill="DBE5F1"/>
            <w:noWrap/>
            <w:vAlign w:val="center"/>
            <w:hideMark/>
          </w:tcPr>
          <w:p w14:paraId="4DA7E308" w14:textId="77777777" w:rsidR="002B243B" w:rsidRPr="002B243B" w:rsidRDefault="002B243B" w:rsidP="002B243B">
            <w:pPr>
              <w:spacing w:after="0" w:line="240" w:lineRule="auto"/>
              <w:jc w:val="right"/>
              <w:rPr>
                <w:rFonts w:ascii="Calibri" w:eastAsia="Times New Roman" w:hAnsi="Calibri" w:cs="Calibri"/>
                <w:b/>
                <w:bCs/>
                <w:color w:val="000000"/>
                <w:sz w:val="20"/>
                <w:szCs w:val="20"/>
                <w:lang w:val="es-CR" w:eastAsia="es-CR"/>
              </w:rPr>
            </w:pPr>
            <w:r w:rsidRPr="002B243B">
              <w:rPr>
                <w:rFonts w:ascii="Calibri" w:eastAsia="Times New Roman" w:hAnsi="Calibri" w:cs="Calibri"/>
                <w:b/>
                <w:bCs/>
                <w:color w:val="000000"/>
                <w:sz w:val="20"/>
                <w:szCs w:val="20"/>
                <w:lang w:eastAsia="es-CR"/>
              </w:rPr>
              <w:t>11,6%</w:t>
            </w:r>
          </w:p>
        </w:tc>
      </w:tr>
      <w:tr w:rsidR="002B243B" w:rsidRPr="002B243B" w14:paraId="2802D878" w14:textId="77777777" w:rsidTr="002B243B">
        <w:trPr>
          <w:trHeight w:val="225"/>
          <w:jc w:val="center"/>
        </w:trPr>
        <w:tc>
          <w:tcPr>
            <w:tcW w:w="2183" w:type="dxa"/>
            <w:tcBorders>
              <w:top w:val="nil"/>
              <w:left w:val="single" w:sz="8" w:space="0" w:color="8DB3E2"/>
              <w:bottom w:val="single" w:sz="8" w:space="0" w:color="95B3D7"/>
              <w:right w:val="single" w:sz="8" w:space="0" w:color="8DB3E2"/>
            </w:tcBorders>
            <w:shd w:val="clear" w:color="auto" w:fill="auto"/>
            <w:noWrap/>
            <w:vAlign w:val="center"/>
            <w:hideMark/>
          </w:tcPr>
          <w:p w14:paraId="50F4DFB5" w14:textId="77777777" w:rsidR="002B243B" w:rsidRPr="002B243B" w:rsidRDefault="002B243B" w:rsidP="002B243B">
            <w:pPr>
              <w:spacing w:after="0" w:line="240" w:lineRule="auto"/>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 xml:space="preserve">        BCR Pensión</w:t>
            </w:r>
          </w:p>
        </w:tc>
        <w:tc>
          <w:tcPr>
            <w:tcW w:w="1016" w:type="dxa"/>
            <w:tcBorders>
              <w:top w:val="nil"/>
              <w:left w:val="nil"/>
              <w:bottom w:val="single" w:sz="8" w:space="0" w:color="95B3D7"/>
              <w:right w:val="single" w:sz="8" w:space="0" w:color="8DB3E2"/>
            </w:tcBorders>
            <w:shd w:val="clear" w:color="auto" w:fill="auto"/>
            <w:noWrap/>
            <w:vAlign w:val="center"/>
            <w:hideMark/>
          </w:tcPr>
          <w:p w14:paraId="5D370EB9"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141 251</w:t>
            </w:r>
          </w:p>
        </w:tc>
        <w:tc>
          <w:tcPr>
            <w:tcW w:w="705" w:type="dxa"/>
            <w:tcBorders>
              <w:top w:val="nil"/>
              <w:left w:val="nil"/>
              <w:bottom w:val="single" w:sz="8" w:space="0" w:color="95B3D7"/>
              <w:right w:val="single" w:sz="8" w:space="0" w:color="8DB3E2"/>
            </w:tcBorders>
            <w:shd w:val="clear" w:color="auto" w:fill="auto"/>
            <w:noWrap/>
            <w:vAlign w:val="center"/>
            <w:hideMark/>
          </w:tcPr>
          <w:p w14:paraId="243CC599"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16,3%</w:t>
            </w:r>
          </w:p>
        </w:tc>
        <w:tc>
          <w:tcPr>
            <w:tcW w:w="947" w:type="dxa"/>
            <w:tcBorders>
              <w:top w:val="nil"/>
              <w:left w:val="nil"/>
              <w:bottom w:val="single" w:sz="8" w:space="0" w:color="95B3D7"/>
              <w:right w:val="single" w:sz="8" w:space="0" w:color="8DB3E2"/>
            </w:tcBorders>
            <w:shd w:val="clear" w:color="auto" w:fill="auto"/>
            <w:noWrap/>
            <w:vAlign w:val="center"/>
            <w:hideMark/>
          </w:tcPr>
          <w:p w14:paraId="4A7531C2"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204 192</w:t>
            </w:r>
          </w:p>
        </w:tc>
        <w:tc>
          <w:tcPr>
            <w:tcW w:w="705" w:type="dxa"/>
            <w:tcBorders>
              <w:top w:val="nil"/>
              <w:left w:val="nil"/>
              <w:bottom w:val="single" w:sz="8" w:space="0" w:color="95B3D7"/>
              <w:right w:val="single" w:sz="8" w:space="0" w:color="8DB3E2"/>
            </w:tcBorders>
            <w:shd w:val="clear" w:color="auto" w:fill="auto"/>
            <w:noWrap/>
            <w:vAlign w:val="center"/>
            <w:hideMark/>
          </w:tcPr>
          <w:p w14:paraId="0D02BBA4"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20,0%</w:t>
            </w:r>
          </w:p>
        </w:tc>
        <w:tc>
          <w:tcPr>
            <w:tcW w:w="1074" w:type="dxa"/>
            <w:tcBorders>
              <w:top w:val="nil"/>
              <w:left w:val="nil"/>
              <w:bottom w:val="single" w:sz="8" w:space="0" w:color="95B3D7"/>
              <w:right w:val="single" w:sz="8" w:space="0" w:color="8DB3E2"/>
            </w:tcBorders>
            <w:shd w:val="clear" w:color="auto" w:fill="auto"/>
            <w:noWrap/>
            <w:vAlign w:val="center"/>
            <w:hideMark/>
          </w:tcPr>
          <w:p w14:paraId="3CE54617"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186 043</w:t>
            </w:r>
          </w:p>
        </w:tc>
        <w:tc>
          <w:tcPr>
            <w:tcW w:w="705" w:type="dxa"/>
            <w:tcBorders>
              <w:top w:val="nil"/>
              <w:left w:val="nil"/>
              <w:bottom w:val="single" w:sz="8" w:space="0" w:color="95B3D7"/>
              <w:right w:val="single" w:sz="8" w:space="0" w:color="8DB3E2"/>
            </w:tcBorders>
            <w:shd w:val="clear" w:color="auto" w:fill="auto"/>
            <w:noWrap/>
            <w:vAlign w:val="center"/>
            <w:hideMark/>
          </w:tcPr>
          <w:p w14:paraId="42BEAD15"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16,2%</w:t>
            </w:r>
          </w:p>
        </w:tc>
      </w:tr>
      <w:tr w:rsidR="002B243B" w:rsidRPr="002B243B" w14:paraId="24BEFBD4" w14:textId="77777777" w:rsidTr="002B243B">
        <w:trPr>
          <w:trHeight w:val="225"/>
          <w:jc w:val="center"/>
        </w:trPr>
        <w:tc>
          <w:tcPr>
            <w:tcW w:w="2183" w:type="dxa"/>
            <w:tcBorders>
              <w:top w:val="nil"/>
              <w:left w:val="single" w:sz="8" w:space="0" w:color="8DB3E2"/>
              <w:bottom w:val="single" w:sz="8" w:space="0" w:color="95B3D7"/>
              <w:right w:val="single" w:sz="8" w:space="0" w:color="8DB3E2"/>
            </w:tcBorders>
            <w:shd w:val="clear" w:color="000000" w:fill="DBE5F1"/>
            <w:noWrap/>
            <w:vAlign w:val="center"/>
            <w:hideMark/>
          </w:tcPr>
          <w:p w14:paraId="10374545" w14:textId="77777777" w:rsidR="002B243B" w:rsidRPr="002B243B" w:rsidRDefault="002B243B" w:rsidP="002B243B">
            <w:pPr>
              <w:spacing w:after="0" w:line="240" w:lineRule="auto"/>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 xml:space="preserve">        BN Vital </w:t>
            </w:r>
          </w:p>
        </w:tc>
        <w:tc>
          <w:tcPr>
            <w:tcW w:w="1016" w:type="dxa"/>
            <w:tcBorders>
              <w:top w:val="nil"/>
              <w:left w:val="nil"/>
              <w:bottom w:val="single" w:sz="8" w:space="0" w:color="95B3D7"/>
              <w:right w:val="single" w:sz="8" w:space="0" w:color="8DB3E2"/>
            </w:tcBorders>
            <w:shd w:val="clear" w:color="000000" w:fill="DBE5F1"/>
            <w:noWrap/>
            <w:vAlign w:val="center"/>
            <w:hideMark/>
          </w:tcPr>
          <w:p w14:paraId="33691B18"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239 386</w:t>
            </w:r>
          </w:p>
        </w:tc>
        <w:tc>
          <w:tcPr>
            <w:tcW w:w="705" w:type="dxa"/>
            <w:tcBorders>
              <w:top w:val="nil"/>
              <w:left w:val="nil"/>
              <w:bottom w:val="single" w:sz="8" w:space="0" w:color="95B3D7"/>
              <w:right w:val="single" w:sz="8" w:space="0" w:color="8DB3E2"/>
            </w:tcBorders>
            <w:shd w:val="clear" w:color="000000" w:fill="DBE5F1"/>
            <w:noWrap/>
            <w:vAlign w:val="center"/>
            <w:hideMark/>
          </w:tcPr>
          <w:p w14:paraId="624135F1"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19,6%</w:t>
            </w:r>
          </w:p>
        </w:tc>
        <w:tc>
          <w:tcPr>
            <w:tcW w:w="947" w:type="dxa"/>
            <w:tcBorders>
              <w:top w:val="nil"/>
              <w:left w:val="nil"/>
              <w:bottom w:val="single" w:sz="8" w:space="0" w:color="95B3D7"/>
              <w:right w:val="single" w:sz="8" w:space="0" w:color="8DB3E2"/>
            </w:tcBorders>
            <w:shd w:val="clear" w:color="000000" w:fill="DBE5F1"/>
            <w:noWrap/>
            <w:vAlign w:val="center"/>
            <w:hideMark/>
          </w:tcPr>
          <w:p w14:paraId="7ABF50AA"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314 970</w:t>
            </w:r>
          </w:p>
        </w:tc>
        <w:tc>
          <w:tcPr>
            <w:tcW w:w="705" w:type="dxa"/>
            <w:tcBorders>
              <w:top w:val="nil"/>
              <w:left w:val="nil"/>
              <w:bottom w:val="single" w:sz="8" w:space="0" w:color="95B3D7"/>
              <w:right w:val="single" w:sz="8" w:space="0" w:color="8DB3E2"/>
            </w:tcBorders>
            <w:shd w:val="clear" w:color="000000" w:fill="DBE5F1"/>
            <w:noWrap/>
            <w:vAlign w:val="center"/>
            <w:hideMark/>
          </w:tcPr>
          <w:p w14:paraId="18867C1A"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21,5%</w:t>
            </w:r>
          </w:p>
        </w:tc>
        <w:tc>
          <w:tcPr>
            <w:tcW w:w="1074" w:type="dxa"/>
            <w:tcBorders>
              <w:top w:val="nil"/>
              <w:left w:val="nil"/>
              <w:bottom w:val="single" w:sz="8" w:space="0" w:color="95B3D7"/>
              <w:right w:val="single" w:sz="8" w:space="0" w:color="8DB3E2"/>
            </w:tcBorders>
            <w:shd w:val="clear" w:color="000000" w:fill="DBE5F1"/>
            <w:noWrap/>
            <w:vAlign w:val="center"/>
            <w:hideMark/>
          </w:tcPr>
          <w:p w14:paraId="7A53AC1C"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235 959</w:t>
            </w:r>
          </w:p>
        </w:tc>
        <w:tc>
          <w:tcPr>
            <w:tcW w:w="705" w:type="dxa"/>
            <w:tcBorders>
              <w:top w:val="nil"/>
              <w:left w:val="nil"/>
              <w:bottom w:val="single" w:sz="8" w:space="0" w:color="95B3D7"/>
              <w:right w:val="single" w:sz="8" w:space="0" w:color="8DB3E2"/>
            </w:tcBorders>
            <w:shd w:val="clear" w:color="000000" w:fill="DBE5F1"/>
            <w:noWrap/>
            <w:vAlign w:val="center"/>
            <w:hideMark/>
          </w:tcPr>
          <w:p w14:paraId="76FEB6FD"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14,3%</w:t>
            </w:r>
          </w:p>
        </w:tc>
      </w:tr>
      <w:tr w:rsidR="002B243B" w:rsidRPr="002B243B" w14:paraId="3DA8CCBE" w14:textId="77777777" w:rsidTr="002B243B">
        <w:trPr>
          <w:trHeight w:val="225"/>
          <w:jc w:val="center"/>
        </w:trPr>
        <w:tc>
          <w:tcPr>
            <w:tcW w:w="2183" w:type="dxa"/>
            <w:tcBorders>
              <w:top w:val="nil"/>
              <w:left w:val="single" w:sz="8" w:space="0" w:color="8DB3E2"/>
              <w:bottom w:val="single" w:sz="8" w:space="0" w:color="95B3D7"/>
              <w:right w:val="single" w:sz="8" w:space="0" w:color="8DB3E2"/>
            </w:tcBorders>
            <w:shd w:val="clear" w:color="auto" w:fill="auto"/>
            <w:noWrap/>
            <w:vAlign w:val="center"/>
            <w:hideMark/>
          </w:tcPr>
          <w:p w14:paraId="4DCFA77E" w14:textId="77777777" w:rsidR="002B243B" w:rsidRPr="002B243B" w:rsidRDefault="002B243B" w:rsidP="002B243B">
            <w:pPr>
              <w:spacing w:after="0" w:line="240" w:lineRule="auto"/>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 xml:space="preserve">        CCSS-OPC </w:t>
            </w:r>
          </w:p>
        </w:tc>
        <w:tc>
          <w:tcPr>
            <w:tcW w:w="1016" w:type="dxa"/>
            <w:tcBorders>
              <w:top w:val="nil"/>
              <w:left w:val="nil"/>
              <w:bottom w:val="single" w:sz="8" w:space="0" w:color="95B3D7"/>
              <w:right w:val="single" w:sz="8" w:space="0" w:color="8DB3E2"/>
            </w:tcBorders>
            <w:shd w:val="clear" w:color="auto" w:fill="auto"/>
            <w:noWrap/>
            <w:vAlign w:val="center"/>
            <w:hideMark/>
          </w:tcPr>
          <w:p w14:paraId="32595E72"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37 467</w:t>
            </w:r>
          </w:p>
        </w:tc>
        <w:tc>
          <w:tcPr>
            <w:tcW w:w="705" w:type="dxa"/>
            <w:tcBorders>
              <w:top w:val="nil"/>
              <w:left w:val="nil"/>
              <w:bottom w:val="single" w:sz="8" w:space="0" w:color="95B3D7"/>
              <w:right w:val="single" w:sz="8" w:space="0" w:color="8DB3E2"/>
            </w:tcBorders>
            <w:shd w:val="clear" w:color="auto" w:fill="auto"/>
            <w:noWrap/>
            <w:vAlign w:val="center"/>
            <w:hideMark/>
          </w:tcPr>
          <w:p w14:paraId="298914CE"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19,2%</w:t>
            </w:r>
          </w:p>
        </w:tc>
        <w:tc>
          <w:tcPr>
            <w:tcW w:w="947" w:type="dxa"/>
            <w:tcBorders>
              <w:top w:val="nil"/>
              <w:left w:val="nil"/>
              <w:bottom w:val="single" w:sz="8" w:space="0" w:color="95B3D7"/>
              <w:right w:val="single" w:sz="8" w:space="0" w:color="8DB3E2"/>
            </w:tcBorders>
            <w:shd w:val="clear" w:color="auto" w:fill="auto"/>
            <w:noWrap/>
            <w:vAlign w:val="center"/>
            <w:hideMark/>
          </w:tcPr>
          <w:p w14:paraId="0AEFF111"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27 954</w:t>
            </w:r>
          </w:p>
        </w:tc>
        <w:tc>
          <w:tcPr>
            <w:tcW w:w="705" w:type="dxa"/>
            <w:tcBorders>
              <w:top w:val="nil"/>
              <w:left w:val="nil"/>
              <w:bottom w:val="single" w:sz="8" w:space="0" w:color="95B3D7"/>
              <w:right w:val="single" w:sz="8" w:space="0" w:color="8DB3E2"/>
            </w:tcBorders>
            <w:shd w:val="clear" w:color="auto" w:fill="auto"/>
            <w:noWrap/>
            <w:vAlign w:val="center"/>
            <w:hideMark/>
          </w:tcPr>
          <w:p w14:paraId="31FFBE91"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13,1%</w:t>
            </w:r>
          </w:p>
        </w:tc>
        <w:tc>
          <w:tcPr>
            <w:tcW w:w="1074" w:type="dxa"/>
            <w:tcBorders>
              <w:top w:val="nil"/>
              <w:left w:val="nil"/>
              <w:bottom w:val="single" w:sz="8" w:space="0" w:color="95B3D7"/>
              <w:right w:val="single" w:sz="8" w:space="0" w:color="8DB3E2"/>
            </w:tcBorders>
            <w:shd w:val="clear" w:color="auto" w:fill="auto"/>
            <w:noWrap/>
            <w:vAlign w:val="center"/>
            <w:hideMark/>
          </w:tcPr>
          <w:p w14:paraId="3B3E8CA7"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40 686</w:t>
            </w:r>
          </w:p>
        </w:tc>
        <w:tc>
          <w:tcPr>
            <w:tcW w:w="705" w:type="dxa"/>
            <w:tcBorders>
              <w:top w:val="nil"/>
              <w:left w:val="nil"/>
              <w:bottom w:val="single" w:sz="8" w:space="0" w:color="95B3D7"/>
              <w:right w:val="single" w:sz="8" w:space="0" w:color="8DB3E2"/>
            </w:tcBorders>
            <w:shd w:val="clear" w:color="auto" w:fill="auto"/>
            <w:noWrap/>
            <w:vAlign w:val="center"/>
            <w:hideMark/>
          </w:tcPr>
          <w:p w14:paraId="69A6C38C"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15,9%</w:t>
            </w:r>
          </w:p>
        </w:tc>
      </w:tr>
      <w:tr w:rsidR="002B243B" w:rsidRPr="002B243B" w14:paraId="5C40A4D7" w14:textId="77777777" w:rsidTr="002B243B">
        <w:trPr>
          <w:trHeight w:val="225"/>
          <w:jc w:val="center"/>
        </w:trPr>
        <w:tc>
          <w:tcPr>
            <w:tcW w:w="2183" w:type="dxa"/>
            <w:tcBorders>
              <w:top w:val="nil"/>
              <w:left w:val="single" w:sz="8" w:space="0" w:color="8DB3E2"/>
              <w:bottom w:val="single" w:sz="8" w:space="0" w:color="95B3D7"/>
              <w:right w:val="single" w:sz="8" w:space="0" w:color="8DB3E2"/>
            </w:tcBorders>
            <w:shd w:val="clear" w:color="000000" w:fill="DBE5F1"/>
            <w:noWrap/>
            <w:vAlign w:val="center"/>
            <w:hideMark/>
          </w:tcPr>
          <w:p w14:paraId="0FC36AAB" w14:textId="77777777" w:rsidR="002B243B" w:rsidRPr="002B243B" w:rsidRDefault="002B243B" w:rsidP="002B243B">
            <w:pPr>
              <w:spacing w:after="0" w:line="240" w:lineRule="auto"/>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 xml:space="preserve">        Popular</w:t>
            </w:r>
          </w:p>
        </w:tc>
        <w:tc>
          <w:tcPr>
            <w:tcW w:w="1016" w:type="dxa"/>
            <w:tcBorders>
              <w:top w:val="nil"/>
              <w:left w:val="nil"/>
              <w:bottom w:val="single" w:sz="8" w:space="0" w:color="95B3D7"/>
              <w:right w:val="single" w:sz="8" w:space="0" w:color="8DB3E2"/>
            </w:tcBorders>
            <w:shd w:val="clear" w:color="000000" w:fill="DBE5F1"/>
            <w:noWrap/>
            <w:vAlign w:val="center"/>
            <w:hideMark/>
          </w:tcPr>
          <w:p w14:paraId="56DFED33"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351 244</w:t>
            </w:r>
          </w:p>
        </w:tc>
        <w:tc>
          <w:tcPr>
            <w:tcW w:w="705" w:type="dxa"/>
            <w:tcBorders>
              <w:top w:val="nil"/>
              <w:left w:val="nil"/>
              <w:bottom w:val="single" w:sz="8" w:space="0" w:color="95B3D7"/>
              <w:right w:val="single" w:sz="8" w:space="0" w:color="8DB3E2"/>
            </w:tcBorders>
            <w:shd w:val="clear" w:color="000000" w:fill="DBE5F1"/>
            <w:noWrap/>
            <w:vAlign w:val="center"/>
            <w:hideMark/>
          </w:tcPr>
          <w:p w14:paraId="679B9784"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15,6%</w:t>
            </w:r>
          </w:p>
        </w:tc>
        <w:tc>
          <w:tcPr>
            <w:tcW w:w="947" w:type="dxa"/>
            <w:tcBorders>
              <w:top w:val="nil"/>
              <w:left w:val="nil"/>
              <w:bottom w:val="single" w:sz="8" w:space="0" w:color="95B3D7"/>
              <w:right w:val="single" w:sz="8" w:space="0" w:color="8DB3E2"/>
            </w:tcBorders>
            <w:shd w:val="clear" w:color="000000" w:fill="DBE5F1"/>
            <w:noWrap/>
            <w:vAlign w:val="center"/>
            <w:hideMark/>
          </w:tcPr>
          <w:p w14:paraId="5710828F"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390 697</w:t>
            </w:r>
          </w:p>
        </w:tc>
        <w:tc>
          <w:tcPr>
            <w:tcW w:w="705" w:type="dxa"/>
            <w:tcBorders>
              <w:top w:val="nil"/>
              <w:left w:val="nil"/>
              <w:bottom w:val="single" w:sz="8" w:space="0" w:color="95B3D7"/>
              <w:right w:val="single" w:sz="8" w:space="0" w:color="8DB3E2"/>
            </w:tcBorders>
            <w:shd w:val="clear" w:color="000000" w:fill="DBE5F1"/>
            <w:noWrap/>
            <w:vAlign w:val="center"/>
            <w:hideMark/>
          </w:tcPr>
          <w:p w14:paraId="2F6D9F76"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14,6%</w:t>
            </w:r>
          </w:p>
        </w:tc>
        <w:tc>
          <w:tcPr>
            <w:tcW w:w="1074" w:type="dxa"/>
            <w:tcBorders>
              <w:top w:val="nil"/>
              <w:left w:val="nil"/>
              <w:bottom w:val="single" w:sz="8" w:space="0" w:color="95B3D7"/>
              <w:right w:val="single" w:sz="8" w:space="0" w:color="8DB3E2"/>
            </w:tcBorders>
            <w:shd w:val="clear" w:color="000000" w:fill="DBE5F1"/>
            <w:noWrap/>
            <w:vAlign w:val="center"/>
            <w:hideMark/>
          </w:tcPr>
          <w:p w14:paraId="1B8B40D8"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385 821</w:t>
            </w:r>
          </w:p>
        </w:tc>
        <w:tc>
          <w:tcPr>
            <w:tcW w:w="705" w:type="dxa"/>
            <w:tcBorders>
              <w:top w:val="nil"/>
              <w:left w:val="nil"/>
              <w:bottom w:val="single" w:sz="8" w:space="0" w:color="95B3D7"/>
              <w:right w:val="single" w:sz="8" w:space="0" w:color="8DB3E2"/>
            </w:tcBorders>
            <w:shd w:val="clear" w:color="000000" w:fill="DBE5F1"/>
            <w:noWrap/>
            <w:vAlign w:val="center"/>
            <w:hideMark/>
          </w:tcPr>
          <w:p w14:paraId="4843632E"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11,6%</w:t>
            </w:r>
          </w:p>
        </w:tc>
      </w:tr>
      <w:tr w:rsidR="002B243B" w:rsidRPr="002B243B" w14:paraId="040A7CEE" w14:textId="77777777" w:rsidTr="002B243B">
        <w:trPr>
          <w:trHeight w:val="225"/>
          <w:jc w:val="center"/>
        </w:trPr>
        <w:tc>
          <w:tcPr>
            <w:tcW w:w="2183" w:type="dxa"/>
            <w:tcBorders>
              <w:top w:val="nil"/>
              <w:left w:val="single" w:sz="8" w:space="0" w:color="8DB3E2"/>
              <w:bottom w:val="single" w:sz="8" w:space="0" w:color="95B3D7"/>
              <w:right w:val="single" w:sz="8" w:space="0" w:color="8DB3E2"/>
            </w:tcBorders>
            <w:shd w:val="clear" w:color="auto" w:fill="auto"/>
            <w:noWrap/>
            <w:vAlign w:val="center"/>
            <w:hideMark/>
          </w:tcPr>
          <w:p w14:paraId="3700B0BC" w14:textId="77777777" w:rsidR="002B243B" w:rsidRPr="002B243B" w:rsidRDefault="002B243B" w:rsidP="002B243B">
            <w:pPr>
              <w:spacing w:after="0" w:line="240" w:lineRule="auto"/>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 xml:space="preserve">        SJ-Pensiones </w:t>
            </w:r>
          </w:p>
        </w:tc>
        <w:tc>
          <w:tcPr>
            <w:tcW w:w="1016" w:type="dxa"/>
            <w:tcBorders>
              <w:top w:val="nil"/>
              <w:left w:val="nil"/>
              <w:bottom w:val="single" w:sz="8" w:space="0" w:color="95B3D7"/>
              <w:right w:val="single" w:sz="8" w:space="0" w:color="8DB3E2"/>
            </w:tcBorders>
            <w:shd w:val="clear" w:color="auto" w:fill="auto"/>
            <w:noWrap/>
            <w:vAlign w:val="center"/>
            <w:hideMark/>
          </w:tcPr>
          <w:p w14:paraId="3088F3F7"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103 263</w:t>
            </w:r>
          </w:p>
        </w:tc>
        <w:tc>
          <w:tcPr>
            <w:tcW w:w="705" w:type="dxa"/>
            <w:tcBorders>
              <w:top w:val="nil"/>
              <w:left w:val="nil"/>
              <w:bottom w:val="single" w:sz="8" w:space="0" w:color="95B3D7"/>
              <w:right w:val="single" w:sz="8" w:space="0" w:color="8DB3E2"/>
            </w:tcBorders>
            <w:shd w:val="clear" w:color="auto" w:fill="auto"/>
            <w:noWrap/>
            <w:vAlign w:val="center"/>
            <w:hideMark/>
          </w:tcPr>
          <w:p w14:paraId="11041224"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14,2%</w:t>
            </w:r>
          </w:p>
        </w:tc>
        <w:tc>
          <w:tcPr>
            <w:tcW w:w="947" w:type="dxa"/>
            <w:tcBorders>
              <w:top w:val="nil"/>
              <w:left w:val="nil"/>
              <w:bottom w:val="single" w:sz="8" w:space="0" w:color="95B3D7"/>
              <w:right w:val="single" w:sz="8" w:space="0" w:color="8DB3E2"/>
            </w:tcBorders>
            <w:shd w:val="clear" w:color="auto" w:fill="auto"/>
            <w:noWrap/>
            <w:vAlign w:val="center"/>
            <w:hideMark/>
          </w:tcPr>
          <w:p w14:paraId="6438A686"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118 897</w:t>
            </w:r>
          </w:p>
        </w:tc>
        <w:tc>
          <w:tcPr>
            <w:tcW w:w="705" w:type="dxa"/>
            <w:tcBorders>
              <w:top w:val="nil"/>
              <w:left w:val="nil"/>
              <w:bottom w:val="single" w:sz="8" w:space="0" w:color="95B3D7"/>
              <w:right w:val="single" w:sz="8" w:space="0" w:color="8DB3E2"/>
            </w:tcBorders>
            <w:shd w:val="clear" w:color="auto" w:fill="auto"/>
            <w:noWrap/>
            <w:vAlign w:val="center"/>
            <w:hideMark/>
          </w:tcPr>
          <w:p w14:paraId="6C594C67"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13,9%</w:t>
            </w:r>
          </w:p>
        </w:tc>
        <w:tc>
          <w:tcPr>
            <w:tcW w:w="1074" w:type="dxa"/>
            <w:tcBorders>
              <w:top w:val="nil"/>
              <w:left w:val="nil"/>
              <w:bottom w:val="single" w:sz="8" w:space="0" w:color="95B3D7"/>
              <w:right w:val="single" w:sz="8" w:space="0" w:color="8DB3E2"/>
            </w:tcBorders>
            <w:shd w:val="clear" w:color="auto" w:fill="auto"/>
            <w:noWrap/>
            <w:vAlign w:val="center"/>
            <w:hideMark/>
          </w:tcPr>
          <w:p w14:paraId="38D4F092"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26 935</w:t>
            </w:r>
          </w:p>
        </w:tc>
        <w:tc>
          <w:tcPr>
            <w:tcW w:w="705" w:type="dxa"/>
            <w:tcBorders>
              <w:top w:val="nil"/>
              <w:left w:val="nil"/>
              <w:bottom w:val="single" w:sz="8" w:space="0" w:color="95B3D7"/>
              <w:right w:val="single" w:sz="8" w:space="0" w:color="8DB3E2"/>
            </w:tcBorders>
            <w:shd w:val="clear" w:color="auto" w:fill="auto"/>
            <w:noWrap/>
            <w:vAlign w:val="center"/>
            <w:hideMark/>
          </w:tcPr>
          <w:p w14:paraId="5C1DF345"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2,7%</w:t>
            </w:r>
          </w:p>
        </w:tc>
      </w:tr>
      <w:tr w:rsidR="002B243B" w:rsidRPr="002B243B" w14:paraId="75C411DB" w14:textId="77777777" w:rsidTr="002B243B">
        <w:trPr>
          <w:trHeight w:val="225"/>
          <w:jc w:val="center"/>
        </w:trPr>
        <w:tc>
          <w:tcPr>
            <w:tcW w:w="2183" w:type="dxa"/>
            <w:tcBorders>
              <w:top w:val="nil"/>
              <w:left w:val="single" w:sz="8" w:space="0" w:color="8DB3E2"/>
              <w:bottom w:val="double" w:sz="6" w:space="0" w:color="95B3D7"/>
              <w:right w:val="single" w:sz="8" w:space="0" w:color="8DB3E2"/>
            </w:tcBorders>
            <w:shd w:val="clear" w:color="000000" w:fill="DBE5F1"/>
            <w:noWrap/>
            <w:vAlign w:val="center"/>
            <w:hideMark/>
          </w:tcPr>
          <w:p w14:paraId="2167684A" w14:textId="77777777" w:rsidR="002B243B" w:rsidRPr="002B243B" w:rsidRDefault="002B243B" w:rsidP="002B243B">
            <w:pPr>
              <w:spacing w:after="0" w:line="240" w:lineRule="auto"/>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 xml:space="preserve">        Vida Plena </w:t>
            </w:r>
          </w:p>
        </w:tc>
        <w:tc>
          <w:tcPr>
            <w:tcW w:w="1016" w:type="dxa"/>
            <w:tcBorders>
              <w:top w:val="nil"/>
              <w:left w:val="nil"/>
              <w:bottom w:val="double" w:sz="6" w:space="0" w:color="95B3D7"/>
              <w:right w:val="single" w:sz="8" w:space="0" w:color="8DB3E2"/>
            </w:tcBorders>
            <w:shd w:val="clear" w:color="000000" w:fill="DBE5F1"/>
            <w:noWrap/>
            <w:vAlign w:val="center"/>
            <w:hideMark/>
          </w:tcPr>
          <w:p w14:paraId="1718B0B5"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86 532</w:t>
            </w:r>
          </w:p>
        </w:tc>
        <w:tc>
          <w:tcPr>
            <w:tcW w:w="705" w:type="dxa"/>
            <w:tcBorders>
              <w:top w:val="nil"/>
              <w:left w:val="nil"/>
              <w:bottom w:val="double" w:sz="6" w:space="0" w:color="95B3D7"/>
              <w:right w:val="single" w:sz="8" w:space="0" w:color="8DB3E2"/>
            </w:tcBorders>
            <w:shd w:val="clear" w:color="000000" w:fill="DBE5F1"/>
            <w:noWrap/>
            <w:vAlign w:val="center"/>
            <w:hideMark/>
          </w:tcPr>
          <w:p w14:paraId="293FD0B8"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12,6%</w:t>
            </w:r>
          </w:p>
        </w:tc>
        <w:tc>
          <w:tcPr>
            <w:tcW w:w="947" w:type="dxa"/>
            <w:tcBorders>
              <w:top w:val="nil"/>
              <w:left w:val="nil"/>
              <w:bottom w:val="double" w:sz="6" w:space="0" w:color="95B3D7"/>
              <w:right w:val="single" w:sz="8" w:space="0" w:color="8DB3E2"/>
            </w:tcBorders>
            <w:shd w:val="clear" w:color="000000" w:fill="DBE5F1"/>
            <w:noWrap/>
            <w:vAlign w:val="center"/>
            <w:hideMark/>
          </w:tcPr>
          <w:p w14:paraId="1036E8D4"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85 756</w:t>
            </w:r>
          </w:p>
        </w:tc>
        <w:tc>
          <w:tcPr>
            <w:tcW w:w="705" w:type="dxa"/>
            <w:tcBorders>
              <w:top w:val="nil"/>
              <w:left w:val="nil"/>
              <w:bottom w:val="double" w:sz="6" w:space="0" w:color="95B3D7"/>
              <w:right w:val="single" w:sz="8" w:space="0" w:color="8DB3E2"/>
            </w:tcBorders>
            <w:shd w:val="clear" w:color="000000" w:fill="DBE5F1"/>
            <w:noWrap/>
            <w:vAlign w:val="center"/>
            <w:hideMark/>
          </w:tcPr>
          <w:p w14:paraId="258ED985"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10,6%</w:t>
            </w:r>
          </w:p>
        </w:tc>
        <w:tc>
          <w:tcPr>
            <w:tcW w:w="1074" w:type="dxa"/>
            <w:tcBorders>
              <w:top w:val="nil"/>
              <w:left w:val="nil"/>
              <w:bottom w:val="double" w:sz="6" w:space="0" w:color="95B3D7"/>
              <w:right w:val="single" w:sz="8" w:space="0" w:color="8DB3E2"/>
            </w:tcBorders>
            <w:shd w:val="clear" w:color="000000" w:fill="DBE5F1"/>
            <w:noWrap/>
            <w:vAlign w:val="center"/>
            <w:hideMark/>
          </w:tcPr>
          <w:p w14:paraId="743B883F"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85 103</w:t>
            </w:r>
          </w:p>
        </w:tc>
        <w:tc>
          <w:tcPr>
            <w:tcW w:w="705" w:type="dxa"/>
            <w:tcBorders>
              <w:top w:val="nil"/>
              <w:left w:val="nil"/>
              <w:bottom w:val="double" w:sz="6" w:space="0" w:color="95B3D7"/>
              <w:right w:val="single" w:sz="8" w:space="0" w:color="8DB3E2"/>
            </w:tcBorders>
            <w:shd w:val="clear" w:color="000000" w:fill="DBE5F1"/>
            <w:noWrap/>
            <w:vAlign w:val="center"/>
            <w:hideMark/>
          </w:tcPr>
          <w:p w14:paraId="2AE6DD49"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9,2%</w:t>
            </w:r>
          </w:p>
        </w:tc>
      </w:tr>
      <w:tr w:rsidR="002B243B" w:rsidRPr="002B243B" w14:paraId="24FA608B" w14:textId="77777777" w:rsidTr="002B243B">
        <w:trPr>
          <w:trHeight w:val="235"/>
          <w:jc w:val="center"/>
        </w:trPr>
        <w:tc>
          <w:tcPr>
            <w:tcW w:w="2183" w:type="dxa"/>
            <w:tcBorders>
              <w:top w:val="nil"/>
              <w:left w:val="single" w:sz="8" w:space="0" w:color="8DB3E2"/>
              <w:bottom w:val="single" w:sz="8" w:space="0" w:color="95B3D7"/>
              <w:right w:val="single" w:sz="8" w:space="0" w:color="8DB3E2"/>
            </w:tcBorders>
            <w:shd w:val="clear" w:color="auto" w:fill="auto"/>
            <w:noWrap/>
            <w:vAlign w:val="center"/>
            <w:hideMark/>
          </w:tcPr>
          <w:p w14:paraId="7DEE04AD" w14:textId="77777777" w:rsidR="002B243B" w:rsidRPr="002B243B" w:rsidRDefault="002B243B" w:rsidP="002B243B">
            <w:pPr>
              <w:spacing w:after="0" w:line="240" w:lineRule="auto"/>
              <w:rPr>
                <w:rFonts w:ascii="Calibri" w:eastAsia="Times New Roman" w:hAnsi="Calibri" w:cs="Calibri"/>
                <w:b/>
                <w:bCs/>
                <w:color w:val="000000"/>
                <w:sz w:val="20"/>
                <w:szCs w:val="20"/>
                <w:lang w:val="es-CR" w:eastAsia="es-CR"/>
              </w:rPr>
            </w:pPr>
            <w:r w:rsidRPr="002B243B">
              <w:rPr>
                <w:rFonts w:ascii="Calibri" w:eastAsia="Times New Roman" w:hAnsi="Calibri" w:cs="Calibri"/>
                <w:b/>
                <w:bCs/>
                <w:color w:val="000000"/>
                <w:sz w:val="20"/>
                <w:szCs w:val="20"/>
                <w:lang w:eastAsia="es-CR"/>
              </w:rPr>
              <w:t xml:space="preserve"> Total </w:t>
            </w:r>
          </w:p>
        </w:tc>
        <w:tc>
          <w:tcPr>
            <w:tcW w:w="1016" w:type="dxa"/>
            <w:tcBorders>
              <w:top w:val="nil"/>
              <w:left w:val="nil"/>
              <w:bottom w:val="single" w:sz="8" w:space="0" w:color="95B3D7"/>
              <w:right w:val="single" w:sz="8" w:space="0" w:color="8DB3E2"/>
            </w:tcBorders>
            <w:shd w:val="clear" w:color="auto" w:fill="auto"/>
            <w:noWrap/>
            <w:vAlign w:val="center"/>
            <w:hideMark/>
          </w:tcPr>
          <w:p w14:paraId="2F366672"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1 714 482</w:t>
            </w:r>
          </w:p>
        </w:tc>
        <w:tc>
          <w:tcPr>
            <w:tcW w:w="705" w:type="dxa"/>
            <w:tcBorders>
              <w:top w:val="nil"/>
              <w:left w:val="nil"/>
              <w:bottom w:val="single" w:sz="8" w:space="0" w:color="95B3D7"/>
              <w:right w:val="single" w:sz="8" w:space="0" w:color="8DB3E2"/>
            </w:tcBorders>
            <w:shd w:val="clear" w:color="auto" w:fill="auto"/>
            <w:noWrap/>
            <w:vAlign w:val="center"/>
            <w:hideMark/>
          </w:tcPr>
          <w:p w14:paraId="5504F828"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28,8%</w:t>
            </w:r>
          </w:p>
        </w:tc>
        <w:tc>
          <w:tcPr>
            <w:tcW w:w="947" w:type="dxa"/>
            <w:tcBorders>
              <w:top w:val="nil"/>
              <w:left w:val="nil"/>
              <w:bottom w:val="single" w:sz="8" w:space="0" w:color="95B3D7"/>
              <w:right w:val="single" w:sz="8" w:space="0" w:color="8DB3E2"/>
            </w:tcBorders>
            <w:shd w:val="clear" w:color="auto" w:fill="auto"/>
            <w:noWrap/>
            <w:vAlign w:val="center"/>
            <w:hideMark/>
          </w:tcPr>
          <w:p w14:paraId="3AB10114"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1 920 295</w:t>
            </w:r>
          </w:p>
        </w:tc>
        <w:tc>
          <w:tcPr>
            <w:tcW w:w="705" w:type="dxa"/>
            <w:tcBorders>
              <w:top w:val="nil"/>
              <w:left w:val="nil"/>
              <w:bottom w:val="single" w:sz="8" w:space="0" w:color="95B3D7"/>
              <w:right w:val="single" w:sz="8" w:space="0" w:color="8DB3E2"/>
            </w:tcBorders>
            <w:shd w:val="clear" w:color="auto" w:fill="auto"/>
            <w:noWrap/>
            <w:vAlign w:val="center"/>
            <w:hideMark/>
          </w:tcPr>
          <w:p w14:paraId="33834158"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27,3%</w:t>
            </w:r>
          </w:p>
        </w:tc>
        <w:tc>
          <w:tcPr>
            <w:tcW w:w="1074" w:type="dxa"/>
            <w:tcBorders>
              <w:top w:val="nil"/>
              <w:left w:val="nil"/>
              <w:bottom w:val="single" w:sz="8" w:space="0" w:color="95B3D7"/>
              <w:right w:val="single" w:sz="8" w:space="0" w:color="8DB3E2"/>
            </w:tcBorders>
            <w:shd w:val="clear" w:color="auto" w:fill="auto"/>
            <w:noWrap/>
            <w:vAlign w:val="center"/>
            <w:hideMark/>
          </w:tcPr>
          <w:p w14:paraId="4D6EA815"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2 944 169</w:t>
            </w:r>
          </w:p>
        </w:tc>
        <w:tc>
          <w:tcPr>
            <w:tcW w:w="705" w:type="dxa"/>
            <w:tcBorders>
              <w:top w:val="nil"/>
              <w:left w:val="nil"/>
              <w:bottom w:val="single" w:sz="8" w:space="0" w:color="95B3D7"/>
              <w:right w:val="single" w:sz="8" w:space="0" w:color="8DB3E2"/>
            </w:tcBorders>
            <w:shd w:val="clear" w:color="auto" w:fill="auto"/>
            <w:noWrap/>
            <w:vAlign w:val="center"/>
            <w:hideMark/>
          </w:tcPr>
          <w:p w14:paraId="293302AD" w14:textId="77777777" w:rsidR="002B243B" w:rsidRPr="002B243B" w:rsidRDefault="002B243B" w:rsidP="002B243B">
            <w:pPr>
              <w:spacing w:after="0" w:line="240" w:lineRule="auto"/>
              <w:jc w:val="right"/>
              <w:rPr>
                <w:rFonts w:ascii="Calibri" w:eastAsia="Times New Roman" w:hAnsi="Calibri" w:cs="Calibri"/>
                <w:color w:val="000000"/>
                <w:sz w:val="20"/>
                <w:szCs w:val="20"/>
                <w:lang w:val="es-CR" w:eastAsia="es-CR"/>
              </w:rPr>
            </w:pPr>
            <w:r w:rsidRPr="002B243B">
              <w:rPr>
                <w:rFonts w:ascii="Calibri" w:eastAsia="Times New Roman" w:hAnsi="Calibri" w:cs="Calibri"/>
                <w:color w:val="000000"/>
                <w:sz w:val="20"/>
                <w:szCs w:val="20"/>
                <w:lang w:eastAsia="es-CR"/>
              </w:rPr>
              <w:t>35,5%</w:t>
            </w:r>
          </w:p>
        </w:tc>
      </w:tr>
    </w:tbl>
    <w:p w14:paraId="34568917" w14:textId="77777777" w:rsidR="00315A03" w:rsidRDefault="00315A03" w:rsidP="00060865">
      <w:pPr>
        <w:pStyle w:val="Descripcin"/>
        <w:spacing w:after="0"/>
        <w:ind w:firstLine="708"/>
      </w:pPr>
      <w:r w:rsidRPr="00021BD0">
        <w:t>Fuente: Elaboración propia</w:t>
      </w:r>
    </w:p>
    <w:p w14:paraId="76D613F7" w14:textId="77777777" w:rsidR="002114A8" w:rsidRPr="00021BD0" w:rsidRDefault="002114A8" w:rsidP="002114A8">
      <w:pPr>
        <w:spacing w:after="0" w:line="240" w:lineRule="auto"/>
        <w:jc w:val="both"/>
      </w:pPr>
      <w:r w:rsidRPr="00021BD0">
        <w:lastRenderedPageBreak/>
        <w:t xml:space="preserve">En el caso del ROP, el crecimiento de los activos y la poca oferta de instrumentos en el mercado local, ha provocado que los administradores de los fondos diversifiquen su cartera en el mercado internacional. </w:t>
      </w:r>
    </w:p>
    <w:p w14:paraId="0DC8D80E" w14:textId="77777777" w:rsidR="002114A8" w:rsidRDefault="002114A8" w:rsidP="003305D0">
      <w:pPr>
        <w:spacing w:after="0" w:line="240" w:lineRule="auto"/>
        <w:jc w:val="both"/>
      </w:pPr>
    </w:p>
    <w:p w14:paraId="6D154529" w14:textId="77777777" w:rsidR="003305D0" w:rsidRDefault="003305D0" w:rsidP="003305D0">
      <w:pPr>
        <w:spacing w:after="0" w:line="240" w:lineRule="auto"/>
        <w:jc w:val="both"/>
      </w:pPr>
      <w:r>
        <w:t>Del cuadro anterior podemos concluir que e</w:t>
      </w:r>
      <w:r w:rsidRPr="00060865">
        <w:t xml:space="preserve">l porcentaje de inversiones en moneda extranjera del ROP aumentó en casi 7 p.p. en los dos últimos años, destacando a su vez un aumento 11 p.p. en </w:t>
      </w:r>
      <w:r w:rsidR="00ED6015">
        <w:t>el sector extranjero</w:t>
      </w:r>
      <w:r w:rsidRPr="00060865">
        <w:t>.</w:t>
      </w:r>
    </w:p>
    <w:p w14:paraId="640B18F3" w14:textId="77777777" w:rsidR="00060865" w:rsidRPr="00060865" w:rsidRDefault="00060865" w:rsidP="00060865">
      <w:pPr>
        <w:spacing w:after="0" w:line="240" w:lineRule="auto"/>
      </w:pPr>
    </w:p>
    <w:p w14:paraId="18C90137" w14:textId="77777777" w:rsidR="00CF15EE" w:rsidRPr="00C470C3" w:rsidRDefault="00AA66AE" w:rsidP="00CE0F8B">
      <w:pPr>
        <w:pStyle w:val="Ttulo2"/>
        <w:numPr>
          <w:ilvl w:val="1"/>
          <w:numId w:val="1"/>
        </w:numPr>
      </w:pPr>
      <w:bookmarkStart w:id="13" w:name="_Toc73096120"/>
      <w:r w:rsidRPr="00C470C3">
        <w:t>Rentabilidad</w:t>
      </w:r>
      <w:bookmarkEnd w:id="13"/>
    </w:p>
    <w:p w14:paraId="724053C6" w14:textId="77777777" w:rsidR="00A231D8" w:rsidRDefault="00A231D8" w:rsidP="00F0352E">
      <w:pPr>
        <w:spacing w:after="0" w:line="240" w:lineRule="auto"/>
        <w:jc w:val="both"/>
      </w:pPr>
    </w:p>
    <w:p w14:paraId="28DAC6FF" w14:textId="77777777" w:rsidR="00DD1F4C" w:rsidRDefault="00DD1F4C" w:rsidP="00F0352E">
      <w:pPr>
        <w:spacing w:after="0" w:line="240" w:lineRule="auto"/>
        <w:jc w:val="both"/>
      </w:pPr>
      <w:r w:rsidRPr="00DD1F4C">
        <w:t xml:space="preserve">Durante el </w:t>
      </w:r>
      <w:r w:rsidR="000144FD">
        <w:t>primer</w:t>
      </w:r>
      <w:r w:rsidRPr="00DD1F4C">
        <w:t xml:space="preserve"> trimestre de</w:t>
      </w:r>
      <w:r w:rsidR="000144FD">
        <w:t>l</w:t>
      </w:r>
      <w:r w:rsidRPr="00DD1F4C">
        <w:t xml:space="preserve"> 202</w:t>
      </w:r>
      <w:r w:rsidR="000144FD">
        <w:t>1</w:t>
      </w:r>
      <w:r w:rsidRPr="00C470C3">
        <w:t>, los mercados financieros internacionales mostraron una tendencia</w:t>
      </w:r>
      <w:r w:rsidR="00963952" w:rsidRPr="00C470C3">
        <w:t xml:space="preserve"> al alza</w:t>
      </w:r>
      <w:r w:rsidRPr="00C470C3">
        <w:t>, favoreciendo la rentabilidad de los fondos administrados</w:t>
      </w:r>
      <w:r w:rsidR="00060A18" w:rsidRPr="00C470C3">
        <w:t xml:space="preserve"> con</w:t>
      </w:r>
      <w:r w:rsidR="00B0129A" w:rsidRPr="00C470C3">
        <w:t xml:space="preserve"> exposición</w:t>
      </w:r>
      <w:r w:rsidR="003E699E" w:rsidRPr="00C470C3">
        <w:t xml:space="preserve"> a instrumentos internacionales</w:t>
      </w:r>
      <w:r w:rsidR="00B0129A" w:rsidRPr="00C470C3">
        <w:t xml:space="preserve">, entre mayor sea el porcentaje de la cartera invertido en valores extranjeros, mayor ha sido </w:t>
      </w:r>
      <w:r w:rsidR="006C7809" w:rsidRPr="00C470C3">
        <w:t>el efecto</w:t>
      </w:r>
      <w:r w:rsidR="00CD6463" w:rsidRPr="00C470C3">
        <w:t xml:space="preserve"> positivo</w:t>
      </w:r>
      <w:r w:rsidR="006C7809" w:rsidRPr="00C470C3">
        <w:t xml:space="preserve"> en los portafolios</w:t>
      </w:r>
      <w:r w:rsidR="00730022" w:rsidRPr="00C470C3">
        <w:t>.</w:t>
      </w:r>
    </w:p>
    <w:p w14:paraId="6C10E60C" w14:textId="77777777" w:rsidR="00F51959" w:rsidRDefault="00F51959" w:rsidP="00F0352E">
      <w:pPr>
        <w:spacing w:after="0" w:line="240" w:lineRule="auto"/>
        <w:jc w:val="both"/>
      </w:pPr>
    </w:p>
    <w:p w14:paraId="5F564A27" w14:textId="77777777" w:rsidR="00766731" w:rsidRDefault="00907B37" w:rsidP="00780F08">
      <w:pPr>
        <w:spacing w:after="0" w:line="240" w:lineRule="auto"/>
        <w:jc w:val="both"/>
      </w:pPr>
      <w:r w:rsidRPr="007B1272">
        <w:t>En el mercado local, d</w:t>
      </w:r>
      <w:r w:rsidR="00F0352E" w:rsidRPr="007B1272">
        <w:t>urante</w:t>
      </w:r>
      <w:r w:rsidR="00801BFB" w:rsidRPr="007B1272">
        <w:t xml:space="preserve"> </w:t>
      </w:r>
      <w:r w:rsidR="00B26B33" w:rsidRPr="007B1272">
        <w:t xml:space="preserve">el </w:t>
      </w:r>
      <w:r w:rsidR="001A284C" w:rsidRPr="007B1272">
        <w:t>trimestre</w:t>
      </w:r>
      <w:r w:rsidR="00801BFB" w:rsidRPr="007B1272">
        <w:t xml:space="preserve"> </w:t>
      </w:r>
      <w:r w:rsidR="00FC48B6" w:rsidRPr="007B1272">
        <w:t xml:space="preserve">la curva de rendimientos en colones del BCCR </w:t>
      </w:r>
      <w:r w:rsidR="00717D49" w:rsidRPr="007B1272">
        <w:t>pres</w:t>
      </w:r>
      <w:r w:rsidR="001F3FD4" w:rsidRPr="007B1272">
        <w:t>e</w:t>
      </w:r>
      <w:r w:rsidR="00717D49" w:rsidRPr="007B1272">
        <w:t xml:space="preserve">ntó un desplazamiento hacia </w:t>
      </w:r>
      <w:r w:rsidR="006A5EB3" w:rsidRPr="007B1272">
        <w:t>a</w:t>
      </w:r>
      <w:r w:rsidR="006A5EB3">
        <w:t xml:space="preserve">rriba </w:t>
      </w:r>
      <w:r w:rsidR="00C304B5" w:rsidRPr="007B1272">
        <w:t>en los plazo</w:t>
      </w:r>
      <w:r w:rsidR="00CE05D7" w:rsidRPr="007B1272">
        <w:t>s</w:t>
      </w:r>
      <w:r w:rsidR="00C304B5" w:rsidRPr="007B1272">
        <w:t xml:space="preserve"> inferiores a los </w:t>
      </w:r>
      <w:r w:rsidR="006A5EB3">
        <w:t>2,5</w:t>
      </w:r>
      <w:r w:rsidR="00C304B5" w:rsidRPr="007B1272">
        <w:t xml:space="preserve"> años</w:t>
      </w:r>
      <w:r w:rsidR="00717D49" w:rsidRPr="007B1272">
        <w:t xml:space="preserve">, </w:t>
      </w:r>
      <w:r w:rsidR="0068020F" w:rsidRPr="007B1272">
        <w:t xml:space="preserve">afectando </w:t>
      </w:r>
      <w:r w:rsidR="001F3FD4" w:rsidRPr="007B1272">
        <w:t xml:space="preserve">de manera </w:t>
      </w:r>
      <w:r w:rsidR="006A5EB3">
        <w:t>negativa</w:t>
      </w:r>
      <w:r w:rsidR="00C304B5" w:rsidRPr="007B1272">
        <w:t xml:space="preserve"> </w:t>
      </w:r>
      <w:r w:rsidR="0068020F" w:rsidRPr="007B1272">
        <w:t xml:space="preserve">el valor de las inversiones en </w:t>
      </w:r>
      <w:r w:rsidR="00A400A0" w:rsidRPr="007B1272">
        <w:t xml:space="preserve">locales </w:t>
      </w:r>
      <w:r w:rsidR="001F3FD4" w:rsidRPr="007B1272">
        <w:t>de los portafolios de pensiones</w:t>
      </w:r>
      <w:r w:rsidR="00D75AB3">
        <w:t>.</w:t>
      </w:r>
      <w:r w:rsidR="009F6D79">
        <w:t xml:space="preserve"> </w:t>
      </w:r>
      <w:r w:rsidR="00D75AB3">
        <w:t>P</w:t>
      </w:r>
      <w:r w:rsidR="009F6D79">
        <w:t>or</w:t>
      </w:r>
      <w:r w:rsidR="00D75AB3">
        <w:t xml:space="preserve"> </w:t>
      </w:r>
      <w:r w:rsidR="009F6D79">
        <w:t>el contrario</w:t>
      </w:r>
      <w:r w:rsidR="00D75AB3">
        <w:t>,</w:t>
      </w:r>
      <w:r w:rsidR="009F6D79">
        <w:t xml:space="preserve"> </w:t>
      </w:r>
      <w:r w:rsidR="00D75AB3">
        <w:t>en</w:t>
      </w:r>
      <w:r w:rsidR="00103286" w:rsidRPr="007B1272">
        <w:t xml:space="preserve"> plazos </w:t>
      </w:r>
      <w:r w:rsidR="00964544" w:rsidRPr="007B1272">
        <w:t xml:space="preserve">superiores a los </w:t>
      </w:r>
      <w:r w:rsidR="006A5EB3">
        <w:t>2,</w:t>
      </w:r>
      <w:r w:rsidR="00EC2278" w:rsidRPr="007B1272">
        <w:t>5</w:t>
      </w:r>
      <w:r w:rsidR="00103286" w:rsidRPr="007B1272">
        <w:t xml:space="preserve"> años</w:t>
      </w:r>
      <w:r w:rsidR="00637EBB" w:rsidRPr="007B1272">
        <w:t xml:space="preserve"> </w:t>
      </w:r>
      <w:r w:rsidR="00E20D21" w:rsidRPr="007B1272">
        <w:t>se present</w:t>
      </w:r>
      <w:r w:rsidR="009F6D79">
        <w:t>ó</w:t>
      </w:r>
      <w:r w:rsidR="00E20D21" w:rsidRPr="007B1272">
        <w:t xml:space="preserve"> </w:t>
      </w:r>
      <w:r w:rsidR="00A33DEB" w:rsidRPr="007B1272">
        <w:t xml:space="preserve">un desplazamiento de la curva </w:t>
      </w:r>
      <w:r w:rsidR="004F113A" w:rsidRPr="007B1272">
        <w:t xml:space="preserve">en colones </w:t>
      </w:r>
      <w:r w:rsidR="00801BFB" w:rsidRPr="007B1272">
        <w:t xml:space="preserve">hacia </w:t>
      </w:r>
      <w:r w:rsidR="00AA7138" w:rsidRPr="007B1272">
        <w:t>a</w:t>
      </w:r>
      <w:r w:rsidR="006A5EB3">
        <w:t>bajo</w:t>
      </w:r>
      <w:r w:rsidR="00D75AB3">
        <w:t>,</w:t>
      </w:r>
      <w:r w:rsidR="00E6455F" w:rsidRPr="007B1272">
        <w:t xml:space="preserve"> provocando un efecto </w:t>
      </w:r>
      <w:r w:rsidR="00614D9C">
        <w:t>positivo</w:t>
      </w:r>
      <w:r w:rsidR="00964544" w:rsidRPr="007B1272">
        <w:t xml:space="preserve">. </w:t>
      </w:r>
      <w:r w:rsidR="00D75AB3">
        <w:t>El</w:t>
      </w:r>
      <w:r w:rsidR="005C0F80" w:rsidRPr="007B1272">
        <w:t xml:space="preserve"> efecto total del trimestre para la</w:t>
      </w:r>
      <w:r w:rsidR="00541CE5" w:rsidRPr="007B1272">
        <w:t>s</w:t>
      </w:r>
      <w:r w:rsidR="005C0F80" w:rsidRPr="007B1272">
        <w:t xml:space="preserve"> inversi</w:t>
      </w:r>
      <w:r w:rsidR="00541CE5" w:rsidRPr="007B1272">
        <w:t>o</w:t>
      </w:r>
      <w:r w:rsidR="005C0F80" w:rsidRPr="007B1272">
        <w:t>n</w:t>
      </w:r>
      <w:r w:rsidR="00541CE5" w:rsidRPr="007B1272">
        <w:t>es</w:t>
      </w:r>
      <w:r w:rsidR="005C0F80" w:rsidRPr="007B1272">
        <w:t xml:space="preserve"> local</w:t>
      </w:r>
      <w:r w:rsidR="00964544" w:rsidRPr="007B1272">
        <w:t>es</w:t>
      </w:r>
      <w:r w:rsidR="005C0F80" w:rsidRPr="007B1272">
        <w:t xml:space="preserve"> de los portafolios de pensiones </w:t>
      </w:r>
      <w:r w:rsidR="00541CE5" w:rsidRPr="007B1272">
        <w:t xml:space="preserve">depende de la composición </w:t>
      </w:r>
      <w:r w:rsidR="008A4B88" w:rsidRPr="007B1272">
        <w:t>por plazo</w:t>
      </w:r>
      <w:r w:rsidR="005C0F80" w:rsidRPr="007B1272">
        <w:t>.</w:t>
      </w:r>
    </w:p>
    <w:p w14:paraId="0C67944F" w14:textId="77777777" w:rsidR="00780F08" w:rsidRDefault="00780F08" w:rsidP="00780F08">
      <w:pPr>
        <w:spacing w:after="0" w:line="240" w:lineRule="auto"/>
        <w:jc w:val="both"/>
      </w:pPr>
    </w:p>
    <w:p w14:paraId="7CB161E1" w14:textId="77777777" w:rsidR="002F6A07" w:rsidRPr="00A26E04" w:rsidRDefault="00907B37" w:rsidP="002F6A07">
      <w:pPr>
        <w:spacing w:after="0" w:line="240" w:lineRule="auto"/>
        <w:jc w:val="both"/>
      </w:pPr>
      <w:r w:rsidRPr="00A26E04">
        <w:t>Por otro lado,</w:t>
      </w:r>
      <w:r w:rsidR="005B3BA5" w:rsidRPr="00A26E04">
        <w:t xml:space="preserve"> </w:t>
      </w:r>
      <w:r w:rsidR="00A27B83" w:rsidRPr="00A26E04">
        <w:t>el</w:t>
      </w:r>
      <w:r w:rsidR="00780F08" w:rsidRPr="00A26E04">
        <w:t xml:space="preserve"> tipo de </w:t>
      </w:r>
      <w:r w:rsidR="00123F47" w:rsidRPr="00A26E04">
        <w:t>cambio</w:t>
      </w:r>
      <w:r w:rsidR="00465350" w:rsidRPr="00A26E04">
        <w:t xml:space="preserve"> de referencia del BCCR</w:t>
      </w:r>
      <w:r w:rsidR="00780F08" w:rsidRPr="00A26E04">
        <w:t xml:space="preserve"> mostró fluctuaciones relevantes en este trimestre, oscilando su valor entre un mínimo de </w:t>
      </w:r>
      <w:r w:rsidR="00A827E4" w:rsidRPr="00A26E04">
        <w:rPr>
          <w:rFonts w:eastAsia="Times New Roman" w:cs="Calibri"/>
          <w:color w:val="000000"/>
          <w:lang w:val="es-CR"/>
        </w:rPr>
        <w:t>₡</w:t>
      </w:r>
      <w:r w:rsidR="00F35593" w:rsidRPr="00A26E04">
        <w:t>6</w:t>
      </w:r>
      <w:r w:rsidR="00017C11">
        <w:t>11,12</w:t>
      </w:r>
      <w:r w:rsidR="00C470C3">
        <w:t xml:space="preserve"> </w:t>
      </w:r>
      <w:r w:rsidR="00780F08" w:rsidRPr="00A26E04">
        <w:t xml:space="preserve">y un máximo de </w:t>
      </w:r>
      <w:r w:rsidR="00A827E4" w:rsidRPr="00A26E04">
        <w:rPr>
          <w:rFonts w:eastAsia="Times New Roman" w:cs="Calibri"/>
          <w:color w:val="000000"/>
          <w:lang w:val="es-CR"/>
        </w:rPr>
        <w:t>₡</w:t>
      </w:r>
      <w:r w:rsidR="00F35593" w:rsidRPr="00A26E04">
        <w:t>617,</w:t>
      </w:r>
      <w:r w:rsidR="00017C11">
        <w:t>8</w:t>
      </w:r>
      <w:r w:rsidR="00F35593" w:rsidRPr="00A26E04">
        <w:t>0</w:t>
      </w:r>
      <w:r w:rsidR="00794D98" w:rsidRPr="00A26E04">
        <w:t>. L</w:t>
      </w:r>
      <w:r w:rsidR="00780F08" w:rsidRPr="00A26E04">
        <w:t>a tasa básica pasiva (TBP), s</w:t>
      </w:r>
      <w:r w:rsidR="00D1615A">
        <w:t>e</w:t>
      </w:r>
      <w:r w:rsidR="00780F08" w:rsidRPr="00A26E04">
        <w:t xml:space="preserve"> man</w:t>
      </w:r>
      <w:r w:rsidR="0041744F">
        <w:t>t</w:t>
      </w:r>
      <w:r w:rsidR="00780F08" w:rsidRPr="00A26E04">
        <w:t>uvo</w:t>
      </w:r>
      <w:r w:rsidR="0041744F">
        <w:t xml:space="preserve"> su valor</w:t>
      </w:r>
      <w:r w:rsidR="00780F08" w:rsidRPr="00A26E04">
        <w:t xml:space="preserve"> entre</w:t>
      </w:r>
      <w:r w:rsidR="008E79B3">
        <w:t xml:space="preserve"> un mínimo de</w:t>
      </w:r>
      <w:r w:rsidR="00780F08" w:rsidRPr="00A26E04">
        <w:t xml:space="preserve"> </w:t>
      </w:r>
      <w:r w:rsidR="0029732E" w:rsidRPr="00A26E04">
        <w:t>3</w:t>
      </w:r>
      <w:r w:rsidR="00780F08" w:rsidRPr="00A26E04">
        <w:t>,</w:t>
      </w:r>
      <w:r w:rsidR="006C1970">
        <w:t>40</w:t>
      </w:r>
      <w:r w:rsidR="00780F08" w:rsidRPr="00A26E04">
        <w:t>% (</w:t>
      </w:r>
      <w:r w:rsidR="00FD475B">
        <w:t>31</w:t>
      </w:r>
      <w:r w:rsidR="00780F08" w:rsidRPr="00A26E04">
        <w:t xml:space="preserve"> de </w:t>
      </w:r>
      <w:r w:rsidR="00FD475B">
        <w:t>marzo</w:t>
      </w:r>
      <w:r w:rsidR="00780F08" w:rsidRPr="00A26E04">
        <w:t>) y</w:t>
      </w:r>
      <w:r w:rsidR="00AC3593">
        <w:t xml:space="preserve"> su máximo de</w:t>
      </w:r>
      <w:r w:rsidR="00780F08" w:rsidRPr="00A26E04">
        <w:t xml:space="preserve"> 3,</w:t>
      </w:r>
      <w:r w:rsidR="006C1970">
        <w:t>60</w:t>
      </w:r>
      <w:r w:rsidR="00780F08" w:rsidRPr="00A26E04">
        <w:t>% (</w:t>
      </w:r>
      <w:r w:rsidR="00FD475B">
        <w:t>20</w:t>
      </w:r>
      <w:r w:rsidR="002B6049" w:rsidRPr="00A26E04">
        <w:t xml:space="preserve"> de </w:t>
      </w:r>
      <w:r w:rsidR="00FD475B">
        <w:t>enero</w:t>
      </w:r>
      <w:r w:rsidR="002B6049" w:rsidRPr="00A26E04">
        <w:t>)</w:t>
      </w:r>
      <w:r w:rsidR="00AC3593">
        <w:t xml:space="preserve">. </w:t>
      </w:r>
      <w:r w:rsidR="00780F08" w:rsidRPr="00A26E04">
        <w:t>La tasa de política monetaria (TPM)</w:t>
      </w:r>
      <w:r w:rsidR="00427F51" w:rsidRPr="00A26E04">
        <w:t xml:space="preserve"> </w:t>
      </w:r>
      <w:r w:rsidR="00DB48F5">
        <w:t xml:space="preserve">no tuvo </w:t>
      </w:r>
      <w:r w:rsidR="00427F51" w:rsidRPr="00A26E04">
        <w:t>variaciones durante el trimestre</w:t>
      </w:r>
      <w:r w:rsidR="00744CF4">
        <w:t>, se mantenido</w:t>
      </w:r>
      <w:r w:rsidR="00427F51" w:rsidRPr="00A26E04">
        <w:t xml:space="preserve"> en </w:t>
      </w:r>
      <w:r w:rsidR="00780F08" w:rsidRPr="00A26E04">
        <w:t>0,75%</w:t>
      </w:r>
      <w:r w:rsidR="00744CF4">
        <w:t xml:space="preserve"> desde </w:t>
      </w:r>
      <w:r w:rsidR="00A3134E">
        <w:t>junio del 2020</w:t>
      </w:r>
      <w:r w:rsidR="00427F51" w:rsidRPr="00A26E04">
        <w:t>.</w:t>
      </w:r>
    </w:p>
    <w:p w14:paraId="3C04E402" w14:textId="77777777" w:rsidR="00427F51" w:rsidRPr="00A26E04" w:rsidRDefault="00427F51" w:rsidP="002F6A07">
      <w:pPr>
        <w:spacing w:after="0" w:line="240" w:lineRule="auto"/>
        <w:jc w:val="both"/>
      </w:pPr>
    </w:p>
    <w:p w14:paraId="22ABF087" w14:textId="77777777" w:rsidR="002F6A07" w:rsidRDefault="00DB48F5" w:rsidP="002F6A07">
      <w:pPr>
        <w:spacing w:after="0" w:line="240" w:lineRule="auto"/>
        <w:jc w:val="both"/>
      </w:pPr>
      <w:bookmarkStart w:id="14" w:name="_Hlk62836514"/>
      <w:r>
        <w:t xml:space="preserve">Como es de esperar la </w:t>
      </w:r>
      <w:r w:rsidR="002F6A07" w:rsidRPr="00A26E04">
        <w:t>combinación de la evolución de los mercados internacionales y del mercado local afect</w:t>
      </w:r>
      <w:r w:rsidR="00196EE3" w:rsidRPr="00A26E04">
        <w:t>ó</w:t>
      </w:r>
      <w:r w:rsidR="002F6A07" w:rsidRPr="00A26E04">
        <w:t xml:space="preserve"> la rentabilidad de los fondos administrados en este </w:t>
      </w:r>
      <w:r w:rsidR="005B3C4B">
        <w:t>primer</w:t>
      </w:r>
      <w:r w:rsidR="00A26E04" w:rsidRPr="00A26E04">
        <w:t xml:space="preserve"> </w:t>
      </w:r>
      <w:r w:rsidR="00CE68D2" w:rsidRPr="00A26E04">
        <w:t>trim</w:t>
      </w:r>
      <w:r w:rsidR="002F6A07" w:rsidRPr="00A26E04">
        <w:t>estre</w:t>
      </w:r>
      <w:r w:rsidR="00244049">
        <w:t xml:space="preserve">. El efecto positivo o negativo </w:t>
      </w:r>
      <w:r w:rsidR="003407AD">
        <w:t>se asocia</w:t>
      </w:r>
      <w:r w:rsidR="00244049">
        <w:t>,</w:t>
      </w:r>
      <w:r w:rsidR="002F6A07" w:rsidRPr="00A26E04">
        <w:t xml:space="preserve"> </w:t>
      </w:r>
      <w:r w:rsidR="00244049">
        <w:t xml:space="preserve">a la </w:t>
      </w:r>
      <w:r w:rsidR="00AF2AAF" w:rsidRPr="00A26E04">
        <w:t xml:space="preserve">composición de los portafolios. </w:t>
      </w:r>
    </w:p>
    <w:bookmarkEnd w:id="14"/>
    <w:p w14:paraId="39372FAE" w14:textId="77777777" w:rsidR="00A10739" w:rsidRDefault="00A10739" w:rsidP="00E01C43">
      <w:pPr>
        <w:pStyle w:val="Descripcin"/>
        <w:spacing w:after="0"/>
        <w:jc w:val="center"/>
      </w:pPr>
    </w:p>
    <w:p w14:paraId="152CE860" w14:textId="77777777" w:rsidR="008E5D80" w:rsidRDefault="00CD2843" w:rsidP="00CD2843">
      <w:pPr>
        <w:pStyle w:val="Ttulo2"/>
        <w:numPr>
          <w:ilvl w:val="1"/>
          <w:numId w:val="1"/>
        </w:numPr>
      </w:pPr>
      <w:bookmarkStart w:id="15" w:name="_Toc73096121"/>
      <w:r>
        <w:t>Rentabilidad del ROP</w:t>
      </w:r>
      <w:bookmarkEnd w:id="15"/>
    </w:p>
    <w:p w14:paraId="76DB6D42" w14:textId="77777777" w:rsidR="0036114C" w:rsidRDefault="0036114C" w:rsidP="008E4569">
      <w:pPr>
        <w:spacing w:after="0" w:line="240" w:lineRule="auto"/>
        <w:jc w:val="both"/>
      </w:pPr>
    </w:p>
    <w:p w14:paraId="5AFB7AA1" w14:textId="77777777" w:rsidR="008E4569" w:rsidRDefault="008E4569" w:rsidP="008E4569">
      <w:pPr>
        <w:spacing w:after="0" w:line="240" w:lineRule="auto"/>
        <w:jc w:val="both"/>
      </w:pPr>
      <w:r>
        <w:t>Considerando que</w:t>
      </w:r>
      <w:r w:rsidRPr="005371E2">
        <w:t xml:space="preserve"> los fondos de pensiones son de largo plazo, un análisis prudencial </w:t>
      </w:r>
      <w:r>
        <w:t>nos obliga seguir</w:t>
      </w:r>
      <w:r w:rsidRPr="005371E2">
        <w:t xml:space="preserve"> indicadores de largo plazo</w:t>
      </w:r>
      <w:r>
        <w:t>, por la volatilidad que suele tener el corto plazo.</w:t>
      </w:r>
      <w:r w:rsidR="0036114C">
        <w:t xml:space="preserve"> C</w:t>
      </w:r>
      <w:r w:rsidRPr="005371E2">
        <w:t>uando observamos la rentabilidad histórica anualizada o la rentabilidad a 10 años</w:t>
      </w:r>
      <w:r>
        <w:t xml:space="preserve"> </w:t>
      </w:r>
      <w:r w:rsidRPr="005371E2">
        <w:t xml:space="preserve">del ROP, indicadores de más largo plazo, podemos </w:t>
      </w:r>
      <w:r w:rsidR="0036114C">
        <w:t>observar que durante el primer trimestre</w:t>
      </w:r>
      <w:r w:rsidRPr="005371E2">
        <w:t xml:space="preserve"> la tendencia </w:t>
      </w:r>
      <w:r>
        <w:t xml:space="preserve">ha sido creciente </w:t>
      </w:r>
      <w:r w:rsidRPr="005371E2">
        <w:t xml:space="preserve">en todas las </w:t>
      </w:r>
      <w:r>
        <w:t>o</w:t>
      </w:r>
      <w:r w:rsidRPr="005371E2">
        <w:t xml:space="preserve">peradoras de </w:t>
      </w:r>
      <w:r>
        <w:t>p</w:t>
      </w:r>
      <w:r w:rsidRPr="005371E2">
        <w:t>ensiones</w:t>
      </w:r>
      <w:r>
        <w:t>.</w:t>
      </w:r>
    </w:p>
    <w:p w14:paraId="7C9C63DA" w14:textId="77777777" w:rsidR="008E4569" w:rsidRDefault="008E4569" w:rsidP="008E4569">
      <w:pPr>
        <w:spacing w:after="0" w:line="240" w:lineRule="auto"/>
        <w:jc w:val="both"/>
      </w:pPr>
    </w:p>
    <w:p w14:paraId="16AF9B95" w14:textId="77777777" w:rsidR="002114A8" w:rsidRDefault="002114A8" w:rsidP="008E4569">
      <w:pPr>
        <w:spacing w:after="0" w:line="240" w:lineRule="auto"/>
        <w:jc w:val="both"/>
      </w:pPr>
    </w:p>
    <w:p w14:paraId="69F0607E" w14:textId="77777777" w:rsidR="002114A8" w:rsidRDefault="002114A8" w:rsidP="008E4569">
      <w:pPr>
        <w:spacing w:after="0" w:line="240" w:lineRule="auto"/>
        <w:jc w:val="both"/>
      </w:pPr>
    </w:p>
    <w:p w14:paraId="45B2B8E9" w14:textId="77777777" w:rsidR="002114A8" w:rsidRDefault="002114A8" w:rsidP="008E4569">
      <w:pPr>
        <w:spacing w:after="0" w:line="240" w:lineRule="auto"/>
        <w:jc w:val="both"/>
      </w:pPr>
    </w:p>
    <w:p w14:paraId="746C9523" w14:textId="77777777" w:rsidR="002114A8" w:rsidRDefault="002114A8" w:rsidP="008E4569">
      <w:pPr>
        <w:spacing w:after="0" w:line="240" w:lineRule="auto"/>
        <w:jc w:val="both"/>
      </w:pPr>
    </w:p>
    <w:p w14:paraId="04A25F66" w14:textId="77777777" w:rsidR="002114A8" w:rsidRDefault="002114A8" w:rsidP="008E4569">
      <w:pPr>
        <w:spacing w:after="0" w:line="240" w:lineRule="auto"/>
        <w:jc w:val="both"/>
      </w:pPr>
    </w:p>
    <w:p w14:paraId="64326CF2" w14:textId="77777777" w:rsidR="002114A8" w:rsidRPr="007D101E" w:rsidRDefault="002114A8" w:rsidP="008E4569">
      <w:pPr>
        <w:spacing w:after="0" w:line="240" w:lineRule="auto"/>
        <w:jc w:val="both"/>
      </w:pPr>
    </w:p>
    <w:p w14:paraId="7D8A7626" w14:textId="57B0AC1F" w:rsidR="008E4569" w:rsidRPr="00060D93" w:rsidRDefault="008E4569" w:rsidP="008E4569">
      <w:pPr>
        <w:pStyle w:val="Descripcin"/>
        <w:spacing w:after="0"/>
        <w:jc w:val="center"/>
      </w:pPr>
      <w:r w:rsidRPr="00060D93">
        <w:lastRenderedPageBreak/>
        <w:t xml:space="preserve">Gráfico </w:t>
      </w:r>
      <w:r w:rsidRPr="00060D93">
        <w:fldChar w:fldCharType="begin"/>
      </w:r>
      <w:r w:rsidRPr="00060D93">
        <w:instrText xml:space="preserve"> SEQ Gráfico \* ARABIC </w:instrText>
      </w:r>
      <w:r w:rsidRPr="00060D93">
        <w:fldChar w:fldCharType="separate"/>
      </w:r>
      <w:r w:rsidR="00160C27">
        <w:rPr>
          <w:noProof/>
        </w:rPr>
        <w:t>2</w:t>
      </w:r>
      <w:r w:rsidRPr="00060D93">
        <w:fldChar w:fldCharType="end"/>
      </w:r>
      <w:r w:rsidRPr="00060D93">
        <w:t xml:space="preserve">: Rentabilidad </w:t>
      </w:r>
    </w:p>
    <w:p w14:paraId="43E381C5" w14:textId="77777777" w:rsidR="008E4569" w:rsidRPr="00060D93" w:rsidRDefault="008E4569" w:rsidP="008E4569">
      <w:pPr>
        <w:pStyle w:val="Descripcin"/>
        <w:spacing w:after="0"/>
        <w:jc w:val="center"/>
      </w:pPr>
      <w:r w:rsidRPr="00060D93">
        <w:t>Régimen Obligatorio de Pensiones Complementario</w:t>
      </w:r>
    </w:p>
    <w:p w14:paraId="09F6470D" w14:textId="77777777" w:rsidR="008E4569" w:rsidRDefault="008E4569" w:rsidP="008E4569">
      <w:pPr>
        <w:pStyle w:val="Descripcin"/>
        <w:spacing w:after="0"/>
        <w:jc w:val="center"/>
      </w:pPr>
      <w:r w:rsidRPr="00060D93">
        <w:t>De último año</w:t>
      </w:r>
    </w:p>
    <w:p w14:paraId="48106117" w14:textId="77777777" w:rsidR="008E4569" w:rsidRDefault="008E4569" w:rsidP="008E4569">
      <w:pPr>
        <w:spacing w:after="0" w:line="240" w:lineRule="auto"/>
        <w:jc w:val="center"/>
      </w:pPr>
      <w:r>
        <w:rPr>
          <w:noProof/>
        </w:rPr>
        <w:drawing>
          <wp:inline distT="0" distB="0" distL="0" distR="0" wp14:anchorId="04D78497" wp14:editId="5B063EF7">
            <wp:extent cx="5600700" cy="187642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0700" cy="1876425"/>
                    </a:xfrm>
                    <a:prstGeom prst="rect">
                      <a:avLst/>
                    </a:prstGeom>
                    <a:noFill/>
                    <a:ln>
                      <a:noFill/>
                    </a:ln>
                  </pic:spPr>
                </pic:pic>
              </a:graphicData>
            </a:graphic>
          </wp:inline>
        </w:drawing>
      </w:r>
    </w:p>
    <w:p w14:paraId="37697F01" w14:textId="77777777" w:rsidR="008E4569" w:rsidRDefault="008E4569" w:rsidP="008E4569">
      <w:pPr>
        <w:pStyle w:val="Descripcin"/>
        <w:tabs>
          <w:tab w:val="left" w:pos="2490"/>
        </w:tabs>
        <w:spacing w:after="0"/>
      </w:pPr>
      <w:r>
        <w:t>Fuente: Elaboración propia</w:t>
      </w:r>
      <w:r>
        <w:tab/>
      </w:r>
    </w:p>
    <w:p w14:paraId="653A266C" w14:textId="77777777" w:rsidR="00407CA8" w:rsidRPr="00407CA8" w:rsidRDefault="00407CA8" w:rsidP="00407CA8">
      <w:pPr>
        <w:spacing w:after="0" w:line="240" w:lineRule="auto"/>
      </w:pPr>
    </w:p>
    <w:p w14:paraId="02E0EE01" w14:textId="77777777" w:rsidR="00004749" w:rsidRDefault="004C75FB" w:rsidP="00004749">
      <w:pPr>
        <w:pStyle w:val="Ttulo2"/>
        <w:numPr>
          <w:ilvl w:val="1"/>
          <w:numId w:val="1"/>
        </w:numPr>
      </w:pPr>
      <w:bookmarkStart w:id="16" w:name="_Toc73096122"/>
      <w:r w:rsidRPr="004C75FB">
        <w:t>Desempeño de Gestores</w:t>
      </w:r>
      <w:bookmarkEnd w:id="16"/>
      <w:r w:rsidRPr="004C75FB">
        <w:t xml:space="preserve"> </w:t>
      </w:r>
    </w:p>
    <w:p w14:paraId="0A175E01" w14:textId="77777777" w:rsidR="00E2685C" w:rsidRDefault="00E2685C" w:rsidP="004219C8">
      <w:pPr>
        <w:spacing w:after="0" w:line="240" w:lineRule="auto"/>
        <w:jc w:val="both"/>
        <w:rPr>
          <w:rFonts w:cstheme="minorHAnsi"/>
        </w:rPr>
      </w:pPr>
    </w:p>
    <w:p w14:paraId="3D7E0456" w14:textId="77777777" w:rsidR="004D0694" w:rsidRDefault="004D0694" w:rsidP="004D0694">
      <w:pPr>
        <w:spacing w:after="0" w:line="240" w:lineRule="auto"/>
        <w:jc w:val="both"/>
        <w:rPr>
          <w:rFonts w:cstheme="minorHAnsi"/>
        </w:rPr>
      </w:pPr>
      <w:r w:rsidRPr="004D0694">
        <w:rPr>
          <w:rFonts w:cstheme="minorHAnsi"/>
        </w:rPr>
        <w:t xml:space="preserve">Al ser el ROP un fondo de pensiones obligatorio, la regulación ha establecido mecanismos de protección al afiliado, específicamente la posibilidad de que el supervisor mediante regulación disponga topes a los precios que estas cobran. Según lo establece el Reglamento de Apertura y Funcionamiento de las Entidades Autorizadas (RAF), las comisiones de administración de este producto son sobre saldo </w:t>
      </w:r>
      <w:r>
        <w:rPr>
          <w:rFonts w:cstheme="minorHAnsi"/>
        </w:rPr>
        <w:t xml:space="preserve">se ubica </w:t>
      </w:r>
      <w:r w:rsidRPr="004D0694">
        <w:rPr>
          <w:rFonts w:cstheme="minorHAnsi"/>
        </w:rPr>
        <w:t>0,35% sobre saldo</w:t>
      </w:r>
      <w:r>
        <w:rPr>
          <w:rFonts w:cstheme="minorHAnsi"/>
        </w:rPr>
        <w:t xml:space="preserve"> desde el 2020</w:t>
      </w:r>
      <w:r w:rsidRPr="004D0694">
        <w:rPr>
          <w:rFonts w:cstheme="minorHAnsi"/>
        </w:rPr>
        <w:t xml:space="preserve">. </w:t>
      </w:r>
    </w:p>
    <w:p w14:paraId="26793C03" w14:textId="77777777" w:rsidR="005970EB" w:rsidRDefault="005970EB" w:rsidP="004D0694">
      <w:pPr>
        <w:spacing w:after="0" w:line="240" w:lineRule="auto"/>
        <w:jc w:val="both"/>
        <w:rPr>
          <w:rFonts w:cstheme="minorHAnsi"/>
        </w:rPr>
      </w:pPr>
    </w:p>
    <w:p w14:paraId="14001569" w14:textId="77777777" w:rsidR="005970EB" w:rsidRDefault="005970EB" w:rsidP="005970EB">
      <w:pPr>
        <w:spacing w:after="0" w:line="240" w:lineRule="auto"/>
        <w:jc w:val="both"/>
        <w:rPr>
          <w:rFonts w:cstheme="minorHAnsi"/>
        </w:rPr>
      </w:pPr>
      <w:r>
        <w:rPr>
          <w:rFonts w:cstheme="minorHAnsi"/>
        </w:rPr>
        <w:t xml:space="preserve">Durante el 2020 se presenta una disminución en todos los indicadores financieros debido a que para ese año se ajustó </w:t>
      </w:r>
      <w:r w:rsidRPr="00474B12">
        <w:rPr>
          <w:rFonts w:cstheme="minorHAnsi"/>
        </w:rPr>
        <w:t>la comisió</w:t>
      </w:r>
      <w:r>
        <w:rPr>
          <w:rFonts w:cstheme="minorHAnsi"/>
        </w:rPr>
        <w:t>n</w:t>
      </w:r>
      <w:r w:rsidRPr="00474B12">
        <w:rPr>
          <w:rFonts w:cstheme="minorHAnsi"/>
        </w:rPr>
        <w:t xml:space="preserve"> de administración</w:t>
      </w:r>
      <w:r>
        <w:rPr>
          <w:rFonts w:cstheme="minorHAnsi"/>
        </w:rPr>
        <w:t xml:space="preserve">, pasando de 0,50% a 0,35% sobre saldo. Sin embargo, como se ha observado en periodos de ajuste de comisión pasados, estos indicadores se recuperan </w:t>
      </w:r>
      <w:r w:rsidRPr="00C110B8">
        <w:rPr>
          <w:rFonts w:cstheme="minorHAnsi"/>
        </w:rPr>
        <w:t>paulatinamente conforme los activos administrados aumentan</w:t>
      </w:r>
      <w:r>
        <w:rPr>
          <w:rFonts w:cstheme="minorHAnsi"/>
        </w:rPr>
        <w:t>. Para el primer trimestre del año en curso ya se observan resultados positivos.</w:t>
      </w:r>
    </w:p>
    <w:p w14:paraId="62421A36" w14:textId="77777777" w:rsidR="00025208" w:rsidRDefault="00025208" w:rsidP="004D0694">
      <w:pPr>
        <w:spacing w:after="0" w:line="240" w:lineRule="auto"/>
        <w:jc w:val="both"/>
        <w:rPr>
          <w:rFonts w:cstheme="minorHAnsi"/>
        </w:rPr>
      </w:pPr>
    </w:p>
    <w:p w14:paraId="1CF464E2" w14:textId="77777777" w:rsidR="00DB17DE" w:rsidRPr="00DB17DE" w:rsidRDefault="00DB17DE" w:rsidP="00DB17DE">
      <w:pPr>
        <w:pStyle w:val="Descripcin"/>
        <w:spacing w:after="0"/>
        <w:jc w:val="center"/>
      </w:pPr>
      <w:r w:rsidRPr="0016176E">
        <w:t xml:space="preserve">Tabla </w:t>
      </w:r>
      <w:r w:rsidRPr="0016176E">
        <w:fldChar w:fldCharType="begin"/>
      </w:r>
      <w:r w:rsidRPr="0016176E">
        <w:instrText xml:space="preserve"> SEQ Tabla \* ARABIC </w:instrText>
      </w:r>
      <w:r w:rsidRPr="0016176E">
        <w:fldChar w:fldCharType="separate"/>
      </w:r>
      <w:r w:rsidR="00A336D4">
        <w:rPr>
          <w:noProof/>
        </w:rPr>
        <w:t>4</w:t>
      </w:r>
      <w:r w:rsidRPr="0016176E">
        <w:fldChar w:fldCharType="end"/>
      </w:r>
      <w:r w:rsidRPr="0016176E">
        <w:t xml:space="preserve">: </w:t>
      </w:r>
      <w:r w:rsidRPr="00DB17DE">
        <w:t>Indicadores financieros Gestores de Pensiones</w:t>
      </w:r>
    </w:p>
    <w:p w14:paraId="66CEEEB7" w14:textId="77777777" w:rsidR="00DB17DE" w:rsidRPr="00DB17DE" w:rsidRDefault="00BA34DC" w:rsidP="00DB17DE">
      <w:pPr>
        <w:pStyle w:val="Descripcin"/>
        <w:spacing w:after="0"/>
        <w:jc w:val="center"/>
      </w:pPr>
      <w:r>
        <w:t>A diciembre de cada año</w:t>
      </w:r>
    </w:p>
    <w:p w14:paraId="2BA8E0A9" w14:textId="77777777" w:rsidR="006C25B2" w:rsidRPr="00DB17DE" w:rsidRDefault="00DB17DE" w:rsidP="00DB17DE">
      <w:pPr>
        <w:pStyle w:val="Descripcin"/>
        <w:spacing w:after="0"/>
        <w:jc w:val="center"/>
      </w:pPr>
      <w:r w:rsidRPr="00DB17DE">
        <w:t>En millones de colones costarricenses</w:t>
      </w:r>
    </w:p>
    <w:tbl>
      <w:tblPr>
        <w:tblStyle w:val="Tablaconcuadrcula4-nfasis1"/>
        <w:tblW w:w="7225" w:type="dxa"/>
        <w:jc w:val="center"/>
        <w:tblLook w:val="04A0" w:firstRow="1" w:lastRow="0" w:firstColumn="1" w:lastColumn="0" w:noHBand="0" w:noVBand="1"/>
      </w:tblPr>
      <w:tblGrid>
        <w:gridCol w:w="722"/>
        <w:gridCol w:w="1500"/>
        <w:gridCol w:w="1275"/>
        <w:gridCol w:w="1134"/>
        <w:gridCol w:w="1134"/>
        <w:gridCol w:w="1460"/>
      </w:tblGrid>
      <w:tr w:rsidR="006C25B2" w:rsidRPr="006C25B2" w14:paraId="009789D7" w14:textId="77777777" w:rsidTr="00E0088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cBorders>
            <w:noWrap/>
            <w:vAlign w:val="center"/>
            <w:hideMark/>
          </w:tcPr>
          <w:p w14:paraId="08BF88BE" w14:textId="77777777" w:rsidR="006C25B2" w:rsidRPr="006C25B2" w:rsidRDefault="006C25B2" w:rsidP="006C25B2">
            <w:pPr>
              <w:rPr>
                <w:rFonts w:eastAsia="Times New Roman" w:cs="Calibri"/>
                <w:lang w:val="es-CR"/>
              </w:rPr>
            </w:pPr>
            <w:r w:rsidRPr="006C25B2">
              <w:rPr>
                <w:rFonts w:eastAsia="Times New Roman" w:cs="Calibri"/>
                <w:lang w:val="es-CR"/>
              </w:rPr>
              <w:t>Año</w:t>
            </w:r>
          </w:p>
        </w:tc>
        <w:tc>
          <w:tcPr>
            <w:tcW w:w="1500" w:type="dxa"/>
            <w:tcBorders>
              <w:top w:val="none" w:sz="0" w:space="0" w:color="auto"/>
              <w:left w:val="none" w:sz="0" w:space="0" w:color="auto"/>
              <w:bottom w:val="none" w:sz="0" w:space="0" w:color="auto"/>
              <w:right w:val="none" w:sz="0" w:space="0" w:color="auto"/>
            </w:tcBorders>
            <w:noWrap/>
            <w:vAlign w:val="center"/>
            <w:hideMark/>
          </w:tcPr>
          <w:p w14:paraId="36ED903B" w14:textId="77777777" w:rsidR="006C25B2" w:rsidRPr="006C25B2" w:rsidRDefault="006C25B2" w:rsidP="004A0152">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6C25B2">
              <w:rPr>
                <w:rFonts w:eastAsia="Times New Roman" w:cs="Calibri"/>
                <w:lang w:val="es-CR"/>
              </w:rPr>
              <w:t>Ingresos Operativos</w:t>
            </w:r>
          </w:p>
        </w:tc>
        <w:tc>
          <w:tcPr>
            <w:tcW w:w="1275" w:type="dxa"/>
            <w:tcBorders>
              <w:top w:val="none" w:sz="0" w:space="0" w:color="auto"/>
              <w:left w:val="none" w:sz="0" w:space="0" w:color="auto"/>
              <w:bottom w:val="none" w:sz="0" w:space="0" w:color="auto"/>
              <w:right w:val="none" w:sz="0" w:space="0" w:color="auto"/>
            </w:tcBorders>
            <w:noWrap/>
            <w:vAlign w:val="center"/>
            <w:hideMark/>
          </w:tcPr>
          <w:p w14:paraId="52C2EB8B" w14:textId="77777777" w:rsidR="006C25B2" w:rsidRPr="006C25B2" w:rsidRDefault="006C25B2" w:rsidP="004A0152">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6C25B2">
              <w:rPr>
                <w:rFonts w:eastAsia="Times New Roman" w:cs="Calibri"/>
                <w:lang w:val="es-CR"/>
              </w:rPr>
              <w:t>Gastos Operativos</w:t>
            </w:r>
          </w:p>
        </w:tc>
        <w:tc>
          <w:tcPr>
            <w:tcW w:w="1134" w:type="dxa"/>
            <w:tcBorders>
              <w:top w:val="none" w:sz="0" w:space="0" w:color="auto"/>
              <w:left w:val="none" w:sz="0" w:space="0" w:color="auto"/>
              <w:bottom w:val="none" w:sz="0" w:space="0" w:color="auto"/>
              <w:right w:val="none" w:sz="0" w:space="0" w:color="auto"/>
            </w:tcBorders>
            <w:noWrap/>
            <w:vAlign w:val="center"/>
            <w:hideMark/>
          </w:tcPr>
          <w:p w14:paraId="1AD3119C" w14:textId="77777777" w:rsidR="006C25B2" w:rsidRPr="006C25B2" w:rsidRDefault="006C25B2" w:rsidP="004A0152">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6C25B2">
              <w:rPr>
                <w:rFonts w:eastAsia="Times New Roman" w:cs="Calibri"/>
                <w:lang w:val="es-CR"/>
              </w:rPr>
              <w:t>Resultado Operativo</w:t>
            </w:r>
          </w:p>
        </w:tc>
        <w:tc>
          <w:tcPr>
            <w:tcW w:w="1134" w:type="dxa"/>
            <w:tcBorders>
              <w:top w:val="none" w:sz="0" w:space="0" w:color="auto"/>
              <w:left w:val="none" w:sz="0" w:space="0" w:color="auto"/>
              <w:bottom w:val="none" w:sz="0" w:space="0" w:color="auto"/>
              <w:right w:val="none" w:sz="0" w:space="0" w:color="auto"/>
            </w:tcBorders>
            <w:noWrap/>
            <w:vAlign w:val="center"/>
            <w:hideMark/>
          </w:tcPr>
          <w:p w14:paraId="2E57468B" w14:textId="77777777" w:rsidR="006C25B2" w:rsidRPr="006C25B2" w:rsidRDefault="006C25B2" w:rsidP="004A0152">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6C25B2">
              <w:rPr>
                <w:rFonts w:eastAsia="Times New Roman" w:cs="Calibri"/>
                <w:lang w:val="es-CR"/>
              </w:rPr>
              <w:t>Resultado Neto</w:t>
            </w:r>
          </w:p>
        </w:tc>
        <w:tc>
          <w:tcPr>
            <w:tcW w:w="1460" w:type="dxa"/>
            <w:tcBorders>
              <w:top w:val="none" w:sz="0" w:space="0" w:color="auto"/>
              <w:left w:val="none" w:sz="0" w:space="0" w:color="auto"/>
              <w:bottom w:val="none" w:sz="0" w:space="0" w:color="auto"/>
              <w:right w:val="none" w:sz="0" w:space="0" w:color="auto"/>
            </w:tcBorders>
            <w:noWrap/>
            <w:vAlign w:val="center"/>
            <w:hideMark/>
          </w:tcPr>
          <w:p w14:paraId="653A172A" w14:textId="77777777" w:rsidR="006C25B2" w:rsidRPr="006C25B2" w:rsidRDefault="006C25B2" w:rsidP="004A0152">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6C25B2">
              <w:rPr>
                <w:rFonts w:eastAsia="Times New Roman" w:cs="Calibri"/>
                <w:lang w:val="es-CR"/>
              </w:rPr>
              <w:t xml:space="preserve">Resultado Neto </w:t>
            </w:r>
            <w:r w:rsidR="000623D4">
              <w:rPr>
                <w:rFonts w:eastAsia="Times New Roman" w:cs="Calibri"/>
                <w:lang w:val="es-CR"/>
              </w:rPr>
              <w:t>*</w:t>
            </w:r>
            <w:r w:rsidR="000623D4">
              <w:rPr>
                <w:rFonts w:eastAsia="Times New Roman"/>
                <w:lang w:val="es-CR"/>
              </w:rPr>
              <w:t>*</w:t>
            </w:r>
          </w:p>
        </w:tc>
      </w:tr>
      <w:tr w:rsidR="0053543C" w:rsidRPr="006C25B2" w14:paraId="487BEDEB" w14:textId="77777777" w:rsidTr="00E0088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22" w:type="dxa"/>
            <w:noWrap/>
          </w:tcPr>
          <w:p w14:paraId="508FBFF1" w14:textId="77777777" w:rsidR="0053543C" w:rsidRPr="006C25B2" w:rsidRDefault="0053543C" w:rsidP="0053543C">
            <w:pPr>
              <w:jc w:val="center"/>
              <w:rPr>
                <w:rFonts w:eastAsia="Times New Roman" w:cs="Calibri"/>
                <w:color w:val="000000"/>
                <w:lang w:val="es-CR"/>
              </w:rPr>
            </w:pPr>
            <w:r w:rsidRPr="00705DEE">
              <w:t>2016</w:t>
            </w:r>
          </w:p>
        </w:tc>
        <w:tc>
          <w:tcPr>
            <w:tcW w:w="1500" w:type="dxa"/>
            <w:noWrap/>
          </w:tcPr>
          <w:p w14:paraId="35C35B4B" w14:textId="77777777" w:rsidR="0053543C" w:rsidRPr="004006B4" w:rsidRDefault="0053543C" w:rsidP="0053543C">
            <w:pPr>
              <w:jc w:val="right"/>
              <w:cnfStyle w:val="000000100000" w:firstRow="0" w:lastRow="0" w:firstColumn="0" w:lastColumn="0" w:oddVBand="0" w:evenVBand="0" w:oddHBand="1" w:evenHBand="0" w:firstRowFirstColumn="0" w:firstRowLastColumn="0" w:lastRowFirstColumn="0" w:lastRowLastColumn="0"/>
            </w:pPr>
            <w:r w:rsidRPr="00705DEE">
              <w:t xml:space="preserve"> 42 700 </w:t>
            </w:r>
          </w:p>
        </w:tc>
        <w:tc>
          <w:tcPr>
            <w:tcW w:w="1275" w:type="dxa"/>
            <w:noWrap/>
          </w:tcPr>
          <w:p w14:paraId="229209EA" w14:textId="77777777" w:rsidR="0053543C" w:rsidRPr="004006B4" w:rsidRDefault="0053543C" w:rsidP="0053543C">
            <w:pPr>
              <w:jc w:val="right"/>
              <w:cnfStyle w:val="000000100000" w:firstRow="0" w:lastRow="0" w:firstColumn="0" w:lastColumn="0" w:oddVBand="0" w:evenVBand="0" w:oddHBand="1" w:evenHBand="0" w:firstRowFirstColumn="0" w:firstRowLastColumn="0" w:lastRowFirstColumn="0" w:lastRowLastColumn="0"/>
            </w:pPr>
            <w:r w:rsidRPr="00705DEE">
              <w:t xml:space="preserve"> 30 542 </w:t>
            </w:r>
          </w:p>
        </w:tc>
        <w:tc>
          <w:tcPr>
            <w:tcW w:w="1134" w:type="dxa"/>
            <w:noWrap/>
          </w:tcPr>
          <w:p w14:paraId="57931C4A" w14:textId="77777777" w:rsidR="0053543C" w:rsidRPr="004006B4" w:rsidRDefault="0053543C" w:rsidP="0053543C">
            <w:pPr>
              <w:jc w:val="right"/>
              <w:cnfStyle w:val="000000100000" w:firstRow="0" w:lastRow="0" w:firstColumn="0" w:lastColumn="0" w:oddVBand="0" w:evenVBand="0" w:oddHBand="1" w:evenHBand="0" w:firstRowFirstColumn="0" w:firstRowLastColumn="0" w:lastRowFirstColumn="0" w:lastRowLastColumn="0"/>
            </w:pPr>
            <w:r w:rsidRPr="00705DEE">
              <w:t xml:space="preserve"> 12 157 </w:t>
            </w:r>
          </w:p>
        </w:tc>
        <w:tc>
          <w:tcPr>
            <w:tcW w:w="1134" w:type="dxa"/>
            <w:noWrap/>
          </w:tcPr>
          <w:p w14:paraId="41B12B42" w14:textId="77777777" w:rsidR="0053543C" w:rsidRPr="004006B4" w:rsidRDefault="0053543C" w:rsidP="0053543C">
            <w:pPr>
              <w:jc w:val="right"/>
              <w:cnfStyle w:val="000000100000" w:firstRow="0" w:lastRow="0" w:firstColumn="0" w:lastColumn="0" w:oddVBand="0" w:evenVBand="0" w:oddHBand="1" w:evenHBand="0" w:firstRowFirstColumn="0" w:firstRowLastColumn="0" w:lastRowFirstColumn="0" w:lastRowLastColumn="0"/>
            </w:pPr>
            <w:r w:rsidRPr="00705DEE">
              <w:t xml:space="preserve"> 6 612 </w:t>
            </w:r>
          </w:p>
        </w:tc>
        <w:tc>
          <w:tcPr>
            <w:tcW w:w="1460" w:type="dxa"/>
            <w:noWrap/>
          </w:tcPr>
          <w:p w14:paraId="44D55DCA" w14:textId="77777777" w:rsidR="0053543C" w:rsidRPr="004006B4" w:rsidRDefault="0053543C" w:rsidP="0053543C">
            <w:pPr>
              <w:jc w:val="right"/>
              <w:cnfStyle w:val="000000100000" w:firstRow="0" w:lastRow="0" w:firstColumn="0" w:lastColumn="0" w:oddVBand="0" w:evenVBand="0" w:oddHBand="1" w:evenHBand="0" w:firstRowFirstColumn="0" w:firstRowLastColumn="0" w:lastRowFirstColumn="0" w:lastRowLastColumn="0"/>
            </w:pPr>
            <w:r w:rsidRPr="00705DEE">
              <w:t xml:space="preserve"> 15 214 </w:t>
            </w:r>
          </w:p>
        </w:tc>
      </w:tr>
      <w:tr w:rsidR="0053543C" w:rsidRPr="006C25B2" w14:paraId="0EEB273E" w14:textId="77777777" w:rsidTr="00E00882">
        <w:trPr>
          <w:trHeight w:val="300"/>
          <w:jc w:val="center"/>
        </w:trPr>
        <w:tc>
          <w:tcPr>
            <w:cnfStyle w:val="001000000000" w:firstRow="0" w:lastRow="0" w:firstColumn="1" w:lastColumn="0" w:oddVBand="0" w:evenVBand="0" w:oddHBand="0" w:evenHBand="0" w:firstRowFirstColumn="0" w:firstRowLastColumn="0" w:lastRowFirstColumn="0" w:lastRowLastColumn="0"/>
            <w:tcW w:w="722" w:type="dxa"/>
            <w:noWrap/>
          </w:tcPr>
          <w:p w14:paraId="55631A8D" w14:textId="77777777" w:rsidR="0053543C" w:rsidRPr="006C25B2" w:rsidRDefault="0053543C" w:rsidP="0053543C">
            <w:pPr>
              <w:jc w:val="center"/>
              <w:rPr>
                <w:rFonts w:eastAsia="Times New Roman" w:cs="Calibri"/>
                <w:color w:val="000000"/>
                <w:lang w:val="es-CR"/>
              </w:rPr>
            </w:pPr>
            <w:r w:rsidRPr="00705DEE">
              <w:t>2017</w:t>
            </w:r>
          </w:p>
        </w:tc>
        <w:tc>
          <w:tcPr>
            <w:tcW w:w="1500" w:type="dxa"/>
            <w:noWrap/>
          </w:tcPr>
          <w:p w14:paraId="55FE6651" w14:textId="77777777" w:rsidR="0053543C" w:rsidRPr="004006B4" w:rsidRDefault="0053543C" w:rsidP="0053543C">
            <w:pPr>
              <w:jc w:val="right"/>
              <w:cnfStyle w:val="000000000000" w:firstRow="0" w:lastRow="0" w:firstColumn="0" w:lastColumn="0" w:oddVBand="0" w:evenVBand="0" w:oddHBand="0" w:evenHBand="0" w:firstRowFirstColumn="0" w:firstRowLastColumn="0" w:lastRowFirstColumn="0" w:lastRowLastColumn="0"/>
            </w:pPr>
            <w:r w:rsidRPr="00705DEE">
              <w:t xml:space="preserve"> 37 791 </w:t>
            </w:r>
          </w:p>
        </w:tc>
        <w:tc>
          <w:tcPr>
            <w:tcW w:w="1275" w:type="dxa"/>
            <w:noWrap/>
          </w:tcPr>
          <w:p w14:paraId="1BA81C20" w14:textId="77777777" w:rsidR="0053543C" w:rsidRPr="004006B4" w:rsidRDefault="0053543C" w:rsidP="0053543C">
            <w:pPr>
              <w:jc w:val="right"/>
              <w:cnfStyle w:val="000000000000" w:firstRow="0" w:lastRow="0" w:firstColumn="0" w:lastColumn="0" w:oddVBand="0" w:evenVBand="0" w:oddHBand="0" w:evenHBand="0" w:firstRowFirstColumn="0" w:firstRowLastColumn="0" w:lastRowFirstColumn="0" w:lastRowLastColumn="0"/>
            </w:pPr>
            <w:r w:rsidRPr="00705DEE">
              <w:t xml:space="preserve"> 30 184 </w:t>
            </w:r>
          </w:p>
        </w:tc>
        <w:tc>
          <w:tcPr>
            <w:tcW w:w="1134" w:type="dxa"/>
            <w:noWrap/>
          </w:tcPr>
          <w:p w14:paraId="1B4BC447" w14:textId="77777777" w:rsidR="0053543C" w:rsidRPr="004006B4" w:rsidRDefault="0053543C" w:rsidP="0053543C">
            <w:pPr>
              <w:jc w:val="right"/>
              <w:cnfStyle w:val="000000000000" w:firstRow="0" w:lastRow="0" w:firstColumn="0" w:lastColumn="0" w:oddVBand="0" w:evenVBand="0" w:oddHBand="0" w:evenHBand="0" w:firstRowFirstColumn="0" w:firstRowLastColumn="0" w:lastRowFirstColumn="0" w:lastRowLastColumn="0"/>
            </w:pPr>
            <w:r w:rsidRPr="00705DEE">
              <w:t xml:space="preserve"> 7 606 </w:t>
            </w:r>
          </w:p>
        </w:tc>
        <w:tc>
          <w:tcPr>
            <w:tcW w:w="1134" w:type="dxa"/>
            <w:noWrap/>
          </w:tcPr>
          <w:p w14:paraId="44B5AAAA" w14:textId="77777777" w:rsidR="0053543C" w:rsidRPr="004006B4" w:rsidRDefault="0053543C" w:rsidP="0053543C">
            <w:pPr>
              <w:jc w:val="right"/>
              <w:cnfStyle w:val="000000000000" w:firstRow="0" w:lastRow="0" w:firstColumn="0" w:lastColumn="0" w:oddVBand="0" w:evenVBand="0" w:oddHBand="0" w:evenHBand="0" w:firstRowFirstColumn="0" w:firstRowLastColumn="0" w:lastRowFirstColumn="0" w:lastRowLastColumn="0"/>
            </w:pPr>
            <w:r w:rsidRPr="00705DEE">
              <w:t xml:space="preserve"> 4 521 </w:t>
            </w:r>
          </w:p>
        </w:tc>
        <w:tc>
          <w:tcPr>
            <w:tcW w:w="1460" w:type="dxa"/>
            <w:noWrap/>
          </w:tcPr>
          <w:p w14:paraId="0861118E" w14:textId="77777777" w:rsidR="0053543C" w:rsidRPr="004006B4" w:rsidRDefault="0053543C" w:rsidP="0053543C">
            <w:pPr>
              <w:jc w:val="right"/>
              <w:cnfStyle w:val="000000000000" w:firstRow="0" w:lastRow="0" w:firstColumn="0" w:lastColumn="0" w:oddVBand="0" w:evenVBand="0" w:oddHBand="0" w:evenHBand="0" w:firstRowFirstColumn="0" w:firstRowLastColumn="0" w:lastRowFirstColumn="0" w:lastRowLastColumn="0"/>
            </w:pPr>
            <w:r w:rsidRPr="00705DEE">
              <w:t xml:space="preserve"> 10 430 </w:t>
            </w:r>
          </w:p>
        </w:tc>
      </w:tr>
      <w:tr w:rsidR="0053543C" w:rsidRPr="006C25B2" w14:paraId="6CB97B15" w14:textId="77777777" w:rsidTr="00E0088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22" w:type="dxa"/>
            <w:noWrap/>
            <w:hideMark/>
          </w:tcPr>
          <w:p w14:paraId="6E4D20E8" w14:textId="77777777" w:rsidR="0053543C" w:rsidRPr="006C25B2" w:rsidRDefault="0053543C" w:rsidP="0053543C">
            <w:pPr>
              <w:jc w:val="center"/>
              <w:rPr>
                <w:rFonts w:eastAsia="Times New Roman" w:cs="Calibri"/>
                <w:color w:val="000000"/>
                <w:lang w:val="es-CR"/>
              </w:rPr>
            </w:pPr>
            <w:r w:rsidRPr="00705DEE">
              <w:t>2018</w:t>
            </w:r>
          </w:p>
        </w:tc>
        <w:tc>
          <w:tcPr>
            <w:tcW w:w="1500" w:type="dxa"/>
            <w:noWrap/>
            <w:hideMark/>
          </w:tcPr>
          <w:p w14:paraId="1FF444A4" w14:textId="77777777" w:rsidR="0053543C" w:rsidRPr="006C25B2" w:rsidRDefault="0053543C" w:rsidP="0053543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705DEE">
              <w:t xml:space="preserve"> 42 730 </w:t>
            </w:r>
          </w:p>
        </w:tc>
        <w:tc>
          <w:tcPr>
            <w:tcW w:w="1275" w:type="dxa"/>
            <w:noWrap/>
            <w:hideMark/>
          </w:tcPr>
          <w:p w14:paraId="78FA11D4" w14:textId="77777777" w:rsidR="0053543C" w:rsidRPr="006C25B2" w:rsidRDefault="0053543C" w:rsidP="0053543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705DEE">
              <w:t xml:space="preserve"> 31 963 </w:t>
            </w:r>
          </w:p>
        </w:tc>
        <w:tc>
          <w:tcPr>
            <w:tcW w:w="1134" w:type="dxa"/>
            <w:noWrap/>
            <w:hideMark/>
          </w:tcPr>
          <w:p w14:paraId="2C8AF272" w14:textId="77777777" w:rsidR="0053543C" w:rsidRPr="006C25B2" w:rsidRDefault="0053543C" w:rsidP="0053543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705DEE">
              <w:t xml:space="preserve"> 10 767 </w:t>
            </w:r>
          </w:p>
        </w:tc>
        <w:tc>
          <w:tcPr>
            <w:tcW w:w="1134" w:type="dxa"/>
            <w:noWrap/>
            <w:hideMark/>
          </w:tcPr>
          <w:p w14:paraId="6983BFC6" w14:textId="77777777" w:rsidR="0053543C" w:rsidRPr="006C25B2" w:rsidRDefault="0053543C" w:rsidP="0053543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705DEE">
              <w:t xml:space="preserve"> 6 548 </w:t>
            </w:r>
          </w:p>
        </w:tc>
        <w:tc>
          <w:tcPr>
            <w:tcW w:w="1460" w:type="dxa"/>
            <w:noWrap/>
            <w:hideMark/>
          </w:tcPr>
          <w:p w14:paraId="7E611041" w14:textId="77777777" w:rsidR="0053543C" w:rsidRPr="006C25B2" w:rsidRDefault="0053543C" w:rsidP="0053543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705DEE">
              <w:t xml:space="preserve"> 15 094 </w:t>
            </w:r>
          </w:p>
        </w:tc>
      </w:tr>
      <w:tr w:rsidR="0053543C" w:rsidRPr="006C25B2" w14:paraId="5F9872D5" w14:textId="77777777" w:rsidTr="00E00882">
        <w:trPr>
          <w:trHeight w:val="300"/>
          <w:jc w:val="center"/>
        </w:trPr>
        <w:tc>
          <w:tcPr>
            <w:cnfStyle w:val="001000000000" w:firstRow="0" w:lastRow="0" w:firstColumn="1" w:lastColumn="0" w:oddVBand="0" w:evenVBand="0" w:oddHBand="0" w:evenHBand="0" w:firstRowFirstColumn="0" w:firstRowLastColumn="0" w:lastRowFirstColumn="0" w:lastRowLastColumn="0"/>
            <w:tcW w:w="722" w:type="dxa"/>
            <w:noWrap/>
            <w:hideMark/>
          </w:tcPr>
          <w:p w14:paraId="22B3BD02" w14:textId="77777777" w:rsidR="0053543C" w:rsidRPr="006C25B2" w:rsidRDefault="0053543C" w:rsidP="0053543C">
            <w:pPr>
              <w:jc w:val="center"/>
              <w:rPr>
                <w:rFonts w:eastAsia="Times New Roman" w:cs="Calibri"/>
                <w:color w:val="000000"/>
                <w:lang w:val="es-CR"/>
              </w:rPr>
            </w:pPr>
            <w:r w:rsidRPr="00705DEE">
              <w:t>2019</w:t>
            </w:r>
          </w:p>
        </w:tc>
        <w:tc>
          <w:tcPr>
            <w:tcW w:w="1500" w:type="dxa"/>
            <w:noWrap/>
            <w:hideMark/>
          </w:tcPr>
          <w:p w14:paraId="6466AA40" w14:textId="77777777" w:rsidR="0053543C" w:rsidRPr="006C25B2" w:rsidRDefault="0053543C" w:rsidP="0053543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705DEE">
              <w:t xml:space="preserve"> 49 847 </w:t>
            </w:r>
          </w:p>
        </w:tc>
        <w:tc>
          <w:tcPr>
            <w:tcW w:w="1275" w:type="dxa"/>
            <w:noWrap/>
            <w:hideMark/>
          </w:tcPr>
          <w:p w14:paraId="519E3FC0" w14:textId="77777777" w:rsidR="0053543C" w:rsidRPr="006C25B2" w:rsidRDefault="0053543C" w:rsidP="0053543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705DEE">
              <w:t xml:space="preserve"> 34 584 </w:t>
            </w:r>
          </w:p>
        </w:tc>
        <w:tc>
          <w:tcPr>
            <w:tcW w:w="1134" w:type="dxa"/>
            <w:noWrap/>
            <w:hideMark/>
          </w:tcPr>
          <w:p w14:paraId="3F00952C" w14:textId="77777777" w:rsidR="0053543C" w:rsidRPr="006C25B2" w:rsidRDefault="0053543C" w:rsidP="0053543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705DEE">
              <w:t xml:space="preserve"> 15 263 </w:t>
            </w:r>
          </w:p>
        </w:tc>
        <w:tc>
          <w:tcPr>
            <w:tcW w:w="1134" w:type="dxa"/>
            <w:noWrap/>
            <w:hideMark/>
          </w:tcPr>
          <w:p w14:paraId="14678C75" w14:textId="77777777" w:rsidR="0053543C" w:rsidRPr="006C25B2" w:rsidRDefault="0053543C" w:rsidP="0053543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705DEE">
              <w:t xml:space="preserve"> 8 408 </w:t>
            </w:r>
          </w:p>
        </w:tc>
        <w:tc>
          <w:tcPr>
            <w:tcW w:w="1460" w:type="dxa"/>
            <w:noWrap/>
            <w:hideMark/>
          </w:tcPr>
          <w:p w14:paraId="63842551" w14:textId="77777777" w:rsidR="0053543C" w:rsidRPr="006C25B2" w:rsidRDefault="0053543C" w:rsidP="0053543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705DEE">
              <w:t xml:space="preserve"> 20 535 </w:t>
            </w:r>
          </w:p>
        </w:tc>
      </w:tr>
      <w:tr w:rsidR="0053543C" w:rsidRPr="006C25B2" w14:paraId="31761808" w14:textId="77777777" w:rsidTr="00E0088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22" w:type="dxa"/>
            <w:noWrap/>
            <w:hideMark/>
          </w:tcPr>
          <w:p w14:paraId="767A507C" w14:textId="77777777" w:rsidR="0053543C" w:rsidRPr="006C25B2" w:rsidRDefault="0053543C" w:rsidP="0053543C">
            <w:pPr>
              <w:jc w:val="center"/>
              <w:rPr>
                <w:rFonts w:eastAsia="Times New Roman" w:cs="Calibri"/>
                <w:color w:val="000000"/>
                <w:lang w:val="es-CR"/>
              </w:rPr>
            </w:pPr>
            <w:r w:rsidRPr="00705DEE">
              <w:t>2020</w:t>
            </w:r>
          </w:p>
        </w:tc>
        <w:tc>
          <w:tcPr>
            <w:tcW w:w="1500" w:type="dxa"/>
            <w:noWrap/>
            <w:hideMark/>
          </w:tcPr>
          <w:p w14:paraId="4D6E8F98" w14:textId="77777777" w:rsidR="0053543C" w:rsidRPr="006C25B2" w:rsidRDefault="0053543C" w:rsidP="0053543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705DEE">
              <w:t xml:space="preserve"> 45 196 </w:t>
            </w:r>
          </w:p>
        </w:tc>
        <w:tc>
          <w:tcPr>
            <w:tcW w:w="1275" w:type="dxa"/>
            <w:noWrap/>
            <w:hideMark/>
          </w:tcPr>
          <w:p w14:paraId="25879F73" w14:textId="77777777" w:rsidR="0053543C" w:rsidRPr="006C25B2" w:rsidRDefault="0053543C" w:rsidP="0053543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705DEE">
              <w:t xml:space="preserve"> 34 492 </w:t>
            </w:r>
          </w:p>
        </w:tc>
        <w:tc>
          <w:tcPr>
            <w:tcW w:w="1134" w:type="dxa"/>
            <w:noWrap/>
            <w:hideMark/>
          </w:tcPr>
          <w:p w14:paraId="5EFCC176" w14:textId="77777777" w:rsidR="0053543C" w:rsidRPr="006C25B2" w:rsidRDefault="0053543C" w:rsidP="0053543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705DEE">
              <w:t xml:space="preserve"> 10 704 </w:t>
            </w:r>
          </w:p>
        </w:tc>
        <w:tc>
          <w:tcPr>
            <w:tcW w:w="1134" w:type="dxa"/>
            <w:noWrap/>
            <w:hideMark/>
          </w:tcPr>
          <w:p w14:paraId="2196BF09" w14:textId="77777777" w:rsidR="0053543C" w:rsidRPr="006C25B2" w:rsidRDefault="0053543C" w:rsidP="0053543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705DEE">
              <w:t xml:space="preserve"> 6 633 </w:t>
            </w:r>
          </w:p>
        </w:tc>
        <w:tc>
          <w:tcPr>
            <w:tcW w:w="1460" w:type="dxa"/>
            <w:noWrap/>
            <w:hideMark/>
          </w:tcPr>
          <w:p w14:paraId="2F2B76B7" w14:textId="77777777" w:rsidR="0053543C" w:rsidRPr="006C25B2" w:rsidRDefault="0053543C" w:rsidP="0053543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705DEE">
              <w:t xml:space="preserve"> 16 743 </w:t>
            </w:r>
          </w:p>
        </w:tc>
      </w:tr>
      <w:tr w:rsidR="0053543C" w:rsidRPr="006C25B2" w14:paraId="12CBAEBF" w14:textId="77777777" w:rsidTr="00E00882">
        <w:trPr>
          <w:trHeight w:val="300"/>
          <w:jc w:val="center"/>
        </w:trPr>
        <w:tc>
          <w:tcPr>
            <w:cnfStyle w:val="001000000000" w:firstRow="0" w:lastRow="0" w:firstColumn="1" w:lastColumn="0" w:oddVBand="0" w:evenVBand="0" w:oddHBand="0" w:evenHBand="0" w:firstRowFirstColumn="0" w:firstRowLastColumn="0" w:lastRowFirstColumn="0" w:lastRowLastColumn="0"/>
            <w:tcW w:w="722" w:type="dxa"/>
            <w:noWrap/>
            <w:hideMark/>
          </w:tcPr>
          <w:p w14:paraId="1A84C4AC" w14:textId="77777777" w:rsidR="0053543C" w:rsidRPr="006C25B2" w:rsidRDefault="0053543C" w:rsidP="0053543C">
            <w:pPr>
              <w:jc w:val="center"/>
              <w:rPr>
                <w:rFonts w:eastAsia="Times New Roman" w:cs="Calibri"/>
                <w:color w:val="000000"/>
                <w:lang w:val="es-CR"/>
              </w:rPr>
            </w:pPr>
            <w:r w:rsidRPr="00705DEE">
              <w:t>2021*</w:t>
            </w:r>
          </w:p>
        </w:tc>
        <w:tc>
          <w:tcPr>
            <w:tcW w:w="1500" w:type="dxa"/>
            <w:noWrap/>
            <w:hideMark/>
          </w:tcPr>
          <w:p w14:paraId="7279C52F" w14:textId="77777777" w:rsidR="0053543C" w:rsidRPr="006C25B2" w:rsidRDefault="0053543C" w:rsidP="0053543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705DEE">
              <w:t xml:space="preserve"> 12 419 </w:t>
            </w:r>
          </w:p>
        </w:tc>
        <w:tc>
          <w:tcPr>
            <w:tcW w:w="1275" w:type="dxa"/>
            <w:noWrap/>
            <w:hideMark/>
          </w:tcPr>
          <w:p w14:paraId="448E9FF3" w14:textId="77777777" w:rsidR="0053543C" w:rsidRPr="006C25B2" w:rsidRDefault="0053543C" w:rsidP="0053543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705DEE">
              <w:t xml:space="preserve"> 8 881 </w:t>
            </w:r>
          </w:p>
        </w:tc>
        <w:tc>
          <w:tcPr>
            <w:tcW w:w="1134" w:type="dxa"/>
            <w:noWrap/>
            <w:hideMark/>
          </w:tcPr>
          <w:p w14:paraId="2E9AFB21" w14:textId="77777777" w:rsidR="0053543C" w:rsidRPr="006C25B2" w:rsidRDefault="0053543C" w:rsidP="0053543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705DEE">
              <w:t xml:space="preserve"> 3 538 </w:t>
            </w:r>
          </w:p>
        </w:tc>
        <w:tc>
          <w:tcPr>
            <w:tcW w:w="1134" w:type="dxa"/>
            <w:noWrap/>
            <w:hideMark/>
          </w:tcPr>
          <w:p w14:paraId="0AA0F044" w14:textId="77777777" w:rsidR="0053543C" w:rsidRPr="006C25B2" w:rsidRDefault="0053543C" w:rsidP="0053543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705DEE">
              <w:t xml:space="preserve"> 2 122 </w:t>
            </w:r>
          </w:p>
        </w:tc>
        <w:tc>
          <w:tcPr>
            <w:tcW w:w="1460" w:type="dxa"/>
            <w:noWrap/>
            <w:hideMark/>
          </w:tcPr>
          <w:p w14:paraId="5B2E1AEC" w14:textId="77777777" w:rsidR="0053543C" w:rsidRPr="006C25B2" w:rsidRDefault="0053543C" w:rsidP="0053543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705DEE">
              <w:t xml:space="preserve"> 5 047 </w:t>
            </w:r>
          </w:p>
        </w:tc>
      </w:tr>
    </w:tbl>
    <w:p w14:paraId="2AFB9527" w14:textId="77777777" w:rsidR="006C25B2" w:rsidRDefault="004A0152" w:rsidP="00DB17DE">
      <w:pPr>
        <w:pStyle w:val="Descripcin"/>
        <w:spacing w:after="0"/>
      </w:pPr>
      <w:r>
        <w:t xml:space="preserve">       </w:t>
      </w:r>
      <w:r w:rsidR="00DB17DE">
        <w:t>Fuente: Elaboración propia</w:t>
      </w:r>
    </w:p>
    <w:p w14:paraId="1095C2C0" w14:textId="77777777" w:rsidR="00BA34DC" w:rsidRPr="00BA34DC" w:rsidRDefault="00C05D4F" w:rsidP="00C05D4F">
      <w:pPr>
        <w:pStyle w:val="Descripcin"/>
        <w:spacing w:after="0"/>
      </w:pPr>
      <w:r>
        <w:t xml:space="preserve">       * Datos a</w:t>
      </w:r>
      <w:r w:rsidR="00430B72">
        <w:t>cumulados durante el primer trimestre del año</w:t>
      </w:r>
      <w:r>
        <w:t xml:space="preserve"> </w:t>
      </w:r>
    </w:p>
    <w:p w14:paraId="5C5D0176" w14:textId="77777777" w:rsidR="000623D4" w:rsidRPr="00E00882" w:rsidRDefault="00E00882" w:rsidP="000623D4">
      <w:pPr>
        <w:rPr>
          <w:i/>
          <w:color w:val="1F497D" w:themeColor="text2"/>
          <w:sz w:val="18"/>
          <w:szCs w:val="18"/>
        </w:rPr>
      </w:pPr>
      <w:r>
        <w:rPr>
          <w:i/>
          <w:iCs/>
          <w:color w:val="1F497D" w:themeColor="text2"/>
          <w:sz w:val="18"/>
          <w:szCs w:val="18"/>
        </w:rPr>
        <w:t xml:space="preserve">      </w:t>
      </w:r>
      <w:r w:rsidRPr="00E00882">
        <w:rPr>
          <w:i/>
          <w:iCs/>
          <w:color w:val="1F497D" w:themeColor="text2"/>
          <w:sz w:val="18"/>
          <w:szCs w:val="18"/>
        </w:rPr>
        <w:t>** Antes de impuestos y participaciones</w:t>
      </w:r>
    </w:p>
    <w:p w14:paraId="770DF12B" w14:textId="77777777" w:rsidR="009B4865" w:rsidRDefault="009B4865" w:rsidP="004D0694">
      <w:pPr>
        <w:spacing w:after="0" w:line="240" w:lineRule="auto"/>
        <w:jc w:val="both"/>
        <w:rPr>
          <w:rFonts w:cstheme="minorHAnsi"/>
        </w:rPr>
      </w:pPr>
    </w:p>
    <w:p w14:paraId="6CE9EEA3" w14:textId="77777777" w:rsidR="00612B7D" w:rsidRDefault="00612B7D" w:rsidP="004D0694">
      <w:pPr>
        <w:spacing w:after="0" w:line="240" w:lineRule="auto"/>
        <w:jc w:val="both"/>
        <w:rPr>
          <w:rFonts w:cstheme="minorHAnsi"/>
        </w:rPr>
      </w:pPr>
    </w:p>
    <w:p w14:paraId="6574D255" w14:textId="77777777" w:rsidR="00493868" w:rsidRDefault="00AD63D1" w:rsidP="00493868">
      <w:pPr>
        <w:pStyle w:val="Descripcin"/>
        <w:spacing w:after="0"/>
        <w:jc w:val="center"/>
      </w:pPr>
      <w:r w:rsidRPr="0016176E">
        <w:lastRenderedPageBreak/>
        <w:t xml:space="preserve">Tabla </w:t>
      </w:r>
      <w:r w:rsidRPr="0016176E">
        <w:fldChar w:fldCharType="begin"/>
      </w:r>
      <w:r w:rsidRPr="0016176E">
        <w:instrText xml:space="preserve"> SEQ Tabla \* ARABIC </w:instrText>
      </w:r>
      <w:r w:rsidRPr="0016176E">
        <w:fldChar w:fldCharType="separate"/>
      </w:r>
      <w:r w:rsidR="00D04579">
        <w:rPr>
          <w:noProof/>
        </w:rPr>
        <w:t>5</w:t>
      </w:r>
      <w:r w:rsidRPr="0016176E">
        <w:fldChar w:fldCharType="end"/>
      </w:r>
      <w:r w:rsidRPr="0016176E">
        <w:t xml:space="preserve">: </w:t>
      </w:r>
      <w:r w:rsidR="00493868">
        <w:t>Rentabilidad sobre el patrimonio</w:t>
      </w:r>
    </w:p>
    <w:p w14:paraId="4DB5EF1B" w14:textId="77777777" w:rsidR="00493868" w:rsidRPr="00DB17DE" w:rsidRDefault="00B74FAD" w:rsidP="00493868">
      <w:pPr>
        <w:pStyle w:val="Descripcin"/>
        <w:spacing w:after="0"/>
        <w:jc w:val="center"/>
      </w:pPr>
      <w:r w:rsidRPr="00B74FAD">
        <w:t>Acumulado anual a marzo</w:t>
      </w:r>
      <w:r w:rsidR="00C8270F">
        <w:t xml:space="preserve"> de cada año</w:t>
      </w:r>
    </w:p>
    <w:tbl>
      <w:tblPr>
        <w:tblStyle w:val="Tablaconcuadrcula4-nfasis1"/>
        <w:tblW w:w="0" w:type="auto"/>
        <w:jc w:val="center"/>
        <w:tblLook w:val="04A0" w:firstRow="1" w:lastRow="0" w:firstColumn="1" w:lastColumn="0" w:noHBand="0" w:noVBand="1"/>
      </w:tblPr>
      <w:tblGrid>
        <w:gridCol w:w="622"/>
        <w:gridCol w:w="1359"/>
        <w:gridCol w:w="998"/>
        <w:gridCol w:w="1026"/>
        <w:gridCol w:w="1014"/>
        <w:gridCol w:w="1381"/>
        <w:gridCol w:w="1222"/>
      </w:tblGrid>
      <w:tr w:rsidR="00AD63D1" w:rsidRPr="00027AD4" w14:paraId="4D39851B" w14:textId="77777777" w:rsidTr="00AD63D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7A2ABAF" w14:textId="77777777" w:rsidR="00AD63D1" w:rsidRPr="00027AD4" w:rsidRDefault="00AD63D1" w:rsidP="00AD63D1">
            <w:pPr>
              <w:rPr>
                <w:rFonts w:eastAsia="Times New Roman" w:cs="Calibri"/>
                <w:lang w:val="es-CR"/>
              </w:rPr>
            </w:pPr>
            <w:r w:rsidRPr="00027AD4">
              <w:rPr>
                <w:rFonts w:eastAsia="Times New Roman" w:cs="Calibri"/>
                <w:lang w:val="es-CR"/>
              </w:rPr>
              <w:t>A</w:t>
            </w:r>
            <w:r w:rsidR="000A2026">
              <w:rPr>
                <w:rFonts w:eastAsia="Times New Roman" w:cs="Calibri"/>
                <w:lang w:val="es-CR"/>
              </w:rPr>
              <w:t>ño</w:t>
            </w:r>
          </w:p>
        </w:tc>
        <w:tc>
          <w:tcPr>
            <w:tcW w:w="0" w:type="auto"/>
            <w:noWrap/>
            <w:vAlign w:val="center"/>
            <w:hideMark/>
          </w:tcPr>
          <w:p w14:paraId="16A1405A" w14:textId="77777777" w:rsidR="00AD63D1" w:rsidRPr="00027AD4" w:rsidRDefault="00AD63D1" w:rsidP="00AD63D1">
            <w:pP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027AD4">
              <w:rPr>
                <w:rFonts w:eastAsia="Times New Roman" w:cs="Calibri"/>
                <w:lang w:val="es-CR"/>
              </w:rPr>
              <w:t>BCR-PENSION</w:t>
            </w:r>
          </w:p>
        </w:tc>
        <w:tc>
          <w:tcPr>
            <w:tcW w:w="0" w:type="auto"/>
            <w:noWrap/>
            <w:vAlign w:val="center"/>
            <w:hideMark/>
          </w:tcPr>
          <w:p w14:paraId="432E8620" w14:textId="77777777" w:rsidR="00AD63D1" w:rsidRPr="00027AD4" w:rsidRDefault="00AD63D1" w:rsidP="00AD63D1">
            <w:pP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027AD4">
              <w:rPr>
                <w:rFonts w:eastAsia="Times New Roman" w:cs="Calibri"/>
                <w:lang w:val="es-CR"/>
              </w:rPr>
              <w:t>BN-VITAL</w:t>
            </w:r>
          </w:p>
        </w:tc>
        <w:tc>
          <w:tcPr>
            <w:tcW w:w="0" w:type="auto"/>
            <w:noWrap/>
            <w:vAlign w:val="center"/>
            <w:hideMark/>
          </w:tcPr>
          <w:p w14:paraId="6ADC53C3" w14:textId="77777777" w:rsidR="00AD63D1" w:rsidRPr="00027AD4" w:rsidRDefault="00AD63D1" w:rsidP="00AD63D1">
            <w:pP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027AD4">
              <w:rPr>
                <w:rFonts w:eastAsia="Times New Roman" w:cs="Calibri"/>
                <w:lang w:val="es-CR"/>
              </w:rPr>
              <w:t>CCSS-OPC</w:t>
            </w:r>
          </w:p>
        </w:tc>
        <w:tc>
          <w:tcPr>
            <w:tcW w:w="0" w:type="auto"/>
            <w:noWrap/>
            <w:vAlign w:val="center"/>
            <w:hideMark/>
          </w:tcPr>
          <w:p w14:paraId="21864D63" w14:textId="77777777" w:rsidR="00AD63D1" w:rsidRPr="00027AD4" w:rsidRDefault="00AD63D1" w:rsidP="00AD63D1">
            <w:pP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027AD4">
              <w:rPr>
                <w:rFonts w:eastAsia="Times New Roman" w:cs="Calibri"/>
                <w:lang w:val="es-CR"/>
              </w:rPr>
              <w:t>POPULAR</w:t>
            </w:r>
          </w:p>
        </w:tc>
        <w:tc>
          <w:tcPr>
            <w:tcW w:w="0" w:type="auto"/>
            <w:noWrap/>
            <w:vAlign w:val="center"/>
            <w:hideMark/>
          </w:tcPr>
          <w:p w14:paraId="38539805" w14:textId="77777777" w:rsidR="00AD63D1" w:rsidRPr="00027AD4" w:rsidRDefault="00AD63D1" w:rsidP="00AD63D1">
            <w:pP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027AD4">
              <w:rPr>
                <w:rFonts w:eastAsia="Times New Roman" w:cs="Calibri"/>
                <w:lang w:val="es-CR"/>
              </w:rPr>
              <w:t>SJ-PENSIONES</w:t>
            </w:r>
          </w:p>
        </w:tc>
        <w:tc>
          <w:tcPr>
            <w:tcW w:w="0" w:type="auto"/>
            <w:noWrap/>
            <w:vAlign w:val="center"/>
            <w:hideMark/>
          </w:tcPr>
          <w:p w14:paraId="79FBD579" w14:textId="77777777" w:rsidR="00AD63D1" w:rsidRPr="00027AD4" w:rsidRDefault="00AD63D1" w:rsidP="00AD63D1">
            <w:pP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027AD4">
              <w:rPr>
                <w:rFonts w:eastAsia="Times New Roman" w:cs="Calibri"/>
                <w:lang w:val="es-CR"/>
              </w:rPr>
              <w:t>VIDA PLENA</w:t>
            </w:r>
          </w:p>
        </w:tc>
      </w:tr>
      <w:tr w:rsidR="00A5333E" w:rsidRPr="00027AD4" w14:paraId="5AA0DCE0" w14:textId="77777777" w:rsidTr="00AD63D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2B44A48" w14:textId="77777777" w:rsidR="00A5333E" w:rsidRPr="00027AD4" w:rsidRDefault="00A5333E" w:rsidP="00A5333E">
            <w:pPr>
              <w:jc w:val="center"/>
              <w:rPr>
                <w:rFonts w:eastAsia="Times New Roman" w:cs="Calibri"/>
                <w:color w:val="000000"/>
                <w:lang w:val="es-CR"/>
              </w:rPr>
            </w:pPr>
            <w:r w:rsidRPr="00027AD4">
              <w:rPr>
                <w:rFonts w:eastAsia="Times New Roman" w:cs="Calibri"/>
                <w:color w:val="000000"/>
                <w:lang w:val="es-CR"/>
              </w:rPr>
              <w:t>2018</w:t>
            </w:r>
          </w:p>
        </w:tc>
        <w:tc>
          <w:tcPr>
            <w:tcW w:w="0" w:type="auto"/>
            <w:noWrap/>
            <w:hideMark/>
          </w:tcPr>
          <w:p w14:paraId="49926E18" w14:textId="77777777" w:rsidR="00A5333E" w:rsidRPr="00027AD4" w:rsidRDefault="00A5333E" w:rsidP="00A5333E">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2C4CF1">
              <w:t>29,0%</w:t>
            </w:r>
          </w:p>
        </w:tc>
        <w:tc>
          <w:tcPr>
            <w:tcW w:w="0" w:type="auto"/>
            <w:noWrap/>
            <w:hideMark/>
          </w:tcPr>
          <w:p w14:paraId="11966291" w14:textId="77777777" w:rsidR="00A5333E" w:rsidRPr="00027AD4" w:rsidRDefault="00A5333E" w:rsidP="00A5333E">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2C4CF1">
              <w:t>35,8%</w:t>
            </w:r>
          </w:p>
        </w:tc>
        <w:tc>
          <w:tcPr>
            <w:tcW w:w="0" w:type="auto"/>
            <w:noWrap/>
            <w:hideMark/>
          </w:tcPr>
          <w:p w14:paraId="515011F7" w14:textId="77777777" w:rsidR="00A5333E" w:rsidRPr="00027AD4" w:rsidRDefault="00A5333E" w:rsidP="00A5333E">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2C4CF1">
              <w:t>7,4%</w:t>
            </w:r>
          </w:p>
        </w:tc>
        <w:tc>
          <w:tcPr>
            <w:tcW w:w="0" w:type="auto"/>
            <w:noWrap/>
            <w:hideMark/>
          </w:tcPr>
          <w:p w14:paraId="07CE20E7" w14:textId="77777777" w:rsidR="00A5333E" w:rsidRPr="00027AD4" w:rsidRDefault="00A5333E" w:rsidP="00A5333E">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2C4CF1">
              <w:t>36,7%</w:t>
            </w:r>
          </w:p>
        </w:tc>
        <w:tc>
          <w:tcPr>
            <w:tcW w:w="0" w:type="auto"/>
            <w:noWrap/>
            <w:hideMark/>
          </w:tcPr>
          <w:p w14:paraId="09D0EE2D" w14:textId="77777777" w:rsidR="00A5333E" w:rsidRPr="00027AD4" w:rsidRDefault="00A5333E" w:rsidP="00A5333E">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2C4CF1">
              <w:t>15,3%</w:t>
            </w:r>
          </w:p>
        </w:tc>
        <w:tc>
          <w:tcPr>
            <w:tcW w:w="0" w:type="auto"/>
            <w:noWrap/>
            <w:hideMark/>
          </w:tcPr>
          <w:p w14:paraId="2F4DE6ED" w14:textId="77777777" w:rsidR="00A5333E" w:rsidRPr="00027AD4" w:rsidRDefault="00A5333E" w:rsidP="00A5333E">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2C4CF1">
              <w:t>8,8%</w:t>
            </w:r>
          </w:p>
        </w:tc>
      </w:tr>
      <w:tr w:rsidR="00A5333E" w:rsidRPr="00027AD4" w14:paraId="33BE6092" w14:textId="77777777" w:rsidTr="00AD63D1">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84661DA" w14:textId="77777777" w:rsidR="00A5333E" w:rsidRPr="00027AD4" w:rsidRDefault="00A5333E" w:rsidP="00A5333E">
            <w:pPr>
              <w:jc w:val="center"/>
              <w:rPr>
                <w:rFonts w:eastAsia="Times New Roman" w:cs="Calibri"/>
                <w:color w:val="000000"/>
                <w:lang w:val="es-CR"/>
              </w:rPr>
            </w:pPr>
            <w:r w:rsidRPr="00027AD4">
              <w:rPr>
                <w:rFonts w:eastAsia="Times New Roman" w:cs="Calibri"/>
                <w:color w:val="000000"/>
                <w:lang w:val="es-CR"/>
              </w:rPr>
              <w:t>2019</w:t>
            </w:r>
          </w:p>
        </w:tc>
        <w:tc>
          <w:tcPr>
            <w:tcW w:w="0" w:type="auto"/>
            <w:noWrap/>
            <w:hideMark/>
          </w:tcPr>
          <w:p w14:paraId="6F24D849" w14:textId="77777777" w:rsidR="00A5333E" w:rsidRPr="00027AD4" w:rsidRDefault="00A5333E" w:rsidP="00A5333E">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2C4CF1">
              <w:t>58,9%</w:t>
            </w:r>
          </w:p>
        </w:tc>
        <w:tc>
          <w:tcPr>
            <w:tcW w:w="0" w:type="auto"/>
            <w:noWrap/>
            <w:hideMark/>
          </w:tcPr>
          <w:p w14:paraId="738A5E87" w14:textId="77777777" w:rsidR="00A5333E" w:rsidRPr="00027AD4" w:rsidRDefault="00A5333E" w:rsidP="00A5333E">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2C4CF1">
              <w:t>38,6%</w:t>
            </w:r>
          </w:p>
        </w:tc>
        <w:tc>
          <w:tcPr>
            <w:tcW w:w="0" w:type="auto"/>
            <w:noWrap/>
            <w:hideMark/>
          </w:tcPr>
          <w:p w14:paraId="1E59648B" w14:textId="77777777" w:rsidR="00A5333E" w:rsidRPr="00027AD4" w:rsidRDefault="00A5333E" w:rsidP="00A5333E">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2C4CF1">
              <w:t>11,8%</w:t>
            </w:r>
          </w:p>
        </w:tc>
        <w:tc>
          <w:tcPr>
            <w:tcW w:w="0" w:type="auto"/>
            <w:noWrap/>
            <w:hideMark/>
          </w:tcPr>
          <w:p w14:paraId="6672F9F1" w14:textId="77777777" w:rsidR="00A5333E" w:rsidRPr="00027AD4" w:rsidRDefault="00A5333E" w:rsidP="00A5333E">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2C4CF1">
              <w:t>35,7%</w:t>
            </w:r>
          </w:p>
        </w:tc>
        <w:tc>
          <w:tcPr>
            <w:tcW w:w="0" w:type="auto"/>
            <w:noWrap/>
            <w:hideMark/>
          </w:tcPr>
          <w:p w14:paraId="63EB7D66" w14:textId="77777777" w:rsidR="00A5333E" w:rsidRPr="00027AD4" w:rsidRDefault="00A5333E" w:rsidP="00A5333E">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2C4CF1">
              <w:t>16,6%</w:t>
            </w:r>
          </w:p>
        </w:tc>
        <w:tc>
          <w:tcPr>
            <w:tcW w:w="0" w:type="auto"/>
            <w:noWrap/>
            <w:hideMark/>
          </w:tcPr>
          <w:p w14:paraId="5C368CA4" w14:textId="77777777" w:rsidR="00A5333E" w:rsidRPr="00027AD4" w:rsidRDefault="00A5333E" w:rsidP="00A5333E">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2C4CF1">
              <w:t>14,6%</w:t>
            </w:r>
          </w:p>
        </w:tc>
      </w:tr>
      <w:tr w:rsidR="00A5333E" w:rsidRPr="00027AD4" w14:paraId="70A14F7C" w14:textId="77777777" w:rsidTr="00AD63D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98B9795" w14:textId="77777777" w:rsidR="00A5333E" w:rsidRPr="00027AD4" w:rsidRDefault="00A5333E" w:rsidP="00A5333E">
            <w:pPr>
              <w:jc w:val="center"/>
              <w:rPr>
                <w:rFonts w:eastAsia="Times New Roman" w:cs="Calibri"/>
                <w:color w:val="000000"/>
                <w:lang w:val="es-CR"/>
              </w:rPr>
            </w:pPr>
            <w:r w:rsidRPr="00027AD4">
              <w:rPr>
                <w:rFonts w:eastAsia="Times New Roman" w:cs="Calibri"/>
                <w:color w:val="000000"/>
                <w:lang w:val="es-CR"/>
              </w:rPr>
              <w:t>2020</w:t>
            </w:r>
          </w:p>
        </w:tc>
        <w:tc>
          <w:tcPr>
            <w:tcW w:w="0" w:type="auto"/>
            <w:noWrap/>
            <w:hideMark/>
          </w:tcPr>
          <w:p w14:paraId="6B430119" w14:textId="77777777" w:rsidR="00A5333E" w:rsidRPr="00027AD4" w:rsidRDefault="00A5333E" w:rsidP="00A5333E">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2C4CF1">
              <w:t>44,5%</w:t>
            </w:r>
          </w:p>
        </w:tc>
        <w:tc>
          <w:tcPr>
            <w:tcW w:w="0" w:type="auto"/>
            <w:noWrap/>
            <w:hideMark/>
          </w:tcPr>
          <w:p w14:paraId="048E1159" w14:textId="77777777" w:rsidR="00A5333E" w:rsidRPr="00027AD4" w:rsidRDefault="00A5333E" w:rsidP="00A5333E">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2C4CF1">
              <w:t>50,9%</w:t>
            </w:r>
          </w:p>
        </w:tc>
        <w:tc>
          <w:tcPr>
            <w:tcW w:w="0" w:type="auto"/>
            <w:noWrap/>
            <w:hideMark/>
          </w:tcPr>
          <w:p w14:paraId="593C4126" w14:textId="77777777" w:rsidR="00A5333E" w:rsidRPr="00027AD4" w:rsidRDefault="00A5333E" w:rsidP="00A5333E">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2C4CF1">
              <w:t>8,3%</w:t>
            </w:r>
          </w:p>
        </w:tc>
        <w:tc>
          <w:tcPr>
            <w:tcW w:w="0" w:type="auto"/>
            <w:noWrap/>
            <w:hideMark/>
          </w:tcPr>
          <w:p w14:paraId="779C2305" w14:textId="77777777" w:rsidR="00A5333E" w:rsidRPr="00027AD4" w:rsidRDefault="00A5333E" w:rsidP="00A5333E">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2C4CF1">
              <w:t>37,6%</w:t>
            </w:r>
          </w:p>
        </w:tc>
        <w:tc>
          <w:tcPr>
            <w:tcW w:w="0" w:type="auto"/>
            <w:noWrap/>
            <w:hideMark/>
          </w:tcPr>
          <w:p w14:paraId="3BF87D50" w14:textId="77777777" w:rsidR="00A5333E" w:rsidRPr="00027AD4" w:rsidRDefault="00A5333E" w:rsidP="00A5333E">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2C4CF1">
              <w:t>14,1%</w:t>
            </w:r>
          </w:p>
        </w:tc>
        <w:tc>
          <w:tcPr>
            <w:tcW w:w="0" w:type="auto"/>
            <w:noWrap/>
            <w:hideMark/>
          </w:tcPr>
          <w:p w14:paraId="46EC41B3" w14:textId="77777777" w:rsidR="00A5333E" w:rsidRPr="00027AD4" w:rsidRDefault="00A5333E" w:rsidP="00A5333E">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2C4CF1">
              <w:t>7,0%</w:t>
            </w:r>
          </w:p>
        </w:tc>
      </w:tr>
      <w:tr w:rsidR="00A5333E" w:rsidRPr="00AD63D1" w14:paraId="50ADDEF0" w14:textId="77777777" w:rsidTr="00AD63D1">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773319E" w14:textId="77777777" w:rsidR="00A5333E" w:rsidRPr="00027AD4" w:rsidRDefault="00A5333E" w:rsidP="00A5333E">
            <w:pPr>
              <w:jc w:val="center"/>
              <w:rPr>
                <w:rFonts w:eastAsia="Times New Roman" w:cs="Calibri"/>
                <w:color w:val="000000"/>
                <w:lang w:val="es-CR"/>
              </w:rPr>
            </w:pPr>
            <w:r w:rsidRPr="00027AD4">
              <w:rPr>
                <w:rFonts w:eastAsia="Times New Roman" w:cs="Calibri"/>
                <w:color w:val="000000"/>
                <w:lang w:val="es-CR"/>
              </w:rPr>
              <w:t>2021</w:t>
            </w:r>
          </w:p>
        </w:tc>
        <w:tc>
          <w:tcPr>
            <w:tcW w:w="0" w:type="auto"/>
            <w:noWrap/>
            <w:hideMark/>
          </w:tcPr>
          <w:p w14:paraId="1943780E" w14:textId="77777777" w:rsidR="00A5333E" w:rsidRPr="00027AD4" w:rsidRDefault="00A5333E" w:rsidP="00A5333E">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2C4CF1">
              <w:t>57,9%</w:t>
            </w:r>
          </w:p>
        </w:tc>
        <w:tc>
          <w:tcPr>
            <w:tcW w:w="0" w:type="auto"/>
            <w:noWrap/>
            <w:hideMark/>
          </w:tcPr>
          <w:p w14:paraId="4C617C17" w14:textId="77777777" w:rsidR="00A5333E" w:rsidRPr="00027AD4" w:rsidRDefault="00A5333E" w:rsidP="00A5333E">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2C4CF1">
              <w:t>35,2%</w:t>
            </w:r>
          </w:p>
        </w:tc>
        <w:tc>
          <w:tcPr>
            <w:tcW w:w="0" w:type="auto"/>
            <w:noWrap/>
            <w:hideMark/>
          </w:tcPr>
          <w:p w14:paraId="52E25160" w14:textId="77777777" w:rsidR="00A5333E" w:rsidRPr="00027AD4" w:rsidRDefault="00A5333E" w:rsidP="00A5333E">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2C4CF1">
              <w:t>7,7%</w:t>
            </w:r>
          </w:p>
        </w:tc>
        <w:tc>
          <w:tcPr>
            <w:tcW w:w="0" w:type="auto"/>
            <w:noWrap/>
            <w:hideMark/>
          </w:tcPr>
          <w:p w14:paraId="4F58B39B" w14:textId="77777777" w:rsidR="00A5333E" w:rsidRPr="00027AD4" w:rsidRDefault="00A5333E" w:rsidP="00A5333E">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2C4CF1">
              <w:t>28,1%</w:t>
            </w:r>
          </w:p>
        </w:tc>
        <w:tc>
          <w:tcPr>
            <w:tcW w:w="0" w:type="auto"/>
            <w:noWrap/>
            <w:hideMark/>
          </w:tcPr>
          <w:p w14:paraId="18EF1216" w14:textId="77777777" w:rsidR="00A5333E" w:rsidRPr="00027AD4" w:rsidRDefault="00A5333E" w:rsidP="00A5333E">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2C4CF1">
              <w:t>17,1%</w:t>
            </w:r>
          </w:p>
        </w:tc>
        <w:tc>
          <w:tcPr>
            <w:tcW w:w="0" w:type="auto"/>
            <w:noWrap/>
            <w:hideMark/>
          </w:tcPr>
          <w:p w14:paraId="26958220" w14:textId="77777777" w:rsidR="00A5333E" w:rsidRPr="00027AD4" w:rsidRDefault="00A5333E" w:rsidP="00A5333E">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2C4CF1">
              <w:t>6,0%</w:t>
            </w:r>
          </w:p>
        </w:tc>
      </w:tr>
    </w:tbl>
    <w:p w14:paraId="394E8ACF" w14:textId="77777777" w:rsidR="00AD63D1" w:rsidRDefault="00AD63D1" w:rsidP="00AD63D1">
      <w:pPr>
        <w:pStyle w:val="Descripcin"/>
        <w:spacing w:after="0"/>
        <w:ind w:left="708"/>
      </w:pPr>
      <w:r>
        <w:t>Fuente: Elaboración propia</w:t>
      </w:r>
    </w:p>
    <w:p w14:paraId="152FF713" w14:textId="77777777" w:rsidR="00430B72" w:rsidRDefault="00430B72" w:rsidP="004D0694">
      <w:pPr>
        <w:spacing w:after="0" w:line="240" w:lineRule="auto"/>
        <w:jc w:val="both"/>
        <w:rPr>
          <w:rFonts w:cstheme="minorHAnsi"/>
        </w:rPr>
      </w:pPr>
    </w:p>
    <w:p w14:paraId="6C265F81" w14:textId="77777777" w:rsidR="00171641" w:rsidRDefault="00171641" w:rsidP="00171641">
      <w:pPr>
        <w:spacing w:after="0" w:line="240" w:lineRule="auto"/>
        <w:jc w:val="both"/>
        <w:rPr>
          <w:rFonts w:cstheme="minorHAnsi"/>
        </w:rPr>
      </w:pPr>
      <w:r w:rsidRPr="00171641">
        <w:rPr>
          <w:rFonts w:cstheme="minorHAnsi"/>
        </w:rPr>
        <w:t xml:space="preserve">La rentabilidad sobre el patrimonio (ROE por sus siglas en inglés, return on equity) se obtiene de dividir la utilidad neta de la empresa entre su patrimonio. Este es un indicador de eficiencia que se utiliza para evaluar la capacidad de generar beneficios de una empresa a partir de la inversión realizada por los accionistas. </w:t>
      </w:r>
      <w:r>
        <w:rPr>
          <w:rFonts w:cstheme="minorHAnsi"/>
        </w:rPr>
        <w:t>En el caso de las OPC, es importante considerar lo siguiente:</w:t>
      </w:r>
    </w:p>
    <w:p w14:paraId="172ABC45" w14:textId="77777777" w:rsidR="00DF373D" w:rsidRPr="00171641" w:rsidRDefault="00DF373D" w:rsidP="00171641">
      <w:pPr>
        <w:spacing w:after="0" w:line="240" w:lineRule="auto"/>
        <w:jc w:val="both"/>
        <w:rPr>
          <w:rFonts w:cstheme="minorHAnsi"/>
        </w:rPr>
      </w:pPr>
    </w:p>
    <w:p w14:paraId="5D8565D3" w14:textId="77777777" w:rsidR="00171641" w:rsidRPr="00171641" w:rsidRDefault="00171641" w:rsidP="00171641">
      <w:pPr>
        <w:pStyle w:val="Prrafodelista"/>
        <w:numPr>
          <w:ilvl w:val="0"/>
          <w:numId w:val="15"/>
        </w:numPr>
        <w:spacing w:after="0" w:line="240" w:lineRule="auto"/>
        <w:jc w:val="both"/>
        <w:rPr>
          <w:rFonts w:cstheme="minorHAnsi"/>
        </w:rPr>
      </w:pPr>
      <w:r w:rsidRPr="00171641">
        <w:rPr>
          <w:rFonts w:cstheme="minorHAnsi"/>
        </w:rPr>
        <w:t xml:space="preserve">Las </w:t>
      </w:r>
      <w:r>
        <w:rPr>
          <w:rFonts w:cstheme="minorHAnsi"/>
        </w:rPr>
        <w:t>OPC</w:t>
      </w:r>
      <w:r w:rsidRPr="00171641">
        <w:rPr>
          <w:rFonts w:cstheme="minorHAnsi"/>
        </w:rPr>
        <w:t xml:space="preserve"> gestionan una serie de productos, el ROP es únicamente uno de ellos. Al utilizarse las razones financieras totales para la entidad existen efectos combinados del resto de productos que pudieran confundir el entendimiento del fenómeno en análisis.</w:t>
      </w:r>
    </w:p>
    <w:p w14:paraId="61A049C9" w14:textId="77777777" w:rsidR="00171641" w:rsidRPr="00171641" w:rsidRDefault="00171641" w:rsidP="00171641">
      <w:pPr>
        <w:pStyle w:val="Prrafodelista"/>
        <w:numPr>
          <w:ilvl w:val="0"/>
          <w:numId w:val="15"/>
        </w:numPr>
        <w:spacing w:after="0" w:line="240" w:lineRule="auto"/>
        <w:jc w:val="both"/>
        <w:rPr>
          <w:rFonts w:cstheme="minorHAnsi"/>
        </w:rPr>
      </w:pPr>
      <w:r w:rsidRPr="00171641">
        <w:rPr>
          <w:rFonts w:cstheme="minorHAnsi"/>
        </w:rPr>
        <w:t xml:space="preserve">El patrimonio de las entidades corresponde a la combinación de dos variables: el Capital Regulatorio (en función de los requerimientos de capital asociados a los riesgos de la entidad) más el capital adicional que los socios desean aportar al negocio. Los registros contables observados, indican que los gestores mantienen un patrimonio superior al requerido. </w:t>
      </w:r>
    </w:p>
    <w:p w14:paraId="5D3B80B4" w14:textId="77777777" w:rsidR="00171641" w:rsidRPr="00171641" w:rsidRDefault="00171641" w:rsidP="00171641">
      <w:pPr>
        <w:pStyle w:val="Prrafodelista"/>
        <w:numPr>
          <w:ilvl w:val="0"/>
          <w:numId w:val="15"/>
        </w:numPr>
        <w:spacing w:after="0" w:line="240" w:lineRule="auto"/>
        <w:jc w:val="both"/>
        <w:rPr>
          <w:rFonts w:cstheme="minorHAnsi"/>
        </w:rPr>
      </w:pPr>
      <w:r w:rsidRPr="00171641">
        <w:rPr>
          <w:rFonts w:cstheme="minorHAnsi"/>
        </w:rPr>
        <w:t>Para calcular el ROE, se considera la utilidad antes de distribución de utilidades e impuestos, la cual, además de incluir los resultados operacionales, también incluye los resultados financieros, es decir, los rendimientos de sus inversiones propias y capital mínimo de funcionamiento.</w:t>
      </w:r>
    </w:p>
    <w:p w14:paraId="4EC56DAE" w14:textId="77777777" w:rsidR="006929F8" w:rsidRDefault="004A7D37" w:rsidP="005F551C">
      <w:pPr>
        <w:pStyle w:val="Ttulo1"/>
        <w:numPr>
          <w:ilvl w:val="0"/>
          <w:numId w:val="1"/>
        </w:numPr>
      </w:pPr>
      <w:bookmarkStart w:id="17" w:name="_Toc73096123"/>
      <w:r>
        <w:t xml:space="preserve">Aspectos </w:t>
      </w:r>
      <w:r w:rsidR="00D50BC8">
        <w:t>j</w:t>
      </w:r>
      <w:r>
        <w:t>urídicos</w:t>
      </w:r>
      <w:r w:rsidR="00D50BC8">
        <w:t xml:space="preserve"> relevantes</w:t>
      </w:r>
      <w:bookmarkEnd w:id="17"/>
    </w:p>
    <w:p w14:paraId="070D8275" w14:textId="77777777" w:rsidR="00A028B4" w:rsidRPr="00A028B4" w:rsidRDefault="00A028B4" w:rsidP="00234791">
      <w:pPr>
        <w:spacing w:after="0" w:line="240" w:lineRule="auto"/>
      </w:pPr>
    </w:p>
    <w:p w14:paraId="2C52789B" w14:textId="77777777" w:rsidR="00234791" w:rsidRDefault="00234791" w:rsidP="005F551C">
      <w:pPr>
        <w:pStyle w:val="Ttulo2"/>
        <w:numPr>
          <w:ilvl w:val="1"/>
          <w:numId w:val="1"/>
        </w:numPr>
      </w:pPr>
      <w:bookmarkStart w:id="18" w:name="_Toc73096124"/>
      <w:r>
        <w:t>Consultas y denuncias</w:t>
      </w:r>
      <w:bookmarkEnd w:id="18"/>
    </w:p>
    <w:p w14:paraId="72E98B54" w14:textId="77777777" w:rsidR="003E0662" w:rsidRPr="003E0662" w:rsidRDefault="003E0662" w:rsidP="003E0662">
      <w:pPr>
        <w:spacing w:after="0" w:line="240" w:lineRule="auto"/>
      </w:pPr>
    </w:p>
    <w:p w14:paraId="0492F820" w14:textId="77777777" w:rsidR="00700711" w:rsidRDefault="00F96FAA" w:rsidP="00F96FAA">
      <w:pPr>
        <w:pStyle w:val="Descripcin"/>
        <w:spacing w:after="0"/>
        <w:jc w:val="center"/>
      </w:pPr>
      <w:r>
        <w:t xml:space="preserve">Tabla </w:t>
      </w:r>
      <w:r>
        <w:fldChar w:fldCharType="begin"/>
      </w:r>
      <w:r>
        <w:instrText xml:space="preserve"> SEQ Tabla \* ARABIC </w:instrText>
      </w:r>
      <w:r>
        <w:fldChar w:fldCharType="separate"/>
      </w:r>
      <w:r w:rsidR="00CA7F4F">
        <w:rPr>
          <w:noProof/>
        </w:rPr>
        <w:t>16</w:t>
      </w:r>
      <w:r>
        <w:fldChar w:fldCharType="end"/>
      </w:r>
      <w:r>
        <w:t>: Consultas y Denuncias</w:t>
      </w:r>
    </w:p>
    <w:p w14:paraId="1545989A" w14:textId="77777777" w:rsidR="00F96FAA" w:rsidRDefault="00F96FAA" w:rsidP="00F96FAA">
      <w:pPr>
        <w:pStyle w:val="Descripcin"/>
        <w:spacing w:after="0"/>
        <w:jc w:val="center"/>
      </w:pPr>
      <w:r>
        <w:t xml:space="preserve">Atendidas durante el </w:t>
      </w:r>
      <w:r w:rsidR="004A67CA">
        <w:t xml:space="preserve">primer </w:t>
      </w:r>
      <w:r>
        <w:t>trimestre del 202</w:t>
      </w:r>
      <w:r w:rsidR="004A67CA">
        <w:t>1</w:t>
      </w:r>
    </w:p>
    <w:p w14:paraId="29FC0F88" w14:textId="77777777" w:rsidR="00242194" w:rsidRDefault="00242194" w:rsidP="00242194">
      <w:pPr>
        <w:pStyle w:val="Descripcin"/>
        <w:spacing w:after="0"/>
        <w:jc w:val="center"/>
      </w:pPr>
      <w:r>
        <w:t>por la división jurídica de SUPEN</w:t>
      </w:r>
    </w:p>
    <w:tbl>
      <w:tblPr>
        <w:tblStyle w:val="Tablaconcuadrcula4-nfasis1"/>
        <w:tblW w:w="8500" w:type="dxa"/>
        <w:jc w:val="center"/>
        <w:tblLook w:val="04A0" w:firstRow="1" w:lastRow="0" w:firstColumn="1" w:lastColumn="0" w:noHBand="0" w:noVBand="1"/>
      </w:tblPr>
      <w:tblGrid>
        <w:gridCol w:w="2085"/>
        <w:gridCol w:w="1029"/>
        <w:gridCol w:w="5386"/>
      </w:tblGrid>
      <w:tr w:rsidR="00B344EB" w:rsidRPr="001F6709" w14:paraId="1F692A35" w14:textId="77777777" w:rsidTr="007A078A">
        <w:trPr>
          <w:cnfStyle w:val="100000000000" w:firstRow="1" w:lastRow="0" w:firstColumn="0" w:lastColumn="0" w:oddVBand="0" w:evenVBand="0" w:oddHBand="0"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2085" w:type="dxa"/>
          </w:tcPr>
          <w:p w14:paraId="45ECA81A" w14:textId="77777777" w:rsidR="00B344EB" w:rsidRPr="00326F80" w:rsidRDefault="00B344EB" w:rsidP="00326F80">
            <w:pPr>
              <w:rPr>
                <w:rFonts w:asciiTheme="minorHAnsi" w:hAnsiTheme="minorHAnsi" w:cstheme="minorHAnsi"/>
                <w:lang w:val="es-CR"/>
              </w:rPr>
            </w:pPr>
            <w:r w:rsidRPr="00326F80">
              <w:rPr>
                <w:rFonts w:asciiTheme="minorHAnsi" w:hAnsiTheme="minorHAnsi" w:cstheme="minorHAnsi"/>
                <w:lang w:val="es-CR"/>
              </w:rPr>
              <w:t>Trámite</w:t>
            </w:r>
          </w:p>
        </w:tc>
        <w:tc>
          <w:tcPr>
            <w:tcW w:w="1029" w:type="dxa"/>
          </w:tcPr>
          <w:p w14:paraId="22F9C32A" w14:textId="77777777" w:rsidR="00B344EB" w:rsidRPr="00326F80" w:rsidRDefault="00B344EB" w:rsidP="00326F8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s-CR"/>
              </w:rPr>
            </w:pPr>
            <w:r w:rsidRPr="00326F80">
              <w:rPr>
                <w:rFonts w:asciiTheme="minorHAnsi" w:hAnsiTheme="minorHAnsi" w:cstheme="minorHAnsi"/>
                <w:lang w:val="es-CR"/>
              </w:rPr>
              <w:t>Cantidad</w:t>
            </w:r>
          </w:p>
        </w:tc>
        <w:tc>
          <w:tcPr>
            <w:tcW w:w="5386" w:type="dxa"/>
          </w:tcPr>
          <w:p w14:paraId="62C0F44D" w14:textId="77777777" w:rsidR="00B344EB" w:rsidRPr="00326F80" w:rsidRDefault="00B344EB" w:rsidP="00326F8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s-CR"/>
              </w:rPr>
            </w:pPr>
            <w:r w:rsidRPr="00326F80">
              <w:rPr>
                <w:rFonts w:asciiTheme="minorHAnsi" w:hAnsiTheme="minorHAnsi" w:cstheme="minorHAnsi"/>
                <w:lang w:val="es-CR"/>
              </w:rPr>
              <w:t>Temas</w:t>
            </w:r>
          </w:p>
        </w:tc>
      </w:tr>
      <w:tr w:rsidR="00B344EB" w:rsidRPr="001F6709" w14:paraId="24120D2D" w14:textId="77777777" w:rsidTr="007A078A">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2085" w:type="dxa"/>
          </w:tcPr>
          <w:p w14:paraId="2084ECE0" w14:textId="77777777" w:rsidR="00B344EB" w:rsidRPr="001F6709" w:rsidRDefault="00B344EB" w:rsidP="00533777">
            <w:pPr>
              <w:jc w:val="both"/>
              <w:rPr>
                <w:rFonts w:asciiTheme="minorHAnsi" w:hAnsiTheme="minorHAnsi" w:cstheme="minorHAnsi"/>
                <w:b w:val="0"/>
                <w:bCs w:val="0"/>
                <w:lang w:val="es-CR"/>
              </w:rPr>
            </w:pPr>
            <w:r w:rsidRPr="001F6709">
              <w:rPr>
                <w:rFonts w:asciiTheme="minorHAnsi" w:hAnsiTheme="minorHAnsi" w:cstheme="minorHAnsi"/>
                <w:b w:val="0"/>
                <w:bCs w:val="0"/>
                <w:lang w:val="es-CR"/>
              </w:rPr>
              <w:t>Consultas</w:t>
            </w:r>
            <w:r w:rsidR="004C384A">
              <w:rPr>
                <w:rFonts w:asciiTheme="minorHAnsi" w:hAnsiTheme="minorHAnsi" w:cstheme="minorHAnsi"/>
                <w:b w:val="0"/>
                <w:bCs w:val="0"/>
                <w:lang w:val="es-CR"/>
              </w:rPr>
              <w:t xml:space="preserve"> y Denuncias</w:t>
            </w:r>
          </w:p>
        </w:tc>
        <w:tc>
          <w:tcPr>
            <w:tcW w:w="1029" w:type="dxa"/>
          </w:tcPr>
          <w:p w14:paraId="26801B01" w14:textId="77777777" w:rsidR="00B344EB" w:rsidRPr="001F6709" w:rsidRDefault="004C384A" w:rsidP="001F670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CR"/>
              </w:rPr>
            </w:pPr>
            <w:r>
              <w:rPr>
                <w:rFonts w:asciiTheme="minorHAnsi" w:hAnsiTheme="minorHAnsi" w:cstheme="minorHAnsi"/>
                <w:lang w:val="es-CR"/>
              </w:rPr>
              <w:t>43</w:t>
            </w:r>
          </w:p>
        </w:tc>
        <w:tc>
          <w:tcPr>
            <w:tcW w:w="5386" w:type="dxa"/>
          </w:tcPr>
          <w:p w14:paraId="1B98AFBC" w14:textId="77777777" w:rsidR="00862F89" w:rsidRPr="00862F89" w:rsidRDefault="00862F89" w:rsidP="00862F89">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val="es-CR"/>
              </w:rPr>
            </w:pPr>
            <w:r w:rsidRPr="00862F89">
              <w:rPr>
                <w:rFonts w:asciiTheme="minorHAnsi" w:eastAsia="Times New Roman" w:hAnsiTheme="minorHAnsi" w:cstheme="minorHAnsi"/>
                <w:lang w:val="es-CR"/>
              </w:rPr>
              <w:t>ROP: 46.5%</w:t>
            </w:r>
          </w:p>
          <w:p w14:paraId="4B9A85E1" w14:textId="77777777" w:rsidR="00862F89" w:rsidRPr="00862F89" w:rsidRDefault="00862F89" w:rsidP="00862F89">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val="es-CR"/>
              </w:rPr>
            </w:pPr>
            <w:r w:rsidRPr="00862F89">
              <w:rPr>
                <w:rFonts w:asciiTheme="minorHAnsi" w:eastAsia="Times New Roman" w:hAnsiTheme="minorHAnsi" w:cstheme="minorHAnsi"/>
                <w:lang w:val="es-CR"/>
              </w:rPr>
              <w:t>RVPC: 20.9%</w:t>
            </w:r>
          </w:p>
          <w:p w14:paraId="020EE6A1" w14:textId="77777777" w:rsidR="00862F89" w:rsidRPr="00862F89" w:rsidRDefault="00862F89" w:rsidP="00862F89">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val="es-CR"/>
              </w:rPr>
            </w:pPr>
            <w:r w:rsidRPr="00862F89">
              <w:rPr>
                <w:rFonts w:asciiTheme="minorHAnsi" w:eastAsia="Times New Roman" w:hAnsiTheme="minorHAnsi" w:cstheme="minorHAnsi"/>
                <w:lang w:val="es-CR"/>
              </w:rPr>
              <w:t>Regímenes básicos: 13,9%</w:t>
            </w:r>
          </w:p>
          <w:p w14:paraId="10B25275" w14:textId="77777777" w:rsidR="00B344EB" w:rsidRPr="001F6709" w:rsidRDefault="00862F89" w:rsidP="00862F8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CR"/>
              </w:rPr>
            </w:pPr>
            <w:r w:rsidRPr="00862F89">
              <w:rPr>
                <w:rFonts w:asciiTheme="minorHAnsi" w:eastAsia="Times New Roman" w:hAnsiTheme="minorHAnsi" w:cstheme="minorHAnsi"/>
                <w:lang w:val="es-CR"/>
              </w:rPr>
              <w:t>FCL: 9%</w:t>
            </w:r>
          </w:p>
        </w:tc>
      </w:tr>
      <w:tr w:rsidR="00B344EB" w:rsidRPr="001F6709" w14:paraId="09281F4B" w14:textId="77777777" w:rsidTr="007A078A">
        <w:trPr>
          <w:trHeight w:val="196"/>
          <w:jc w:val="center"/>
        </w:trPr>
        <w:tc>
          <w:tcPr>
            <w:cnfStyle w:val="001000000000" w:firstRow="0" w:lastRow="0" w:firstColumn="1" w:lastColumn="0" w:oddVBand="0" w:evenVBand="0" w:oddHBand="0" w:evenHBand="0" w:firstRowFirstColumn="0" w:firstRowLastColumn="0" w:lastRowFirstColumn="0" w:lastRowLastColumn="0"/>
            <w:tcW w:w="2085" w:type="dxa"/>
          </w:tcPr>
          <w:p w14:paraId="63904A71" w14:textId="77777777" w:rsidR="00B344EB" w:rsidRPr="001F6709" w:rsidRDefault="00B344EB" w:rsidP="00533777">
            <w:pPr>
              <w:jc w:val="both"/>
              <w:rPr>
                <w:rFonts w:asciiTheme="minorHAnsi" w:hAnsiTheme="minorHAnsi" w:cstheme="minorHAnsi"/>
                <w:b w:val="0"/>
                <w:bCs w:val="0"/>
                <w:lang w:val="es-CR"/>
              </w:rPr>
            </w:pPr>
            <w:r w:rsidRPr="001F6709">
              <w:rPr>
                <w:rFonts w:asciiTheme="minorHAnsi" w:hAnsiTheme="minorHAnsi" w:cstheme="minorHAnsi"/>
                <w:b w:val="0"/>
                <w:bCs w:val="0"/>
                <w:lang w:val="es-CR"/>
              </w:rPr>
              <w:t>Consultas rápidas</w:t>
            </w:r>
          </w:p>
        </w:tc>
        <w:tc>
          <w:tcPr>
            <w:tcW w:w="1029" w:type="dxa"/>
          </w:tcPr>
          <w:p w14:paraId="3184BBC0" w14:textId="77777777" w:rsidR="00B344EB" w:rsidRPr="001F6709" w:rsidRDefault="009E5EAB" w:rsidP="001F670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s-CR"/>
              </w:rPr>
            </w:pPr>
            <w:r>
              <w:rPr>
                <w:rFonts w:asciiTheme="minorHAnsi" w:hAnsiTheme="minorHAnsi" w:cstheme="minorHAnsi"/>
                <w:lang w:val="es-CR"/>
              </w:rPr>
              <w:t>8 239</w:t>
            </w:r>
          </w:p>
        </w:tc>
        <w:tc>
          <w:tcPr>
            <w:tcW w:w="5386" w:type="dxa"/>
          </w:tcPr>
          <w:p w14:paraId="4C238167" w14:textId="77777777" w:rsidR="00B344EB" w:rsidRPr="001F6709" w:rsidRDefault="001C3363" w:rsidP="0053377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s-CR"/>
              </w:rPr>
            </w:pPr>
            <w:r>
              <w:rPr>
                <w:rFonts w:asciiTheme="minorHAnsi" w:eastAsia="Times New Roman" w:hAnsiTheme="minorHAnsi" w:cstheme="minorHAnsi"/>
                <w:lang w:val="es-CR"/>
              </w:rPr>
              <w:t>En su mayoría relacionadas con el r</w:t>
            </w:r>
            <w:r w:rsidR="00EC6B17">
              <w:rPr>
                <w:rFonts w:asciiTheme="minorHAnsi" w:eastAsia="Times New Roman" w:hAnsiTheme="minorHAnsi" w:cstheme="minorHAnsi"/>
                <w:lang w:val="es-CR"/>
              </w:rPr>
              <w:t xml:space="preserve">etiro del </w:t>
            </w:r>
            <w:r w:rsidR="00AE38A0">
              <w:rPr>
                <w:rFonts w:asciiTheme="minorHAnsi" w:eastAsia="Times New Roman" w:hAnsiTheme="minorHAnsi" w:cstheme="minorHAnsi"/>
                <w:lang w:val="es-CR"/>
              </w:rPr>
              <w:t>FC</w:t>
            </w:r>
            <w:r w:rsidR="009E5EAB">
              <w:rPr>
                <w:rFonts w:asciiTheme="minorHAnsi" w:eastAsia="Times New Roman" w:hAnsiTheme="minorHAnsi" w:cstheme="minorHAnsi"/>
                <w:lang w:val="es-CR"/>
              </w:rPr>
              <w:t>L</w:t>
            </w:r>
            <w:r w:rsidR="00EC6B17">
              <w:rPr>
                <w:rFonts w:asciiTheme="minorHAnsi" w:eastAsia="Times New Roman" w:hAnsiTheme="minorHAnsi" w:cstheme="minorHAnsi"/>
                <w:lang w:val="es-CR"/>
              </w:rPr>
              <w:t xml:space="preserve"> por quinquenio</w:t>
            </w:r>
          </w:p>
        </w:tc>
      </w:tr>
    </w:tbl>
    <w:p w14:paraId="63452FAD" w14:textId="77777777" w:rsidR="00C2629A" w:rsidRDefault="007A078A" w:rsidP="00D641B3">
      <w:pPr>
        <w:pStyle w:val="Descripcin"/>
        <w:spacing w:after="0"/>
      </w:pPr>
      <w:r>
        <w:t xml:space="preserve">     </w:t>
      </w:r>
      <w:r w:rsidR="003A3141">
        <w:t xml:space="preserve">Fuente: Elaboración propia </w:t>
      </w:r>
    </w:p>
    <w:p w14:paraId="7042D8DC" w14:textId="77777777" w:rsidR="00400A8A" w:rsidRDefault="003863E2" w:rsidP="007D101E">
      <w:pPr>
        <w:spacing w:after="0" w:line="240" w:lineRule="auto"/>
      </w:pPr>
      <w:r>
        <w:rPr>
          <w:noProof/>
        </w:rPr>
        <w:lastRenderedPageBreak/>
        <mc:AlternateContent>
          <mc:Choice Requires="wps">
            <w:drawing>
              <wp:anchor distT="45720" distB="45720" distL="114300" distR="114300" simplePos="0" relativeHeight="251658244" behindDoc="0" locked="0" layoutInCell="1" allowOverlap="1" wp14:anchorId="7C6CC6E9" wp14:editId="79B35EDE">
                <wp:simplePos x="0" y="0"/>
                <wp:positionH relativeFrom="column">
                  <wp:posOffset>-499110</wp:posOffset>
                </wp:positionH>
                <wp:positionV relativeFrom="paragraph">
                  <wp:posOffset>324485</wp:posOffset>
                </wp:positionV>
                <wp:extent cx="6523355" cy="4010025"/>
                <wp:effectExtent l="0" t="0" r="10795"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355" cy="4010025"/>
                        </a:xfrm>
                        <a:prstGeom prst="rect">
                          <a:avLst/>
                        </a:prstGeom>
                        <a:solidFill>
                          <a:schemeClr val="accent1">
                            <a:lumMod val="20000"/>
                            <a:lumOff val="80000"/>
                          </a:schemeClr>
                        </a:solidFill>
                        <a:ln w="9525">
                          <a:solidFill>
                            <a:srgbClr val="000000"/>
                          </a:solidFill>
                          <a:miter lim="800000"/>
                          <a:headEnd/>
                          <a:tailEnd/>
                        </a:ln>
                      </wps:spPr>
                      <wps:txbx>
                        <w:txbxContent>
                          <w:p w14:paraId="495869AD" w14:textId="77777777" w:rsidR="003863E2" w:rsidRPr="0028107F" w:rsidRDefault="003863E2" w:rsidP="0028107F">
                            <w:pPr>
                              <w:spacing w:after="0" w:line="240" w:lineRule="auto"/>
                              <w:jc w:val="center"/>
                              <w:rPr>
                                <w:rStyle w:val="nfasisintenso"/>
                                <w:sz w:val="28"/>
                                <w:szCs w:val="28"/>
                              </w:rPr>
                            </w:pPr>
                            <w:r w:rsidRPr="0028107F">
                              <w:rPr>
                                <w:rStyle w:val="nfasisintenso"/>
                                <w:sz w:val="28"/>
                                <w:szCs w:val="28"/>
                              </w:rPr>
                              <w:t>C</w:t>
                            </w:r>
                            <w:r w:rsidR="007B493B" w:rsidRPr="0028107F">
                              <w:rPr>
                                <w:rStyle w:val="nfasisintenso"/>
                                <w:sz w:val="28"/>
                                <w:szCs w:val="28"/>
                              </w:rPr>
                              <w:t>omparativo de c</w:t>
                            </w:r>
                            <w:r w:rsidRPr="0028107F">
                              <w:rPr>
                                <w:rStyle w:val="nfasisintenso"/>
                                <w:sz w:val="28"/>
                                <w:szCs w:val="28"/>
                              </w:rPr>
                              <w:t>onsultas y denuncias</w:t>
                            </w:r>
                          </w:p>
                          <w:p w14:paraId="5FDB005E" w14:textId="77777777" w:rsidR="007B493B" w:rsidRPr="0028107F" w:rsidRDefault="007B493B" w:rsidP="0028107F">
                            <w:pPr>
                              <w:spacing w:after="0" w:line="240" w:lineRule="auto"/>
                              <w:jc w:val="center"/>
                              <w:rPr>
                                <w:rStyle w:val="nfasisintenso"/>
                                <w:sz w:val="28"/>
                                <w:szCs w:val="28"/>
                              </w:rPr>
                            </w:pPr>
                            <w:r w:rsidRPr="0028107F">
                              <w:rPr>
                                <w:rStyle w:val="nfasisintenso"/>
                                <w:sz w:val="28"/>
                                <w:szCs w:val="28"/>
                              </w:rPr>
                              <w:t>Últimos 3 años</w:t>
                            </w:r>
                          </w:p>
                          <w:p w14:paraId="6FA9ECEA" w14:textId="77777777" w:rsidR="00002349" w:rsidRPr="00002349" w:rsidRDefault="00002349" w:rsidP="00002349">
                            <w:r>
                              <w:rPr>
                                <w:noProof/>
                              </w:rPr>
                              <w:drawing>
                                <wp:inline distT="0" distB="0" distL="0" distR="0" wp14:anchorId="36E05529" wp14:editId="73BFCFAC">
                                  <wp:extent cx="6324600" cy="3390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24600" cy="33909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6CC6E9" id="_x0000_t202" coordsize="21600,21600" o:spt="202" path="m,l,21600r21600,l21600,xe">
                <v:stroke joinstyle="miter"/>
                <v:path gradientshapeok="t" o:connecttype="rect"/>
              </v:shapetype>
              <v:shape id="Cuadro de texto 2" o:spid="_x0000_s1027" type="#_x0000_t202" style="position:absolute;margin-left:-39.3pt;margin-top:25.55pt;width:513.65pt;height:315.7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" fillcolor="#dbe5f1 [660]">
                <v:textbox>
                  <w:txbxContent>
                    <w:p w14:paraId="495869AD" w14:textId="77777777" w:rsidR="003863E2" w:rsidRPr="0028107F" w:rsidRDefault="003863E2" w:rsidP="0028107F">
                      <w:pPr>
                        <w:spacing w:after="0" w:line="240" w:lineRule="auto"/>
                        <w:jc w:val="center"/>
                        <w:rPr>
                          <w:rStyle w:val="nfasisintenso"/>
                          <w:sz w:val="28"/>
                          <w:szCs w:val="28"/>
                        </w:rPr>
                      </w:pPr>
                      <w:r w:rsidRPr="0028107F">
                        <w:rPr>
                          <w:rStyle w:val="nfasisintenso"/>
                          <w:sz w:val="28"/>
                          <w:szCs w:val="28"/>
                        </w:rPr>
                        <w:t>C</w:t>
                      </w:r>
                      <w:r w:rsidR="007B493B" w:rsidRPr="0028107F">
                        <w:rPr>
                          <w:rStyle w:val="nfasisintenso"/>
                          <w:sz w:val="28"/>
                          <w:szCs w:val="28"/>
                        </w:rPr>
                        <w:t>omparativo de c</w:t>
                      </w:r>
                      <w:r w:rsidRPr="0028107F">
                        <w:rPr>
                          <w:rStyle w:val="nfasisintenso"/>
                          <w:sz w:val="28"/>
                          <w:szCs w:val="28"/>
                        </w:rPr>
                        <w:t>onsultas y denuncias</w:t>
                      </w:r>
                    </w:p>
                    <w:p w14:paraId="5FDB005E" w14:textId="77777777" w:rsidR="007B493B" w:rsidRPr="0028107F" w:rsidRDefault="007B493B" w:rsidP="0028107F">
                      <w:pPr>
                        <w:spacing w:after="0" w:line="240" w:lineRule="auto"/>
                        <w:jc w:val="center"/>
                        <w:rPr>
                          <w:rStyle w:val="nfasisintenso"/>
                          <w:sz w:val="28"/>
                          <w:szCs w:val="28"/>
                        </w:rPr>
                      </w:pPr>
                      <w:r w:rsidRPr="0028107F">
                        <w:rPr>
                          <w:rStyle w:val="nfasisintenso"/>
                          <w:sz w:val="28"/>
                          <w:szCs w:val="28"/>
                        </w:rPr>
                        <w:t>Últimos 3 años</w:t>
                      </w:r>
                    </w:p>
                    <w:p w14:paraId="6FA9ECEA" w14:textId="77777777" w:rsidR="00002349" w:rsidRPr="00002349" w:rsidRDefault="00002349" w:rsidP="00002349">
                      <w:r>
                        <w:rPr>
                          <w:noProof/>
                        </w:rPr>
                        <w:drawing>
                          <wp:inline distT="0" distB="0" distL="0" distR="0" wp14:anchorId="36E05529" wp14:editId="73BFCFAC">
                            <wp:extent cx="6324600" cy="3390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24600" cy="3390900"/>
                                    </a:xfrm>
                                    <a:prstGeom prst="rect">
                                      <a:avLst/>
                                    </a:prstGeom>
                                    <a:noFill/>
                                    <a:ln>
                                      <a:noFill/>
                                    </a:ln>
                                  </pic:spPr>
                                </pic:pic>
                              </a:graphicData>
                            </a:graphic>
                          </wp:inline>
                        </w:drawing>
                      </w:r>
                    </w:p>
                  </w:txbxContent>
                </v:textbox>
                <w10:wrap type="square"/>
              </v:shape>
            </w:pict>
          </mc:Fallback>
        </mc:AlternateContent>
      </w:r>
    </w:p>
    <w:p w14:paraId="64F2B3E2" w14:textId="064A5C81" w:rsidR="003863E2" w:rsidRDefault="00F01CFE" w:rsidP="007D101E">
      <w:pPr>
        <w:spacing w:after="0" w:line="240" w:lineRule="auto"/>
      </w:pPr>
      <w:r>
        <w:rPr>
          <w:noProof/>
        </w:rPr>
        <mc:AlternateContent>
          <mc:Choice Requires="wps">
            <w:drawing>
              <wp:anchor distT="45720" distB="45720" distL="114300" distR="114300" simplePos="0" relativeHeight="251658242" behindDoc="0" locked="0" layoutInCell="1" allowOverlap="1" wp14:anchorId="1FA07860" wp14:editId="527E9D60">
                <wp:simplePos x="0" y="0"/>
                <wp:positionH relativeFrom="column">
                  <wp:posOffset>-502920</wp:posOffset>
                </wp:positionH>
                <wp:positionV relativeFrom="paragraph">
                  <wp:posOffset>4455160</wp:posOffset>
                </wp:positionV>
                <wp:extent cx="6523355" cy="2247900"/>
                <wp:effectExtent l="0" t="0" r="10795" b="1905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355" cy="2247900"/>
                        </a:xfrm>
                        <a:prstGeom prst="rect">
                          <a:avLst/>
                        </a:prstGeom>
                        <a:solidFill>
                          <a:schemeClr val="accent1">
                            <a:lumMod val="20000"/>
                            <a:lumOff val="80000"/>
                          </a:schemeClr>
                        </a:solidFill>
                        <a:ln w="9525">
                          <a:solidFill>
                            <a:srgbClr val="000000"/>
                          </a:solidFill>
                          <a:miter lim="800000"/>
                          <a:headEnd/>
                          <a:tailEnd/>
                        </a:ln>
                      </wps:spPr>
                      <wps:txbx>
                        <w:txbxContent>
                          <w:p w14:paraId="3E43F303" w14:textId="77777777" w:rsidR="005C40B4" w:rsidRPr="0028107F" w:rsidRDefault="004157A9" w:rsidP="0028107F">
                            <w:pPr>
                              <w:spacing w:after="0" w:line="240" w:lineRule="auto"/>
                              <w:jc w:val="center"/>
                              <w:rPr>
                                <w:rStyle w:val="nfasisintenso"/>
                                <w:sz w:val="28"/>
                                <w:szCs w:val="28"/>
                              </w:rPr>
                            </w:pPr>
                            <w:r w:rsidRPr="0028107F">
                              <w:rPr>
                                <w:rStyle w:val="nfasisintenso"/>
                                <w:sz w:val="28"/>
                                <w:szCs w:val="28"/>
                              </w:rPr>
                              <w:t>Alertas de supervisión</w:t>
                            </w:r>
                          </w:p>
                          <w:p w14:paraId="4FCE8744" w14:textId="77777777" w:rsidR="005C40B4" w:rsidRPr="00063D13" w:rsidRDefault="009D0D08" w:rsidP="00D41A75">
                            <w:pPr>
                              <w:spacing w:after="0" w:line="240" w:lineRule="auto"/>
                              <w:jc w:val="both"/>
                              <w:rPr>
                                <w:rFonts w:cstheme="minorHAnsi"/>
                                <w:sz w:val="18"/>
                                <w:szCs w:val="18"/>
                              </w:rPr>
                            </w:pPr>
                            <w:r w:rsidRPr="00063D13">
                              <w:rPr>
                                <w:rFonts w:cstheme="minorHAnsi"/>
                                <w:sz w:val="18"/>
                                <w:szCs w:val="18"/>
                              </w:rPr>
                              <w:t>La división jurídica remitió las siguientes alertas de supervisión a la División de supervisión de regímenes de capitalización individual:</w:t>
                            </w:r>
                          </w:p>
                          <w:p w14:paraId="412818FD" w14:textId="77777777" w:rsidR="009D0D08" w:rsidRPr="00063D13" w:rsidRDefault="009D0D08" w:rsidP="00D41A75">
                            <w:pPr>
                              <w:spacing w:after="0" w:line="240" w:lineRule="auto"/>
                              <w:jc w:val="both"/>
                              <w:rPr>
                                <w:rFonts w:cstheme="minorHAnsi"/>
                                <w:sz w:val="18"/>
                                <w:szCs w:val="18"/>
                              </w:rPr>
                            </w:pPr>
                          </w:p>
                          <w:p w14:paraId="3A538138" w14:textId="77777777" w:rsidR="009D0D08" w:rsidRPr="00D41A75" w:rsidRDefault="00A02A3D" w:rsidP="00D41A75">
                            <w:pPr>
                              <w:spacing w:after="0" w:line="240" w:lineRule="auto"/>
                              <w:jc w:val="both"/>
                              <w:rPr>
                                <w:rFonts w:cstheme="minorHAnsi"/>
                                <w:i/>
                                <w:iCs/>
                                <w:sz w:val="18"/>
                                <w:szCs w:val="18"/>
                              </w:rPr>
                            </w:pPr>
                            <w:r w:rsidRPr="00D41A75">
                              <w:rPr>
                                <w:rFonts w:cstheme="minorHAnsi"/>
                                <w:i/>
                                <w:iCs/>
                                <w:sz w:val="18"/>
                                <w:szCs w:val="18"/>
                              </w:rPr>
                              <w:t>Libre transferencia</w:t>
                            </w:r>
                            <w:r w:rsidR="00063D13" w:rsidRPr="00D41A75">
                              <w:rPr>
                                <w:rFonts w:cstheme="minorHAnsi"/>
                                <w:i/>
                                <w:iCs/>
                                <w:sz w:val="18"/>
                                <w:szCs w:val="18"/>
                              </w:rPr>
                              <w:t>:</w:t>
                            </w:r>
                          </w:p>
                          <w:p w14:paraId="30911CFB" w14:textId="77777777" w:rsidR="00063D13" w:rsidRPr="00063D13" w:rsidRDefault="00063D13" w:rsidP="003335E6">
                            <w:pPr>
                              <w:pStyle w:val="Prrafodelista"/>
                              <w:numPr>
                                <w:ilvl w:val="0"/>
                                <w:numId w:val="6"/>
                              </w:numPr>
                              <w:spacing w:after="0" w:line="240" w:lineRule="auto"/>
                              <w:jc w:val="both"/>
                              <w:rPr>
                                <w:rFonts w:cstheme="minorHAnsi"/>
                                <w:sz w:val="18"/>
                                <w:szCs w:val="18"/>
                              </w:rPr>
                            </w:pPr>
                            <w:r w:rsidRPr="00063D13">
                              <w:rPr>
                                <w:rFonts w:cstheme="minorHAnsi"/>
                                <w:sz w:val="18"/>
                                <w:szCs w:val="18"/>
                              </w:rPr>
                              <w:t>Una afiliada denunció haber sido traslada de operadora de pensiones sin su consentimiento, por parte de una funcionaria de Popular Pensiones. Con la atención del caso se pudo evidenciar que la dirección IP fue utilizada en el mes de diciembre 2020 en otros procesos de traslado de fondos de afiliados y la funcionaria no es una promotora registrada ante la S</w:t>
                            </w:r>
                            <w:r w:rsidR="00C1088D">
                              <w:rPr>
                                <w:rFonts w:cstheme="minorHAnsi"/>
                                <w:sz w:val="18"/>
                                <w:szCs w:val="18"/>
                              </w:rPr>
                              <w:t>UPEN</w:t>
                            </w:r>
                            <w:r w:rsidRPr="00063D13">
                              <w:rPr>
                                <w:rFonts w:cstheme="minorHAnsi"/>
                                <w:sz w:val="18"/>
                                <w:szCs w:val="18"/>
                              </w:rPr>
                              <w:t xml:space="preserve">.  </w:t>
                            </w:r>
                          </w:p>
                          <w:p w14:paraId="4A11A8A4" w14:textId="77777777" w:rsidR="00A02A3D" w:rsidRDefault="00063D13" w:rsidP="003335E6">
                            <w:pPr>
                              <w:pStyle w:val="Prrafodelista"/>
                              <w:numPr>
                                <w:ilvl w:val="0"/>
                                <w:numId w:val="6"/>
                              </w:numPr>
                              <w:spacing w:after="0" w:line="240" w:lineRule="auto"/>
                              <w:jc w:val="both"/>
                              <w:rPr>
                                <w:rFonts w:cstheme="minorHAnsi"/>
                                <w:sz w:val="18"/>
                                <w:szCs w:val="18"/>
                              </w:rPr>
                            </w:pPr>
                            <w:r w:rsidRPr="00063D13">
                              <w:rPr>
                                <w:rFonts w:cstheme="minorHAnsi"/>
                                <w:sz w:val="18"/>
                                <w:szCs w:val="18"/>
                              </w:rPr>
                              <w:t>Una afiliada denunció que fue trasladada de OPC (de Vida Plena a la OPC de la CCSS) sin su consentimiento. La OPC de la CCSS aceptó que el traslado fue un error. El caso evidencia debilidades en la seguridad y autenticación en la plataforma de S</w:t>
                            </w:r>
                            <w:r w:rsidR="00C1088D">
                              <w:rPr>
                                <w:rFonts w:cstheme="minorHAnsi"/>
                                <w:sz w:val="18"/>
                                <w:szCs w:val="18"/>
                              </w:rPr>
                              <w:t>ICERE</w:t>
                            </w:r>
                            <w:r w:rsidRPr="00063D13">
                              <w:rPr>
                                <w:rFonts w:cstheme="minorHAnsi"/>
                                <w:sz w:val="18"/>
                                <w:szCs w:val="18"/>
                              </w:rPr>
                              <w:t>.</w:t>
                            </w:r>
                          </w:p>
                          <w:p w14:paraId="227F8527" w14:textId="77777777" w:rsidR="00D41A75" w:rsidRPr="00063D13" w:rsidRDefault="00D41A75" w:rsidP="00D41A75">
                            <w:pPr>
                              <w:pStyle w:val="Prrafodelista"/>
                              <w:spacing w:after="0" w:line="240" w:lineRule="auto"/>
                              <w:jc w:val="both"/>
                              <w:rPr>
                                <w:rFonts w:cstheme="minorHAnsi"/>
                                <w:sz w:val="18"/>
                                <w:szCs w:val="18"/>
                              </w:rPr>
                            </w:pPr>
                          </w:p>
                          <w:p w14:paraId="11240063" w14:textId="77777777" w:rsidR="004157A9" w:rsidRPr="00D41A75" w:rsidRDefault="005628DC" w:rsidP="00D41A75">
                            <w:pPr>
                              <w:spacing w:after="0" w:line="240" w:lineRule="auto"/>
                              <w:jc w:val="both"/>
                              <w:rPr>
                                <w:rFonts w:cstheme="minorHAnsi"/>
                                <w:i/>
                                <w:iCs/>
                                <w:sz w:val="18"/>
                                <w:szCs w:val="18"/>
                              </w:rPr>
                            </w:pPr>
                            <w:r w:rsidRPr="00D41A75">
                              <w:rPr>
                                <w:rFonts w:cstheme="minorHAnsi"/>
                                <w:i/>
                                <w:iCs/>
                                <w:sz w:val="18"/>
                                <w:szCs w:val="18"/>
                              </w:rPr>
                              <w:t>Plazos para entrega de beneficios según transitorio XIX:</w:t>
                            </w:r>
                          </w:p>
                          <w:p w14:paraId="2D2F99ED" w14:textId="77777777" w:rsidR="005628DC" w:rsidRPr="00D41A75" w:rsidRDefault="00D41A75" w:rsidP="003335E6">
                            <w:pPr>
                              <w:pStyle w:val="Prrafodelista"/>
                              <w:numPr>
                                <w:ilvl w:val="0"/>
                                <w:numId w:val="6"/>
                              </w:numPr>
                              <w:spacing w:after="0" w:line="240" w:lineRule="auto"/>
                              <w:jc w:val="both"/>
                              <w:rPr>
                                <w:rFonts w:cstheme="minorHAnsi"/>
                                <w:sz w:val="18"/>
                                <w:szCs w:val="18"/>
                              </w:rPr>
                            </w:pPr>
                            <w:r w:rsidRPr="00D41A75">
                              <w:rPr>
                                <w:rFonts w:cstheme="minorHAnsi"/>
                                <w:sz w:val="18"/>
                                <w:szCs w:val="18"/>
                              </w:rPr>
                              <w:t>Una pensionada consultó a SUPEN sobre los plazos para el inicio del disfrute de la pensión del ROP en la modalidad prevista en el transitorio XIX, párrafo segundo, inciso b, de la LTP. La OPC aplicó el plazo para el pago a partir de la firma de un contrato y no a partir de la solicitud, como señala la ley</w:t>
                            </w:r>
                            <w:r w:rsidR="007D101E">
                              <w:rPr>
                                <w:rFonts w:cstheme="minorHAns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07860" id="_x0000_s1028" type="#_x0000_t202" style="position:absolute;margin-left:-39.6pt;margin-top:350.8pt;width:513.65pt;height:177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" fillcolor="#dbe5f1 [660]">
                <v:textbox>
                  <w:txbxContent>
                    <w:p w14:paraId="3E43F303" w14:textId="77777777" w:rsidR="005C40B4" w:rsidRPr="0028107F" w:rsidRDefault="004157A9" w:rsidP="0028107F">
                      <w:pPr>
                        <w:spacing w:after="0" w:line="240" w:lineRule="auto"/>
                        <w:jc w:val="center"/>
                        <w:rPr>
                          <w:rStyle w:val="nfasisintenso"/>
                          <w:sz w:val="28"/>
                          <w:szCs w:val="28"/>
                        </w:rPr>
                      </w:pPr>
                      <w:r w:rsidRPr="0028107F">
                        <w:rPr>
                          <w:rStyle w:val="nfasisintenso"/>
                          <w:sz w:val="28"/>
                          <w:szCs w:val="28"/>
                        </w:rPr>
                        <w:t>Alertas de supervisión</w:t>
                      </w:r>
                    </w:p>
                    <w:p w14:paraId="4FCE8744" w14:textId="77777777" w:rsidR="005C40B4" w:rsidRPr="00063D13" w:rsidRDefault="009D0D08" w:rsidP="00D41A75">
                      <w:pPr>
                        <w:spacing w:after="0" w:line="240" w:lineRule="auto"/>
                        <w:jc w:val="both"/>
                        <w:rPr>
                          <w:rFonts w:cstheme="minorHAnsi"/>
                          <w:sz w:val="18"/>
                          <w:szCs w:val="18"/>
                        </w:rPr>
                      </w:pPr>
                      <w:r w:rsidRPr="00063D13">
                        <w:rPr>
                          <w:rFonts w:cstheme="minorHAnsi"/>
                          <w:sz w:val="18"/>
                          <w:szCs w:val="18"/>
                        </w:rPr>
                        <w:t>La división jurídica remitió las siguientes alertas de supervisión a la División de supervisión de regímenes de capitalización individual:</w:t>
                      </w:r>
                    </w:p>
                    <w:p w14:paraId="412818FD" w14:textId="77777777" w:rsidR="009D0D08" w:rsidRPr="00063D13" w:rsidRDefault="009D0D08" w:rsidP="00D41A75">
                      <w:pPr>
                        <w:spacing w:after="0" w:line="240" w:lineRule="auto"/>
                        <w:jc w:val="both"/>
                        <w:rPr>
                          <w:rFonts w:cstheme="minorHAnsi"/>
                          <w:sz w:val="18"/>
                          <w:szCs w:val="18"/>
                        </w:rPr>
                      </w:pPr>
                    </w:p>
                    <w:p w14:paraId="3A538138" w14:textId="77777777" w:rsidR="009D0D08" w:rsidRPr="00D41A75" w:rsidRDefault="00A02A3D" w:rsidP="00D41A75">
                      <w:pPr>
                        <w:spacing w:after="0" w:line="240" w:lineRule="auto"/>
                        <w:jc w:val="both"/>
                        <w:rPr>
                          <w:rFonts w:cstheme="minorHAnsi"/>
                          <w:i/>
                          <w:iCs/>
                          <w:sz w:val="18"/>
                          <w:szCs w:val="18"/>
                        </w:rPr>
                      </w:pPr>
                      <w:r w:rsidRPr="00D41A75">
                        <w:rPr>
                          <w:rFonts w:cstheme="minorHAnsi"/>
                          <w:i/>
                          <w:iCs/>
                          <w:sz w:val="18"/>
                          <w:szCs w:val="18"/>
                        </w:rPr>
                        <w:t>Libre transferencia</w:t>
                      </w:r>
                      <w:r w:rsidR="00063D13" w:rsidRPr="00D41A75">
                        <w:rPr>
                          <w:rFonts w:cstheme="minorHAnsi"/>
                          <w:i/>
                          <w:iCs/>
                          <w:sz w:val="18"/>
                          <w:szCs w:val="18"/>
                        </w:rPr>
                        <w:t>:</w:t>
                      </w:r>
                    </w:p>
                    <w:p w14:paraId="30911CFB" w14:textId="77777777" w:rsidR="00063D13" w:rsidRPr="00063D13" w:rsidRDefault="00063D13" w:rsidP="003335E6">
                      <w:pPr>
                        <w:pStyle w:val="Prrafodelista"/>
                        <w:numPr>
                          <w:ilvl w:val="0"/>
                          <w:numId w:val="6"/>
                        </w:numPr>
                        <w:spacing w:after="0" w:line="240" w:lineRule="auto"/>
                        <w:jc w:val="both"/>
                        <w:rPr>
                          <w:rFonts w:cstheme="minorHAnsi"/>
                          <w:sz w:val="18"/>
                          <w:szCs w:val="18"/>
                        </w:rPr>
                      </w:pPr>
                      <w:r w:rsidRPr="00063D13">
                        <w:rPr>
                          <w:rFonts w:cstheme="minorHAnsi"/>
                          <w:sz w:val="18"/>
                          <w:szCs w:val="18"/>
                        </w:rPr>
                        <w:t>Una afiliada denunció haber sido traslada de operadora de pensiones sin su consentimiento, por parte de una funcionaria de Popular Pensiones. Con la atención del caso se pudo evidenciar que la dirección IP fue utilizada en el mes de diciembre 2020 en otros procesos de traslado de fondos de afiliados y la funcionaria no es una promotora registrada ante la S</w:t>
                      </w:r>
                      <w:r w:rsidR="00C1088D">
                        <w:rPr>
                          <w:rFonts w:cstheme="minorHAnsi"/>
                          <w:sz w:val="18"/>
                          <w:szCs w:val="18"/>
                        </w:rPr>
                        <w:t>UPEN</w:t>
                      </w:r>
                      <w:r w:rsidRPr="00063D13">
                        <w:rPr>
                          <w:rFonts w:cstheme="minorHAnsi"/>
                          <w:sz w:val="18"/>
                          <w:szCs w:val="18"/>
                        </w:rPr>
                        <w:t xml:space="preserve">.  </w:t>
                      </w:r>
                    </w:p>
                    <w:p w14:paraId="4A11A8A4" w14:textId="77777777" w:rsidR="00A02A3D" w:rsidRDefault="00063D13" w:rsidP="003335E6">
                      <w:pPr>
                        <w:pStyle w:val="Prrafodelista"/>
                        <w:numPr>
                          <w:ilvl w:val="0"/>
                          <w:numId w:val="6"/>
                        </w:numPr>
                        <w:spacing w:after="0" w:line="240" w:lineRule="auto"/>
                        <w:jc w:val="both"/>
                        <w:rPr>
                          <w:rFonts w:cstheme="minorHAnsi"/>
                          <w:sz w:val="18"/>
                          <w:szCs w:val="18"/>
                        </w:rPr>
                      </w:pPr>
                      <w:r w:rsidRPr="00063D13">
                        <w:rPr>
                          <w:rFonts w:cstheme="minorHAnsi"/>
                          <w:sz w:val="18"/>
                          <w:szCs w:val="18"/>
                        </w:rPr>
                        <w:t>Una afiliada denunció que fue trasladada de OPC (de Vida Plena a la OPC de la CCSS) sin su consentimiento. La OPC de la CCSS aceptó que el traslado fue un error. El caso evidencia debilidades en la seguridad y autenticación en la plataforma de S</w:t>
                      </w:r>
                      <w:r w:rsidR="00C1088D">
                        <w:rPr>
                          <w:rFonts w:cstheme="minorHAnsi"/>
                          <w:sz w:val="18"/>
                          <w:szCs w:val="18"/>
                        </w:rPr>
                        <w:t>ICERE</w:t>
                      </w:r>
                      <w:r w:rsidRPr="00063D13">
                        <w:rPr>
                          <w:rFonts w:cstheme="minorHAnsi"/>
                          <w:sz w:val="18"/>
                          <w:szCs w:val="18"/>
                        </w:rPr>
                        <w:t>.</w:t>
                      </w:r>
                    </w:p>
                    <w:p w14:paraId="227F8527" w14:textId="77777777" w:rsidR="00D41A75" w:rsidRPr="00063D13" w:rsidRDefault="00D41A75" w:rsidP="00D41A75">
                      <w:pPr>
                        <w:pStyle w:val="Prrafodelista"/>
                        <w:spacing w:after="0" w:line="240" w:lineRule="auto"/>
                        <w:jc w:val="both"/>
                        <w:rPr>
                          <w:rFonts w:cstheme="minorHAnsi"/>
                          <w:sz w:val="18"/>
                          <w:szCs w:val="18"/>
                        </w:rPr>
                      </w:pPr>
                    </w:p>
                    <w:p w14:paraId="11240063" w14:textId="77777777" w:rsidR="004157A9" w:rsidRPr="00D41A75" w:rsidRDefault="005628DC" w:rsidP="00D41A75">
                      <w:pPr>
                        <w:spacing w:after="0" w:line="240" w:lineRule="auto"/>
                        <w:jc w:val="both"/>
                        <w:rPr>
                          <w:rFonts w:cstheme="minorHAnsi"/>
                          <w:i/>
                          <w:iCs/>
                          <w:sz w:val="18"/>
                          <w:szCs w:val="18"/>
                        </w:rPr>
                      </w:pPr>
                      <w:r w:rsidRPr="00D41A75">
                        <w:rPr>
                          <w:rFonts w:cstheme="minorHAnsi"/>
                          <w:i/>
                          <w:iCs/>
                          <w:sz w:val="18"/>
                          <w:szCs w:val="18"/>
                        </w:rPr>
                        <w:t>Plazos para entrega de beneficios según transitorio XIX:</w:t>
                      </w:r>
                    </w:p>
                    <w:p w14:paraId="2D2F99ED" w14:textId="77777777" w:rsidR="005628DC" w:rsidRPr="00D41A75" w:rsidRDefault="00D41A75" w:rsidP="003335E6">
                      <w:pPr>
                        <w:pStyle w:val="Prrafodelista"/>
                        <w:numPr>
                          <w:ilvl w:val="0"/>
                          <w:numId w:val="6"/>
                        </w:numPr>
                        <w:spacing w:after="0" w:line="240" w:lineRule="auto"/>
                        <w:jc w:val="both"/>
                        <w:rPr>
                          <w:rFonts w:cstheme="minorHAnsi"/>
                          <w:sz w:val="18"/>
                          <w:szCs w:val="18"/>
                        </w:rPr>
                      </w:pPr>
                      <w:r w:rsidRPr="00D41A75">
                        <w:rPr>
                          <w:rFonts w:cstheme="minorHAnsi"/>
                          <w:sz w:val="18"/>
                          <w:szCs w:val="18"/>
                        </w:rPr>
                        <w:t>Una pensionada consultó a SUPEN sobre los plazos para el inicio del disfrute de la pensión del ROP en la modalidad prevista en el transitorio XIX, párrafo segundo, inciso b, de la LTP. La OPC aplicó el plazo para el pago a partir de la firma de un contrato y no a partir de la solicitud, como señala la ley</w:t>
                      </w:r>
                      <w:r w:rsidR="007D101E">
                        <w:rPr>
                          <w:rFonts w:cstheme="minorHAnsi"/>
                          <w:sz w:val="18"/>
                          <w:szCs w:val="18"/>
                        </w:rPr>
                        <w:t>.</w:t>
                      </w:r>
                    </w:p>
                  </w:txbxContent>
                </v:textbox>
                <w10:wrap type="square"/>
              </v:shape>
            </w:pict>
          </mc:Fallback>
        </mc:AlternateContent>
      </w:r>
    </w:p>
    <w:p w14:paraId="1630E946" w14:textId="3F74FE3E" w:rsidR="003863E2" w:rsidRDefault="003863E2" w:rsidP="007D101E">
      <w:pPr>
        <w:spacing w:after="0" w:line="240" w:lineRule="auto"/>
      </w:pPr>
    </w:p>
    <w:p w14:paraId="6D71E38A" w14:textId="5711F194" w:rsidR="003863E2" w:rsidRDefault="003863E2" w:rsidP="007D101E">
      <w:pPr>
        <w:spacing w:after="0" w:line="240" w:lineRule="auto"/>
      </w:pPr>
    </w:p>
    <w:p w14:paraId="45331F6A" w14:textId="2D5610E7" w:rsidR="00DE6EBD" w:rsidRDefault="00DE6EBD" w:rsidP="007D101E">
      <w:pPr>
        <w:spacing w:after="0" w:line="240" w:lineRule="auto"/>
      </w:pPr>
    </w:p>
    <w:p w14:paraId="55491021" w14:textId="643F48D6" w:rsidR="00DE6EBD" w:rsidRDefault="00DE6EBD" w:rsidP="007D101E">
      <w:pPr>
        <w:spacing w:after="0" w:line="240" w:lineRule="auto"/>
      </w:pPr>
    </w:p>
    <w:p w14:paraId="6EFCAE08" w14:textId="560AEE8C" w:rsidR="003863E2" w:rsidRDefault="003863E2" w:rsidP="007D101E">
      <w:pPr>
        <w:spacing w:after="0" w:line="240" w:lineRule="auto"/>
      </w:pPr>
    </w:p>
    <w:p w14:paraId="6EAD6642" w14:textId="31F0F45F" w:rsidR="003863E2" w:rsidRDefault="003863E2" w:rsidP="007D101E">
      <w:pPr>
        <w:spacing w:after="0" w:line="240" w:lineRule="auto"/>
      </w:pPr>
    </w:p>
    <w:p w14:paraId="0D38EDD6" w14:textId="77777777" w:rsidR="00B72E85" w:rsidRDefault="00B72E85" w:rsidP="005F551C">
      <w:pPr>
        <w:pStyle w:val="Ttulo2"/>
        <w:numPr>
          <w:ilvl w:val="1"/>
          <w:numId w:val="1"/>
        </w:numPr>
      </w:pPr>
      <w:bookmarkStart w:id="19" w:name="_Toc73096125"/>
      <w:r>
        <w:lastRenderedPageBreak/>
        <w:t>Proyectos de Ley</w:t>
      </w:r>
      <w:bookmarkEnd w:id="19"/>
    </w:p>
    <w:p w14:paraId="5C08E7F5" w14:textId="77777777" w:rsidR="003F613C" w:rsidRDefault="003F613C" w:rsidP="00B62904">
      <w:pPr>
        <w:spacing w:after="0" w:line="240" w:lineRule="auto"/>
        <w:jc w:val="both"/>
        <w:rPr>
          <w:rFonts w:cstheme="minorHAnsi"/>
        </w:rPr>
      </w:pPr>
    </w:p>
    <w:p w14:paraId="5CB78B34" w14:textId="77777777" w:rsidR="00350300" w:rsidRPr="00B62904" w:rsidRDefault="00350300" w:rsidP="00B62904">
      <w:pPr>
        <w:spacing w:after="0" w:line="240" w:lineRule="auto"/>
        <w:jc w:val="both"/>
        <w:rPr>
          <w:rFonts w:cstheme="minorHAnsi"/>
        </w:rPr>
      </w:pPr>
      <w:r w:rsidRPr="00B62904">
        <w:rPr>
          <w:rFonts w:cstheme="minorHAnsi"/>
        </w:rPr>
        <w:t>Durante el trimestre se atienden los siguientes proyectos de Ley:</w:t>
      </w:r>
    </w:p>
    <w:p w14:paraId="086424A2" w14:textId="77777777" w:rsidR="00350300" w:rsidRPr="00B62904" w:rsidRDefault="00350300" w:rsidP="00B62904">
      <w:pPr>
        <w:spacing w:after="0" w:line="240" w:lineRule="auto"/>
        <w:jc w:val="both"/>
        <w:rPr>
          <w:rFonts w:cstheme="minorHAnsi"/>
        </w:rPr>
      </w:pPr>
    </w:p>
    <w:p w14:paraId="04DE0D0F" w14:textId="77777777" w:rsidR="00350300" w:rsidRPr="00B62904" w:rsidRDefault="00350300" w:rsidP="00B62904">
      <w:pPr>
        <w:pStyle w:val="Prrafodelista"/>
        <w:numPr>
          <w:ilvl w:val="0"/>
          <w:numId w:val="3"/>
        </w:numPr>
        <w:spacing w:after="0" w:line="240" w:lineRule="auto"/>
        <w:jc w:val="both"/>
        <w:rPr>
          <w:rFonts w:cstheme="minorHAnsi"/>
        </w:rPr>
      </w:pPr>
      <w:r w:rsidRPr="00B62904">
        <w:rPr>
          <w:rFonts w:cstheme="minorHAnsi"/>
        </w:rPr>
        <w:t>Expediente 22.179 “Reforma de la Ley N° 7531 del Sistema de Pensiones y Jubilaciones del Magisterio Nacional” (Texto sustituvo).</w:t>
      </w:r>
    </w:p>
    <w:p w14:paraId="55A7A063" w14:textId="77777777" w:rsidR="00350300" w:rsidRPr="00B62904" w:rsidRDefault="00350300" w:rsidP="00B62904">
      <w:pPr>
        <w:pStyle w:val="Prrafodelista"/>
        <w:numPr>
          <w:ilvl w:val="0"/>
          <w:numId w:val="3"/>
        </w:numPr>
        <w:spacing w:after="0" w:line="240" w:lineRule="auto"/>
        <w:jc w:val="both"/>
        <w:rPr>
          <w:rFonts w:cstheme="minorHAnsi"/>
        </w:rPr>
      </w:pPr>
      <w:r w:rsidRPr="00B62904">
        <w:rPr>
          <w:rFonts w:cstheme="minorHAnsi"/>
        </w:rPr>
        <w:t>Expediente 22.261 “Ley para la adecuada recaudación del impuesto de renta en las personas multipensionadas: adición de un párrafo final al artículo 38 de la Ley de impuesto sobre la renta, N° 7092 del 19 de mayo de 1988 y sus reformas”.</w:t>
      </w:r>
    </w:p>
    <w:p w14:paraId="1AC0C8B0" w14:textId="77777777" w:rsidR="00350300" w:rsidRPr="00B62904" w:rsidRDefault="00350300" w:rsidP="00B62904">
      <w:pPr>
        <w:pStyle w:val="Prrafodelista"/>
        <w:numPr>
          <w:ilvl w:val="0"/>
          <w:numId w:val="3"/>
        </w:numPr>
        <w:spacing w:after="0" w:line="240" w:lineRule="auto"/>
        <w:jc w:val="both"/>
        <w:rPr>
          <w:rFonts w:cstheme="minorHAnsi"/>
        </w:rPr>
      </w:pPr>
      <w:r w:rsidRPr="00B62904">
        <w:rPr>
          <w:rFonts w:cstheme="minorHAnsi"/>
        </w:rPr>
        <w:t xml:space="preserve">Expediente 21.679 “Ley para darle carácter de título ejecutivo a la factura electrónica y constituirla en valor negociable” (Texto </w:t>
      </w:r>
      <w:r w:rsidR="007D101E" w:rsidRPr="00B62904">
        <w:rPr>
          <w:rFonts w:cstheme="minorHAnsi"/>
        </w:rPr>
        <w:t>sustituvo</w:t>
      </w:r>
      <w:r w:rsidRPr="00B62904">
        <w:rPr>
          <w:rFonts w:cstheme="minorHAnsi"/>
        </w:rPr>
        <w:t>).</w:t>
      </w:r>
    </w:p>
    <w:p w14:paraId="70DFCFCB" w14:textId="77777777" w:rsidR="007D101E" w:rsidRPr="0053395D" w:rsidRDefault="00350300" w:rsidP="0053395D">
      <w:pPr>
        <w:pStyle w:val="Prrafodelista"/>
        <w:numPr>
          <w:ilvl w:val="0"/>
          <w:numId w:val="3"/>
        </w:numPr>
        <w:spacing w:after="0" w:line="240" w:lineRule="auto"/>
        <w:jc w:val="both"/>
        <w:rPr>
          <w:rFonts w:cstheme="minorHAnsi"/>
        </w:rPr>
      </w:pPr>
      <w:r w:rsidRPr="00B62904">
        <w:rPr>
          <w:rFonts w:cstheme="minorHAnsi"/>
        </w:rPr>
        <w:t>Expediente 22.333 “Reforma a la Ley de protección al ciudadano del exceso de requisitos y trámites administrativos, ley N° 8220 y sus reformas”</w:t>
      </w:r>
      <w:r w:rsidR="00DE137B" w:rsidRPr="00B62904">
        <w:rPr>
          <w:rFonts w:cstheme="minorHAnsi"/>
        </w:rPr>
        <w:t>.</w:t>
      </w:r>
    </w:p>
    <w:p w14:paraId="55338001" w14:textId="77777777" w:rsidR="00556370" w:rsidRPr="00556370" w:rsidRDefault="00556370" w:rsidP="0053395D">
      <w:pPr>
        <w:spacing w:after="0" w:line="240" w:lineRule="auto"/>
        <w:jc w:val="both"/>
      </w:pPr>
    </w:p>
    <w:p w14:paraId="33C27783" w14:textId="77777777" w:rsidR="00B24D2C" w:rsidRDefault="00B24D2C" w:rsidP="005F551C">
      <w:pPr>
        <w:pStyle w:val="Ttulo2"/>
        <w:numPr>
          <w:ilvl w:val="1"/>
          <w:numId w:val="1"/>
        </w:numPr>
      </w:pPr>
      <w:bookmarkStart w:id="20" w:name="_Toc73096126"/>
      <w:bookmarkStart w:id="21" w:name="_Hlk62557035"/>
      <w:r>
        <w:t>Reformas Reglamentarias</w:t>
      </w:r>
      <w:bookmarkEnd w:id="20"/>
    </w:p>
    <w:bookmarkEnd w:id="21"/>
    <w:p w14:paraId="466FAB90" w14:textId="77777777" w:rsidR="00BB6061" w:rsidRPr="00BB6061" w:rsidRDefault="00BB6061" w:rsidP="00BB6061">
      <w:pPr>
        <w:tabs>
          <w:tab w:val="left" w:pos="1485"/>
        </w:tabs>
        <w:spacing w:after="0" w:line="240" w:lineRule="auto"/>
      </w:pPr>
    </w:p>
    <w:p w14:paraId="45159E63" w14:textId="3638BFE7" w:rsidR="005D1F82" w:rsidRDefault="005D1F82" w:rsidP="005D1F82">
      <w:pPr>
        <w:pStyle w:val="Descripcin"/>
        <w:spacing w:after="0"/>
        <w:jc w:val="center"/>
      </w:pPr>
      <w:r>
        <w:t xml:space="preserve">Tabla </w:t>
      </w:r>
      <w:r>
        <w:fldChar w:fldCharType="begin"/>
      </w:r>
      <w:r>
        <w:instrText xml:space="preserve"> SEQ Tabla \* ARABIC </w:instrText>
      </w:r>
      <w:r>
        <w:fldChar w:fldCharType="separate"/>
      </w:r>
      <w:r w:rsidR="00160C27">
        <w:rPr>
          <w:noProof/>
        </w:rPr>
        <w:t>7</w:t>
      </w:r>
      <w:r>
        <w:fldChar w:fldCharType="end"/>
      </w:r>
      <w:r>
        <w:t>: Reformas a Reglamentos</w:t>
      </w:r>
      <w:r w:rsidR="00C05C73">
        <w:t xml:space="preserve"> de SUPEN</w:t>
      </w:r>
    </w:p>
    <w:p w14:paraId="696A0518" w14:textId="77777777" w:rsidR="00C05C73" w:rsidRDefault="00C05C73" w:rsidP="00C05C73">
      <w:pPr>
        <w:pStyle w:val="Descripcin"/>
        <w:spacing w:after="0"/>
        <w:jc w:val="center"/>
      </w:pPr>
      <w:r>
        <w:t>Aprobados por el CONASSIF</w:t>
      </w:r>
    </w:p>
    <w:p w14:paraId="23524E59" w14:textId="5D9C2901" w:rsidR="005D1F82" w:rsidRDefault="005D1F82" w:rsidP="005D1F82">
      <w:pPr>
        <w:pStyle w:val="Descripcin"/>
        <w:spacing w:after="0"/>
        <w:jc w:val="center"/>
      </w:pPr>
      <w:r>
        <w:t xml:space="preserve">durante el </w:t>
      </w:r>
      <w:r w:rsidR="00FF6C6D">
        <w:t>primer</w:t>
      </w:r>
      <w:r>
        <w:t xml:space="preserve"> trimestre del 202</w:t>
      </w:r>
      <w:r w:rsidR="00FF6C6D">
        <w:t>1</w:t>
      </w:r>
    </w:p>
    <w:tbl>
      <w:tblPr>
        <w:tblStyle w:val="Tablaconcuadrcula4-nfasis1"/>
        <w:tblW w:w="6179" w:type="pct"/>
        <w:jc w:val="center"/>
        <w:tblLook w:val="04A0" w:firstRow="1" w:lastRow="0" w:firstColumn="1" w:lastColumn="0" w:noHBand="0" w:noVBand="1"/>
      </w:tblPr>
      <w:tblGrid>
        <w:gridCol w:w="1414"/>
        <w:gridCol w:w="1842"/>
        <w:gridCol w:w="7654"/>
      </w:tblGrid>
      <w:tr w:rsidR="00FF6C6D" w:rsidRPr="00533679" w14:paraId="6B852494" w14:textId="77777777" w:rsidTr="008F295F">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648" w:type="pct"/>
            <w:hideMark/>
          </w:tcPr>
          <w:p w14:paraId="27948400" w14:textId="77777777" w:rsidR="00FF6C6D" w:rsidRPr="00533679" w:rsidRDefault="00FF6C6D" w:rsidP="007970CA">
            <w:pPr>
              <w:rPr>
                <w:rFonts w:eastAsia="Times New Roman" w:cs="Calibri"/>
                <w:lang w:val="es-CR"/>
              </w:rPr>
            </w:pPr>
            <w:r w:rsidRPr="00533679">
              <w:rPr>
                <w:rFonts w:eastAsia="Times New Roman" w:cs="Calibri"/>
                <w:lang w:val="es-CR"/>
              </w:rPr>
              <w:t>Reglamento</w:t>
            </w:r>
          </w:p>
        </w:tc>
        <w:tc>
          <w:tcPr>
            <w:tcW w:w="844" w:type="pct"/>
            <w:noWrap/>
            <w:hideMark/>
          </w:tcPr>
          <w:p w14:paraId="0798BB69" w14:textId="77777777" w:rsidR="00FF6C6D" w:rsidRPr="00533679" w:rsidRDefault="00FF6C6D" w:rsidP="007970CA">
            <w:pP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533679">
              <w:rPr>
                <w:rFonts w:eastAsia="Times New Roman" w:cs="Calibri"/>
                <w:lang w:val="es-CR"/>
              </w:rPr>
              <w:t>Acuerdo</w:t>
            </w:r>
          </w:p>
        </w:tc>
        <w:tc>
          <w:tcPr>
            <w:tcW w:w="3508" w:type="pct"/>
            <w:noWrap/>
            <w:hideMark/>
          </w:tcPr>
          <w:p w14:paraId="095A6298" w14:textId="6128AE44" w:rsidR="00FF6C6D" w:rsidRPr="00533679" w:rsidRDefault="00FF6C6D" w:rsidP="007970CA">
            <w:pP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533679">
              <w:rPr>
                <w:rFonts w:eastAsia="Times New Roman" w:cs="Calibri"/>
                <w:lang w:val="es-CR"/>
              </w:rPr>
              <w:t>Alcance</w:t>
            </w:r>
          </w:p>
        </w:tc>
      </w:tr>
      <w:tr w:rsidR="00FF6C6D" w:rsidRPr="00533679" w14:paraId="58A93EC2" w14:textId="77777777" w:rsidTr="008F295F">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64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DD926EB" w14:textId="77777777" w:rsidR="00FF6C6D" w:rsidRPr="00FF6C6D" w:rsidRDefault="00FF6C6D" w:rsidP="007970CA">
            <w:pPr>
              <w:jc w:val="both"/>
              <w:rPr>
                <w:rFonts w:asciiTheme="minorHAnsi" w:eastAsia="Times New Roman" w:hAnsiTheme="minorHAnsi" w:cstheme="minorHAnsi"/>
                <w:color w:val="000000"/>
                <w:lang w:val="es-CR"/>
              </w:rPr>
            </w:pPr>
            <w:r w:rsidRPr="00FF6C6D">
              <w:rPr>
                <w:rFonts w:asciiTheme="minorHAnsi" w:eastAsia="Times New Roman" w:hAnsiTheme="minorHAnsi" w:cstheme="minorHAnsi"/>
                <w:color w:val="000000"/>
                <w:lang w:val="es-CR"/>
              </w:rPr>
              <w:t>Reglamento de riesgos</w:t>
            </w:r>
          </w:p>
        </w:tc>
        <w:tc>
          <w:tcPr>
            <w:tcW w:w="84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3EB6E79A" w14:textId="77777777" w:rsidR="00FF6C6D" w:rsidRPr="00FF6C6D" w:rsidRDefault="00FF6C6D" w:rsidP="007970CA">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lang w:val="es-CR"/>
              </w:rPr>
            </w:pPr>
            <w:r>
              <w:rPr>
                <w:rFonts w:asciiTheme="minorHAnsi" w:hAnsiTheme="minorHAnsi" w:cstheme="minorHAnsi"/>
              </w:rPr>
              <w:t>S</w:t>
            </w:r>
            <w:r w:rsidRPr="00FF6C6D">
              <w:rPr>
                <w:rFonts w:asciiTheme="minorHAnsi" w:hAnsiTheme="minorHAnsi" w:cstheme="minorHAnsi"/>
              </w:rPr>
              <w:t>esión 1634-2020, celebrada el 21 de diciembre de 2020. Publicada en el Diario Oficial la Gaceta número 8 del 13 de enero de 2021.</w:t>
            </w:r>
          </w:p>
        </w:tc>
        <w:tc>
          <w:tcPr>
            <w:tcW w:w="3508" w:type="pct"/>
            <w:tcBorders>
              <w:top w:val="nil"/>
              <w:left w:val="nil"/>
              <w:bottom w:val="single" w:sz="8" w:space="0" w:color="8EAADB"/>
              <w:right w:val="single" w:sz="8" w:space="0" w:color="8EAADB"/>
            </w:tcBorders>
            <w:shd w:val="clear" w:color="auto" w:fill="D9E2F3"/>
          </w:tcPr>
          <w:p w14:paraId="09DFDDE2" w14:textId="77777777" w:rsidR="003E62FD" w:rsidRPr="003E62FD" w:rsidRDefault="003E62FD" w:rsidP="003E62F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E62FD">
              <w:rPr>
                <w:rFonts w:asciiTheme="minorHAnsi" w:hAnsiTheme="minorHAnsi" w:cstheme="minorHAnsi"/>
                <w:color w:val="000000"/>
              </w:rPr>
              <w:t>Se reforma los artículos 1, 14, 15, en cuanto al alcance del reglamento, la integración del comité de riesgos y los requisitos de sus integrantes.</w:t>
            </w:r>
          </w:p>
          <w:p w14:paraId="6C4FDFE5" w14:textId="77777777" w:rsidR="003E62FD" w:rsidRPr="003E62FD" w:rsidRDefault="003E62FD" w:rsidP="003E62F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E62FD">
              <w:rPr>
                <w:rFonts w:asciiTheme="minorHAnsi" w:hAnsiTheme="minorHAnsi" w:cstheme="minorHAnsi"/>
                <w:color w:val="000000"/>
              </w:rPr>
              <w:t>La reforma faculta a la Superintendente de Pensiones para que, bajo ciertas circunstancias y condiciones, exima, de forma parcial o total, a las entidades o fondos que se encuentran en procesos de liquidación, abolición o bien que se encuentran cerrados a nuevas afiliaciones, y a las entidades o fondos de reciente creación o autorización, mientras no hayan iniciado operaciones, de la aplicación total o parcial de las normas contendidas en el Reglamento de Riesgos.</w:t>
            </w:r>
          </w:p>
          <w:p w14:paraId="4F4D4841" w14:textId="77777777" w:rsidR="003E62FD" w:rsidRPr="003E62FD" w:rsidRDefault="003E62FD" w:rsidP="003E62F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E62FD">
              <w:rPr>
                <w:rFonts w:asciiTheme="minorHAnsi" w:hAnsiTheme="minorHAnsi" w:cstheme="minorHAnsi"/>
                <w:color w:val="000000"/>
              </w:rPr>
              <w:t xml:space="preserve">Asimismo, En el caso de las </w:t>
            </w:r>
            <w:r w:rsidR="00092EB8">
              <w:rPr>
                <w:rFonts w:asciiTheme="minorHAnsi" w:hAnsiTheme="minorHAnsi" w:cstheme="minorHAnsi"/>
                <w:color w:val="000000"/>
              </w:rPr>
              <w:t>OPC</w:t>
            </w:r>
            <w:r w:rsidRPr="003E62FD">
              <w:rPr>
                <w:rFonts w:asciiTheme="minorHAnsi" w:hAnsiTheme="minorHAnsi" w:cstheme="minorHAnsi"/>
                <w:color w:val="000000"/>
              </w:rPr>
              <w:t xml:space="preserve"> que administren fondo de pensiones complementarias creados por leyes especiales, se establece que cuando en el Comité de Riesgos de la operadora se tomen decisiones relacionadas con dichos fondos, en éste debe participar, con derecho a voz y voto, un miembro de la junta directiva o junta administradora del correspondiente fondo complementario.</w:t>
            </w:r>
          </w:p>
          <w:p w14:paraId="62D9CD63" w14:textId="77777777" w:rsidR="00FF6C6D" w:rsidRPr="00FF6C6D" w:rsidRDefault="003E62FD" w:rsidP="003E62FD">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s-CR"/>
              </w:rPr>
            </w:pPr>
            <w:r w:rsidRPr="003E62FD">
              <w:rPr>
                <w:rFonts w:asciiTheme="minorHAnsi" w:hAnsiTheme="minorHAnsi" w:cstheme="minorHAnsi"/>
                <w:color w:val="000000"/>
              </w:rPr>
              <w:t>Finalmente se armonizan los plazos para el requisito que deben cumplir los miembros del comité de riesgos relativo a no ser sancionados por la comisión de algún delito contra la propiedad, contra la buena fe en los negocios, contra los deberes en la función pública, contra la fe pública, legitimación de capitales y financiamiento al terrorismo; quedando dicho plazo en 10 años.</w:t>
            </w:r>
          </w:p>
        </w:tc>
      </w:tr>
      <w:tr w:rsidR="00FF6C6D" w:rsidRPr="00533679" w14:paraId="6F896B15" w14:textId="77777777" w:rsidTr="008F295F">
        <w:trPr>
          <w:trHeight w:val="456"/>
          <w:jc w:val="center"/>
        </w:trPr>
        <w:tc>
          <w:tcPr>
            <w:cnfStyle w:val="001000000000" w:firstRow="0" w:lastRow="0" w:firstColumn="1" w:lastColumn="0" w:oddVBand="0" w:evenVBand="0" w:oddHBand="0" w:evenHBand="0" w:firstRowFirstColumn="0" w:firstRowLastColumn="0" w:lastRowFirstColumn="0" w:lastRowLastColumn="0"/>
            <w:tcW w:w="64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FD9729D" w14:textId="77777777" w:rsidR="00FF6C6D" w:rsidRPr="00FF6C6D" w:rsidRDefault="00FF6C6D" w:rsidP="007970CA">
            <w:pPr>
              <w:jc w:val="both"/>
              <w:rPr>
                <w:rFonts w:asciiTheme="minorHAnsi" w:eastAsia="Times New Roman" w:hAnsiTheme="minorHAnsi" w:cstheme="minorHAnsi"/>
                <w:color w:val="000000"/>
              </w:rPr>
            </w:pPr>
            <w:r w:rsidRPr="00FF6C6D">
              <w:rPr>
                <w:rFonts w:asciiTheme="minorHAnsi" w:eastAsia="Times New Roman" w:hAnsiTheme="minorHAnsi" w:cstheme="minorHAnsi"/>
                <w:color w:val="000000"/>
              </w:rPr>
              <w:t>Reglamento de Gestión de activos</w:t>
            </w:r>
          </w:p>
        </w:tc>
        <w:tc>
          <w:tcPr>
            <w:tcW w:w="84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040EDE96" w14:textId="77777777" w:rsidR="00FF6C6D" w:rsidRPr="00FF6C6D" w:rsidRDefault="00FF6C6D" w:rsidP="007970CA">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Pr>
                <w:rFonts w:asciiTheme="minorHAnsi" w:hAnsiTheme="minorHAnsi" w:cstheme="minorHAnsi"/>
              </w:rPr>
              <w:t>S</w:t>
            </w:r>
            <w:r w:rsidRPr="00FF6C6D">
              <w:rPr>
                <w:rFonts w:asciiTheme="minorHAnsi" w:hAnsiTheme="minorHAnsi" w:cstheme="minorHAnsi"/>
              </w:rPr>
              <w:t>esión 1634-2020, celebrada el 21 de diciembre de 2020. Publicada en el Diario Oficial la Gaceta número 8 del 13 de enero de 2021.</w:t>
            </w:r>
          </w:p>
        </w:tc>
        <w:tc>
          <w:tcPr>
            <w:tcW w:w="350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497DC32F" w14:textId="77777777" w:rsidR="008F6C52" w:rsidRPr="008F6C52" w:rsidRDefault="008F6C52" w:rsidP="008F6C5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8F6C52">
              <w:rPr>
                <w:rFonts w:asciiTheme="minorHAnsi" w:hAnsiTheme="minorHAnsi" w:cstheme="minorHAnsi"/>
                <w:color w:val="000000"/>
              </w:rPr>
              <w:t>Se reforma el artículo 10, para aclarar la disposición relativa a los requisito</w:t>
            </w:r>
            <w:r>
              <w:rPr>
                <w:rFonts w:asciiTheme="minorHAnsi" w:hAnsiTheme="minorHAnsi" w:cstheme="minorHAnsi"/>
                <w:color w:val="000000"/>
              </w:rPr>
              <w:t>s</w:t>
            </w:r>
            <w:r w:rsidRPr="008F6C52">
              <w:rPr>
                <w:rFonts w:asciiTheme="minorHAnsi" w:hAnsiTheme="minorHAnsi" w:cstheme="minorHAnsi"/>
                <w:color w:val="000000"/>
              </w:rPr>
              <w:t xml:space="preserve"> para integrar el Comité de Inversiones no haber sido condenado por los delitos que éste indica, durante el plazo establecido para tal efecto en la Ley del Registro y Archivos Judiciales, cuando lo correcto es establecer la salvedad de que se haya procedido con la cancelación de los correspondientes asientos en el Registro Judicial, según estipula la Ley 6723, Ley del Registro y Archivos Judiciales.</w:t>
            </w:r>
          </w:p>
          <w:p w14:paraId="78B5BFBB" w14:textId="77777777" w:rsidR="00FF6C6D" w:rsidRPr="00FF6C6D" w:rsidRDefault="008F6C52" w:rsidP="008F6C52">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s-CR"/>
              </w:rPr>
            </w:pPr>
            <w:r w:rsidRPr="008F6C52">
              <w:rPr>
                <w:rFonts w:asciiTheme="minorHAnsi" w:hAnsiTheme="minorHAnsi" w:cstheme="minorHAnsi"/>
                <w:color w:val="000000"/>
              </w:rPr>
              <w:t>Asimismo, y en relación con dicha disposición, se agregan los delitos establecidos en la Ley 8422, Ley contra la Corrupción y el Enriquecimiento Ilícito en la Función Pública.</w:t>
            </w:r>
          </w:p>
        </w:tc>
      </w:tr>
      <w:tr w:rsidR="00665CE5" w:rsidRPr="00533679" w14:paraId="07FF3AD4" w14:textId="77777777" w:rsidTr="008F295F">
        <w:trPr>
          <w:cnfStyle w:val="000000100000" w:firstRow="0" w:lastRow="0" w:firstColumn="0" w:lastColumn="0" w:oddVBand="0" w:evenVBand="0" w:oddHBand="1" w:evenHBand="0" w:firstRowFirstColumn="0" w:firstRowLastColumn="0" w:lastRowFirstColumn="0" w:lastRowLastColumn="0"/>
          <w:trHeight w:val="456"/>
          <w:jc w:val="center"/>
        </w:trPr>
        <w:tc>
          <w:tcPr>
            <w:cnfStyle w:val="001000000000" w:firstRow="0" w:lastRow="0" w:firstColumn="1" w:lastColumn="0" w:oddVBand="0" w:evenVBand="0" w:oddHBand="0" w:evenHBand="0" w:firstRowFirstColumn="0" w:firstRowLastColumn="0" w:lastRowFirstColumn="0" w:lastRowLastColumn="0"/>
            <w:tcW w:w="64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5DDF21A" w14:textId="77777777" w:rsidR="00665CE5" w:rsidRPr="00FF6C6D" w:rsidRDefault="00665CE5" w:rsidP="00665CE5">
            <w:pPr>
              <w:jc w:val="both"/>
              <w:rPr>
                <w:rFonts w:eastAsia="Times New Roman" w:cstheme="minorHAnsi"/>
                <w:color w:val="000000"/>
              </w:rPr>
            </w:pPr>
            <w:r w:rsidRPr="00466630">
              <w:t xml:space="preserve">Reglamento sobre </w:t>
            </w:r>
            <w:r w:rsidRPr="00466630">
              <w:lastRenderedPageBreak/>
              <w:t>Gobierno Corporativo</w:t>
            </w:r>
          </w:p>
        </w:tc>
        <w:tc>
          <w:tcPr>
            <w:tcW w:w="84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E9D9175" w14:textId="77777777" w:rsidR="00665CE5" w:rsidRDefault="00665CE5" w:rsidP="00665CE5">
            <w:pPr>
              <w:jc w:val="both"/>
              <w:cnfStyle w:val="000000100000" w:firstRow="0" w:lastRow="0" w:firstColumn="0" w:lastColumn="0" w:oddVBand="0" w:evenVBand="0" w:oddHBand="1" w:evenHBand="0" w:firstRowFirstColumn="0" w:firstRowLastColumn="0" w:lastRowFirstColumn="0" w:lastRowLastColumn="0"/>
              <w:rPr>
                <w:rFonts w:cstheme="minorHAnsi"/>
              </w:rPr>
            </w:pPr>
            <w:r w:rsidRPr="00466630">
              <w:lastRenderedPageBreak/>
              <w:t xml:space="preserve">sesiones 1634-2020 y 1635-2020, </w:t>
            </w:r>
            <w:r w:rsidRPr="00466630">
              <w:lastRenderedPageBreak/>
              <w:t>celebradas ambas el 21 de diciembre de 2020</w:t>
            </w:r>
          </w:p>
        </w:tc>
        <w:tc>
          <w:tcPr>
            <w:tcW w:w="350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DE21051" w14:textId="77777777" w:rsidR="00665CE5" w:rsidRDefault="00665CE5" w:rsidP="00665CE5">
            <w:pPr>
              <w:jc w:val="both"/>
              <w:cnfStyle w:val="000000100000" w:firstRow="0" w:lastRow="0" w:firstColumn="0" w:lastColumn="0" w:oddVBand="0" w:evenVBand="0" w:oddHBand="1" w:evenHBand="0" w:firstRowFirstColumn="0" w:firstRowLastColumn="0" w:lastRowFirstColumn="0" w:lastRowLastColumn="0"/>
            </w:pPr>
            <w:r w:rsidRPr="00466630">
              <w:lastRenderedPageBreak/>
              <w:t>Se reforman los artículos 2, 25 y 26.</w:t>
            </w:r>
          </w:p>
          <w:p w14:paraId="1498D2F6" w14:textId="77777777" w:rsidR="00221014" w:rsidRPr="00221014" w:rsidRDefault="00221014" w:rsidP="00221014">
            <w:pPr>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r w:rsidRPr="00221014">
              <w:rPr>
                <w:rFonts w:cstheme="minorHAnsi"/>
                <w:color w:val="000000"/>
              </w:rPr>
              <w:lastRenderedPageBreak/>
              <w:t>Por medio de esta reforma se faculta a la SUPEN para que, bajo ciertas circunstancias y condiciones, exima, de forma parcial o total, a las entidades o fondos que se encuentran en procesos de liquidación, abolición o bien que se encuentran cerrados a nuevas afiliaciones, y a las entidades o fondos de reciente creación o autorización, mientras no hayan iniciado operaciones, de la aplicación total o parcial de las normas contendidas en los Reglamentos sobre Gobierno Corporativo.</w:t>
            </w:r>
          </w:p>
          <w:p w14:paraId="45E1F19F" w14:textId="77777777" w:rsidR="00221014" w:rsidRPr="00FF6C6D" w:rsidRDefault="00221014" w:rsidP="00221014">
            <w:pPr>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r w:rsidRPr="00221014">
              <w:rPr>
                <w:rFonts w:cstheme="minorHAnsi"/>
                <w:color w:val="000000"/>
              </w:rPr>
              <w:t>Asimismo, para que la Superintendencia pueda eximir de la obligación de contar con un comité de auditoría o de un comité de riesgos a las entidades o fondos que se encuentran en procesos de liquidación, abolición, o bien que se encuentran cerrados a nuevas afiliaciones, y a las entidades o fondos de reciente creación o autorización, mientras no hayan iniciado operaciones.</w:t>
            </w:r>
          </w:p>
        </w:tc>
      </w:tr>
    </w:tbl>
    <w:p w14:paraId="6580973A" w14:textId="77777777" w:rsidR="00B96A35" w:rsidRDefault="00B96A35" w:rsidP="00B96A35">
      <w:pPr>
        <w:pStyle w:val="Descripcin"/>
        <w:spacing w:after="0"/>
      </w:pPr>
      <w:r>
        <w:lastRenderedPageBreak/>
        <w:t xml:space="preserve">Fuente: Elaboración propia </w:t>
      </w:r>
    </w:p>
    <w:p w14:paraId="11367F77" w14:textId="77777777" w:rsidR="002E441F" w:rsidRPr="002E441F" w:rsidRDefault="002E441F" w:rsidP="002E441F">
      <w:pPr>
        <w:tabs>
          <w:tab w:val="left" w:pos="1485"/>
        </w:tabs>
        <w:spacing w:after="0" w:line="240" w:lineRule="auto"/>
      </w:pPr>
    </w:p>
    <w:p w14:paraId="72C4A137" w14:textId="77777777" w:rsidR="00B24D2C" w:rsidRDefault="00B24D2C" w:rsidP="005F551C">
      <w:pPr>
        <w:pStyle w:val="Ttulo2"/>
        <w:numPr>
          <w:ilvl w:val="1"/>
          <w:numId w:val="1"/>
        </w:numPr>
      </w:pPr>
      <w:bookmarkStart w:id="22" w:name="_Toc73096127"/>
      <w:r>
        <w:t>Acuerdos del Superintendente</w:t>
      </w:r>
      <w:bookmarkEnd w:id="22"/>
    </w:p>
    <w:p w14:paraId="7C69A287" w14:textId="77777777" w:rsidR="00AD50FA" w:rsidRDefault="00AD50FA" w:rsidP="00DD5D6F">
      <w:pPr>
        <w:tabs>
          <w:tab w:val="left" w:pos="1485"/>
        </w:tabs>
        <w:spacing w:after="0" w:line="240" w:lineRule="auto"/>
      </w:pPr>
    </w:p>
    <w:p w14:paraId="7B8D1671" w14:textId="2E97B0F7" w:rsidR="00AD50FA" w:rsidRDefault="00AD50FA" w:rsidP="00AD50FA">
      <w:pPr>
        <w:pStyle w:val="Descripcin"/>
        <w:spacing w:after="0"/>
        <w:jc w:val="center"/>
      </w:pPr>
      <w:r>
        <w:t xml:space="preserve">Tabla </w:t>
      </w:r>
      <w:r>
        <w:fldChar w:fldCharType="begin"/>
      </w:r>
      <w:r>
        <w:instrText xml:space="preserve"> SEQ Tabla \* ARABIC </w:instrText>
      </w:r>
      <w:r>
        <w:fldChar w:fldCharType="separate"/>
      </w:r>
      <w:r w:rsidR="00160C27">
        <w:rPr>
          <w:noProof/>
        </w:rPr>
        <w:t>8</w:t>
      </w:r>
      <w:r>
        <w:fldChar w:fldCharType="end"/>
      </w:r>
      <w:r>
        <w:t xml:space="preserve">: Acuerdos de </w:t>
      </w:r>
      <w:r w:rsidR="005F0F5C">
        <w:t>Superintendente</w:t>
      </w:r>
    </w:p>
    <w:p w14:paraId="6EA2E190" w14:textId="77777777" w:rsidR="005F0F5C" w:rsidRDefault="005F0F5C" w:rsidP="00AD50FA">
      <w:pPr>
        <w:pStyle w:val="Descripcin"/>
        <w:spacing w:after="0"/>
        <w:jc w:val="center"/>
      </w:pPr>
      <w:r>
        <w:t>Emitidos por SUPEN</w:t>
      </w:r>
    </w:p>
    <w:p w14:paraId="79B43C88" w14:textId="77777777" w:rsidR="00AD50FA" w:rsidRDefault="00AD50FA" w:rsidP="00AD50FA">
      <w:pPr>
        <w:pStyle w:val="Descripcin"/>
        <w:spacing w:after="0"/>
        <w:jc w:val="center"/>
      </w:pPr>
      <w:r>
        <w:t>durante el</w:t>
      </w:r>
      <w:r w:rsidR="0087113D">
        <w:t xml:space="preserve"> </w:t>
      </w:r>
      <w:r w:rsidR="002E441F">
        <w:t>primer</w:t>
      </w:r>
      <w:r>
        <w:t xml:space="preserve"> trimestre del 202</w:t>
      </w:r>
      <w:r w:rsidR="002E441F">
        <w:t>1</w:t>
      </w:r>
    </w:p>
    <w:tbl>
      <w:tblPr>
        <w:tblStyle w:val="Tablaconcuadrcula4-nfasis1"/>
        <w:tblW w:w="10920" w:type="dxa"/>
        <w:jc w:val="center"/>
        <w:tblLayout w:type="fixed"/>
        <w:tblLook w:val="04A0" w:firstRow="1" w:lastRow="0" w:firstColumn="1" w:lastColumn="0" w:noHBand="0" w:noVBand="1"/>
      </w:tblPr>
      <w:tblGrid>
        <w:gridCol w:w="2689"/>
        <w:gridCol w:w="8231"/>
      </w:tblGrid>
      <w:tr w:rsidR="006F3BE8" w:rsidRPr="00902A71" w14:paraId="48FF842A" w14:textId="77777777" w:rsidTr="003E2975">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689" w:type="dxa"/>
            <w:noWrap/>
            <w:hideMark/>
          </w:tcPr>
          <w:p w14:paraId="12832AEA" w14:textId="77777777" w:rsidR="006F3BE8" w:rsidRPr="00902A71" w:rsidRDefault="006F3BE8" w:rsidP="007970CA">
            <w:pPr>
              <w:rPr>
                <w:rFonts w:asciiTheme="minorHAnsi" w:eastAsia="Times New Roman" w:hAnsiTheme="minorHAnsi" w:cstheme="minorHAnsi"/>
                <w:lang w:val="es-CR"/>
              </w:rPr>
            </w:pPr>
            <w:r w:rsidRPr="00902A71">
              <w:rPr>
                <w:rFonts w:asciiTheme="minorHAnsi" w:eastAsia="Times New Roman" w:hAnsiTheme="minorHAnsi" w:cstheme="minorHAnsi"/>
                <w:lang w:val="es-CR"/>
              </w:rPr>
              <w:t>Acuerdo</w:t>
            </w:r>
          </w:p>
        </w:tc>
        <w:tc>
          <w:tcPr>
            <w:tcW w:w="8231" w:type="dxa"/>
            <w:noWrap/>
            <w:hideMark/>
          </w:tcPr>
          <w:p w14:paraId="4D121013" w14:textId="77777777" w:rsidR="006F3BE8" w:rsidRPr="00902A71" w:rsidRDefault="006F3BE8" w:rsidP="007970CA">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val="es-CR"/>
              </w:rPr>
            </w:pPr>
            <w:r w:rsidRPr="00902A71">
              <w:rPr>
                <w:rFonts w:asciiTheme="minorHAnsi" w:eastAsia="Times New Roman" w:hAnsiTheme="minorHAnsi" w:cstheme="minorHAnsi"/>
                <w:lang w:val="es-CR"/>
              </w:rPr>
              <w:t>Alcance</w:t>
            </w:r>
          </w:p>
        </w:tc>
      </w:tr>
      <w:tr w:rsidR="006F3BE8" w:rsidRPr="00902A71" w14:paraId="4A932D2A" w14:textId="77777777" w:rsidTr="003E2975">
        <w:trPr>
          <w:cnfStyle w:val="000000100000" w:firstRow="0" w:lastRow="0" w:firstColumn="0" w:lastColumn="0" w:oddVBand="0" w:evenVBand="0" w:oddHBand="1" w:evenHBand="0" w:firstRowFirstColumn="0" w:firstRowLastColumn="0" w:lastRowFirstColumn="0" w:lastRowLastColumn="0"/>
          <w:trHeight w:val="456"/>
          <w:jc w:val="center"/>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0D7E223E" w14:textId="77777777" w:rsidR="006F3BE8" w:rsidRPr="00902A71" w:rsidRDefault="006F3BE8" w:rsidP="007970CA">
            <w:pPr>
              <w:jc w:val="both"/>
              <w:rPr>
                <w:rFonts w:asciiTheme="minorHAnsi" w:eastAsia="Times New Roman" w:hAnsiTheme="minorHAnsi" w:cstheme="minorHAnsi"/>
                <w:color w:val="000000"/>
                <w:lang w:val="es-CR"/>
              </w:rPr>
            </w:pPr>
            <w:r w:rsidRPr="00902A71">
              <w:rPr>
                <w:rFonts w:asciiTheme="minorHAnsi" w:eastAsia="Times New Roman" w:hAnsiTheme="minorHAnsi" w:cstheme="minorHAnsi"/>
                <w:color w:val="000000"/>
                <w:lang w:val="es-CR"/>
              </w:rPr>
              <w:t xml:space="preserve">SP-A-234-2021 </w:t>
            </w:r>
            <w:r w:rsidR="00902A71" w:rsidRPr="00902A71">
              <w:rPr>
                <w:rFonts w:asciiTheme="minorHAnsi" w:eastAsia="Times New Roman" w:hAnsiTheme="minorHAnsi" w:cstheme="minorHAnsi"/>
                <w:color w:val="000000"/>
                <w:lang w:val="es-CR"/>
              </w:rPr>
              <w:t>Reforma al Manual de información para las entidades supervisadas</w:t>
            </w:r>
          </w:p>
        </w:tc>
        <w:tc>
          <w:tcPr>
            <w:tcW w:w="823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AF455FA" w14:textId="77777777" w:rsidR="006F3BE8" w:rsidRPr="00902A71" w:rsidRDefault="006F3BE8" w:rsidP="007970CA">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s-CR"/>
              </w:rPr>
            </w:pPr>
            <w:r w:rsidRPr="00902A71">
              <w:rPr>
                <w:rFonts w:asciiTheme="minorHAnsi" w:eastAsia="Times New Roman" w:hAnsiTheme="minorHAnsi" w:cstheme="minorHAnsi"/>
                <w:color w:val="000000"/>
                <w:lang w:val="es-CR"/>
              </w:rPr>
              <w:t xml:space="preserve">Se reforma la parte introductoria del Capítulo VII. Préstamos, para excluir al </w:t>
            </w:r>
            <w:r w:rsidRPr="00902A71">
              <w:rPr>
                <w:rFonts w:asciiTheme="minorHAnsi" w:hAnsiTheme="minorHAnsi" w:cstheme="minorHAnsi"/>
                <w:i/>
                <w:iCs/>
                <w:szCs w:val="24"/>
              </w:rPr>
              <w:t>Fondo de Jubilaciones y Pensiones del Poder Judicial</w:t>
            </w:r>
            <w:r w:rsidRPr="00902A71">
              <w:rPr>
                <w:rFonts w:asciiTheme="minorHAnsi" w:hAnsiTheme="minorHAnsi" w:cstheme="minorHAnsi"/>
                <w:szCs w:val="24"/>
              </w:rPr>
              <w:t xml:space="preserve"> del cumplimiento de ciertas obligaciones de remisión de información.</w:t>
            </w:r>
          </w:p>
        </w:tc>
      </w:tr>
      <w:tr w:rsidR="006F3BE8" w:rsidRPr="00902A71" w14:paraId="5E416FBC" w14:textId="77777777" w:rsidTr="003E2975">
        <w:trPr>
          <w:trHeight w:val="456"/>
          <w:jc w:val="center"/>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B3879D4" w14:textId="77777777" w:rsidR="006F3BE8" w:rsidRPr="00902A71" w:rsidRDefault="006F3BE8" w:rsidP="007970CA">
            <w:pPr>
              <w:jc w:val="both"/>
              <w:rPr>
                <w:rFonts w:asciiTheme="minorHAnsi" w:eastAsia="Times New Roman" w:hAnsiTheme="minorHAnsi" w:cstheme="minorHAnsi"/>
                <w:color w:val="000000"/>
              </w:rPr>
            </w:pPr>
            <w:r w:rsidRPr="00902A71">
              <w:rPr>
                <w:rFonts w:asciiTheme="minorHAnsi" w:eastAsia="Times New Roman" w:hAnsiTheme="minorHAnsi" w:cstheme="minorHAnsi"/>
                <w:color w:val="000000"/>
              </w:rPr>
              <w:t>SP-A-235-2021 Reforma del SP-A-137</w:t>
            </w:r>
          </w:p>
        </w:tc>
        <w:tc>
          <w:tcPr>
            <w:tcW w:w="823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0A67E21" w14:textId="77777777" w:rsidR="006F3BE8" w:rsidRPr="00902A71" w:rsidRDefault="006F3BE8" w:rsidP="007970CA">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s-CR"/>
              </w:rPr>
            </w:pPr>
            <w:r w:rsidRPr="00902A71">
              <w:rPr>
                <w:rFonts w:asciiTheme="minorHAnsi" w:eastAsia="Times New Roman" w:hAnsiTheme="minorHAnsi" w:cstheme="minorHAnsi"/>
                <w:color w:val="000000"/>
                <w:lang w:val="es-CR"/>
              </w:rPr>
              <w:t>Relativo al plazo y forma de los traslados de recursos de la cuenta individual de los afiliados al Régimen de Capitalización Individual y formato de los archivos que se cargan en el Sistema de Información Cualitativa.</w:t>
            </w:r>
          </w:p>
        </w:tc>
      </w:tr>
      <w:tr w:rsidR="006F3BE8" w:rsidRPr="00902A71" w14:paraId="2C7C287C" w14:textId="77777777" w:rsidTr="003E2975">
        <w:trPr>
          <w:cnfStyle w:val="000000100000" w:firstRow="0" w:lastRow="0" w:firstColumn="0" w:lastColumn="0" w:oddVBand="0" w:evenVBand="0" w:oddHBand="1" w:evenHBand="0" w:firstRowFirstColumn="0" w:firstRowLastColumn="0" w:lastRowFirstColumn="0" w:lastRowLastColumn="0"/>
          <w:trHeight w:val="651"/>
          <w:jc w:val="center"/>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F685E89" w14:textId="77777777" w:rsidR="006F3BE8" w:rsidRPr="00902A71" w:rsidRDefault="006F3BE8" w:rsidP="007970CA">
            <w:pPr>
              <w:jc w:val="both"/>
              <w:rPr>
                <w:rFonts w:asciiTheme="minorHAnsi" w:eastAsia="Times New Roman" w:hAnsiTheme="minorHAnsi" w:cstheme="minorHAnsi"/>
                <w:color w:val="000000"/>
                <w:lang w:val="es-CR"/>
              </w:rPr>
            </w:pPr>
            <w:r w:rsidRPr="00902A71">
              <w:rPr>
                <w:rFonts w:asciiTheme="minorHAnsi" w:eastAsia="Times New Roman" w:hAnsiTheme="minorHAnsi" w:cstheme="minorHAnsi"/>
                <w:color w:val="000000"/>
                <w:lang w:val="es-CR"/>
              </w:rPr>
              <w:t>SP-A-236-2021 Reforma al Manual de información para las entidades supervisadas</w:t>
            </w:r>
          </w:p>
        </w:tc>
        <w:tc>
          <w:tcPr>
            <w:tcW w:w="823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1FF5C14" w14:textId="77777777" w:rsidR="006F3BE8" w:rsidRPr="00902A71" w:rsidRDefault="006F3BE8" w:rsidP="007970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902A71">
              <w:rPr>
                <w:rFonts w:asciiTheme="minorHAnsi" w:hAnsiTheme="minorHAnsi" w:cstheme="minorHAnsi"/>
                <w:szCs w:val="24"/>
              </w:rPr>
              <w:t>Se incorpora un nuevo Capítulo IV, relativo al Manejo de Liquidez de las Entidades Supervisadas.</w:t>
            </w:r>
          </w:p>
        </w:tc>
      </w:tr>
      <w:tr w:rsidR="006F3BE8" w:rsidRPr="00902A71" w14:paraId="17F8FFAC" w14:textId="77777777" w:rsidTr="003E2975">
        <w:trPr>
          <w:trHeight w:val="456"/>
          <w:jc w:val="center"/>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229DFE2" w14:textId="77777777" w:rsidR="006F3BE8" w:rsidRPr="00902A71" w:rsidRDefault="006F3BE8" w:rsidP="007970CA">
            <w:pPr>
              <w:jc w:val="both"/>
              <w:rPr>
                <w:rFonts w:asciiTheme="minorHAnsi" w:eastAsia="Times New Roman" w:hAnsiTheme="minorHAnsi" w:cstheme="minorHAnsi"/>
                <w:color w:val="000000"/>
                <w:lang w:val="es-CR"/>
              </w:rPr>
            </w:pPr>
            <w:r w:rsidRPr="00902A71">
              <w:rPr>
                <w:rFonts w:asciiTheme="minorHAnsi" w:eastAsia="Times New Roman" w:hAnsiTheme="minorHAnsi" w:cstheme="minorHAnsi"/>
                <w:color w:val="000000"/>
                <w:lang w:val="es-CR"/>
              </w:rPr>
              <w:t>SP-A-237 -2021</w:t>
            </w:r>
          </w:p>
        </w:tc>
        <w:tc>
          <w:tcPr>
            <w:tcW w:w="823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B7EBBD8" w14:textId="77777777" w:rsidR="006F3BE8" w:rsidRPr="00902A71" w:rsidRDefault="006F3BE8" w:rsidP="007970CA">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s-CR"/>
              </w:rPr>
            </w:pPr>
            <w:r w:rsidRPr="00902A71">
              <w:rPr>
                <w:rFonts w:asciiTheme="minorHAnsi" w:eastAsia="Times New Roman" w:hAnsiTheme="minorHAnsi" w:cstheme="minorHAnsi"/>
                <w:color w:val="000000"/>
                <w:lang w:val="es-CR"/>
              </w:rPr>
              <w:t>Disposiciones generales para que la Operadora de Planes de Pensiones Complementarias y de Capitalización Laboral de la Caja Costarricense de Seguro Social, S.A. proceda con la devolución de los montos correspondientes a la comisión de administración del Fondo de Capitalización Laboral (FCL), cobrados a los afiliados, cuando se determine, al cierre de cada período fiscal, que la operadora ha generado utilidades operativas</w:t>
            </w:r>
          </w:p>
        </w:tc>
      </w:tr>
      <w:tr w:rsidR="006F3BE8" w:rsidRPr="00902A71" w14:paraId="1947D3CE" w14:textId="77777777" w:rsidTr="003E2975">
        <w:trPr>
          <w:cnfStyle w:val="000000100000" w:firstRow="0" w:lastRow="0" w:firstColumn="0" w:lastColumn="0" w:oddVBand="0" w:evenVBand="0" w:oddHBand="1" w:evenHBand="0" w:firstRowFirstColumn="0" w:firstRowLastColumn="0" w:lastRowFirstColumn="0" w:lastRowLastColumn="0"/>
          <w:trHeight w:val="398"/>
          <w:jc w:val="center"/>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67537C9" w14:textId="77777777" w:rsidR="006F3BE8" w:rsidRPr="00902A71" w:rsidRDefault="006F3BE8" w:rsidP="007970CA">
            <w:pPr>
              <w:jc w:val="both"/>
              <w:rPr>
                <w:rFonts w:asciiTheme="minorHAnsi" w:eastAsia="Times New Roman" w:hAnsiTheme="minorHAnsi" w:cstheme="minorHAnsi"/>
                <w:color w:val="000000"/>
                <w:lang w:val="es-CR"/>
              </w:rPr>
            </w:pPr>
            <w:r w:rsidRPr="00902A71">
              <w:rPr>
                <w:rFonts w:asciiTheme="minorHAnsi" w:eastAsia="Times New Roman" w:hAnsiTheme="minorHAnsi" w:cstheme="minorHAnsi"/>
                <w:color w:val="000000"/>
                <w:lang w:val="es-CR"/>
              </w:rPr>
              <w:t>SP-A-238-2021 Derogatoria de acuerdos</w:t>
            </w:r>
          </w:p>
        </w:tc>
        <w:tc>
          <w:tcPr>
            <w:tcW w:w="823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9E9ECBE" w14:textId="77777777" w:rsidR="003E2975" w:rsidRDefault="006F3BE8" w:rsidP="007970CA">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s-CR"/>
              </w:rPr>
            </w:pPr>
            <w:r w:rsidRPr="00902A71">
              <w:rPr>
                <w:rFonts w:asciiTheme="minorHAnsi" w:eastAsia="Times New Roman" w:hAnsiTheme="minorHAnsi" w:cstheme="minorHAnsi"/>
                <w:color w:val="000000"/>
                <w:lang w:val="es-CR"/>
              </w:rPr>
              <w:t xml:space="preserve">Se derogan los acuerdos: </w:t>
            </w:r>
          </w:p>
          <w:p w14:paraId="3E2BFCE1" w14:textId="77777777" w:rsidR="003E2975" w:rsidRDefault="006F3BE8" w:rsidP="003335E6">
            <w:pPr>
              <w:pStyle w:val="Prrafodelista"/>
              <w:numPr>
                <w:ilvl w:val="0"/>
                <w:numId w:val="8"/>
              </w:numPr>
              <w:ind w:left="315"/>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s-CR"/>
              </w:rPr>
            </w:pPr>
            <w:r w:rsidRPr="00902A71">
              <w:rPr>
                <w:rFonts w:asciiTheme="minorHAnsi" w:hAnsiTheme="minorHAnsi" w:cstheme="minorHAnsi"/>
              </w:rPr>
              <w:t>SP-1720 “</w:t>
            </w:r>
            <w:r w:rsidRPr="00902A71">
              <w:rPr>
                <w:rFonts w:asciiTheme="minorHAnsi" w:hAnsiTheme="minorHAnsi" w:cstheme="minorHAnsi"/>
                <w:i/>
                <w:iCs/>
              </w:rPr>
              <w:t>Disposiciones obligatorias sobre el ejercicio del derecho de libre transferencia y el retiro anticipado de los afiliados a las Operadoras de Pensiones.</w:t>
            </w:r>
            <w:r w:rsidRPr="00902A71">
              <w:rPr>
                <w:rFonts w:asciiTheme="minorHAnsi" w:hAnsiTheme="minorHAnsi" w:cstheme="minorHAnsi"/>
              </w:rPr>
              <w:t>”</w:t>
            </w:r>
          </w:p>
          <w:p w14:paraId="389124FF" w14:textId="77777777" w:rsidR="003E2975" w:rsidRDefault="006F3BE8" w:rsidP="003335E6">
            <w:pPr>
              <w:pStyle w:val="Prrafodelista"/>
              <w:numPr>
                <w:ilvl w:val="0"/>
                <w:numId w:val="8"/>
              </w:numPr>
              <w:ind w:left="31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2A71">
              <w:rPr>
                <w:rFonts w:asciiTheme="minorHAnsi" w:hAnsiTheme="minorHAnsi" w:cstheme="minorHAnsi"/>
              </w:rPr>
              <w:t xml:space="preserve">SP-A-065 </w:t>
            </w:r>
            <w:r w:rsidRPr="003E2975">
              <w:rPr>
                <w:rFonts w:asciiTheme="minorHAnsi" w:hAnsiTheme="minorHAnsi" w:cstheme="minorHAnsi"/>
                <w:i/>
                <w:iCs/>
              </w:rPr>
              <w:t>“Plazo aplicable para el traslado de recursos de las cuentas correspondientes a los contratos suscritos bajo la vigencia de la Ley N° 7523, Régimen Privado de Pensiones Complementarias, con motivo del ejercicio del derecho a la libre transferencia.”</w:t>
            </w:r>
          </w:p>
          <w:p w14:paraId="33451BA3" w14:textId="77777777" w:rsidR="003E2975" w:rsidRDefault="006F3BE8" w:rsidP="003335E6">
            <w:pPr>
              <w:pStyle w:val="Prrafodelista"/>
              <w:numPr>
                <w:ilvl w:val="0"/>
                <w:numId w:val="8"/>
              </w:numPr>
              <w:ind w:left="31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2A71">
              <w:rPr>
                <w:rFonts w:asciiTheme="minorHAnsi" w:hAnsiTheme="minorHAnsi" w:cstheme="minorHAnsi"/>
              </w:rPr>
              <w:t>SP-073-2002 “</w:t>
            </w:r>
            <w:r w:rsidRPr="00902A71">
              <w:rPr>
                <w:rFonts w:asciiTheme="minorHAnsi" w:hAnsiTheme="minorHAnsi" w:cstheme="minorHAnsi"/>
                <w:i/>
                <w:iCs/>
              </w:rPr>
              <w:t>Disposiciones sobre el manejo de los libros contables por parte de las Operadoras de Pensiones</w:t>
            </w:r>
            <w:r w:rsidRPr="00902A71">
              <w:rPr>
                <w:rFonts w:asciiTheme="minorHAnsi" w:hAnsiTheme="minorHAnsi" w:cstheme="minorHAnsi"/>
              </w:rPr>
              <w:t>”</w:t>
            </w:r>
          </w:p>
          <w:p w14:paraId="7D41FD40" w14:textId="77777777" w:rsidR="006F3BE8" w:rsidRPr="00902A71" w:rsidRDefault="006F3BE8" w:rsidP="003335E6">
            <w:pPr>
              <w:pStyle w:val="Prrafodelista"/>
              <w:numPr>
                <w:ilvl w:val="0"/>
                <w:numId w:val="8"/>
              </w:numPr>
              <w:ind w:left="31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2A71">
              <w:rPr>
                <w:rFonts w:asciiTheme="minorHAnsi" w:hAnsiTheme="minorHAnsi" w:cstheme="minorHAnsi"/>
              </w:rPr>
              <w:t>SP-A-116-2003 “</w:t>
            </w:r>
            <w:r w:rsidRPr="00902A71">
              <w:rPr>
                <w:rFonts w:asciiTheme="minorHAnsi" w:hAnsiTheme="minorHAnsi" w:cstheme="minorHAnsi"/>
                <w:i/>
                <w:iCs/>
              </w:rPr>
              <w:t>Se reforma el oficio SP-887 del 17 de junio del 2002, “Disposiciones sobre la remisión de la información requerida por la Superintendencia de Pensiones”, reformado por Acuerdo SP-A- 042, comunicado mediante oficio SP-2860 del 17 de diciembre de 2003</w:t>
            </w:r>
            <w:r w:rsidRPr="00902A71">
              <w:rPr>
                <w:rFonts w:asciiTheme="minorHAnsi" w:hAnsiTheme="minorHAnsi" w:cstheme="minorHAnsi"/>
              </w:rPr>
              <w:t>”.</w:t>
            </w:r>
          </w:p>
          <w:p w14:paraId="679D7390" w14:textId="77777777" w:rsidR="006F3BE8" w:rsidRPr="00902A71" w:rsidRDefault="006F3BE8" w:rsidP="007970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E674A22" w14:textId="77777777" w:rsidR="003E2975" w:rsidRDefault="006F3BE8" w:rsidP="007970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2A71">
              <w:rPr>
                <w:rFonts w:asciiTheme="minorHAnsi" w:hAnsiTheme="minorHAnsi" w:cstheme="minorHAnsi"/>
              </w:rPr>
              <w:t>Se reforman los acuerdos</w:t>
            </w:r>
            <w:r w:rsidR="003E2975">
              <w:rPr>
                <w:rFonts w:asciiTheme="minorHAnsi" w:hAnsiTheme="minorHAnsi" w:cstheme="minorHAnsi"/>
              </w:rPr>
              <w:t>:</w:t>
            </w:r>
          </w:p>
          <w:p w14:paraId="7B93C6A0" w14:textId="77777777" w:rsidR="003E2975" w:rsidRPr="003E2975" w:rsidRDefault="006F3BE8" w:rsidP="003335E6">
            <w:pPr>
              <w:pStyle w:val="Prrafodelista"/>
              <w:numPr>
                <w:ilvl w:val="0"/>
                <w:numId w:val="8"/>
              </w:numPr>
              <w:ind w:left="315"/>
              <w:jc w:val="both"/>
              <w:cnfStyle w:val="000000100000" w:firstRow="0" w:lastRow="0" w:firstColumn="0" w:lastColumn="0" w:oddVBand="0" w:evenVBand="0" w:oddHBand="1" w:evenHBand="0" w:firstRowFirstColumn="0" w:firstRowLastColumn="0" w:lastRowFirstColumn="0" w:lastRowLastColumn="0"/>
              <w:rPr>
                <w:rFonts w:cstheme="minorHAnsi"/>
              </w:rPr>
            </w:pPr>
            <w:r w:rsidRPr="003E2975">
              <w:rPr>
                <w:rFonts w:cstheme="minorHAnsi"/>
              </w:rPr>
              <w:t>SP-A-049 “</w:t>
            </w:r>
            <w:r w:rsidRPr="003E2975">
              <w:rPr>
                <w:rFonts w:cstheme="minorHAnsi"/>
                <w:i/>
                <w:iCs/>
              </w:rPr>
              <w:t>Disposiciones aplicables a las entidades autorizadas sobre excesos o faltantes de inversión en los fondos administrados y pérdida de requisitos de los valores adquiridos</w:t>
            </w:r>
            <w:r w:rsidRPr="003E2975">
              <w:rPr>
                <w:rFonts w:cstheme="minorHAnsi"/>
              </w:rPr>
              <w:t>”</w:t>
            </w:r>
          </w:p>
          <w:p w14:paraId="6F37E4E1" w14:textId="77777777" w:rsidR="003E2975" w:rsidRPr="003E2975" w:rsidRDefault="006F3BE8" w:rsidP="003335E6">
            <w:pPr>
              <w:pStyle w:val="Prrafodelista"/>
              <w:numPr>
                <w:ilvl w:val="0"/>
                <w:numId w:val="8"/>
              </w:numPr>
              <w:ind w:left="315"/>
              <w:jc w:val="both"/>
              <w:cnfStyle w:val="000000100000" w:firstRow="0" w:lastRow="0" w:firstColumn="0" w:lastColumn="0" w:oddVBand="0" w:evenVBand="0" w:oddHBand="1" w:evenHBand="0" w:firstRowFirstColumn="0" w:firstRowLastColumn="0" w:lastRowFirstColumn="0" w:lastRowLastColumn="0"/>
              <w:rPr>
                <w:rFonts w:cstheme="minorHAnsi"/>
              </w:rPr>
            </w:pPr>
            <w:r w:rsidRPr="003E2975">
              <w:rPr>
                <w:rFonts w:cstheme="minorHAnsi"/>
              </w:rPr>
              <w:lastRenderedPageBreak/>
              <w:t>SP-A-087 “</w:t>
            </w:r>
            <w:r w:rsidRPr="003E2975">
              <w:rPr>
                <w:rFonts w:cstheme="minorHAnsi"/>
                <w:i/>
                <w:iCs/>
              </w:rPr>
              <w:t>Disposiciones generales para la distribución del 50% de las utilidades netas de las operadoras de pensiones a favor de sus afiliados en las cuentas individuales del ROP</w:t>
            </w:r>
            <w:r w:rsidRPr="003E2975">
              <w:rPr>
                <w:rFonts w:cstheme="minorHAnsi"/>
              </w:rPr>
              <w:t>”</w:t>
            </w:r>
          </w:p>
          <w:p w14:paraId="4E547636" w14:textId="77777777" w:rsidR="006F3BE8" w:rsidRPr="003E2975" w:rsidRDefault="006F3BE8" w:rsidP="003335E6">
            <w:pPr>
              <w:pStyle w:val="Prrafodelista"/>
              <w:numPr>
                <w:ilvl w:val="0"/>
                <w:numId w:val="8"/>
              </w:numPr>
              <w:ind w:left="315"/>
              <w:jc w:val="both"/>
              <w:cnfStyle w:val="000000100000" w:firstRow="0" w:lastRow="0" w:firstColumn="0" w:lastColumn="0" w:oddVBand="0" w:evenVBand="0" w:oddHBand="1" w:evenHBand="0" w:firstRowFirstColumn="0" w:firstRowLastColumn="0" w:lastRowFirstColumn="0" w:lastRowLastColumn="0"/>
              <w:rPr>
                <w:rFonts w:cstheme="minorHAnsi"/>
              </w:rPr>
            </w:pPr>
            <w:r w:rsidRPr="003E2975">
              <w:rPr>
                <w:rFonts w:cstheme="minorHAnsi"/>
              </w:rPr>
              <w:t>SP-A-104 “</w:t>
            </w:r>
            <w:r w:rsidRPr="003E2975">
              <w:rPr>
                <w:rFonts w:cstheme="minorHAnsi"/>
                <w:i/>
                <w:iCs/>
              </w:rPr>
              <w:t>Acuerdo para la exención de normas aplicables al fondo de garantías y jubilaciones de los empleados del Banco Central de Costa Rica</w:t>
            </w:r>
            <w:r w:rsidRPr="003E2975">
              <w:rPr>
                <w:rFonts w:cstheme="minorHAnsi"/>
              </w:rPr>
              <w:t>”</w:t>
            </w:r>
          </w:p>
        </w:tc>
      </w:tr>
      <w:tr w:rsidR="006F3BE8" w:rsidRPr="00902A71" w14:paraId="622D481A" w14:textId="77777777" w:rsidTr="003E2975">
        <w:trPr>
          <w:trHeight w:val="456"/>
          <w:jc w:val="center"/>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39545AC" w14:textId="77777777" w:rsidR="006F3BE8" w:rsidRPr="00902A71" w:rsidRDefault="006F3BE8" w:rsidP="007970CA">
            <w:pPr>
              <w:jc w:val="both"/>
              <w:rPr>
                <w:rFonts w:asciiTheme="minorHAnsi" w:eastAsia="Times New Roman" w:hAnsiTheme="minorHAnsi" w:cstheme="minorHAnsi"/>
                <w:color w:val="000000"/>
                <w:lang w:val="es-CR"/>
              </w:rPr>
            </w:pPr>
            <w:r w:rsidRPr="00902A71">
              <w:rPr>
                <w:rFonts w:asciiTheme="minorHAnsi" w:eastAsia="Times New Roman" w:hAnsiTheme="minorHAnsi" w:cstheme="minorHAnsi"/>
                <w:color w:val="000000"/>
                <w:lang w:val="es-CR"/>
              </w:rPr>
              <w:lastRenderedPageBreak/>
              <w:t xml:space="preserve">SP-A-239 - 2021 Derogatoria de acuerdos </w:t>
            </w:r>
          </w:p>
        </w:tc>
        <w:tc>
          <w:tcPr>
            <w:tcW w:w="823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09ECE65" w14:textId="77777777" w:rsidR="00A54C85" w:rsidRDefault="006F3BE8" w:rsidP="003335E6">
            <w:pPr>
              <w:pStyle w:val="Prrafodelista"/>
              <w:numPr>
                <w:ilvl w:val="0"/>
                <w:numId w:val="8"/>
              </w:numPr>
              <w:ind w:left="315"/>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s-CR"/>
              </w:rPr>
            </w:pPr>
            <w:r w:rsidRPr="00902A71">
              <w:rPr>
                <w:rFonts w:asciiTheme="minorHAnsi" w:eastAsia="Times New Roman" w:hAnsiTheme="minorHAnsi" w:cstheme="minorHAnsi"/>
                <w:color w:val="000000"/>
                <w:lang w:val="es-CR"/>
              </w:rPr>
              <w:t>Oficio SP-</w:t>
            </w:r>
            <w:r w:rsidRPr="00A54C85">
              <w:rPr>
                <w:rFonts w:cstheme="minorHAnsi"/>
              </w:rPr>
              <w:t>771</w:t>
            </w:r>
            <w:r w:rsidRPr="00902A71">
              <w:rPr>
                <w:rFonts w:asciiTheme="minorHAnsi" w:eastAsia="Times New Roman" w:hAnsiTheme="minorHAnsi" w:cstheme="minorHAnsi"/>
                <w:color w:val="000000"/>
                <w:lang w:val="es-CR"/>
              </w:rPr>
              <w:t xml:space="preserve">-2000 </w:t>
            </w:r>
            <w:r w:rsidRPr="00BB0AB3">
              <w:rPr>
                <w:rFonts w:asciiTheme="minorHAnsi" w:eastAsia="Times New Roman" w:hAnsiTheme="minorHAnsi" w:cstheme="minorHAnsi"/>
                <w:i/>
                <w:iCs/>
                <w:color w:val="000000"/>
                <w:lang w:val="es-CR"/>
              </w:rPr>
              <w:t>“Circular sobre procedimiento a seguir cuando una organización social delega en una operadora la administración del Fondo de Capitalización Laboral de los asociados que se afiliaron a ella”</w:t>
            </w:r>
          </w:p>
          <w:p w14:paraId="2760DCB9" w14:textId="77777777" w:rsidR="00BB0AB3" w:rsidRDefault="00A54C85" w:rsidP="003335E6">
            <w:pPr>
              <w:pStyle w:val="Prrafodelista"/>
              <w:numPr>
                <w:ilvl w:val="0"/>
                <w:numId w:val="8"/>
              </w:numPr>
              <w:ind w:left="315"/>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s-CR"/>
              </w:rPr>
            </w:pPr>
            <w:r>
              <w:rPr>
                <w:rFonts w:asciiTheme="minorHAnsi" w:eastAsia="Times New Roman" w:hAnsiTheme="minorHAnsi" w:cstheme="minorHAnsi"/>
                <w:color w:val="000000"/>
                <w:lang w:val="es-CR"/>
              </w:rPr>
              <w:t>O</w:t>
            </w:r>
            <w:r w:rsidR="006F3BE8" w:rsidRPr="00902A71">
              <w:rPr>
                <w:rFonts w:asciiTheme="minorHAnsi" w:eastAsia="Times New Roman" w:hAnsiTheme="minorHAnsi" w:cstheme="minorHAnsi"/>
                <w:color w:val="000000"/>
                <w:lang w:val="es-CR"/>
              </w:rPr>
              <w:t xml:space="preserve">ficio SP-935-2000 relativo al procedimiento que deben seguir las organizaciones </w:t>
            </w:r>
            <w:r w:rsidR="00BB0AB3" w:rsidRPr="00902A71">
              <w:rPr>
                <w:rFonts w:asciiTheme="minorHAnsi" w:eastAsia="Times New Roman" w:hAnsiTheme="minorHAnsi" w:cstheme="minorHAnsi"/>
                <w:color w:val="000000"/>
                <w:lang w:val="es-CR"/>
              </w:rPr>
              <w:t>sociales para</w:t>
            </w:r>
            <w:r w:rsidR="006F3BE8" w:rsidRPr="00902A71">
              <w:rPr>
                <w:rFonts w:asciiTheme="minorHAnsi" w:eastAsia="Times New Roman" w:hAnsiTheme="minorHAnsi" w:cstheme="minorHAnsi"/>
                <w:color w:val="000000"/>
                <w:lang w:val="es-CR"/>
              </w:rPr>
              <w:t xml:space="preserve"> delegar en una operadora la administración del Fondo de Capitalización Laboral</w:t>
            </w:r>
          </w:p>
          <w:p w14:paraId="4A006B7D" w14:textId="77777777" w:rsidR="00BB0AB3" w:rsidRDefault="006F3BE8" w:rsidP="003335E6">
            <w:pPr>
              <w:pStyle w:val="Prrafodelista"/>
              <w:numPr>
                <w:ilvl w:val="0"/>
                <w:numId w:val="8"/>
              </w:numPr>
              <w:ind w:left="315"/>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s-CR"/>
              </w:rPr>
            </w:pPr>
            <w:r w:rsidRPr="00902A71">
              <w:rPr>
                <w:rFonts w:asciiTheme="minorHAnsi" w:eastAsia="Times New Roman" w:hAnsiTheme="minorHAnsi" w:cstheme="minorHAnsi"/>
                <w:color w:val="000000"/>
                <w:lang w:val="es-CR"/>
              </w:rPr>
              <w:t xml:space="preserve">Acuerdo SP-A-079 </w:t>
            </w:r>
            <w:r w:rsidRPr="00BB0AB3">
              <w:rPr>
                <w:rFonts w:asciiTheme="minorHAnsi" w:eastAsia="Times New Roman" w:hAnsiTheme="minorHAnsi" w:cstheme="minorHAnsi"/>
                <w:i/>
                <w:iCs/>
                <w:color w:val="000000"/>
                <w:lang w:val="es-CR"/>
              </w:rPr>
              <w:t>“Acuerdo para que los centros educativos, públicos y privados, impartan el curso de Técnico en Asesoría y comercialización de planes previsionales"</w:t>
            </w:r>
          </w:p>
          <w:p w14:paraId="0D2882CA" w14:textId="77777777" w:rsidR="00BB0AB3" w:rsidRPr="00BB0AB3" w:rsidRDefault="006F3BE8" w:rsidP="003335E6">
            <w:pPr>
              <w:pStyle w:val="Prrafodelista"/>
              <w:numPr>
                <w:ilvl w:val="0"/>
                <w:numId w:val="8"/>
              </w:numPr>
              <w:ind w:left="315"/>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s-CR"/>
              </w:rPr>
            </w:pPr>
            <w:r w:rsidRPr="00902A71">
              <w:rPr>
                <w:rFonts w:asciiTheme="minorHAnsi" w:hAnsiTheme="minorHAnsi" w:cstheme="minorHAnsi"/>
                <w:color w:val="000000"/>
              </w:rPr>
              <w:t xml:space="preserve">SP-1904-2008 </w:t>
            </w:r>
            <w:r w:rsidRPr="00902A71">
              <w:rPr>
                <w:rFonts w:asciiTheme="minorHAnsi" w:hAnsiTheme="minorHAnsi" w:cstheme="minorHAnsi"/>
                <w:i/>
                <w:iCs/>
                <w:color w:val="000000"/>
              </w:rPr>
              <w:t>“</w:t>
            </w:r>
            <w:bookmarkStart w:id="23" w:name="_Hlk8303015"/>
            <w:r w:rsidRPr="00902A71">
              <w:rPr>
                <w:rFonts w:asciiTheme="minorHAnsi" w:hAnsiTheme="minorHAnsi" w:cstheme="minorHAnsi"/>
                <w:i/>
                <w:iCs/>
                <w:color w:val="000000"/>
              </w:rPr>
              <w:t>Indicaciones para inscripción de promotores</w:t>
            </w:r>
            <w:bookmarkEnd w:id="23"/>
            <w:r w:rsidRPr="00902A71">
              <w:rPr>
                <w:rFonts w:asciiTheme="minorHAnsi" w:hAnsiTheme="minorHAnsi" w:cstheme="minorHAnsi"/>
                <w:i/>
                <w:iCs/>
                <w:color w:val="000000"/>
              </w:rPr>
              <w:t>”</w:t>
            </w:r>
          </w:p>
          <w:p w14:paraId="662E33D5" w14:textId="77777777" w:rsidR="000B1E4A" w:rsidRPr="000B1E4A" w:rsidRDefault="006F3BE8" w:rsidP="003335E6">
            <w:pPr>
              <w:pStyle w:val="Prrafodelista"/>
              <w:numPr>
                <w:ilvl w:val="0"/>
                <w:numId w:val="8"/>
              </w:numPr>
              <w:ind w:left="315"/>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s-CR"/>
              </w:rPr>
            </w:pPr>
            <w:r w:rsidRPr="00902A71">
              <w:rPr>
                <w:rFonts w:asciiTheme="minorHAnsi" w:hAnsiTheme="minorHAnsi" w:cstheme="minorHAnsi"/>
                <w:color w:val="000000"/>
              </w:rPr>
              <w:t xml:space="preserve">SP-357-2009 </w:t>
            </w:r>
            <w:r w:rsidRPr="00BB0AB3">
              <w:rPr>
                <w:rFonts w:asciiTheme="minorHAnsi" w:hAnsiTheme="minorHAnsi" w:cstheme="minorHAnsi"/>
                <w:i/>
                <w:iCs/>
                <w:color w:val="000000"/>
              </w:rPr>
              <w:t>“Aclaración de procedimiento que deberá seguirse para el registro de los agentes promotores, ante SUPEN.”</w:t>
            </w:r>
          </w:p>
          <w:p w14:paraId="158751EA" w14:textId="77777777" w:rsidR="000B1E4A" w:rsidRDefault="006F3BE8" w:rsidP="003335E6">
            <w:pPr>
              <w:pStyle w:val="Prrafodelista"/>
              <w:numPr>
                <w:ilvl w:val="0"/>
                <w:numId w:val="8"/>
              </w:numPr>
              <w:ind w:left="315"/>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s-CR"/>
              </w:rPr>
            </w:pPr>
            <w:r w:rsidRPr="00902A71">
              <w:rPr>
                <w:rFonts w:asciiTheme="minorHAnsi" w:eastAsia="Times New Roman" w:hAnsiTheme="minorHAnsi" w:cstheme="minorHAnsi"/>
                <w:color w:val="000000"/>
                <w:lang w:val="es-CR"/>
              </w:rPr>
              <w:t xml:space="preserve">Artículos 4, 5, 6, 7, 8 y 12 del Acuerdo SP-A-139-2010 </w:t>
            </w:r>
            <w:r w:rsidRPr="00902A71">
              <w:rPr>
                <w:rFonts w:asciiTheme="minorHAnsi" w:eastAsia="Times New Roman" w:hAnsiTheme="minorHAnsi" w:cstheme="minorHAnsi"/>
                <w:i/>
                <w:iCs/>
                <w:color w:val="000000"/>
                <w:lang w:val="es-CR"/>
              </w:rPr>
              <w:t>“Acuerdo sobre lineamientos para la aprobación y divulgación de comisiones ordinarias de administración y bonificación de comisiones que pueden aplicar las entidades autorizadas”</w:t>
            </w:r>
            <w:r w:rsidRPr="00902A71">
              <w:rPr>
                <w:rFonts w:asciiTheme="minorHAnsi" w:eastAsia="Times New Roman" w:hAnsiTheme="minorHAnsi" w:cstheme="minorHAnsi"/>
                <w:color w:val="000000"/>
                <w:lang w:val="es-CR"/>
              </w:rPr>
              <w:t xml:space="preserve"> </w:t>
            </w:r>
          </w:p>
          <w:p w14:paraId="035E4831" w14:textId="77777777" w:rsidR="000B1E4A" w:rsidRDefault="000B1E4A" w:rsidP="003335E6">
            <w:pPr>
              <w:pStyle w:val="Prrafodelista"/>
              <w:numPr>
                <w:ilvl w:val="0"/>
                <w:numId w:val="8"/>
              </w:numPr>
              <w:ind w:left="315"/>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s-CR"/>
              </w:rPr>
            </w:pPr>
            <w:r>
              <w:rPr>
                <w:rFonts w:asciiTheme="minorHAnsi" w:eastAsia="Times New Roman" w:hAnsiTheme="minorHAnsi" w:cstheme="minorHAnsi"/>
                <w:color w:val="000000"/>
                <w:lang w:val="es-CR"/>
              </w:rPr>
              <w:t>A</w:t>
            </w:r>
            <w:r w:rsidR="006F3BE8" w:rsidRPr="00902A71">
              <w:rPr>
                <w:rFonts w:asciiTheme="minorHAnsi" w:eastAsia="Times New Roman" w:hAnsiTheme="minorHAnsi" w:cstheme="minorHAnsi"/>
                <w:color w:val="000000"/>
                <w:lang w:val="es-CR"/>
              </w:rPr>
              <w:t xml:space="preserve">rtículo 17 del acuerdo SP-A-141 </w:t>
            </w:r>
            <w:r w:rsidR="006F3BE8" w:rsidRPr="00902A71">
              <w:rPr>
                <w:rFonts w:asciiTheme="minorHAnsi" w:eastAsia="Times New Roman" w:hAnsiTheme="minorHAnsi" w:cstheme="minorHAnsi"/>
                <w:i/>
                <w:iCs/>
                <w:color w:val="000000"/>
                <w:lang w:val="es-CR"/>
              </w:rPr>
              <w:t>“Disposiciones relativas a las modalidades de pensión para el Régimen Complementario de Pensiones de Capitalización Individual”</w:t>
            </w:r>
          </w:p>
          <w:p w14:paraId="53042C88" w14:textId="77777777" w:rsidR="006F3BE8" w:rsidRPr="00902A71" w:rsidRDefault="006F3BE8" w:rsidP="003335E6">
            <w:pPr>
              <w:pStyle w:val="Prrafodelista"/>
              <w:numPr>
                <w:ilvl w:val="0"/>
                <w:numId w:val="8"/>
              </w:numPr>
              <w:ind w:left="315"/>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s-CR"/>
              </w:rPr>
            </w:pPr>
            <w:r w:rsidRPr="00902A71">
              <w:rPr>
                <w:rFonts w:asciiTheme="minorHAnsi" w:eastAsia="Times New Roman" w:hAnsiTheme="minorHAnsi" w:cstheme="minorHAnsi"/>
                <w:color w:val="000000"/>
                <w:lang w:val="es-CR"/>
              </w:rPr>
              <w:t xml:space="preserve">SP-357-2009, del 16 de febrero de 2009, </w:t>
            </w:r>
            <w:r w:rsidRPr="000B1E4A">
              <w:rPr>
                <w:rFonts w:asciiTheme="minorHAnsi" w:eastAsia="Times New Roman" w:hAnsiTheme="minorHAnsi" w:cstheme="minorHAnsi"/>
                <w:i/>
                <w:iCs/>
                <w:color w:val="000000"/>
                <w:lang w:val="es-CR"/>
              </w:rPr>
              <w:t>“Aclaración de procedimiento que deberá seguirse para el registro de los agentes promotores, ante SUPEN.”</w:t>
            </w:r>
          </w:p>
        </w:tc>
      </w:tr>
      <w:tr w:rsidR="006F3BE8" w:rsidRPr="00902A71" w14:paraId="7738059A" w14:textId="77777777" w:rsidTr="003E2975">
        <w:trPr>
          <w:cnfStyle w:val="000000100000" w:firstRow="0" w:lastRow="0" w:firstColumn="0" w:lastColumn="0" w:oddVBand="0" w:evenVBand="0" w:oddHBand="1" w:evenHBand="0" w:firstRowFirstColumn="0" w:firstRowLastColumn="0" w:lastRowFirstColumn="0" w:lastRowLastColumn="0"/>
          <w:trHeight w:val="456"/>
          <w:jc w:val="center"/>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E340075" w14:textId="77777777" w:rsidR="006F3BE8" w:rsidRPr="00902A71" w:rsidRDefault="006F3BE8" w:rsidP="007970CA">
            <w:pPr>
              <w:jc w:val="both"/>
              <w:rPr>
                <w:rFonts w:asciiTheme="minorHAnsi" w:eastAsia="Times New Roman" w:hAnsiTheme="minorHAnsi" w:cstheme="minorHAnsi"/>
                <w:color w:val="000000"/>
                <w:lang w:val="es-CR"/>
              </w:rPr>
            </w:pPr>
            <w:r w:rsidRPr="00902A71">
              <w:rPr>
                <w:rFonts w:asciiTheme="minorHAnsi" w:eastAsia="Times New Roman" w:hAnsiTheme="minorHAnsi" w:cstheme="minorHAnsi"/>
                <w:color w:val="000000"/>
                <w:lang w:val="es-CR"/>
              </w:rPr>
              <w:t>SP-A-240-2021</w:t>
            </w:r>
          </w:p>
        </w:tc>
        <w:tc>
          <w:tcPr>
            <w:tcW w:w="823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C0281BD" w14:textId="77777777" w:rsidR="006F3BE8" w:rsidRPr="00902A71" w:rsidRDefault="006F3BE8" w:rsidP="007970CA">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s-CR"/>
              </w:rPr>
            </w:pPr>
            <w:r w:rsidRPr="00902A71">
              <w:rPr>
                <w:rFonts w:asciiTheme="minorHAnsi" w:eastAsia="Times New Roman" w:hAnsiTheme="minorHAnsi" w:cstheme="minorHAnsi"/>
                <w:color w:val="000000"/>
                <w:lang w:val="es-CR"/>
              </w:rPr>
              <w:t>Guía de Capacitación para los agentes promotores de las Operadoras de Pensiones, la cual será utilizada por las operadoras.</w:t>
            </w:r>
          </w:p>
        </w:tc>
      </w:tr>
      <w:tr w:rsidR="006F3BE8" w:rsidRPr="00902A71" w14:paraId="1AB6E04D" w14:textId="77777777" w:rsidTr="003E2975">
        <w:trPr>
          <w:trHeight w:val="456"/>
          <w:jc w:val="center"/>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B3BCBE6" w14:textId="77777777" w:rsidR="006F3BE8" w:rsidRPr="00902A71" w:rsidRDefault="006F3BE8" w:rsidP="007970CA">
            <w:pPr>
              <w:jc w:val="both"/>
              <w:rPr>
                <w:rFonts w:asciiTheme="minorHAnsi" w:eastAsia="Times New Roman" w:hAnsiTheme="minorHAnsi" w:cstheme="minorHAnsi"/>
                <w:color w:val="000000"/>
                <w:lang w:val="es-CR"/>
              </w:rPr>
            </w:pPr>
            <w:r w:rsidRPr="00902A71">
              <w:rPr>
                <w:rFonts w:asciiTheme="minorHAnsi" w:eastAsia="Times New Roman" w:hAnsiTheme="minorHAnsi" w:cstheme="minorHAnsi"/>
                <w:color w:val="000000"/>
                <w:lang w:val="es-CR"/>
              </w:rPr>
              <w:t>SP-A-241-2021</w:t>
            </w:r>
          </w:p>
        </w:tc>
        <w:tc>
          <w:tcPr>
            <w:tcW w:w="823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00A0037" w14:textId="77777777" w:rsidR="006F3BE8" w:rsidRPr="00902A71" w:rsidRDefault="006F3BE8" w:rsidP="007970CA">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s-CR"/>
              </w:rPr>
            </w:pPr>
            <w:r w:rsidRPr="00902A71">
              <w:rPr>
                <w:rFonts w:asciiTheme="minorHAnsi" w:eastAsia="Times New Roman" w:hAnsiTheme="minorHAnsi" w:cstheme="minorHAnsi"/>
                <w:color w:val="000000"/>
                <w:lang w:val="es-CR"/>
              </w:rPr>
              <w:t>Contenido mínimo de los planes y contratos sujetos a la autorización y aprobación de la Superintendencia de Pensiones.</w:t>
            </w:r>
          </w:p>
        </w:tc>
      </w:tr>
      <w:tr w:rsidR="006F3BE8" w:rsidRPr="00902A71" w14:paraId="5699C510" w14:textId="77777777" w:rsidTr="003E2975">
        <w:trPr>
          <w:cnfStyle w:val="000000100000" w:firstRow="0" w:lastRow="0" w:firstColumn="0" w:lastColumn="0" w:oddVBand="0" w:evenVBand="0" w:oddHBand="1" w:evenHBand="0" w:firstRowFirstColumn="0" w:firstRowLastColumn="0" w:lastRowFirstColumn="0" w:lastRowLastColumn="0"/>
          <w:trHeight w:val="456"/>
          <w:jc w:val="center"/>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4C7A4CA" w14:textId="77777777" w:rsidR="006F3BE8" w:rsidRPr="00902A71" w:rsidRDefault="006F3BE8" w:rsidP="007970CA">
            <w:pPr>
              <w:jc w:val="both"/>
              <w:rPr>
                <w:rFonts w:asciiTheme="minorHAnsi" w:eastAsia="Times New Roman" w:hAnsiTheme="minorHAnsi" w:cstheme="minorHAnsi"/>
                <w:color w:val="000000"/>
                <w:lang w:val="es-CR"/>
              </w:rPr>
            </w:pPr>
            <w:r w:rsidRPr="00902A71">
              <w:rPr>
                <w:rFonts w:asciiTheme="minorHAnsi" w:eastAsia="Times New Roman" w:hAnsiTheme="minorHAnsi" w:cstheme="minorHAnsi"/>
                <w:color w:val="000000"/>
                <w:lang w:val="es-CR"/>
              </w:rPr>
              <w:t>SP-A-242-2021</w:t>
            </w:r>
          </w:p>
        </w:tc>
        <w:tc>
          <w:tcPr>
            <w:tcW w:w="823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A09D76A" w14:textId="77777777" w:rsidR="006F3BE8" w:rsidRPr="00902A71" w:rsidRDefault="006F3BE8" w:rsidP="007970CA">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s-CR"/>
              </w:rPr>
            </w:pPr>
            <w:r w:rsidRPr="00902A71">
              <w:rPr>
                <w:rFonts w:asciiTheme="minorHAnsi" w:eastAsia="Times New Roman" w:hAnsiTheme="minorHAnsi" w:cstheme="minorHAnsi"/>
                <w:color w:val="000000"/>
                <w:lang w:val="es-CR"/>
              </w:rPr>
              <w:t>Proceso de evaluación de los agentes promotores y características de las credenciales de identificación de los agentes promotores.</w:t>
            </w:r>
          </w:p>
        </w:tc>
      </w:tr>
    </w:tbl>
    <w:p w14:paraId="6429E28F" w14:textId="77777777" w:rsidR="00E56E1E" w:rsidRDefault="00AD50FA" w:rsidP="00BB6061">
      <w:pPr>
        <w:pStyle w:val="Descripcin"/>
        <w:spacing w:after="0"/>
      </w:pPr>
      <w:r>
        <w:t xml:space="preserve">Fuente: Elaboración propia </w:t>
      </w:r>
    </w:p>
    <w:sectPr w:rsidR="00E56E1E" w:rsidSect="0050694B">
      <w:pgSz w:w="12240" w:h="15840"/>
      <w:pgMar w:top="1276"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7249A" w14:textId="77777777" w:rsidR="002C0BD2" w:rsidRDefault="002C0BD2" w:rsidP="00700711">
      <w:pPr>
        <w:spacing w:after="0" w:line="240" w:lineRule="auto"/>
      </w:pPr>
      <w:r>
        <w:separator/>
      </w:r>
    </w:p>
  </w:endnote>
  <w:endnote w:type="continuationSeparator" w:id="0">
    <w:p w14:paraId="2473D906" w14:textId="77777777" w:rsidR="002C0BD2" w:rsidRDefault="002C0BD2" w:rsidP="00700711">
      <w:pPr>
        <w:spacing w:after="0" w:line="240" w:lineRule="auto"/>
      </w:pPr>
      <w:r>
        <w:continuationSeparator/>
      </w:r>
    </w:p>
  </w:endnote>
  <w:endnote w:type="continuationNotice" w:id="1">
    <w:p w14:paraId="1056DE39" w14:textId="77777777" w:rsidR="002C0BD2" w:rsidRDefault="002C0B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012BE" w14:textId="77777777" w:rsidR="00533777" w:rsidRPr="00BE078A" w:rsidRDefault="00533777" w:rsidP="00EC0F17">
    <w:pPr>
      <w:pStyle w:val="Piedepgina"/>
      <w:pBdr>
        <w:top w:val="single" w:sz="4" w:space="1" w:color="auto"/>
      </w:pBdr>
      <w:rPr>
        <w:szCs w:val="24"/>
      </w:rPr>
    </w:pPr>
    <w:r>
      <w:rPr>
        <w:i/>
        <w:szCs w:val="24"/>
      </w:rPr>
      <w:t>Teléfono 2243-4400</w:t>
    </w:r>
    <w:r>
      <w:rPr>
        <w:i/>
        <w:szCs w:val="24"/>
      </w:rPr>
      <w:tab/>
      <w:t>Fax 2243-4444</w:t>
    </w:r>
    <w:r>
      <w:rPr>
        <w:i/>
        <w:szCs w:val="24"/>
      </w:rPr>
      <w:tab/>
    </w:r>
    <w:hyperlink r:id="rId1" w:history="1">
      <w:r>
        <w:rPr>
          <w:rStyle w:val="Hipervnculo"/>
          <w:i/>
          <w:szCs w:val="24"/>
        </w:rPr>
        <w:t>supen@supen.fi.cr</w:t>
      </w:r>
    </w:hyperlink>
  </w:p>
  <w:p w14:paraId="598BCACE" w14:textId="77777777" w:rsidR="00533777" w:rsidRDefault="00533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5696F" w14:textId="77777777" w:rsidR="002C0BD2" w:rsidRDefault="002C0BD2" w:rsidP="00700711">
      <w:pPr>
        <w:spacing w:after="0" w:line="240" w:lineRule="auto"/>
      </w:pPr>
      <w:r>
        <w:separator/>
      </w:r>
    </w:p>
  </w:footnote>
  <w:footnote w:type="continuationSeparator" w:id="0">
    <w:p w14:paraId="3D0A86DD" w14:textId="77777777" w:rsidR="002C0BD2" w:rsidRDefault="002C0BD2" w:rsidP="00700711">
      <w:pPr>
        <w:spacing w:after="0" w:line="240" w:lineRule="auto"/>
      </w:pPr>
      <w:r>
        <w:continuationSeparator/>
      </w:r>
    </w:p>
  </w:footnote>
  <w:footnote w:type="continuationNotice" w:id="1">
    <w:p w14:paraId="1D473A40" w14:textId="77777777" w:rsidR="002C0BD2" w:rsidRDefault="002C0BD2">
      <w:pPr>
        <w:spacing w:after="0" w:line="240" w:lineRule="auto"/>
      </w:pPr>
    </w:p>
  </w:footnote>
  <w:footnote w:id="2">
    <w:p w14:paraId="50927D8B" w14:textId="77777777" w:rsidR="00905EA2" w:rsidRPr="00905EA2" w:rsidRDefault="00905EA2" w:rsidP="004B2BE0">
      <w:pPr>
        <w:pStyle w:val="Textonotapie"/>
        <w:spacing w:after="0" w:line="240" w:lineRule="auto"/>
        <w:jc w:val="both"/>
        <w:rPr>
          <w:lang w:val="es-CR"/>
        </w:rPr>
      </w:pPr>
      <w:r>
        <w:rPr>
          <w:rStyle w:val="Refdenotaalpie"/>
        </w:rPr>
        <w:footnoteRef/>
      </w:r>
      <w:r>
        <w:t xml:space="preserve"> </w:t>
      </w:r>
      <w:r>
        <w:rPr>
          <w:lang w:val="es-CR"/>
        </w:rPr>
        <w:t>Este porcentaje es me</w:t>
      </w:r>
      <w:r w:rsidR="00207315">
        <w:rPr>
          <w:lang w:val="es-CR"/>
        </w:rPr>
        <w:t>n</w:t>
      </w:r>
      <w:r>
        <w:rPr>
          <w:lang w:val="es-CR"/>
        </w:rPr>
        <w:t>or al presentado en el informe al CONASSIF</w:t>
      </w:r>
      <w:r w:rsidR="00B46A1B">
        <w:rPr>
          <w:lang w:val="es-CR"/>
        </w:rPr>
        <w:t xml:space="preserve"> con corte a</w:t>
      </w:r>
      <w:r>
        <w:rPr>
          <w:lang w:val="es-CR"/>
        </w:rPr>
        <w:t xml:space="preserve"> diciembre 2020 </w:t>
      </w:r>
      <w:r w:rsidR="00A72605">
        <w:rPr>
          <w:lang w:val="es-CR"/>
        </w:rPr>
        <w:t>(48,8%)</w:t>
      </w:r>
      <w:r w:rsidR="00207315">
        <w:rPr>
          <w:lang w:val="es-CR"/>
        </w:rPr>
        <w:t xml:space="preserve"> debido a que</w:t>
      </w:r>
      <w:r w:rsidR="00A72605">
        <w:rPr>
          <w:lang w:val="es-CR"/>
        </w:rPr>
        <w:t xml:space="preserve"> los datos del PIB para diciembre fueron actualizados</w:t>
      </w:r>
      <w:r w:rsidR="00CF4EA3">
        <w:rPr>
          <w:lang w:val="es-CR"/>
        </w:rPr>
        <w:t xml:space="preserve"> pasando de </w:t>
      </w:r>
      <w:r w:rsidR="006B6C05" w:rsidRPr="00EA18A1">
        <w:t>₡</w:t>
      </w:r>
      <w:r w:rsidR="00CF4EA3" w:rsidRPr="00CF4EA3">
        <w:rPr>
          <w:lang w:val="es-CR"/>
        </w:rPr>
        <w:t>34</w:t>
      </w:r>
      <w:r w:rsidR="00CF4EA3">
        <w:rPr>
          <w:lang w:val="es-CR"/>
        </w:rPr>
        <w:t> </w:t>
      </w:r>
      <w:r w:rsidR="00CF4EA3" w:rsidRPr="00CF4EA3">
        <w:rPr>
          <w:lang w:val="es-CR"/>
        </w:rPr>
        <w:t>859</w:t>
      </w:r>
      <w:r w:rsidR="00207315">
        <w:rPr>
          <w:lang w:val="es-CR"/>
        </w:rPr>
        <w:t> </w:t>
      </w:r>
      <w:r w:rsidR="00CF4EA3" w:rsidRPr="00CF4EA3">
        <w:rPr>
          <w:lang w:val="es-CR"/>
        </w:rPr>
        <w:t>047</w:t>
      </w:r>
      <w:r w:rsidR="00207315">
        <w:rPr>
          <w:lang w:val="es-CR"/>
        </w:rPr>
        <w:t xml:space="preserve"> a </w:t>
      </w:r>
      <w:r w:rsidR="006B6C05" w:rsidRPr="00EA18A1">
        <w:t>₡</w:t>
      </w:r>
      <w:r w:rsidR="00207315" w:rsidRPr="00207315">
        <w:rPr>
          <w:lang w:val="es-CR"/>
        </w:rPr>
        <w:t>35 983</w:t>
      </w:r>
      <w:r w:rsidR="006B6C05">
        <w:rPr>
          <w:lang w:val="es-CR"/>
        </w:rPr>
        <w:t> </w:t>
      </w:r>
      <w:r w:rsidR="00207315" w:rsidRPr="00207315">
        <w:rPr>
          <w:lang w:val="es-CR"/>
        </w:rPr>
        <w:t>495</w:t>
      </w:r>
      <w:r w:rsidR="006B6C05">
        <w:rPr>
          <w:lang w:val="es-CR"/>
        </w:rPr>
        <w:t xml:space="preserve"> millones. </w:t>
      </w:r>
      <w:r w:rsidR="00121885">
        <w:rPr>
          <w:lang w:val="es-CR"/>
        </w:rPr>
        <w:t>Además</w:t>
      </w:r>
      <w:r w:rsidR="009336BC">
        <w:rPr>
          <w:lang w:val="es-CR"/>
        </w:rPr>
        <w:t>,</w:t>
      </w:r>
      <w:r w:rsidR="00121885">
        <w:rPr>
          <w:lang w:val="es-CR"/>
        </w:rPr>
        <w:t xml:space="preserve"> el PIB </w:t>
      </w:r>
      <w:r w:rsidR="009336BC">
        <w:rPr>
          <w:lang w:val="es-CR"/>
        </w:rPr>
        <w:t>del 2021</w:t>
      </w:r>
      <w:r w:rsidR="00121885">
        <w:rPr>
          <w:lang w:val="es-CR"/>
        </w:rPr>
        <w:t xml:space="preserve"> </w:t>
      </w:r>
      <w:r w:rsidR="00B46A1B">
        <w:rPr>
          <w:lang w:val="es-CR"/>
        </w:rPr>
        <w:t>se ubica</w:t>
      </w:r>
      <w:r w:rsidR="00E82E6D">
        <w:rPr>
          <w:lang w:val="es-CR"/>
        </w:rPr>
        <w:t xml:space="preserve"> en </w:t>
      </w:r>
      <w:r w:rsidR="006B6C05" w:rsidRPr="00EA18A1">
        <w:t>₡</w:t>
      </w:r>
      <w:r w:rsidR="009336BC" w:rsidRPr="009336BC">
        <w:rPr>
          <w:lang w:val="es-CR"/>
        </w:rPr>
        <w:t>37 454</w:t>
      </w:r>
      <w:r w:rsidR="006B6C05">
        <w:rPr>
          <w:lang w:val="es-CR"/>
        </w:rPr>
        <w:t> </w:t>
      </w:r>
      <w:r w:rsidR="009336BC" w:rsidRPr="009336BC">
        <w:rPr>
          <w:lang w:val="es-CR"/>
        </w:rPr>
        <w:t>908</w:t>
      </w:r>
      <w:r w:rsidR="006B6C05">
        <w:rPr>
          <w:lang w:val="es-CR"/>
        </w:rPr>
        <w:t xml:space="preserve"> millones</w:t>
      </w:r>
      <w:r w:rsidR="009336BC">
        <w:rPr>
          <w:lang w:val="es-C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B7746" w14:textId="77777777" w:rsidR="00533777" w:rsidRDefault="00533777" w:rsidP="00EC0F17">
    <w:pPr>
      <w:pStyle w:val="Encabezado"/>
      <w:jc w:val="both"/>
    </w:pPr>
    <w:r>
      <w:rPr>
        <w:noProof/>
      </w:rPr>
      <w:drawing>
        <wp:anchor distT="0" distB="0" distL="114300" distR="114300" simplePos="0" relativeHeight="251658241" behindDoc="0" locked="0" layoutInCell="1" allowOverlap="1" wp14:anchorId="650CA359" wp14:editId="30E38299">
          <wp:simplePos x="0" y="0"/>
          <wp:positionH relativeFrom="margin">
            <wp:align>right</wp:align>
          </wp:positionH>
          <wp:positionV relativeFrom="paragraph">
            <wp:posOffset>-164694</wp:posOffset>
          </wp:positionV>
          <wp:extent cx="950595" cy="615315"/>
          <wp:effectExtent l="0" t="0" r="1905"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50595" cy="615315"/>
                  </a:xfrm>
                  <a:prstGeom prst="rect">
                    <a:avLst/>
                  </a:prstGeom>
                </pic:spPr>
              </pic:pic>
            </a:graphicData>
          </a:graphic>
        </wp:anchor>
      </w:drawing>
    </w:r>
    <w:r>
      <w:rPr>
        <w:noProof/>
        <w:lang w:eastAsia="es-ES"/>
      </w:rPr>
      <w:drawing>
        <wp:anchor distT="0" distB="0" distL="114300" distR="114300" simplePos="0" relativeHeight="251658240" behindDoc="1" locked="0" layoutInCell="1" allowOverlap="1" wp14:anchorId="2315E553" wp14:editId="1A0B6E68">
          <wp:simplePos x="0" y="0"/>
          <wp:positionH relativeFrom="page">
            <wp:posOffset>812165</wp:posOffset>
          </wp:positionH>
          <wp:positionV relativeFrom="page">
            <wp:posOffset>184150</wp:posOffset>
          </wp:positionV>
          <wp:extent cx="1945005" cy="899795"/>
          <wp:effectExtent l="0" t="0" r="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8997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700DD"/>
    <w:multiLevelType w:val="multilevel"/>
    <w:tmpl w:val="41A84FCE"/>
    <w:lvl w:ilvl="0">
      <w:start w:val="1"/>
      <w:numFmt w:val="decimal"/>
      <w:lvlText w:val="%1."/>
      <w:lvlJc w:val="left"/>
      <w:pPr>
        <w:ind w:left="360" w:hanging="360"/>
      </w:pPr>
    </w:lvl>
    <w:lvl w:ilvl="1">
      <w:start w:val="1"/>
      <w:numFmt w:val="decimal"/>
      <w:lvlText w:val="%1.%2."/>
      <w:lvlJc w:val="left"/>
      <w:pPr>
        <w:ind w:left="792" w:hanging="432"/>
      </w:pPr>
      <w:rPr>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875A47"/>
    <w:multiLevelType w:val="hybridMultilevel"/>
    <w:tmpl w:val="5AD074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ACA405D"/>
    <w:multiLevelType w:val="hybridMultilevel"/>
    <w:tmpl w:val="E3B898A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 w15:restartNumberingAfterBreak="0">
    <w:nsid w:val="308B0DD3"/>
    <w:multiLevelType w:val="multilevel"/>
    <w:tmpl w:val="1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3628487D"/>
    <w:multiLevelType w:val="hybridMultilevel"/>
    <w:tmpl w:val="41FA7A9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65E6A22"/>
    <w:multiLevelType w:val="hybridMultilevel"/>
    <w:tmpl w:val="F356E1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4A9B728E"/>
    <w:multiLevelType w:val="hybridMultilevel"/>
    <w:tmpl w:val="FF04D96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4C617452"/>
    <w:multiLevelType w:val="hybridMultilevel"/>
    <w:tmpl w:val="73F86232"/>
    <w:lvl w:ilvl="0" w:tplc="D5A4A848">
      <w:start w:val="1"/>
      <w:numFmt w:val="bullet"/>
      <w:lvlText w:val="­"/>
      <w:lvlJc w:val="left"/>
      <w:pPr>
        <w:ind w:left="720" w:hanging="360"/>
      </w:pPr>
      <w:rPr>
        <w:rFonts w:ascii="Courier New" w:hAnsi="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64E74DEE"/>
    <w:multiLevelType w:val="hybridMultilevel"/>
    <w:tmpl w:val="AC142E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682E077F"/>
    <w:multiLevelType w:val="hybridMultilevel"/>
    <w:tmpl w:val="9A228D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70D2773B"/>
    <w:multiLevelType w:val="hybridMultilevel"/>
    <w:tmpl w:val="BFF6E73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751B70B1"/>
    <w:multiLevelType w:val="hybridMultilevel"/>
    <w:tmpl w:val="5A26F1BE"/>
    <w:lvl w:ilvl="0" w:tplc="140A000F">
      <w:start w:val="1"/>
      <w:numFmt w:val="decimal"/>
      <w:lvlText w:val="%1."/>
      <w:lvlJc w:val="left"/>
      <w:pPr>
        <w:ind w:left="720" w:hanging="360"/>
      </w:pPr>
    </w:lvl>
    <w:lvl w:ilvl="1" w:tplc="B1187172">
      <w:start w:val="1"/>
      <w:numFmt w:val="lowerLetter"/>
      <w:lvlText w:val="%2."/>
      <w:lvlJc w:val="left"/>
      <w:pPr>
        <w:ind w:left="1785" w:hanging="705"/>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777504D"/>
    <w:multiLevelType w:val="hybridMultilevel"/>
    <w:tmpl w:val="A8F2CA2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8"/>
  </w:num>
  <w:num w:numId="6">
    <w:abstractNumId w:val="5"/>
  </w:num>
  <w:num w:numId="7">
    <w:abstractNumId w:val="12"/>
  </w:num>
  <w:num w:numId="8">
    <w:abstractNumId w:val="9"/>
  </w:num>
  <w:num w:numId="9">
    <w:abstractNumId w:val="11"/>
  </w:num>
  <w:num w:numId="10">
    <w:abstractNumId w:val="10"/>
  </w:num>
  <w:num w:numId="11">
    <w:abstractNumId w:val="2"/>
  </w:num>
  <w:num w:numId="12">
    <w:abstractNumId w:val="3"/>
  </w:num>
  <w:num w:numId="13">
    <w:abstractNumId w:val="3"/>
  </w:num>
  <w:num w:numId="14">
    <w:abstractNumId w:val="4"/>
  </w:num>
  <w:num w:numId="15">
    <w:abstractNumId w:val="1"/>
  </w:num>
  <w:num w:numId="16">
    <w:abstractNumId w:val="3"/>
  </w:num>
  <w:num w:numId="17">
    <w:abstractNumId w:val="3"/>
  </w:num>
  <w:num w:numId="18">
    <w:abstractNumId w:val="3"/>
  </w:num>
  <w:num w:numId="19">
    <w:abstractNumId w:val="3"/>
  </w:num>
  <w:num w:numId="20">
    <w:abstractNumId w:val="3"/>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B8"/>
    <w:rsid w:val="00000C6E"/>
    <w:rsid w:val="000014E8"/>
    <w:rsid w:val="00002349"/>
    <w:rsid w:val="000027C1"/>
    <w:rsid w:val="0000342F"/>
    <w:rsid w:val="00004749"/>
    <w:rsid w:val="00004C84"/>
    <w:rsid w:val="00005F05"/>
    <w:rsid w:val="00005FF5"/>
    <w:rsid w:val="00006851"/>
    <w:rsid w:val="0000725F"/>
    <w:rsid w:val="00007615"/>
    <w:rsid w:val="000076D9"/>
    <w:rsid w:val="00007C43"/>
    <w:rsid w:val="00010027"/>
    <w:rsid w:val="00010148"/>
    <w:rsid w:val="000109F7"/>
    <w:rsid w:val="00012B8D"/>
    <w:rsid w:val="00013812"/>
    <w:rsid w:val="00013FDF"/>
    <w:rsid w:val="0001437B"/>
    <w:rsid w:val="000144FD"/>
    <w:rsid w:val="00014AA3"/>
    <w:rsid w:val="00014C2C"/>
    <w:rsid w:val="0001719A"/>
    <w:rsid w:val="000174F3"/>
    <w:rsid w:val="00017C11"/>
    <w:rsid w:val="00017D63"/>
    <w:rsid w:val="00017E6B"/>
    <w:rsid w:val="000213A9"/>
    <w:rsid w:val="00021969"/>
    <w:rsid w:val="00021BD0"/>
    <w:rsid w:val="00022164"/>
    <w:rsid w:val="00023E90"/>
    <w:rsid w:val="000249CC"/>
    <w:rsid w:val="00025208"/>
    <w:rsid w:val="000252E5"/>
    <w:rsid w:val="00025303"/>
    <w:rsid w:val="000258BA"/>
    <w:rsid w:val="00025BE7"/>
    <w:rsid w:val="00025EB5"/>
    <w:rsid w:val="000268A8"/>
    <w:rsid w:val="00026C62"/>
    <w:rsid w:val="00026D15"/>
    <w:rsid w:val="0002700B"/>
    <w:rsid w:val="000274AC"/>
    <w:rsid w:val="00027AD4"/>
    <w:rsid w:val="000305CD"/>
    <w:rsid w:val="00030EE8"/>
    <w:rsid w:val="00033313"/>
    <w:rsid w:val="00033E42"/>
    <w:rsid w:val="00034065"/>
    <w:rsid w:val="00036FAC"/>
    <w:rsid w:val="00040FCB"/>
    <w:rsid w:val="00041A3A"/>
    <w:rsid w:val="00041F6B"/>
    <w:rsid w:val="00041F73"/>
    <w:rsid w:val="00042EFB"/>
    <w:rsid w:val="0004595A"/>
    <w:rsid w:val="00045B13"/>
    <w:rsid w:val="0004607D"/>
    <w:rsid w:val="000466A7"/>
    <w:rsid w:val="00046CEA"/>
    <w:rsid w:val="00050388"/>
    <w:rsid w:val="00050943"/>
    <w:rsid w:val="00050CDB"/>
    <w:rsid w:val="00050EAC"/>
    <w:rsid w:val="00050F7B"/>
    <w:rsid w:val="00051A66"/>
    <w:rsid w:val="000521BC"/>
    <w:rsid w:val="00052CB6"/>
    <w:rsid w:val="0005363C"/>
    <w:rsid w:val="000559A5"/>
    <w:rsid w:val="00055F85"/>
    <w:rsid w:val="00060865"/>
    <w:rsid w:val="00060A18"/>
    <w:rsid w:val="00060D93"/>
    <w:rsid w:val="00061536"/>
    <w:rsid w:val="0006180F"/>
    <w:rsid w:val="000623D4"/>
    <w:rsid w:val="00063D13"/>
    <w:rsid w:val="000645FF"/>
    <w:rsid w:val="00064DC3"/>
    <w:rsid w:val="0006544A"/>
    <w:rsid w:val="00065C2A"/>
    <w:rsid w:val="00072725"/>
    <w:rsid w:val="000728C9"/>
    <w:rsid w:val="00074018"/>
    <w:rsid w:val="00076588"/>
    <w:rsid w:val="0007700D"/>
    <w:rsid w:val="00077082"/>
    <w:rsid w:val="0007719F"/>
    <w:rsid w:val="00077586"/>
    <w:rsid w:val="00077B65"/>
    <w:rsid w:val="00077C34"/>
    <w:rsid w:val="00080E72"/>
    <w:rsid w:val="000822BD"/>
    <w:rsid w:val="0008275F"/>
    <w:rsid w:val="00082B26"/>
    <w:rsid w:val="00082CA5"/>
    <w:rsid w:val="0008483B"/>
    <w:rsid w:val="00084C45"/>
    <w:rsid w:val="00085DDD"/>
    <w:rsid w:val="000863D0"/>
    <w:rsid w:val="00086546"/>
    <w:rsid w:val="00087083"/>
    <w:rsid w:val="00087575"/>
    <w:rsid w:val="0009014F"/>
    <w:rsid w:val="00090AA7"/>
    <w:rsid w:val="00091992"/>
    <w:rsid w:val="00092454"/>
    <w:rsid w:val="00092EB8"/>
    <w:rsid w:val="000938B2"/>
    <w:rsid w:val="000941CA"/>
    <w:rsid w:val="00094629"/>
    <w:rsid w:val="000949B3"/>
    <w:rsid w:val="0009547F"/>
    <w:rsid w:val="00095920"/>
    <w:rsid w:val="000963CD"/>
    <w:rsid w:val="000969D3"/>
    <w:rsid w:val="00096F4F"/>
    <w:rsid w:val="00097008"/>
    <w:rsid w:val="000A0944"/>
    <w:rsid w:val="000A0AD4"/>
    <w:rsid w:val="000A0EF8"/>
    <w:rsid w:val="000A1835"/>
    <w:rsid w:val="000A2026"/>
    <w:rsid w:val="000A2E38"/>
    <w:rsid w:val="000A35F6"/>
    <w:rsid w:val="000A52E2"/>
    <w:rsid w:val="000A5C90"/>
    <w:rsid w:val="000A603D"/>
    <w:rsid w:val="000A60AE"/>
    <w:rsid w:val="000B0279"/>
    <w:rsid w:val="000B02C5"/>
    <w:rsid w:val="000B0847"/>
    <w:rsid w:val="000B0F90"/>
    <w:rsid w:val="000B1531"/>
    <w:rsid w:val="000B1E4A"/>
    <w:rsid w:val="000B3887"/>
    <w:rsid w:val="000B3ABA"/>
    <w:rsid w:val="000B3AC2"/>
    <w:rsid w:val="000B62C1"/>
    <w:rsid w:val="000B70A6"/>
    <w:rsid w:val="000C051C"/>
    <w:rsid w:val="000C2212"/>
    <w:rsid w:val="000C2E69"/>
    <w:rsid w:val="000C37E4"/>
    <w:rsid w:val="000C39CB"/>
    <w:rsid w:val="000C3D87"/>
    <w:rsid w:val="000C4783"/>
    <w:rsid w:val="000C573D"/>
    <w:rsid w:val="000C5DB8"/>
    <w:rsid w:val="000C6C6E"/>
    <w:rsid w:val="000C70AB"/>
    <w:rsid w:val="000C7F12"/>
    <w:rsid w:val="000D0158"/>
    <w:rsid w:val="000D0956"/>
    <w:rsid w:val="000D3119"/>
    <w:rsid w:val="000D3D97"/>
    <w:rsid w:val="000D5DDF"/>
    <w:rsid w:val="000D6125"/>
    <w:rsid w:val="000D6726"/>
    <w:rsid w:val="000D6CEC"/>
    <w:rsid w:val="000D7AD9"/>
    <w:rsid w:val="000D7F7B"/>
    <w:rsid w:val="000E0293"/>
    <w:rsid w:val="000E0BCE"/>
    <w:rsid w:val="000E116B"/>
    <w:rsid w:val="000E140E"/>
    <w:rsid w:val="000E149A"/>
    <w:rsid w:val="000E28FD"/>
    <w:rsid w:val="000E31A9"/>
    <w:rsid w:val="000E429B"/>
    <w:rsid w:val="000E4E5D"/>
    <w:rsid w:val="000E59BC"/>
    <w:rsid w:val="000E5ECF"/>
    <w:rsid w:val="000E7393"/>
    <w:rsid w:val="000E7A47"/>
    <w:rsid w:val="000E7D3E"/>
    <w:rsid w:val="000F017A"/>
    <w:rsid w:val="000F2223"/>
    <w:rsid w:val="000F2447"/>
    <w:rsid w:val="000F2BD8"/>
    <w:rsid w:val="000F319B"/>
    <w:rsid w:val="000F4C71"/>
    <w:rsid w:val="000F5746"/>
    <w:rsid w:val="000F5DAF"/>
    <w:rsid w:val="000F6356"/>
    <w:rsid w:val="000F72D7"/>
    <w:rsid w:val="001005C5"/>
    <w:rsid w:val="001010FA"/>
    <w:rsid w:val="001019BE"/>
    <w:rsid w:val="00101D28"/>
    <w:rsid w:val="00102219"/>
    <w:rsid w:val="00102BE6"/>
    <w:rsid w:val="00103286"/>
    <w:rsid w:val="00103849"/>
    <w:rsid w:val="00107F08"/>
    <w:rsid w:val="00110043"/>
    <w:rsid w:val="00110D84"/>
    <w:rsid w:val="00111529"/>
    <w:rsid w:val="001115EC"/>
    <w:rsid w:val="001118CF"/>
    <w:rsid w:val="0011353F"/>
    <w:rsid w:val="00113867"/>
    <w:rsid w:val="00115ED3"/>
    <w:rsid w:val="00116424"/>
    <w:rsid w:val="00117194"/>
    <w:rsid w:val="0011720C"/>
    <w:rsid w:val="00120063"/>
    <w:rsid w:val="00120EAA"/>
    <w:rsid w:val="00121676"/>
    <w:rsid w:val="00121885"/>
    <w:rsid w:val="00122172"/>
    <w:rsid w:val="0012244A"/>
    <w:rsid w:val="00122C01"/>
    <w:rsid w:val="00122C4E"/>
    <w:rsid w:val="00122E6B"/>
    <w:rsid w:val="0012306A"/>
    <w:rsid w:val="001238EB"/>
    <w:rsid w:val="00123D35"/>
    <w:rsid w:val="00123EB5"/>
    <w:rsid w:val="00123F47"/>
    <w:rsid w:val="00124491"/>
    <w:rsid w:val="00124CB2"/>
    <w:rsid w:val="0012619C"/>
    <w:rsid w:val="001264F8"/>
    <w:rsid w:val="00126582"/>
    <w:rsid w:val="00127749"/>
    <w:rsid w:val="00130456"/>
    <w:rsid w:val="0013145E"/>
    <w:rsid w:val="0013276C"/>
    <w:rsid w:val="00132FE1"/>
    <w:rsid w:val="00133762"/>
    <w:rsid w:val="0013643A"/>
    <w:rsid w:val="00141791"/>
    <w:rsid w:val="0014266B"/>
    <w:rsid w:val="00142B33"/>
    <w:rsid w:val="0014333B"/>
    <w:rsid w:val="00144402"/>
    <w:rsid w:val="00144549"/>
    <w:rsid w:val="00144742"/>
    <w:rsid w:val="0014485C"/>
    <w:rsid w:val="001453EA"/>
    <w:rsid w:val="00146DA5"/>
    <w:rsid w:val="00147B66"/>
    <w:rsid w:val="00151702"/>
    <w:rsid w:val="00154284"/>
    <w:rsid w:val="001549A7"/>
    <w:rsid w:val="00155A25"/>
    <w:rsid w:val="001577B0"/>
    <w:rsid w:val="00157994"/>
    <w:rsid w:val="00160248"/>
    <w:rsid w:val="001603CE"/>
    <w:rsid w:val="00160C27"/>
    <w:rsid w:val="0016176E"/>
    <w:rsid w:val="00161AF0"/>
    <w:rsid w:val="0016225D"/>
    <w:rsid w:val="00163ABA"/>
    <w:rsid w:val="00163DD6"/>
    <w:rsid w:val="00164169"/>
    <w:rsid w:val="00164381"/>
    <w:rsid w:val="00164549"/>
    <w:rsid w:val="00164A7E"/>
    <w:rsid w:val="001657E6"/>
    <w:rsid w:val="00165EE4"/>
    <w:rsid w:val="001661C5"/>
    <w:rsid w:val="001664B0"/>
    <w:rsid w:val="001669BF"/>
    <w:rsid w:val="00167EF0"/>
    <w:rsid w:val="0017053E"/>
    <w:rsid w:val="00170B03"/>
    <w:rsid w:val="00170F63"/>
    <w:rsid w:val="00171641"/>
    <w:rsid w:val="0017221D"/>
    <w:rsid w:val="001742EA"/>
    <w:rsid w:val="00174B1B"/>
    <w:rsid w:val="00174BC1"/>
    <w:rsid w:val="00175075"/>
    <w:rsid w:val="00177F37"/>
    <w:rsid w:val="001807B6"/>
    <w:rsid w:val="00182060"/>
    <w:rsid w:val="001821ED"/>
    <w:rsid w:val="00184F61"/>
    <w:rsid w:val="00185030"/>
    <w:rsid w:val="00185BA0"/>
    <w:rsid w:val="00185D18"/>
    <w:rsid w:val="00186001"/>
    <w:rsid w:val="0018767E"/>
    <w:rsid w:val="00187E4F"/>
    <w:rsid w:val="0019075D"/>
    <w:rsid w:val="001908A9"/>
    <w:rsid w:val="00190D69"/>
    <w:rsid w:val="00191527"/>
    <w:rsid w:val="00191B26"/>
    <w:rsid w:val="00192145"/>
    <w:rsid w:val="00193995"/>
    <w:rsid w:val="00193BD7"/>
    <w:rsid w:val="00194017"/>
    <w:rsid w:val="0019485B"/>
    <w:rsid w:val="00196EE3"/>
    <w:rsid w:val="00196FFE"/>
    <w:rsid w:val="00197136"/>
    <w:rsid w:val="001971F6"/>
    <w:rsid w:val="001975A7"/>
    <w:rsid w:val="00197E09"/>
    <w:rsid w:val="001A0762"/>
    <w:rsid w:val="001A16FD"/>
    <w:rsid w:val="001A2318"/>
    <w:rsid w:val="001A284C"/>
    <w:rsid w:val="001A3876"/>
    <w:rsid w:val="001A44F1"/>
    <w:rsid w:val="001A5F6B"/>
    <w:rsid w:val="001A60D4"/>
    <w:rsid w:val="001A6A99"/>
    <w:rsid w:val="001A6DE4"/>
    <w:rsid w:val="001A79B5"/>
    <w:rsid w:val="001A7F73"/>
    <w:rsid w:val="001B06C2"/>
    <w:rsid w:val="001B0725"/>
    <w:rsid w:val="001B08BD"/>
    <w:rsid w:val="001B1D17"/>
    <w:rsid w:val="001B2241"/>
    <w:rsid w:val="001B3226"/>
    <w:rsid w:val="001B6E07"/>
    <w:rsid w:val="001B7047"/>
    <w:rsid w:val="001B71C7"/>
    <w:rsid w:val="001C0047"/>
    <w:rsid w:val="001C1519"/>
    <w:rsid w:val="001C216E"/>
    <w:rsid w:val="001C2AE7"/>
    <w:rsid w:val="001C332D"/>
    <w:rsid w:val="001C3363"/>
    <w:rsid w:val="001C3A3F"/>
    <w:rsid w:val="001C3D8E"/>
    <w:rsid w:val="001C58FF"/>
    <w:rsid w:val="001C5D21"/>
    <w:rsid w:val="001C657A"/>
    <w:rsid w:val="001C6F7B"/>
    <w:rsid w:val="001C7FB6"/>
    <w:rsid w:val="001D13C4"/>
    <w:rsid w:val="001D3519"/>
    <w:rsid w:val="001D3692"/>
    <w:rsid w:val="001D45EE"/>
    <w:rsid w:val="001D4C00"/>
    <w:rsid w:val="001D53BA"/>
    <w:rsid w:val="001D570C"/>
    <w:rsid w:val="001D586E"/>
    <w:rsid w:val="001D5C2F"/>
    <w:rsid w:val="001E1948"/>
    <w:rsid w:val="001E1FE9"/>
    <w:rsid w:val="001E2DBD"/>
    <w:rsid w:val="001E40B1"/>
    <w:rsid w:val="001E4B7E"/>
    <w:rsid w:val="001E650B"/>
    <w:rsid w:val="001E6D55"/>
    <w:rsid w:val="001E6FE7"/>
    <w:rsid w:val="001F02B2"/>
    <w:rsid w:val="001F2804"/>
    <w:rsid w:val="001F2C78"/>
    <w:rsid w:val="001F302F"/>
    <w:rsid w:val="001F3267"/>
    <w:rsid w:val="001F3FD4"/>
    <w:rsid w:val="001F416B"/>
    <w:rsid w:val="001F4D60"/>
    <w:rsid w:val="001F521E"/>
    <w:rsid w:val="001F5B8D"/>
    <w:rsid w:val="001F6709"/>
    <w:rsid w:val="001F7B97"/>
    <w:rsid w:val="0020008E"/>
    <w:rsid w:val="002002C7"/>
    <w:rsid w:val="00200429"/>
    <w:rsid w:val="00201328"/>
    <w:rsid w:val="00202535"/>
    <w:rsid w:val="00202EB9"/>
    <w:rsid w:val="00202F0E"/>
    <w:rsid w:val="00203632"/>
    <w:rsid w:val="00203956"/>
    <w:rsid w:val="00204109"/>
    <w:rsid w:val="00205227"/>
    <w:rsid w:val="00205F51"/>
    <w:rsid w:val="00206382"/>
    <w:rsid w:val="002066C8"/>
    <w:rsid w:val="00206ABA"/>
    <w:rsid w:val="0020715C"/>
    <w:rsid w:val="00207201"/>
    <w:rsid w:val="00207315"/>
    <w:rsid w:val="00207403"/>
    <w:rsid w:val="002105EE"/>
    <w:rsid w:val="002114A8"/>
    <w:rsid w:val="0021212F"/>
    <w:rsid w:val="0021270A"/>
    <w:rsid w:val="00213CA5"/>
    <w:rsid w:val="002150FF"/>
    <w:rsid w:val="002156F7"/>
    <w:rsid w:val="002165F7"/>
    <w:rsid w:val="002167C1"/>
    <w:rsid w:val="00217AE0"/>
    <w:rsid w:val="00220528"/>
    <w:rsid w:val="00221014"/>
    <w:rsid w:val="00221401"/>
    <w:rsid w:val="00221631"/>
    <w:rsid w:val="00222B61"/>
    <w:rsid w:val="00223F11"/>
    <w:rsid w:val="00225049"/>
    <w:rsid w:val="002262FF"/>
    <w:rsid w:val="0022651A"/>
    <w:rsid w:val="00226648"/>
    <w:rsid w:val="00230360"/>
    <w:rsid w:val="00231C53"/>
    <w:rsid w:val="00231E7E"/>
    <w:rsid w:val="00234791"/>
    <w:rsid w:val="00237EF4"/>
    <w:rsid w:val="00240D40"/>
    <w:rsid w:val="002418AE"/>
    <w:rsid w:val="00241FF7"/>
    <w:rsid w:val="00242012"/>
    <w:rsid w:val="00242194"/>
    <w:rsid w:val="00243206"/>
    <w:rsid w:val="00243640"/>
    <w:rsid w:val="0024364B"/>
    <w:rsid w:val="00243925"/>
    <w:rsid w:val="00243E13"/>
    <w:rsid w:val="00244049"/>
    <w:rsid w:val="00245551"/>
    <w:rsid w:val="002462A6"/>
    <w:rsid w:val="00246384"/>
    <w:rsid w:val="00246669"/>
    <w:rsid w:val="002475A8"/>
    <w:rsid w:val="00250CD1"/>
    <w:rsid w:val="002518C9"/>
    <w:rsid w:val="00251E1E"/>
    <w:rsid w:val="00252A26"/>
    <w:rsid w:val="00252EDA"/>
    <w:rsid w:val="00252FBB"/>
    <w:rsid w:val="00253B4A"/>
    <w:rsid w:val="0025604A"/>
    <w:rsid w:val="00256059"/>
    <w:rsid w:val="002560E2"/>
    <w:rsid w:val="00256105"/>
    <w:rsid w:val="00256911"/>
    <w:rsid w:val="00257768"/>
    <w:rsid w:val="00257E73"/>
    <w:rsid w:val="00257F40"/>
    <w:rsid w:val="002601A3"/>
    <w:rsid w:val="002607C1"/>
    <w:rsid w:val="0026217B"/>
    <w:rsid w:val="0026227E"/>
    <w:rsid w:val="0026274D"/>
    <w:rsid w:val="00262F0E"/>
    <w:rsid w:val="00263835"/>
    <w:rsid w:val="00264D3E"/>
    <w:rsid w:val="00265F62"/>
    <w:rsid w:val="00270CC9"/>
    <w:rsid w:val="00270EA2"/>
    <w:rsid w:val="00270ECD"/>
    <w:rsid w:val="002724DB"/>
    <w:rsid w:val="002735C3"/>
    <w:rsid w:val="00273831"/>
    <w:rsid w:val="00273AD9"/>
    <w:rsid w:val="00273B0B"/>
    <w:rsid w:val="00273E40"/>
    <w:rsid w:val="0027413B"/>
    <w:rsid w:val="0027438B"/>
    <w:rsid w:val="0027553B"/>
    <w:rsid w:val="00275D8D"/>
    <w:rsid w:val="00276942"/>
    <w:rsid w:val="00280E81"/>
    <w:rsid w:val="00280EA2"/>
    <w:rsid w:val="00281060"/>
    <w:rsid w:val="0028107F"/>
    <w:rsid w:val="00281A3E"/>
    <w:rsid w:val="00282880"/>
    <w:rsid w:val="00282C9C"/>
    <w:rsid w:val="00283B15"/>
    <w:rsid w:val="00283E95"/>
    <w:rsid w:val="0028429D"/>
    <w:rsid w:val="00291A63"/>
    <w:rsid w:val="0029213E"/>
    <w:rsid w:val="002926E2"/>
    <w:rsid w:val="002932B7"/>
    <w:rsid w:val="002935E7"/>
    <w:rsid w:val="00293FB1"/>
    <w:rsid w:val="00294476"/>
    <w:rsid w:val="00294917"/>
    <w:rsid w:val="00294F13"/>
    <w:rsid w:val="00295492"/>
    <w:rsid w:val="00295C0D"/>
    <w:rsid w:val="00295D86"/>
    <w:rsid w:val="00295DFA"/>
    <w:rsid w:val="0029732E"/>
    <w:rsid w:val="002A01D8"/>
    <w:rsid w:val="002A064F"/>
    <w:rsid w:val="002A076A"/>
    <w:rsid w:val="002A0844"/>
    <w:rsid w:val="002A09AE"/>
    <w:rsid w:val="002A0A54"/>
    <w:rsid w:val="002A0D61"/>
    <w:rsid w:val="002A12BA"/>
    <w:rsid w:val="002A1545"/>
    <w:rsid w:val="002A2AAB"/>
    <w:rsid w:val="002A2D65"/>
    <w:rsid w:val="002A3C19"/>
    <w:rsid w:val="002A40AC"/>
    <w:rsid w:val="002A4D42"/>
    <w:rsid w:val="002A5017"/>
    <w:rsid w:val="002A550F"/>
    <w:rsid w:val="002A58A8"/>
    <w:rsid w:val="002A647C"/>
    <w:rsid w:val="002A6D6A"/>
    <w:rsid w:val="002A6EE5"/>
    <w:rsid w:val="002A7D0C"/>
    <w:rsid w:val="002B0382"/>
    <w:rsid w:val="002B0561"/>
    <w:rsid w:val="002B11CB"/>
    <w:rsid w:val="002B1AED"/>
    <w:rsid w:val="002B243B"/>
    <w:rsid w:val="002B4B07"/>
    <w:rsid w:val="002B52CD"/>
    <w:rsid w:val="002B5E1A"/>
    <w:rsid w:val="002B602A"/>
    <w:rsid w:val="002B6049"/>
    <w:rsid w:val="002B6731"/>
    <w:rsid w:val="002B6E70"/>
    <w:rsid w:val="002B705A"/>
    <w:rsid w:val="002B7125"/>
    <w:rsid w:val="002B77C4"/>
    <w:rsid w:val="002C0899"/>
    <w:rsid w:val="002C0BD2"/>
    <w:rsid w:val="002C1221"/>
    <w:rsid w:val="002C1A8E"/>
    <w:rsid w:val="002C1AD7"/>
    <w:rsid w:val="002C2ED8"/>
    <w:rsid w:val="002C3725"/>
    <w:rsid w:val="002C38F4"/>
    <w:rsid w:val="002C3C3C"/>
    <w:rsid w:val="002C4FD2"/>
    <w:rsid w:val="002C78A8"/>
    <w:rsid w:val="002D0A41"/>
    <w:rsid w:val="002D0D19"/>
    <w:rsid w:val="002D1483"/>
    <w:rsid w:val="002D1D0A"/>
    <w:rsid w:val="002D1E02"/>
    <w:rsid w:val="002D2BA4"/>
    <w:rsid w:val="002D3B07"/>
    <w:rsid w:val="002D4049"/>
    <w:rsid w:val="002D43C7"/>
    <w:rsid w:val="002D45E5"/>
    <w:rsid w:val="002D4BD4"/>
    <w:rsid w:val="002D7016"/>
    <w:rsid w:val="002D7433"/>
    <w:rsid w:val="002E06A7"/>
    <w:rsid w:val="002E11A3"/>
    <w:rsid w:val="002E34F0"/>
    <w:rsid w:val="002E441F"/>
    <w:rsid w:val="002E4F29"/>
    <w:rsid w:val="002E51FC"/>
    <w:rsid w:val="002E526F"/>
    <w:rsid w:val="002E629A"/>
    <w:rsid w:val="002E6639"/>
    <w:rsid w:val="002E66A1"/>
    <w:rsid w:val="002F1CB6"/>
    <w:rsid w:val="002F1FE6"/>
    <w:rsid w:val="002F36E9"/>
    <w:rsid w:val="002F3869"/>
    <w:rsid w:val="002F3E4A"/>
    <w:rsid w:val="002F417A"/>
    <w:rsid w:val="002F4417"/>
    <w:rsid w:val="002F5872"/>
    <w:rsid w:val="002F59B6"/>
    <w:rsid w:val="002F6A07"/>
    <w:rsid w:val="002F6A3B"/>
    <w:rsid w:val="002F79E3"/>
    <w:rsid w:val="002F7BDA"/>
    <w:rsid w:val="002F7D79"/>
    <w:rsid w:val="0030045C"/>
    <w:rsid w:val="00300D51"/>
    <w:rsid w:val="0030150F"/>
    <w:rsid w:val="00301BCB"/>
    <w:rsid w:val="0030235C"/>
    <w:rsid w:val="00305358"/>
    <w:rsid w:val="00305428"/>
    <w:rsid w:val="00307D20"/>
    <w:rsid w:val="00310082"/>
    <w:rsid w:val="003109B9"/>
    <w:rsid w:val="00310A2A"/>
    <w:rsid w:val="00311DE9"/>
    <w:rsid w:val="0031233E"/>
    <w:rsid w:val="00312E8D"/>
    <w:rsid w:val="00313582"/>
    <w:rsid w:val="00313B7D"/>
    <w:rsid w:val="00314A47"/>
    <w:rsid w:val="00315548"/>
    <w:rsid w:val="00315A03"/>
    <w:rsid w:val="00315D14"/>
    <w:rsid w:val="00316282"/>
    <w:rsid w:val="003169E1"/>
    <w:rsid w:val="00317195"/>
    <w:rsid w:val="0031719C"/>
    <w:rsid w:val="0031766B"/>
    <w:rsid w:val="003200B9"/>
    <w:rsid w:val="00320276"/>
    <w:rsid w:val="003204B7"/>
    <w:rsid w:val="003204BC"/>
    <w:rsid w:val="00320871"/>
    <w:rsid w:val="00322759"/>
    <w:rsid w:val="00322D31"/>
    <w:rsid w:val="0032319F"/>
    <w:rsid w:val="0032329D"/>
    <w:rsid w:val="0032341D"/>
    <w:rsid w:val="003235E6"/>
    <w:rsid w:val="00324A61"/>
    <w:rsid w:val="00324CC3"/>
    <w:rsid w:val="00325034"/>
    <w:rsid w:val="00325A87"/>
    <w:rsid w:val="00325D21"/>
    <w:rsid w:val="0032628D"/>
    <w:rsid w:val="00326A20"/>
    <w:rsid w:val="00326AF5"/>
    <w:rsid w:val="00326ED8"/>
    <w:rsid w:val="00326F80"/>
    <w:rsid w:val="0032728F"/>
    <w:rsid w:val="003305D0"/>
    <w:rsid w:val="0033068B"/>
    <w:rsid w:val="00331232"/>
    <w:rsid w:val="0033182C"/>
    <w:rsid w:val="00331973"/>
    <w:rsid w:val="00332DD6"/>
    <w:rsid w:val="00332EFC"/>
    <w:rsid w:val="00332EFF"/>
    <w:rsid w:val="003335E6"/>
    <w:rsid w:val="00333C34"/>
    <w:rsid w:val="00334092"/>
    <w:rsid w:val="003343F0"/>
    <w:rsid w:val="00335748"/>
    <w:rsid w:val="0033646A"/>
    <w:rsid w:val="00336650"/>
    <w:rsid w:val="00336712"/>
    <w:rsid w:val="003372FD"/>
    <w:rsid w:val="00340485"/>
    <w:rsid w:val="003407AD"/>
    <w:rsid w:val="00342002"/>
    <w:rsid w:val="00342AD9"/>
    <w:rsid w:val="00344699"/>
    <w:rsid w:val="00344897"/>
    <w:rsid w:val="003459CF"/>
    <w:rsid w:val="003463F7"/>
    <w:rsid w:val="00346AE6"/>
    <w:rsid w:val="003472BE"/>
    <w:rsid w:val="0034780A"/>
    <w:rsid w:val="00350300"/>
    <w:rsid w:val="00350614"/>
    <w:rsid w:val="00351FA1"/>
    <w:rsid w:val="0035229A"/>
    <w:rsid w:val="00352BFF"/>
    <w:rsid w:val="0035475E"/>
    <w:rsid w:val="00354932"/>
    <w:rsid w:val="0035501D"/>
    <w:rsid w:val="00355EFE"/>
    <w:rsid w:val="00357176"/>
    <w:rsid w:val="0036056E"/>
    <w:rsid w:val="0036114C"/>
    <w:rsid w:val="003613CB"/>
    <w:rsid w:val="00361955"/>
    <w:rsid w:val="003625DC"/>
    <w:rsid w:val="00362C6D"/>
    <w:rsid w:val="00363A8B"/>
    <w:rsid w:val="00363BBA"/>
    <w:rsid w:val="00364753"/>
    <w:rsid w:val="00364BA0"/>
    <w:rsid w:val="00365C5D"/>
    <w:rsid w:val="00366333"/>
    <w:rsid w:val="0036682C"/>
    <w:rsid w:val="00366EC3"/>
    <w:rsid w:val="00367A3A"/>
    <w:rsid w:val="00370D1C"/>
    <w:rsid w:val="0037124F"/>
    <w:rsid w:val="00372B02"/>
    <w:rsid w:val="003739F2"/>
    <w:rsid w:val="00373A3E"/>
    <w:rsid w:val="003748A0"/>
    <w:rsid w:val="00374AD3"/>
    <w:rsid w:val="00375127"/>
    <w:rsid w:val="00377633"/>
    <w:rsid w:val="00380159"/>
    <w:rsid w:val="00380C51"/>
    <w:rsid w:val="00381CB1"/>
    <w:rsid w:val="003822AA"/>
    <w:rsid w:val="00382A75"/>
    <w:rsid w:val="0038366B"/>
    <w:rsid w:val="00383C2A"/>
    <w:rsid w:val="0038518F"/>
    <w:rsid w:val="0038532C"/>
    <w:rsid w:val="003858DE"/>
    <w:rsid w:val="00385AE8"/>
    <w:rsid w:val="00385E2E"/>
    <w:rsid w:val="003863E2"/>
    <w:rsid w:val="0038661D"/>
    <w:rsid w:val="003868DF"/>
    <w:rsid w:val="003872B1"/>
    <w:rsid w:val="0039020E"/>
    <w:rsid w:val="00390426"/>
    <w:rsid w:val="00390FB3"/>
    <w:rsid w:val="0039187A"/>
    <w:rsid w:val="00391A6B"/>
    <w:rsid w:val="003924BF"/>
    <w:rsid w:val="00392921"/>
    <w:rsid w:val="00392E18"/>
    <w:rsid w:val="00394589"/>
    <w:rsid w:val="00394DBE"/>
    <w:rsid w:val="003A3141"/>
    <w:rsid w:val="003A3B07"/>
    <w:rsid w:val="003A50B0"/>
    <w:rsid w:val="003A57B0"/>
    <w:rsid w:val="003A69D4"/>
    <w:rsid w:val="003A6B67"/>
    <w:rsid w:val="003A79AB"/>
    <w:rsid w:val="003B0175"/>
    <w:rsid w:val="003B0AB5"/>
    <w:rsid w:val="003B1262"/>
    <w:rsid w:val="003B1BC8"/>
    <w:rsid w:val="003B2A19"/>
    <w:rsid w:val="003B2D49"/>
    <w:rsid w:val="003B2E47"/>
    <w:rsid w:val="003B3553"/>
    <w:rsid w:val="003B35CF"/>
    <w:rsid w:val="003B44B8"/>
    <w:rsid w:val="003B4EAA"/>
    <w:rsid w:val="003B4F28"/>
    <w:rsid w:val="003B50B3"/>
    <w:rsid w:val="003B51B5"/>
    <w:rsid w:val="003B5728"/>
    <w:rsid w:val="003B5ED2"/>
    <w:rsid w:val="003B60C4"/>
    <w:rsid w:val="003B662D"/>
    <w:rsid w:val="003B6881"/>
    <w:rsid w:val="003B7072"/>
    <w:rsid w:val="003B7E22"/>
    <w:rsid w:val="003C0576"/>
    <w:rsid w:val="003C0783"/>
    <w:rsid w:val="003C13F2"/>
    <w:rsid w:val="003C155C"/>
    <w:rsid w:val="003C158B"/>
    <w:rsid w:val="003C1E9F"/>
    <w:rsid w:val="003C27E2"/>
    <w:rsid w:val="003C30A0"/>
    <w:rsid w:val="003C32E5"/>
    <w:rsid w:val="003C41D8"/>
    <w:rsid w:val="003C5A98"/>
    <w:rsid w:val="003D1573"/>
    <w:rsid w:val="003D2C27"/>
    <w:rsid w:val="003D310E"/>
    <w:rsid w:val="003D3B71"/>
    <w:rsid w:val="003D57DF"/>
    <w:rsid w:val="003D5F68"/>
    <w:rsid w:val="003D7272"/>
    <w:rsid w:val="003E05FF"/>
    <w:rsid w:val="003E0662"/>
    <w:rsid w:val="003E0F64"/>
    <w:rsid w:val="003E1B14"/>
    <w:rsid w:val="003E2975"/>
    <w:rsid w:val="003E403C"/>
    <w:rsid w:val="003E41A4"/>
    <w:rsid w:val="003E47CD"/>
    <w:rsid w:val="003E62FD"/>
    <w:rsid w:val="003E699E"/>
    <w:rsid w:val="003E7141"/>
    <w:rsid w:val="003E7728"/>
    <w:rsid w:val="003E7DCA"/>
    <w:rsid w:val="003F028F"/>
    <w:rsid w:val="003F10CD"/>
    <w:rsid w:val="003F1766"/>
    <w:rsid w:val="003F35B3"/>
    <w:rsid w:val="003F47FA"/>
    <w:rsid w:val="003F491D"/>
    <w:rsid w:val="003F4EEE"/>
    <w:rsid w:val="003F613C"/>
    <w:rsid w:val="003F66BE"/>
    <w:rsid w:val="003F7D8B"/>
    <w:rsid w:val="004001D4"/>
    <w:rsid w:val="004002CB"/>
    <w:rsid w:val="00400A8A"/>
    <w:rsid w:val="00400B46"/>
    <w:rsid w:val="00400D68"/>
    <w:rsid w:val="00401991"/>
    <w:rsid w:val="00403905"/>
    <w:rsid w:val="00405190"/>
    <w:rsid w:val="004059BF"/>
    <w:rsid w:val="00405E27"/>
    <w:rsid w:val="0040662B"/>
    <w:rsid w:val="00407059"/>
    <w:rsid w:val="004075F7"/>
    <w:rsid w:val="00407CA8"/>
    <w:rsid w:val="004103A9"/>
    <w:rsid w:val="00410F0D"/>
    <w:rsid w:val="00410F40"/>
    <w:rsid w:val="00411229"/>
    <w:rsid w:val="00411523"/>
    <w:rsid w:val="00411A4B"/>
    <w:rsid w:val="0041386A"/>
    <w:rsid w:val="00414F00"/>
    <w:rsid w:val="004157A9"/>
    <w:rsid w:val="00416B69"/>
    <w:rsid w:val="0041744F"/>
    <w:rsid w:val="004174A0"/>
    <w:rsid w:val="00420318"/>
    <w:rsid w:val="00420D23"/>
    <w:rsid w:val="00421438"/>
    <w:rsid w:val="004219C8"/>
    <w:rsid w:val="00422001"/>
    <w:rsid w:val="00423B6C"/>
    <w:rsid w:val="0042614F"/>
    <w:rsid w:val="00426C9D"/>
    <w:rsid w:val="00427CD1"/>
    <w:rsid w:val="00427F51"/>
    <w:rsid w:val="004308B6"/>
    <w:rsid w:val="00430B72"/>
    <w:rsid w:val="0043289E"/>
    <w:rsid w:val="00432EAE"/>
    <w:rsid w:val="00435186"/>
    <w:rsid w:val="00435A82"/>
    <w:rsid w:val="00435F45"/>
    <w:rsid w:val="004361B9"/>
    <w:rsid w:val="00436825"/>
    <w:rsid w:val="00436E54"/>
    <w:rsid w:val="00437A9E"/>
    <w:rsid w:val="00440C42"/>
    <w:rsid w:val="0044191F"/>
    <w:rsid w:val="00442FAC"/>
    <w:rsid w:val="00443515"/>
    <w:rsid w:val="0044407D"/>
    <w:rsid w:val="004460CD"/>
    <w:rsid w:val="00446C6A"/>
    <w:rsid w:val="0044709C"/>
    <w:rsid w:val="0044709F"/>
    <w:rsid w:val="00447BB8"/>
    <w:rsid w:val="00447FA0"/>
    <w:rsid w:val="00450116"/>
    <w:rsid w:val="00450989"/>
    <w:rsid w:val="00450F7C"/>
    <w:rsid w:val="0045173C"/>
    <w:rsid w:val="00453407"/>
    <w:rsid w:val="004552F7"/>
    <w:rsid w:val="00455DEC"/>
    <w:rsid w:val="004562F3"/>
    <w:rsid w:val="00456440"/>
    <w:rsid w:val="00456D31"/>
    <w:rsid w:val="0045724B"/>
    <w:rsid w:val="0045764C"/>
    <w:rsid w:val="004576F1"/>
    <w:rsid w:val="004600B4"/>
    <w:rsid w:val="004603C7"/>
    <w:rsid w:val="004607D3"/>
    <w:rsid w:val="00460D92"/>
    <w:rsid w:val="00461010"/>
    <w:rsid w:val="00461609"/>
    <w:rsid w:val="004616E7"/>
    <w:rsid w:val="00462A3B"/>
    <w:rsid w:val="00462D2D"/>
    <w:rsid w:val="004632C4"/>
    <w:rsid w:val="004633C6"/>
    <w:rsid w:val="00465350"/>
    <w:rsid w:val="00465FAA"/>
    <w:rsid w:val="00467280"/>
    <w:rsid w:val="00467EB7"/>
    <w:rsid w:val="004700BE"/>
    <w:rsid w:val="00470110"/>
    <w:rsid w:val="00470677"/>
    <w:rsid w:val="004722B6"/>
    <w:rsid w:val="00472D67"/>
    <w:rsid w:val="00474B12"/>
    <w:rsid w:val="00474CAF"/>
    <w:rsid w:val="00475C17"/>
    <w:rsid w:val="0047644A"/>
    <w:rsid w:val="0047684A"/>
    <w:rsid w:val="0047771B"/>
    <w:rsid w:val="00480812"/>
    <w:rsid w:val="004825B1"/>
    <w:rsid w:val="0048269E"/>
    <w:rsid w:val="00482C6B"/>
    <w:rsid w:val="0048322D"/>
    <w:rsid w:val="004838EC"/>
    <w:rsid w:val="00484029"/>
    <w:rsid w:val="0048444A"/>
    <w:rsid w:val="004866B1"/>
    <w:rsid w:val="004868C2"/>
    <w:rsid w:val="00487549"/>
    <w:rsid w:val="004875FA"/>
    <w:rsid w:val="004901F1"/>
    <w:rsid w:val="0049180D"/>
    <w:rsid w:val="0049267B"/>
    <w:rsid w:val="00493868"/>
    <w:rsid w:val="00493FE1"/>
    <w:rsid w:val="004944B8"/>
    <w:rsid w:val="004949D5"/>
    <w:rsid w:val="00495740"/>
    <w:rsid w:val="00497712"/>
    <w:rsid w:val="00497D7C"/>
    <w:rsid w:val="004A0152"/>
    <w:rsid w:val="004A12C4"/>
    <w:rsid w:val="004A14C7"/>
    <w:rsid w:val="004A160C"/>
    <w:rsid w:val="004A1CD5"/>
    <w:rsid w:val="004A232C"/>
    <w:rsid w:val="004A3F1F"/>
    <w:rsid w:val="004A442C"/>
    <w:rsid w:val="004A5A5B"/>
    <w:rsid w:val="004A5A71"/>
    <w:rsid w:val="004A5BF2"/>
    <w:rsid w:val="004A5E21"/>
    <w:rsid w:val="004A6008"/>
    <w:rsid w:val="004A67CA"/>
    <w:rsid w:val="004A6855"/>
    <w:rsid w:val="004A721D"/>
    <w:rsid w:val="004A7273"/>
    <w:rsid w:val="004A7B36"/>
    <w:rsid w:val="004A7D37"/>
    <w:rsid w:val="004A7EA3"/>
    <w:rsid w:val="004B067D"/>
    <w:rsid w:val="004B0A90"/>
    <w:rsid w:val="004B13A0"/>
    <w:rsid w:val="004B13E3"/>
    <w:rsid w:val="004B2181"/>
    <w:rsid w:val="004B25ED"/>
    <w:rsid w:val="004B2BE0"/>
    <w:rsid w:val="004B2C94"/>
    <w:rsid w:val="004B4F38"/>
    <w:rsid w:val="004B4F5F"/>
    <w:rsid w:val="004B7F48"/>
    <w:rsid w:val="004C0CC3"/>
    <w:rsid w:val="004C1914"/>
    <w:rsid w:val="004C1E64"/>
    <w:rsid w:val="004C1EA1"/>
    <w:rsid w:val="004C22FA"/>
    <w:rsid w:val="004C23F0"/>
    <w:rsid w:val="004C384A"/>
    <w:rsid w:val="004C45AF"/>
    <w:rsid w:val="004C5D79"/>
    <w:rsid w:val="004C5F37"/>
    <w:rsid w:val="004C60A0"/>
    <w:rsid w:val="004C75FB"/>
    <w:rsid w:val="004D0694"/>
    <w:rsid w:val="004D10DD"/>
    <w:rsid w:val="004D2005"/>
    <w:rsid w:val="004D2104"/>
    <w:rsid w:val="004D2142"/>
    <w:rsid w:val="004D2B8A"/>
    <w:rsid w:val="004D3264"/>
    <w:rsid w:val="004D3EC4"/>
    <w:rsid w:val="004D4000"/>
    <w:rsid w:val="004D6100"/>
    <w:rsid w:val="004D624C"/>
    <w:rsid w:val="004D6CFB"/>
    <w:rsid w:val="004D7951"/>
    <w:rsid w:val="004E01EB"/>
    <w:rsid w:val="004E2577"/>
    <w:rsid w:val="004E32B2"/>
    <w:rsid w:val="004E4665"/>
    <w:rsid w:val="004E521B"/>
    <w:rsid w:val="004E530B"/>
    <w:rsid w:val="004E624B"/>
    <w:rsid w:val="004E71D1"/>
    <w:rsid w:val="004E724D"/>
    <w:rsid w:val="004E7585"/>
    <w:rsid w:val="004E7D5C"/>
    <w:rsid w:val="004F029B"/>
    <w:rsid w:val="004F0E48"/>
    <w:rsid w:val="004F113A"/>
    <w:rsid w:val="004F12FD"/>
    <w:rsid w:val="004F1603"/>
    <w:rsid w:val="004F190B"/>
    <w:rsid w:val="004F2195"/>
    <w:rsid w:val="004F234E"/>
    <w:rsid w:val="004F2398"/>
    <w:rsid w:val="004F3376"/>
    <w:rsid w:val="004F38CF"/>
    <w:rsid w:val="004F459D"/>
    <w:rsid w:val="004F494A"/>
    <w:rsid w:val="004F4B7C"/>
    <w:rsid w:val="004F4BDF"/>
    <w:rsid w:val="004F538C"/>
    <w:rsid w:val="004F65BD"/>
    <w:rsid w:val="004F6C4A"/>
    <w:rsid w:val="004F71A7"/>
    <w:rsid w:val="00500D3B"/>
    <w:rsid w:val="005039EE"/>
    <w:rsid w:val="0050435A"/>
    <w:rsid w:val="005047D4"/>
    <w:rsid w:val="00505522"/>
    <w:rsid w:val="00505D16"/>
    <w:rsid w:val="00506182"/>
    <w:rsid w:val="0050694B"/>
    <w:rsid w:val="00506F49"/>
    <w:rsid w:val="00510753"/>
    <w:rsid w:val="00511E10"/>
    <w:rsid w:val="005126D7"/>
    <w:rsid w:val="00512A6F"/>
    <w:rsid w:val="00513654"/>
    <w:rsid w:val="00513DA1"/>
    <w:rsid w:val="005140AC"/>
    <w:rsid w:val="00514BEE"/>
    <w:rsid w:val="00514D76"/>
    <w:rsid w:val="00514E0B"/>
    <w:rsid w:val="005158CE"/>
    <w:rsid w:val="0051691B"/>
    <w:rsid w:val="005170D8"/>
    <w:rsid w:val="0051768A"/>
    <w:rsid w:val="0052001A"/>
    <w:rsid w:val="00521202"/>
    <w:rsid w:val="0052133B"/>
    <w:rsid w:val="005226B4"/>
    <w:rsid w:val="0052406E"/>
    <w:rsid w:val="005260BC"/>
    <w:rsid w:val="00526266"/>
    <w:rsid w:val="00526592"/>
    <w:rsid w:val="005270E0"/>
    <w:rsid w:val="0053023A"/>
    <w:rsid w:val="0053119E"/>
    <w:rsid w:val="0053138E"/>
    <w:rsid w:val="00531602"/>
    <w:rsid w:val="005316D0"/>
    <w:rsid w:val="00531CAC"/>
    <w:rsid w:val="00532029"/>
    <w:rsid w:val="00532C23"/>
    <w:rsid w:val="00533777"/>
    <w:rsid w:val="0053395D"/>
    <w:rsid w:val="00534BF4"/>
    <w:rsid w:val="0053543C"/>
    <w:rsid w:val="00535704"/>
    <w:rsid w:val="00535FAE"/>
    <w:rsid w:val="00536183"/>
    <w:rsid w:val="00536A7C"/>
    <w:rsid w:val="00536F3D"/>
    <w:rsid w:val="005371E2"/>
    <w:rsid w:val="00537507"/>
    <w:rsid w:val="005376B4"/>
    <w:rsid w:val="00541CE5"/>
    <w:rsid w:val="005429DA"/>
    <w:rsid w:val="005429FA"/>
    <w:rsid w:val="00542ED2"/>
    <w:rsid w:val="00544FFB"/>
    <w:rsid w:val="0054671E"/>
    <w:rsid w:val="00547456"/>
    <w:rsid w:val="0055078E"/>
    <w:rsid w:val="00550806"/>
    <w:rsid w:val="00552CB6"/>
    <w:rsid w:val="00553BF4"/>
    <w:rsid w:val="00555F0A"/>
    <w:rsid w:val="00556370"/>
    <w:rsid w:val="00557F45"/>
    <w:rsid w:val="005600BE"/>
    <w:rsid w:val="00560BDB"/>
    <w:rsid w:val="005628DC"/>
    <w:rsid w:val="0056317E"/>
    <w:rsid w:val="00564642"/>
    <w:rsid w:val="005647F1"/>
    <w:rsid w:val="005648D7"/>
    <w:rsid w:val="00564AF8"/>
    <w:rsid w:val="00566313"/>
    <w:rsid w:val="00566C83"/>
    <w:rsid w:val="005709E2"/>
    <w:rsid w:val="0057152B"/>
    <w:rsid w:val="0057157E"/>
    <w:rsid w:val="005715B8"/>
    <w:rsid w:val="00571E1B"/>
    <w:rsid w:val="00572867"/>
    <w:rsid w:val="00574C5D"/>
    <w:rsid w:val="00574EA2"/>
    <w:rsid w:val="00575006"/>
    <w:rsid w:val="00576307"/>
    <w:rsid w:val="00576D8A"/>
    <w:rsid w:val="00576F98"/>
    <w:rsid w:val="00577F62"/>
    <w:rsid w:val="00580CE0"/>
    <w:rsid w:val="00580DEF"/>
    <w:rsid w:val="0058115B"/>
    <w:rsid w:val="00581E68"/>
    <w:rsid w:val="0058323A"/>
    <w:rsid w:val="00584910"/>
    <w:rsid w:val="00585563"/>
    <w:rsid w:val="00585CF0"/>
    <w:rsid w:val="00585EAA"/>
    <w:rsid w:val="0058640D"/>
    <w:rsid w:val="005874EB"/>
    <w:rsid w:val="00590338"/>
    <w:rsid w:val="00590670"/>
    <w:rsid w:val="00590AC6"/>
    <w:rsid w:val="00590AEB"/>
    <w:rsid w:val="005919BA"/>
    <w:rsid w:val="00592873"/>
    <w:rsid w:val="00594F58"/>
    <w:rsid w:val="005970EB"/>
    <w:rsid w:val="00597917"/>
    <w:rsid w:val="005A023C"/>
    <w:rsid w:val="005A1E9C"/>
    <w:rsid w:val="005A2B54"/>
    <w:rsid w:val="005A4512"/>
    <w:rsid w:val="005A48A9"/>
    <w:rsid w:val="005A5565"/>
    <w:rsid w:val="005A5AF4"/>
    <w:rsid w:val="005B0712"/>
    <w:rsid w:val="005B0B2F"/>
    <w:rsid w:val="005B17AD"/>
    <w:rsid w:val="005B2109"/>
    <w:rsid w:val="005B26C1"/>
    <w:rsid w:val="005B27DE"/>
    <w:rsid w:val="005B286F"/>
    <w:rsid w:val="005B2B01"/>
    <w:rsid w:val="005B2BBE"/>
    <w:rsid w:val="005B322F"/>
    <w:rsid w:val="005B340A"/>
    <w:rsid w:val="005B345D"/>
    <w:rsid w:val="005B3BA5"/>
    <w:rsid w:val="005B3C4B"/>
    <w:rsid w:val="005B53AB"/>
    <w:rsid w:val="005B6A2A"/>
    <w:rsid w:val="005B6BEA"/>
    <w:rsid w:val="005B7F06"/>
    <w:rsid w:val="005C02DE"/>
    <w:rsid w:val="005C0F80"/>
    <w:rsid w:val="005C12B3"/>
    <w:rsid w:val="005C40B4"/>
    <w:rsid w:val="005C52C3"/>
    <w:rsid w:val="005C6132"/>
    <w:rsid w:val="005D0A08"/>
    <w:rsid w:val="005D1F82"/>
    <w:rsid w:val="005D34E5"/>
    <w:rsid w:val="005D388F"/>
    <w:rsid w:val="005D3A43"/>
    <w:rsid w:val="005D4588"/>
    <w:rsid w:val="005D4BA7"/>
    <w:rsid w:val="005D50A7"/>
    <w:rsid w:val="005D6773"/>
    <w:rsid w:val="005D6CD5"/>
    <w:rsid w:val="005D7B44"/>
    <w:rsid w:val="005E07CB"/>
    <w:rsid w:val="005E0B05"/>
    <w:rsid w:val="005E0B07"/>
    <w:rsid w:val="005E0CFE"/>
    <w:rsid w:val="005E1425"/>
    <w:rsid w:val="005E1C52"/>
    <w:rsid w:val="005E2151"/>
    <w:rsid w:val="005E263F"/>
    <w:rsid w:val="005E2ECB"/>
    <w:rsid w:val="005E3651"/>
    <w:rsid w:val="005E5884"/>
    <w:rsid w:val="005E6826"/>
    <w:rsid w:val="005E6B27"/>
    <w:rsid w:val="005F0338"/>
    <w:rsid w:val="005F0BF5"/>
    <w:rsid w:val="005F0F5C"/>
    <w:rsid w:val="005F13B3"/>
    <w:rsid w:val="005F376D"/>
    <w:rsid w:val="005F42BD"/>
    <w:rsid w:val="005F49D3"/>
    <w:rsid w:val="005F4DAA"/>
    <w:rsid w:val="005F551C"/>
    <w:rsid w:val="005F5DAD"/>
    <w:rsid w:val="00600150"/>
    <w:rsid w:val="00602575"/>
    <w:rsid w:val="00602671"/>
    <w:rsid w:val="00604645"/>
    <w:rsid w:val="006047F8"/>
    <w:rsid w:val="0060502E"/>
    <w:rsid w:val="0060538F"/>
    <w:rsid w:val="00605EB2"/>
    <w:rsid w:val="00606C83"/>
    <w:rsid w:val="00606FC2"/>
    <w:rsid w:val="0060763F"/>
    <w:rsid w:val="00607B97"/>
    <w:rsid w:val="00611443"/>
    <w:rsid w:val="00611B8C"/>
    <w:rsid w:val="00611E75"/>
    <w:rsid w:val="00612166"/>
    <w:rsid w:val="00612296"/>
    <w:rsid w:val="00612B7D"/>
    <w:rsid w:val="006139B7"/>
    <w:rsid w:val="00614049"/>
    <w:rsid w:val="00614D9C"/>
    <w:rsid w:val="006150CF"/>
    <w:rsid w:val="00616706"/>
    <w:rsid w:val="00616D58"/>
    <w:rsid w:val="006175A4"/>
    <w:rsid w:val="006178B1"/>
    <w:rsid w:val="00620A81"/>
    <w:rsid w:val="00620D13"/>
    <w:rsid w:val="00621A99"/>
    <w:rsid w:val="00622780"/>
    <w:rsid w:val="00622AFD"/>
    <w:rsid w:val="00622E99"/>
    <w:rsid w:val="00622FD1"/>
    <w:rsid w:val="0062312D"/>
    <w:rsid w:val="00623520"/>
    <w:rsid w:val="006238D9"/>
    <w:rsid w:val="00624386"/>
    <w:rsid w:val="00624723"/>
    <w:rsid w:val="00626190"/>
    <w:rsid w:val="00626308"/>
    <w:rsid w:val="0063104B"/>
    <w:rsid w:val="00632796"/>
    <w:rsid w:val="0063459A"/>
    <w:rsid w:val="00634D14"/>
    <w:rsid w:val="006352E5"/>
    <w:rsid w:val="00636309"/>
    <w:rsid w:val="00636ECD"/>
    <w:rsid w:val="00636EEB"/>
    <w:rsid w:val="006377C7"/>
    <w:rsid w:val="00637B4B"/>
    <w:rsid w:val="00637EBB"/>
    <w:rsid w:val="00637F57"/>
    <w:rsid w:val="00640375"/>
    <w:rsid w:val="00641048"/>
    <w:rsid w:val="00641C95"/>
    <w:rsid w:val="00642CB8"/>
    <w:rsid w:val="00643CA3"/>
    <w:rsid w:val="00643CDB"/>
    <w:rsid w:val="006448BC"/>
    <w:rsid w:val="00644FB7"/>
    <w:rsid w:val="00645079"/>
    <w:rsid w:val="0064522C"/>
    <w:rsid w:val="00651533"/>
    <w:rsid w:val="00651A3A"/>
    <w:rsid w:val="006538D9"/>
    <w:rsid w:val="00653E18"/>
    <w:rsid w:val="006542B9"/>
    <w:rsid w:val="006544E0"/>
    <w:rsid w:val="00655479"/>
    <w:rsid w:val="006556D6"/>
    <w:rsid w:val="0065674E"/>
    <w:rsid w:val="00656922"/>
    <w:rsid w:val="006572AA"/>
    <w:rsid w:val="00657BE3"/>
    <w:rsid w:val="00661128"/>
    <w:rsid w:val="0066167D"/>
    <w:rsid w:val="0066192A"/>
    <w:rsid w:val="00661DDD"/>
    <w:rsid w:val="00662B8B"/>
    <w:rsid w:val="006648B8"/>
    <w:rsid w:val="006648C9"/>
    <w:rsid w:val="006658D0"/>
    <w:rsid w:val="00665CE5"/>
    <w:rsid w:val="00666F0A"/>
    <w:rsid w:val="0066712D"/>
    <w:rsid w:val="00667653"/>
    <w:rsid w:val="0066788C"/>
    <w:rsid w:val="006702EE"/>
    <w:rsid w:val="00670E9B"/>
    <w:rsid w:val="0067269D"/>
    <w:rsid w:val="006727F5"/>
    <w:rsid w:val="00672DEB"/>
    <w:rsid w:val="0067301A"/>
    <w:rsid w:val="006735AD"/>
    <w:rsid w:val="00673E14"/>
    <w:rsid w:val="006741EB"/>
    <w:rsid w:val="00674F3F"/>
    <w:rsid w:val="006765ED"/>
    <w:rsid w:val="006766BC"/>
    <w:rsid w:val="00677218"/>
    <w:rsid w:val="00677DD8"/>
    <w:rsid w:val="00680185"/>
    <w:rsid w:val="0068020F"/>
    <w:rsid w:val="0068098F"/>
    <w:rsid w:val="00680F11"/>
    <w:rsid w:val="00681C9F"/>
    <w:rsid w:val="00681D64"/>
    <w:rsid w:val="00682437"/>
    <w:rsid w:val="006827A3"/>
    <w:rsid w:val="00682800"/>
    <w:rsid w:val="0068302A"/>
    <w:rsid w:val="00683858"/>
    <w:rsid w:val="0068433E"/>
    <w:rsid w:val="00684E15"/>
    <w:rsid w:val="00684E2A"/>
    <w:rsid w:val="00686413"/>
    <w:rsid w:val="0068680E"/>
    <w:rsid w:val="00686A6C"/>
    <w:rsid w:val="00686C93"/>
    <w:rsid w:val="00686DE8"/>
    <w:rsid w:val="0069013C"/>
    <w:rsid w:val="00690563"/>
    <w:rsid w:val="0069119F"/>
    <w:rsid w:val="00691E9D"/>
    <w:rsid w:val="006920F8"/>
    <w:rsid w:val="006929F8"/>
    <w:rsid w:val="00694158"/>
    <w:rsid w:val="0069475C"/>
    <w:rsid w:val="006949EB"/>
    <w:rsid w:val="00695337"/>
    <w:rsid w:val="00695395"/>
    <w:rsid w:val="006955BD"/>
    <w:rsid w:val="006969BF"/>
    <w:rsid w:val="00697106"/>
    <w:rsid w:val="0069732D"/>
    <w:rsid w:val="006A07FF"/>
    <w:rsid w:val="006A0C09"/>
    <w:rsid w:val="006A16AD"/>
    <w:rsid w:val="006A32FD"/>
    <w:rsid w:val="006A3377"/>
    <w:rsid w:val="006A53FE"/>
    <w:rsid w:val="006A55A6"/>
    <w:rsid w:val="006A5EB3"/>
    <w:rsid w:val="006A5F39"/>
    <w:rsid w:val="006A6F3C"/>
    <w:rsid w:val="006B097E"/>
    <w:rsid w:val="006B1606"/>
    <w:rsid w:val="006B1E4D"/>
    <w:rsid w:val="006B2868"/>
    <w:rsid w:val="006B3467"/>
    <w:rsid w:val="006B360C"/>
    <w:rsid w:val="006B6C05"/>
    <w:rsid w:val="006C0CE5"/>
    <w:rsid w:val="006C174B"/>
    <w:rsid w:val="006C1970"/>
    <w:rsid w:val="006C25B2"/>
    <w:rsid w:val="006C2EE1"/>
    <w:rsid w:val="006C58D3"/>
    <w:rsid w:val="006C62D1"/>
    <w:rsid w:val="006C6A28"/>
    <w:rsid w:val="006C6AF9"/>
    <w:rsid w:val="006C73DE"/>
    <w:rsid w:val="006C7809"/>
    <w:rsid w:val="006D199E"/>
    <w:rsid w:val="006D1B52"/>
    <w:rsid w:val="006D250D"/>
    <w:rsid w:val="006D25D8"/>
    <w:rsid w:val="006D26A7"/>
    <w:rsid w:val="006D2B1D"/>
    <w:rsid w:val="006D2F10"/>
    <w:rsid w:val="006D36C4"/>
    <w:rsid w:val="006D3A7F"/>
    <w:rsid w:val="006D47B3"/>
    <w:rsid w:val="006D603A"/>
    <w:rsid w:val="006D71EB"/>
    <w:rsid w:val="006D7611"/>
    <w:rsid w:val="006D764B"/>
    <w:rsid w:val="006D7B3D"/>
    <w:rsid w:val="006E01AD"/>
    <w:rsid w:val="006E17A3"/>
    <w:rsid w:val="006E17CF"/>
    <w:rsid w:val="006E18AE"/>
    <w:rsid w:val="006E2D91"/>
    <w:rsid w:val="006E2E5F"/>
    <w:rsid w:val="006E2ED7"/>
    <w:rsid w:val="006E4AF4"/>
    <w:rsid w:val="006E581B"/>
    <w:rsid w:val="006E5A6D"/>
    <w:rsid w:val="006E6AD3"/>
    <w:rsid w:val="006E7E4F"/>
    <w:rsid w:val="006F0B8B"/>
    <w:rsid w:val="006F0CD3"/>
    <w:rsid w:val="006F10FE"/>
    <w:rsid w:val="006F19F1"/>
    <w:rsid w:val="006F1C70"/>
    <w:rsid w:val="006F22D0"/>
    <w:rsid w:val="006F275A"/>
    <w:rsid w:val="006F2D58"/>
    <w:rsid w:val="006F2FF4"/>
    <w:rsid w:val="006F3319"/>
    <w:rsid w:val="006F3BE8"/>
    <w:rsid w:val="006F3C4B"/>
    <w:rsid w:val="006F585D"/>
    <w:rsid w:val="006F5CBB"/>
    <w:rsid w:val="006F6A33"/>
    <w:rsid w:val="006F7C96"/>
    <w:rsid w:val="006F7D74"/>
    <w:rsid w:val="00700711"/>
    <w:rsid w:val="00700CF5"/>
    <w:rsid w:val="00701F57"/>
    <w:rsid w:val="00702B53"/>
    <w:rsid w:val="00703B19"/>
    <w:rsid w:val="00704510"/>
    <w:rsid w:val="00705498"/>
    <w:rsid w:val="00705D5C"/>
    <w:rsid w:val="0070698C"/>
    <w:rsid w:val="007070F0"/>
    <w:rsid w:val="007073AC"/>
    <w:rsid w:val="0071057F"/>
    <w:rsid w:val="00712616"/>
    <w:rsid w:val="00712FE1"/>
    <w:rsid w:val="00713BAC"/>
    <w:rsid w:val="00713D37"/>
    <w:rsid w:val="00714BE4"/>
    <w:rsid w:val="0071515E"/>
    <w:rsid w:val="00716A85"/>
    <w:rsid w:val="00717768"/>
    <w:rsid w:val="00717D49"/>
    <w:rsid w:val="00720409"/>
    <w:rsid w:val="0072107C"/>
    <w:rsid w:val="007215C8"/>
    <w:rsid w:val="00721801"/>
    <w:rsid w:val="0072187A"/>
    <w:rsid w:val="007219CD"/>
    <w:rsid w:val="007219FA"/>
    <w:rsid w:val="0072353C"/>
    <w:rsid w:val="00723D1F"/>
    <w:rsid w:val="00724362"/>
    <w:rsid w:val="00724E66"/>
    <w:rsid w:val="00725FE9"/>
    <w:rsid w:val="00726286"/>
    <w:rsid w:val="00726651"/>
    <w:rsid w:val="007277E8"/>
    <w:rsid w:val="00730022"/>
    <w:rsid w:val="00730D18"/>
    <w:rsid w:val="00730DE2"/>
    <w:rsid w:val="0073202C"/>
    <w:rsid w:val="00732136"/>
    <w:rsid w:val="00733C1F"/>
    <w:rsid w:val="00734E48"/>
    <w:rsid w:val="00735FCC"/>
    <w:rsid w:val="00736683"/>
    <w:rsid w:val="00737175"/>
    <w:rsid w:val="007376C5"/>
    <w:rsid w:val="0074057B"/>
    <w:rsid w:val="00740A5F"/>
    <w:rsid w:val="00740B91"/>
    <w:rsid w:val="00740F3F"/>
    <w:rsid w:val="00741055"/>
    <w:rsid w:val="00741714"/>
    <w:rsid w:val="00741B11"/>
    <w:rsid w:val="007429E1"/>
    <w:rsid w:val="00742D92"/>
    <w:rsid w:val="007430AE"/>
    <w:rsid w:val="00743608"/>
    <w:rsid w:val="00743BD5"/>
    <w:rsid w:val="0074472B"/>
    <w:rsid w:val="00744CF4"/>
    <w:rsid w:val="0074601B"/>
    <w:rsid w:val="00746B58"/>
    <w:rsid w:val="00747A1A"/>
    <w:rsid w:val="00750592"/>
    <w:rsid w:val="007506D1"/>
    <w:rsid w:val="00752D57"/>
    <w:rsid w:val="007538D8"/>
    <w:rsid w:val="00754086"/>
    <w:rsid w:val="00754434"/>
    <w:rsid w:val="007551CD"/>
    <w:rsid w:val="00756522"/>
    <w:rsid w:val="00757EBE"/>
    <w:rsid w:val="007603C9"/>
    <w:rsid w:val="007612A3"/>
    <w:rsid w:val="00761420"/>
    <w:rsid w:val="00761C5E"/>
    <w:rsid w:val="00761D12"/>
    <w:rsid w:val="00762E94"/>
    <w:rsid w:val="00763666"/>
    <w:rsid w:val="007639D9"/>
    <w:rsid w:val="00766731"/>
    <w:rsid w:val="00767A3D"/>
    <w:rsid w:val="00767AC8"/>
    <w:rsid w:val="007704CE"/>
    <w:rsid w:val="007729BD"/>
    <w:rsid w:val="00772DF9"/>
    <w:rsid w:val="007731EB"/>
    <w:rsid w:val="00773348"/>
    <w:rsid w:val="00774B94"/>
    <w:rsid w:val="00775502"/>
    <w:rsid w:val="00775F83"/>
    <w:rsid w:val="007764DB"/>
    <w:rsid w:val="00777763"/>
    <w:rsid w:val="00777E14"/>
    <w:rsid w:val="00780DEE"/>
    <w:rsid w:val="00780F08"/>
    <w:rsid w:val="00781BDD"/>
    <w:rsid w:val="007823EA"/>
    <w:rsid w:val="00782518"/>
    <w:rsid w:val="00782C12"/>
    <w:rsid w:val="007845DF"/>
    <w:rsid w:val="007867BA"/>
    <w:rsid w:val="00786A8E"/>
    <w:rsid w:val="00790210"/>
    <w:rsid w:val="00790B90"/>
    <w:rsid w:val="00790BEF"/>
    <w:rsid w:val="00791571"/>
    <w:rsid w:val="00791624"/>
    <w:rsid w:val="00792B2A"/>
    <w:rsid w:val="007939C0"/>
    <w:rsid w:val="00794D3C"/>
    <w:rsid w:val="00794D98"/>
    <w:rsid w:val="00795132"/>
    <w:rsid w:val="00795437"/>
    <w:rsid w:val="007959EE"/>
    <w:rsid w:val="00795EA3"/>
    <w:rsid w:val="00796313"/>
    <w:rsid w:val="007965CF"/>
    <w:rsid w:val="00796F5A"/>
    <w:rsid w:val="007970B1"/>
    <w:rsid w:val="007970CA"/>
    <w:rsid w:val="0079714C"/>
    <w:rsid w:val="007A078A"/>
    <w:rsid w:val="007A07D5"/>
    <w:rsid w:val="007A1BE5"/>
    <w:rsid w:val="007A1C6F"/>
    <w:rsid w:val="007A20FF"/>
    <w:rsid w:val="007A3787"/>
    <w:rsid w:val="007A4C34"/>
    <w:rsid w:val="007A4DB7"/>
    <w:rsid w:val="007A7154"/>
    <w:rsid w:val="007A719B"/>
    <w:rsid w:val="007A7454"/>
    <w:rsid w:val="007B0412"/>
    <w:rsid w:val="007B04C6"/>
    <w:rsid w:val="007B10EA"/>
    <w:rsid w:val="007B11DC"/>
    <w:rsid w:val="007B1272"/>
    <w:rsid w:val="007B1509"/>
    <w:rsid w:val="007B1693"/>
    <w:rsid w:val="007B3B5E"/>
    <w:rsid w:val="007B3DE6"/>
    <w:rsid w:val="007B493B"/>
    <w:rsid w:val="007B4A4A"/>
    <w:rsid w:val="007B537C"/>
    <w:rsid w:val="007B6DB1"/>
    <w:rsid w:val="007B7265"/>
    <w:rsid w:val="007B73F9"/>
    <w:rsid w:val="007B7811"/>
    <w:rsid w:val="007B7FFD"/>
    <w:rsid w:val="007C1B20"/>
    <w:rsid w:val="007C1C0D"/>
    <w:rsid w:val="007C1C66"/>
    <w:rsid w:val="007C2245"/>
    <w:rsid w:val="007C2284"/>
    <w:rsid w:val="007C2374"/>
    <w:rsid w:val="007C3140"/>
    <w:rsid w:val="007C3748"/>
    <w:rsid w:val="007C53B9"/>
    <w:rsid w:val="007C6409"/>
    <w:rsid w:val="007C6A23"/>
    <w:rsid w:val="007C6DF2"/>
    <w:rsid w:val="007C7902"/>
    <w:rsid w:val="007D101E"/>
    <w:rsid w:val="007D15A5"/>
    <w:rsid w:val="007D1B14"/>
    <w:rsid w:val="007D2252"/>
    <w:rsid w:val="007D2BB1"/>
    <w:rsid w:val="007D2D0F"/>
    <w:rsid w:val="007D3BFC"/>
    <w:rsid w:val="007D617A"/>
    <w:rsid w:val="007D6E5B"/>
    <w:rsid w:val="007E0362"/>
    <w:rsid w:val="007E0532"/>
    <w:rsid w:val="007E07EA"/>
    <w:rsid w:val="007E170D"/>
    <w:rsid w:val="007E24E4"/>
    <w:rsid w:val="007E2AA4"/>
    <w:rsid w:val="007E2CA2"/>
    <w:rsid w:val="007E3246"/>
    <w:rsid w:val="007E410E"/>
    <w:rsid w:val="007E49A1"/>
    <w:rsid w:val="007E4C29"/>
    <w:rsid w:val="007E4DD2"/>
    <w:rsid w:val="007E5D8A"/>
    <w:rsid w:val="007E6090"/>
    <w:rsid w:val="007E612A"/>
    <w:rsid w:val="007E70FB"/>
    <w:rsid w:val="007E72D3"/>
    <w:rsid w:val="007E7562"/>
    <w:rsid w:val="007E772A"/>
    <w:rsid w:val="007E7881"/>
    <w:rsid w:val="007F172E"/>
    <w:rsid w:val="007F1DEC"/>
    <w:rsid w:val="007F2162"/>
    <w:rsid w:val="007F2D57"/>
    <w:rsid w:val="007F3D6F"/>
    <w:rsid w:val="007F6928"/>
    <w:rsid w:val="007F6B0C"/>
    <w:rsid w:val="007F6C6B"/>
    <w:rsid w:val="007F6EAB"/>
    <w:rsid w:val="007F7C64"/>
    <w:rsid w:val="008009C7"/>
    <w:rsid w:val="0080148C"/>
    <w:rsid w:val="008017BC"/>
    <w:rsid w:val="00801B81"/>
    <w:rsid w:val="00801BFB"/>
    <w:rsid w:val="00801FD5"/>
    <w:rsid w:val="00802B6A"/>
    <w:rsid w:val="00803A27"/>
    <w:rsid w:val="00803BC6"/>
    <w:rsid w:val="00803E6D"/>
    <w:rsid w:val="0080413B"/>
    <w:rsid w:val="008042F7"/>
    <w:rsid w:val="00804D60"/>
    <w:rsid w:val="00804F70"/>
    <w:rsid w:val="00805B28"/>
    <w:rsid w:val="00806160"/>
    <w:rsid w:val="008101E2"/>
    <w:rsid w:val="00811931"/>
    <w:rsid w:val="008120DC"/>
    <w:rsid w:val="00812342"/>
    <w:rsid w:val="00812A82"/>
    <w:rsid w:val="00812DA5"/>
    <w:rsid w:val="00813DFF"/>
    <w:rsid w:val="00814294"/>
    <w:rsid w:val="00814E71"/>
    <w:rsid w:val="008164C8"/>
    <w:rsid w:val="00817AD1"/>
    <w:rsid w:val="008228BD"/>
    <w:rsid w:val="00823BE4"/>
    <w:rsid w:val="00825592"/>
    <w:rsid w:val="00825636"/>
    <w:rsid w:val="00825829"/>
    <w:rsid w:val="00825AB0"/>
    <w:rsid w:val="00825F1D"/>
    <w:rsid w:val="00827752"/>
    <w:rsid w:val="0082798A"/>
    <w:rsid w:val="00827A34"/>
    <w:rsid w:val="008309E8"/>
    <w:rsid w:val="008309EA"/>
    <w:rsid w:val="008314B6"/>
    <w:rsid w:val="00831D7E"/>
    <w:rsid w:val="00831FA3"/>
    <w:rsid w:val="00832C53"/>
    <w:rsid w:val="00832E86"/>
    <w:rsid w:val="00832E8E"/>
    <w:rsid w:val="008330EA"/>
    <w:rsid w:val="008338C3"/>
    <w:rsid w:val="008339F4"/>
    <w:rsid w:val="00833E63"/>
    <w:rsid w:val="00834D6E"/>
    <w:rsid w:val="008354EC"/>
    <w:rsid w:val="00835B61"/>
    <w:rsid w:val="008362CF"/>
    <w:rsid w:val="00836975"/>
    <w:rsid w:val="0083778D"/>
    <w:rsid w:val="00837C1E"/>
    <w:rsid w:val="0084104B"/>
    <w:rsid w:val="008412B2"/>
    <w:rsid w:val="00841412"/>
    <w:rsid w:val="00841E24"/>
    <w:rsid w:val="0084208A"/>
    <w:rsid w:val="0084235F"/>
    <w:rsid w:val="00842C96"/>
    <w:rsid w:val="00842D71"/>
    <w:rsid w:val="00843174"/>
    <w:rsid w:val="0084369A"/>
    <w:rsid w:val="00843AA3"/>
    <w:rsid w:val="0084426E"/>
    <w:rsid w:val="008445F2"/>
    <w:rsid w:val="008447E2"/>
    <w:rsid w:val="00844D6D"/>
    <w:rsid w:val="00845BF6"/>
    <w:rsid w:val="00846CB0"/>
    <w:rsid w:val="008470CD"/>
    <w:rsid w:val="00847E63"/>
    <w:rsid w:val="00847F19"/>
    <w:rsid w:val="008520F9"/>
    <w:rsid w:val="008522C7"/>
    <w:rsid w:val="00853F4E"/>
    <w:rsid w:val="00854532"/>
    <w:rsid w:val="00855795"/>
    <w:rsid w:val="00855BEF"/>
    <w:rsid w:val="00855E18"/>
    <w:rsid w:val="00855EA8"/>
    <w:rsid w:val="008568B4"/>
    <w:rsid w:val="00857200"/>
    <w:rsid w:val="008575BE"/>
    <w:rsid w:val="00857BE1"/>
    <w:rsid w:val="008607E7"/>
    <w:rsid w:val="00860DCC"/>
    <w:rsid w:val="008619FA"/>
    <w:rsid w:val="00862054"/>
    <w:rsid w:val="00862846"/>
    <w:rsid w:val="00862F89"/>
    <w:rsid w:val="00864D8A"/>
    <w:rsid w:val="00865352"/>
    <w:rsid w:val="00866311"/>
    <w:rsid w:val="00866C1B"/>
    <w:rsid w:val="008708FF"/>
    <w:rsid w:val="0087113D"/>
    <w:rsid w:val="00872E54"/>
    <w:rsid w:val="00874D1E"/>
    <w:rsid w:val="00875181"/>
    <w:rsid w:val="00875D69"/>
    <w:rsid w:val="00876CD1"/>
    <w:rsid w:val="00876DB8"/>
    <w:rsid w:val="00877622"/>
    <w:rsid w:val="008800BE"/>
    <w:rsid w:val="0088082D"/>
    <w:rsid w:val="00881218"/>
    <w:rsid w:val="00881C5D"/>
    <w:rsid w:val="00882B9A"/>
    <w:rsid w:val="0088311D"/>
    <w:rsid w:val="00884A25"/>
    <w:rsid w:val="008869E2"/>
    <w:rsid w:val="0089167C"/>
    <w:rsid w:val="00892660"/>
    <w:rsid w:val="008939F1"/>
    <w:rsid w:val="008944D9"/>
    <w:rsid w:val="00894835"/>
    <w:rsid w:val="008949AC"/>
    <w:rsid w:val="00895382"/>
    <w:rsid w:val="0089548D"/>
    <w:rsid w:val="0089566B"/>
    <w:rsid w:val="00895CD8"/>
    <w:rsid w:val="00896E8B"/>
    <w:rsid w:val="008970C8"/>
    <w:rsid w:val="008972E0"/>
    <w:rsid w:val="00897871"/>
    <w:rsid w:val="008A0E1B"/>
    <w:rsid w:val="008A234A"/>
    <w:rsid w:val="008A2BE8"/>
    <w:rsid w:val="008A3CFB"/>
    <w:rsid w:val="008A444F"/>
    <w:rsid w:val="008A4B88"/>
    <w:rsid w:val="008A562B"/>
    <w:rsid w:val="008A678D"/>
    <w:rsid w:val="008A6827"/>
    <w:rsid w:val="008A7512"/>
    <w:rsid w:val="008A7A72"/>
    <w:rsid w:val="008B06A0"/>
    <w:rsid w:val="008B13C2"/>
    <w:rsid w:val="008B1600"/>
    <w:rsid w:val="008B1D07"/>
    <w:rsid w:val="008B2E83"/>
    <w:rsid w:val="008B38FE"/>
    <w:rsid w:val="008B459A"/>
    <w:rsid w:val="008B5C26"/>
    <w:rsid w:val="008B5EC1"/>
    <w:rsid w:val="008B67A0"/>
    <w:rsid w:val="008C0425"/>
    <w:rsid w:val="008C0532"/>
    <w:rsid w:val="008C0B7D"/>
    <w:rsid w:val="008C15BE"/>
    <w:rsid w:val="008C174A"/>
    <w:rsid w:val="008C397C"/>
    <w:rsid w:val="008C39D9"/>
    <w:rsid w:val="008C566C"/>
    <w:rsid w:val="008C60E1"/>
    <w:rsid w:val="008C72AF"/>
    <w:rsid w:val="008C7C31"/>
    <w:rsid w:val="008D08EF"/>
    <w:rsid w:val="008D1ECA"/>
    <w:rsid w:val="008D2038"/>
    <w:rsid w:val="008D24A1"/>
    <w:rsid w:val="008D2D44"/>
    <w:rsid w:val="008D56F0"/>
    <w:rsid w:val="008D61AC"/>
    <w:rsid w:val="008D637D"/>
    <w:rsid w:val="008D7A13"/>
    <w:rsid w:val="008D7D3F"/>
    <w:rsid w:val="008E0ACC"/>
    <w:rsid w:val="008E0FF5"/>
    <w:rsid w:val="008E227C"/>
    <w:rsid w:val="008E2282"/>
    <w:rsid w:val="008E2F6D"/>
    <w:rsid w:val="008E3B3D"/>
    <w:rsid w:val="008E4569"/>
    <w:rsid w:val="008E45B5"/>
    <w:rsid w:val="008E4F5D"/>
    <w:rsid w:val="008E55C2"/>
    <w:rsid w:val="008E5860"/>
    <w:rsid w:val="008E5950"/>
    <w:rsid w:val="008E5D80"/>
    <w:rsid w:val="008E664D"/>
    <w:rsid w:val="008E6D5E"/>
    <w:rsid w:val="008E79B3"/>
    <w:rsid w:val="008F1C9A"/>
    <w:rsid w:val="008F295F"/>
    <w:rsid w:val="008F2B0D"/>
    <w:rsid w:val="008F32C8"/>
    <w:rsid w:val="008F3EB1"/>
    <w:rsid w:val="008F463F"/>
    <w:rsid w:val="008F4AEC"/>
    <w:rsid w:val="008F4BDC"/>
    <w:rsid w:val="008F69DE"/>
    <w:rsid w:val="008F6C52"/>
    <w:rsid w:val="008F7156"/>
    <w:rsid w:val="00900173"/>
    <w:rsid w:val="00900196"/>
    <w:rsid w:val="009011EE"/>
    <w:rsid w:val="00901C0D"/>
    <w:rsid w:val="00902A71"/>
    <w:rsid w:val="00902EC5"/>
    <w:rsid w:val="009030CB"/>
    <w:rsid w:val="009032E0"/>
    <w:rsid w:val="009036C8"/>
    <w:rsid w:val="0090387A"/>
    <w:rsid w:val="0090484E"/>
    <w:rsid w:val="00905EA2"/>
    <w:rsid w:val="00907606"/>
    <w:rsid w:val="00907B37"/>
    <w:rsid w:val="00907CD1"/>
    <w:rsid w:val="00910AD5"/>
    <w:rsid w:val="00910CCE"/>
    <w:rsid w:val="0091263A"/>
    <w:rsid w:val="00912B19"/>
    <w:rsid w:val="00912D18"/>
    <w:rsid w:val="009132FC"/>
    <w:rsid w:val="00913340"/>
    <w:rsid w:val="009134BB"/>
    <w:rsid w:val="00913508"/>
    <w:rsid w:val="00913FB0"/>
    <w:rsid w:val="009142B5"/>
    <w:rsid w:val="009164D8"/>
    <w:rsid w:val="00920283"/>
    <w:rsid w:val="00920E4E"/>
    <w:rsid w:val="009219B6"/>
    <w:rsid w:val="00923190"/>
    <w:rsid w:val="009236A8"/>
    <w:rsid w:val="00923BEB"/>
    <w:rsid w:val="0092422E"/>
    <w:rsid w:val="009249F0"/>
    <w:rsid w:val="00924AEC"/>
    <w:rsid w:val="00925DB8"/>
    <w:rsid w:val="0092615A"/>
    <w:rsid w:val="009270D6"/>
    <w:rsid w:val="0092785C"/>
    <w:rsid w:val="00927F96"/>
    <w:rsid w:val="00930711"/>
    <w:rsid w:val="00930CB0"/>
    <w:rsid w:val="00931447"/>
    <w:rsid w:val="00931C53"/>
    <w:rsid w:val="009336BC"/>
    <w:rsid w:val="009343E9"/>
    <w:rsid w:val="0093453D"/>
    <w:rsid w:val="00934714"/>
    <w:rsid w:val="009352CD"/>
    <w:rsid w:val="00935322"/>
    <w:rsid w:val="009355C3"/>
    <w:rsid w:val="00936E1D"/>
    <w:rsid w:val="0093743F"/>
    <w:rsid w:val="0093752B"/>
    <w:rsid w:val="00940EB8"/>
    <w:rsid w:val="00941699"/>
    <w:rsid w:val="009417A3"/>
    <w:rsid w:val="00941CA7"/>
    <w:rsid w:val="009435AC"/>
    <w:rsid w:val="00944202"/>
    <w:rsid w:val="00945379"/>
    <w:rsid w:val="0094623D"/>
    <w:rsid w:val="009469F0"/>
    <w:rsid w:val="00946DDE"/>
    <w:rsid w:val="00947586"/>
    <w:rsid w:val="00951099"/>
    <w:rsid w:val="0095142F"/>
    <w:rsid w:val="00953D92"/>
    <w:rsid w:val="00954793"/>
    <w:rsid w:val="009556C9"/>
    <w:rsid w:val="009558DC"/>
    <w:rsid w:val="009563A1"/>
    <w:rsid w:val="009626BA"/>
    <w:rsid w:val="00963952"/>
    <w:rsid w:val="00964245"/>
    <w:rsid w:val="00964544"/>
    <w:rsid w:val="00965353"/>
    <w:rsid w:val="009663EA"/>
    <w:rsid w:val="0096643C"/>
    <w:rsid w:val="009670DE"/>
    <w:rsid w:val="00967F4A"/>
    <w:rsid w:val="00970CD3"/>
    <w:rsid w:val="009725DD"/>
    <w:rsid w:val="00973460"/>
    <w:rsid w:val="00974124"/>
    <w:rsid w:val="009746F3"/>
    <w:rsid w:val="00974E59"/>
    <w:rsid w:val="00975055"/>
    <w:rsid w:val="00975347"/>
    <w:rsid w:val="00975A9C"/>
    <w:rsid w:val="009763F2"/>
    <w:rsid w:val="00977002"/>
    <w:rsid w:val="00980068"/>
    <w:rsid w:val="009801A9"/>
    <w:rsid w:val="00980B3F"/>
    <w:rsid w:val="00980FCC"/>
    <w:rsid w:val="009811A8"/>
    <w:rsid w:val="0098139F"/>
    <w:rsid w:val="00981C7C"/>
    <w:rsid w:val="009820C9"/>
    <w:rsid w:val="00982726"/>
    <w:rsid w:val="009828CA"/>
    <w:rsid w:val="00982A2D"/>
    <w:rsid w:val="00983465"/>
    <w:rsid w:val="009838BC"/>
    <w:rsid w:val="009838C8"/>
    <w:rsid w:val="0098391A"/>
    <w:rsid w:val="00983C17"/>
    <w:rsid w:val="0098408F"/>
    <w:rsid w:val="00984F99"/>
    <w:rsid w:val="009856E4"/>
    <w:rsid w:val="00985F6A"/>
    <w:rsid w:val="009864B3"/>
    <w:rsid w:val="00986C84"/>
    <w:rsid w:val="00987032"/>
    <w:rsid w:val="009870F8"/>
    <w:rsid w:val="00987238"/>
    <w:rsid w:val="00990959"/>
    <w:rsid w:val="00991097"/>
    <w:rsid w:val="00992108"/>
    <w:rsid w:val="00992239"/>
    <w:rsid w:val="00992437"/>
    <w:rsid w:val="00992DE6"/>
    <w:rsid w:val="0099372F"/>
    <w:rsid w:val="00993C08"/>
    <w:rsid w:val="009946DE"/>
    <w:rsid w:val="009952B2"/>
    <w:rsid w:val="0099611A"/>
    <w:rsid w:val="00996E71"/>
    <w:rsid w:val="009973CA"/>
    <w:rsid w:val="009975CE"/>
    <w:rsid w:val="009A0E13"/>
    <w:rsid w:val="009A13F0"/>
    <w:rsid w:val="009A235C"/>
    <w:rsid w:val="009A256B"/>
    <w:rsid w:val="009A4458"/>
    <w:rsid w:val="009A4ABC"/>
    <w:rsid w:val="009A5E19"/>
    <w:rsid w:val="009A6CE9"/>
    <w:rsid w:val="009A6D40"/>
    <w:rsid w:val="009B08CA"/>
    <w:rsid w:val="009B10B2"/>
    <w:rsid w:val="009B33BE"/>
    <w:rsid w:val="009B4865"/>
    <w:rsid w:val="009B4C96"/>
    <w:rsid w:val="009B4CF7"/>
    <w:rsid w:val="009B585F"/>
    <w:rsid w:val="009B5DE3"/>
    <w:rsid w:val="009B5E88"/>
    <w:rsid w:val="009B6242"/>
    <w:rsid w:val="009B7356"/>
    <w:rsid w:val="009C03BC"/>
    <w:rsid w:val="009C06E1"/>
    <w:rsid w:val="009C1E75"/>
    <w:rsid w:val="009C282C"/>
    <w:rsid w:val="009C4371"/>
    <w:rsid w:val="009C4A22"/>
    <w:rsid w:val="009C4D94"/>
    <w:rsid w:val="009C4E38"/>
    <w:rsid w:val="009C7177"/>
    <w:rsid w:val="009C7717"/>
    <w:rsid w:val="009D079F"/>
    <w:rsid w:val="009D0D08"/>
    <w:rsid w:val="009D0FCC"/>
    <w:rsid w:val="009D117C"/>
    <w:rsid w:val="009D1423"/>
    <w:rsid w:val="009D4265"/>
    <w:rsid w:val="009D4411"/>
    <w:rsid w:val="009D4B41"/>
    <w:rsid w:val="009D574D"/>
    <w:rsid w:val="009D5FBB"/>
    <w:rsid w:val="009D7617"/>
    <w:rsid w:val="009E056B"/>
    <w:rsid w:val="009E07AA"/>
    <w:rsid w:val="009E0C85"/>
    <w:rsid w:val="009E105D"/>
    <w:rsid w:val="009E2143"/>
    <w:rsid w:val="009E3157"/>
    <w:rsid w:val="009E3367"/>
    <w:rsid w:val="009E5410"/>
    <w:rsid w:val="009E5EAB"/>
    <w:rsid w:val="009E7B58"/>
    <w:rsid w:val="009F255D"/>
    <w:rsid w:val="009F26A3"/>
    <w:rsid w:val="009F2AD5"/>
    <w:rsid w:val="009F430B"/>
    <w:rsid w:val="009F4F3B"/>
    <w:rsid w:val="009F62FA"/>
    <w:rsid w:val="009F6931"/>
    <w:rsid w:val="009F69FF"/>
    <w:rsid w:val="009F6D79"/>
    <w:rsid w:val="009F7B7C"/>
    <w:rsid w:val="009F7D5C"/>
    <w:rsid w:val="00A0003B"/>
    <w:rsid w:val="00A007F1"/>
    <w:rsid w:val="00A01680"/>
    <w:rsid w:val="00A01991"/>
    <w:rsid w:val="00A01A6A"/>
    <w:rsid w:val="00A01AB1"/>
    <w:rsid w:val="00A02612"/>
    <w:rsid w:val="00A028B4"/>
    <w:rsid w:val="00A02A3D"/>
    <w:rsid w:val="00A03B4A"/>
    <w:rsid w:val="00A03F00"/>
    <w:rsid w:val="00A03F62"/>
    <w:rsid w:val="00A053EB"/>
    <w:rsid w:val="00A058D6"/>
    <w:rsid w:val="00A0739F"/>
    <w:rsid w:val="00A10739"/>
    <w:rsid w:val="00A1160E"/>
    <w:rsid w:val="00A11811"/>
    <w:rsid w:val="00A12C1C"/>
    <w:rsid w:val="00A12C20"/>
    <w:rsid w:val="00A131D6"/>
    <w:rsid w:val="00A13AA1"/>
    <w:rsid w:val="00A14CBF"/>
    <w:rsid w:val="00A159BD"/>
    <w:rsid w:val="00A15D4A"/>
    <w:rsid w:val="00A16127"/>
    <w:rsid w:val="00A167CA"/>
    <w:rsid w:val="00A2234E"/>
    <w:rsid w:val="00A231D0"/>
    <w:rsid w:val="00A231D6"/>
    <w:rsid w:val="00A231D8"/>
    <w:rsid w:val="00A235D7"/>
    <w:rsid w:val="00A243C4"/>
    <w:rsid w:val="00A25946"/>
    <w:rsid w:val="00A25DC3"/>
    <w:rsid w:val="00A263E1"/>
    <w:rsid w:val="00A26E04"/>
    <w:rsid w:val="00A2798F"/>
    <w:rsid w:val="00A27B83"/>
    <w:rsid w:val="00A27CC6"/>
    <w:rsid w:val="00A300A0"/>
    <w:rsid w:val="00A300F7"/>
    <w:rsid w:val="00A303EC"/>
    <w:rsid w:val="00A30C9B"/>
    <w:rsid w:val="00A3134E"/>
    <w:rsid w:val="00A336D4"/>
    <w:rsid w:val="00A33DEB"/>
    <w:rsid w:val="00A348D4"/>
    <w:rsid w:val="00A3491C"/>
    <w:rsid w:val="00A34D6C"/>
    <w:rsid w:val="00A35039"/>
    <w:rsid w:val="00A35F86"/>
    <w:rsid w:val="00A361B4"/>
    <w:rsid w:val="00A37326"/>
    <w:rsid w:val="00A373C2"/>
    <w:rsid w:val="00A400A0"/>
    <w:rsid w:val="00A40A1F"/>
    <w:rsid w:val="00A4178C"/>
    <w:rsid w:val="00A41E66"/>
    <w:rsid w:val="00A41F1D"/>
    <w:rsid w:val="00A42208"/>
    <w:rsid w:val="00A439E3"/>
    <w:rsid w:val="00A43B77"/>
    <w:rsid w:val="00A448B0"/>
    <w:rsid w:val="00A44C79"/>
    <w:rsid w:val="00A44E34"/>
    <w:rsid w:val="00A451EE"/>
    <w:rsid w:val="00A45B1A"/>
    <w:rsid w:val="00A46E73"/>
    <w:rsid w:val="00A4706B"/>
    <w:rsid w:val="00A471C7"/>
    <w:rsid w:val="00A472D7"/>
    <w:rsid w:val="00A4744A"/>
    <w:rsid w:val="00A51469"/>
    <w:rsid w:val="00A52D21"/>
    <w:rsid w:val="00A5333E"/>
    <w:rsid w:val="00A53C74"/>
    <w:rsid w:val="00A54A26"/>
    <w:rsid w:val="00A54C85"/>
    <w:rsid w:val="00A55D93"/>
    <w:rsid w:val="00A562D0"/>
    <w:rsid w:val="00A56ADB"/>
    <w:rsid w:val="00A5734E"/>
    <w:rsid w:val="00A60091"/>
    <w:rsid w:val="00A61B46"/>
    <w:rsid w:val="00A62AC9"/>
    <w:rsid w:val="00A62F86"/>
    <w:rsid w:val="00A6352E"/>
    <w:rsid w:val="00A6364F"/>
    <w:rsid w:val="00A63BF6"/>
    <w:rsid w:val="00A66D06"/>
    <w:rsid w:val="00A672DC"/>
    <w:rsid w:val="00A70E52"/>
    <w:rsid w:val="00A713E4"/>
    <w:rsid w:val="00A71553"/>
    <w:rsid w:val="00A72605"/>
    <w:rsid w:val="00A72B42"/>
    <w:rsid w:val="00A72EAA"/>
    <w:rsid w:val="00A73273"/>
    <w:rsid w:val="00A7338A"/>
    <w:rsid w:val="00A75A5F"/>
    <w:rsid w:val="00A75B84"/>
    <w:rsid w:val="00A8046C"/>
    <w:rsid w:val="00A824E8"/>
    <w:rsid w:val="00A825F2"/>
    <w:rsid w:val="00A827E4"/>
    <w:rsid w:val="00A82C95"/>
    <w:rsid w:val="00A83B68"/>
    <w:rsid w:val="00A84BE4"/>
    <w:rsid w:val="00A86EB2"/>
    <w:rsid w:val="00A905A8"/>
    <w:rsid w:val="00A90BEB"/>
    <w:rsid w:val="00A919A6"/>
    <w:rsid w:val="00A93144"/>
    <w:rsid w:val="00A952C9"/>
    <w:rsid w:val="00A9597D"/>
    <w:rsid w:val="00A95C2D"/>
    <w:rsid w:val="00A95DB6"/>
    <w:rsid w:val="00A969FC"/>
    <w:rsid w:val="00A96A95"/>
    <w:rsid w:val="00A96AE7"/>
    <w:rsid w:val="00A970B2"/>
    <w:rsid w:val="00A973F9"/>
    <w:rsid w:val="00AA1973"/>
    <w:rsid w:val="00AA406B"/>
    <w:rsid w:val="00AA42FE"/>
    <w:rsid w:val="00AA4B1E"/>
    <w:rsid w:val="00AA4D19"/>
    <w:rsid w:val="00AA536A"/>
    <w:rsid w:val="00AA5639"/>
    <w:rsid w:val="00AA56E9"/>
    <w:rsid w:val="00AA66AE"/>
    <w:rsid w:val="00AA7047"/>
    <w:rsid w:val="00AA7138"/>
    <w:rsid w:val="00AA7E66"/>
    <w:rsid w:val="00AB06C0"/>
    <w:rsid w:val="00AB1112"/>
    <w:rsid w:val="00AB14FB"/>
    <w:rsid w:val="00AB19A9"/>
    <w:rsid w:val="00AB2AFE"/>
    <w:rsid w:val="00AB3BF7"/>
    <w:rsid w:val="00AB4D1D"/>
    <w:rsid w:val="00AB659E"/>
    <w:rsid w:val="00AB7660"/>
    <w:rsid w:val="00AB7B4E"/>
    <w:rsid w:val="00AB7D09"/>
    <w:rsid w:val="00AB7E64"/>
    <w:rsid w:val="00AC0240"/>
    <w:rsid w:val="00AC04A5"/>
    <w:rsid w:val="00AC3593"/>
    <w:rsid w:val="00AC36B6"/>
    <w:rsid w:val="00AC373D"/>
    <w:rsid w:val="00AC37E8"/>
    <w:rsid w:val="00AC37FD"/>
    <w:rsid w:val="00AC458D"/>
    <w:rsid w:val="00AC4A95"/>
    <w:rsid w:val="00AC7EF2"/>
    <w:rsid w:val="00AD013A"/>
    <w:rsid w:val="00AD0602"/>
    <w:rsid w:val="00AD0B2A"/>
    <w:rsid w:val="00AD0CD5"/>
    <w:rsid w:val="00AD10EB"/>
    <w:rsid w:val="00AD26AA"/>
    <w:rsid w:val="00AD2C20"/>
    <w:rsid w:val="00AD4867"/>
    <w:rsid w:val="00AD4962"/>
    <w:rsid w:val="00AD4BF1"/>
    <w:rsid w:val="00AD50FA"/>
    <w:rsid w:val="00AD55B7"/>
    <w:rsid w:val="00AD5966"/>
    <w:rsid w:val="00AD5AED"/>
    <w:rsid w:val="00AD63D1"/>
    <w:rsid w:val="00AD7173"/>
    <w:rsid w:val="00AD7321"/>
    <w:rsid w:val="00AE03F5"/>
    <w:rsid w:val="00AE0C13"/>
    <w:rsid w:val="00AE0D78"/>
    <w:rsid w:val="00AE0F78"/>
    <w:rsid w:val="00AE101C"/>
    <w:rsid w:val="00AE1A1C"/>
    <w:rsid w:val="00AE2E8F"/>
    <w:rsid w:val="00AE386D"/>
    <w:rsid w:val="00AE38A0"/>
    <w:rsid w:val="00AE4108"/>
    <w:rsid w:val="00AE417E"/>
    <w:rsid w:val="00AE48A3"/>
    <w:rsid w:val="00AE6135"/>
    <w:rsid w:val="00AE71AF"/>
    <w:rsid w:val="00AE7641"/>
    <w:rsid w:val="00AE7EA9"/>
    <w:rsid w:val="00AF0186"/>
    <w:rsid w:val="00AF11C9"/>
    <w:rsid w:val="00AF13FB"/>
    <w:rsid w:val="00AF163A"/>
    <w:rsid w:val="00AF2AAF"/>
    <w:rsid w:val="00AF4B25"/>
    <w:rsid w:val="00AF5788"/>
    <w:rsid w:val="00AF6A37"/>
    <w:rsid w:val="00AF784D"/>
    <w:rsid w:val="00B00350"/>
    <w:rsid w:val="00B0042E"/>
    <w:rsid w:val="00B0086C"/>
    <w:rsid w:val="00B00B36"/>
    <w:rsid w:val="00B00C06"/>
    <w:rsid w:val="00B01149"/>
    <w:rsid w:val="00B0129A"/>
    <w:rsid w:val="00B02EA4"/>
    <w:rsid w:val="00B04360"/>
    <w:rsid w:val="00B048CD"/>
    <w:rsid w:val="00B04BCA"/>
    <w:rsid w:val="00B04E53"/>
    <w:rsid w:val="00B0522B"/>
    <w:rsid w:val="00B0656F"/>
    <w:rsid w:val="00B11545"/>
    <w:rsid w:val="00B12C1B"/>
    <w:rsid w:val="00B1382D"/>
    <w:rsid w:val="00B13EE6"/>
    <w:rsid w:val="00B1514A"/>
    <w:rsid w:val="00B16812"/>
    <w:rsid w:val="00B16C1F"/>
    <w:rsid w:val="00B207A5"/>
    <w:rsid w:val="00B229D1"/>
    <w:rsid w:val="00B22AA2"/>
    <w:rsid w:val="00B2337F"/>
    <w:rsid w:val="00B23731"/>
    <w:rsid w:val="00B23D86"/>
    <w:rsid w:val="00B2488B"/>
    <w:rsid w:val="00B249A9"/>
    <w:rsid w:val="00B24D2C"/>
    <w:rsid w:val="00B256D1"/>
    <w:rsid w:val="00B26B33"/>
    <w:rsid w:val="00B304A2"/>
    <w:rsid w:val="00B30BB9"/>
    <w:rsid w:val="00B31035"/>
    <w:rsid w:val="00B312D3"/>
    <w:rsid w:val="00B31A27"/>
    <w:rsid w:val="00B32B78"/>
    <w:rsid w:val="00B32B7B"/>
    <w:rsid w:val="00B33057"/>
    <w:rsid w:val="00B335C3"/>
    <w:rsid w:val="00B341AC"/>
    <w:rsid w:val="00B344EB"/>
    <w:rsid w:val="00B34A4F"/>
    <w:rsid w:val="00B409FC"/>
    <w:rsid w:val="00B41A91"/>
    <w:rsid w:val="00B41ABC"/>
    <w:rsid w:val="00B42235"/>
    <w:rsid w:val="00B423A8"/>
    <w:rsid w:val="00B42EAA"/>
    <w:rsid w:val="00B42EAB"/>
    <w:rsid w:val="00B44D03"/>
    <w:rsid w:val="00B44D8C"/>
    <w:rsid w:val="00B45DD0"/>
    <w:rsid w:val="00B46140"/>
    <w:rsid w:val="00B46A1B"/>
    <w:rsid w:val="00B46BDA"/>
    <w:rsid w:val="00B47468"/>
    <w:rsid w:val="00B47867"/>
    <w:rsid w:val="00B47986"/>
    <w:rsid w:val="00B47AC6"/>
    <w:rsid w:val="00B50394"/>
    <w:rsid w:val="00B51830"/>
    <w:rsid w:val="00B5193A"/>
    <w:rsid w:val="00B520C8"/>
    <w:rsid w:val="00B52C32"/>
    <w:rsid w:val="00B53F55"/>
    <w:rsid w:val="00B54760"/>
    <w:rsid w:val="00B549B3"/>
    <w:rsid w:val="00B54A78"/>
    <w:rsid w:val="00B55729"/>
    <w:rsid w:val="00B55C18"/>
    <w:rsid w:val="00B61538"/>
    <w:rsid w:val="00B626A6"/>
    <w:rsid w:val="00B62904"/>
    <w:rsid w:val="00B65964"/>
    <w:rsid w:val="00B66A91"/>
    <w:rsid w:val="00B7001F"/>
    <w:rsid w:val="00B700FA"/>
    <w:rsid w:val="00B70133"/>
    <w:rsid w:val="00B704F3"/>
    <w:rsid w:val="00B7101C"/>
    <w:rsid w:val="00B7127D"/>
    <w:rsid w:val="00B71473"/>
    <w:rsid w:val="00B72304"/>
    <w:rsid w:val="00B72C92"/>
    <w:rsid w:val="00B72E85"/>
    <w:rsid w:val="00B7388A"/>
    <w:rsid w:val="00B73B8C"/>
    <w:rsid w:val="00B73C0A"/>
    <w:rsid w:val="00B744FE"/>
    <w:rsid w:val="00B74FAD"/>
    <w:rsid w:val="00B7538D"/>
    <w:rsid w:val="00B7694E"/>
    <w:rsid w:val="00B76A35"/>
    <w:rsid w:val="00B77168"/>
    <w:rsid w:val="00B77B2B"/>
    <w:rsid w:val="00B80274"/>
    <w:rsid w:val="00B8150B"/>
    <w:rsid w:val="00B828DC"/>
    <w:rsid w:val="00B83066"/>
    <w:rsid w:val="00B83976"/>
    <w:rsid w:val="00B84FA8"/>
    <w:rsid w:val="00B856EA"/>
    <w:rsid w:val="00B85CA2"/>
    <w:rsid w:val="00B861E0"/>
    <w:rsid w:val="00B86D1C"/>
    <w:rsid w:val="00B87590"/>
    <w:rsid w:val="00B9075B"/>
    <w:rsid w:val="00B91081"/>
    <w:rsid w:val="00B91390"/>
    <w:rsid w:val="00B91DC7"/>
    <w:rsid w:val="00B926FD"/>
    <w:rsid w:val="00B92B3B"/>
    <w:rsid w:val="00B9399F"/>
    <w:rsid w:val="00B93D44"/>
    <w:rsid w:val="00B94934"/>
    <w:rsid w:val="00B9565E"/>
    <w:rsid w:val="00B95A87"/>
    <w:rsid w:val="00B96308"/>
    <w:rsid w:val="00B967BF"/>
    <w:rsid w:val="00B969BA"/>
    <w:rsid w:val="00B96A35"/>
    <w:rsid w:val="00B9703E"/>
    <w:rsid w:val="00B970C8"/>
    <w:rsid w:val="00BA0708"/>
    <w:rsid w:val="00BA1177"/>
    <w:rsid w:val="00BA140F"/>
    <w:rsid w:val="00BA1956"/>
    <w:rsid w:val="00BA2171"/>
    <w:rsid w:val="00BA2AAF"/>
    <w:rsid w:val="00BA2ED1"/>
    <w:rsid w:val="00BA34DC"/>
    <w:rsid w:val="00BA4798"/>
    <w:rsid w:val="00BA62A7"/>
    <w:rsid w:val="00BA6BC1"/>
    <w:rsid w:val="00BA6C11"/>
    <w:rsid w:val="00BA6D1F"/>
    <w:rsid w:val="00BA77A3"/>
    <w:rsid w:val="00BB0AB3"/>
    <w:rsid w:val="00BB2DBD"/>
    <w:rsid w:val="00BB2E45"/>
    <w:rsid w:val="00BB2F59"/>
    <w:rsid w:val="00BB3DB6"/>
    <w:rsid w:val="00BB41E4"/>
    <w:rsid w:val="00BB496B"/>
    <w:rsid w:val="00BB4CDC"/>
    <w:rsid w:val="00BB6061"/>
    <w:rsid w:val="00BB62EA"/>
    <w:rsid w:val="00BB6C10"/>
    <w:rsid w:val="00BB6CB8"/>
    <w:rsid w:val="00BB6F39"/>
    <w:rsid w:val="00BB7008"/>
    <w:rsid w:val="00BB78B1"/>
    <w:rsid w:val="00BC045D"/>
    <w:rsid w:val="00BC0D66"/>
    <w:rsid w:val="00BC17CE"/>
    <w:rsid w:val="00BC1DF3"/>
    <w:rsid w:val="00BC1E76"/>
    <w:rsid w:val="00BC284D"/>
    <w:rsid w:val="00BC2E26"/>
    <w:rsid w:val="00BC414E"/>
    <w:rsid w:val="00BC4AFF"/>
    <w:rsid w:val="00BC536D"/>
    <w:rsid w:val="00BC589F"/>
    <w:rsid w:val="00BC6D48"/>
    <w:rsid w:val="00BD19DC"/>
    <w:rsid w:val="00BD280A"/>
    <w:rsid w:val="00BD2EC8"/>
    <w:rsid w:val="00BD2FED"/>
    <w:rsid w:val="00BD5AFA"/>
    <w:rsid w:val="00BD60CF"/>
    <w:rsid w:val="00BD66FC"/>
    <w:rsid w:val="00BE0348"/>
    <w:rsid w:val="00BE06CB"/>
    <w:rsid w:val="00BE0960"/>
    <w:rsid w:val="00BE1859"/>
    <w:rsid w:val="00BE2D9E"/>
    <w:rsid w:val="00BE4225"/>
    <w:rsid w:val="00BE50A0"/>
    <w:rsid w:val="00BE5499"/>
    <w:rsid w:val="00BE5A1A"/>
    <w:rsid w:val="00BE618C"/>
    <w:rsid w:val="00BE65C6"/>
    <w:rsid w:val="00BE7023"/>
    <w:rsid w:val="00BE77BC"/>
    <w:rsid w:val="00BF09DB"/>
    <w:rsid w:val="00BF2439"/>
    <w:rsid w:val="00BF2927"/>
    <w:rsid w:val="00BF2BCF"/>
    <w:rsid w:val="00BF36A8"/>
    <w:rsid w:val="00BF3742"/>
    <w:rsid w:val="00BF47CD"/>
    <w:rsid w:val="00BF4B50"/>
    <w:rsid w:val="00BF5615"/>
    <w:rsid w:val="00BF56F8"/>
    <w:rsid w:val="00BF5E30"/>
    <w:rsid w:val="00BF6194"/>
    <w:rsid w:val="00BF62A0"/>
    <w:rsid w:val="00BF6CE9"/>
    <w:rsid w:val="00BF7216"/>
    <w:rsid w:val="00BF75B8"/>
    <w:rsid w:val="00C01178"/>
    <w:rsid w:val="00C01A6B"/>
    <w:rsid w:val="00C02D33"/>
    <w:rsid w:val="00C02D80"/>
    <w:rsid w:val="00C03755"/>
    <w:rsid w:val="00C05C73"/>
    <w:rsid w:val="00C05D4F"/>
    <w:rsid w:val="00C06D6C"/>
    <w:rsid w:val="00C07413"/>
    <w:rsid w:val="00C07436"/>
    <w:rsid w:val="00C1088D"/>
    <w:rsid w:val="00C109AB"/>
    <w:rsid w:val="00C110B8"/>
    <w:rsid w:val="00C123D8"/>
    <w:rsid w:val="00C13076"/>
    <w:rsid w:val="00C134CD"/>
    <w:rsid w:val="00C13D0C"/>
    <w:rsid w:val="00C140AC"/>
    <w:rsid w:val="00C14155"/>
    <w:rsid w:val="00C14B75"/>
    <w:rsid w:val="00C17399"/>
    <w:rsid w:val="00C218F6"/>
    <w:rsid w:val="00C21ADD"/>
    <w:rsid w:val="00C21D04"/>
    <w:rsid w:val="00C22212"/>
    <w:rsid w:val="00C228B8"/>
    <w:rsid w:val="00C230D9"/>
    <w:rsid w:val="00C23AF7"/>
    <w:rsid w:val="00C25276"/>
    <w:rsid w:val="00C2629A"/>
    <w:rsid w:val="00C26A52"/>
    <w:rsid w:val="00C277E1"/>
    <w:rsid w:val="00C27963"/>
    <w:rsid w:val="00C27A18"/>
    <w:rsid w:val="00C30006"/>
    <w:rsid w:val="00C30338"/>
    <w:rsid w:val="00C304B5"/>
    <w:rsid w:val="00C3050B"/>
    <w:rsid w:val="00C30D73"/>
    <w:rsid w:val="00C31EF0"/>
    <w:rsid w:val="00C328B8"/>
    <w:rsid w:val="00C33987"/>
    <w:rsid w:val="00C33C02"/>
    <w:rsid w:val="00C345CA"/>
    <w:rsid w:val="00C35167"/>
    <w:rsid w:val="00C35864"/>
    <w:rsid w:val="00C36353"/>
    <w:rsid w:val="00C40EAC"/>
    <w:rsid w:val="00C4140D"/>
    <w:rsid w:val="00C41BB9"/>
    <w:rsid w:val="00C42973"/>
    <w:rsid w:val="00C42B4F"/>
    <w:rsid w:val="00C43F05"/>
    <w:rsid w:val="00C4465E"/>
    <w:rsid w:val="00C45CC6"/>
    <w:rsid w:val="00C46209"/>
    <w:rsid w:val="00C470C3"/>
    <w:rsid w:val="00C50010"/>
    <w:rsid w:val="00C502A4"/>
    <w:rsid w:val="00C50EF0"/>
    <w:rsid w:val="00C5105C"/>
    <w:rsid w:val="00C513E4"/>
    <w:rsid w:val="00C52DFF"/>
    <w:rsid w:val="00C53C02"/>
    <w:rsid w:val="00C53E1E"/>
    <w:rsid w:val="00C549AA"/>
    <w:rsid w:val="00C570BE"/>
    <w:rsid w:val="00C571B0"/>
    <w:rsid w:val="00C57268"/>
    <w:rsid w:val="00C6045E"/>
    <w:rsid w:val="00C60EBE"/>
    <w:rsid w:val="00C6120A"/>
    <w:rsid w:val="00C61921"/>
    <w:rsid w:val="00C62688"/>
    <w:rsid w:val="00C63655"/>
    <w:rsid w:val="00C63DD4"/>
    <w:rsid w:val="00C63F6E"/>
    <w:rsid w:val="00C64092"/>
    <w:rsid w:val="00C6412A"/>
    <w:rsid w:val="00C6444F"/>
    <w:rsid w:val="00C6545F"/>
    <w:rsid w:val="00C659DC"/>
    <w:rsid w:val="00C65AD9"/>
    <w:rsid w:val="00C65BE5"/>
    <w:rsid w:val="00C65CBA"/>
    <w:rsid w:val="00C66AB4"/>
    <w:rsid w:val="00C66CDE"/>
    <w:rsid w:val="00C67B35"/>
    <w:rsid w:val="00C712EE"/>
    <w:rsid w:val="00C71859"/>
    <w:rsid w:val="00C72096"/>
    <w:rsid w:val="00C72658"/>
    <w:rsid w:val="00C72DB9"/>
    <w:rsid w:val="00C7371E"/>
    <w:rsid w:val="00C73B02"/>
    <w:rsid w:val="00C74688"/>
    <w:rsid w:val="00C74702"/>
    <w:rsid w:val="00C74CA8"/>
    <w:rsid w:val="00C765EB"/>
    <w:rsid w:val="00C7672F"/>
    <w:rsid w:val="00C768CA"/>
    <w:rsid w:val="00C773A1"/>
    <w:rsid w:val="00C77CC8"/>
    <w:rsid w:val="00C80881"/>
    <w:rsid w:val="00C8270F"/>
    <w:rsid w:val="00C83292"/>
    <w:rsid w:val="00C8371F"/>
    <w:rsid w:val="00C83D68"/>
    <w:rsid w:val="00C841D7"/>
    <w:rsid w:val="00C841FD"/>
    <w:rsid w:val="00C8584A"/>
    <w:rsid w:val="00C86B22"/>
    <w:rsid w:val="00C86F6E"/>
    <w:rsid w:val="00C8720B"/>
    <w:rsid w:val="00C9285A"/>
    <w:rsid w:val="00C92915"/>
    <w:rsid w:val="00C92A17"/>
    <w:rsid w:val="00C92B8C"/>
    <w:rsid w:val="00C932B8"/>
    <w:rsid w:val="00C9350F"/>
    <w:rsid w:val="00C935B3"/>
    <w:rsid w:val="00C94725"/>
    <w:rsid w:val="00C94D6F"/>
    <w:rsid w:val="00C95F5E"/>
    <w:rsid w:val="00C966BB"/>
    <w:rsid w:val="00C96C88"/>
    <w:rsid w:val="00C96E5D"/>
    <w:rsid w:val="00C9788F"/>
    <w:rsid w:val="00CA083C"/>
    <w:rsid w:val="00CA12C4"/>
    <w:rsid w:val="00CA1821"/>
    <w:rsid w:val="00CA2762"/>
    <w:rsid w:val="00CA2B26"/>
    <w:rsid w:val="00CA2FF2"/>
    <w:rsid w:val="00CA4224"/>
    <w:rsid w:val="00CA48E8"/>
    <w:rsid w:val="00CA48FB"/>
    <w:rsid w:val="00CA5437"/>
    <w:rsid w:val="00CA7704"/>
    <w:rsid w:val="00CA77B1"/>
    <w:rsid w:val="00CA7F4F"/>
    <w:rsid w:val="00CB01A8"/>
    <w:rsid w:val="00CB145F"/>
    <w:rsid w:val="00CB1A2D"/>
    <w:rsid w:val="00CB2134"/>
    <w:rsid w:val="00CB63A3"/>
    <w:rsid w:val="00CB69A1"/>
    <w:rsid w:val="00CB69C5"/>
    <w:rsid w:val="00CB71D1"/>
    <w:rsid w:val="00CB7BC2"/>
    <w:rsid w:val="00CC21F0"/>
    <w:rsid w:val="00CC2CF7"/>
    <w:rsid w:val="00CC30DE"/>
    <w:rsid w:val="00CC31B3"/>
    <w:rsid w:val="00CC3BB8"/>
    <w:rsid w:val="00CC4DD5"/>
    <w:rsid w:val="00CC7F99"/>
    <w:rsid w:val="00CD01CB"/>
    <w:rsid w:val="00CD0BA6"/>
    <w:rsid w:val="00CD0F65"/>
    <w:rsid w:val="00CD121D"/>
    <w:rsid w:val="00CD12EB"/>
    <w:rsid w:val="00CD2843"/>
    <w:rsid w:val="00CD292F"/>
    <w:rsid w:val="00CD2F5E"/>
    <w:rsid w:val="00CD3445"/>
    <w:rsid w:val="00CD38EE"/>
    <w:rsid w:val="00CD5450"/>
    <w:rsid w:val="00CD54AE"/>
    <w:rsid w:val="00CD56EC"/>
    <w:rsid w:val="00CD5EE2"/>
    <w:rsid w:val="00CD6463"/>
    <w:rsid w:val="00CD698F"/>
    <w:rsid w:val="00CD69A5"/>
    <w:rsid w:val="00CD75B6"/>
    <w:rsid w:val="00CD772F"/>
    <w:rsid w:val="00CE05D7"/>
    <w:rsid w:val="00CE09FF"/>
    <w:rsid w:val="00CE0F8B"/>
    <w:rsid w:val="00CE1855"/>
    <w:rsid w:val="00CE1CA3"/>
    <w:rsid w:val="00CE1EFF"/>
    <w:rsid w:val="00CE67AC"/>
    <w:rsid w:val="00CE68D2"/>
    <w:rsid w:val="00CE6F0D"/>
    <w:rsid w:val="00CF0139"/>
    <w:rsid w:val="00CF02E3"/>
    <w:rsid w:val="00CF068D"/>
    <w:rsid w:val="00CF06B6"/>
    <w:rsid w:val="00CF1541"/>
    <w:rsid w:val="00CF15EE"/>
    <w:rsid w:val="00CF174B"/>
    <w:rsid w:val="00CF1E07"/>
    <w:rsid w:val="00CF2187"/>
    <w:rsid w:val="00CF25F2"/>
    <w:rsid w:val="00CF2C5E"/>
    <w:rsid w:val="00CF2D0B"/>
    <w:rsid w:val="00CF4287"/>
    <w:rsid w:val="00CF47BC"/>
    <w:rsid w:val="00CF4EA3"/>
    <w:rsid w:val="00CF663B"/>
    <w:rsid w:val="00CF6EE8"/>
    <w:rsid w:val="00D00810"/>
    <w:rsid w:val="00D01118"/>
    <w:rsid w:val="00D01904"/>
    <w:rsid w:val="00D0231A"/>
    <w:rsid w:val="00D029A6"/>
    <w:rsid w:val="00D039D9"/>
    <w:rsid w:val="00D04579"/>
    <w:rsid w:val="00D04C04"/>
    <w:rsid w:val="00D05830"/>
    <w:rsid w:val="00D05C1E"/>
    <w:rsid w:val="00D069BC"/>
    <w:rsid w:val="00D07B0A"/>
    <w:rsid w:val="00D105D1"/>
    <w:rsid w:val="00D117F7"/>
    <w:rsid w:val="00D1240C"/>
    <w:rsid w:val="00D13344"/>
    <w:rsid w:val="00D13888"/>
    <w:rsid w:val="00D14129"/>
    <w:rsid w:val="00D142B9"/>
    <w:rsid w:val="00D147D3"/>
    <w:rsid w:val="00D14B94"/>
    <w:rsid w:val="00D1615A"/>
    <w:rsid w:val="00D16208"/>
    <w:rsid w:val="00D22A9A"/>
    <w:rsid w:val="00D23479"/>
    <w:rsid w:val="00D23686"/>
    <w:rsid w:val="00D23751"/>
    <w:rsid w:val="00D23853"/>
    <w:rsid w:val="00D242AE"/>
    <w:rsid w:val="00D24A8F"/>
    <w:rsid w:val="00D2516D"/>
    <w:rsid w:val="00D2559F"/>
    <w:rsid w:val="00D26BE6"/>
    <w:rsid w:val="00D27216"/>
    <w:rsid w:val="00D301A6"/>
    <w:rsid w:val="00D308F7"/>
    <w:rsid w:val="00D3207A"/>
    <w:rsid w:val="00D3268B"/>
    <w:rsid w:val="00D3279D"/>
    <w:rsid w:val="00D32CFA"/>
    <w:rsid w:val="00D33326"/>
    <w:rsid w:val="00D3348D"/>
    <w:rsid w:val="00D33F6A"/>
    <w:rsid w:val="00D355DB"/>
    <w:rsid w:val="00D35C3C"/>
    <w:rsid w:val="00D36289"/>
    <w:rsid w:val="00D36850"/>
    <w:rsid w:val="00D402CD"/>
    <w:rsid w:val="00D406E9"/>
    <w:rsid w:val="00D4170A"/>
    <w:rsid w:val="00D41A75"/>
    <w:rsid w:val="00D42884"/>
    <w:rsid w:val="00D42F3D"/>
    <w:rsid w:val="00D430A6"/>
    <w:rsid w:val="00D43425"/>
    <w:rsid w:val="00D434DD"/>
    <w:rsid w:val="00D43749"/>
    <w:rsid w:val="00D4467D"/>
    <w:rsid w:val="00D449F1"/>
    <w:rsid w:val="00D463E6"/>
    <w:rsid w:val="00D4691E"/>
    <w:rsid w:val="00D477CE"/>
    <w:rsid w:val="00D50BC8"/>
    <w:rsid w:val="00D50DC3"/>
    <w:rsid w:val="00D51DB3"/>
    <w:rsid w:val="00D5267C"/>
    <w:rsid w:val="00D5328F"/>
    <w:rsid w:val="00D53858"/>
    <w:rsid w:val="00D53A56"/>
    <w:rsid w:val="00D53D6E"/>
    <w:rsid w:val="00D555B7"/>
    <w:rsid w:val="00D56A1F"/>
    <w:rsid w:val="00D56A78"/>
    <w:rsid w:val="00D56C10"/>
    <w:rsid w:val="00D60219"/>
    <w:rsid w:val="00D60B63"/>
    <w:rsid w:val="00D612EA"/>
    <w:rsid w:val="00D61AB9"/>
    <w:rsid w:val="00D629A4"/>
    <w:rsid w:val="00D62D86"/>
    <w:rsid w:val="00D63F8A"/>
    <w:rsid w:val="00D64199"/>
    <w:rsid w:val="00D641B3"/>
    <w:rsid w:val="00D64752"/>
    <w:rsid w:val="00D64814"/>
    <w:rsid w:val="00D65025"/>
    <w:rsid w:val="00D65175"/>
    <w:rsid w:val="00D6618A"/>
    <w:rsid w:val="00D671F1"/>
    <w:rsid w:val="00D67541"/>
    <w:rsid w:val="00D67D52"/>
    <w:rsid w:val="00D71234"/>
    <w:rsid w:val="00D719C9"/>
    <w:rsid w:val="00D72844"/>
    <w:rsid w:val="00D73A89"/>
    <w:rsid w:val="00D73EA0"/>
    <w:rsid w:val="00D74EB2"/>
    <w:rsid w:val="00D75AB3"/>
    <w:rsid w:val="00D75BB9"/>
    <w:rsid w:val="00D76AD1"/>
    <w:rsid w:val="00D77305"/>
    <w:rsid w:val="00D77E26"/>
    <w:rsid w:val="00D80F29"/>
    <w:rsid w:val="00D81179"/>
    <w:rsid w:val="00D8140D"/>
    <w:rsid w:val="00D817A6"/>
    <w:rsid w:val="00D81FCE"/>
    <w:rsid w:val="00D8319B"/>
    <w:rsid w:val="00D8399A"/>
    <w:rsid w:val="00D83D46"/>
    <w:rsid w:val="00D84C39"/>
    <w:rsid w:val="00D85422"/>
    <w:rsid w:val="00D85D2E"/>
    <w:rsid w:val="00D86851"/>
    <w:rsid w:val="00D877BA"/>
    <w:rsid w:val="00D87F37"/>
    <w:rsid w:val="00D9095E"/>
    <w:rsid w:val="00D91908"/>
    <w:rsid w:val="00D92306"/>
    <w:rsid w:val="00D9230C"/>
    <w:rsid w:val="00D94451"/>
    <w:rsid w:val="00D95930"/>
    <w:rsid w:val="00D9603A"/>
    <w:rsid w:val="00D96A88"/>
    <w:rsid w:val="00DA1AF3"/>
    <w:rsid w:val="00DA4C0A"/>
    <w:rsid w:val="00DA5C09"/>
    <w:rsid w:val="00DA5EAA"/>
    <w:rsid w:val="00DA626C"/>
    <w:rsid w:val="00DA64F5"/>
    <w:rsid w:val="00DA6631"/>
    <w:rsid w:val="00DA66D4"/>
    <w:rsid w:val="00DA6A93"/>
    <w:rsid w:val="00DA6DB3"/>
    <w:rsid w:val="00DA7F8E"/>
    <w:rsid w:val="00DB069B"/>
    <w:rsid w:val="00DB08B7"/>
    <w:rsid w:val="00DB17DE"/>
    <w:rsid w:val="00DB19F7"/>
    <w:rsid w:val="00DB246B"/>
    <w:rsid w:val="00DB248B"/>
    <w:rsid w:val="00DB3CE2"/>
    <w:rsid w:val="00DB47A4"/>
    <w:rsid w:val="00DB48F5"/>
    <w:rsid w:val="00DB4956"/>
    <w:rsid w:val="00DB49A0"/>
    <w:rsid w:val="00DB5E51"/>
    <w:rsid w:val="00DB604B"/>
    <w:rsid w:val="00DB6F5B"/>
    <w:rsid w:val="00DB6FD3"/>
    <w:rsid w:val="00DC1517"/>
    <w:rsid w:val="00DC1B49"/>
    <w:rsid w:val="00DC2E78"/>
    <w:rsid w:val="00DC38C7"/>
    <w:rsid w:val="00DC4B3E"/>
    <w:rsid w:val="00DC6DA3"/>
    <w:rsid w:val="00DC6E23"/>
    <w:rsid w:val="00DC7174"/>
    <w:rsid w:val="00DD0DDE"/>
    <w:rsid w:val="00DD1F4C"/>
    <w:rsid w:val="00DD1FFF"/>
    <w:rsid w:val="00DD230B"/>
    <w:rsid w:val="00DD2AB5"/>
    <w:rsid w:val="00DD3B6A"/>
    <w:rsid w:val="00DD3BEC"/>
    <w:rsid w:val="00DD461C"/>
    <w:rsid w:val="00DD49F6"/>
    <w:rsid w:val="00DD5416"/>
    <w:rsid w:val="00DD56B1"/>
    <w:rsid w:val="00DD5D6F"/>
    <w:rsid w:val="00DD5EE2"/>
    <w:rsid w:val="00DD732B"/>
    <w:rsid w:val="00DE137B"/>
    <w:rsid w:val="00DE13F4"/>
    <w:rsid w:val="00DE2989"/>
    <w:rsid w:val="00DE54A9"/>
    <w:rsid w:val="00DE5A0C"/>
    <w:rsid w:val="00DE620D"/>
    <w:rsid w:val="00DE6EBD"/>
    <w:rsid w:val="00DE704B"/>
    <w:rsid w:val="00DF176A"/>
    <w:rsid w:val="00DF1A57"/>
    <w:rsid w:val="00DF2A96"/>
    <w:rsid w:val="00DF31AA"/>
    <w:rsid w:val="00DF32C5"/>
    <w:rsid w:val="00DF33F2"/>
    <w:rsid w:val="00DF373D"/>
    <w:rsid w:val="00DF3D39"/>
    <w:rsid w:val="00DF4768"/>
    <w:rsid w:val="00DF4B39"/>
    <w:rsid w:val="00DF4D95"/>
    <w:rsid w:val="00DF5A62"/>
    <w:rsid w:val="00DF72B9"/>
    <w:rsid w:val="00E00021"/>
    <w:rsid w:val="00E001B9"/>
    <w:rsid w:val="00E007CA"/>
    <w:rsid w:val="00E00882"/>
    <w:rsid w:val="00E00A24"/>
    <w:rsid w:val="00E01915"/>
    <w:rsid w:val="00E01C43"/>
    <w:rsid w:val="00E01CD0"/>
    <w:rsid w:val="00E0214C"/>
    <w:rsid w:val="00E02898"/>
    <w:rsid w:val="00E034BD"/>
    <w:rsid w:val="00E0454E"/>
    <w:rsid w:val="00E05283"/>
    <w:rsid w:val="00E0678D"/>
    <w:rsid w:val="00E10134"/>
    <w:rsid w:val="00E105F0"/>
    <w:rsid w:val="00E10F04"/>
    <w:rsid w:val="00E12CE5"/>
    <w:rsid w:val="00E145DF"/>
    <w:rsid w:val="00E14ADE"/>
    <w:rsid w:val="00E1582C"/>
    <w:rsid w:val="00E20D21"/>
    <w:rsid w:val="00E215DB"/>
    <w:rsid w:val="00E22AEB"/>
    <w:rsid w:val="00E230F6"/>
    <w:rsid w:val="00E23198"/>
    <w:rsid w:val="00E2531A"/>
    <w:rsid w:val="00E2535A"/>
    <w:rsid w:val="00E254A5"/>
    <w:rsid w:val="00E2593C"/>
    <w:rsid w:val="00E2685C"/>
    <w:rsid w:val="00E26C70"/>
    <w:rsid w:val="00E271DC"/>
    <w:rsid w:val="00E3008F"/>
    <w:rsid w:val="00E30FBC"/>
    <w:rsid w:val="00E31318"/>
    <w:rsid w:val="00E31FDB"/>
    <w:rsid w:val="00E326EE"/>
    <w:rsid w:val="00E329AA"/>
    <w:rsid w:val="00E33794"/>
    <w:rsid w:val="00E34558"/>
    <w:rsid w:val="00E349F3"/>
    <w:rsid w:val="00E35998"/>
    <w:rsid w:val="00E36B03"/>
    <w:rsid w:val="00E37374"/>
    <w:rsid w:val="00E374E8"/>
    <w:rsid w:val="00E41E41"/>
    <w:rsid w:val="00E42607"/>
    <w:rsid w:val="00E427C0"/>
    <w:rsid w:val="00E42CB6"/>
    <w:rsid w:val="00E42F0C"/>
    <w:rsid w:val="00E43216"/>
    <w:rsid w:val="00E4387F"/>
    <w:rsid w:val="00E444DF"/>
    <w:rsid w:val="00E44842"/>
    <w:rsid w:val="00E47D90"/>
    <w:rsid w:val="00E47FB8"/>
    <w:rsid w:val="00E5037E"/>
    <w:rsid w:val="00E51EB8"/>
    <w:rsid w:val="00E53219"/>
    <w:rsid w:val="00E5359A"/>
    <w:rsid w:val="00E5511B"/>
    <w:rsid w:val="00E5557C"/>
    <w:rsid w:val="00E5576F"/>
    <w:rsid w:val="00E56726"/>
    <w:rsid w:val="00E56E1E"/>
    <w:rsid w:val="00E574D4"/>
    <w:rsid w:val="00E57A19"/>
    <w:rsid w:val="00E607DD"/>
    <w:rsid w:val="00E608A9"/>
    <w:rsid w:val="00E61005"/>
    <w:rsid w:val="00E615E5"/>
    <w:rsid w:val="00E620DA"/>
    <w:rsid w:val="00E62DA2"/>
    <w:rsid w:val="00E6455F"/>
    <w:rsid w:val="00E64E5C"/>
    <w:rsid w:val="00E64F48"/>
    <w:rsid w:val="00E64FC7"/>
    <w:rsid w:val="00E70267"/>
    <w:rsid w:val="00E716A6"/>
    <w:rsid w:val="00E71CDD"/>
    <w:rsid w:val="00E71E76"/>
    <w:rsid w:val="00E721F2"/>
    <w:rsid w:val="00E725EC"/>
    <w:rsid w:val="00E73667"/>
    <w:rsid w:val="00E73700"/>
    <w:rsid w:val="00E75E47"/>
    <w:rsid w:val="00E764E8"/>
    <w:rsid w:val="00E77749"/>
    <w:rsid w:val="00E809EF"/>
    <w:rsid w:val="00E80A7D"/>
    <w:rsid w:val="00E81179"/>
    <w:rsid w:val="00E8137A"/>
    <w:rsid w:val="00E82E6D"/>
    <w:rsid w:val="00E8399F"/>
    <w:rsid w:val="00E83C01"/>
    <w:rsid w:val="00E842DF"/>
    <w:rsid w:val="00E85247"/>
    <w:rsid w:val="00E85924"/>
    <w:rsid w:val="00E8627A"/>
    <w:rsid w:val="00E878A8"/>
    <w:rsid w:val="00E87FE7"/>
    <w:rsid w:val="00E9043A"/>
    <w:rsid w:val="00E90633"/>
    <w:rsid w:val="00E91AE3"/>
    <w:rsid w:val="00E9313E"/>
    <w:rsid w:val="00E9352D"/>
    <w:rsid w:val="00E93B2D"/>
    <w:rsid w:val="00E94B12"/>
    <w:rsid w:val="00E94C12"/>
    <w:rsid w:val="00E9580F"/>
    <w:rsid w:val="00E965C4"/>
    <w:rsid w:val="00E96DE3"/>
    <w:rsid w:val="00E9778B"/>
    <w:rsid w:val="00EA0078"/>
    <w:rsid w:val="00EA07ED"/>
    <w:rsid w:val="00EA0EB1"/>
    <w:rsid w:val="00EA1324"/>
    <w:rsid w:val="00EA15A0"/>
    <w:rsid w:val="00EA18A1"/>
    <w:rsid w:val="00EA313A"/>
    <w:rsid w:val="00EA3529"/>
    <w:rsid w:val="00EA38A1"/>
    <w:rsid w:val="00EA5807"/>
    <w:rsid w:val="00EA5E14"/>
    <w:rsid w:val="00EA64DF"/>
    <w:rsid w:val="00EA668B"/>
    <w:rsid w:val="00EA6690"/>
    <w:rsid w:val="00EA7359"/>
    <w:rsid w:val="00EA7366"/>
    <w:rsid w:val="00EB254A"/>
    <w:rsid w:val="00EB28F0"/>
    <w:rsid w:val="00EB3527"/>
    <w:rsid w:val="00EB49A7"/>
    <w:rsid w:val="00EB5B7E"/>
    <w:rsid w:val="00EB60CF"/>
    <w:rsid w:val="00EB653B"/>
    <w:rsid w:val="00EB6E81"/>
    <w:rsid w:val="00EB72CB"/>
    <w:rsid w:val="00EC0506"/>
    <w:rsid w:val="00EC0DCE"/>
    <w:rsid w:val="00EC0F17"/>
    <w:rsid w:val="00EC1467"/>
    <w:rsid w:val="00EC1527"/>
    <w:rsid w:val="00EC1914"/>
    <w:rsid w:val="00EC2200"/>
    <w:rsid w:val="00EC2278"/>
    <w:rsid w:val="00EC2A16"/>
    <w:rsid w:val="00EC2CF9"/>
    <w:rsid w:val="00EC38EA"/>
    <w:rsid w:val="00EC4483"/>
    <w:rsid w:val="00EC4748"/>
    <w:rsid w:val="00EC5166"/>
    <w:rsid w:val="00EC60ED"/>
    <w:rsid w:val="00EC64B4"/>
    <w:rsid w:val="00EC6984"/>
    <w:rsid w:val="00EC6B17"/>
    <w:rsid w:val="00EC6EBF"/>
    <w:rsid w:val="00EC7498"/>
    <w:rsid w:val="00ED0B1D"/>
    <w:rsid w:val="00ED1F78"/>
    <w:rsid w:val="00ED24C5"/>
    <w:rsid w:val="00ED26E7"/>
    <w:rsid w:val="00ED4066"/>
    <w:rsid w:val="00ED4275"/>
    <w:rsid w:val="00ED429F"/>
    <w:rsid w:val="00ED4B27"/>
    <w:rsid w:val="00ED4F87"/>
    <w:rsid w:val="00ED6015"/>
    <w:rsid w:val="00ED7578"/>
    <w:rsid w:val="00EE034B"/>
    <w:rsid w:val="00EE15D9"/>
    <w:rsid w:val="00EE198C"/>
    <w:rsid w:val="00EE2AE6"/>
    <w:rsid w:val="00EE3FB4"/>
    <w:rsid w:val="00EE43AB"/>
    <w:rsid w:val="00EE5687"/>
    <w:rsid w:val="00EE5911"/>
    <w:rsid w:val="00EE5FFD"/>
    <w:rsid w:val="00EE63BB"/>
    <w:rsid w:val="00EE690C"/>
    <w:rsid w:val="00EE69FC"/>
    <w:rsid w:val="00EE6B5B"/>
    <w:rsid w:val="00EF0BE0"/>
    <w:rsid w:val="00EF19D0"/>
    <w:rsid w:val="00EF2784"/>
    <w:rsid w:val="00EF46AA"/>
    <w:rsid w:val="00EF57DF"/>
    <w:rsid w:val="00EF5E48"/>
    <w:rsid w:val="00EF6078"/>
    <w:rsid w:val="00EF724A"/>
    <w:rsid w:val="00EF7A46"/>
    <w:rsid w:val="00F00A87"/>
    <w:rsid w:val="00F00E25"/>
    <w:rsid w:val="00F01047"/>
    <w:rsid w:val="00F01CFE"/>
    <w:rsid w:val="00F01E03"/>
    <w:rsid w:val="00F0241E"/>
    <w:rsid w:val="00F02E11"/>
    <w:rsid w:val="00F02FEE"/>
    <w:rsid w:val="00F0352E"/>
    <w:rsid w:val="00F04641"/>
    <w:rsid w:val="00F048C9"/>
    <w:rsid w:val="00F04EA1"/>
    <w:rsid w:val="00F06A42"/>
    <w:rsid w:val="00F06BF0"/>
    <w:rsid w:val="00F07074"/>
    <w:rsid w:val="00F11611"/>
    <w:rsid w:val="00F117C3"/>
    <w:rsid w:val="00F11962"/>
    <w:rsid w:val="00F121B8"/>
    <w:rsid w:val="00F12A67"/>
    <w:rsid w:val="00F12D02"/>
    <w:rsid w:val="00F13449"/>
    <w:rsid w:val="00F13584"/>
    <w:rsid w:val="00F136AF"/>
    <w:rsid w:val="00F13F1B"/>
    <w:rsid w:val="00F14C8F"/>
    <w:rsid w:val="00F15352"/>
    <w:rsid w:val="00F155D5"/>
    <w:rsid w:val="00F15AB6"/>
    <w:rsid w:val="00F15BC1"/>
    <w:rsid w:val="00F15E0D"/>
    <w:rsid w:val="00F16981"/>
    <w:rsid w:val="00F1763A"/>
    <w:rsid w:val="00F17A2C"/>
    <w:rsid w:val="00F17D7F"/>
    <w:rsid w:val="00F20731"/>
    <w:rsid w:val="00F20982"/>
    <w:rsid w:val="00F20FC1"/>
    <w:rsid w:val="00F21FB8"/>
    <w:rsid w:val="00F221EE"/>
    <w:rsid w:val="00F22C89"/>
    <w:rsid w:val="00F24C45"/>
    <w:rsid w:val="00F252B0"/>
    <w:rsid w:val="00F25792"/>
    <w:rsid w:val="00F27883"/>
    <w:rsid w:val="00F27D43"/>
    <w:rsid w:val="00F30A6E"/>
    <w:rsid w:val="00F30D84"/>
    <w:rsid w:val="00F30E4C"/>
    <w:rsid w:val="00F3138A"/>
    <w:rsid w:val="00F31CE5"/>
    <w:rsid w:val="00F31D6E"/>
    <w:rsid w:val="00F32163"/>
    <w:rsid w:val="00F32218"/>
    <w:rsid w:val="00F322EE"/>
    <w:rsid w:val="00F3269F"/>
    <w:rsid w:val="00F32E07"/>
    <w:rsid w:val="00F33F64"/>
    <w:rsid w:val="00F341A4"/>
    <w:rsid w:val="00F34A7B"/>
    <w:rsid w:val="00F354AD"/>
    <w:rsid w:val="00F35593"/>
    <w:rsid w:val="00F37BE9"/>
    <w:rsid w:val="00F40472"/>
    <w:rsid w:val="00F40D38"/>
    <w:rsid w:val="00F415F3"/>
    <w:rsid w:val="00F41DEA"/>
    <w:rsid w:val="00F4271C"/>
    <w:rsid w:val="00F42881"/>
    <w:rsid w:val="00F42BF5"/>
    <w:rsid w:val="00F42FAC"/>
    <w:rsid w:val="00F43A14"/>
    <w:rsid w:val="00F43BD2"/>
    <w:rsid w:val="00F44075"/>
    <w:rsid w:val="00F4510A"/>
    <w:rsid w:val="00F46F31"/>
    <w:rsid w:val="00F501CE"/>
    <w:rsid w:val="00F511C2"/>
    <w:rsid w:val="00F51959"/>
    <w:rsid w:val="00F519B4"/>
    <w:rsid w:val="00F51A04"/>
    <w:rsid w:val="00F52B13"/>
    <w:rsid w:val="00F52CBE"/>
    <w:rsid w:val="00F53A8F"/>
    <w:rsid w:val="00F551E6"/>
    <w:rsid w:val="00F5545D"/>
    <w:rsid w:val="00F55A04"/>
    <w:rsid w:val="00F5600E"/>
    <w:rsid w:val="00F56EF3"/>
    <w:rsid w:val="00F5725C"/>
    <w:rsid w:val="00F606C2"/>
    <w:rsid w:val="00F61BD4"/>
    <w:rsid w:val="00F61ECF"/>
    <w:rsid w:val="00F63CCC"/>
    <w:rsid w:val="00F6444F"/>
    <w:rsid w:val="00F662F7"/>
    <w:rsid w:val="00F66381"/>
    <w:rsid w:val="00F67EE2"/>
    <w:rsid w:val="00F67F42"/>
    <w:rsid w:val="00F70DED"/>
    <w:rsid w:val="00F734D0"/>
    <w:rsid w:val="00F73B76"/>
    <w:rsid w:val="00F73CA6"/>
    <w:rsid w:val="00F740BE"/>
    <w:rsid w:val="00F74556"/>
    <w:rsid w:val="00F7603E"/>
    <w:rsid w:val="00F76CC1"/>
    <w:rsid w:val="00F7734F"/>
    <w:rsid w:val="00F801BB"/>
    <w:rsid w:val="00F80268"/>
    <w:rsid w:val="00F80AEF"/>
    <w:rsid w:val="00F80FE3"/>
    <w:rsid w:val="00F81BAE"/>
    <w:rsid w:val="00F81C9D"/>
    <w:rsid w:val="00F82F3C"/>
    <w:rsid w:val="00F835B7"/>
    <w:rsid w:val="00F83E64"/>
    <w:rsid w:val="00F85B04"/>
    <w:rsid w:val="00F90993"/>
    <w:rsid w:val="00F90F8B"/>
    <w:rsid w:val="00F91585"/>
    <w:rsid w:val="00F91D5A"/>
    <w:rsid w:val="00F92665"/>
    <w:rsid w:val="00F94285"/>
    <w:rsid w:val="00F947BD"/>
    <w:rsid w:val="00F94DBB"/>
    <w:rsid w:val="00F94F47"/>
    <w:rsid w:val="00F96BDA"/>
    <w:rsid w:val="00F96FAA"/>
    <w:rsid w:val="00F97F42"/>
    <w:rsid w:val="00FA0597"/>
    <w:rsid w:val="00FA06C6"/>
    <w:rsid w:val="00FA1E5C"/>
    <w:rsid w:val="00FA264D"/>
    <w:rsid w:val="00FA3117"/>
    <w:rsid w:val="00FA4510"/>
    <w:rsid w:val="00FA5BE0"/>
    <w:rsid w:val="00FA5CCE"/>
    <w:rsid w:val="00FA65AE"/>
    <w:rsid w:val="00FA6DA6"/>
    <w:rsid w:val="00FA70A3"/>
    <w:rsid w:val="00FB0998"/>
    <w:rsid w:val="00FB177D"/>
    <w:rsid w:val="00FB21D1"/>
    <w:rsid w:val="00FB3E21"/>
    <w:rsid w:val="00FB54CA"/>
    <w:rsid w:val="00FB57CC"/>
    <w:rsid w:val="00FB5EF3"/>
    <w:rsid w:val="00FB604E"/>
    <w:rsid w:val="00FB634D"/>
    <w:rsid w:val="00FB7DE0"/>
    <w:rsid w:val="00FC0A8F"/>
    <w:rsid w:val="00FC2670"/>
    <w:rsid w:val="00FC3387"/>
    <w:rsid w:val="00FC355E"/>
    <w:rsid w:val="00FC39FD"/>
    <w:rsid w:val="00FC4126"/>
    <w:rsid w:val="00FC48B6"/>
    <w:rsid w:val="00FC5005"/>
    <w:rsid w:val="00FC500F"/>
    <w:rsid w:val="00FC5FE0"/>
    <w:rsid w:val="00FC6A1A"/>
    <w:rsid w:val="00FC7E7C"/>
    <w:rsid w:val="00FD0C41"/>
    <w:rsid w:val="00FD148B"/>
    <w:rsid w:val="00FD170D"/>
    <w:rsid w:val="00FD1756"/>
    <w:rsid w:val="00FD2AF1"/>
    <w:rsid w:val="00FD30D7"/>
    <w:rsid w:val="00FD3996"/>
    <w:rsid w:val="00FD3A3C"/>
    <w:rsid w:val="00FD3E1C"/>
    <w:rsid w:val="00FD439D"/>
    <w:rsid w:val="00FD475B"/>
    <w:rsid w:val="00FD4B79"/>
    <w:rsid w:val="00FD5D2B"/>
    <w:rsid w:val="00FD5F3B"/>
    <w:rsid w:val="00FD6C4D"/>
    <w:rsid w:val="00FD6EAA"/>
    <w:rsid w:val="00FE0161"/>
    <w:rsid w:val="00FE109F"/>
    <w:rsid w:val="00FE1E6D"/>
    <w:rsid w:val="00FE235D"/>
    <w:rsid w:val="00FE4133"/>
    <w:rsid w:val="00FE6569"/>
    <w:rsid w:val="00FE69CE"/>
    <w:rsid w:val="00FE6C00"/>
    <w:rsid w:val="00FE7279"/>
    <w:rsid w:val="00FF0946"/>
    <w:rsid w:val="00FF10B2"/>
    <w:rsid w:val="00FF1687"/>
    <w:rsid w:val="00FF1FD4"/>
    <w:rsid w:val="00FF21BF"/>
    <w:rsid w:val="00FF234D"/>
    <w:rsid w:val="00FF3E7D"/>
    <w:rsid w:val="00FF425E"/>
    <w:rsid w:val="00FF52D6"/>
    <w:rsid w:val="00FF631F"/>
    <w:rsid w:val="00FF6718"/>
    <w:rsid w:val="00FF6C6D"/>
    <w:rsid w:val="00FF71EE"/>
    <w:rsid w:val="00FF751A"/>
    <w:rsid w:val="12AE4DDD"/>
    <w:rsid w:val="1AF4918D"/>
    <w:rsid w:val="20532F7E"/>
    <w:rsid w:val="3F1EB211"/>
    <w:rsid w:val="4558EAEE"/>
    <w:rsid w:val="573A1436"/>
    <w:rsid w:val="5EB2F338"/>
    <w:rsid w:val="60F1669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5236"/>
  <w15:chartTrackingRefBased/>
  <w15:docId w15:val="{EAC85B49-FC91-436E-9C91-EA37A09D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1">
    <w:name w:val="heading 1"/>
    <w:basedOn w:val="Normal"/>
    <w:next w:val="Normal"/>
    <w:link w:val="Ttulo1Car"/>
    <w:uiPriority w:val="9"/>
    <w:qFormat/>
    <w:rsid w:val="00394DBE"/>
    <w:pPr>
      <w:keepNext/>
      <w:keepLines/>
      <w:numPr>
        <w:numId w:val="4"/>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C4A22"/>
    <w:pPr>
      <w:keepNext/>
      <w:keepLines/>
      <w:numPr>
        <w:ilvl w:val="1"/>
        <w:numId w:val="4"/>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A451EE"/>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622780"/>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B304A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B304A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unhideWhenUsed/>
    <w:qFormat/>
    <w:rsid w:val="00B304A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B304A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304A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67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6731"/>
    <w:rPr>
      <w:lang w:val="es-ES"/>
    </w:rPr>
  </w:style>
  <w:style w:type="paragraph" w:styleId="Piedepgina">
    <w:name w:val="footer"/>
    <w:basedOn w:val="Normal"/>
    <w:link w:val="PiedepginaCar"/>
    <w:uiPriority w:val="99"/>
    <w:unhideWhenUsed/>
    <w:rsid w:val="002B67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6731"/>
    <w:rPr>
      <w:lang w:val="es-ES"/>
    </w:rPr>
  </w:style>
  <w:style w:type="character" w:styleId="Hipervnculo">
    <w:name w:val="Hyperlink"/>
    <w:basedOn w:val="Fuentedeprrafopredeter"/>
    <w:uiPriority w:val="99"/>
    <w:rsid w:val="002B6731"/>
    <w:rPr>
      <w:color w:val="0000FF"/>
      <w:u w:val="single"/>
    </w:rPr>
  </w:style>
  <w:style w:type="paragraph" w:customStyle="1" w:styleId="paragraph">
    <w:name w:val="paragraph"/>
    <w:basedOn w:val="Normal"/>
    <w:rsid w:val="002B6731"/>
    <w:pPr>
      <w:spacing w:after="0" w:line="240" w:lineRule="auto"/>
    </w:pPr>
    <w:rPr>
      <w:rFonts w:ascii="Times New Roman" w:eastAsia="Times New Roman" w:hAnsi="Times New Roman" w:cs="Times New Roman"/>
      <w:sz w:val="24"/>
      <w:szCs w:val="24"/>
      <w:lang w:val="es-CR" w:eastAsia="es-CR"/>
    </w:rPr>
  </w:style>
  <w:style w:type="character" w:customStyle="1" w:styleId="normaltextrun1">
    <w:name w:val="normaltextrun1"/>
    <w:basedOn w:val="Fuentedeprrafopredeter"/>
    <w:rsid w:val="002B6731"/>
  </w:style>
  <w:style w:type="character" w:customStyle="1" w:styleId="eop">
    <w:name w:val="eop"/>
    <w:basedOn w:val="Fuentedeprrafopredeter"/>
    <w:rsid w:val="002B6731"/>
  </w:style>
  <w:style w:type="character" w:customStyle="1" w:styleId="Ttulo1Car">
    <w:name w:val="Título 1 Car"/>
    <w:basedOn w:val="Fuentedeprrafopredeter"/>
    <w:link w:val="Ttulo1"/>
    <w:uiPriority w:val="9"/>
    <w:rsid w:val="00394DBE"/>
    <w:rPr>
      <w:rFonts w:asciiTheme="majorHAnsi" w:eastAsiaTheme="majorEastAsia" w:hAnsiTheme="majorHAnsi" w:cstheme="majorBidi"/>
      <w:color w:val="365F91" w:themeColor="accent1" w:themeShade="BF"/>
      <w:sz w:val="32"/>
      <w:szCs w:val="32"/>
      <w:lang w:val="es-ES"/>
    </w:rPr>
  </w:style>
  <w:style w:type="paragraph" w:styleId="TtuloTDC">
    <w:name w:val="TOC Heading"/>
    <w:basedOn w:val="Ttulo1"/>
    <w:next w:val="Normal"/>
    <w:uiPriority w:val="39"/>
    <w:unhideWhenUsed/>
    <w:qFormat/>
    <w:rsid w:val="00F27883"/>
    <w:pPr>
      <w:spacing w:line="259" w:lineRule="auto"/>
      <w:outlineLvl w:val="9"/>
    </w:pPr>
    <w:rPr>
      <w:lang w:val="es-CR" w:eastAsia="es-CR"/>
    </w:rPr>
  </w:style>
  <w:style w:type="paragraph" w:styleId="TDC2">
    <w:name w:val="toc 2"/>
    <w:basedOn w:val="Normal"/>
    <w:next w:val="Normal"/>
    <w:autoRedefine/>
    <w:uiPriority w:val="39"/>
    <w:unhideWhenUsed/>
    <w:rsid w:val="00F27883"/>
    <w:pPr>
      <w:spacing w:after="100" w:line="259" w:lineRule="auto"/>
      <w:ind w:left="220"/>
    </w:pPr>
    <w:rPr>
      <w:rFonts w:eastAsiaTheme="minorEastAsia" w:cs="Times New Roman"/>
      <w:lang w:val="es-CR" w:eastAsia="es-CR"/>
    </w:rPr>
  </w:style>
  <w:style w:type="paragraph" w:styleId="TDC1">
    <w:name w:val="toc 1"/>
    <w:basedOn w:val="Normal"/>
    <w:next w:val="Normal"/>
    <w:autoRedefine/>
    <w:uiPriority w:val="39"/>
    <w:unhideWhenUsed/>
    <w:rsid w:val="00F27883"/>
    <w:pPr>
      <w:spacing w:after="100" w:line="259" w:lineRule="auto"/>
    </w:pPr>
    <w:rPr>
      <w:rFonts w:eastAsiaTheme="minorEastAsia" w:cs="Times New Roman"/>
      <w:lang w:val="es-CR" w:eastAsia="es-CR"/>
    </w:rPr>
  </w:style>
  <w:style w:type="paragraph" w:styleId="TDC3">
    <w:name w:val="toc 3"/>
    <w:basedOn w:val="Normal"/>
    <w:next w:val="Normal"/>
    <w:autoRedefine/>
    <w:uiPriority w:val="39"/>
    <w:unhideWhenUsed/>
    <w:rsid w:val="00F27883"/>
    <w:pPr>
      <w:spacing w:after="100" w:line="259" w:lineRule="auto"/>
      <w:ind w:left="440"/>
    </w:pPr>
    <w:rPr>
      <w:rFonts w:eastAsiaTheme="minorEastAsia" w:cs="Times New Roman"/>
      <w:lang w:val="es-CR" w:eastAsia="es-CR"/>
    </w:rPr>
  </w:style>
  <w:style w:type="paragraph" w:styleId="Textonotapie">
    <w:name w:val="footnote text"/>
    <w:basedOn w:val="Normal"/>
    <w:link w:val="TextonotapieCar"/>
    <w:uiPriority w:val="99"/>
    <w:semiHidden/>
    <w:unhideWhenUsed/>
    <w:rsid w:val="00700711"/>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700711"/>
    <w:rPr>
      <w:rFonts w:ascii="Calibri" w:eastAsia="Calibri" w:hAnsi="Calibri" w:cs="Times New Roman"/>
      <w:sz w:val="20"/>
      <w:szCs w:val="20"/>
      <w:lang w:val="es-ES"/>
    </w:rPr>
  </w:style>
  <w:style w:type="character" w:styleId="Refdenotaalpie">
    <w:name w:val="footnote reference"/>
    <w:uiPriority w:val="99"/>
    <w:semiHidden/>
    <w:unhideWhenUsed/>
    <w:rsid w:val="00700711"/>
    <w:rPr>
      <w:vertAlign w:val="superscript"/>
    </w:rPr>
  </w:style>
  <w:style w:type="table" w:styleId="Tablaconcuadrcula4-nfasis1">
    <w:name w:val="Grid Table 4 Accent 1"/>
    <w:basedOn w:val="Tablanormal"/>
    <w:uiPriority w:val="49"/>
    <w:rsid w:val="00700711"/>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2Car">
    <w:name w:val="Título 2 Car"/>
    <w:basedOn w:val="Fuentedeprrafopredeter"/>
    <w:link w:val="Ttulo2"/>
    <w:uiPriority w:val="9"/>
    <w:rsid w:val="009C4A22"/>
    <w:rPr>
      <w:rFonts w:asciiTheme="majorHAnsi" w:eastAsiaTheme="majorEastAsia" w:hAnsiTheme="majorHAnsi" w:cstheme="majorBidi"/>
      <w:color w:val="365F91" w:themeColor="accent1" w:themeShade="BF"/>
      <w:sz w:val="26"/>
      <w:szCs w:val="26"/>
      <w:lang w:val="es-ES"/>
    </w:rPr>
  </w:style>
  <w:style w:type="paragraph" w:styleId="Prrafodelista">
    <w:name w:val="List Paragraph"/>
    <w:aliases w:val="Informe"/>
    <w:basedOn w:val="Normal"/>
    <w:link w:val="PrrafodelistaCar"/>
    <w:uiPriority w:val="34"/>
    <w:qFormat/>
    <w:rsid w:val="00405190"/>
    <w:pPr>
      <w:ind w:left="720"/>
      <w:contextualSpacing/>
    </w:pPr>
  </w:style>
  <w:style w:type="paragraph" w:styleId="Descripcin">
    <w:name w:val="caption"/>
    <w:basedOn w:val="Normal"/>
    <w:next w:val="Normal"/>
    <w:uiPriority w:val="35"/>
    <w:unhideWhenUsed/>
    <w:qFormat/>
    <w:rsid w:val="00F96FAA"/>
    <w:pPr>
      <w:spacing w:line="240" w:lineRule="auto"/>
    </w:pPr>
    <w:rPr>
      <w:i/>
      <w:iCs/>
      <w:color w:val="1F497D" w:themeColor="text2"/>
      <w:sz w:val="18"/>
      <w:szCs w:val="18"/>
    </w:rPr>
  </w:style>
  <w:style w:type="table" w:styleId="Tablanormal1">
    <w:name w:val="Plain Table 1"/>
    <w:basedOn w:val="Tablanormal"/>
    <w:uiPriority w:val="41"/>
    <w:rsid w:val="00560BD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9314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447"/>
    <w:rPr>
      <w:rFonts w:ascii="Segoe UI" w:hAnsi="Segoe UI" w:cs="Segoe UI"/>
      <w:sz w:val="18"/>
      <w:szCs w:val="18"/>
      <w:lang w:val="es-ES"/>
    </w:rPr>
  </w:style>
  <w:style w:type="table" w:styleId="Tablaconcuadrcula4-nfasis5">
    <w:name w:val="Grid Table 4 Accent 5"/>
    <w:basedOn w:val="Tablanormal"/>
    <w:uiPriority w:val="49"/>
    <w:rsid w:val="00585CF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
    <w:name w:val="Table Grid"/>
    <w:basedOn w:val="Tablanormal"/>
    <w:uiPriority w:val="39"/>
    <w:rsid w:val="00021969"/>
    <w:pPr>
      <w:spacing w:after="0" w:line="240" w:lineRule="auto"/>
      <w:jc w:val="center"/>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Informe Car"/>
    <w:link w:val="Prrafodelista"/>
    <w:uiPriority w:val="34"/>
    <w:rsid w:val="00021969"/>
    <w:rPr>
      <w:lang w:val="es-ES"/>
    </w:rPr>
  </w:style>
  <w:style w:type="character" w:customStyle="1" w:styleId="normaltextrun">
    <w:name w:val="normaltextrun"/>
    <w:basedOn w:val="Fuentedeprrafopredeter"/>
    <w:rsid w:val="00021969"/>
  </w:style>
  <w:style w:type="character" w:customStyle="1" w:styleId="Ttulo3Car">
    <w:name w:val="Título 3 Car"/>
    <w:basedOn w:val="Fuentedeprrafopredeter"/>
    <w:link w:val="Ttulo3"/>
    <w:uiPriority w:val="9"/>
    <w:rsid w:val="00A451EE"/>
    <w:rPr>
      <w:rFonts w:asciiTheme="majorHAnsi" w:eastAsiaTheme="majorEastAsia" w:hAnsiTheme="majorHAnsi" w:cstheme="majorBidi"/>
      <w:color w:val="243F60" w:themeColor="accent1" w:themeShade="7F"/>
      <w:sz w:val="24"/>
      <w:szCs w:val="24"/>
      <w:lang w:val="es-ES"/>
    </w:rPr>
  </w:style>
  <w:style w:type="paragraph" w:styleId="Textocomentario">
    <w:name w:val="annotation text"/>
    <w:basedOn w:val="Normal"/>
    <w:link w:val="TextocomentarioCar"/>
    <w:uiPriority w:val="99"/>
    <w:semiHidden/>
    <w:unhideWhenUsed/>
    <w:rsid w:val="005715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152B"/>
    <w:rPr>
      <w:sz w:val="20"/>
      <w:szCs w:val="20"/>
      <w:lang w:val="es-ES"/>
    </w:rPr>
  </w:style>
  <w:style w:type="character" w:styleId="Refdecomentario">
    <w:name w:val="annotation reference"/>
    <w:basedOn w:val="Fuentedeprrafopredeter"/>
    <w:uiPriority w:val="99"/>
    <w:semiHidden/>
    <w:unhideWhenUsed/>
    <w:rsid w:val="0057152B"/>
    <w:rPr>
      <w:sz w:val="16"/>
      <w:szCs w:val="16"/>
    </w:rPr>
  </w:style>
  <w:style w:type="character" w:customStyle="1" w:styleId="hps">
    <w:name w:val="hps"/>
    <w:basedOn w:val="Fuentedeprrafopredeter"/>
    <w:rsid w:val="008C0B7D"/>
  </w:style>
  <w:style w:type="table" w:styleId="Tablaconcuadrcula5oscura-nfasis1">
    <w:name w:val="Grid Table 5 Dark Accent 1"/>
    <w:basedOn w:val="Tablanormal"/>
    <w:uiPriority w:val="50"/>
    <w:rsid w:val="001D58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rmalWeb">
    <w:name w:val="Normal (Web)"/>
    <w:basedOn w:val="Normal"/>
    <w:uiPriority w:val="99"/>
    <w:semiHidden/>
    <w:unhideWhenUsed/>
    <w:rsid w:val="00E26C70"/>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customStyle="1" w:styleId="Ttulo4Car">
    <w:name w:val="Título 4 Car"/>
    <w:basedOn w:val="Fuentedeprrafopredeter"/>
    <w:link w:val="Ttulo4"/>
    <w:uiPriority w:val="9"/>
    <w:rsid w:val="00622780"/>
    <w:rPr>
      <w:rFonts w:asciiTheme="majorHAnsi" w:eastAsiaTheme="majorEastAsia" w:hAnsiTheme="majorHAnsi" w:cstheme="majorBidi"/>
      <w:i/>
      <w:iCs/>
      <w:color w:val="365F91" w:themeColor="accent1" w:themeShade="BF"/>
      <w:lang w:val="es-ES"/>
    </w:rPr>
  </w:style>
  <w:style w:type="character" w:styleId="Hipervnculovisitado">
    <w:name w:val="FollowedHyperlink"/>
    <w:basedOn w:val="Fuentedeprrafopredeter"/>
    <w:uiPriority w:val="99"/>
    <w:semiHidden/>
    <w:unhideWhenUsed/>
    <w:rsid w:val="007E2AA4"/>
    <w:rPr>
      <w:color w:val="954F72"/>
      <w:u w:val="single"/>
    </w:rPr>
  </w:style>
  <w:style w:type="paragraph" w:customStyle="1" w:styleId="msonormal0">
    <w:name w:val="msonormal"/>
    <w:basedOn w:val="Normal"/>
    <w:rsid w:val="007E2AA4"/>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customStyle="1" w:styleId="xl64">
    <w:name w:val="xl64"/>
    <w:basedOn w:val="Normal"/>
    <w:rsid w:val="007E2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65">
    <w:name w:val="xl65"/>
    <w:basedOn w:val="Normal"/>
    <w:rsid w:val="007E2AA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66">
    <w:name w:val="xl66"/>
    <w:basedOn w:val="Normal"/>
    <w:rsid w:val="007E2AA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67">
    <w:name w:val="xl67"/>
    <w:basedOn w:val="Normal"/>
    <w:rsid w:val="007E2AA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68">
    <w:name w:val="xl68"/>
    <w:basedOn w:val="Normal"/>
    <w:rsid w:val="007E2AA4"/>
    <w:pPr>
      <w:pBdr>
        <w:top w:val="single" w:sz="4" w:space="0" w:color="auto"/>
        <w:left w:val="single" w:sz="4" w:space="0" w:color="auto"/>
        <w:bottom w:val="single" w:sz="8"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69">
    <w:name w:val="xl69"/>
    <w:basedOn w:val="Normal"/>
    <w:rsid w:val="007E2AA4"/>
    <w:pPr>
      <w:pBdr>
        <w:top w:val="single" w:sz="4" w:space="0" w:color="auto"/>
        <w:left w:val="single" w:sz="4" w:space="0" w:color="auto"/>
        <w:bottom w:val="single" w:sz="8"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0">
    <w:name w:val="xl70"/>
    <w:basedOn w:val="Normal"/>
    <w:rsid w:val="007E2A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1">
    <w:name w:val="xl71"/>
    <w:basedOn w:val="Normal"/>
    <w:rsid w:val="007E2AA4"/>
    <w:pPr>
      <w:pBdr>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2">
    <w:name w:val="xl72"/>
    <w:basedOn w:val="Normal"/>
    <w:rsid w:val="007E2AA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3">
    <w:name w:val="xl73"/>
    <w:basedOn w:val="Normal"/>
    <w:rsid w:val="007E2AA4"/>
    <w:pPr>
      <w:pBdr>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4">
    <w:name w:val="xl74"/>
    <w:basedOn w:val="Normal"/>
    <w:rsid w:val="007E2AA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5">
    <w:name w:val="xl75"/>
    <w:basedOn w:val="Normal"/>
    <w:rsid w:val="007E2AA4"/>
    <w:pPr>
      <w:pBdr>
        <w:left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6">
    <w:name w:val="xl76"/>
    <w:basedOn w:val="Normal"/>
    <w:rsid w:val="007E2AA4"/>
    <w:pPr>
      <w:pBdr>
        <w:top w:val="single" w:sz="4" w:space="0" w:color="auto"/>
        <w:left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7">
    <w:name w:val="xl77"/>
    <w:basedOn w:val="Normal"/>
    <w:rsid w:val="007E2AA4"/>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8">
    <w:name w:val="xl78"/>
    <w:basedOn w:val="Normal"/>
    <w:rsid w:val="007E2AA4"/>
    <w:pPr>
      <w:pBdr>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9">
    <w:name w:val="xl79"/>
    <w:basedOn w:val="Normal"/>
    <w:rsid w:val="007E2AA4"/>
    <w:pPr>
      <w:pBdr>
        <w:top w:val="single" w:sz="4" w:space="0" w:color="auto"/>
        <w:left w:val="single" w:sz="4" w:space="0" w:color="auto"/>
        <w:bottom w:val="single" w:sz="8"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80">
    <w:name w:val="xl80"/>
    <w:basedOn w:val="Normal"/>
    <w:rsid w:val="007E2AA4"/>
    <w:pPr>
      <w:pBdr>
        <w:top w:val="single" w:sz="8"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81">
    <w:name w:val="xl81"/>
    <w:basedOn w:val="Normal"/>
    <w:rsid w:val="007E2AA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82">
    <w:name w:val="xl82"/>
    <w:basedOn w:val="Normal"/>
    <w:rsid w:val="007E2AA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83">
    <w:name w:val="xl83"/>
    <w:basedOn w:val="Normal"/>
    <w:rsid w:val="007E2AA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84">
    <w:name w:val="xl84"/>
    <w:basedOn w:val="Normal"/>
    <w:rsid w:val="007E2AA4"/>
    <w:pPr>
      <w:pBdr>
        <w:top w:val="single" w:sz="8"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85">
    <w:name w:val="xl85"/>
    <w:basedOn w:val="Normal"/>
    <w:rsid w:val="007E2AA4"/>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86">
    <w:name w:val="xl86"/>
    <w:basedOn w:val="Normal"/>
    <w:rsid w:val="007E2AA4"/>
    <w:pPr>
      <w:pBdr>
        <w:top w:val="single" w:sz="4" w:space="0" w:color="auto"/>
        <w:left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87">
    <w:name w:val="xl87"/>
    <w:basedOn w:val="Normal"/>
    <w:rsid w:val="007E2AA4"/>
    <w:pPr>
      <w:pBdr>
        <w:top w:val="single" w:sz="4" w:space="0" w:color="auto"/>
        <w:left w:val="single" w:sz="4" w:space="0" w:color="auto"/>
        <w:bottom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88">
    <w:name w:val="xl88"/>
    <w:basedOn w:val="Normal"/>
    <w:rsid w:val="007E2AA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89">
    <w:name w:val="xl89"/>
    <w:basedOn w:val="Normal"/>
    <w:rsid w:val="007E2AA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90">
    <w:name w:val="xl90"/>
    <w:basedOn w:val="Normal"/>
    <w:rsid w:val="007E2AA4"/>
    <w:pPr>
      <w:pBdr>
        <w:top w:val="single" w:sz="8"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91">
    <w:name w:val="xl91"/>
    <w:basedOn w:val="Normal"/>
    <w:rsid w:val="007E2AA4"/>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92">
    <w:name w:val="xl92"/>
    <w:basedOn w:val="Normal"/>
    <w:rsid w:val="007E2AA4"/>
    <w:pPr>
      <w:pBdr>
        <w:top w:val="single" w:sz="4" w:space="0" w:color="auto"/>
        <w:left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93">
    <w:name w:val="xl93"/>
    <w:basedOn w:val="Normal"/>
    <w:rsid w:val="007E2AA4"/>
    <w:pPr>
      <w:pBdr>
        <w:top w:val="single" w:sz="4" w:space="0" w:color="auto"/>
        <w:left w:val="single" w:sz="4" w:space="0" w:color="auto"/>
        <w:bottom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94">
    <w:name w:val="xl94"/>
    <w:basedOn w:val="Normal"/>
    <w:rsid w:val="007E2AA4"/>
    <w:pPr>
      <w:pBdr>
        <w:left w:val="single" w:sz="8" w:space="0" w:color="auto"/>
        <w:bottom w:val="single" w:sz="12" w:space="0" w:color="auto"/>
        <w:right w:val="single" w:sz="12"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95">
    <w:name w:val="xl95"/>
    <w:basedOn w:val="Normal"/>
    <w:rsid w:val="007E2AA4"/>
    <w:pPr>
      <w:pBdr>
        <w:bottom w:val="single" w:sz="12"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96">
    <w:name w:val="xl96"/>
    <w:basedOn w:val="Normal"/>
    <w:rsid w:val="007E2AA4"/>
    <w:pPr>
      <w:pBdr>
        <w:bottom w:val="single" w:sz="12" w:space="0" w:color="auto"/>
        <w:right w:val="single" w:sz="8"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97">
    <w:name w:val="xl97"/>
    <w:basedOn w:val="Normal"/>
    <w:rsid w:val="007E2AA4"/>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98">
    <w:name w:val="xl98"/>
    <w:basedOn w:val="Normal"/>
    <w:rsid w:val="007E2AA4"/>
    <w:pPr>
      <w:pBdr>
        <w:left w:val="single" w:sz="12"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99">
    <w:name w:val="xl99"/>
    <w:basedOn w:val="Normal"/>
    <w:rsid w:val="007E2AA4"/>
    <w:pPr>
      <w:pBdr>
        <w:left w:val="single" w:sz="8" w:space="0" w:color="auto"/>
        <w:right w:val="single" w:sz="12"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00">
    <w:name w:val="xl100"/>
    <w:basedOn w:val="Normal"/>
    <w:rsid w:val="007E2AA4"/>
    <w:pPr>
      <w:pBdr>
        <w:bottom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101">
    <w:name w:val="xl101"/>
    <w:basedOn w:val="Normal"/>
    <w:rsid w:val="007E2AA4"/>
    <w:pPr>
      <w:pBdr>
        <w:bottom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102">
    <w:name w:val="xl102"/>
    <w:basedOn w:val="Normal"/>
    <w:rsid w:val="007E2AA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103">
    <w:name w:val="xl103"/>
    <w:basedOn w:val="Normal"/>
    <w:rsid w:val="007E2AA4"/>
    <w:pPr>
      <w:pBdr>
        <w:left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04">
    <w:name w:val="xl104"/>
    <w:basedOn w:val="Normal"/>
    <w:rsid w:val="007E2AA4"/>
    <w:pPr>
      <w:pBdr>
        <w:top w:val="single" w:sz="12" w:space="0" w:color="auto"/>
        <w:left w:val="single" w:sz="8" w:space="0" w:color="auto"/>
        <w:right w:val="single" w:sz="12"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05">
    <w:name w:val="xl105"/>
    <w:basedOn w:val="Normal"/>
    <w:rsid w:val="007E2AA4"/>
    <w:pPr>
      <w:pBdr>
        <w:bottom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106">
    <w:name w:val="xl106"/>
    <w:basedOn w:val="Normal"/>
    <w:rsid w:val="007E2AA4"/>
    <w:pPr>
      <w:pBdr>
        <w:top w:val="single" w:sz="12" w:space="0" w:color="auto"/>
        <w:left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07">
    <w:name w:val="xl107"/>
    <w:basedOn w:val="Normal"/>
    <w:rsid w:val="007E2AA4"/>
    <w:pPr>
      <w:pBdr>
        <w:bottom w:val="single" w:sz="12" w:space="0" w:color="auto"/>
        <w:right w:val="single" w:sz="8"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108">
    <w:name w:val="xl108"/>
    <w:basedOn w:val="Normal"/>
    <w:rsid w:val="007E2AA4"/>
    <w:pPr>
      <w:pBdr>
        <w:bottom w:val="single" w:sz="12"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109">
    <w:name w:val="xl109"/>
    <w:basedOn w:val="Normal"/>
    <w:rsid w:val="007E2AA4"/>
    <w:pPr>
      <w:pBdr>
        <w:bottom w:val="single" w:sz="8" w:space="0" w:color="auto"/>
        <w:right w:val="single" w:sz="8"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110">
    <w:name w:val="xl110"/>
    <w:basedOn w:val="Normal"/>
    <w:rsid w:val="007E2AA4"/>
    <w:pPr>
      <w:pBdr>
        <w:left w:val="single" w:sz="8" w:space="0" w:color="auto"/>
        <w:bottom w:val="single" w:sz="12" w:space="0" w:color="auto"/>
        <w:right w:val="single" w:sz="12"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11">
    <w:name w:val="xl111"/>
    <w:basedOn w:val="Normal"/>
    <w:rsid w:val="007E2AA4"/>
    <w:pPr>
      <w:pBdr>
        <w:left w:val="single" w:sz="8" w:space="0" w:color="auto"/>
        <w:right w:val="single" w:sz="12"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12">
    <w:name w:val="xl112"/>
    <w:basedOn w:val="Normal"/>
    <w:rsid w:val="007E2AA4"/>
    <w:pPr>
      <w:pBdr>
        <w:top w:val="single" w:sz="12" w:space="0" w:color="auto"/>
        <w:left w:val="single" w:sz="8" w:space="0" w:color="auto"/>
        <w:right w:val="single" w:sz="12"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13">
    <w:name w:val="xl113"/>
    <w:basedOn w:val="Normal"/>
    <w:rsid w:val="007E2AA4"/>
    <w:pPr>
      <w:pBdr>
        <w:left w:val="single" w:sz="8" w:space="0" w:color="auto"/>
        <w:bottom w:val="single" w:sz="12" w:space="0" w:color="auto"/>
        <w:right w:val="single" w:sz="12"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14">
    <w:name w:val="xl114"/>
    <w:basedOn w:val="Normal"/>
    <w:rsid w:val="007E2AA4"/>
    <w:pPr>
      <w:pBdr>
        <w:left w:val="single" w:sz="8" w:space="0" w:color="auto"/>
        <w:right w:val="single" w:sz="12"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15">
    <w:name w:val="xl115"/>
    <w:basedOn w:val="Normal"/>
    <w:rsid w:val="007E2AA4"/>
    <w:pPr>
      <w:pBdr>
        <w:top w:val="single" w:sz="12" w:space="0" w:color="auto"/>
        <w:left w:val="single" w:sz="8" w:space="0" w:color="auto"/>
        <w:right w:val="single" w:sz="12"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16">
    <w:name w:val="xl116"/>
    <w:basedOn w:val="Normal"/>
    <w:rsid w:val="007E2AA4"/>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17">
    <w:name w:val="xl117"/>
    <w:basedOn w:val="Normal"/>
    <w:rsid w:val="007E2AA4"/>
    <w:pPr>
      <w:pBdr>
        <w:top w:val="single" w:sz="12" w:space="0" w:color="auto"/>
        <w:left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18">
    <w:name w:val="xl118"/>
    <w:basedOn w:val="Normal"/>
    <w:rsid w:val="007E2AA4"/>
    <w:pPr>
      <w:pBdr>
        <w:top w:val="single" w:sz="12"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19">
    <w:name w:val="xl119"/>
    <w:basedOn w:val="Normal"/>
    <w:rsid w:val="007E2AA4"/>
    <w:pPr>
      <w:pBdr>
        <w:top w:val="single" w:sz="12"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20">
    <w:name w:val="xl120"/>
    <w:basedOn w:val="Normal"/>
    <w:rsid w:val="007E2AA4"/>
    <w:pPr>
      <w:pBdr>
        <w:top w:val="single" w:sz="12" w:space="0" w:color="auto"/>
        <w:left w:val="single" w:sz="12"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21">
    <w:name w:val="xl121"/>
    <w:basedOn w:val="Normal"/>
    <w:rsid w:val="007E2AA4"/>
    <w:pPr>
      <w:pBdr>
        <w:left w:val="single" w:sz="12"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22">
    <w:name w:val="xl122"/>
    <w:basedOn w:val="Normal"/>
    <w:rsid w:val="007E2AA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23">
    <w:name w:val="xl123"/>
    <w:basedOn w:val="Normal"/>
    <w:rsid w:val="007E2AA4"/>
    <w:pPr>
      <w:pBdr>
        <w:left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24">
    <w:name w:val="xl124"/>
    <w:basedOn w:val="Normal"/>
    <w:rsid w:val="007E2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s-CR" w:eastAsia="es-CR"/>
    </w:rPr>
  </w:style>
  <w:style w:type="paragraph" w:customStyle="1" w:styleId="Default">
    <w:name w:val="Default"/>
    <w:rsid w:val="0005363C"/>
    <w:pPr>
      <w:autoSpaceDE w:val="0"/>
      <w:autoSpaceDN w:val="0"/>
      <w:adjustRightInd w:val="0"/>
      <w:spacing w:after="0" w:line="240" w:lineRule="auto"/>
    </w:pPr>
    <w:rPr>
      <w:rFonts w:ascii="Century Gothic" w:eastAsiaTheme="minorEastAsia" w:hAnsi="Century Gothic" w:cs="Century Gothic"/>
      <w:color w:val="000000"/>
      <w:sz w:val="24"/>
      <w:szCs w:val="24"/>
      <w:lang w:val="es-ES"/>
    </w:rPr>
  </w:style>
  <w:style w:type="character" w:customStyle="1" w:styleId="Ttulo5Car">
    <w:name w:val="Título 5 Car"/>
    <w:basedOn w:val="Fuentedeprrafopredeter"/>
    <w:link w:val="Ttulo5"/>
    <w:uiPriority w:val="9"/>
    <w:rsid w:val="00B304A2"/>
    <w:rPr>
      <w:rFonts w:asciiTheme="majorHAnsi" w:eastAsiaTheme="majorEastAsia" w:hAnsiTheme="majorHAnsi" w:cstheme="majorBidi"/>
      <w:color w:val="365F91" w:themeColor="accent1" w:themeShade="BF"/>
      <w:lang w:val="es-ES"/>
    </w:rPr>
  </w:style>
  <w:style w:type="character" w:customStyle="1" w:styleId="Ttulo6Car">
    <w:name w:val="Título 6 Car"/>
    <w:basedOn w:val="Fuentedeprrafopredeter"/>
    <w:link w:val="Ttulo6"/>
    <w:uiPriority w:val="9"/>
    <w:rsid w:val="00B304A2"/>
    <w:rPr>
      <w:rFonts w:asciiTheme="majorHAnsi" w:eastAsiaTheme="majorEastAsia" w:hAnsiTheme="majorHAnsi" w:cstheme="majorBidi"/>
      <w:color w:val="243F60" w:themeColor="accent1" w:themeShade="7F"/>
      <w:lang w:val="es-ES"/>
    </w:rPr>
  </w:style>
  <w:style w:type="character" w:customStyle="1" w:styleId="Ttulo7Car">
    <w:name w:val="Título 7 Car"/>
    <w:basedOn w:val="Fuentedeprrafopredeter"/>
    <w:link w:val="Ttulo7"/>
    <w:uiPriority w:val="9"/>
    <w:rsid w:val="00B304A2"/>
    <w:rPr>
      <w:rFonts w:asciiTheme="majorHAnsi" w:eastAsiaTheme="majorEastAsia" w:hAnsiTheme="majorHAnsi" w:cstheme="majorBidi"/>
      <w:i/>
      <w:iCs/>
      <w:color w:val="243F60" w:themeColor="accent1" w:themeShade="7F"/>
      <w:lang w:val="es-ES"/>
    </w:rPr>
  </w:style>
  <w:style w:type="character" w:customStyle="1" w:styleId="Ttulo8Car">
    <w:name w:val="Título 8 Car"/>
    <w:basedOn w:val="Fuentedeprrafopredeter"/>
    <w:link w:val="Ttulo8"/>
    <w:uiPriority w:val="9"/>
    <w:semiHidden/>
    <w:rsid w:val="00B304A2"/>
    <w:rPr>
      <w:rFonts w:asciiTheme="majorHAnsi" w:eastAsiaTheme="majorEastAsia" w:hAnsiTheme="majorHAnsi" w:cstheme="majorBidi"/>
      <w:color w:val="272727" w:themeColor="text1" w:themeTint="D8"/>
      <w:sz w:val="21"/>
      <w:szCs w:val="21"/>
      <w:lang w:val="es-ES"/>
    </w:rPr>
  </w:style>
  <w:style w:type="character" w:customStyle="1" w:styleId="Ttulo9Car">
    <w:name w:val="Título 9 Car"/>
    <w:basedOn w:val="Fuentedeprrafopredeter"/>
    <w:link w:val="Ttulo9"/>
    <w:uiPriority w:val="9"/>
    <w:semiHidden/>
    <w:rsid w:val="00B304A2"/>
    <w:rPr>
      <w:rFonts w:asciiTheme="majorHAnsi" w:eastAsiaTheme="majorEastAsia" w:hAnsiTheme="majorHAnsi" w:cstheme="majorBidi"/>
      <w:i/>
      <w:iCs/>
      <w:color w:val="272727" w:themeColor="text1" w:themeTint="D8"/>
      <w:sz w:val="21"/>
      <w:szCs w:val="21"/>
      <w:lang w:val="es-ES"/>
    </w:rPr>
  </w:style>
  <w:style w:type="paragraph" w:styleId="Asuntodelcomentario">
    <w:name w:val="annotation subject"/>
    <w:basedOn w:val="Textocomentario"/>
    <w:next w:val="Textocomentario"/>
    <w:link w:val="AsuntodelcomentarioCar"/>
    <w:uiPriority w:val="99"/>
    <w:semiHidden/>
    <w:unhideWhenUsed/>
    <w:rsid w:val="003B51B5"/>
    <w:rPr>
      <w:b/>
      <w:bCs/>
    </w:rPr>
  </w:style>
  <w:style w:type="character" w:customStyle="1" w:styleId="AsuntodelcomentarioCar">
    <w:name w:val="Asunto del comentario Car"/>
    <w:basedOn w:val="TextocomentarioCar"/>
    <w:link w:val="Asuntodelcomentario"/>
    <w:uiPriority w:val="99"/>
    <w:semiHidden/>
    <w:rsid w:val="003B51B5"/>
    <w:rPr>
      <w:b/>
      <w:bCs/>
      <w:sz w:val="20"/>
      <w:szCs w:val="20"/>
      <w:lang w:val="es-ES"/>
    </w:rPr>
  </w:style>
  <w:style w:type="character" w:styleId="Mencinsinresolver">
    <w:name w:val="Unresolved Mention"/>
    <w:basedOn w:val="Fuentedeprrafopredeter"/>
    <w:uiPriority w:val="99"/>
    <w:semiHidden/>
    <w:unhideWhenUsed/>
    <w:rsid w:val="00245551"/>
    <w:rPr>
      <w:color w:val="605E5C"/>
      <w:shd w:val="clear" w:color="auto" w:fill="E1DFDD"/>
    </w:rPr>
  </w:style>
  <w:style w:type="paragraph" w:styleId="Sinespaciado">
    <w:name w:val="No Spacing"/>
    <w:uiPriority w:val="1"/>
    <w:qFormat/>
    <w:rsid w:val="00400A8A"/>
    <w:pPr>
      <w:spacing w:after="0" w:line="240" w:lineRule="auto"/>
    </w:pPr>
    <w:rPr>
      <w:lang w:val="es-ES"/>
    </w:rPr>
  </w:style>
  <w:style w:type="character" w:styleId="nfasisintenso">
    <w:name w:val="Intense Emphasis"/>
    <w:basedOn w:val="Fuentedeprrafopredeter"/>
    <w:uiPriority w:val="21"/>
    <w:qFormat/>
    <w:rsid w:val="00F44075"/>
    <w:rPr>
      <w:i/>
      <w:iCs/>
      <w:color w:val="4F81BD" w:themeColor="accent1"/>
    </w:rPr>
  </w:style>
  <w:style w:type="paragraph" w:styleId="Ttulo">
    <w:name w:val="Title"/>
    <w:basedOn w:val="Normal"/>
    <w:next w:val="Normal"/>
    <w:link w:val="TtuloCar"/>
    <w:uiPriority w:val="10"/>
    <w:qFormat/>
    <w:rsid w:val="002810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107F"/>
    <w:rPr>
      <w:rFonts w:asciiTheme="majorHAnsi" w:eastAsiaTheme="majorEastAsia" w:hAnsiTheme="majorHAnsi" w:cstheme="majorBidi"/>
      <w:spacing w:val="-10"/>
      <w:kern w:val="28"/>
      <w:sz w:val="56"/>
      <w:szCs w:val="56"/>
      <w:lang w:val="es-ES"/>
    </w:rPr>
  </w:style>
  <w:style w:type="paragraph" w:styleId="Subttulo">
    <w:name w:val="Subtitle"/>
    <w:basedOn w:val="Normal"/>
    <w:next w:val="Normal"/>
    <w:link w:val="SubttuloCar"/>
    <w:uiPriority w:val="11"/>
    <w:qFormat/>
    <w:rsid w:val="0028107F"/>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28107F"/>
    <w:rPr>
      <w:rFonts w:eastAsiaTheme="minorEastAsia"/>
      <w:color w:val="5A5A5A" w:themeColor="text1" w:themeTint="A5"/>
      <w:spacing w:val="15"/>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848">
      <w:bodyDiv w:val="1"/>
      <w:marLeft w:val="0"/>
      <w:marRight w:val="0"/>
      <w:marTop w:val="0"/>
      <w:marBottom w:val="0"/>
      <w:divBdr>
        <w:top w:val="none" w:sz="0" w:space="0" w:color="auto"/>
        <w:left w:val="none" w:sz="0" w:space="0" w:color="auto"/>
        <w:bottom w:val="none" w:sz="0" w:space="0" w:color="auto"/>
        <w:right w:val="none" w:sz="0" w:space="0" w:color="auto"/>
      </w:divBdr>
    </w:div>
    <w:div w:id="53507726">
      <w:bodyDiv w:val="1"/>
      <w:marLeft w:val="0"/>
      <w:marRight w:val="0"/>
      <w:marTop w:val="0"/>
      <w:marBottom w:val="0"/>
      <w:divBdr>
        <w:top w:val="none" w:sz="0" w:space="0" w:color="auto"/>
        <w:left w:val="none" w:sz="0" w:space="0" w:color="auto"/>
        <w:bottom w:val="none" w:sz="0" w:space="0" w:color="auto"/>
        <w:right w:val="none" w:sz="0" w:space="0" w:color="auto"/>
      </w:divBdr>
      <w:divsChild>
        <w:div w:id="742334244">
          <w:marLeft w:val="0"/>
          <w:marRight w:val="0"/>
          <w:marTop w:val="0"/>
          <w:marBottom w:val="0"/>
          <w:divBdr>
            <w:top w:val="none" w:sz="0" w:space="0" w:color="auto"/>
            <w:left w:val="none" w:sz="0" w:space="0" w:color="auto"/>
            <w:bottom w:val="none" w:sz="0" w:space="0" w:color="auto"/>
            <w:right w:val="none" w:sz="0" w:space="0" w:color="auto"/>
          </w:divBdr>
        </w:div>
      </w:divsChild>
    </w:div>
    <w:div w:id="136267454">
      <w:bodyDiv w:val="1"/>
      <w:marLeft w:val="0"/>
      <w:marRight w:val="0"/>
      <w:marTop w:val="0"/>
      <w:marBottom w:val="0"/>
      <w:divBdr>
        <w:top w:val="none" w:sz="0" w:space="0" w:color="auto"/>
        <w:left w:val="none" w:sz="0" w:space="0" w:color="auto"/>
        <w:bottom w:val="none" w:sz="0" w:space="0" w:color="auto"/>
        <w:right w:val="none" w:sz="0" w:space="0" w:color="auto"/>
      </w:divBdr>
      <w:divsChild>
        <w:div w:id="86049450">
          <w:marLeft w:val="1138"/>
          <w:marRight w:val="0"/>
          <w:marTop w:val="0"/>
          <w:marBottom w:val="720"/>
          <w:divBdr>
            <w:top w:val="none" w:sz="0" w:space="0" w:color="auto"/>
            <w:left w:val="none" w:sz="0" w:space="0" w:color="auto"/>
            <w:bottom w:val="none" w:sz="0" w:space="0" w:color="auto"/>
            <w:right w:val="none" w:sz="0" w:space="0" w:color="auto"/>
          </w:divBdr>
        </w:div>
        <w:div w:id="875696551">
          <w:marLeft w:val="1138"/>
          <w:marRight w:val="0"/>
          <w:marTop w:val="0"/>
          <w:marBottom w:val="720"/>
          <w:divBdr>
            <w:top w:val="none" w:sz="0" w:space="0" w:color="auto"/>
            <w:left w:val="none" w:sz="0" w:space="0" w:color="auto"/>
            <w:bottom w:val="none" w:sz="0" w:space="0" w:color="auto"/>
            <w:right w:val="none" w:sz="0" w:space="0" w:color="auto"/>
          </w:divBdr>
        </w:div>
        <w:div w:id="1515532391">
          <w:marLeft w:val="1138"/>
          <w:marRight w:val="0"/>
          <w:marTop w:val="0"/>
          <w:marBottom w:val="720"/>
          <w:divBdr>
            <w:top w:val="none" w:sz="0" w:space="0" w:color="auto"/>
            <w:left w:val="none" w:sz="0" w:space="0" w:color="auto"/>
            <w:bottom w:val="none" w:sz="0" w:space="0" w:color="auto"/>
            <w:right w:val="none" w:sz="0" w:space="0" w:color="auto"/>
          </w:divBdr>
        </w:div>
        <w:div w:id="1703480855">
          <w:marLeft w:val="1138"/>
          <w:marRight w:val="0"/>
          <w:marTop w:val="0"/>
          <w:marBottom w:val="720"/>
          <w:divBdr>
            <w:top w:val="none" w:sz="0" w:space="0" w:color="auto"/>
            <w:left w:val="none" w:sz="0" w:space="0" w:color="auto"/>
            <w:bottom w:val="none" w:sz="0" w:space="0" w:color="auto"/>
            <w:right w:val="none" w:sz="0" w:space="0" w:color="auto"/>
          </w:divBdr>
        </w:div>
        <w:div w:id="2118017613">
          <w:marLeft w:val="1138"/>
          <w:marRight w:val="0"/>
          <w:marTop w:val="0"/>
          <w:marBottom w:val="720"/>
          <w:divBdr>
            <w:top w:val="none" w:sz="0" w:space="0" w:color="auto"/>
            <w:left w:val="none" w:sz="0" w:space="0" w:color="auto"/>
            <w:bottom w:val="none" w:sz="0" w:space="0" w:color="auto"/>
            <w:right w:val="none" w:sz="0" w:space="0" w:color="auto"/>
          </w:divBdr>
        </w:div>
      </w:divsChild>
    </w:div>
    <w:div w:id="153572454">
      <w:bodyDiv w:val="1"/>
      <w:marLeft w:val="0"/>
      <w:marRight w:val="0"/>
      <w:marTop w:val="0"/>
      <w:marBottom w:val="0"/>
      <w:divBdr>
        <w:top w:val="none" w:sz="0" w:space="0" w:color="auto"/>
        <w:left w:val="none" w:sz="0" w:space="0" w:color="auto"/>
        <w:bottom w:val="none" w:sz="0" w:space="0" w:color="auto"/>
        <w:right w:val="none" w:sz="0" w:space="0" w:color="auto"/>
      </w:divBdr>
    </w:div>
    <w:div w:id="181207937">
      <w:bodyDiv w:val="1"/>
      <w:marLeft w:val="0"/>
      <w:marRight w:val="0"/>
      <w:marTop w:val="0"/>
      <w:marBottom w:val="0"/>
      <w:divBdr>
        <w:top w:val="none" w:sz="0" w:space="0" w:color="auto"/>
        <w:left w:val="none" w:sz="0" w:space="0" w:color="auto"/>
        <w:bottom w:val="none" w:sz="0" w:space="0" w:color="auto"/>
        <w:right w:val="none" w:sz="0" w:space="0" w:color="auto"/>
      </w:divBdr>
    </w:div>
    <w:div w:id="191043176">
      <w:bodyDiv w:val="1"/>
      <w:marLeft w:val="0"/>
      <w:marRight w:val="0"/>
      <w:marTop w:val="0"/>
      <w:marBottom w:val="0"/>
      <w:divBdr>
        <w:top w:val="none" w:sz="0" w:space="0" w:color="auto"/>
        <w:left w:val="none" w:sz="0" w:space="0" w:color="auto"/>
        <w:bottom w:val="none" w:sz="0" w:space="0" w:color="auto"/>
        <w:right w:val="none" w:sz="0" w:space="0" w:color="auto"/>
      </w:divBdr>
      <w:divsChild>
        <w:div w:id="90591348">
          <w:marLeft w:val="547"/>
          <w:marRight w:val="0"/>
          <w:marTop w:val="0"/>
          <w:marBottom w:val="0"/>
          <w:divBdr>
            <w:top w:val="none" w:sz="0" w:space="0" w:color="auto"/>
            <w:left w:val="none" w:sz="0" w:space="0" w:color="auto"/>
            <w:bottom w:val="none" w:sz="0" w:space="0" w:color="auto"/>
            <w:right w:val="none" w:sz="0" w:space="0" w:color="auto"/>
          </w:divBdr>
        </w:div>
      </w:divsChild>
    </w:div>
    <w:div w:id="195899110">
      <w:bodyDiv w:val="1"/>
      <w:marLeft w:val="0"/>
      <w:marRight w:val="0"/>
      <w:marTop w:val="0"/>
      <w:marBottom w:val="0"/>
      <w:divBdr>
        <w:top w:val="none" w:sz="0" w:space="0" w:color="auto"/>
        <w:left w:val="none" w:sz="0" w:space="0" w:color="auto"/>
        <w:bottom w:val="none" w:sz="0" w:space="0" w:color="auto"/>
        <w:right w:val="none" w:sz="0" w:space="0" w:color="auto"/>
      </w:divBdr>
    </w:div>
    <w:div w:id="266617732">
      <w:bodyDiv w:val="1"/>
      <w:marLeft w:val="0"/>
      <w:marRight w:val="0"/>
      <w:marTop w:val="0"/>
      <w:marBottom w:val="0"/>
      <w:divBdr>
        <w:top w:val="none" w:sz="0" w:space="0" w:color="auto"/>
        <w:left w:val="none" w:sz="0" w:space="0" w:color="auto"/>
        <w:bottom w:val="none" w:sz="0" w:space="0" w:color="auto"/>
        <w:right w:val="none" w:sz="0" w:space="0" w:color="auto"/>
      </w:divBdr>
    </w:div>
    <w:div w:id="307243629">
      <w:bodyDiv w:val="1"/>
      <w:marLeft w:val="0"/>
      <w:marRight w:val="0"/>
      <w:marTop w:val="0"/>
      <w:marBottom w:val="0"/>
      <w:divBdr>
        <w:top w:val="none" w:sz="0" w:space="0" w:color="auto"/>
        <w:left w:val="none" w:sz="0" w:space="0" w:color="auto"/>
        <w:bottom w:val="none" w:sz="0" w:space="0" w:color="auto"/>
        <w:right w:val="none" w:sz="0" w:space="0" w:color="auto"/>
      </w:divBdr>
    </w:div>
    <w:div w:id="383985756">
      <w:bodyDiv w:val="1"/>
      <w:marLeft w:val="0"/>
      <w:marRight w:val="0"/>
      <w:marTop w:val="0"/>
      <w:marBottom w:val="0"/>
      <w:divBdr>
        <w:top w:val="none" w:sz="0" w:space="0" w:color="auto"/>
        <w:left w:val="none" w:sz="0" w:space="0" w:color="auto"/>
        <w:bottom w:val="none" w:sz="0" w:space="0" w:color="auto"/>
        <w:right w:val="none" w:sz="0" w:space="0" w:color="auto"/>
      </w:divBdr>
    </w:div>
    <w:div w:id="392049821">
      <w:bodyDiv w:val="1"/>
      <w:marLeft w:val="0"/>
      <w:marRight w:val="0"/>
      <w:marTop w:val="0"/>
      <w:marBottom w:val="0"/>
      <w:divBdr>
        <w:top w:val="none" w:sz="0" w:space="0" w:color="auto"/>
        <w:left w:val="none" w:sz="0" w:space="0" w:color="auto"/>
        <w:bottom w:val="none" w:sz="0" w:space="0" w:color="auto"/>
        <w:right w:val="none" w:sz="0" w:space="0" w:color="auto"/>
      </w:divBdr>
    </w:div>
    <w:div w:id="404688534">
      <w:bodyDiv w:val="1"/>
      <w:marLeft w:val="0"/>
      <w:marRight w:val="0"/>
      <w:marTop w:val="0"/>
      <w:marBottom w:val="0"/>
      <w:divBdr>
        <w:top w:val="none" w:sz="0" w:space="0" w:color="auto"/>
        <w:left w:val="none" w:sz="0" w:space="0" w:color="auto"/>
        <w:bottom w:val="none" w:sz="0" w:space="0" w:color="auto"/>
        <w:right w:val="none" w:sz="0" w:space="0" w:color="auto"/>
      </w:divBdr>
    </w:div>
    <w:div w:id="434135216">
      <w:bodyDiv w:val="1"/>
      <w:marLeft w:val="0"/>
      <w:marRight w:val="0"/>
      <w:marTop w:val="0"/>
      <w:marBottom w:val="0"/>
      <w:divBdr>
        <w:top w:val="none" w:sz="0" w:space="0" w:color="auto"/>
        <w:left w:val="none" w:sz="0" w:space="0" w:color="auto"/>
        <w:bottom w:val="none" w:sz="0" w:space="0" w:color="auto"/>
        <w:right w:val="none" w:sz="0" w:space="0" w:color="auto"/>
      </w:divBdr>
    </w:div>
    <w:div w:id="500437398">
      <w:bodyDiv w:val="1"/>
      <w:marLeft w:val="0"/>
      <w:marRight w:val="0"/>
      <w:marTop w:val="0"/>
      <w:marBottom w:val="0"/>
      <w:divBdr>
        <w:top w:val="none" w:sz="0" w:space="0" w:color="auto"/>
        <w:left w:val="none" w:sz="0" w:space="0" w:color="auto"/>
        <w:bottom w:val="none" w:sz="0" w:space="0" w:color="auto"/>
        <w:right w:val="none" w:sz="0" w:space="0" w:color="auto"/>
      </w:divBdr>
    </w:div>
    <w:div w:id="516695466">
      <w:bodyDiv w:val="1"/>
      <w:marLeft w:val="0"/>
      <w:marRight w:val="0"/>
      <w:marTop w:val="0"/>
      <w:marBottom w:val="0"/>
      <w:divBdr>
        <w:top w:val="none" w:sz="0" w:space="0" w:color="auto"/>
        <w:left w:val="none" w:sz="0" w:space="0" w:color="auto"/>
        <w:bottom w:val="none" w:sz="0" w:space="0" w:color="auto"/>
        <w:right w:val="none" w:sz="0" w:space="0" w:color="auto"/>
      </w:divBdr>
    </w:div>
    <w:div w:id="553203483">
      <w:bodyDiv w:val="1"/>
      <w:marLeft w:val="0"/>
      <w:marRight w:val="0"/>
      <w:marTop w:val="0"/>
      <w:marBottom w:val="0"/>
      <w:divBdr>
        <w:top w:val="none" w:sz="0" w:space="0" w:color="auto"/>
        <w:left w:val="none" w:sz="0" w:space="0" w:color="auto"/>
        <w:bottom w:val="none" w:sz="0" w:space="0" w:color="auto"/>
        <w:right w:val="none" w:sz="0" w:space="0" w:color="auto"/>
      </w:divBdr>
    </w:div>
    <w:div w:id="614603857">
      <w:bodyDiv w:val="1"/>
      <w:marLeft w:val="0"/>
      <w:marRight w:val="0"/>
      <w:marTop w:val="0"/>
      <w:marBottom w:val="0"/>
      <w:divBdr>
        <w:top w:val="none" w:sz="0" w:space="0" w:color="auto"/>
        <w:left w:val="none" w:sz="0" w:space="0" w:color="auto"/>
        <w:bottom w:val="none" w:sz="0" w:space="0" w:color="auto"/>
        <w:right w:val="none" w:sz="0" w:space="0" w:color="auto"/>
      </w:divBdr>
    </w:div>
    <w:div w:id="639771279">
      <w:bodyDiv w:val="1"/>
      <w:marLeft w:val="0"/>
      <w:marRight w:val="0"/>
      <w:marTop w:val="0"/>
      <w:marBottom w:val="0"/>
      <w:divBdr>
        <w:top w:val="none" w:sz="0" w:space="0" w:color="auto"/>
        <w:left w:val="none" w:sz="0" w:space="0" w:color="auto"/>
        <w:bottom w:val="none" w:sz="0" w:space="0" w:color="auto"/>
        <w:right w:val="none" w:sz="0" w:space="0" w:color="auto"/>
      </w:divBdr>
    </w:div>
    <w:div w:id="680739640">
      <w:bodyDiv w:val="1"/>
      <w:marLeft w:val="0"/>
      <w:marRight w:val="0"/>
      <w:marTop w:val="0"/>
      <w:marBottom w:val="0"/>
      <w:divBdr>
        <w:top w:val="none" w:sz="0" w:space="0" w:color="auto"/>
        <w:left w:val="none" w:sz="0" w:space="0" w:color="auto"/>
        <w:bottom w:val="none" w:sz="0" w:space="0" w:color="auto"/>
        <w:right w:val="none" w:sz="0" w:space="0" w:color="auto"/>
      </w:divBdr>
    </w:div>
    <w:div w:id="731389772">
      <w:bodyDiv w:val="1"/>
      <w:marLeft w:val="0"/>
      <w:marRight w:val="0"/>
      <w:marTop w:val="0"/>
      <w:marBottom w:val="0"/>
      <w:divBdr>
        <w:top w:val="none" w:sz="0" w:space="0" w:color="auto"/>
        <w:left w:val="none" w:sz="0" w:space="0" w:color="auto"/>
        <w:bottom w:val="none" w:sz="0" w:space="0" w:color="auto"/>
        <w:right w:val="none" w:sz="0" w:space="0" w:color="auto"/>
      </w:divBdr>
    </w:div>
    <w:div w:id="739333592">
      <w:bodyDiv w:val="1"/>
      <w:marLeft w:val="0"/>
      <w:marRight w:val="0"/>
      <w:marTop w:val="0"/>
      <w:marBottom w:val="0"/>
      <w:divBdr>
        <w:top w:val="none" w:sz="0" w:space="0" w:color="auto"/>
        <w:left w:val="none" w:sz="0" w:space="0" w:color="auto"/>
        <w:bottom w:val="none" w:sz="0" w:space="0" w:color="auto"/>
        <w:right w:val="none" w:sz="0" w:space="0" w:color="auto"/>
      </w:divBdr>
    </w:div>
    <w:div w:id="751588255">
      <w:bodyDiv w:val="1"/>
      <w:marLeft w:val="0"/>
      <w:marRight w:val="0"/>
      <w:marTop w:val="0"/>
      <w:marBottom w:val="0"/>
      <w:divBdr>
        <w:top w:val="none" w:sz="0" w:space="0" w:color="auto"/>
        <w:left w:val="none" w:sz="0" w:space="0" w:color="auto"/>
        <w:bottom w:val="none" w:sz="0" w:space="0" w:color="auto"/>
        <w:right w:val="none" w:sz="0" w:space="0" w:color="auto"/>
      </w:divBdr>
    </w:div>
    <w:div w:id="795412032">
      <w:bodyDiv w:val="1"/>
      <w:marLeft w:val="0"/>
      <w:marRight w:val="0"/>
      <w:marTop w:val="0"/>
      <w:marBottom w:val="0"/>
      <w:divBdr>
        <w:top w:val="none" w:sz="0" w:space="0" w:color="auto"/>
        <w:left w:val="none" w:sz="0" w:space="0" w:color="auto"/>
        <w:bottom w:val="none" w:sz="0" w:space="0" w:color="auto"/>
        <w:right w:val="none" w:sz="0" w:space="0" w:color="auto"/>
      </w:divBdr>
    </w:div>
    <w:div w:id="805202811">
      <w:bodyDiv w:val="1"/>
      <w:marLeft w:val="0"/>
      <w:marRight w:val="0"/>
      <w:marTop w:val="0"/>
      <w:marBottom w:val="0"/>
      <w:divBdr>
        <w:top w:val="none" w:sz="0" w:space="0" w:color="auto"/>
        <w:left w:val="none" w:sz="0" w:space="0" w:color="auto"/>
        <w:bottom w:val="none" w:sz="0" w:space="0" w:color="auto"/>
        <w:right w:val="none" w:sz="0" w:space="0" w:color="auto"/>
      </w:divBdr>
    </w:div>
    <w:div w:id="805968758">
      <w:bodyDiv w:val="1"/>
      <w:marLeft w:val="0"/>
      <w:marRight w:val="0"/>
      <w:marTop w:val="0"/>
      <w:marBottom w:val="0"/>
      <w:divBdr>
        <w:top w:val="none" w:sz="0" w:space="0" w:color="auto"/>
        <w:left w:val="none" w:sz="0" w:space="0" w:color="auto"/>
        <w:bottom w:val="none" w:sz="0" w:space="0" w:color="auto"/>
        <w:right w:val="none" w:sz="0" w:space="0" w:color="auto"/>
      </w:divBdr>
    </w:div>
    <w:div w:id="809440092">
      <w:bodyDiv w:val="1"/>
      <w:marLeft w:val="0"/>
      <w:marRight w:val="0"/>
      <w:marTop w:val="0"/>
      <w:marBottom w:val="0"/>
      <w:divBdr>
        <w:top w:val="none" w:sz="0" w:space="0" w:color="auto"/>
        <w:left w:val="none" w:sz="0" w:space="0" w:color="auto"/>
        <w:bottom w:val="none" w:sz="0" w:space="0" w:color="auto"/>
        <w:right w:val="none" w:sz="0" w:space="0" w:color="auto"/>
      </w:divBdr>
    </w:div>
    <w:div w:id="815728078">
      <w:bodyDiv w:val="1"/>
      <w:marLeft w:val="0"/>
      <w:marRight w:val="0"/>
      <w:marTop w:val="0"/>
      <w:marBottom w:val="0"/>
      <w:divBdr>
        <w:top w:val="none" w:sz="0" w:space="0" w:color="auto"/>
        <w:left w:val="none" w:sz="0" w:space="0" w:color="auto"/>
        <w:bottom w:val="none" w:sz="0" w:space="0" w:color="auto"/>
        <w:right w:val="none" w:sz="0" w:space="0" w:color="auto"/>
      </w:divBdr>
    </w:div>
    <w:div w:id="819542701">
      <w:bodyDiv w:val="1"/>
      <w:marLeft w:val="0"/>
      <w:marRight w:val="0"/>
      <w:marTop w:val="0"/>
      <w:marBottom w:val="0"/>
      <w:divBdr>
        <w:top w:val="none" w:sz="0" w:space="0" w:color="auto"/>
        <w:left w:val="none" w:sz="0" w:space="0" w:color="auto"/>
        <w:bottom w:val="none" w:sz="0" w:space="0" w:color="auto"/>
        <w:right w:val="none" w:sz="0" w:space="0" w:color="auto"/>
      </w:divBdr>
    </w:div>
    <w:div w:id="873611667">
      <w:bodyDiv w:val="1"/>
      <w:marLeft w:val="0"/>
      <w:marRight w:val="0"/>
      <w:marTop w:val="0"/>
      <w:marBottom w:val="0"/>
      <w:divBdr>
        <w:top w:val="none" w:sz="0" w:space="0" w:color="auto"/>
        <w:left w:val="none" w:sz="0" w:space="0" w:color="auto"/>
        <w:bottom w:val="none" w:sz="0" w:space="0" w:color="auto"/>
        <w:right w:val="none" w:sz="0" w:space="0" w:color="auto"/>
      </w:divBdr>
    </w:div>
    <w:div w:id="875704363">
      <w:bodyDiv w:val="1"/>
      <w:marLeft w:val="0"/>
      <w:marRight w:val="0"/>
      <w:marTop w:val="0"/>
      <w:marBottom w:val="0"/>
      <w:divBdr>
        <w:top w:val="none" w:sz="0" w:space="0" w:color="auto"/>
        <w:left w:val="none" w:sz="0" w:space="0" w:color="auto"/>
        <w:bottom w:val="none" w:sz="0" w:space="0" w:color="auto"/>
        <w:right w:val="none" w:sz="0" w:space="0" w:color="auto"/>
      </w:divBdr>
    </w:div>
    <w:div w:id="925725453">
      <w:bodyDiv w:val="1"/>
      <w:marLeft w:val="0"/>
      <w:marRight w:val="0"/>
      <w:marTop w:val="0"/>
      <w:marBottom w:val="0"/>
      <w:divBdr>
        <w:top w:val="none" w:sz="0" w:space="0" w:color="auto"/>
        <w:left w:val="none" w:sz="0" w:space="0" w:color="auto"/>
        <w:bottom w:val="none" w:sz="0" w:space="0" w:color="auto"/>
        <w:right w:val="none" w:sz="0" w:space="0" w:color="auto"/>
      </w:divBdr>
      <w:divsChild>
        <w:div w:id="302196350">
          <w:marLeft w:val="1570"/>
          <w:marRight w:val="0"/>
          <w:marTop w:val="0"/>
          <w:marBottom w:val="120"/>
          <w:divBdr>
            <w:top w:val="none" w:sz="0" w:space="0" w:color="auto"/>
            <w:left w:val="none" w:sz="0" w:space="0" w:color="auto"/>
            <w:bottom w:val="none" w:sz="0" w:space="0" w:color="auto"/>
            <w:right w:val="none" w:sz="0" w:space="0" w:color="auto"/>
          </w:divBdr>
        </w:div>
        <w:div w:id="797721783">
          <w:marLeft w:val="1570"/>
          <w:marRight w:val="0"/>
          <w:marTop w:val="0"/>
          <w:marBottom w:val="120"/>
          <w:divBdr>
            <w:top w:val="none" w:sz="0" w:space="0" w:color="auto"/>
            <w:left w:val="none" w:sz="0" w:space="0" w:color="auto"/>
            <w:bottom w:val="none" w:sz="0" w:space="0" w:color="auto"/>
            <w:right w:val="none" w:sz="0" w:space="0" w:color="auto"/>
          </w:divBdr>
        </w:div>
      </w:divsChild>
    </w:div>
    <w:div w:id="932081448">
      <w:bodyDiv w:val="1"/>
      <w:marLeft w:val="0"/>
      <w:marRight w:val="0"/>
      <w:marTop w:val="0"/>
      <w:marBottom w:val="0"/>
      <w:divBdr>
        <w:top w:val="none" w:sz="0" w:space="0" w:color="auto"/>
        <w:left w:val="none" w:sz="0" w:space="0" w:color="auto"/>
        <w:bottom w:val="none" w:sz="0" w:space="0" w:color="auto"/>
        <w:right w:val="none" w:sz="0" w:space="0" w:color="auto"/>
      </w:divBdr>
    </w:div>
    <w:div w:id="938827582">
      <w:bodyDiv w:val="1"/>
      <w:marLeft w:val="0"/>
      <w:marRight w:val="0"/>
      <w:marTop w:val="0"/>
      <w:marBottom w:val="0"/>
      <w:divBdr>
        <w:top w:val="none" w:sz="0" w:space="0" w:color="auto"/>
        <w:left w:val="none" w:sz="0" w:space="0" w:color="auto"/>
        <w:bottom w:val="none" w:sz="0" w:space="0" w:color="auto"/>
        <w:right w:val="none" w:sz="0" w:space="0" w:color="auto"/>
      </w:divBdr>
    </w:div>
    <w:div w:id="945818632">
      <w:bodyDiv w:val="1"/>
      <w:marLeft w:val="0"/>
      <w:marRight w:val="0"/>
      <w:marTop w:val="0"/>
      <w:marBottom w:val="0"/>
      <w:divBdr>
        <w:top w:val="none" w:sz="0" w:space="0" w:color="auto"/>
        <w:left w:val="none" w:sz="0" w:space="0" w:color="auto"/>
        <w:bottom w:val="none" w:sz="0" w:space="0" w:color="auto"/>
        <w:right w:val="none" w:sz="0" w:space="0" w:color="auto"/>
      </w:divBdr>
    </w:div>
    <w:div w:id="959262861">
      <w:bodyDiv w:val="1"/>
      <w:marLeft w:val="0"/>
      <w:marRight w:val="0"/>
      <w:marTop w:val="0"/>
      <w:marBottom w:val="0"/>
      <w:divBdr>
        <w:top w:val="none" w:sz="0" w:space="0" w:color="auto"/>
        <w:left w:val="none" w:sz="0" w:space="0" w:color="auto"/>
        <w:bottom w:val="none" w:sz="0" w:space="0" w:color="auto"/>
        <w:right w:val="none" w:sz="0" w:space="0" w:color="auto"/>
      </w:divBdr>
    </w:div>
    <w:div w:id="979186977">
      <w:bodyDiv w:val="1"/>
      <w:marLeft w:val="0"/>
      <w:marRight w:val="0"/>
      <w:marTop w:val="0"/>
      <w:marBottom w:val="0"/>
      <w:divBdr>
        <w:top w:val="none" w:sz="0" w:space="0" w:color="auto"/>
        <w:left w:val="none" w:sz="0" w:space="0" w:color="auto"/>
        <w:bottom w:val="none" w:sz="0" w:space="0" w:color="auto"/>
        <w:right w:val="none" w:sz="0" w:space="0" w:color="auto"/>
      </w:divBdr>
    </w:div>
    <w:div w:id="989406442">
      <w:bodyDiv w:val="1"/>
      <w:marLeft w:val="0"/>
      <w:marRight w:val="0"/>
      <w:marTop w:val="0"/>
      <w:marBottom w:val="0"/>
      <w:divBdr>
        <w:top w:val="none" w:sz="0" w:space="0" w:color="auto"/>
        <w:left w:val="none" w:sz="0" w:space="0" w:color="auto"/>
        <w:bottom w:val="none" w:sz="0" w:space="0" w:color="auto"/>
        <w:right w:val="none" w:sz="0" w:space="0" w:color="auto"/>
      </w:divBdr>
    </w:div>
    <w:div w:id="992180815">
      <w:bodyDiv w:val="1"/>
      <w:marLeft w:val="0"/>
      <w:marRight w:val="0"/>
      <w:marTop w:val="0"/>
      <w:marBottom w:val="0"/>
      <w:divBdr>
        <w:top w:val="none" w:sz="0" w:space="0" w:color="auto"/>
        <w:left w:val="none" w:sz="0" w:space="0" w:color="auto"/>
        <w:bottom w:val="none" w:sz="0" w:space="0" w:color="auto"/>
        <w:right w:val="none" w:sz="0" w:space="0" w:color="auto"/>
      </w:divBdr>
      <w:divsChild>
        <w:div w:id="744256893">
          <w:marLeft w:val="1138"/>
          <w:marRight w:val="0"/>
          <w:marTop w:val="0"/>
          <w:marBottom w:val="600"/>
          <w:divBdr>
            <w:top w:val="none" w:sz="0" w:space="0" w:color="auto"/>
            <w:left w:val="none" w:sz="0" w:space="0" w:color="auto"/>
            <w:bottom w:val="none" w:sz="0" w:space="0" w:color="auto"/>
            <w:right w:val="none" w:sz="0" w:space="0" w:color="auto"/>
          </w:divBdr>
        </w:div>
        <w:div w:id="1408527596">
          <w:marLeft w:val="1138"/>
          <w:marRight w:val="0"/>
          <w:marTop w:val="0"/>
          <w:marBottom w:val="600"/>
          <w:divBdr>
            <w:top w:val="none" w:sz="0" w:space="0" w:color="auto"/>
            <w:left w:val="none" w:sz="0" w:space="0" w:color="auto"/>
            <w:bottom w:val="none" w:sz="0" w:space="0" w:color="auto"/>
            <w:right w:val="none" w:sz="0" w:space="0" w:color="auto"/>
          </w:divBdr>
        </w:div>
        <w:div w:id="1544437759">
          <w:marLeft w:val="1138"/>
          <w:marRight w:val="0"/>
          <w:marTop w:val="0"/>
          <w:marBottom w:val="600"/>
          <w:divBdr>
            <w:top w:val="none" w:sz="0" w:space="0" w:color="auto"/>
            <w:left w:val="none" w:sz="0" w:space="0" w:color="auto"/>
            <w:bottom w:val="none" w:sz="0" w:space="0" w:color="auto"/>
            <w:right w:val="none" w:sz="0" w:space="0" w:color="auto"/>
          </w:divBdr>
        </w:div>
        <w:div w:id="2072774945">
          <w:marLeft w:val="1138"/>
          <w:marRight w:val="0"/>
          <w:marTop w:val="0"/>
          <w:marBottom w:val="600"/>
          <w:divBdr>
            <w:top w:val="none" w:sz="0" w:space="0" w:color="auto"/>
            <w:left w:val="none" w:sz="0" w:space="0" w:color="auto"/>
            <w:bottom w:val="none" w:sz="0" w:space="0" w:color="auto"/>
            <w:right w:val="none" w:sz="0" w:space="0" w:color="auto"/>
          </w:divBdr>
        </w:div>
        <w:div w:id="2133672099">
          <w:marLeft w:val="1138"/>
          <w:marRight w:val="0"/>
          <w:marTop w:val="0"/>
          <w:marBottom w:val="600"/>
          <w:divBdr>
            <w:top w:val="none" w:sz="0" w:space="0" w:color="auto"/>
            <w:left w:val="none" w:sz="0" w:space="0" w:color="auto"/>
            <w:bottom w:val="none" w:sz="0" w:space="0" w:color="auto"/>
            <w:right w:val="none" w:sz="0" w:space="0" w:color="auto"/>
          </w:divBdr>
        </w:div>
      </w:divsChild>
    </w:div>
    <w:div w:id="1025398398">
      <w:bodyDiv w:val="1"/>
      <w:marLeft w:val="0"/>
      <w:marRight w:val="0"/>
      <w:marTop w:val="0"/>
      <w:marBottom w:val="0"/>
      <w:divBdr>
        <w:top w:val="none" w:sz="0" w:space="0" w:color="auto"/>
        <w:left w:val="none" w:sz="0" w:space="0" w:color="auto"/>
        <w:bottom w:val="none" w:sz="0" w:space="0" w:color="auto"/>
        <w:right w:val="none" w:sz="0" w:space="0" w:color="auto"/>
      </w:divBdr>
    </w:div>
    <w:div w:id="1103695502">
      <w:bodyDiv w:val="1"/>
      <w:marLeft w:val="0"/>
      <w:marRight w:val="0"/>
      <w:marTop w:val="0"/>
      <w:marBottom w:val="0"/>
      <w:divBdr>
        <w:top w:val="none" w:sz="0" w:space="0" w:color="auto"/>
        <w:left w:val="none" w:sz="0" w:space="0" w:color="auto"/>
        <w:bottom w:val="none" w:sz="0" w:space="0" w:color="auto"/>
        <w:right w:val="none" w:sz="0" w:space="0" w:color="auto"/>
      </w:divBdr>
    </w:div>
    <w:div w:id="1154878649">
      <w:bodyDiv w:val="1"/>
      <w:marLeft w:val="0"/>
      <w:marRight w:val="0"/>
      <w:marTop w:val="0"/>
      <w:marBottom w:val="0"/>
      <w:divBdr>
        <w:top w:val="none" w:sz="0" w:space="0" w:color="auto"/>
        <w:left w:val="none" w:sz="0" w:space="0" w:color="auto"/>
        <w:bottom w:val="none" w:sz="0" w:space="0" w:color="auto"/>
        <w:right w:val="none" w:sz="0" w:space="0" w:color="auto"/>
      </w:divBdr>
    </w:div>
    <w:div w:id="1156528250">
      <w:bodyDiv w:val="1"/>
      <w:marLeft w:val="0"/>
      <w:marRight w:val="0"/>
      <w:marTop w:val="0"/>
      <w:marBottom w:val="0"/>
      <w:divBdr>
        <w:top w:val="none" w:sz="0" w:space="0" w:color="auto"/>
        <w:left w:val="none" w:sz="0" w:space="0" w:color="auto"/>
        <w:bottom w:val="none" w:sz="0" w:space="0" w:color="auto"/>
        <w:right w:val="none" w:sz="0" w:space="0" w:color="auto"/>
      </w:divBdr>
    </w:div>
    <w:div w:id="1305700170">
      <w:bodyDiv w:val="1"/>
      <w:marLeft w:val="0"/>
      <w:marRight w:val="0"/>
      <w:marTop w:val="0"/>
      <w:marBottom w:val="0"/>
      <w:divBdr>
        <w:top w:val="none" w:sz="0" w:space="0" w:color="auto"/>
        <w:left w:val="none" w:sz="0" w:space="0" w:color="auto"/>
        <w:bottom w:val="none" w:sz="0" w:space="0" w:color="auto"/>
        <w:right w:val="none" w:sz="0" w:space="0" w:color="auto"/>
      </w:divBdr>
    </w:div>
    <w:div w:id="1306396774">
      <w:bodyDiv w:val="1"/>
      <w:marLeft w:val="0"/>
      <w:marRight w:val="0"/>
      <w:marTop w:val="0"/>
      <w:marBottom w:val="0"/>
      <w:divBdr>
        <w:top w:val="none" w:sz="0" w:space="0" w:color="auto"/>
        <w:left w:val="none" w:sz="0" w:space="0" w:color="auto"/>
        <w:bottom w:val="none" w:sz="0" w:space="0" w:color="auto"/>
        <w:right w:val="none" w:sz="0" w:space="0" w:color="auto"/>
      </w:divBdr>
    </w:div>
    <w:div w:id="1314093654">
      <w:bodyDiv w:val="1"/>
      <w:marLeft w:val="0"/>
      <w:marRight w:val="0"/>
      <w:marTop w:val="0"/>
      <w:marBottom w:val="0"/>
      <w:divBdr>
        <w:top w:val="none" w:sz="0" w:space="0" w:color="auto"/>
        <w:left w:val="none" w:sz="0" w:space="0" w:color="auto"/>
        <w:bottom w:val="none" w:sz="0" w:space="0" w:color="auto"/>
        <w:right w:val="none" w:sz="0" w:space="0" w:color="auto"/>
      </w:divBdr>
      <w:divsChild>
        <w:div w:id="99763100">
          <w:marLeft w:val="0"/>
          <w:marRight w:val="0"/>
          <w:marTop w:val="0"/>
          <w:marBottom w:val="0"/>
          <w:divBdr>
            <w:top w:val="none" w:sz="0" w:space="0" w:color="auto"/>
            <w:left w:val="none" w:sz="0" w:space="0" w:color="auto"/>
            <w:bottom w:val="none" w:sz="0" w:space="0" w:color="auto"/>
            <w:right w:val="none" w:sz="0" w:space="0" w:color="auto"/>
          </w:divBdr>
          <w:divsChild>
            <w:div w:id="960959710">
              <w:marLeft w:val="0"/>
              <w:marRight w:val="0"/>
              <w:marTop w:val="0"/>
              <w:marBottom w:val="0"/>
              <w:divBdr>
                <w:top w:val="none" w:sz="0" w:space="0" w:color="auto"/>
                <w:left w:val="none" w:sz="0" w:space="0" w:color="auto"/>
                <w:bottom w:val="none" w:sz="0" w:space="0" w:color="auto"/>
                <w:right w:val="none" w:sz="0" w:space="0" w:color="auto"/>
              </w:divBdr>
              <w:divsChild>
                <w:div w:id="1952475088">
                  <w:marLeft w:val="0"/>
                  <w:marRight w:val="0"/>
                  <w:marTop w:val="0"/>
                  <w:marBottom w:val="0"/>
                  <w:divBdr>
                    <w:top w:val="none" w:sz="0" w:space="0" w:color="auto"/>
                    <w:left w:val="none" w:sz="0" w:space="0" w:color="auto"/>
                    <w:bottom w:val="none" w:sz="0" w:space="0" w:color="auto"/>
                    <w:right w:val="none" w:sz="0" w:space="0" w:color="auto"/>
                  </w:divBdr>
                </w:div>
              </w:divsChild>
            </w:div>
            <w:div w:id="1183057273">
              <w:marLeft w:val="0"/>
              <w:marRight w:val="0"/>
              <w:marTop w:val="0"/>
              <w:marBottom w:val="0"/>
              <w:divBdr>
                <w:top w:val="none" w:sz="0" w:space="0" w:color="auto"/>
                <w:left w:val="none" w:sz="0" w:space="0" w:color="auto"/>
                <w:bottom w:val="none" w:sz="0" w:space="0" w:color="auto"/>
                <w:right w:val="none" w:sz="0" w:space="0" w:color="auto"/>
              </w:divBdr>
            </w:div>
          </w:divsChild>
        </w:div>
        <w:div w:id="1785684617">
          <w:marLeft w:val="0"/>
          <w:marRight w:val="0"/>
          <w:marTop w:val="0"/>
          <w:marBottom w:val="0"/>
          <w:divBdr>
            <w:top w:val="none" w:sz="0" w:space="0" w:color="auto"/>
            <w:left w:val="none" w:sz="0" w:space="0" w:color="auto"/>
            <w:bottom w:val="none" w:sz="0" w:space="0" w:color="auto"/>
            <w:right w:val="none" w:sz="0" w:space="0" w:color="auto"/>
          </w:divBdr>
          <w:divsChild>
            <w:div w:id="1137188936">
              <w:marLeft w:val="0"/>
              <w:marRight w:val="0"/>
              <w:marTop w:val="375"/>
              <w:marBottom w:val="300"/>
              <w:divBdr>
                <w:top w:val="single" w:sz="6" w:space="0" w:color="CCCCCC"/>
                <w:left w:val="single" w:sz="6" w:space="0" w:color="CCCCCC"/>
                <w:bottom w:val="single" w:sz="6" w:space="0" w:color="CCCCCC"/>
                <w:right w:val="single" w:sz="6" w:space="0" w:color="CCCCCC"/>
              </w:divBdr>
            </w:div>
          </w:divsChild>
        </w:div>
      </w:divsChild>
    </w:div>
    <w:div w:id="1405108906">
      <w:bodyDiv w:val="1"/>
      <w:marLeft w:val="0"/>
      <w:marRight w:val="0"/>
      <w:marTop w:val="0"/>
      <w:marBottom w:val="0"/>
      <w:divBdr>
        <w:top w:val="none" w:sz="0" w:space="0" w:color="auto"/>
        <w:left w:val="none" w:sz="0" w:space="0" w:color="auto"/>
        <w:bottom w:val="none" w:sz="0" w:space="0" w:color="auto"/>
        <w:right w:val="none" w:sz="0" w:space="0" w:color="auto"/>
      </w:divBdr>
      <w:divsChild>
        <w:div w:id="574975222">
          <w:marLeft w:val="1138"/>
          <w:marRight w:val="0"/>
          <w:marTop w:val="0"/>
          <w:marBottom w:val="720"/>
          <w:divBdr>
            <w:top w:val="none" w:sz="0" w:space="0" w:color="auto"/>
            <w:left w:val="none" w:sz="0" w:space="0" w:color="auto"/>
            <w:bottom w:val="none" w:sz="0" w:space="0" w:color="auto"/>
            <w:right w:val="none" w:sz="0" w:space="0" w:color="auto"/>
          </w:divBdr>
        </w:div>
        <w:div w:id="1328249906">
          <w:marLeft w:val="1138"/>
          <w:marRight w:val="0"/>
          <w:marTop w:val="0"/>
          <w:marBottom w:val="720"/>
          <w:divBdr>
            <w:top w:val="none" w:sz="0" w:space="0" w:color="auto"/>
            <w:left w:val="none" w:sz="0" w:space="0" w:color="auto"/>
            <w:bottom w:val="none" w:sz="0" w:space="0" w:color="auto"/>
            <w:right w:val="none" w:sz="0" w:space="0" w:color="auto"/>
          </w:divBdr>
        </w:div>
        <w:div w:id="1532067139">
          <w:marLeft w:val="1138"/>
          <w:marRight w:val="0"/>
          <w:marTop w:val="0"/>
          <w:marBottom w:val="720"/>
          <w:divBdr>
            <w:top w:val="none" w:sz="0" w:space="0" w:color="auto"/>
            <w:left w:val="none" w:sz="0" w:space="0" w:color="auto"/>
            <w:bottom w:val="none" w:sz="0" w:space="0" w:color="auto"/>
            <w:right w:val="none" w:sz="0" w:space="0" w:color="auto"/>
          </w:divBdr>
        </w:div>
        <w:div w:id="1631551286">
          <w:marLeft w:val="1138"/>
          <w:marRight w:val="0"/>
          <w:marTop w:val="0"/>
          <w:marBottom w:val="720"/>
          <w:divBdr>
            <w:top w:val="none" w:sz="0" w:space="0" w:color="auto"/>
            <w:left w:val="none" w:sz="0" w:space="0" w:color="auto"/>
            <w:bottom w:val="none" w:sz="0" w:space="0" w:color="auto"/>
            <w:right w:val="none" w:sz="0" w:space="0" w:color="auto"/>
          </w:divBdr>
        </w:div>
        <w:div w:id="1730877303">
          <w:marLeft w:val="1138"/>
          <w:marRight w:val="0"/>
          <w:marTop w:val="0"/>
          <w:marBottom w:val="720"/>
          <w:divBdr>
            <w:top w:val="none" w:sz="0" w:space="0" w:color="auto"/>
            <w:left w:val="none" w:sz="0" w:space="0" w:color="auto"/>
            <w:bottom w:val="none" w:sz="0" w:space="0" w:color="auto"/>
            <w:right w:val="none" w:sz="0" w:space="0" w:color="auto"/>
          </w:divBdr>
        </w:div>
      </w:divsChild>
    </w:div>
    <w:div w:id="1433278850">
      <w:bodyDiv w:val="1"/>
      <w:marLeft w:val="0"/>
      <w:marRight w:val="0"/>
      <w:marTop w:val="0"/>
      <w:marBottom w:val="0"/>
      <w:divBdr>
        <w:top w:val="none" w:sz="0" w:space="0" w:color="auto"/>
        <w:left w:val="none" w:sz="0" w:space="0" w:color="auto"/>
        <w:bottom w:val="none" w:sz="0" w:space="0" w:color="auto"/>
        <w:right w:val="none" w:sz="0" w:space="0" w:color="auto"/>
      </w:divBdr>
    </w:div>
    <w:div w:id="1457138324">
      <w:bodyDiv w:val="1"/>
      <w:marLeft w:val="0"/>
      <w:marRight w:val="0"/>
      <w:marTop w:val="0"/>
      <w:marBottom w:val="0"/>
      <w:divBdr>
        <w:top w:val="none" w:sz="0" w:space="0" w:color="auto"/>
        <w:left w:val="none" w:sz="0" w:space="0" w:color="auto"/>
        <w:bottom w:val="none" w:sz="0" w:space="0" w:color="auto"/>
        <w:right w:val="none" w:sz="0" w:space="0" w:color="auto"/>
      </w:divBdr>
      <w:divsChild>
        <w:div w:id="1418746218">
          <w:marLeft w:val="547"/>
          <w:marRight w:val="0"/>
          <w:marTop w:val="0"/>
          <w:marBottom w:val="0"/>
          <w:divBdr>
            <w:top w:val="none" w:sz="0" w:space="0" w:color="auto"/>
            <w:left w:val="none" w:sz="0" w:space="0" w:color="auto"/>
            <w:bottom w:val="none" w:sz="0" w:space="0" w:color="auto"/>
            <w:right w:val="none" w:sz="0" w:space="0" w:color="auto"/>
          </w:divBdr>
        </w:div>
      </w:divsChild>
    </w:div>
    <w:div w:id="1466006280">
      <w:bodyDiv w:val="1"/>
      <w:marLeft w:val="0"/>
      <w:marRight w:val="0"/>
      <w:marTop w:val="0"/>
      <w:marBottom w:val="0"/>
      <w:divBdr>
        <w:top w:val="none" w:sz="0" w:space="0" w:color="auto"/>
        <w:left w:val="none" w:sz="0" w:space="0" w:color="auto"/>
        <w:bottom w:val="none" w:sz="0" w:space="0" w:color="auto"/>
        <w:right w:val="none" w:sz="0" w:space="0" w:color="auto"/>
      </w:divBdr>
    </w:div>
    <w:div w:id="1482885494">
      <w:bodyDiv w:val="1"/>
      <w:marLeft w:val="0"/>
      <w:marRight w:val="0"/>
      <w:marTop w:val="0"/>
      <w:marBottom w:val="0"/>
      <w:divBdr>
        <w:top w:val="none" w:sz="0" w:space="0" w:color="auto"/>
        <w:left w:val="none" w:sz="0" w:space="0" w:color="auto"/>
        <w:bottom w:val="none" w:sz="0" w:space="0" w:color="auto"/>
        <w:right w:val="none" w:sz="0" w:space="0" w:color="auto"/>
      </w:divBdr>
      <w:divsChild>
        <w:div w:id="657422978">
          <w:marLeft w:val="1138"/>
          <w:marRight w:val="0"/>
          <w:marTop w:val="0"/>
          <w:marBottom w:val="600"/>
          <w:divBdr>
            <w:top w:val="none" w:sz="0" w:space="0" w:color="auto"/>
            <w:left w:val="none" w:sz="0" w:space="0" w:color="auto"/>
            <w:bottom w:val="none" w:sz="0" w:space="0" w:color="auto"/>
            <w:right w:val="none" w:sz="0" w:space="0" w:color="auto"/>
          </w:divBdr>
        </w:div>
        <w:div w:id="1068531690">
          <w:marLeft w:val="1138"/>
          <w:marRight w:val="0"/>
          <w:marTop w:val="0"/>
          <w:marBottom w:val="600"/>
          <w:divBdr>
            <w:top w:val="none" w:sz="0" w:space="0" w:color="auto"/>
            <w:left w:val="none" w:sz="0" w:space="0" w:color="auto"/>
            <w:bottom w:val="none" w:sz="0" w:space="0" w:color="auto"/>
            <w:right w:val="none" w:sz="0" w:space="0" w:color="auto"/>
          </w:divBdr>
        </w:div>
        <w:div w:id="1333950793">
          <w:marLeft w:val="1138"/>
          <w:marRight w:val="0"/>
          <w:marTop w:val="0"/>
          <w:marBottom w:val="600"/>
          <w:divBdr>
            <w:top w:val="none" w:sz="0" w:space="0" w:color="auto"/>
            <w:left w:val="none" w:sz="0" w:space="0" w:color="auto"/>
            <w:bottom w:val="none" w:sz="0" w:space="0" w:color="auto"/>
            <w:right w:val="none" w:sz="0" w:space="0" w:color="auto"/>
          </w:divBdr>
        </w:div>
        <w:div w:id="1715351267">
          <w:marLeft w:val="1138"/>
          <w:marRight w:val="0"/>
          <w:marTop w:val="0"/>
          <w:marBottom w:val="600"/>
          <w:divBdr>
            <w:top w:val="none" w:sz="0" w:space="0" w:color="auto"/>
            <w:left w:val="none" w:sz="0" w:space="0" w:color="auto"/>
            <w:bottom w:val="none" w:sz="0" w:space="0" w:color="auto"/>
            <w:right w:val="none" w:sz="0" w:space="0" w:color="auto"/>
          </w:divBdr>
        </w:div>
        <w:div w:id="1909339521">
          <w:marLeft w:val="1138"/>
          <w:marRight w:val="0"/>
          <w:marTop w:val="0"/>
          <w:marBottom w:val="600"/>
          <w:divBdr>
            <w:top w:val="none" w:sz="0" w:space="0" w:color="auto"/>
            <w:left w:val="none" w:sz="0" w:space="0" w:color="auto"/>
            <w:bottom w:val="none" w:sz="0" w:space="0" w:color="auto"/>
            <w:right w:val="none" w:sz="0" w:space="0" w:color="auto"/>
          </w:divBdr>
        </w:div>
      </w:divsChild>
    </w:div>
    <w:div w:id="1509561571">
      <w:bodyDiv w:val="1"/>
      <w:marLeft w:val="0"/>
      <w:marRight w:val="0"/>
      <w:marTop w:val="0"/>
      <w:marBottom w:val="0"/>
      <w:divBdr>
        <w:top w:val="none" w:sz="0" w:space="0" w:color="auto"/>
        <w:left w:val="none" w:sz="0" w:space="0" w:color="auto"/>
        <w:bottom w:val="none" w:sz="0" w:space="0" w:color="auto"/>
        <w:right w:val="none" w:sz="0" w:space="0" w:color="auto"/>
      </w:divBdr>
    </w:div>
    <w:div w:id="1521822039">
      <w:bodyDiv w:val="1"/>
      <w:marLeft w:val="0"/>
      <w:marRight w:val="0"/>
      <w:marTop w:val="0"/>
      <w:marBottom w:val="0"/>
      <w:divBdr>
        <w:top w:val="none" w:sz="0" w:space="0" w:color="auto"/>
        <w:left w:val="none" w:sz="0" w:space="0" w:color="auto"/>
        <w:bottom w:val="none" w:sz="0" w:space="0" w:color="auto"/>
        <w:right w:val="none" w:sz="0" w:space="0" w:color="auto"/>
      </w:divBdr>
    </w:div>
    <w:div w:id="1639452482">
      <w:bodyDiv w:val="1"/>
      <w:marLeft w:val="0"/>
      <w:marRight w:val="0"/>
      <w:marTop w:val="0"/>
      <w:marBottom w:val="0"/>
      <w:divBdr>
        <w:top w:val="none" w:sz="0" w:space="0" w:color="auto"/>
        <w:left w:val="none" w:sz="0" w:space="0" w:color="auto"/>
        <w:bottom w:val="none" w:sz="0" w:space="0" w:color="auto"/>
        <w:right w:val="none" w:sz="0" w:space="0" w:color="auto"/>
      </w:divBdr>
    </w:div>
    <w:div w:id="1649820150">
      <w:bodyDiv w:val="1"/>
      <w:marLeft w:val="0"/>
      <w:marRight w:val="0"/>
      <w:marTop w:val="0"/>
      <w:marBottom w:val="0"/>
      <w:divBdr>
        <w:top w:val="none" w:sz="0" w:space="0" w:color="auto"/>
        <w:left w:val="none" w:sz="0" w:space="0" w:color="auto"/>
        <w:bottom w:val="none" w:sz="0" w:space="0" w:color="auto"/>
        <w:right w:val="none" w:sz="0" w:space="0" w:color="auto"/>
      </w:divBdr>
    </w:div>
    <w:div w:id="1653172744">
      <w:bodyDiv w:val="1"/>
      <w:marLeft w:val="0"/>
      <w:marRight w:val="0"/>
      <w:marTop w:val="0"/>
      <w:marBottom w:val="0"/>
      <w:divBdr>
        <w:top w:val="none" w:sz="0" w:space="0" w:color="auto"/>
        <w:left w:val="none" w:sz="0" w:space="0" w:color="auto"/>
        <w:bottom w:val="none" w:sz="0" w:space="0" w:color="auto"/>
        <w:right w:val="none" w:sz="0" w:space="0" w:color="auto"/>
      </w:divBdr>
    </w:div>
    <w:div w:id="1767115576">
      <w:bodyDiv w:val="1"/>
      <w:marLeft w:val="0"/>
      <w:marRight w:val="0"/>
      <w:marTop w:val="0"/>
      <w:marBottom w:val="0"/>
      <w:divBdr>
        <w:top w:val="none" w:sz="0" w:space="0" w:color="auto"/>
        <w:left w:val="none" w:sz="0" w:space="0" w:color="auto"/>
        <w:bottom w:val="none" w:sz="0" w:space="0" w:color="auto"/>
        <w:right w:val="none" w:sz="0" w:space="0" w:color="auto"/>
      </w:divBdr>
    </w:div>
    <w:div w:id="1784230455">
      <w:bodyDiv w:val="1"/>
      <w:marLeft w:val="0"/>
      <w:marRight w:val="0"/>
      <w:marTop w:val="0"/>
      <w:marBottom w:val="0"/>
      <w:divBdr>
        <w:top w:val="none" w:sz="0" w:space="0" w:color="auto"/>
        <w:left w:val="none" w:sz="0" w:space="0" w:color="auto"/>
        <w:bottom w:val="none" w:sz="0" w:space="0" w:color="auto"/>
        <w:right w:val="none" w:sz="0" w:space="0" w:color="auto"/>
      </w:divBdr>
    </w:div>
    <w:div w:id="1785685973">
      <w:bodyDiv w:val="1"/>
      <w:marLeft w:val="0"/>
      <w:marRight w:val="0"/>
      <w:marTop w:val="0"/>
      <w:marBottom w:val="0"/>
      <w:divBdr>
        <w:top w:val="none" w:sz="0" w:space="0" w:color="auto"/>
        <w:left w:val="none" w:sz="0" w:space="0" w:color="auto"/>
        <w:bottom w:val="none" w:sz="0" w:space="0" w:color="auto"/>
        <w:right w:val="none" w:sz="0" w:space="0" w:color="auto"/>
      </w:divBdr>
    </w:div>
    <w:div w:id="1844204921">
      <w:bodyDiv w:val="1"/>
      <w:marLeft w:val="0"/>
      <w:marRight w:val="0"/>
      <w:marTop w:val="0"/>
      <w:marBottom w:val="0"/>
      <w:divBdr>
        <w:top w:val="none" w:sz="0" w:space="0" w:color="auto"/>
        <w:left w:val="none" w:sz="0" w:space="0" w:color="auto"/>
        <w:bottom w:val="none" w:sz="0" w:space="0" w:color="auto"/>
        <w:right w:val="none" w:sz="0" w:space="0" w:color="auto"/>
      </w:divBdr>
    </w:div>
    <w:div w:id="1881551546">
      <w:bodyDiv w:val="1"/>
      <w:marLeft w:val="0"/>
      <w:marRight w:val="0"/>
      <w:marTop w:val="0"/>
      <w:marBottom w:val="0"/>
      <w:divBdr>
        <w:top w:val="none" w:sz="0" w:space="0" w:color="auto"/>
        <w:left w:val="none" w:sz="0" w:space="0" w:color="auto"/>
        <w:bottom w:val="none" w:sz="0" w:space="0" w:color="auto"/>
        <w:right w:val="none" w:sz="0" w:space="0" w:color="auto"/>
      </w:divBdr>
    </w:div>
    <w:div w:id="1900362691">
      <w:bodyDiv w:val="1"/>
      <w:marLeft w:val="0"/>
      <w:marRight w:val="0"/>
      <w:marTop w:val="0"/>
      <w:marBottom w:val="0"/>
      <w:divBdr>
        <w:top w:val="none" w:sz="0" w:space="0" w:color="auto"/>
        <w:left w:val="none" w:sz="0" w:space="0" w:color="auto"/>
        <w:bottom w:val="none" w:sz="0" w:space="0" w:color="auto"/>
        <w:right w:val="none" w:sz="0" w:space="0" w:color="auto"/>
      </w:divBdr>
    </w:div>
    <w:div w:id="1915239028">
      <w:bodyDiv w:val="1"/>
      <w:marLeft w:val="0"/>
      <w:marRight w:val="0"/>
      <w:marTop w:val="0"/>
      <w:marBottom w:val="0"/>
      <w:divBdr>
        <w:top w:val="none" w:sz="0" w:space="0" w:color="auto"/>
        <w:left w:val="none" w:sz="0" w:space="0" w:color="auto"/>
        <w:bottom w:val="none" w:sz="0" w:space="0" w:color="auto"/>
        <w:right w:val="none" w:sz="0" w:space="0" w:color="auto"/>
      </w:divBdr>
    </w:div>
    <w:div w:id="1921211115">
      <w:bodyDiv w:val="1"/>
      <w:marLeft w:val="0"/>
      <w:marRight w:val="0"/>
      <w:marTop w:val="0"/>
      <w:marBottom w:val="0"/>
      <w:divBdr>
        <w:top w:val="none" w:sz="0" w:space="0" w:color="auto"/>
        <w:left w:val="none" w:sz="0" w:space="0" w:color="auto"/>
        <w:bottom w:val="none" w:sz="0" w:space="0" w:color="auto"/>
        <w:right w:val="none" w:sz="0" w:space="0" w:color="auto"/>
      </w:divBdr>
    </w:div>
    <w:div w:id="1924753953">
      <w:bodyDiv w:val="1"/>
      <w:marLeft w:val="0"/>
      <w:marRight w:val="0"/>
      <w:marTop w:val="0"/>
      <w:marBottom w:val="0"/>
      <w:divBdr>
        <w:top w:val="none" w:sz="0" w:space="0" w:color="auto"/>
        <w:left w:val="none" w:sz="0" w:space="0" w:color="auto"/>
        <w:bottom w:val="none" w:sz="0" w:space="0" w:color="auto"/>
        <w:right w:val="none" w:sz="0" w:space="0" w:color="auto"/>
      </w:divBdr>
    </w:div>
    <w:div w:id="1972712708">
      <w:bodyDiv w:val="1"/>
      <w:marLeft w:val="0"/>
      <w:marRight w:val="0"/>
      <w:marTop w:val="0"/>
      <w:marBottom w:val="0"/>
      <w:divBdr>
        <w:top w:val="none" w:sz="0" w:space="0" w:color="auto"/>
        <w:left w:val="none" w:sz="0" w:space="0" w:color="auto"/>
        <w:bottom w:val="none" w:sz="0" w:space="0" w:color="auto"/>
        <w:right w:val="none" w:sz="0" w:space="0" w:color="auto"/>
      </w:divBdr>
    </w:div>
    <w:div w:id="2024621449">
      <w:bodyDiv w:val="1"/>
      <w:marLeft w:val="0"/>
      <w:marRight w:val="0"/>
      <w:marTop w:val="0"/>
      <w:marBottom w:val="0"/>
      <w:divBdr>
        <w:top w:val="none" w:sz="0" w:space="0" w:color="auto"/>
        <w:left w:val="none" w:sz="0" w:space="0" w:color="auto"/>
        <w:bottom w:val="none" w:sz="0" w:space="0" w:color="auto"/>
        <w:right w:val="none" w:sz="0" w:space="0" w:color="auto"/>
      </w:divBdr>
    </w:div>
    <w:div w:id="2029065229">
      <w:bodyDiv w:val="1"/>
      <w:marLeft w:val="0"/>
      <w:marRight w:val="0"/>
      <w:marTop w:val="0"/>
      <w:marBottom w:val="0"/>
      <w:divBdr>
        <w:top w:val="none" w:sz="0" w:space="0" w:color="auto"/>
        <w:left w:val="none" w:sz="0" w:space="0" w:color="auto"/>
        <w:bottom w:val="none" w:sz="0" w:space="0" w:color="auto"/>
        <w:right w:val="none" w:sz="0" w:space="0" w:color="auto"/>
      </w:divBdr>
      <w:divsChild>
        <w:div w:id="41832520">
          <w:marLeft w:val="1138"/>
          <w:marRight w:val="0"/>
          <w:marTop w:val="0"/>
          <w:marBottom w:val="720"/>
          <w:divBdr>
            <w:top w:val="none" w:sz="0" w:space="0" w:color="auto"/>
            <w:left w:val="none" w:sz="0" w:space="0" w:color="auto"/>
            <w:bottom w:val="none" w:sz="0" w:space="0" w:color="auto"/>
            <w:right w:val="none" w:sz="0" w:space="0" w:color="auto"/>
          </w:divBdr>
        </w:div>
        <w:div w:id="1100835191">
          <w:marLeft w:val="1138"/>
          <w:marRight w:val="0"/>
          <w:marTop w:val="0"/>
          <w:marBottom w:val="720"/>
          <w:divBdr>
            <w:top w:val="none" w:sz="0" w:space="0" w:color="auto"/>
            <w:left w:val="none" w:sz="0" w:space="0" w:color="auto"/>
            <w:bottom w:val="none" w:sz="0" w:space="0" w:color="auto"/>
            <w:right w:val="none" w:sz="0" w:space="0" w:color="auto"/>
          </w:divBdr>
        </w:div>
        <w:div w:id="1130980293">
          <w:marLeft w:val="1138"/>
          <w:marRight w:val="0"/>
          <w:marTop w:val="0"/>
          <w:marBottom w:val="720"/>
          <w:divBdr>
            <w:top w:val="none" w:sz="0" w:space="0" w:color="auto"/>
            <w:left w:val="none" w:sz="0" w:space="0" w:color="auto"/>
            <w:bottom w:val="none" w:sz="0" w:space="0" w:color="auto"/>
            <w:right w:val="none" w:sz="0" w:space="0" w:color="auto"/>
          </w:divBdr>
        </w:div>
        <w:div w:id="1150829421">
          <w:marLeft w:val="1138"/>
          <w:marRight w:val="0"/>
          <w:marTop w:val="0"/>
          <w:marBottom w:val="720"/>
          <w:divBdr>
            <w:top w:val="none" w:sz="0" w:space="0" w:color="auto"/>
            <w:left w:val="none" w:sz="0" w:space="0" w:color="auto"/>
            <w:bottom w:val="none" w:sz="0" w:space="0" w:color="auto"/>
            <w:right w:val="none" w:sz="0" w:space="0" w:color="auto"/>
          </w:divBdr>
        </w:div>
      </w:divsChild>
    </w:div>
    <w:div w:id="2035111012">
      <w:bodyDiv w:val="1"/>
      <w:marLeft w:val="0"/>
      <w:marRight w:val="0"/>
      <w:marTop w:val="0"/>
      <w:marBottom w:val="0"/>
      <w:divBdr>
        <w:top w:val="none" w:sz="0" w:space="0" w:color="auto"/>
        <w:left w:val="none" w:sz="0" w:space="0" w:color="auto"/>
        <w:bottom w:val="none" w:sz="0" w:space="0" w:color="auto"/>
        <w:right w:val="none" w:sz="0" w:space="0" w:color="auto"/>
      </w:divBdr>
    </w:div>
    <w:div w:id="208352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en@supen.fi.c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https://bccr-my.sharepoint.com/personal/cespedesld_supen_fi_cr/Documents/SUPEN/P&amp;N_Planificaci&#243;n&amp;Normativa/InformeConassif/InformeConassifMar2021/CuadrosMar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506244942963908E-2"/>
          <c:y val="0.1106219396487193"/>
          <c:w val="0.80475250658238862"/>
          <c:h val="0.56793716983672571"/>
        </c:manualLayout>
      </c:layout>
      <c:barChart>
        <c:barDir val="col"/>
        <c:grouping val="stacked"/>
        <c:varyColors val="0"/>
        <c:ser>
          <c:idx val="0"/>
          <c:order val="0"/>
          <c:tx>
            <c:strRef>
              <c:f>activo!$B$17</c:f>
              <c:strCache>
                <c:ptCount val="1"/>
                <c:pt idx="0">
                  <c:v>Fondo de Capitalización Laboral</c:v>
                </c:pt>
              </c:strCache>
            </c:strRef>
          </c:tx>
          <c:spPr>
            <a:solidFill>
              <a:schemeClr val="accent1"/>
            </a:solidFill>
            <a:ln>
              <a:noFill/>
            </a:ln>
            <a:effectLst/>
          </c:spPr>
          <c:invertIfNegative val="0"/>
          <c:cat>
            <c:strRef>
              <c:f>activo!$A$18:$A$29</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strCache>
            </c:strRef>
          </c:cat>
          <c:val>
            <c:numRef>
              <c:f>activo!$B$18:$B$29</c:f>
              <c:numCache>
                <c:formatCode>_-* #,##0.0_-;\-* #,##0.0_-;_-* "-"??_-;_-@_-</c:formatCode>
                <c:ptCount val="12"/>
                <c:pt idx="0">
                  <c:v>0.37758497349279002</c:v>
                </c:pt>
                <c:pt idx="1">
                  <c:v>0.30237424868655</c:v>
                </c:pt>
                <c:pt idx="2">
                  <c:v>0.37924599498111999</c:v>
                </c:pt>
                <c:pt idx="3">
                  <c:v>0.46087351818978001</c:v>
                </c:pt>
                <c:pt idx="4">
                  <c:v>0.53172622033729999</c:v>
                </c:pt>
                <c:pt idx="5">
                  <c:v>0.62663351038924997</c:v>
                </c:pt>
                <c:pt idx="6">
                  <c:v>0.49952520989500998</c:v>
                </c:pt>
                <c:pt idx="7">
                  <c:v>0.56977895297609005</c:v>
                </c:pt>
                <c:pt idx="8">
                  <c:v>0.62508713847675001</c:v>
                </c:pt>
                <c:pt idx="9">
                  <c:v>0.72465513350761002</c:v>
                </c:pt>
                <c:pt idx="10">
                  <c:v>0.73302074826222996</c:v>
                </c:pt>
                <c:pt idx="11">
                  <c:v>0.65323992441273993</c:v>
                </c:pt>
              </c:numCache>
            </c:numRef>
          </c:val>
          <c:extLst>
            <c:ext xmlns:c16="http://schemas.microsoft.com/office/drawing/2014/chart" uri="{C3380CC4-5D6E-409C-BE32-E72D297353CC}">
              <c16:uniqueId val="{00000000-8634-4B92-A3C7-4A059C437E8F}"/>
            </c:ext>
          </c:extLst>
        </c:ser>
        <c:ser>
          <c:idx val="1"/>
          <c:order val="1"/>
          <c:tx>
            <c:strRef>
              <c:f>activo!$C$17</c:f>
              <c:strCache>
                <c:ptCount val="1"/>
                <c:pt idx="0">
                  <c:v>Planes Voluntarios</c:v>
                </c:pt>
              </c:strCache>
            </c:strRef>
          </c:tx>
          <c:spPr>
            <a:solidFill>
              <a:schemeClr val="accent2"/>
            </a:solidFill>
            <a:ln>
              <a:noFill/>
            </a:ln>
            <a:effectLst/>
          </c:spPr>
          <c:invertIfNegative val="0"/>
          <c:cat>
            <c:strRef>
              <c:f>activo!$A$18:$A$29</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strCache>
            </c:strRef>
          </c:cat>
          <c:val>
            <c:numRef>
              <c:f>activo!$C$18:$C$29</c:f>
              <c:numCache>
                <c:formatCode>_-* #,##0.0_-;\-* #,##0.0_-;_-* "-"??_-;_-@_-</c:formatCode>
                <c:ptCount val="12"/>
                <c:pt idx="0">
                  <c:v>0.12754241418949</c:v>
                </c:pt>
                <c:pt idx="1">
                  <c:v>0.13708005858323</c:v>
                </c:pt>
                <c:pt idx="2">
                  <c:v>0.14372155967864</c:v>
                </c:pt>
                <c:pt idx="3">
                  <c:v>0.16206610685438</c:v>
                </c:pt>
                <c:pt idx="4">
                  <c:v>0.17242073907072999</c:v>
                </c:pt>
                <c:pt idx="5">
                  <c:v>0.19983622005012</c:v>
                </c:pt>
                <c:pt idx="6">
                  <c:v>0.23264824657781999</c:v>
                </c:pt>
                <c:pt idx="7">
                  <c:v>0.25094220482860002</c:v>
                </c:pt>
                <c:pt idx="8">
                  <c:v>0.26956417284391998</c:v>
                </c:pt>
                <c:pt idx="9">
                  <c:v>0.31524064701469001</c:v>
                </c:pt>
                <c:pt idx="10">
                  <c:v>0.36497393034853998</c:v>
                </c:pt>
                <c:pt idx="11">
                  <c:v>0.39297293732562999</c:v>
                </c:pt>
              </c:numCache>
            </c:numRef>
          </c:val>
          <c:extLst>
            <c:ext xmlns:c16="http://schemas.microsoft.com/office/drawing/2014/chart" uri="{C3380CC4-5D6E-409C-BE32-E72D297353CC}">
              <c16:uniqueId val="{00000001-8634-4B92-A3C7-4A059C437E8F}"/>
            </c:ext>
          </c:extLst>
        </c:ser>
        <c:ser>
          <c:idx val="2"/>
          <c:order val="2"/>
          <c:tx>
            <c:strRef>
              <c:f>activo!$D$17</c:f>
              <c:strCache>
                <c:ptCount val="1"/>
                <c:pt idx="0">
                  <c:v>Régimen Obligatorio Complementario</c:v>
                </c:pt>
              </c:strCache>
            </c:strRef>
          </c:tx>
          <c:spPr>
            <a:solidFill>
              <a:schemeClr val="accent3"/>
            </a:solidFill>
            <a:ln>
              <a:noFill/>
            </a:ln>
            <a:effectLst/>
          </c:spPr>
          <c:invertIfNegative val="0"/>
          <c:cat>
            <c:strRef>
              <c:f>activo!$A$18:$A$29</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strCache>
            </c:strRef>
          </c:cat>
          <c:val>
            <c:numRef>
              <c:f>activo!$D$18:$D$29</c:f>
              <c:numCache>
                <c:formatCode>_-* #,##0.0_-;\-* #,##0.0_-;_-* "-"??_-;_-@_-</c:formatCode>
                <c:ptCount val="12"/>
                <c:pt idx="0">
                  <c:v>1.4568919565431802</c:v>
                </c:pt>
                <c:pt idx="1">
                  <c:v>1.8055407988371299</c:v>
                </c:pt>
                <c:pt idx="2">
                  <c:v>2.22898511556757</c:v>
                </c:pt>
                <c:pt idx="3">
                  <c:v>2.74334720764808</c:v>
                </c:pt>
                <c:pt idx="4">
                  <c:v>3.21685753199713</c:v>
                </c:pt>
                <c:pt idx="5">
                  <c:v>3.87641127595831</c:v>
                </c:pt>
                <c:pt idx="6">
                  <c:v>4.4579054772766096</c:v>
                </c:pt>
                <c:pt idx="7">
                  <c:v>5.0534913627572395</c:v>
                </c:pt>
                <c:pt idx="8">
                  <c:v>5.6668539109234404</c:v>
                </c:pt>
                <c:pt idx="9">
                  <c:v>6.8508475886768601</c:v>
                </c:pt>
                <c:pt idx="10">
                  <c:v>7.8664910546024505</c:v>
                </c:pt>
                <c:pt idx="11">
                  <c:v>8.3148734842026908</c:v>
                </c:pt>
              </c:numCache>
            </c:numRef>
          </c:val>
          <c:extLst>
            <c:ext xmlns:c16="http://schemas.microsoft.com/office/drawing/2014/chart" uri="{C3380CC4-5D6E-409C-BE32-E72D297353CC}">
              <c16:uniqueId val="{00000002-8634-4B92-A3C7-4A059C437E8F}"/>
            </c:ext>
          </c:extLst>
        </c:ser>
        <c:ser>
          <c:idx val="3"/>
          <c:order val="3"/>
          <c:tx>
            <c:strRef>
              <c:f>activo!$E$17</c:f>
              <c:strCache>
                <c:ptCount val="1"/>
                <c:pt idx="0">
                  <c:v>Regímenes Básicos Sustitutos</c:v>
                </c:pt>
              </c:strCache>
            </c:strRef>
          </c:tx>
          <c:spPr>
            <a:solidFill>
              <a:schemeClr val="accent4"/>
            </a:solidFill>
            <a:ln>
              <a:noFill/>
            </a:ln>
            <a:effectLst/>
          </c:spPr>
          <c:invertIfNegative val="0"/>
          <c:cat>
            <c:strRef>
              <c:f>activo!$A$18:$A$29</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strCache>
            </c:strRef>
          </c:cat>
          <c:val>
            <c:numRef>
              <c:f>activo!$E$18:$E$29</c:f>
              <c:numCache>
                <c:formatCode>_-* #,##0.0_-;\-* #,##0.0_-;_-* "-"??_-;_-@_-</c:formatCode>
                <c:ptCount val="12"/>
                <c:pt idx="0">
                  <c:v>1.25728892430232</c:v>
                </c:pt>
                <c:pt idx="1">
                  <c:v>1.4677862957298999</c:v>
                </c:pt>
                <c:pt idx="2">
                  <c:v>1.69622205438962</c:v>
                </c:pt>
                <c:pt idx="3">
                  <c:v>1.43910679533172</c:v>
                </c:pt>
                <c:pt idx="4">
                  <c:v>1.6723162251665902</c:v>
                </c:pt>
                <c:pt idx="5">
                  <c:v>2.00195846850034</c:v>
                </c:pt>
                <c:pt idx="6">
                  <c:v>2.3342637255577601</c:v>
                </c:pt>
                <c:pt idx="7">
                  <c:v>2.6547632996576698</c:v>
                </c:pt>
                <c:pt idx="8">
                  <c:v>3.0031769200416898</c:v>
                </c:pt>
                <c:pt idx="9">
                  <c:v>3.6225673215315499</c:v>
                </c:pt>
                <c:pt idx="10">
                  <c:v>4.0674292211651499</c:v>
                </c:pt>
                <c:pt idx="11">
                  <c:v>4.2172505891273397</c:v>
                </c:pt>
              </c:numCache>
            </c:numRef>
          </c:val>
          <c:extLst>
            <c:ext xmlns:c16="http://schemas.microsoft.com/office/drawing/2014/chart" uri="{C3380CC4-5D6E-409C-BE32-E72D297353CC}">
              <c16:uniqueId val="{00000003-8634-4B92-A3C7-4A059C437E8F}"/>
            </c:ext>
          </c:extLst>
        </c:ser>
        <c:ser>
          <c:idx val="4"/>
          <c:order val="4"/>
          <c:tx>
            <c:strRef>
              <c:f>activo!$F$17</c:f>
              <c:strCache>
                <c:ptCount val="1"/>
                <c:pt idx="0">
                  <c:v>Regímenes Ocupacionales Complementarios</c:v>
                </c:pt>
              </c:strCache>
            </c:strRef>
          </c:tx>
          <c:spPr>
            <a:solidFill>
              <a:schemeClr val="accent5"/>
            </a:solidFill>
            <a:ln>
              <a:noFill/>
            </a:ln>
            <a:effectLst/>
          </c:spPr>
          <c:invertIfNegative val="0"/>
          <c:cat>
            <c:strRef>
              <c:f>activo!$A$18:$A$29</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strCache>
            </c:strRef>
          </c:cat>
          <c:val>
            <c:numRef>
              <c:f>activo!$F$18:$F$29</c:f>
              <c:numCache>
                <c:formatCode>_-* #,##0.0_-;\-* #,##0.0_-;_-* "-"??_-;_-@_-</c:formatCode>
                <c:ptCount val="12"/>
                <c:pt idx="0">
                  <c:v>6.4360191388549995E-2</c:v>
                </c:pt>
                <c:pt idx="1">
                  <c:v>7.5906551435889993E-2</c:v>
                </c:pt>
                <c:pt idx="2">
                  <c:v>9.0065997832899994E-2</c:v>
                </c:pt>
                <c:pt idx="3">
                  <c:v>0.62232204967185001</c:v>
                </c:pt>
                <c:pt idx="4">
                  <c:v>0.67686945057893999</c:v>
                </c:pt>
                <c:pt idx="5">
                  <c:v>0.74383261028804004</c:v>
                </c:pt>
                <c:pt idx="6">
                  <c:v>0.78788628585081999</c:v>
                </c:pt>
                <c:pt idx="7">
                  <c:v>0.79824832826771996</c:v>
                </c:pt>
                <c:pt idx="8">
                  <c:v>0.82641658157191</c:v>
                </c:pt>
                <c:pt idx="9">
                  <c:v>0.90873995754376002</c:v>
                </c:pt>
                <c:pt idx="10">
                  <c:v>0.92572625482253001</c:v>
                </c:pt>
                <c:pt idx="11">
                  <c:v>0.94654578787108001</c:v>
                </c:pt>
              </c:numCache>
            </c:numRef>
          </c:val>
          <c:extLst>
            <c:ext xmlns:c16="http://schemas.microsoft.com/office/drawing/2014/chart" uri="{C3380CC4-5D6E-409C-BE32-E72D297353CC}">
              <c16:uniqueId val="{00000004-8634-4B92-A3C7-4A059C437E8F}"/>
            </c:ext>
          </c:extLst>
        </c:ser>
        <c:ser>
          <c:idx val="5"/>
          <c:order val="5"/>
          <c:tx>
            <c:strRef>
              <c:f>activo!$G$17</c:f>
              <c:strCache>
                <c:ptCount val="1"/>
                <c:pt idx="0">
                  <c:v>Régimen Básico</c:v>
                </c:pt>
              </c:strCache>
            </c:strRef>
          </c:tx>
          <c:spPr>
            <a:solidFill>
              <a:schemeClr val="accent6"/>
            </a:solidFill>
            <a:ln>
              <a:noFill/>
            </a:ln>
            <a:effectLst/>
          </c:spPr>
          <c:invertIfNegative val="0"/>
          <c:cat>
            <c:strRef>
              <c:f>activo!$A$18:$A$29</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strCache>
            </c:strRef>
          </c:cat>
          <c:val>
            <c:numRef>
              <c:f>activo!$G$18:$G$29</c:f>
              <c:numCache>
                <c:formatCode>_-* #,##0.0_-;\-* #,##0.0_-;_-* "-"??_-;_-@_-</c:formatCode>
                <c:ptCount val="12"/>
                <c:pt idx="0">
                  <c:v>1.4729985092146101</c:v>
                </c:pt>
                <c:pt idx="1">
                  <c:v>1.6342733009999999</c:v>
                </c:pt>
                <c:pt idx="2">
                  <c:v>1.7682857299999999</c:v>
                </c:pt>
                <c:pt idx="3">
                  <c:v>1.8846139</c:v>
                </c:pt>
                <c:pt idx="4">
                  <c:v>1.9898470124800001</c:v>
                </c:pt>
                <c:pt idx="5">
                  <c:v>2.0740344951358001</c:v>
                </c:pt>
                <c:pt idx="6">
                  <c:v>2.2244389324399001</c:v>
                </c:pt>
                <c:pt idx="7">
                  <c:v>2.4159253760000001</c:v>
                </c:pt>
                <c:pt idx="8">
                  <c:v>2.7003552487618099</c:v>
                </c:pt>
                <c:pt idx="9">
                  <c:v>2.9214915709656499</c:v>
                </c:pt>
                <c:pt idx="10">
                  <c:v>3.0622645146567899</c:v>
                </c:pt>
                <c:pt idx="11">
                  <c:v>3.1095942436382797</c:v>
                </c:pt>
              </c:numCache>
            </c:numRef>
          </c:val>
          <c:extLst>
            <c:ext xmlns:c16="http://schemas.microsoft.com/office/drawing/2014/chart" uri="{C3380CC4-5D6E-409C-BE32-E72D297353CC}">
              <c16:uniqueId val="{00000005-8634-4B92-A3C7-4A059C437E8F}"/>
            </c:ext>
          </c:extLst>
        </c:ser>
        <c:dLbls>
          <c:showLegendKey val="0"/>
          <c:showVal val="0"/>
          <c:showCatName val="0"/>
          <c:showSerName val="0"/>
          <c:showPercent val="0"/>
          <c:showBubbleSize val="0"/>
        </c:dLbls>
        <c:gapWidth val="150"/>
        <c:overlap val="100"/>
        <c:axId val="1953945871"/>
        <c:axId val="1952308191"/>
      </c:barChart>
      <c:lineChart>
        <c:grouping val="stacked"/>
        <c:varyColors val="0"/>
        <c:ser>
          <c:idx val="6"/>
          <c:order val="6"/>
          <c:tx>
            <c:strRef>
              <c:f>activo!$I$17</c:f>
              <c:strCache>
                <c:ptCount val="1"/>
                <c:pt idx="0">
                  <c:v>% PIB</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dLbl>
              <c:idx val="0"/>
              <c:layout>
                <c:manualLayout>
                  <c:x val="-3.6753439726448948E-2"/>
                  <c:y val="-3.58744338320706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634-4B92-A3C7-4A059C437E8F}"/>
                </c:ext>
              </c:extLst>
            </c:dLbl>
            <c:dLbl>
              <c:idx val="1"/>
              <c:layout>
                <c:manualLayout>
                  <c:x val="-3.0627813636173177E-2"/>
                  <c:y val="-3.72365455512269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634-4B92-A3C7-4A059C437E8F}"/>
                </c:ext>
              </c:extLst>
            </c:dLbl>
            <c:dLbl>
              <c:idx val="2"/>
              <c:layout>
                <c:manualLayout>
                  <c:x val="-2.450229315096596E-2"/>
                  <c:y val="-3.1888385628507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634-4B92-A3C7-4A059C437E8F}"/>
                </c:ext>
              </c:extLst>
            </c:dLbl>
            <c:dLbl>
              <c:idx val="3"/>
              <c:layout>
                <c:manualLayout>
                  <c:x val="-3.2669724201287949E-2"/>
                  <c:y val="-3.58744338320706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634-4B92-A3C7-4A059C437E8F}"/>
                </c:ext>
              </c:extLst>
            </c:dLbl>
            <c:dLbl>
              <c:idx val="4"/>
              <c:layout>
                <c:manualLayout>
                  <c:x val="-3.0627866438707449E-2"/>
                  <c:y val="-3.58744338320706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634-4B92-A3C7-4A059C437E8F}"/>
                </c:ext>
              </c:extLst>
            </c:dLbl>
            <c:dLbl>
              <c:idx val="5"/>
              <c:layout>
                <c:manualLayout>
                  <c:x val="-3.0627866438707525E-2"/>
                  <c:y val="-3.18883856285072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634-4B92-A3C7-4A059C437E8F}"/>
                </c:ext>
              </c:extLst>
            </c:dLbl>
            <c:dLbl>
              <c:idx val="6"/>
              <c:layout>
                <c:manualLayout>
                  <c:x val="-3.0627866438707449E-2"/>
                  <c:y val="-3.98604820356340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634-4B92-A3C7-4A059C437E8F}"/>
                </c:ext>
              </c:extLst>
            </c:dLbl>
            <c:dLbl>
              <c:idx val="7"/>
              <c:layout>
                <c:manualLayout>
                  <c:x val="-3.0627866438707525E-2"/>
                  <c:y val="-3.58744338320706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634-4B92-A3C7-4A059C437E8F}"/>
                </c:ext>
              </c:extLst>
            </c:dLbl>
            <c:dLbl>
              <c:idx val="8"/>
              <c:layout>
                <c:manualLayout>
                  <c:x val="-3.0627813636173177E-2"/>
                  <c:y val="-3.32503821243667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634-4B92-A3C7-4A059C437E8F}"/>
                </c:ext>
              </c:extLst>
            </c:dLbl>
            <c:dLbl>
              <c:idx val="9"/>
              <c:layout>
                <c:manualLayout>
                  <c:x val="-3.6562530812631153E-2"/>
                  <c:y val="-3.41586923003330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634-4B92-A3C7-4A059C437E8F}"/>
                </c:ext>
              </c:extLst>
            </c:dLbl>
            <c:dLbl>
              <c:idx val="10"/>
              <c:layout>
                <c:manualLayout>
                  <c:x val="-3.0627866438707449E-2"/>
                  <c:y val="-2.7902337424943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634-4B92-A3C7-4A059C437E8F}"/>
                </c:ext>
              </c:extLst>
            </c:dLbl>
            <c:dLbl>
              <c:idx val="11"/>
              <c:layout>
                <c:manualLayout>
                  <c:x val="-3.0627866438707449E-2"/>
                  <c:y val="-3.98604820356340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634-4B92-A3C7-4A059C437E8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activo!$I$18:$I$29</c:f>
              <c:numCache>
                <c:formatCode>0%</c:formatCode>
                <c:ptCount val="12"/>
                <c:pt idx="0">
                  <c:v>0.24021131323314499</c:v>
                </c:pt>
                <c:pt idx="1">
                  <c:v>0.25078988580737088</c:v>
                </c:pt>
                <c:pt idx="2">
                  <c:v>0.26550588759638133</c:v>
                </c:pt>
                <c:pt idx="3">
                  <c:v>0.2871752191081034</c:v>
                </c:pt>
                <c:pt idx="4">
                  <c:v>0.29498734101421686</c:v>
                </c:pt>
                <c:pt idx="5">
                  <c:v>0.31561488095385509</c:v>
                </c:pt>
                <c:pt idx="6">
                  <c:v>0.32869269854012079</c:v>
                </c:pt>
                <c:pt idx="7">
                  <c:v>0.34193076100336101</c:v>
                </c:pt>
                <c:pt idx="8">
                  <c:v>0.36399407613804591</c:v>
                </c:pt>
                <c:pt idx="9">
                  <c:v>0.40852769990393789</c:v>
                </c:pt>
                <c:pt idx="10">
                  <c:v>0.4729920102312003</c:v>
                </c:pt>
                <c:pt idx="11">
                  <c:v>0.47081885985410227</c:v>
                </c:pt>
              </c:numCache>
            </c:numRef>
          </c:val>
          <c:smooth val="0"/>
          <c:extLst>
            <c:ext xmlns:c16="http://schemas.microsoft.com/office/drawing/2014/chart" uri="{C3380CC4-5D6E-409C-BE32-E72D297353CC}">
              <c16:uniqueId val="{00000012-8634-4B92-A3C7-4A059C437E8F}"/>
            </c:ext>
          </c:extLst>
        </c:ser>
        <c:dLbls>
          <c:showLegendKey val="0"/>
          <c:showVal val="0"/>
          <c:showCatName val="0"/>
          <c:showSerName val="0"/>
          <c:showPercent val="0"/>
          <c:showBubbleSize val="0"/>
        </c:dLbls>
        <c:marker val="1"/>
        <c:smooth val="0"/>
        <c:axId val="1956588463"/>
        <c:axId val="2051111855"/>
      </c:lineChart>
      <c:catAx>
        <c:axId val="195394587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Año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title>
        <c:numFmt formatCode="m/d/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952308191"/>
        <c:crosses val="autoZero"/>
        <c:auto val="0"/>
        <c:lblAlgn val="ctr"/>
        <c:lblOffset val="100"/>
        <c:noMultiLvlLbl val="0"/>
      </c:catAx>
      <c:valAx>
        <c:axId val="195230819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Activo</a:t>
                </a:r>
                <a:r>
                  <a:rPr lang="en-US" baseline="0"/>
                  <a:t> en b</a:t>
                </a:r>
                <a:r>
                  <a:rPr lang="en-US"/>
                  <a:t>illones de colones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title>
        <c:numFmt formatCode="_-* #,##0.0_-;\-* #,##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953945871"/>
        <c:crosses val="autoZero"/>
        <c:crossBetween val="between"/>
      </c:valAx>
      <c:valAx>
        <c:axId val="2051111855"/>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Porcentaje del PIB</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956588463"/>
        <c:crosses val="max"/>
        <c:crossBetween val="between"/>
      </c:valAx>
      <c:catAx>
        <c:axId val="1956588463"/>
        <c:scaling>
          <c:orientation val="minMax"/>
        </c:scaling>
        <c:delete val="1"/>
        <c:axPos val="b"/>
        <c:majorTickMark val="out"/>
        <c:minorTickMark val="none"/>
        <c:tickLblPos val="nextTo"/>
        <c:crossAx val="2051111855"/>
        <c:crosses val="autoZero"/>
        <c:auto val="1"/>
        <c:lblAlgn val="ctr"/>
        <c:lblOffset val="100"/>
        <c:noMultiLvlLbl val="0"/>
      </c:catAx>
      <c:spPr>
        <a:noFill/>
        <a:ln>
          <a:noFill/>
        </a:ln>
        <a:effectLst/>
      </c:spPr>
    </c:plotArea>
    <c:legend>
      <c:legendPos val="b"/>
      <c:layout>
        <c:manualLayout>
          <c:xMode val="edge"/>
          <c:yMode val="edge"/>
          <c:x val="2.7041110153242228E-2"/>
          <c:y val="0.76883588246870094"/>
          <c:w val="0.9556677078984871"/>
          <c:h val="0.2285684782680338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6856631F615B3409059BBB0F9B27DCB" ma:contentTypeVersion="15" ma:contentTypeDescription="Crear nuevo documento." ma:contentTypeScope="" ma:versionID="47210b89c82ae1714ee5357ee90d6da2">
  <xsd:schema xmlns:xsd="http://www.w3.org/2001/XMLSchema" xmlns:xs="http://www.w3.org/2001/XMLSchema" xmlns:p="http://schemas.microsoft.com/office/2006/metadata/properties" xmlns:ns2="b18c669d-fb4a-4eb9-a4d1-62cdc1f0ce82" xmlns:ns3="2771f82f-2111-4618-a6ac-913e60384c73" targetNamespace="http://schemas.microsoft.com/office/2006/metadata/properties" ma:root="true" ma:fieldsID="004a81f54fee428c8bd711f989c5dc6b" ns2:_="" ns3:_="">
    <xsd:import namespace="b18c669d-fb4a-4eb9-a4d1-62cdc1f0ce82"/>
    <xsd:import namespace="2771f82f-2111-4618-a6ac-913e60384c7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c669d-fb4a-4eb9-a4d1-62cdc1f0ce82" elementFormDefault="qualified">
    <xsd:import namespace="http://schemas.microsoft.com/office/2006/documentManagement/types"/>
    <xsd:import namespace="http://schemas.microsoft.com/office/infopath/2007/PartnerControls"/>
    <xsd:element name="SharedWithUsers" ma:index="4" nillable="true" ma:displayName="Compartido c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71f82f-2111-4618-a6ac-913e60384c73"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5D400E9D-A6B9-4233-A260-EEBF7EB6B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c669d-fb4a-4eb9-a4d1-62cdc1f0ce82"/>
    <ds:schemaRef ds:uri="2771f82f-2111-4618-a6ac-913e60384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B4269-2719-4891-AB1A-558B33340D99}">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http://www.w3.org/XML/1998/namespace"/>
    <ds:schemaRef ds:uri="http://purl.org/dc/dcmitype/"/>
    <ds:schemaRef ds:uri="http://schemas.microsoft.com/office/infopath/2007/PartnerControls"/>
    <ds:schemaRef ds:uri="2771f82f-2111-4618-a6ac-913e60384c73"/>
    <ds:schemaRef ds:uri="b18c669d-fb4a-4eb9-a4d1-62cdc1f0ce82"/>
  </ds:schemaRefs>
</ds:datastoreItem>
</file>

<file path=customXml/itemProps3.xml><?xml version="1.0" encoding="utf-8"?>
<ds:datastoreItem xmlns:ds="http://schemas.openxmlformats.org/officeDocument/2006/customXml" ds:itemID="{965B255F-638A-496D-9FD0-8125AE14A36F}">
  <ds:schemaRefs>
    <ds:schemaRef ds:uri="http://schemas.openxmlformats.org/officeDocument/2006/bibliography"/>
  </ds:schemaRefs>
</ds:datastoreItem>
</file>

<file path=customXml/itemProps4.xml><?xml version="1.0" encoding="utf-8"?>
<ds:datastoreItem xmlns:ds="http://schemas.openxmlformats.org/officeDocument/2006/customXml" ds:itemID="{A8EBE201-89C0-40AC-97C9-D2D2326B42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4158</Words>
  <Characters>22871</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InformeCoyunturaSep2020.docx</vt:lpstr>
    </vt:vector>
  </TitlesOfParts>
  <Company/>
  <LinksUpToDate>false</LinksUpToDate>
  <CharactersWithSpaces>26976</CharactersWithSpaces>
  <SharedDoc>false</SharedDoc>
  <HLinks>
    <vt:vector size="180" baseType="variant">
      <vt:variant>
        <vt:i4>8192109</vt:i4>
      </vt:variant>
      <vt:variant>
        <vt:i4>219</vt:i4>
      </vt:variant>
      <vt:variant>
        <vt:i4>0</vt:i4>
      </vt:variant>
      <vt:variant>
        <vt:i4>5</vt:i4>
      </vt:variant>
      <vt:variant>
        <vt:lpwstr>https://si.supen.fi.cr/Tramites/Tram_Detalle_Correspondencia.aspx?evento=2021013050</vt:lpwstr>
      </vt:variant>
      <vt:variant>
        <vt:lpwstr/>
      </vt:variant>
      <vt:variant>
        <vt:i4>7602277</vt:i4>
      </vt:variant>
      <vt:variant>
        <vt:i4>216</vt:i4>
      </vt:variant>
      <vt:variant>
        <vt:i4>0</vt:i4>
      </vt:variant>
      <vt:variant>
        <vt:i4>5</vt:i4>
      </vt:variant>
      <vt:variant>
        <vt:lpwstr>https://si.supen.fi.cr/Tramites/Tram_Detalle_Correspondencia.aspx?evento=2021008972</vt:lpwstr>
      </vt:variant>
      <vt:variant>
        <vt:lpwstr/>
      </vt:variant>
      <vt:variant>
        <vt:i4>2031669</vt:i4>
      </vt:variant>
      <vt:variant>
        <vt:i4>155</vt:i4>
      </vt:variant>
      <vt:variant>
        <vt:i4>0</vt:i4>
      </vt:variant>
      <vt:variant>
        <vt:i4>5</vt:i4>
      </vt:variant>
      <vt:variant>
        <vt:lpwstr/>
      </vt:variant>
      <vt:variant>
        <vt:lpwstr>_Toc71730852</vt:lpwstr>
      </vt:variant>
      <vt:variant>
        <vt:i4>1835061</vt:i4>
      </vt:variant>
      <vt:variant>
        <vt:i4>149</vt:i4>
      </vt:variant>
      <vt:variant>
        <vt:i4>0</vt:i4>
      </vt:variant>
      <vt:variant>
        <vt:i4>5</vt:i4>
      </vt:variant>
      <vt:variant>
        <vt:lpwstr/>
      </vt:variant>
      <vt:variant>
        <vt:lpwstr>_Toc71730851</vt:lpwstr>
      </vt:variant>
      <vt:variant>
        <vt:i4>1900597</vt:i4>
      </vt:variant>
      <vt:variant>
        <vt:i4>143</vt:i4>
      </vt:variant>
      <vt:variant>
        <vt:i4>0</vt:i4>
      </vt:variant>
      <vt:variant>
        <vt:i4>5</vt:i4>
      </vt:variant>
      <vt:variant>
        <vt:lpwstr/>
      </vt:variant>
      <vt:variant>
        <vt:lpwstr>_Toc71730850</vt:lpwstr>
      </vt:variant>
      <vt:variant>
        <vt:i4>1310772</vt:i4>
      </vt:variant>
      <vt:variant>
        <vt:i4>137</vt:i4>
      </vt:variant>
      <vt:variant>
        <vt:i4>0</vt:i4>
      </vt:variant>
      <vt:variant>
        <vt:i4>5</vt:i4>
      </vt:variant>
      <vt:variant>
        <vt:lpwstr/>
      </vt:variant>
      <vt:variant>
        <vt:lpwstr>_Toc71730849</vt:lpwstr>
      </vt:variant>
      <vt:variant>
        <vt:i4>1376308</vt:i4>
      </vt:variant>
      <vt:variant>
        <vt:i4>131</vt:i4>
      </vt:variant>
      <vt:variant>
        <vt:i4>0</vt:i4>
      </vt:variant>
      <vt:variant>
        <vt:i4>5</vt:i4>
      </vt:variant>
      <vt:variant>
        <vt:lpwstr/>
      </vt:variant>
      <vt:variant>
        <vt:lpwstr>_Toc71730848</vt:lpwstr>
      </vt:variant>
      <vt:variant>
        <vt:i4>1703988</vt:i4>
      </vt:variant>
      <vt:variant>
        <vt:i4>125</vt:i4>
      </vt:variant>
      <vt:variant>
        <vt:i4>0</vt:i4>
      </vt:variant>
      <vt:variant>
        <vt:i4>5</vt:i4>
      </vt:variant>
      <vt:variant>
        <vt:lpwstr/>
      </vt:variant>
      <vt:variant>
        <vt:lpwstr>_Toc71730847</vt:lpwstr>
      </vt:variant>
      <vt:variant>
        <vt:i4>1769524</vt:i4>
      </vt:variant>
      <vt:variant>
        <vt:i4>119</vt:i4>
      </vt:variant>
      <vt:variant>
        <vt:i4>0</vt:i4>
      </vt:variant>
      <vt:variant>
        <vt:i4>5</vt:i4>
      </vt:variant>
      <vt:variant>
        <vt:lpwstr/>
      </vt:variant>
      <vt:variant>
        <vt:lpwstr>_Toc71730846</vt:lpwstr>
      </vt:variant>
      <vt:variant>
        <vt:i4>1572916</vt:i4>
      </vt:variant>
      <vt:variant>
        <vt:i4>113</vt:i4>
      </vt:variant>
      <vt:variant>
        <vt:i4>0</vt:i4>
      </vt:variant>
      <vt:variant>
        <vt:i4>5</vt:i4>
      </vt:variant>
      <vt:variant>
        <vt:lpwstr/>
      </vt:variant>
      <vt:variant>
        <vt:lpwstr>_Toc71730845</vt:lpwstr>
      </vt:variant>
      <vt:variant>
        <vt:i4>1638452</vt:i4>
      </vt:variant>
      <vt:variant>
        <vt:i4>107</vt:i4>
      </vt:variant>
      <vt:variant>
        <vt:i4>0</vt:i4>
      </vt:variant>
      <vt:variant>
        <vt:i4>5</vt:i4>
      </vt:variant>
      <vt:variant>
        <vt:lpwstr/>
      </vt:variant>
      <vt:variant>
        <vt:lpwstr>_Toc71730844</vt:lpwstr>
      </vt:variant>
      <vt:variant>
        <vt:i4>1966132</vt:i4>
      </vt:variant>
      <vt:variant>
        <vt:i4>101</vt:i4>
      </vt:variant>
      <vt:variant>
        <vt:i4>0</vt:i4>
      </vt:variant>
      <vt:variant>
        <vt:i4>5</vt:i4>
      </vt:variant>
      <vt:variant>
        <vt:lpwstr/>
      </vt:variant>
      <vt:variant>
        <vt:lpwstr>_Toc71730843</vt:lpwstr>
      </vt:variant>
      <vt:variant>
        <vt:i4>2031668</vt:i4>
      </vt:variant>
      <vt:variant>
        <vt:i4>95</vt:i4>
      </vt:variant>
      <vt:variant>
        <vt:i4>0</vt:i4>
      </vt:variant>
      <vt:variant>
        <vt:i4>5</vt:i4>
      </vt:variant>
      <vt:variant>
        <vt:lpwstr/>
      </vt:variant>
      <vt:variant>
        <vt:lpwstr>_Toc71730842</vt:lpwstr>
      </vt:variant>
      <vt:variant>
        <vt:i4>1835060</vt:i4>
      </vt:variant>
      <vt:variant>
        <vt:i4>89</vt:i4>
      </vt:variant>
      <vt:variant>
        <vt:i4>0</vt:i4>
      </vt:variant>
      <vt:variant>
        <vt:i4>5</vt:i4>
      </vt:variant>
      <vt:variant>
        <vt:lpwstr/>
      </vt:variant>
      <vt:variant>
        <vt:lpwstr>_Toc71730841</vt:lpwstr>
      </vt:variant>
      <vt:variant>
        <vt:i4>1900596</vt:i4>
      </vt:variant>
      <vt:variant>
        <vt:i4>83</vt:i4>
      </vt:variant>
      <vt:variant>
        <vt:i4>0</vt:i4>
      </vt:variant>
      <vt:variant>
        <vt:i4>5</vt:i4>
      </vt:variant>
      <vt:variant>
        <vt:lpwstr/>
      </vt:variant>
      <vt:variant>
        <vt:lpwstr>_Toc71730840</vt:lpwstr>
      </vt:variant>
      <vt:variant>
        <vt:i4>1310771</vt:i4>
      </vt:variant>
      <vt:variant>
        <vt:i4>77</vt:i4>
      </vt:variant>
      <vt:variant>
        <vt:i4>0</vt:i4>
      </vt:variant>
      <vt:variant>
        <vt:i4>5</vt:i4>
      </vt:variant>
      <vt:variant>
        <vt:lpwstr/>
      </vt:variant>
      <vt:variant>
        <vt:lpwstr>_Toc71730839</vt:lpwstr>
      </vt:variant>
      <vt:variant>
        <vt:i4>1376307</vt:i4>
      </vt:variant>
      <vt:variant>
        <vt:i4>71</vt:i4>
      </vt:variant>
      <vt:variant>
        <vt:i4>0</vt:i4>
      </vt:variant>
      <vt:variant>
        <vt:i4>5</vt:i4>
      </vt:variant>
      <vt:variant>
        <vt:lpwstr/>
      </vt:variant>
      <vt:variant>
        <vt:lpwstr>_Toc71730838</vt:lpwstr>
      </vt:variant>
      <vt:variant>
        <vt:i4>1703987</vt:i4>
      </vt:variant>
      <vt:variant>
        <vt:i4>65</vt:i4>
      </vt:variant>
      <vt:variant>
        <vt:i4>0</vt:i4>
      </vt:variant>
      <vt:variant>
        <vt:i4>5</vt:i4>
      </vt:variant>
      <vt:variant>
        <vt:lpwstr/>
      </vt:variant>
      <vt:variant>
        <vt:lpwstr>_Toc71730837</vt:lpwstr>
      </vt:variant>
      <vt:variant>
        <vt:i4>1769523</vt:i4>
      </vt:variant>
      <vt:variant>
        <vt:i4>59</vt:i4>
      </vt:variant>
      <vt:variant>
        <vt:i4>0</vt:i4>
      </vt:variant>
      <vt:variant>
        <vt:i4>5</vt:i4>
      </vt:variant>
      <vt:variant>
        <vt:lpwstr/>
      </vt:variant>
      <vt:variant>
        <vt:lpwstr>_Toc71730836</vt:lpwstr>
      </vt:variant>
      <vt:variant>
        <vt:i4>1572915</vt:i4>
      </vt:variant>
      <vt:variant>
        <vt:i4>53</vt:i4>
      </vt:variant>
      <vt:variant>
        <vt:i4>0</vt:i4>
      </vt:variant>
      <vt:variant>
        <vt:i4>5</vt:i4>
      </vt:variant>
      <vt:variant>
        <vt:lpwstr/>
      </vt:variant>
      <vt:variant>
        <vt:lpwstr>_Toc71730835</vt:lpwstr>
      </vt:variant>
      <vt:variant>
        <vt:i4>1638451</vt:i4>
      </vt:variant>
      <vt:variant>
        <vt:i4>47</vt:i4>
      </vt:variant>
      <vt:variant>
        <vt:i4>0</vt:i4>
      </vt:variant>
      <vt:variant>
        <vt:i4>5</vt:i4>
      </vt:variant>
      <vt:variant>
        <vt:lpwstr/>
      </vt:variant>
      <vt:variant>
        <vt:lpwstr>_Toc71730834</vt:lpwstr>
      </vt:variant>
      <vt:variant>
        <vt:i4>1966131</vt:i4>
      </vt:variant>
      <vt:variant>
        <vt:i4>41</vt:i4>
      </vt:variant>
      <vt:variant>
        <vt:i4>0</vt:i4>
      </vt:variant>
      <vt:variant>
        <vt:i4>5</vt:i4>
      </vt:variant>
      <vt:variant>
        <vt:lpwstr/>
      </vt:variant>
      <vt:variant>
        <vt:lpwstr>_Toc71730833</vt:lpwstr>
      </vt:variant>
      <vt:variant>
        <vt:i4>2031667</vt:i4>
      </vt:variant>
      <vt:variant>
        <vt:i4>35</vt:i4>
      </vt:variant>
      <vt:variant>
        <vt:i4>0</vt:i4>
      </vt:variant>
      <vt:variant>
        <vt:i4>5</vt:i4>
      </vt:variant>
      <vt:variant>
        <vt:lpwstr/>
      </vt:variant>
      <vt:variant>
        <vt:lpwstr>_Toc71730832</vt:lpwstr>
      </vt:variant>
      <vt:variant>
        <vt:i4>1835059</vt:i4>
      </vt:variant>
      <vt:variant>
        <vt:i4>29</vt:i4>
      </vt:variant>
      <vt:variant>
        <vt:i4>0</vt:i4>
      </vt:variant>
      <vt:variant>
        <vt:i4>5</vt:i4>
      </vt:variant>
      <vt:variant>
        <vt:lpwstr/>
      </vt:variant>
      <vt:variant>
        <vt:lpwstr>_Toc71730831</vt:lpwstr>
      </vt:variant>
      <vt:variant>
        <vt:i4>1900595</vt:i4>
      </vt:variant>
      <vt:variant>
        <vt:i4>23</vt:i4>
      </vt:variant>
      <vt:variant>
        <vt:i4>0</vt:i4>
      </vt:variant>
      <vt:variant>
        <vt:i4>5</vt:i4>
      </vt:variant>
      <vt:variant>
        <vt:lpwstr/>
      </vt:variant>
      <vt:variant>
        <vt:lpwstr>_Toc71730830</vt:lpwstr>
      </vt:variant>
      <vt:variant>
        <vt:i4>1310770</vt:i4>
      </vt:variant>
      <vt:variant>
        <vt:i4>17</vt:i4>
      </vt:variant>
      <vt:variant>
        <vt:i4>0</vt:i4>
      </vt:variant>
      <vt:variant>
        <vt:i4>5</vt:i4>
      </vt:variant>
      <vt:variant>
        <vt:lpwstr/>
      </vt:variant>
      <vt:variant>
        <vt:lpwstr>_Toc71730829</vt:lpwstr>
      </vt:variant>
      <vt:variant>
        <vt:i4>1376306</vt:i4>
      </vt:variant>
      <vt:variant>
        <vt:i4>11</vt:i4>
      </vt:variant>
      <vt:variant>
        <vt:i4>0</vt:i4>
      </vt:variant>
      <vt:variant>
        <vt:i4>5</vt:i4>
      </vt:variant>
      <vt:variant>
        <vt:lpwstr/>
      </vt:variant>
      <vt:variant>
        <vt:lpwstr>_Toc71730828</vt:lpwstr>
      </vt:variant>
      <vt:variant>
        <vt:i4>1703986</vt:i4>
      </vt:variant>
      <vt:variant>
        <vt:i4>5</vt:i4>
      </vt:variant>
      <vt:variant>
        <vt:i4>0</vt:i4>
      </vt:variant>
      <vt:variant>
        <vt:i4>5</vt:i4>
      </vt:variant>
      <vt:variant>
        <vt:lpwstr/>
      </vt:variant>
      <vt:variant>
        <vt:lpwstr>_Toc71730827</vt:lpwstr>
      </vt:variant>
      <vt:variant>
        <vt:i4>5767214</vt:i4>
      </vt:variant>
      <vt:variant>
        <vt:i4>0</vt:i4>
      </vt:variant>
      <vt:variant>
        <vt:i4>0</vt:i4>
      </vt:variant>
      <vt:variant>
        <vt:i4>5</vt:i4>
      </vt:variant>
      <vt:variant>
        <vt:lpwstr>mailto:supen@supen.fi.cr</vt:lpwstr>
      </vt:variant>
      <vt:variant>
        <vt:lpwstr/>
      </vt:variant>
      <vt:variant>
        <vt:i4>5767214</vt:i4>
      </vt:variant>
      <vt:variant>
        <vt:i4>0</vt:i4>
      </vt:variant>
      <vt:variant>
        <vt:i4>0</vt:i4>
      </vt:variant>
      <vt:variant>
        <vt:i4>5</vt:i4>
      </vt:variant>
      <vt:variant>
        <vt:lpwstr>mailto:supen@supen.fi.cr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InformeCoyunturaMar2021.docx</dc:title>
  <dc:subject/>
  <dc:creator>CESPEDES LOPEZ DAISY</dc:creator>
  <cp:keywords/>
  <dc:description/>
  <cp:lastModifiedBy>CORRALES VEGA RUDY</cp:lastModifiedBy>
  <cp:revision>2</cp:revision>
  <dcterms:created xsi:type="dcterms:W3CDTF">2021-05-31T13:44:00Z</dcterms:created>
  <dcterms:modified xsi:type="dcterms:W3CDTF">2021-05-31T13:44:00Z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0x01010016856631F615B3409059BBB0F9B27DCB</vt:lpwstr>
  </property>
</Properties>
</file>