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0509" w14:textId="77777777" w:rsidR="0089748C" w:rsidRPr="00D70332" w:rsidRDefault="0089748C" w:rsidP="0089748C">
      <w:pPr>
        <w:jc w:val="center"/>
        <w:rPr>
          <w:rFonts w:ascii="Segoe UI" w:hAnsi="Segoe UI" w:cs="Segoe UI"/>
        </w:rPr>
      </w:pPr>
      <w:bookmarkStart w:id="0" w:name="_Hlk8031810"/>
      <w:bookmarkEnd w:id="0"/>
      <w:r w:rsidRPr="00D70332">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0F0C3D65" wp14:editId="639C04A3">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354E94FB"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40"/>
                                <w:szCs w:val="40"/>
                              </w:rPr>
                            </w:pPr>
                            <w:bookmarkStart w:id="1" w:name="_Hlk63666386"/>
                            <w:bookmarkEnd w:id="1"/>
                          </w:p>
                          <w:p w14:paraId="22B624C5"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40"/>
                                <w:szCs w:val="40"/>
                              </w:rPr>
                            </w:pPr>
                          </w:p>
                          <w:p w14:paraId="40AD6D43"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40"/>
                                <w:szCs w:val="40"/>
                              </w:rPr>
                            </w:pPr>
                          </w:p>
                          <w:p w14:paraId="04F54709" w14:textId="395E776B" w:rsidR="00E151C1" w:rsidRDefault="00E151C1" w:rsidP="0089748C">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p>
                          <w:p w14:paraId="5845790F" w14:textId="3F06DA66" w:rsidR="0089748C" w:rsidRPr="00007611" w:rsidRDefault="0089748C" w:rsidP="0089748C">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7C42067E"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32"/>
                                <w:szCs w:val="40"/>
                              </w:rPr>
                            </w:pPr>
                          </w:p>
                          <w:p w14:paraId="0C000C02" w14:textId="77777777" w:rsidR="0089748C" w:rsidRPr="00C26828" w:rsidRDefault="0089748C" w:rsidP="0089748C">
                            <w:pPr>
                              <w:pBdr>
                                <w:left w:val="single" w:sz="4" w:space="9" w:color="4F81BD" w:themeColor="accent1"/>
                              </w:pBdr>
                              <w:rPr>
                                <w:rFonts w:asciiTheme="majorHAnsi" w:eastAsiaTheme="majorEastAsia" w:hAnsiTheme="majorHAnsi" w:cstheme="majorBidi"/>
                                <w:sz w:val="32"/>
                                <w:szCs w:val="40"/>
                              </w:rPr>
                            </w:pPr>
                          </w:p>
                          <w:p w14:paraId="78D9627E" w14:textId="77777777" w:rsidR="0089748C" w:rsidRDefault="0089748C" w:rsidP="0089748C">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46A47DB3" w14:textId="77777777" w:rsidR="0089748C" w:rsidRDefault="0089748C" w:rsidP="0089748C">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2F7714AB" w14:textId="77777777" w:rsidR="0089748C" w:rsidRPr="00AC2538" w:rsidRDefault="0089748C" w:rsidP="0089748C">
                            <w:pPr>
                              <w:pBdr>
                                <w:left w:val="single" w:sz="4" w:space="9" w:color="4F81BD" w:themeColor="accent1"/>
                              </w:pBdr>
                              <w:jc w:val="center"/>
                              <w:rPr>
                                <w:rFonts w:asciiTheme="majorHAnsi" w:eastAsiaTheme="majorEastAsia" w:hAnsiTheme="majorHAnsi" w:cstheme="majorBidi"/>
                                <w:sz w:val="32"/>
                                <w:szCs w:val="40"/>
                              </w:rPr>
                            </w:pPr>
                          </w:p>
                          <w:p w14:paraId="0660B965" w14:textId="77777777" w:rsidR="0089748C" w:rsidRPr="00AC2538" w:rsidRDefault="0089748C" w:rsidP="0089748C">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Segundo </w:t>
                            </w:r>
                            <w:r w:rsidRPr="00AC2538">
                              <w:rPr>
                                <w:rFonts w:asciiTheme="majorHAnsi" w:eastAsiaTheme="majorEastAsia" w:hAnsiTheme="majorHAnsi" w:cstheme="majorBidi"/>
                                <w:sz w:val="32"/>
                                <w:szCs w:val="40"/>
                              </w:rPr>
                              <w:t>Trimestre</w:t>
                            </w:r>
                          </w:p>
                          <w:p w14:paraId="47B4FFEE" w14:textId="77777777" w:rsidR="0089748C" w:rsidRPr="00AC2538" w:rsidRDefault="0089748C" w:rsidP="0089748C">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21</w:t>
                            </w:r>
                          </w:p>
                          <w:p w14:paraId="05CB15B2" w14:textId="77777777" w:rsidR="0089748C" w:rsidRPr="00AC2538" w:rsidRDefault="0089748C" w:rsidP="0089748C">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0C3D65"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354E94FB"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40"/>
                          <w:szCs w:val="40"/>
                        </w:rPr>
                      </w:pPr>
                      <w:bookmarkStart w:id="2" w:name="_Hlk63666386"/>
                      <w:bookmarkEnd w:id="2"/>
                    </w:p>
                    <w:p w14:paraId="22B624C5"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40"/>
                          <w:szCs w:val="40"/>
                        </w:rPr>
                      </w:pPr>
                    </w:p>
                    <w:p w14:paraId="40AD6D43"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40"/>
                          <w:szCs w:val="40"/>
                        </w:rPr>
                      </w:pPr>
                    </w:p>
                    <w:p w14:paraId="04F54709" w14:textId="395E776B" w:rsidR="00E151C1" w:rsidRDefault="00E151C1" w:rsidP="0089748C">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p>
                    <w:p w14:paraId="5845790F" w14:textId="3F06DA66" w:rsidR="0089748C" w:rsidRPr="00007611" w:rsidRDefault="0089748C" w:rsidP="0089748C">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7C42067E" w14:textId="77777777" w:rsidR="0089748C" w:rsidRPr="00C26828" w:rsidRDefault="0089748C" w:rsidP="0089748C">
                      <w:pPr>
                        <w:pBdr>
                          <w:left w:val="single" w:sz="4" w:space="9" w:color="4F81BD" w:themeColor="accent1"/>
                        </w:pBdr>
                        <w:jc w:val="center"/>
                        <w:rPr>
                          <w:rFonts w:asciiTheme="majorHAnsi" w:eastAsiaTheme="majorEastAsia" w:hAnsiTheme="majorHAnsi" w:cstheme="majorBidi"/>
                          <w:sz w:val="32"/>
                          <w:szCs w:val="40"/>
                        </w:rPr>
                      </w:pPr>
                    </w:p>
                    <w:p w14:paraId="0C000C02" w14:textId="77777777" w:rsidR="0089748C" w:rsidRPr="00C26828" w:rsidRDefault="0089748C" w:rsidP="0089748C">
                      <w:pPr>
                        <w:pBdr>
                          <w:left w:val="single" w:sz="4" w:space="9" w:color="4F81BD" w:themeColor="accent1"/>
                        </w:pBdr>
                        <w:rPr>
                          <w:rFonts w:asciiTheme="majorHAnsi" w:eastAsiaTheme="majorEastAsia" w:hAnsiTheme="majorHAnsi" w:cstheme="majorBidi"/>
                          <w:sz w:val="32"/>
                          <w:szCs w:val="40"/>
                        </w:rPr>
                      </w:pPr>
                    </w:p>
                    <w:p w14:paraId="78D9627E" w14:textId="77777777" w:rsidR="0089748C" w:rsidRDefault="0089748C" w:rsidP="0089748C">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46A47DB3" w14:textId="77777777" w:rsidR="0089748C" w:rsidRDefault="0089748C" w:rsidP="0089748C">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2F7714AB" w14:textId="77777777" w:rsidR="0089748C" w:rsidRPr="00AC2538" w:rsidRDefault="0089748C" w:rsidP="0089748C">
                      <w:pPr>
                        <w:pBdr>
                          <w:left w:val="single" w:sz="4" w:space="9" w:color="4F81BD" w:themeColor="accent1"/>
                        </w:pBdr>
                        <w:jc w:val="center"/>
                        <w:rPr>
                          <w:rFonts w:asciiTheme="majorHAnsi" w:eastAsiaTheme="majorEastAsia" w:hAnsiTheme="majorHAnsi" w:cstheme="majorBidi"/>
                          <w:sz w:val="32"/>
                          <w:szCs w:val="40"/>
                        </w:rPr>
                      </w:pPr>
                    </w:p>
                    <w:p w14:paraId="0660B965" w14:textId="77777777" w:rsidR="0089748C" w:rsidRPr="00AC2538" w:rsidRDefault="0089748C" w:rsidP="0089748C">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Segundo </w:t>
                      </w:r>
                      <w:r w:rsidRPr="00AC2538">
                        <w:rPr>
                          <w:rFonts w:asciiTheme="majorHAnsi" w:eastAsiaTheme="majorEastAsia" w:hAnsiTheme="majorHAnsi" w:cstheme="majorBidi"/>
                          <w:sz w:val="32"/>
                          <w:szCs w:val="40"/>
                        </w:rPr>
                        <w:t>Trimestre</w:t>
                      </w:r>
                    </w:p>
                    <w:p w14:paraId="47B4FFEE" w14:textId="77777777" w:rsidR="0089748C" w:rsidRPr="00AC2538" w:rsidRDefault="0089748C" w:rsidP="0089748C">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21</w:t>
                      </w:r>
                    </w:p>
                    <w:p w14:paraId="05CB15B2" w14:textId="77777777" w:rsidR="0089748C" w:rsidRPr="00AC2538" w:rsidRDefault="0089748C" w:rsidP="0089748C">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772A0D06" w14:textId="77777777" w:rsidR="0089748C" w:rsidRPr="00D70332" w:rsidRDefault="0089748C" w:rsidP="0089748C">
      <w:pPr>
        <w:rPr>
          <w:rFonts w:ascii="Segoe UI" w:hAnsi="Segoe UI" w:cs="Segoe UI"/>
        </w:rPr>
      </w:pPr>
    </w:p>
    <w:p w14:paraId="23428875" w14:textId="77777777" w:rsidR="0089748C" w:rsidRPr="00D70332" w:rsidRDefault="0089748C" w:rsidP="0089748C">
      <w:pPr>
        <w:rPr>
          <w:rFonts w:ascii="Segoe UI" w:hAnsi="Segoe UI" w:cs="Segoe UI"/>
        </w:rPr>
      </w:pPr>
    </w:p>
    <w:p w14:paraId="4A79ABEC" w14:textId="77777777" w:rsidR="0089748C" w:rsidRPr="00D70332" w:rsidRDefault="0089748C" w:rsidP="0089748C">
      <w:pPr>
        <w:rPr>
          <w:rFonts w:ascii="Segoe UI" w:hAnsi="Segoe UI" w:cs="Segoe UI"/>
        </w:rPr>
      </w:pPr>
    </w:p>
    <w:p w14:paraId="38C55826" w14:textId="77777777" w:rsidR="0089748C" w:rsidRPr="00D70332" w:rsidRDefault="0089748C" w:rsidP="0089748C">
      <w:pPr>
        <w:rPr>
          <w:rFonts w:ascii="Segoe UI" w:hAnsi="Segoe UI" w:cs="Segoe UI"/>
        </w:rPr>
      </w:pPr>
    </w:p>
    <w:p w14:paraId="05D3745D" w14:textId="77777777" w:rsidR="0089748C" w:rsidRPr="00D70332" w:rsidRDefault="0089748C" w:rsidP="0089748C">
      <w:pPr>
        <w:rPr>
          <w:rFonts w:ascii="Segoe UI" w:hAnsi="Segoe UI" w:cs="Segoe UI"/>
        </w:rPr>
      </w:pPr>
      <w:r w:rsidRPr="00D70332">
        <w:rPr>
          <w:rFonts w:ascii="Segoe UI" w:hAnsi="Segoe UI" w:cs="Segoe UI"/>
          <w:noProof/>
          <w:lang w:eastAsia="es-ES"/>
        </w:rPr>
        <w:drawing>
          <wp:anchor distT="0" distB="0" distL="114300" distR="114300" simplePos="0" relativeHeight="251658241" behindDoc="1" locked="0" layoutInCell="1" allowOverlap="1" wp14:anchorId="736ABCD9" wp14:editId="60DBD6A7">
            <wp:simplePos x="0" y="0"/>
            <wp:positionH relativeFrom="page">
              <wp:posOffset>161925</wp:posOffset>
            </wp:positionH>
            <wp:positionV relativeFrom="page">
              <wp:posOffset>2381250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1C23BD00" w14:textId="77777777" w:rsidR="0089748C" w:rsidRPr="00D70332" w:rsidRDefault="0089748C" w:rsidP="0089748C">
      <w:pPr>
        <w:rPr>
          <w:rFonts w:ascii="Segoe UI" w:hAnsi="Segoe UI" w:cs="Segoe UI"/>
        </w:rPr>
      </w:pPr>
    </w:p>
    <w:p w14:paraId="221658BB" w14:textId="77777777" w:rsidR="0089748C" w:rsidRPr="00D70332" w:rsidRDefault="0089748C" w:rsidP="0089748C">
      <w:pPr>
        <w:rPr>
          <w:rFonts w:ascii="Segoe UI" w:hAnsi="Segoe UI" w:cs="Segoe UI"/>
        </w:rPr>
        <w:sectPr w:rsidR="0089748C" w:rsidRPr="00D70332" w:rsidSect="004722B6">
          <w:headerReference w:type="default" r:id="rId12"/>
          <w:footerReference w:type="default" r:id="rId13"/>
          <w:pgSz w:w="12240" w:h="15840"/>
          <w:pgMar w:top="1417" w:right="1701" w:bottom="1417" w:left="1701" w:header="708" w:footer="708" w:gutter="0"/>
          <w:cols w:space="708"/>
          <w:titlePg/>
          <w:docGrid w:linePitch="360"/>
        </w:sectPr>
      </w:pPr>
    </w:p>
    <w:p w14:paraId="4E56CC75" w14:textId="77777777" w:rsidR="0089748C" w:rsidRPr="00D70332" w:rsidRDefault="0089748C" w:rsidP="0089748C">
      <w:pPr>
        <w:jc w:val="center"/>
        <w:rPr>
          <w:rFonts w:ascii="Segoe UI" w:hAnsi="Segoe UI" w:cs="Segoe UI"/>
        </w:rPr>
      </w:pPr>
    </w:p>
    <w:p w14:paraId="72EE8C20" w14:textId="0A22D3CF" w:rsidR="0089748C" w:rsidRPr="0093453D" w:rsidRDefault="0089748C" w:rsidP="0089748C">
      <w:pPr>
        <w:pStyle w:val="paragraph"/>
        <w:jc w:val="both"/>
        <w:textAlignment w:val="baseline"/>
        <w:rPr>
          <w:rStyle w:val="eop"/>
          <w:rFonts w:asciiTheme="minorHAnsi" w:hAnsiTheme="minorHAnsi" w:cs="Segoe UI"/>
          <w:sz w:val="22"/>
          <w:szCs w:val="22"/>
          <w:lang w:val="es-ES"/>
        </w:rPr>
      </w:pPr>
      <w:r w:rsidRPr="0093453D">
        <w:rPr>
          <w:rStyle w:val="normaltextrun1"/>
          <w:rFonts w:asciiTheme="minorHAnsi" w:hAnsiTheme="minorHAnsi" w:cs="Segoe UI"/>
          <w:sz w:val="22"/>
          <w:szCs w:val="22"/>
        </w:rPr>
        <w:t xml:space="preserve">La </w:t>
      </w:r>
      <w:r>
        <w:rPr>
          <w:rStyle w:val="normaltextrun1"/>
          <w:rFonts w:asciiTheme="minorHAnsi" w:hAnsiTheme="minorHAnsi" w:cs="Segoe UI"/>
          <w:sz w:val="22"/>
          <w:szCs w:val="22"/>
        </w:rPr>
        <w:t>SUPEN</w:t>
      </w:r>
      <w:r w:rsidRPr="0093453D">
        <w:rPr>
          <w:rStyle w:val="normaltextrun1"/>
          <w:rFonts w:asciiTheme="minorHAnsi" w:hAnsiTheme="minorHAnsi" w:cs="Segoe UI"/>
          <w:sz w:val="22"/>
          <w:szCs w:val="22"/>
        </w:rPr>
        <w:t xml:space="preserve"> no se hace legalmente responsable de la transmisión incorrecta de la información aquí contenida. La confección del documento estuvo a cargo de la División de Planificación y Normativa de la </w:t>
      </w:r>
      <w:r>
        <w:rPr>
          <w:rStyle w:val="normaltextrun1"/>
          <w:rFonts w:asciiTheme="minorHAnsi" w:hAnsiTheme="minorHAnsi" w:cs="Segoe UI"/>
          <w:sz w:val="22"/>
          <w:szCs w:val="22"/>
        </w:rPr>
        <w:t>SUPEN</w:t>
      </w:r>
      <w:r w:rsidRPr="0093453D">
        <w:rPr>
          <w:rStyle w:val="normaltextrun1"/>
          <w:rFonts w:asciiTheme="minorHAnsi" w:hAnsiTheme="minorHAnsi" w:cs="Segoe UI"/>
          <w:sz w:val="22"/>
          <w:szCs w:val="22"/>
        </w:rPr>
        <w:t xml:space="preserve">. Cualquier duda a consulta sobre este documento favor canalizarla a la dirección de correo: </w:t>
      </w:r>
      <w:hyperlink r:id="rId14" w:tgtFrame="_blank" w:history="1">
        <w:r>
          <w:rPr>
            <w:rStyle w:val="normaltextrun1"/>
            <w:rFonts w:asciiTheme="minorHAnsi" w:hAnsiTheme="minorHAnsi" w:cs="Segoe UI"/>
            <w:color w:val="548DD4"/>
            <w:sz w:val="22"/>
            <w:szCs w:val="22"/>
            <w:u w:val="single"/>
          </w:rPr>
          <w:t>SUPEN</w:t>
        </w:r>
        <w:r w:rsidRPr="0093453D">
          <w:rPr>
            <w:rStyle w:val="normaltextrun1"/>
            <w:rFonts w:asciiTheme="minorHAnsi" w:hAnsiTheme="minorHAnsi" w:cs="Segoe UI"/>
            <w:color w:val="548DD4"/>
            <w:sz w:val="22"/>
            <w:szCs w:val="22"/>
            <w:u w:val="single"/>
          </w:rPr>
          <w:t>@</w:t>
        </w:r>
        <w:r>
          <w:rPr>
            <w:rStyle w:val="normaltextrun1"/>
            <w:rFonts w:asciiTheme="minorHAnsi" w:hAnsiTheme="minorHAnsi" w:cs="Segoe UI"/>
            <w:color w:val="548DD4"/>
            <w:sz w:val="22"/>
            <w:szCs w:val="22"/>
            <w:u w:val="single"/>
          </w:rPr>
          <w:t>SUPEN</w:t>
        </w:r>
        <w:r w:rsidRPr="0093453D">
          <w:rPr>
            <w:rStyle w:val="normaltextrun1"/>
            <w:rFonts w:asciiTheme="minorHAnsi" w:hAnsiTheme="minorHAnsi" w:cs="Segoe UI"/>
            <w:color w:val="548DD4"/>
            <w:sz w:val="22"/>
            <w:szCs w:val="22"/>
            <w:u w:val="single"/>
          </w:rPr>
          <w:t>.fi.cr</w:t>
        </w:r>
      </w:hyperlink>
      <w:r w:rsidRPr="0093453D">
        <w:rPr>
          <w:rStyle w:val="eop"/>
          <w:rFonts w:asciiTheme="minorHAnsi" w:hAnsiTheme="minorHAnsi" w:cs="Segoe UI"/>
          <w:sz w:val="22"/>
          <w:szCs w:val="22"/>
          <w:lang w:val="es-ES"/>
        </w:rPr>
        <w:t> </w:t>
      </w:r>
      <w:r w:rsidRPr="0093453D">
        <w:rPr>
          <w:rStyle w:val="eop"/>
          <w:rFonts w:asciiTheme="minorHAnsi" w:hAnsiTheme="minorHAnsi" w:cs="Segoe UI"/>
          <w:sz w:val="22"/>
          <w:szCs w:val="22"/>
          <w:lang w:val="es-ES"/>
        </w:rPr>
        <w:br w:type="page"/>
      </w:r>
    </w:p>
    <w:sdt>
      <w:sdtPr>
        <w:rPr>
          <w:rFonts w:asciiTheme="minorHAnsi" w:eastAsiaTheme="minorHAnsi" w:hAnsiTheme="minorHAnsi" w:cstheme="minorBidi"/>
          <w:color w:val="auto"/>
          <w:sz w:val="22"/>
          <w:szCs w:val="22"/>
          <w:lang w:val="es-ES" w:eastAsia="en-US"/>
        </w:rPr>
        <w:id w:val="1721554443"/>
        <w:docPartObj>
          <w:docPartGallery w:val="Table of Contents"/>
          <w:docPartUnique/>
        </w:docPartObj>
      </w:sdtPr>
      <w:sdtEndPr>
        <w:rPr>
          <w:b/>
          <w:bCs/>
        </w:rPr>
      </w:sdtEndPr>
      <w:sdtContent>
        <w:p w14:paraId="4482AFD8" w14:textId="77777777" w:rsidR="0089748C" w:rsidRDefault="0089748C" w:rsidP="0089748C">
          <w:pPr>
            <w:pStyle w:val="TtuloTDC"/>
          </w:pPr>
          <w:r>
            <w:rPr>
              <w:lang w:val="es-ES"/>
            </w:rPr>
            <w:t>Contenido</w:t>
          </w:r>
        </w:p>
        <w:p w14:paraId="691FD01F" w14:textId="43A58C5C" w:rsidR="001E4685" w:rsidRDefault="0089748C">
          <w:pPr>
            <w:pStyle w:val="TDC1"/>
            <w:tabs>
              <w:tab w:val="left" w:pos="440"/>
              <w:tab w:val="right" w:leader="dot" w:pos="8828"/>
            </w:tabs>
            <w:rPr>
              <w:rFonts w:cstheme="minorBidi"/>
              <w:noProof/>
            </w:rPr>
          </w:pPr>
          <w:r>
            <w:fldChar w:fldCharType="begin"/>
          </w:r>
          <w:r>
            <w:instrText xml:space="preserve"> TOC \o "1-3" \h \z \u </w:instrText>
          </w:r>
          <w:r>
            <w:fldChar w:fldCharType="separate"/>
          </w:r>
          <w:hyperlink w:anchor="_Toc80290680" w:history="1">
            <w:r w:rsidR="001E4685" w:rsidRPr="003E3F31">
              <w:rPr>
                <w:rStyle w:val="Hipervnculo"/>
                <w:noProof/>
              </w:rPr>
              <w:t>1.</w:t>
            </w:r>
            <w:r w:rsidR="001E4685">
              <w:rPr>
                <w:rFonts w:cstheme="minorBidi"/>
                <w:noProof/>
              </w:rPr>
              <w:tab/>
            </w:r>
            <w:r w:rsidR="001E4685" w:rsidRPr="003E3F31">
              <w:rPr>
                <w:rStyle w:val="Hipervnculo"/>
                <w:noProof/>
              </w:rPr>
              <w:t>Definiciones</w:t>
            </w:r>
            <w:r w:rsidR="001E4685">
              <w:rPr>
                <w:noProof/>
                <w:webHidden/>
              </w:rPr>
              <w:tab/>
            </w:r>
            <w:r w:rsidR="001E4685">
              <w:rPr>
                <w:noProof/>
                <w:webHidden/>
              </w:rPr>
              <w:fldChar w:fldCharType="begin"/>
            </w:r>
            <w:r w:rsidR="001E4685">
              <w:rPr>
                <w:noProof/>
                <w:webHidden/>
              </w:rPr>
              <w:instrText xml:space="preserve"> PAGEREF _Toc80290680 \h </w:instrText>
            </w:r>
            <w:r w:rsidR="001E4685">
              <w:rPr>
                <w:noProof/>
                <w:webHidden/>
              </w:rPr>
            </w:r>
            <w:r w:rsidR="001E4685">
              <w:rPr>
                <w:noProof/>
                <w:webHidden/>
              </w:rPr>
              <w:fldChar w:fldCharType="separate"/>
            </w:r>
            <w:r w:rsidR="001E4685">
              <w:rPr>
                <w:noProof/>
                <w:webHidden/>
              </w:rPr>
              <w:t>4</w:t>
            </w:r>
            <w:r w:rsidR="001E4685">
              <w:rPr>
                <w:noProof/>
                <w:webHidden/>
              </w:rPr>
              <w:fldChar w:fldCharType="end"/>
            </w:r>
          </w:hyperlink>
        </w:p>
        <w:p w14:paraId="04802CDA" w14:textId="3507DC20" w:rsidR="001E4685" w:rsidRDefault="00373897">
          <w:pPr>
            <w:pStyle w:val="TDC1"/>
            <w:tabs>
              <w:tab w:val="left" w:pos="440"/>
              <w:tab w:val="right" w:leader="dot" w:pos="8828"/>
            </w:tabs>
            <w:rPr>
              <w:rFonts w:cstheme="minorBidi"/>
              <w:noProof/>
            </w:rPr>
          </w:pPr>
          <w:hyperlink w:anchor="_Toc80290681" w:history="1">
            <w:r w:rsidR="001E4685" w:rsidRPr="003E3F31">
              <w:rPr>
                <w:rStyle w:val="Hipervnculo"/>
                <w:noProof/>
              </w:rPr>
              <w:t>2.</w:t>
            </w:r>
            <w:r w:rsidR="001E4685">
              <w:rPr>
                <w:rFonts w:cstheme="minorBidi"/>
                <w:noProof/>
              </w:rPr>
              <w:tab/>
            </w:r>
            <w:r w:rsidR="001E4685" w:rsidRPr="003E3F31">
              <w:rPr>
                <w:rStyle w:val="Hipervnculo"/>
                <w:noProof/>
              </w:rPr>
              <w:t>Resumen ejecutivo</w:t>
            </w:r>
            <w:r w:rsidR="001E4685">
              <w:rPr>
                <w:noProof/>
                <w:webHidden/>
              </w:rPr>
              <w:tab/>
            </w:r>
            <w:r w:rsidR="001E4685">
              <w:rPr>
                <w:noProof/>
                <w:webHidden/>
              </w:rPr>
              <w:fldChar w:fldCharType="begin"/>
            </w:r>
            <w:r w:rsidR="001E4685">
              <w:rPr>
                <w:noProof/>
                <w:webHidden/>
              </w:rPr>
              <w:instrText xml:space="preserve"> PAGEREF _Toc80290681 \h </w:instrText>
            </w:r>
            <w:r w:rsidR="001E4685">
              <w:rPr>
                <w:noProof/>
                <w:webHidden/>
              </w:rPr>
            </w:r>
            <w:r w:rsidR="001E4685">
              <w:rPr>
                <w:noProof/>
                <w:webHidden/>
              </w:rPr>
              <w:fldChar w:fldCharType="separate"/>
            </w:r>
            <w:r w:rsidR="001E4685">
              <w:rPr>
                <w:noProof/>
                <w:webHidden/>
              </w:rPr>
              <w:t>5</w:t>
            </w:r>
            <w:r w:rsidR="001E4685">
              <w:rPr>
                <w:noProof/>
                <w:webHidden/>
              </w:rPr>
              <w:fldChar w:fldCharType="end"/>
            </w:r>
          </w:hyperlink>
        </w:p>
        <w:p w14:paraId="444556C6" w14:textId="4AA45B0C" w:rsidR="001E4685" w:rsidRDefault="00373897">
          <w:pPr>
            <w:pStyle w:val="TDC1"/>
            <w:tabs>
              <w:tab w:val="left" w:pos="440"/>
              <w:tab w:val="right" w:leader="dot" w:pos="8828"/>
            </w:tabs>
            <w:rPr>
              <w:rFonts w:cstheme="minorBidi"/>
              <w:noProof/>
            </w:rPr>
          </w:pPr>
          <w:hyperlink w:anchor="_Toc80290682" w:history="1">
            <w:r w:rsidR="001E4685" w:rsidRPr="003E3F31">
              <w:rPr>
                <w:rStyle w:val="Hipervnculo"/>
                <w:noProof/>
              </w:rPr>
              <w:t>3.</w:t>
            </w:r>
            <w:r w:rsidR="001E4685">
              <w:rPr>
                <w:rFonts w:cstheme="minorBidi"/>
                <w:noProof/>
              </w:rPr>
              <w:tab/>
            </w:r>
            <w:r w:rsidR="001E4685" w:rsidRPr="003E3F31">
              <w:rPr>
                <w:rStyle w:val="Hipervnculo"/>
                <w:noProof/>
              </w:rPr>
              <w:t>Estadísticas</w:t>
            </w:r>
            <w:r w:rsidR="001E4685">
              <w:rPr>
                <w:noProof/>
                <w:webHidden/>
              </w:rPr>
              <w:tab/>
            </w:r>
            <w:r w:rsidR="001E4685">
              <w:rPr>
                <w:noProof/>
                <w:webHidden/>
              </w:rPr>
              <w:fldChar w:fldCharType="begin"/>
            </w:r>
            <w:r w:rsidR="001E4685">
              <w:rPr>
                <w:noProof/>
                <w:webHidden/>
              </w:rPr>
              <w:instrText xml:space="preserve"> PAGEREF _Toc80290682 \h </w:instrText>
            </w:r>
            <w:r w:rsidR="001E4685">
              <w:rPr>
                <w:noProof/>
                <w:webHidden/>
              </w:rPr>
            </w:r>
            <w:r w:rsidR="001E4685">
              <w:rPr>
                <w:noProof/>
                <w:webHidden/>
              </w:rPr>
              <w:fldChar w:fldCharType="separate"/>
            </w:r>
            <w:r w:rsidR="001E4685">
              <w:rPr>
                <w:noProof/>
                <w:webHidden/>
              </w:rPr>
              <w:t>6</w:t>
            </w:r>
            <w:r w:rsidR="001E4685">
              <w:rPr>
                <w:noProof/>
                <w:webHidden/>
              </w:rPr>
              <w:fldChar w:fldCharType="end"/>
            </w:r>
          </w:hyperlink>
        </w:p>
        <w:p w14:paraId="331ED0E2" w14:textId="2ACC5CA3" w:rsidR="001E4685" w:rsidRDefault="00373897">
          <w:pPr>
            <w:pStyle w:val="TDC2"/>
            <w:tabs>
              <w:tab w:val="left" w:pos="880"/>
              <w:tab w:val="right" w:leader="dot" w:pos="8828"/>
            </w:tabs>
            <w:rPr>
              <w:rFonts w:cstheme="minorBidi"/>
              <w:noProof/>
            </w:rPr>
          </w:pPr>
          <w:hyperlink w:anchor="_Toc80290683" w:history="1">
            <w:r w:rsidR="001E4685" w:rsidRPr="003E3F31">
              <w:rPr>
                <w:rStyle w:val="Hipervnculo"/>
                <w:noProof/>
              </w:rPr>
              <w:t>3.1.</w:t>
            </w:r>
            <w:r w:rsidR="001E4685">
              <w:rPr>
                <w:rFonts w:cstheme="minorBidi"/>
                <w:noProof/>
              </w:rPr>
              <w:tab/>
            </w:r>
            <w:r w:rsidR="001E4685" w:rsidRPr="003E3F31">
              <w:rPr>
                <w:rStyle w:val="Hipervnculo"/>
                <w:noProof/>
              </w:rPr>
              <w:t>Sistema Nacional de Pensiones</w:t>
            </w:r>
            <w:r w:rsidR="001E4685">
              <w:rPr>
                <w:noProof/>
                <w:webHidden/>
              </w:rPr>
              <w:tab/>
            </w:r>
            <w:r w:rsidR="001E4685">
              <w:rPr>
                <w:noProof/>
                <w:webHidden/>
              </w:rPr>
              <w:fldChar w:fldCharType="begin"/>
            </w:r>
            <w:r w:rsidR="001E4685">
              <w:rPr>
                <w:noProof/>
                <w:webHidden/>
              </w:rPr>
              <w:instrText xml:space="preserve"> PAGEREF _Toc80290683 \h </w:instrText>
            </w:r>
            <w:r w:rsidR="001E4685">
              <w:rPr>
                <w:noProof/>
                <w:webHidden/>
              </w:rPr>
            </w:r>
            <w:r w:rsidR="001E4685">
              <w:rPr>
                <w:noProof/>
                <w:webHidden/>
              </w:rPr>
              <w:fldChar w:fldCharType="separate"/>
            </w:r>
            <w:r w:rsidR="001E4685">
              <w:rPr>
                <w:noProof/>
                <w:webHidden/>
              </w:rPr>
              <w:t>6</w:t>
            </w:r>
            <w:r w:rsidR="001E4685">
              <w:rPr>
                <w:noProof/>
                <w:webHidden/>
              </w:rPr>
              <w:fldChar w:fldCharType="end"/>
            </w:r>
          </w:hyperlink>
        </w:p>
        <w:p w14:paraId="4040379B" w14:textId="5448ECCA" w:rsidR="001E4685" w:rsidRDefault="00373897">
          <w:pPr>
            <w:pStyle w:val="TDC2"/>
            <w:tabs>
              <w:tab w:val="left" w:pos="880"/>
              <w:tab w:val="right" w:leader="dot" w:pos="8828"/>
            </w:tabs>
            <w:rPr>
              <w:rFonts w:cstheme="minorBidi"/>
              <w:noProof/>
            </w:rPr>
          </w:pPr>
          <w:hyperlink w:anchor="_Toc80290684" w:history="1">
            <w:r w:rsidR="001E4685" w:rsidRPr="003E3F31">
              <w:rPr>
                <w:rStyle w:val="Hipervnculo"/>
                <w:noProof/>
              </w:rPr>
              <w:t>3.2.</w:t>
            </w:r>
            <w:r w:rsidR="001E4685">
              <w:rPr>
                <w:rFonts w:cstheme="minorBidi"/>
                <w:noProof/>
              </w:rPr>
              <w:tab/>
            </w:r>
            <w:r w:rsidR="001E4685" w:rsidRPr="003E3F31">
              <w:rPr>
                <w:rStyle w:val="Hipervnculo"/>
                <w:noProof/>
              </w:rPr>
              <w:t>Activos administrados</w:t>
            </w:r>
            <w:r w:rsidR="001E4685">
              <w:rPr>
                <w:noProof/>
                <w:webHidden/>
              </w:rPr>
              <w:tab/>
            </w:r>
            <w:r w:rsidR="001E4685">
              <w:rPr>
                <w:noProof/>
                <w:webHidden/>
              </w:rPr>
              <w:fldChar w:fldCharType="begin"/>
            </w:r>
            <w:r w:rsidR="001E4685">
              <w:rPr>
                <w:noProof/>
                <w:webHidden/>
              </w:rPr>
              <w:instrText xml:space="preserve"> PAGEREF _Toc80290684 \h </w:instrText>
            </w:r>
            <w:r w:rsidR="001E4685">
              <w:rPr>
                <w:noProof/>
                <w:webHidden/>
              </w:rPr>
            </w:r>
            <w:r w:rsidR="001E4685">
              <w:rPr>
                <w:noProof/>
                <w:webHidden/>
              </w:rPr>
              <w:fldChar w:fldCharType="separate"/>
            </w:r>
            <w:r w:rsidR="001E4685">
              <w:rPr>
                <w:noProof/>
                <w:webHidden/>
              </w:rPr>
              <w:t>6</w:t>
            </w:r>
            <w:r w:rsidR="001E4685">
              <w:rPr>
                <w:noProof/>
                <w:webHidden/>
              </w:rPr>
              <w:fldChar w:fldCharType="end"/>
            </w:r>
          </w:hyperlink>
        </w:p>
        <w:p w14:paraId="7AA2166A" w14:textId="61A0BB23" w:rsidR="001E4685" w:rsidRDefault="00373897">
          <w:pPr>
            <w:pStyle w:val="TDC2"/>
            <w:tabs>
              <w:tab w:val="left" w:pos="880"/>
              <w:tab w:val="right" w:leader="dot" w:pos="8828"/>
            </w:tabs>
            <w:rPr>
              <w:rFonts w:cstheme="minorBidi"/>
              <w:noProof/>
            </w:rPr>
          </w:pPr>
          <w:hyperlink w:anchor="_Toc80290685" w:history="1">
            <w:r w:rsidR="001E4685" w:rsidRPr="003E3F31">
              <w:rPr>
                <w:rStyle w:val="Hipervnculo"/>
                <w:noProof/>
              </w:rPr>
              <w:t>3.3.</w:t>
            </w:r>
            <w:r w:rsidR="001E4685">
              <w:rPr>
                <w:rFonts w:cstheme="minorBidi"/>
                <w:noProof/>
              </w:rPr>
              <w:tab/>
            </w:r>
            <w:r w:rsidR="001E4685" w:rsidRPr="003E3F31">
              <w:rPr>
                <w:rStyle w:val="Hipervnculo"/>
                <w:noProof/>
              </w:rPr>
              <w:t>Inversiones</w:t>
            </w:r>
            <w:r w:rsidR="001E4685">
              <w:rPr>
                <w:noProof/>
                <w:webHidden/>
              </w:rPr>
              <w:tab/>
            </w:r>
            <w:r w:rsidR="001E4685">
              <w:rPr>
                <w:noProof/>
                <w:webHidden/>
              </w:rPr>
              <w:fldChar w:fldCharType="begin"/>
            </w:r>
            <w:r w:rsidR="001E4685">
              <w:rPr>
                <w:noProof/>
                <w:webHidden/>
              </w:rPr>
              <w:instrText xml:space="preserve"> PAGEREF _Toc80290685 \h </w:instrText>
            </w:r>
            <w:r w:rsidR="001E4685">
              <w:rPr>
                <w:noProof/>
                <w:webHidden/>
              </w:rPr>
            </w:r>
            <w:r w:rsidR="001E4685">
              <w:rPr>
                <w:noProof/>
                <w:webHidden/>
              </w:rPr>
              <w:fldChar w:fldCharType="separate"/>
            </w:r>
            <w:r w:rsidR="001E4685">
              <w:rPr>
                <w:noProof/>
                <w:webHidden/>
              </w:rPr>
              <w:t>7</w:t>
            </w:r>
            <w:r w:rsidR="001E4685">
              <w:rPr>
                <w:noProof/>
                <w:webHidden/>
              </w:rPr>
              <w:fldChar w:fldCharType="end"/>
            </w:r>
          </w:hyperlink>
        </w:p>
        <w:p w14:paraId="3742C9EF" w14:textId="4BB53B2E" w:rsidR="001E4685" w:rsidRDefault="00373897">
          <w:pPr>
            <w:pStyle w:val="TDC2"/>
            <w:tabs>
              <w:tab w:val="left" w:pos="880"/>
              <w:tab w:val="right" w:leader="dot" w:pos="8828"/>
            </w:tabs>
            <w:rPr>
              <w:rFonts w:cstheme="minorBidi"/>
              <w:noProof/>
            </w:rPr>
          </w:pPr>
          <w:hyperlink w:anchor="_Toc80290686" w:history="1">
            <w:r w:rsidR="001E4685" w:rsidRPr="003E3F31">
              <w:rPr>
                <w:rStyle w:val="Hipervnculo"/>
                <w:noProof/>
              </w:rPr>
              <w:t>3.4.</w:t>
            </w:r>
            <w:r w:rsidR="001E4685">
              <w:rPr>
                <w:rFonts w:cstheme="minorBidi"/>
                <w:noProof/>
              </w:rPr>
              <w:tab/>
            </w:r>
            <w:r w:rsidR="001E4685" w:rsidRPr="003E3F31">
              <w:rPr>
                <w:rStyle w:val="Hipervnculo"/>
                <w:noProof/>
              </w:rPr>
              <w:t>Rentabilidad</w:t>
            </w:r>
            <w:r w:rsidR="001E4685">
              <w:rPr>
                <w:noProof/>
                <w:webHidden/>
              </w:rPr>
              <w:tab/>
            </w:r>
            <w:r w:rsidR="001E4685">
              <w:rPr>
                <w:noProof/>
                <w:webHidden/>
              </w:rPr>
              <w:fldChar w:fldCharType="begin"/>
            </w:r>
            <w:r w:rsidR="001E4685">
              <w:rPr>
                <w:noProof/>
                <w:webHidden/>
              </w:rPr>
              <w:instrText xml:space="preserve"> PAGEREF _Toc80290686 \h </w:instrText>
            </w:r>
            <w:r w:rsidR="001E4685">
              <w:rPr>
                <w:noProof/>
                <w:webHidden/>
              </w:rPr>
            </w:r>
            <w:r w:rsidR="001E4685">
              <w:rPr>
                <w:noProof/>
                <w:webHidden/>
              </w:rPr>
              <w:fldChar w:fldCharType="separate"/>
            </w:r>
            <w:r w:rsidR="001E4685">
              <w:rPr>
                <w:noProof/>
                <w:webHidden/>
              </w:rPr>
              <w:t>11</w:t>
            </w:r>
            <w:r w:rsidR="001E4685">
              <w:rPr>
                <w:noProof/>
                <w:webHidden/>
              </w:rPr>
              <w:fldChar w:fldCharType="end"/>
            </w:r>
          </w:hyperlink>
        </w:p>
        <w:p w14:paraId="18499F2F" w14:textId="5A2D68D3" w:rsidR="001E4685" w:rsidRDefault="00373897">
          <w:pPr>
            <w:pStyle w:val="TDC2"/>
            <w:tabs>
              <w:tab w:val="left" w:pos="880"/>
              <w:tab w:val="right" w:leader="dot" w:pos="8828"/>
            </w:tabs>
            <w:rPr>
              <w:rFonts w:cstheme="minorBidi"/>
              <w:noProof/>
            </w:rPr>
          </w:pPr>
          <w:hyperlink w:anchor="_Toc80290687" w:history="1">
            <w:r w:rsidR="001E4685" w:rsidRPr="003E3F31">
              <w:rPr>
                <w:rStyle w:val="Hipervnculo"/>
                <w:noProof/>
              </w:rPr>
              <w:t>3.5.</w:t>
            </w:r>
            <w:r w:rsidR="001E4685">
              <w:rPr>
                <w:rFonts w:cstheme="minorBidi"/>
                <w:noProof/>
              </w:rPr>
              <w:tab/>
            </w:r>
            <w:r w:rsidR="001E4685" w:rsidRPr="003E3F31">
              <w:rPr>
                <w:rStyle w:val="Hipervnculo"/>
                <w:noProof/>
              </w:rPr>
              <w:t>Rentabilidad del ROP</w:t>
            </w:r>
            <w:r w:rsidR="001E4685">
              <w:rPr>
                <w:noProof/>
                <w:webHidden/>
              </w:rPr>
              <w:tab/>
            </w:r>
            <w:r w:rsidR="001E4685">
              <w:rPr>
                <w:noProof/>
                <w:webHidden/>
              </w:rPr>
              <w:fldChar w:fldCharType="begin"/>
            </w:r>
            <w:r w:rsidR="001E4685">
              <w:rPr>
                <w:noProof/>
                <w:webHidden/>
              </w:rPr>
              <w:instrText xml:space="preserve"> PAGEREF _Toc80290687 \h </w:instrText>
            </w:r>
            <w:r w:rsidR="001E4685">
              <w:rPr>
                <w:noProof/>
                <w:webHidden/>
              </w:rPr>
            </w:r>
            <w:r w:rsidR="001E4685">
              <w:rPr>
                <w:noProof/>
                <w:webHidden/>
              </w:rPr>
              <w:fldChar w:fldCharType="separate"/>
            </w:r>
            <w:r w:rsidR="001E4685">
              <w:rPr>
                <w:noProof/>
                <w:webHidden/>
              </w:rPr>
              <w:t>11</w:t>
            </w:r>
            <w:r w:rsidR="001E4685">
              <w:rPr>
                <w:noProof/>
                <w:webHidden/>
              </w:rPr>
              <w:fldChar w:fldCharType="end"/>
            </w:r>
          </w:hyperlink>
        </w:p>
        <w:p w14:paraId="5B6C7AE1" w14:textId="4A07D8C6" w:rsidR="001E4685" w:rsidRDefault="00373897">
          <w:pPr>
            <w:pStyle w:val="TDC2"/>
            <w:tabs>
              <w:tab w:val="left" w:pos="880"/>
              <w:tab w:val="right" w:leader="dot" w:pos="8828"/>
            </w:tabs>
            <w:rPr>
              <w:rFonts w:cstheme="minorBidi"/>
              <w:noProof/>
            </w:rPr>
          </w:pPr>
          <w:hyperlink w:anchor="_Toc80290688" w:history="1">
            <w:r w:rsidR="001E4685" w:rsidRPr="003E3F31">
              <w:rPr>
                <w:rStyle w:val="Hipervnculo"/>
                <w:noProof/>
              </w:rPr>
              <w:t>3.6.</w:t>
            </w:r>
            <w:r w:rsidR="001E4685">
              <w:rPr>
                <w:rFonts w:cstheme="minorBidi"/>
                <w:noProof/>
              </w:rPr>
              <w:tab/>
            </w:r>
            <w:r w:rsidR="001E4685" w:rsidRPr="003E3F31">
              <w:rPr>
                <w:rStyle w:val="Hipervnculo"/>
                <w:noProof/>
              </w:rPr>
              <w:t>Desempeño de Gestores</w:t>
            </w:r>
            <w:r w:rsidR="001E4685">
              <w:rPr>
                <w:noProof/>
                <w:webHidden/>
              </w:rPr>
              <w:tab/>
            </w:r>
            <w:r w:rsidR="001E4685">
              <w:rPr>
                <w:noProof/>
                <w:webHidden/>
              </w:rPr>
              <w:fldChar w:fldCharType="begin"/>
            </w:r>
            <w:r w:rsidR="001E4685">
              <w:rPr>
                <w:noProof/>
                <w:webHidden/>
              </w:rPr>
              <w:instrText xml:space="preserve"> PAGEREF _Toc80290688 \h </w:instrText>
            </w:r>
            <w:r w:rsidR="001E4685">
              <w:rPr>
                <w:noProof/>
                <w:webHidden/>
              </w:rPr>
            </w:r>
            <w:r w:rsidR="001E4685">
              <w:rPr>
                <w:noProof/>
                <w:webHidden/>
              </w:rPr>
              <w:fldChar w:fldCharType="separate"/>
            </w:r>
            <w:r w:rsidR="001E4685">
              <w:rPr>
                <w:noProof/>
                <w:webHidden/>
              </w:rPr>
              <w:t>12</w:t>
            </w:r>
            <w:r w:rsidR="001E4685">
              <w:rPr>
                <w:noProof/>
                <w:webHidden/>
              </w:rPr>
              <w:fldChar w:fldCharType="end"/>
            </w:r>
          </w:hyperlink>
        </w:p>
        <w:p w14:paraId="6BB2FB67" w14:textId="46650C4F" w:rsidR="001E4685" w:rsidRDefault="00373897">
          <w:pPr>
            <w:pStyle w:val="TDC2"/>
            <w:tabs>
              <w:tab w:val="left" w:pos="880"/>
              <w:tab w:val="right" w:leader="dot" w:pos="8828"/>
            </w:tabs>
            <w:rPr>
              <w:rFonts w:cstheme="minorBidi"/>
              <w:noProof/>
            </w:rPr>
          </w:pPr>
          <w:hyperlink w:anchor="_Toc80290689" w:history="1">
            <w:r w:rsidR="001E4685" w:rsidRPr="003E3F31">
              <w:rPr>
                <w:rStyle w:val="Hipervnculo"/>
                <w:noProof/>
              </w:rPr>
              <w:t>3.7.</w:t>
            </w:r>
            <w:r w:rsidR="001E4685">
              <w:rPr>
                <w:rFonts w:cstheme="minorBidi"/>
                <w:noProof/>
              </w:rPr>
              <w:tab/>
            </w:r>
            <w:r w:rsidR="001E4685" w:rsidRPr="003E3F31">
              <w:rPr>
                <w:rStyle w:val="Hipervnculo"/>
                <w:noProof/>
              </w:rPr>
              <w:t>Efectos de la pandemia en el ROP</w:t>
            </w:r>
            <w:r w:rsidR="001E4685">
              <w:rPr>
                <w:noProof/>
                <w:webHidden/>
              </w:rPr>
              <w:tab/>
            </w:r>
            <w:r w:rsidR="001E4685">
              <w:rPr>
                <w:noProof/>
                <w:webHidden/>
              </w:rPr>
              <w:fldChar w:fldCharType="begin"/>
            </w:r>
            <w:r w:rsidR="001E4685">
              <w:rPr>
                <w:noProof/>
                <w:webHidden/>
              </w:rPr>
              <w:instrText xml:space="preserve"> PAGEREF _Toc80290689 \h </w:instrText>
            </w:r>
            <w:r w:rsidR="001E4685">
              <w:rPr>
                <w:noProof/>
                <w:webHidden/>
              </w:rPr>
            </w:r>
            <w:r w:rsidR="001E4685">
              <w:rPr>
                <w:noProof/>
                <w:webHidden/>
              </w:rPr>
              <w:fldChar w:fldCharType="separate"/>
            </w:r>
            <w:r w:rsidR="001E4685">
              <w:rPr>
                <w:noProof/>
                <w:webHidden/>
              </w:rPr>
              <w:t>13</w:t>
            </w:r>
            <w:r w:rsidR="001E4685">
              <w:rPr>
                <w:noProof/>
                <w:webHidden/>
              </w:rPr>
              <w:fldChar w:fldCharType="end"/>
            </w:r>
          </w:hyperlink>
        </w:p>
        <w:p w14:paraId="4C638D50" w14:textId="6C3205FE" w:rsidR="001E4685" w:rsidRDefault="00373897">
          <w:pPr>
            <w:pStyle w:val="TDC2"/>
            <w:tabs>
              <w:tab w:val="left" w:pos="880"/>
              <w:tab w:val="right" w:leader="dot" w:pos="8828"/>
            </w:tabs>
            <w:rPr>
              <w:rFonts w:cstheme="minorBidi"/>
              <w:noProof/>
            </w:rPr>
          </w:pPr>
          <w:hyperlink w:anchor="_Toc80290690" w:history="1">
            <w:r w:rsidR="001E4685" w:rsidRPr="003E3F31">
              <w:rPr>
                <w:rStyle w:val="Hipervnculo"/>
                <w:noProof/>
              </w:rPr>
              <w:t>3.8.</w:t>
            </w:r>
            <w:r w:rsidR="001E4685">
              <w:rPr>
                <w:rFonts w:cstheme="minorBidi"/>
                <w:noProof/>
              </w:rPr>
              <w:tab/>
            </w:r>
            <w:r w:rsidR="001E4685" w:rsidRPr="003E3F31">
              <w:rPr>
                <w:rStyle w:val="Hipervnculo"/>
                <w:noProof/>
              </w:rPr>
              <w:t>Retiros del FCL por nuevas causales</w:t>
            </w:r>
            <w:r w:rsidR="001E4685">
              <w:rPr>
                <w:noProof/>
                <w:webHidden/>
              </w:rPr>
              <w:tab/>
            </w:r>
            <w:r w:rsidR="001E4685">
              <w:rPr>
                <w:noProof/>
                <w:webHidden/>
              </w:rPr>
              <w:fldChar w:fldCharType="begin"/>
            </w:r>
            <w:r w:rsidR="001E4685">
              <w:rPr>
                <w:noProof/>
                <w:webHidden/>
              </w:rPr>
              <w:instrText xml:space="preserve"> PAGEREF _Toc80290690 \h </w:instrText>
            </w:r>
            <w:r w:rsidR="001E4685">
              <w:rPr>
                <w:noProof/>
                <w:webHidden/>
              </w:rPr>
            </w:r>
            <w:r w:rsidR="001E4685">
              <w:rPr>
                <w:noProof/>
                <w:webHidden/>
              </w:rPr>
              <w:fldChar w:fldCharType="separate"/>
            </w:r>
            <w:r w:rsidR="001E4685">
              <w:rPr>
                <w:noProof/>
                <w:webHidden/>
              </w:rPr>
              <w:t>14</w:t>
            </w:r>
            <w:r w:rsidR="001E4685">
              <w:rPr>
                <w:noProof/>
                <w:webHidden/>
              </w:rPr>
              <w:fldChar w:fldCharType="end"/>
            </w:r>
          </w:hyperlink>
        </w:p>
        <w:p w14:paraId="2231094F" w14:textId="2B5FA362" w:rsidR="001E4685" w:rsidRDefault="00373897">
          <w:pPr>
            <w:pStyle w:val="TDC2"/>
            <w:tabs>
              <w:tab w:val="left" w:pos="880"/>
              <w:tab w:val="right" w:leader="dot" w:pos="8828"/>
            </w:tabs>
            <w:rPr>
              <w:rFonts w:cstheme="minorBidi"/>
              <w:noProof/>
            </w:rPr>
          </w:pPr>
          <w:hyperlink w:anchor="_Toc80290691" w:history="1">
            <w:r w:rsidR="001E4685" w:rsidRPr="003E3F31">
              <w:rPr>
                <w:rStyle w:val="Hipervnculo"/>
                <w:noProof/>
              </w:rPr>
              <w:t>3.9.</w:t>
            </w:r>
            <w:r w:rsidR="001E4685">
              <w:rPr>
                <w:rFonts w:cstheme="minorBidi"/>
                <w:noProof/>
              </w:rPr>
              <w:tab/>
            </w:r>
            <w:r w:rsidR="001E4685" w:rsidRPr="003E3F31">
              <w:rPr>
                <w:rStyle w:val="Hipervnculo"/>
                <w:noProof/>
              </w:rPr>
              <w:t>Distribución de aportes del Banco Popular y de Desarrollo Comunal</w:t>
            </w:r>
            <w:r w:rsidR="001E4685">
              <w:rPr>
                <w:noProof/>
                <w:webHidden/>
              </w:rPr>
              <w:tab/>
            </w:r>
            <w:r w:rsidR="001E4685">
              <w:rPr>
                <w:noProof/>
                <w:webHidden/>
              </w:rPr>
              <w:fldChar w:fldCharType="begin"/>
            </w:r>
            <w:r w:rsidR="001E4685">
              <w:rPr>
                <w:noProof/>
                <w:webHidden/>
              </w:rPr>
              <w:instrText xml:space="preserve"> PAGEREF _Toc80290691 \h </w:instrText>
            </w:r>
            <w:r w:rsidR="001E4685">
              <w:rPr>
                <w:noProof/>
                <w:webHidden/>
              </w:rPr>
            </w:r>
            <w:r w:rsidR="001E4685">
              <w:rPr>
                <w:noProof/>
                <w:webHidden/>
              </w:rPr>
              <w:fldChar w:fldCharType="separate"/>
            </w:r>
            <w:r w:rsidR="001E4685">
              <w:rPr>
                <w:noProof/>
                <w:webHidden/>
              </w:rPr>
              <w:t>15</w:t>
            </w:r>
            <w:r w:rsidR="001E4685">
              <w:rPr>
                <w:noProof/>
                <w:webHidden/>
              </w:rPr>
              <w:fldChar w:fldCharType="end"/>
            </w:r>
          </w:hyperlink>
        </w:p>
        <w:p w14:paraId="4E3EEDF8" w14:textId="763376C7" w:rsidR="001E4685" w:rsidRDefault="00373897">
          <w:pPr>
            <w:pStyle w:val="TDC2"/>
            <w:tabs>
              <w:tab w:val="left" w:pos="1100"/>
              <w:tab w:val="right" w:leader="dot" w:pos="8828"/>
            </w:tabs>
            <w:rPr>
              <w:rFonts w:cstheme="minorBidi"/>
              <w:noProof/>
            </w:rPr>
          </w:pPr>
          <w:hyperlink w:anchor="_Toc80290692" w:history="1">
            <w:r w:rsidR="001E4685" w:rsidRPr="003E3F31">
              <w:rPr>
                <w:rStyle w:val="Hipervnculo"/>
                <w:noProof/>
              </w:rPr>
              <w:t>3.10.</w:t>
            </w:r>
            <w:r w:rsidR="001E4685">
              <w:rPr>
                <w:rFonts w:cstheme="minorBidi"/>
                <w:noProof/>
              </w:rPr>
              <w:tab/>
            </w:r>
            <w:r w:rsidR="001E4685" w:rsidRPr="003E3F31">
              <w:rPr>
                <w:rStyle w:val="Hipervnculo"/>
                <w:noProof/>
              </w:rPr>
              <w:t>Retiros en el ROP a partir de la reforma de la LPT</w:t>
            </w:r>
            <w:r w:rsidR="001E4685">
              <w:rPr>
                <w:noProof/>
                <w:webHidden/>
              </w:rPr>
              <w:tab/>
            </w:r>
            <w:r w:rsidR="001E4685">
              <w:rPr>
                <w:noProof/>
                <w:webHidden/>
              </w:rPr>
              <w:fldChar w:fldCharType="begin"/>
            </w:r>
            <w:r w:rsidR="001E4685">
              <w:rPr>
                <w:noProof/>
                <w:webHidden/>
              </w:rPr>
              <w:instrText xml:space="preserve"> PAGEREF _Toc80290692 \h </w:instrText>
            </w:r>
            <w:r w:rsidR="001E4685">
              <w:rPr>
                <w:noProof/>
                <w:webHidden/>
              </w:rPr>
            </w:r>
            <w:r w:rsidR="001E4685">
              <w:rPr>
                <w:noProof/>
                <w:webHidden/>
              </w:rPr>
              <w:fldChar w:fldCharType="separate"/>
            </w:r>
            <w:r w:rsidR="001E4685">
              <w:rPr>
                <w:noProof/>
                <w:webHidden/>
              </w:rPr>
              <w:t>16</w:t>
            </w:r>
            <w:r w:rsidR="001E4685">
              <w:rPr>
                <w:noProof/>
                <w:webHidden/>
              </w:rPr>
              <w:fldChar w:fldCharType="end"/>
            </w:r>
          </w:hyperlink>
        </w:p>
        <w:p w14:paraId="5F3C2DDD" w14:textId="71301BCC" w:rsidR="001E4685" w:rsidRDefault="00373897">
          <w:pPr>
            <w:pStyle w:val="TDC1"/>
            <w:tabs>
              <w:tab w:val="left" w:pos="440"/>
              <w:tab w:val="right" w:leader="dot" w:pos="8828"/>
            </w:tabs>
            <w:rPr>
              <w:rFonts w:cstheme="minorBidi"/>
              <w:noProof/>
            </w:rPr>
          </w:pPr>
          <w:hyperlink w:anchor="_Toc80290693" w:history="1">
            <w:r w:rsidR="001E4685" w:rsidRPr="003E3F31">
              <w:rPr>
                <w:rStyle w:val="Hipervnculo"/>
                <w:noProof/>
              </w:rPr>
              <w:t>4.</w:t>
            </w:r>
            <w:r w:rsidR="001E4685">
              <w:rPr>
                <w:rFonts w:cstheme="minorBidi"/>
                <w:noProof/>
              </w:rPr>
              <w:tab/>
            </w:r>
            <w:r w:rsidR="001E4685" w:rsidRPr="003E3F31">
              <w:rPr>
                <w:rStyle w:val="Hipervnculo"/>
                <w:noProof/>
              </w:rPr>
              <w:t>Aspectos jurídicos relevantes</w:t>
            </w:r>
            <w:r w:rsidR="001E4685">
              <w:rPr>
                <w:noProof/>
                <w:webHidden/>
              </w:rPr>
              <w:tab/>
            </w:r>
            <w:r w:rsidR="001E4685">
              <w:rPr>
                <w:noProof/>
                <w:webHidden/>
              </w:rPr>
              <w:fldChar w:fldCharType="begin"/>
            </w:r>
            <w:r w:rsidR="001E4685">
              <w:rPr>
                <w:noProof/>
                <w:webHidden/>
              </w:rPr>
              <w:instrText xml:space="preserve"> PAGEREF _Toc80290693 \h </w:instrText>
            </w:r>
            <w:r w:rsidR="001E4685">
              <w:rPr>
                <w:noProof/>
                <w:webHidden/>
              </w:rPr>
            </w:r>
            <w:r w:rsidR="001E4685">
              <w:rPr>
                <w:noProof/>
                <w:webHidden/>
              </w:rPr>
              <w:fldChar w:fldCharType="separate"/>
            </w:r>
            <w:r w:rsidR="001E4685">
              <w:rPr>
                <w:noProof/>
                <w:webHidden/>
              </w:rPr>
              <w:t>17</w:t>
            </w:r>
            <w:r w:rsidR="001E4685">
              <w:rPr>
                <w:noProof/>
                <w:webHidden/>
              </w:rPr>
              <w:fldChar w:fldCharType="end"/>
            </w:r>
          </w:hyperlink>
        </w:p>
        <w:p w14:paraId="22B87145" w14:textId="5230F342" w:rsidR="001E4685" w:rsidRDefault="00373897">
          <w:pPr>
            <w:pStyle w:val="TDC2"/>
            <w:tabs>
              <w:tab w:val="left" w:pos="880"/>
              <w:tab w:val="right" w:leader="dot" w:pos="8828"/>
            </w:tabs>
            <w:rPr>
              <w:rFonts w:cstheme="minorBidi"/>
              <w:noProof/>
            </w:rPr>
          </w:pPr>
          <w:hyperlink w:anchor="_Toc80290694" w:history="1">
            <w:r w:rsidR="001E4685" w:rsidRPr="003E3F31">
              <w:rPr>
                <w:rStyle w:val="Hipervnculo"/>
                <w:noProof/>
              </w:rPr>
              <w:t>4.1.</w:t>
            </w:r>
            <w:r w:rsidR="001E4685">
              <w:rPr>
                <w:rFonts w:cstheme="minorBidi"/>
                <w:noProof/>
              </w:rPr>
              <w:tab/>
            </w:r>
            <w:r w:rsidR="001E4685" w:rsidRPr="003E3F31">
              <w:rPr>
                <w:rStyle w:val="Hipervnculo"/>
                <w:noProof/>
              </w:rPr>
              <w:t>Consultas y denuncias</w:t>
            </w:r>
            <w:r w:rsidR="001E4685">
              <w:rPr>
                <w:noProof/>
                <w:webHidden/>
              </w:rPr>
              <w:tab/>
            </w:r>
            <w:r w:rsidR="001E4685">
              <w:rPr>
                <w:noProof/>
                <w:webHidden/>
              </w:rPr>
              <w:fldChar w:fldCharType="begin"/>
            </w:r>
            <w:r w:rsidR="001E4685">
              <w:rPr>
                <w:noProof/>
                <w:webHidden/>
              </w:rPr>
              <w:instrText xml:space="preserve"> PAGEREF _Toc80290694 \h </w:instrText>
            </w:r>
            <w:r w:rsidR="001E4685">
              <w:rPr>
                <w:noProof/>
                <w:webHidden/>
              </w:rPr>
            </w:r>
            <w:r w:rsidR="001E4685">
              <w:rPr>
                <w:noProof/>
                <w:webHidden/>
              </w:rPr>
              <w:fldChar w:fldCharType="separate"/>
            </w:r>
            <w:r w:rsidR="001E4685">
              <w:rPr>
                <w:noProof/>
                <w:webHidden/>
              </w:rPr>
              <w:t>17</w:t>
            </w:r>
            <w:r w:rsidR="001E4685">
              <w:rPr>
                <w:noProof/>
                <w:webHidden/>
              </w:rPr>
              <w:fldChar w:fldCharType="end"/>
            </w:r>
          </w:hyperlink>
        </w:p>
        <w:p w14:paraId="18DE32D2" w14:textId="09E4084B" w:rsidR="001E4685" w:rsidRDefault="00373897">
          <w:pPr>
            <w:pStyle w:val="TDC2"/>
            <w:tabs>
              <w:tab w:val="left" w:pos="880"/>
              <w:tab w:val="right" w:leader="dot" w:pos="8828"/>
            </w:tabs>
            <w:rPr>
              <w:rFonts w:cstheme="minorBidi"/>
              <w:noProof/>
            </w:rPr>
          </w:pPr>
          <w:hyperlink w:anchor="_Toc80290695" w:history="1">
            <w:r w:rsidR="001E4685" w:rsidRPr="003E3F31">
              <w:rPr>
                <w:rStyle w:val="Hipervnculo"/>
                <w:noProof/>
              </w:rPr>
              <w:t>4.2.</w:t>
            </w:r>
            <w:r w:rsidR="001E4685">
              <w:rPr>
                <w:rFonts w:cstheme="minorBidi"/>
                <w:noProof/>
              </w:rPr>
              <w:tab/>
            </w:r>
            <w:r w:rsidR="001E4685" w:rsidRPr="003E3F31">
              <w:rPr>
                <w:rStyle w:val="Hipervnculo"/>
                <w:noProof/>
              </w:rPr>
              <w:t>Criterios jurídicos</w:t>
            </w:r>
            <w:r w:rsidR="001E4685">
              <w:rPr>
                <w:noProof/>
                <w:webHidden/>
              </w:rPr>
              <w:tab/>
            </w:r>
            <w:r w:rsidR="001E4685">
              <w:rPr>
                <w:noProof/>
                <w:webHidden/>
              </w:rPr>
              <w:fldChar w:fldCharType="begin"/>
            </w:r>
            <w:r w:rsidR="001E4685">
              <w:rPr>
                <w:noProof/>
                <w:webHidden/>
              </w:rPr>
              <w:instrText xml:space="preserve"> PAGEREF _Toc80290695 \h </w:instrText>
            </w:r>
            <w:r w:rsidR="001E4685">
              <w:rPr>
                <w:noProof/>
                <w:webHidden/>
              </w:rPr>
            </w:r>
            <w:r w:rsidR="001E4685">
              <w:rPr>
                <w:noProof/>
                <w:webHidden/>
              </w:rPr>
              <w:fldChar w:fldCharType="separate"/>
            </w:r>
            <w:r w:rsidR="001E4685">
              <w:rPr>
                <w:noProof/>
                <w:webHidden/>
              </w:rPr>
              <w:t>17</w:t>
            </w:r>
            <w:r w:rsidR="001E4685">
              <w:rPr>
                <w:noProof/>
                <w:webHidden/>
              </w:rPr>
              <w:fldChar w:fldCharType="end"/>
            </w:r>
          </w:hyperlink>
        </w:p>
        <w:p w14:paraId="1F505218" w14:textId="2940CC67" w:rsidR="001E4685" w:rsidRDefault="00373897">
          <w:pPr>
            <w:pStyle w:val="TDC2"/>
            <w:tabs>
              <w:tab w:val="left" w:pos="880"/>
              <w:tab w:val="right" w:leader="dot" w:pos="8828"/>
            </w:tabs>
            <w:rPr>
              <w:rFonts w:cstheme="minorBidi"/>
              <w:noProof/>
            </w:rPr>
          </w:pPr>
          <w:hyperlink w:anchor="_Toc80290696" w:history="1">
            <w:r w:rsidR="001E4685" w:rsidRPr="003E3F31">
              <w:rPr>
                <w:rStyle w:val="Hipervnculo"/>
                <w:noProof/>
              </w:rPr>
              <w:t>4.3.</w:t>
            </w:r>
            <w:r w:rsidR="001E4685">
              <w:rPr>
                <w:rFonts w:cstheme="minorBidi"/>
                <w:noProof/>
              </w:rPr>
              <w:tab/>
            </w:r>
            <w:r w:rsidR="001E4685" w:rsidRPr="003E3F31">
              <w:rPr>
                <w:rStyle w:val="Hipervnculo"/>
                <w:noProof/>
              </w:rPr>
              <w:t>Proyectos de Ley</w:t>
            </w:r>
            <w:r w:rsidR="001E4685">
              <w:rPr>
                <w:noProof/>
                <w:webHidden/>
              </w:rPr>
              <w:tab/>
            </w:r>
            <w:r w:rsidR="001E4685">
              <w:rPr>
                <w:noProof/>
                <w:webHidden/>
              </w:rPr>
              <w:fldChar w:fldCharType="begin"/>
            </w:r>
            <w:r w:rsidR="001E4685">
              <w:rPr>
                <w:noProof/>
                <w:webHidden/>
              </w:rPr>
              <w:instrText xml:space="preserve"> PAGEREF _Toc80290696 \h </w:instrText>
            </w:r>
            <w:r w:rsidR="001E4685">
              <w:rPr>
                <w:noProof/>
                <w:webHidden/>
              </w:rPr>
            </w:r>
            <w:r w:rsidR="001E4685">
              <w:rPr>
                <w:noProof/>
                <w:webHidden/>
              </w:rPr>
              <w:fldChar w:fldCharType="separate"/>
            </w:r>
            <w:r w:rsidR="001E4685">
              <w:rPr>
                <w:noProof/>
                <w:webHidden/>
              </w:rPr>
              <w:t>17</w:t>
            </w:r>
            <w:r w:rsidR="001E4685">
              <w:rPr>
                <w:noProof/>
                <w:webHidden/>
              </w:rPr>
              <w:fldChar w:fldCharType="end"/>
            </w:r>
          </w:hyperlink>
        </w:p>
        <w:p w14:paraId="676A3836" w14:textId="57F644CB" w:rsidR="001E4685" w:rsidRDefault="00373897">
          <w:pPr>
            <w:pStyle w:val="TDC2"/>
            <w:tabs>
              <w:tab w:val="left" w:pos="880"/>
              <w:tab w:val="right" w:leader="dot" w:pos="8828"/>
            </w:tabs>
            <w:rPr>
              <w:rFonts w:cstheme="minorBidi"/>
              <w:noProof/>
            </w:rPr>
          </w:pPr>
          <w:hyperlink w:anchor="_Toc80290697" w:history="1">
            <w:r w:rsidR="001E4685" w:rsidRPr="003E3F31">
              <w:rPr>
                <w:rStyle w:val="Hipervnculo"/>
                <w:noProof/>
              </w:rPr>
              <w:t>4.4.</w:t>
            </w:r>
            <w:r w:rsidR="001E4685">
              <w:rPr>
                <w:rFonts w:cstheme="minorBidi"/>
                <w:noProof/>
              </w:rPr>
              <w:tab/>
            </w:r>
            <w:r w:rsidR="001E4685" w:rsidRPr="003E3F31">
              <w:rPr>
                <w:rStyle w:val="Hipervnculo"/>
                <w:noProof/>
              </w:rPr>
              <w:t>Acuerdos del Superintendente</w:t>
            </w:r>
            <w:r w:rsidR="001E4685">
              <w:rPr>
                <w:noProof/>
                <w:webHidden/>
              </w:rPr>
              <w:tab/>
            </w:r>
            <w:r w:rsidR="001E4685">
              <w:rPr>
                <w:noProof/>
                <w:webHidden/>
              </w:rPr>
              <w:fldChar w:fldCharType="begin"/>
            </w:r>
            <w:r w:rsidR="001E4685">
              <w:rPr>
                <w:noProof/>
                <w:webHidden/>
              </w:rPr>
              <w:instrText xml:space="preserve"> PAGEREF _Toc80290697 \h </w:instrText>
            </w:r>
            <w:r w:rsidR="001E4685">
              <w:rPr>
                <w:noProof/>
                <w:webHidden/>
              </w:rPr>
            </w:r>
            <w:r w:rsidR="001E4685">
              <w:rPr>
                <w:noProof/>
                <w:webHidden/>
              </w:rPr>
              <w:fldChar w:fldCharType="separate"/>
            </w:r>
            <w:r w:rsidR="001E4685">
              <w:rPr>
                <w:noProof/>
                <w:webHidden/>
              </w:rPr>
              <w:t>18</w:t>
            </w:r>
            <w:r w:rsidR="001E4685">
              <w:rPr>
                <w:noProof/>
                <w:webHidden/>
              </w:rPr>
              <w:fldChar w:fldCharType="end"/>
            </w:r>
          </w:hyperlink>
        </w:p>
        <w:p w14:paraId="70FB531F" w14:textId="3CE5EF05" w:rsidR="001E4685" w:rsidRDefault="00373897">
          <w:pPr>
            <w:pStyle w:val="TDC2"/>
            <w:tabs>
              <w:tab w:val="left" w:pos="880"/>
              <w:tab w:val="right" w:leader="dot" w:pos="8828"/>
            </w:tabs>
            <w:rPr>
              <w:rFonts w:cstheme="minorBidi"/>
              <w:noProof/>
            </w:rPr>
          </w:pPr>
          <w:hyperlink w:anchor="_Toc80290698" w:history="1">
            <w:r w:rsidR="001E4685" w:rsidRPr="003E3F31">
              <w:rPr>
                <w:rStyle w:val="Hipervnculo"/>
                <w:noProof/>
              </w:rPr>
              <w:t>4.5.</w:t>
            </w:r>
            <w:r w:rsidR="001E4685">
              <w:rPr>
                <w:rFonts w:cstheme="minorBidi"/>
                <w:noProof/>
              </w:rPr>
              <w:tab/>
            </w:r>
            <w:r w:rsidR="001E4685" w:rsidRPr="003E3F31">
              <w:rPr>
                <w:rStyle w:val="Hipervnculo"/>
                <w:noProof/>
              </w:rPr>
              <w:t>Proyectos normativos</w:t>
            </w:r>
            <w:r w:rsidR="001E4685">
              <w:rPr>
                <w:noProof/>
                <w:webHidden/>
              </w:rPr>
              <w:tab/>
            </w:r>
            <w:r w:rsidR="001E4685">
              <w:rPr>
                <w:noProof/>
                <w:webHidden/>
              </w:rPr>
              <w:fldChar w:fldCharType="begin"/>
            </w:r>
            <w:r w:rsidR="001E4685">
              <w:rPr>
                <w:noProof/>
                <w:webHidden/>
              </w:rPr>
              <w:instrText xml:space="preserve"> PAGEREF _Toc80290698 \h </w:instrText>
            </w:r>
            <w:r w:rsidR="001E4685">
              <w:rPr>
                <w:noProof/>
                <w:webHidden/>
              </w:rPr>
            </w:r>
            <w:r w:rsidR="001E4685">
              <w:rPr>
                <w:noProof/>
                <w:webHidden/>
              </w:rPr>
              <w:fldChar w:fldCharType="separate"/>
            </w:r>
            <w:r w:rsidR="001E4685">
              <w:rPr>
                <w:noProof/>
                <w:webHidden/>
              </w:rPr>
              <w:t>18</w:t>
            </w:r>
            <w:r w:rsidR="001E4685">
              <w:rPr>
                <w:noProof/>
                <w:webHidden/>
              </w:rPr>
              <w:fldChar w:fldCharType="end"/>
            </w:r>
          </w:hyperlink>
        </w:p>
        <w:p w14:paraId="74B0AE7D" w14:textId="6F1C1182" w:rsidR="001E4685" w:rsidRDefault="00373897">
          <w:pPr>
            <w:pStyle w:val="TDC1"/>
            <w:tabs>
              <w:tab w:val="left" w:pos="440"/>
              <w:tab w:val="right" w:leader="dot" w:pos="8828"/>
            </w:tabs>
            <w:rPr>
              <w:rFonts w:cstheme="minorBidi"/>
              <w:noProof/>
            </w:rPr>
          </w:pPr>
          <w:hyperlink w:anchor="_Toc80290699" w:history="1">
            <w:r w:rsidR="001E4685" w:rsidRPr="003E3F31">
              <w:rPr>
                <w:rStyle w:val="Hipervnculo"/>
                <w:noProof/>
              </w:rPr>
              <w:t>5.</w:t>
            </w:r>
            <w:r w:rsidR="001E4685">
              <w:rPr>
                <w:rFonts w:cstheme="minorBidi"/>
                <w:noProof/>
              </w:rPr>
              <w:tab/>
            </w:r>
            <w:r w:rsidR="001E4685" w:rsidRPr="003E3F31">
              <w:rPr>
                <w:rStyle w:val="Hipervnculo"/>
                <w:noProof/>
              </w:rPr>
              <w:t>Actividades de comunicación</w:t>
            </w:r>
            <w:r w:rsidR="001E4685">
              <w:rPr>
                <w:noProof/>
                <w:webHidden/>
              </w:rPr>
              <w:tab/>
            </w:r>
            <w:r w:rsidR="001E4685">
              <w:rPr>
                <w:noProof/>
                <w:webHidden/>
              </w:rPr>
              <w:fldChar w:fldCharType="begin"/>
            </w:r>
            <w:r w:rsidR="001E4685">
              <w:rPr>
                <w:noProof/>
                <w:webHidden/>
              </w:rPr>
              <w:instrText xml:space="preserve"> PAGEREF _Toc80290699 \h </w:instrText>
            </w:r>
            <w:r w:rsidR="001E4685">
              <w:rPr>
                <w:noProof/>
                <w:webHidden/>
              </w:rPr>
            </w:r>
            <w:r w:rsidR="001E4685">
              <w:rPr>
                <w:noProof/>
                <w:webHidden/>
              </w:rPr>
              <w:fldChar w:fldCharType="separate"/>
            </w:r>
            <w:r w:rsidR="001E4685">
              <w:rPr>
                <w:noProof/>
                <w:webHidden/>
              </w:rPr>
              <w:t>19</w:t>
            </w:r>
            <w:r w:rsidR="001E4685">
              <w:rPr>
                <w:noProof/>
                <w:webHidden/>
              </w:rPr>
              <w:fldChar w:fldCharType="end"/>
            </w:r>
          </w:hyperlink>
        </w:p>
        <w:p w14:paraId="281FCFE1" w14:textId="3922F6B5" w:rsidR="0089748C" w:rsidRDefault="0089748C" w:rsidP="0089748C">
          <w:pPr>
            <w:rPr>
              <w:b/>
              <w:bCs/>
            </w:rPr>
          </w:pPr>
          <w:r>
            <w:rPr>
              <w:b/>
              <w:bCs/>
            </w:rPr>
            <w:fldChar w:fldCharType="end"/>
          </w:r>
        </w:p>
      </w:sdtContent>
    </w:sdt>
    <w:p w14:paraId="6776B344" w14:textId="77777777" w:rsidR="0089748C" w:rsidRDefault="0089748C" w:rsidP="0089748C"/>
    <w:p w14:paraId="4FC83150" w14:textId="77777777" w:rsidR="0089748C" w:rsidRDefault="0089748C" w:rsidP="0089748C"/>
    <w:p w14:paraId="4E189C55" w14:textId="77777777" w:rsidR="0089748C" w:rsidRDefault="0089748C" w:rsidP="0089748C">
      <w:r>
        <w:br w:type="page"/>
      </w:r>
    </w:p>
    <w:p w14:paraId="213253A7" w14:textId="77777777" w:rsidR="0089748C" w:rsidRPr="00AE6135" w:rsidRDefault="0089748C" w:rsidP="0089748C">
      <w:pPr>
        <w:pStyle w:val="Ttulo1"/>
        <w:numPr>
          <w:ilvl w:val="0"/>
          <w:numId w:val="1"/>
        </w:numPr>
      </w:pPr>
      <w:bookmarkStart w:id="3" w:name="_Toc80290680"/>
      <w:r>
        <w:lastRenderedPageBreak/>
        <w:t>Definiciones</w:t>
      </w:r>
      <w:bookmarkEnd w:id="3"/>
    </w:p>
    <w:p w14:paraId="22C0014A" w14:textId="77777777" w:rsidR="0089748C" w:rsidRDefault="0089748C" w:rsidP="0089748C">
      <w:pPr>
        <w:spacing w:after="0" w:line="240" w:lineRule="auto"/>
        <w:jc w:val="both"/>
        <w:rPr>
          <w:rFonts w:ascii="Calibri" w:eastAsia="Times New Roman" w:hAnsi="Calibri" w:cs="Calibri"/>
          <w:color w:val="000000"/>
          <w:lang w:val="es-CR" w:eastAsia="es-CR"/>
        </w:rPr>
      </w:pPr>
    </w:p>
    <w:p w14:paraId="3AFE42A2" w14:textId="77777777" w:rsidR="0089748C" w:rsidRDefault="0089748C" w:rsidP="0089748C">
      <w:pPr>
        <w:spacing w:after="0" w:line="240" w:lineRule="auto"/>
        <w:jc w:val="both"/>
        <w:rPr>
          <w:rFonts w:ascii="Calibri" w:eastAsia="Times New Roman" w:hAnsi="Calibri" w:cs="Calibri"/>
          <w:color w:val="000000"/>
          <w:lang w:val="es-CR" w:eastAsia="es-CR"/>
        </w:rPr>
      </w:pPr>
      <w:r w:rsidRPr="008C0B7D">
        <w:rPr>
          <w:rFonts w:ascii="Calibri" w:eastAsia="Times New Roman" w:hAnsi="Calibri" w:cs="Calibri"/>
          <w:color w:val="000000"/>
          <w:lang w:val="es-CR" w:eastAsia="es-CR"/>
        </w:rPr>
        <w:t>Para efectos de este reporte se utilizarán las definiciones y abreviaturas que se indican a continuación:</w:t>
      </w:r>
    </w:p>
    <w:p w14:paraId="474F1705" w14:textId="77777777" w:rsidR="0089748C" w:rsidRPr="008C0B7D" w:rsidRDefault="0089748C" w:rsidP="0089748C">
      <w:pPr>
        <w:spacing w:after="0" w:line="240" w:lineRule="auto"/>
        <w:jc w:val="both"/>
        <w:rPr>
          <w:rFonts w:ascii="Calibri" w:eastAsia="Times New Roman" w:hAnsi="Calibri" w:cs="Calibri"/>
          <w:color w:val="000000"/>
          <w:lang w:val="es-CR" w:eastAsia="es-CR"/>
        </w:rPr>
      </w:pPr>
    </w:p>
    <w:p w14:paraId="4032F04F"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BCCR: Banco Central de Costa Rica</w:t>
      </w:r>
    </w:p>
    <w:p w14:paraId="7D39EA33"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BPDC: Banco Popular y de Desarrollo Comunal</w:t>
      </w:r>
    </w:p>
    <w:p w14:paraId="31DAAF1F"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CCSS: Caja Costarricense del Seguro Social</w:t>
      </w:r>
    </w:p>
    <w:p w14:paraId="2D7D1733"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CONASSIF: Consejo Nacional de Supervisión Financiera</w:t>
      </w:r>
    </w:p>
    <w:p w14:paraId="32EFB853"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DST: Dirección de Servicios Tecnológicos del BCCR</w:t>
      </w:r>
    </w:p>
    <w:p w14:paraId="317F15DB"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ETF: </w:t>
      </w:r>
      <w:r w:rsidRPr="008E2F6D">
        <w:rPr>
          <w:rFonts w:ascii="Calibri" w:eastAsia="Times New Roman" w:hAnsi="Calibri" w:cs="Calibri"/>
          <w:color w:val="000000"/>
          <w:lang w:val="es-CR" w:eastAsia="es-CR"/>
        </w:rPr>
        <w:t>Exchange</w:t>
      </w:r>
      <w:r>
        <w:rPr>
          <w:rFonts w:ascii="Calibri" w:eastAsia="Times New Roman" w:hAnsi="Calibri" w:cs="Calibri"/>
          <w:color w:val="000000"/>
          <w:lang w:val="es-CR" w:eastAsia="es-CR"/>
        </w:rPr>
        <w:t xml:space="preserve"> </w:t>
      </w:r>
      <w:proofErr w:type="spellStart"/>
      <w:r w:rsidRPr="008E2F6D">
        <w:rPr>
          <w:rFonts w:ascii="Calibri" w:eastAsia="Times New Roman" w:hAnsi="Calibri" w:cs="Calibri"/>
          <w:color w:val="000000"/>
          <w:lang w:val="es-CR" w:eastAsia="es-CR"/>
        </w:rPr>
        <w:t>Traded</w:t>
      </w:r>
      <w:proofErr w:type="spellEnd"/>
      <w:r w:rsidRPr="008E2F6D">
        <w:rPr>
          <w:rFonts w:ascii="Calibri" w:eastAsia="Times New Roman" w:hAnsi="Calibri" w:cs="Calibri"/>
          <w:color w:val="000000"/>
          <w:lang w:val="es-CR" w:eastAsia="es-CR"/>
        </w:rPr>
        <w:t xml:space="preserve"> </w:t>
      </w:r>
      <w:proofErr w:type="spellStart"/>
      <w:r w:rsidRPr="008E2F6D">
        <w:rPr>
          <w:rFonts w:ascii="Calibri" w:eastAsia="Times New Roman" w:hAnsi="Calibri" w:cs="Calibri"/>
          <w:color w:val="000000"/>
          <w:lang w:val="es-CR" w:eastAsia="es-CR"/>
        </w:rPr>
        <w:t>Fund</w:t>
      </w:r>
      <w:proofErr w:type="spellEnd"/>
    </w:p>
    <w:p w14:paraId="737633E5"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FBCR: Fondo de Jubilaciones de los Empleados del Banco de Costa Rica</w:t>
      </w:r>
    </w:p>
    <w:p w14:paraId="18B1C105"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FBNCR: Fondo de Garantías y Jubilaciones de los Empleados del Banco Nacional de Costa Rica.</w:t>
      </w:r>
    </w:p>
    <w:p w14:paraId="764694C9"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proofErr w:type="spellStart"/>
      <w:r>
        <w:rPr>
          <w:rFonts w:ascii="Calibri" w:eastAsia="Times New Roman" w:hAnsi="Calibri" w:cs="Calibri"/>
          <w:color w:val="000000"/>
          <w:lang w:val="es-CR" w:eastAsia="es-CR"/>
        </w:rPr>
        <w:t>F</w:t>
      </w:r>
      <w:r w:rsidRPr="000E7D3E">
        <w:rPr>
          <w:rFonts w:ascii="Calibri" w:eastAsia="Times New Roman" w:hAnsi="Calibri" w:cs="Calibri"/>
          <w:color w:val="000000"/>
          <w:lang w:val="es-CR" w:eastAsia="es-CR"/>
        </w:rPr>
        <w:t>Bomberos</w:t>
      </w:r>
      <w:proofErr w:type="spellEnd"/>
      <w:r w:rsidRPr="000E7D3E">
        <w:rPr>
          <w:rFonts w:ascii="Calibri" w:eastAsia="Times New Roman" w:hAnsi="Calibri" w:cs="Calibri"/>
          <w:color w:val="000000"/>
          <w:lang w:val="es-CR" w:eastAsia="es-CR"/>
        </w:rPr>
        <w:t>: Fondo de Pensiones y Jubilaciones para los miembros del Benemérito Cuerpo de Bomberos de Costa Rica</w:t>
      </w:r>
    </w:p>
    <w:p w14:paraId="0CC6D729"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FCL: Fondo de capitalización laboral</w:t>
      </w:r>
    </w:p>
    <w:p w14:paraId="4339085A"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FGN: Fondo de Garantía Notarial</w:t>
      </w:r>
    </w:p>
    <w:p w14:paraId="7E0230F8"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FICE: Fondo de Garantías y Ahorro de los Empleados del Instituto Costarricense de Electricidad</w:t>
      </w:r>
    </w:p>
    <w:p w14:paraId="351D96DA"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FICT: Fondo de Empleados del Instituto Costarricense de Turismo</w:t>
      </w:r>
    </w:p>
    <w:p w14:paraId="4B30ED4E"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FPJ: Fondo de Jubilaciones y Pensiones del Poder Judicial.</w:t>
      </w:r>
    </w:p>
    <w:p w14:paraId="2F0CA772"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FRE: Fondo de Retiro de los Empleados de la Caja Costarricense de Seguro Social.</w:t>
      </w:r>
    </w:p>
    <w:p w14:paraId="13809FA7"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FVENLOT: Fondo de Jubilaciones y Pensiones de los Vendedores de Lotería.</w:t>
      </w:r>
    </w:p>
    <w:p w14:paraId="487977F9"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INEC: Instituto Nacional de Estadística y Censos</w:t>
      </w:r>
    </w:p>
    <w:p w14:paraId="76FC6F09"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JUPEMA: Junta de Pensiones del Magisterio Nacional</w:t>
      </w:r>
    </w:p>
    <w:p w14:paraId="4D3C9578"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LPT: </w:t>
      </w:r>
      <w:bookmarkStart w:id="4" w:name="_Hlk55162105"/>
      <w:r w:rsidRPr="000E7D3E">
        <w:rPr>
          <w:rFonts w:ascii="Calibri" w:eastAsia="Times New Roman" w:hAnsi="Calibri" w:cs="Calibri"/>
          <w:color w:val="000000"/>
          <w:lang w:val="es-CR" w:eastAsia="es-CR"/>
        </w:rPr>
        <w:t>Ley de Protección al trabajador</w:t>
      </w:r>
      <w:bookmarkEnd w:id="4"/>
    </w:p>
    <w:p w14:paraId="283EF755"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MSER </w:t>
      </w:r>
      <w:r w:rsidRPr="00AE2E8F">
        <w:rPr>
          <w:rFonts w:ascii="Calibri" w:eastAsia="Times New Roman" w:hAnsi="Calibri" w:cs="Calibri"/>
          <w:color w:val="000000"/>
          <w:lang w:val="es-CR" w:eastAsia="es-CR"/>
        </w:rPr>
        <w:t xml:space="preserve">Modelo de supervisión y evaluación de riesgos </w:t>
      </w:r>
    </w:p>
    <w:p w14:paraId="12A35072"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OPC: Operadoras de pensiones </w:t>
      </w:r>
      <w:r>
        <w:rPr>
          <w:rFonts w:ascii="Calibri" w:eastAsia="Times New Roman" w:hAnsi="Calibri" w:cs="Calibri"/>
          <w:color w:val="000000"/>
          <w:lang w:val="es-CR" w:eastAsia="es-CR"/>
        </w:rPr>
        <w:t>complementarias</w:t>
      </w:r>
    </w:p>
    <w:p w14:paraId="1E51F3B7"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PE: Plan estratégico de SUPEN</w:t>
      </w:r>
    </w:p>
    <w:p w14:paraId="48FF8633"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PIB: Producto Interno Bruto</w:t>
      </w:r>
    </w:p>
    <w:p w14:paraId="0DCC40C0"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RCC: </w:t>
      </w:r>
      <w:r w:rsidRPr="000E7D3E">
        <w:rPr>
          <w:rFonts w:ascii="Calibri" w:eastAsia="Times New Roman" w:hAnsi="Calibri" w:cs="Calibri"/>
          <w:color w:val="000000"/>
          <w:lang w:val="es-CR" w:eastAsia="es-CR"/>
        </w:rPr>
        <w:t>Regímen</w:t>
      </w:r>
      <w:r>
        <w:rPr>
          <w:rFonts w:ascii="Calibri" w:eastAsia="Times New Roman" w:hAnsi="Calibri" w:cs="Calibri"/>
          <w:color w:val="000000"/>
          <w:lang w:val="es-CR" w:eastAsia="es-CR"/>
        </w:rPr>
        <w:t>es</w:t>
      </w:r>
      <w:r w:rsidRPr="000E7D3E">
        <w:rPr>
          <w:rFonts w:ascii="Calibri" w:eastAsia="Times New Roman" w:hAnsi="Calibri" w:cs="Calibri"/>
          <w:color w:val="000000"/>
          <w:lang w:val="es-CR" w:eastAsia="es-CR"/>
        </w:rPr>
        <w:t xml:space="preserve"> de Capitalización Colectiva</w:t>
      </w:r>
    </w:p>
    <w:p w14:paraId="6FDCC0A4"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RCCMN: Régimen de Capitalización Colectiva del Sistema de Pensiones y Jubilaciones del Magisterio Nacional</w:t>
      </w:r>
    </w:p>
    <w:p w14:paraId="02D74AF1"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RCI Regímenes de Capitalización Individual</w:t>
      </w:r>
    </w:p>
    <w:p w14:paraId="1862C0AB"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R</w:t>
      </w:r>
      <w:r w:rsidRPr="000E7D3E">
        <w:rPr>
          <w:rFonts w:ascii="Calibri" w:eastAsia="Times New Roman" w:hAnsi="Calibri" w:cs="Calibri"/>
          <w:color w:val="000000"/>
          <w:lang w:val="es-CR" w:eastAsia="es-CR"/>
        </w:rPr>
        <w:t>IVM: Régimen de Invalidez, Vejez y Muerte de la CCSS</w:t>
      </w:r>
    </w:p>
    <w:p w14:paraId="1F860DAF"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ROP: Régimen Obligatorios de Pensiones Complementario</w:t>
      </w:r>
    </w:p>
    <w:p w14:paraId="74C7A778"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SEC: </w:t>
      </w:r>
      <w:r w:rsidRPr="00CF6EE8">
        <w:rPr>
          <w:rFonts w:ascii="Calibri" w:eastAsia="Times New Roman" w:hAnsi="Calibri" w:cs="Calibri"/>
          <w:color w:val="000000"/>
          <w:lang w:val="es-CR" w:eastAsia="es-CR"/>
        </w:rPr>
        <w:t>Servicio Electrónico de Compensación y Liquidación entre Entidades Autorizadas</w:t>
      </w:r>
    </w:p>
    <w:p w14:paraId="2A70AFF0"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SGC: Sistema de Gestión de Calidad</w:t>
      </w:r>
    </w:p>
    <w:p w14:paraId="401A6214"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SICERE: </w:t>
      </w:r>
      <w:r w:rsidRPr="000A0944">
        <w:rPr>
          <w:rFonts w:ascii="Calibri" w:eastAsia="Times New Roman" w:hAnsi="Calibri" w:cs="Calibri"/>
          <w:color w:val="000000"/>
          <w:lang w:val="es-CR" w:eastAsia="es-CR"/>
        </w:rPr>
        <w:t xml:space="preserve">Sistema Centralizado de Recaudación </w:t>
      </w:r>
    </w:p>
    <w:p w14:paraId="4F317594" w14:textId="77777777" w:rsidR="0089748C" w:rsidRPr="000E7D3E"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SNP: Sistema Nacional de Pensiones</w:t>
      </w:r>
    </w:p>
    <w:p w14:paraId="37788037" w14:textId="77777777" w:rsidR="0089748C" w:rsidRDefault="0089748C" w:rsidP="0089748C">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SUPEN</w:t>
      </w:r>
      <w:r w:rsidRPr="000E7D3E">
        <w:rPr>
          <w:rFonts w:ascii="Calibri" w:eastAsia="Times New Roman" w:hAnsi="Calibri" w:cs="Calibri"/>
          <w:color w:val="000000"/>
          <w:lang w:val="es-CR" w:eastAsia="es-CR"/>
        </w:rPr>
        <w:t>: Superintendencia de Pensiones, órgano de desconcentración máxima del Banco Central de Costa Rica</w:t>
      </w:r>
    </w:p>
    <w:p w14:paraId="24DB8278" w14:textId="77777777" w:rsidR="0089748C" w:rsidRDefault="0089748C" w:rsidP="0089748C">
      <w:pPr>
        <w:spacing w:after="0" w:line="240" w:lineRule="auto"/>
        <w:jc w:val="both"/>
        <w:rPr>
          <w:rFonts w:ascii="Calibri" w:eastAsia="Times New Roman" w:hAnsi="Calibri" w:cs="Calibri"/>
          <w:color w:val="000000"/>
          <w:lang w:val="es-CR" w:eastAsia="es-CR"/>
        </w:rPr>
      </w:pPr>
    </w:p>
    <w:p w14:paraId="1428E9D2" w14:textId="77777777" w:rsidR="0089748C" w:rsidRPr="007970CA" w:rsidRDefault="0089748C" w:rsidP="0089748C">
      <w:pPr>
        <w:spacing w:after="0" w:line="240" w:lineRule="auto"/>
        <w:jc w:val="both"/>
        <w:rPr>
          <w:rFonts w:ascii="Calibri" w:eastAsia="Times New Roman" w:hAnsi="Calibri" w:cs="Calibri"/>
          <w:color w:val="000000"/>
          <w:lang w:val="es-CR" w:eastAsia="es-CR"/>
        </w:rPr>
      </w:pPr>
    </w:p>
    <w:p w14:paraId="009EE7EC" w14:textId="77777777" w:rsidR="0089748C" w:rsidRDefault="0089748C" w:rsidP="0089748C">
      <w:pPr>
        <w:pStyle w:val="Ttulo1"/>
        <w:numPr>
          <w:ilvl w:val="0"/>
          <w:numId w:val="1"/>
        </w:numPr>
        <w:spacing w:line="240" w:lineRule="auto"/>
        <w:jc w:val="both"/>
      </w:pPr>
      <w:bookmarkStart w:id="5" w:name="_Toc80290681"/>
      <w:r>
        <w:lastRenderedPageBreak/>
        <w:t>Resumen ejecutivo</w:t>
      </w:r>
      <w:bookmarkEnd w:id="5"/>
    </w:p>
    <w:p w14:paraId="6B33F8E9" w14:textId="77777777" w:rsidR="0089748C" w:rsidRDefault="0089748C" w:rsidP="0089748C">
      <w:pPr>
        <w:spacing w:after="0" w:line="240" w:lineRule="auto"/>
        <w:jc w:val="both"/>
        <w:rPr>
          <w:rFonts w:ascii="Calibri" w:eastAsia="Times New Roman" w:hAnsi="Calibri" w:cs="Calibri"/>
          <w:color w:val="000000"/>
          <w:lang w:val="es-CR" w:eastAsia="es-CR"/>
        </w:rPr>
      </w:pPr>
    </w:p>
    <w:p w14:paraId="43E0FAFB" w14:textId="77777777" w:rsidR="0089748C" w:rsidRDefault="0089748C" w:rsidP="0089748C">
      <w:pPr>
        <w:pStyle w:val="Prrafodelista"/>
        <w:numPr>
          <w:ilvl w:val="0"/>
          <w:numId w:val="11"/>
        </w:numPr>
        <w:spacing w:after="0" w:line="240" w:lineRule="auto"/>
        <w:ind w:left="360"/>
        <w:jc w:val="both"/>
      </w:pPr>
      <w:r w:rsidRPr="00E52C2A">
        <w:rPr>
          <w:rFonts w:ascii="Calibri" w:eastAsia="Times New Roman" w:hAnsi="Calibri" w:cs="Calibri"/>
          <w:color w:val="000000"/>
          <w:lang w:val="es-CR" w:eastAsia="es-CR"/>
        </w:rPr>
        <w:t>El S</w:t>
      </w:r>
      <w:r>
        <w:rPr>
          <w:rFonts w:ascii="Calibri" w:eastAsia="Times New Roman" w:hAnsi="Calibri" w:cs="Calibri"/>
          <w:color w:val="000000"/>
          <w:lang w:val="es-CR" w:eastAsia="es-CR"/>
        </w:rPr>
        <w:t xml:space="preserve">istema Nacional de Pensiones y el FCL </w:t>
      </w:r>
      <w:r w:rsidRPr="00BE7C44">
        <w:t>administra</w:t>
      </w:r>
      <w:r>
        <w:t>n</w:t>
      </w:r>
      <w:r w:rsidRPr="00BE7C44">
        <w:t xml:space="preserve"> recursos a junio del 2021, que totalizan ₡18,5 billones, </w:t>
      </w:r>
      <w:r>
        <w:t>equivalentes</w:t>
      </w:r>
      <w:r w:rsidRPr="00BE7C44">
        <w:t xml:space="preserve"> al 49% del PIB. El crecimiento durante los primeros seis meses del año ha sido del 8,1%, por encima del observado para el mismo período el año </w:t>
      </w:r>
      <w:r>
        <w:t>anterior</w:t>
      </w:r>
      <w:r w:rsidRPr="00BE7C44">
        <w:t xml:space="preserve"> que fue del 4,1%.</w:t>
      </w:r>
    </w:p>
    <w:p w14:paraId="290949A0" w14:textId="77777777" w:rsidR="0089748C" w:rsidRDefault="0089748C" w:rsidP="0089748C">
      <w:pPr>
        <w:pStyle w:val="Prrafodelista"/>
        <w:numPr>
          <w:ilvl w:val="0"/>
          <w:numId w:val="11"/>
        </w:numPr>
        <w:spacing w:after="0" w:line="240" w:lineRule="auto"/>
        <w:ind w:left="360"/>
        <w:jc w:val="both"/>
      </w:pPr>
      <w:r>
        <w:t>T</w:t>
      </w:r>
      <w:r w:rsidRPr="007D166E">
        <w:t xml:space="preserve">res </w:t>
      </w:r>
      <w:r>
        <w:t xml:space="preserve">gestores: Popular Pensiones, IVM y El Magisterio administran </w:t>
      </w:r>
      <w:r w:rsidRPr="007D166E">
        <w:t xml:space="preserve">₡10,7 billones, </w:t>
      </w:r>
      <w:r>
        <w:t>lo que representa</w:t>
      </w:r>
      <w:r w:rsidRPr="007D166E">
        <w:t xml:space="preserve"> el 57,9% del total de activos</w:t>
      </w:r>
      <w:r>
        <w:t xml:space="preserve"> del SNP</w:t>
      </w:r>
      <w:r w:rsidRPr="007D166E">
        <w:t xml:space="preserve">. </w:t>
      </w:r>
    </w:p>
    <w:p w14:paraId="645A3BD1" w14:textId="77777777" w:rsidR="0089748C" w:rsidRDefault="0089748C" w:rsidP="0089748C">
      <w:pPr>
        <w:pStyle w:val="Prrafodelista"/>
        <w:numPr>
          <w:ilvl w:val="0"/>
          <w:numId w:val="11"/>
        </w:numPr>
        <w:spacing w:after="0" w:line="240" w:lineRule="auto"/>
        <w:ind w:left="360"/>
        <w:jc w:val="both"/>
      </w:pPr>
      <w:r>
        <w:t xml:space="preserve">En el caso del Fondo de Pensiones Voluntario, </w:t>
      </w:r>
      <w:r w:rsidRPr="00FC5B8B">
        <w:t>el activo ha experimentado un crecimiento del 16,1% durante los primeros 6 meses del año</w:t>
      </w:r>
      <w:r>
        <w:t>, el cual es significativamente superior al 10,3% promedio de los últimos 10 años.</w:t>
      </w:r>
    </w:p>
    <w:p w14:paraId="74B59FB5" w14:textId="77777777" w:rsidR="0089748C" w:rsidRPr="00202ADE" w:rsidRDefault="0089748C" w:rsidP="0089748C">
      <w:pPr>
        <w:pStyle w:val="Prrafodelista"/>
        <w:numPr>
          <w:ilvl w:val="0"/>
          <w:numId w:val="11"/>
        </w:numPr>
        <w:spacing w:after="0" w:line="240" w:lineRule="auto"/>
        <w:ind w:left="360"/>
        <w:jc w:val="both"/>
        <w:rPr>
          <w:rFonts w:ascii="Calibri" w:eastAsia="Times New Roman" w:hAnsi="Calibri" w:cs="Calibri"/>
          <w:color w:val="000000"/>
          <w:lang w:val="es-CR" w:eastAsia="es-CR"/>
        </w:rPr>
      </w:pPr>
      <w:r w:rsidRPr="00E52C2A">
        <w:rPr>
          <w:rFonts w:ascii="Calibri" w:eastAsia="Times New Roman" w:hAnsi="Calibri" w:cs="Calibri"/>
          <w:color w:val="000000"/>
          <w:lang w:val="es-CR" w:eastAsia="es-CR"/>
        </w:rPr>
        <w:t xml:space="preserve">El portafolio de las inversiones (sin incluir carteras de crédito) del SNP y el FCL equivale a ₡16,4 billones. Del total de inversiones un 75,3% se concentra en el Sector Público (₡12,3 </w:t>
      </w:r>
      <w:r>
        <w:rPr>
          <w:rFonts w:ascii="Calibri" w:eastAsia="Times New Roman" w:hAnsi="Calibri" w:cs="Calibri"/>
          <w:color w:val="000000"/>
          <w:lang w:val="es-CR" w:eastAsia="es-CR"/>
        </w:rPr>
        <w:t>o</w:t>
      </w:r>
      <w:r w:rsidRPr="00E52C2A">
        <w:rPr>
          <w:rFonts w:ascii="Calibri" w:eastAsia="Times New Roman" w:hAnsi="Calibri" w:cs="Calibri"/>
          <w:color w:val="000000"/>
          <w:lang w:val="es-CR" w:eastAsia="es-CR"/>
        </w:rPr>
        <w:t xml:space="preserve"> 93% se encuentra invertido en instrumentos del Ministerio de Hacienda y Banco Central de</w:t>
      </w:r>
      <w:r>
        <w:rPr>
          <w:rFonts w:ascii="Calibri" w:eastAsia="Times New Roman" w:hAnsi="Calibri" w:cs="Calibri"/>
          <w:color w:val="000000"/>
          <w:lang w:val="es-CR" w:eastAsia="es-CR"/>
        </w:rPr>
        <w:t xml:space="preserve"> </w:t>
      </w:r>
      <w:r w:rsidRPr="00E52C2A">
        <w:rPr>
          <w:rFonts w:ascii="Calibri" w:eastAsia="Times New Roman" w:hAnsi="Calibri" w:cs="Calibri"/>
          <w:color w:val="000000"/>
          <w:lang w:val="es-CR" w:eastAsia="es-CR"/>
        </w:rPr>
        <w:t xml:space="preserve">Costa Rica). </w:t>
      </w:r>
    </w:p>
    <w:p w14:paraId="76BCDA56" w14:textId="77777777" w:rsidR="0089748C" w:rsidRPr="00202ADE" w:rsidRDefault="0089748C" w:rsidP="0089748C">
      <w:pPr>
        <w:pStyle w:val="Prrafodelista"/>
        <w:numPr>
          <w:ilvl w:val="0"/>
          <w:numId w:val="11"/>
        </w:numPr>
        <w:spacing w:after="0" w:line="240" w:lineRule="auto"/>
        <w:ind w:left="360"/>
        <w:jc w:val="both"/>
        <w:rPr>
          <w:rFonts w:ascii="Calibri" w:eastAsia="Times New Roman" w:hAnsi="Calibri" w:cs="Calibri"/>
          <w:color w:val="000000"/>
          <w:lang w:val="es-CR" w:eastAsia="es-CR"/>
        </w:rPr>
      </w:pPr>
      <w:r w:rsidRPr="00E52C2A">
        <w:rPr>
          <w:rFonts w:ascii="Calibri" w:eastAsia="Times New Roman" w:hAnsi="Calibri" w:cs="Calibri"/>
          <w:color w:val="000000"/>
          <w:lang w:val="es-CR" w:eastAsia="es-CR"/>
        </w:rPr>
        <w:t>El 76% de los portafolios de pensiones se concentra en colones costarricenses y el restante 24% en US dólares. La exposición en esta última moneda se incrementó un 3,9% durante el trimestre para todo el SNP y FCL.</w:t>
      </w:r>
    </w:p>
    <w:p w14:paraId="4611118C" w14:textId="77777777" w:rsidR="0089748C" w:rsidRPr="00202ADE" w:rsidRDefault="0089748C" w:rsidP="0089748C">
      <w:pPr>
        <w:pStyle w:val="Prrafodelista"/>
        <w:numPr>
          <w:ilvl w:val="0"/>
          <w:numId w:val="11"/>
        </w:numPr>
        <w:spacing w:after="0" w:line="240" w:lineRule="auto"/>
        <w:ind w:left="360"/>
        <w:jc w:val="both"/>
        <w:rPr>
          <w:rFonts w:ascii="Calibri" w:eastAsia="Times New Roman" w:hAnsi="Calibri" w:cs="Calibri"/>
          <w:color w:val="000000"/>
          <w:lang w:val="es-CR" w:eastAsia="es-CR"/>
        </w:rPr>
      </w:pPr>
      <w:r w:rsidRPr="00E52C2A">
        <w:rPr>
          <w:rFonts w:ascii="Calibri" w:eastAsia="Times New Roman" w:hAnsi="Calibri" w:cs="Calibri"/>
          <w:color w:val="000000"/>
          <w:lang w:val="es-CR" w:eastAsia="es-CR"/>
        </w:rPr>
        <w:t>Actualmente el 13,6% de los activos invertidos está en instrumentos extranjeros, es decir ₡2,2 billones.</w:t>
      </w:r>
    </w:p>
    <w:p w14:paraId="17DB0EE3" w14:textId="77777777" w:rsidR="0089748C" w:rsidRDefault="0089748C" w:rsidP="0089748C">
      <w:pPr>
        <w:pStyle w:val="Prrafodelista"/>
        <w:numPr>
          <w:ilvl w:val="0"/>
          <w:numId w:val="11"/>
        </w:numPr>
        <w:spacing w:after="0" w:line="240" w:lineRule="auto"/>
        <w:ind w:left="360"/>
        <w:jc w:val="both"/>
      </w:pPr>
      <w:r w:rsidRPr="00942B2B">
        <w:t xml:space="preserve">Durante el </w:t>
      </w:r>
      <w:r>
        <w:t>segundo</w:t>
      </w:r>
      <w:r w:rsidRPr="00942B2B">
        <w:t xml:space="preserve"> trimestre del 2021, los mercados financieros internacionales</w:t>
      </w:r>
      <w:r>
        <w:t xml:space="preserve"> y el mercado local</w:t>
      </w:r>
      <w:r w:rsidRPr="00942B2B">
        <w:t xml:space="preserve"> mostraron una tendencia al alza, favoreciendo la rentabilidad de los fondos administrados</w:t>
      </w:r>
      <w:r>
        <w:t>, lo que explica en buena medida el mayor crecimiento observado respecto al año anterior</w:t>
      </w:r>
      <w:r w:rsidDel="00C61BC4">
        <w:t>.</w:t>
      </w:r>
      <w:r>
        <w:t xml:space="preserve"> Actualmente los rendimientos de los fondos a un horizonte anualizado de 3 años rondan el 12,32% nominal.</w:t>
      </w:r>
    </w:p>
    <w:p w14:paraId="49D6EAF0" w14:textId="77777777" w:rsidR="0089748C" w:rsidRDefault="0089748C" w:rsidP="0089748C">
      <w:pPr>
        <w:pStyle w:val="Prrafodelista"/>
        <w:numPr>
          <w:ilvl w:val="0"/>
          <w:numId w:val="11"/>
        </w:numPr>
        <w:spacing w:after="0" w:line="240" w:lineRule="auto"/>
        <w:ind w:left="360"/>
        <w:jc w:val="both"/>
      </w:pPr>
      <w:r>
        <w:t>Los efectos de COVID en el semestre se han estabilizado, retornando a los niveles de retiro de previos a la pandemia del FCL. Es importante recordar que el FCL se financia con un 1,5% de los salarios mensuales, lo cual hace que los montos ahorrados luego de un primer retiro del producto sean poco significativos.</w:t>
      </w:r>
    </w:p>
    <w:p w14:paraId="54FFD62C" w14:textId="77777777" w:rsidR="0089748C" w:rsidRPr="00ED515E" w:rsidRDefault="0089748C" w:rsidP="0089748C">
      <w:pPr>
        <w:pStyle w:val="Prrafodelista"/>
        <w:numPr>
          <w:ilvl w:val="0"/>
          <w:numId w:val="11"/>
        </w:numPr>
        <w:spacing w:after="0" w:line="240" w:lineRule="auto"/>
        <w:ind w:left="360"/>
        <w:jc w:val="both"/>
      </w:pPr>
      <w:r w:rsidRPr="00ED515E">
        <w:t>Durante la pandemia, los datos evidencian la densidad de cotización disminuyó en mayor medida para los trabajadores de ingresos bajos que para los trabajadores de ingresos medios.</w:t>
      </w:r>
    </w:p>
    <w:p w14:paraId="75C83FC8" w14:textId="77777777" w:rsidR="0089748C" w:rsidRDefault="0089748C" w:rsidP="0089748C">
      <w:pPr>
        <w:pStyle w:val="Prrafodelista"/>
        <w:numPr>
          <w:ilvl w:val="0"/>
          <w:numId w:val="11"/>
        </w:numPr>
        <w:spacing w:after="0" w:line="240" w:lineRule="auto"/>
        <w:ind w:left="360"/>
        <w:jc w:val="both"/>
      </w:pPr>
      <w:r>
        <w:t>Los indicadores financieros de las operadoras de pensiones se han recuperado de la disminución en las comisiones máximas de administración del ROP en enero de 2020, teniendo todas resultados operativos en el producto positivos, es decir la comisión de 0,35% anual sobre saldo, ha sido suficiente para soportar las operaciones de los gestores.</w:t>
      </w:r>
    </w:p>
    <w:p w14:paraId="15DD9DC9" w14:textId="77777777" w:rsidR="0089748C" w:rsidRPr="0075398B" w:rsidRDefault="0089748C" w:rsidP="0089748C">
      <w:pPr>
        <w:spacing w:after="0" w:line="240" w:lineRule="auto"/>
        <w:jc w:val="both"/>
      </w:pPr>
    </w:p>
    <w:p w14:paraId="71FADA72" w14:textId="77777777" w:rsidR="0089748C" w:rsidRDefault="0089748C" w:rsidP="0089748C">
      <w:pPr>
        <w:rPr>
          <w:rFonts w:asciiTheme="majorHAnsi" w:eastAsiaTheme="majorEastAsia" w:hAnsiTheme="majorHAnsi" w:cstheme="majorBidi"/>
          <w:color w:val="365F91" w:themeColor="accent1" w:themeShade="BF"/>
          <w:sz w:val="32"/>
          <w:szCs w:val="32"/>
        </w:rPr>
      </w:pPr>
      <w:r>
        <w:br w:type="page"/>
      </w:r>
    </w:p>
    <w:p w14:paraId="3F9B2A9F" w14:textId="77777777" w:rsidR="0089748C" w:rsidRPr="003235E6" w:rsidRDefault="0089748C" w:rsidP="0089748C">
      <w:pPr>
        <w:pStyle w:val="Ttulo1"/>
        <w:numPr>
          <w:ilvl w:val="0"/>
          <w:numId w:val="1"/>
        </w:numPr>
      </w:pPr>
      <w:bookmarkStart w:id="6" w:name="_Toc80290682"/>
      <w:r w:rsidRPr="003235E6">
        <w:lastRenderedPageBreak/>
        <w:t>Estadísticas</w:t>
      </w:r>
      <w:bookmarkEnd w:id="6"/>
    </w:p>
    <w:p w14:paraId="3EBEDC1F" w14:textId="77777777" w:rsidR="0089748C" w:rsidRPr="003235E6" w:rsidRDefault="0089748C" w:rsidP="0089748C">
      <w:pPr>
        <w:pStyle w:val="Ttulo2"/>
        <w:numPr>
          <w:ilvl w:val="1"/>
          <w:numId w:val="1"/>
        </w:numPr>
      </w:pPr>
      <w:bookmarkStart w:id="7" w:name="_Toc80290683"/>
      <w:r w:rsidRPr="003235E6">
        <w:t>Sistema Nacional de Pensiones</w:t>
      </w:r>
      <w:bookmarkEnd w:id="7"/>
    </w:p>
    <w:p w14:paraId="3B0F5A3E" w14:textId="77777777" w:rsidR="0089748C" w:rsidRPr="00CF174B" w:rsidRDefault="0089748C" w:rsidP="0089748C">
      <w:pPr>
        <w:spacing w:after="0" w:line="240" w:lineRule="auto"/>
        <w:jc w:val="both"/>
        <w:rPr>
          <w:rFonts w:ascii="Calibri" w:eastAsia="Times New Roman" w:hAnsi="Calibri" w:cs="Calibri"/>
          <w:color w:val="000000"/>
          <w:lang w:val="es-CR" w:eastAsia="es-CR"/>
        </w:rPr>
      </w:pPr>
    </w:p>
    <w:p w14:paraId="5705D337" w14:textId="77777777" w:rsidR="0089748C" w:rsidRPr="000420E2" w:rsidRDefault="0089748C" w:rsidP="0089748C">
      <w:pPr>
        <w:pStyle w:val="Descripcin"/>
        <w:spacing w:after="0"/>
        <w:jc w:val="center"/>
      </w:pPr>
      <w:r w:rsidRPr="000420E2">
        <w:t xml:space="preserve">Tabla </w:t>
      </w:r>
      <w:r w:rsidRPr="000420E2">
        <w:fldChar w:fldCharType="begin"/>
      </w:r>
      <w:r w:rsidRPr="000420E2">
        <w:instrText xml:space="preserve"> SEQ Tabla \* ARABIC </w:instrText>
      </w:r>
      <w:r w:rsidRPr="000420E2">
        <w:fldChar w:fldCharType="separate"/>
      </w:r>
      <w:r>
        <w:rPr>
          <w:noProof/>
        </w:rPr>
        <w:t>1</w:t>
      </w:r>
      <w:r w:rsidRPr="000420E2">
        <w:fldChar w:fldCharType="end"/>
      </w:r>
      <w:r w:rsidRPr="000420E2">
        <w:t xml:space="preserve">: Sistema Nacional de Pensiones </w:t>
      </w:r>
    </w:p>
    <w:p w14:paraId="1584C4E4" w14:textId="77777777" w:rsidR="0089748C" w:rsidRDefault="0089748C" w:rsidP="0089748C">
      <w:pPr>
        <w:pStyle w:val="Descripcin"/>
        <w:tabs>
          <w:tab w:val="center" w:pos="4419"/>
          <w:tab w:val="left" w:pos="5788"/>
        </w:tabs>
        <w:spacing w:after="0"/>
        <w:jc w:val="center"/>
      </w:pPr>
      <w:r w:rsidRPr="000420E2">
        <w:t>Al 30 de junio del 2021</w:t>
      </w:r>
    </w:p>
    <w:tbl>
      <w:tblPr>
        <w:tblW w:w="9096" w:type="dxa"/>
        <w:jc w:val="center"/>
        <w:tblCellMar>
          <w:left w:w="70" w:type="dxa"/>
          <w:right w:w="70" w:type="dxa"/>
        </w:tblCellMar>
        <w:tblLook w:val="04A0" w:firstRow="1" w:lastRow="0" w:firstColumn="1" w:lastColumn="0" w:noHBand="0" w:noVBand="1"/>
      </w:tblPr>
      <w:tblGrid>
        <w:gridCol w:w="3505"/>
        <w:gridCol w:w="938"/>
        <w:gridCol w:w="1101"/>
        <w:gridCol w:w="1261"/>
        <w:gridCol w:w="751"/>
        <w:gridCol w:w="655"/>
        <w:gridCol w:w="885"/>
      </w:tblGrid>
      <w:tr w:rsidR="0089748C" w:rsidRPr="00C03D80" w14:paraId="0D7F1745" w14:textId="77777777" w:rsidTr="004A4F6C">
        <w:trPr>
          <w:trHeight w:val="220"/>
          <w:jc w:val="center"/>
        </w:trPr>
        <w:tc>
          <w:tcPr>
            <w:tcW w:w="3505"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2182257D" w14:textId="77777777" w:rsidR="0089748C" w:rsidRPr="00C03D80" w:rsidRDefault="0089748C" w:rsidP="004A4F6C">
            <w:pPr>
              <w:spacing w:after="0" w:line="240" w:lineRule="auto"/>
              <w:jc w:val="center"/>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Tipo de Fondo</w:t>
            </w:r>
          </w:p>
        </w:tc>
        <w:tc>
          <w:tcPr>
            <w:tcW w:w="938"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18E4EAE7" w14:textId="77777777" w:rsidR="0089748C" w:rsidRPr="00C03D80" w:rsidRDefault="0089748C" w:rsidP="004A4F6C">
            <w:pPr>
              <w:spacing w:after="0" w:line="240" w:lineRule="auto"/>
              <w:jc w:val="center"/>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Afiliados</w:t>
            </w:r>
          </w:p>
        </w:tc>
        <w:tc>
          <w:tcPr>
            <w:tcW w:w="1101"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21146621" w14:textId="77777777" w:rsidR="0089748C" w:rsidRPr="00C03D80" w:rsidRDefault="0089748C" w:rsidP="004A4F6C">
            <w:pPr>
              <w:spacing w:after="0" w:line="240" w:lineRule="auto"/>
              <w:jc w:val="center"/>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Pensionados</w:t>
            </w:r>
          </w:p>
        </w:tc>
        <w:tc>
          <w:tcPr>
            <w:tcW w:w="2667" w:type="dxa"/>
            <w:gridSpan w:val="3"/>
            <w:tcBorders>
              <w:top w:val="single" w:sz="8" w:space="0" w:color="8DB3E2"/>
              <w:left w:val="nil"/>
              <w:bottom w:val="single" w:sz="8" w:space="0" w:color="8DB3E2"/>
              <w:right w:val="single" w:sz="8" w:space="0" w:color="8DB3E2"/>
            </w:tcBorders>
            <w:shd w:val="clear" w:color="000000" w:fill="4F81BD"/>
            <w:noWrap/>
            <w:vAlign w:val="center"/>
            <w:hideMark/>
          </w:tcPr>
          <w:p w14:paraId="269EBB09" w14:textId="77777777" w:rsidR="0089748C" w:rsidRPr="00C03D80" w:rsidRDefault="0089748C" w:rsidP="004A4F6C">
            <w:pPr>
              <w:spacing w:after="0" w:line="240" w:lineRule="auto"/>
              <w:jc w:val="center"/>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Contribuciones</w:t>
            </w:r>
          </w:p>
        </w:tc>
        <w:tc>
          <w:tcPr>
            <w:tcW w:w="883" w:type="dxa"/>
            <w:vMerge w:val="restart"/>
            <w:tcBorders>
              <w:top w:val="single" w:sz="8" w:space="0" w:color="8DB3E2"/>
              <w:left w:val="single" w:sz="8" w:space="0" w:color="8DB3E2"/>
              <w:bottom w:val="single" w:sz="8" w:space="0" w:color="95B3D7"/>
              <w:right w:val="single" w:sz="8" w:space="0" w:color="8DB3E2"/>
            </w:tcBorders>
            <w:shd w:val="clear" w:color="000000" w:fill="4F81BD"/>
            <w:vAlign w:val="center"/>
            <w:hideMark/>
          </w:tcPr>
          <w:p w14:paraId="327A00D7" w14:textId="77777777" w:rsidR="0089748C" w:rsidRPr="00C03D80" w:rsidRDefault="0089748C" w:rsidP="004A4F6C">
            <w:pPr>
              <w:spacing w:after="0" w:line="240" w:lineRule="auto"/>
              <w:jc w:val="center"/>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Pensión promedio</w:t>
            </w:r>
          </w:p>
        </w:tc>
      </w:tr>
      <w:tr w:rsidR="0089748C" w:rsidRPr="00C03D80" w14:paraId="7C5E9921" w14:textId="77777777" w:rsidTr="004A4F6C">
        <w:trPr>
          <w:trHeight w:val="220"/>
          <w:jc w:val="center"/>
        </w:trPr>
        <w:tc>
          <w:tcPr>
            <w:tcW w:w="3505" w:type="dxa"/>
            <w:vMerge/>
            <w:tcBorders>
              <w:top w:val="single" w:sz="8" w:space="0" w:color="8DB3E2"/>
              <w:left w:val="single" w:sz="8" w:space="0" w:color="8DB3E2"/>
              <w:bottom w:val="single" w:sz="8" w:space="0" w:color="95B3D7"/>
              <w:right w:val="single" w:sz="8" w:space="0" w:color="8DB3E2"/>
            </w:tcBorders>
            <w:vAlign w:val="center"/>
            <w:hideMark/>
          </w:tcPr>
          <w:p w14:paraId="5FAC5967"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p>
        </w:tc>
        <w:tc>
          <w:tcPr>
            <w:tcW w:w="938" w:type="dxa"/>
            <w:vMerge/>
            <w:tcBorders>
              <w:top w:val="single" w:sz="8" w:space="0" w:color="8DB3E2"/>
              <w:left w:val="single" w:sz="8" w:space="0" w:color="8DB3E2"/>
              <w:bottom w:val="single" w:sz="8" w:space="0" w:color="95B3D7"/>
              <w:right w:val="single" w:sz="8" w:space="0" w:color="8DB3E2"/>
            </w:tcBorders>
            <w:vAlign w:val="center"/>
            <w:hideMark/>
          </w:tcPr>
          <w:p w14:paraId="71EEAC1E"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p>
        </w:tc>
        <w:tc>
          <w:tcPr>
            <w:tcW w:w="1101" w:type="dxa"/>
            <w:vMerge/>
            <w:tcBorders>
              <w:top w:val="single" w:sz="8" w:space="0" w:color="8DB3E2"/>
              <w:left w:val="single" w:sz="8" w:space="0" w:color="8DB3E2"/>
              <w:bottom w:val="single" w:sz="8" w:space="0" w:color="95B3D7"/>
              <w:right w:val="single" w:sz="8" w:space="0" w:color="8DB3E2"/>
            </w:tcBorders>
            <w:vAlign w:val="center"/>
            <w:hideMark/>
          </w:tcPr>
          <w:p w14:paraId="6C4DE3B9"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p>
        </w:tc>
        <w:tc>
          <w:tcPr>
            <w:tcW w:w="1261" w:type="dxa"/>
            <w:tcBorders>
              <w:top w:val="nil"/>
              <w:left w:val="nil"/>
              <w:bottom w:val="single" w:sz="8" w:space="0" w:color="95B3D7"/>
              <w:right w:val="single" w:sz="8" w:space="0" w:color="95B3D7"/>
            </w:tcBorders>
            <w:shd w:val="clear" w:color="000000" w:fill="4F81BD"/>
            <w:noWrap/>
            <w:vAlign w:val="center"/>
            <w:hideMark/>
          </w:tcPr>
          <w:p w14:paraId="03260E8C"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Trabajador</w:t>
            </w:r>
          </w:p>
        </w:tc>
        <w:tc>
          <w:tcPr>
            <w:tcW w:w="751" w:type="dxa"/>
            <w:tcBorders>
              <w:top w:val="nil"/>
              <w:left w:val="nil"/>
              <w:bottom w:val="single" w:sz="8" w:space="0" w:color="95B3D7"/>
              <w:right w:val="single" w:sz="8" w:space="0" w:color="95B3D7"/>
            </w:tcBorders>
            <w:shd w:val="clear" w:color="000000" w:fill="4F81BD"/>
            <w:noWrap/>
            <w:vAlign w:val="center"/>
            <w:hideMark/>
          </w:tcPr>
          <w:p w14:paraId="6608B858"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Patrono</w:t>
            </w:r>
          </w:p>
        </w:tc>
        <w:tc>
          <w:tcPr>
            <w:tcW w:w="653" w:type="dxa"/>
            <w:tcBorders>
              <w:top w:val="nil"/>
              <w:left w:val="nil"/>
              <w:bottom w:val="single" w:sz="8" w:space="0" w:color="95B3D7"/>
              <w:right w:val="single" w:sz="8" w:space="0" w:color="8DB3E2"/>
            </w:tcBorders>
            <w:shd w:val="clear" w:color="000000" w:fill="4F81BD"/>
            <w:noWrap/>
            <w:vAlign w:val="center"/>
            <w:hideMark/>
          </w:tcPr>
          <w:p w14:paraId="7794FD9B"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r w:rsidRPr="00C03D80">
              <w:rPr>
                <w:rFonts w:ascii="Calibri" w:eastAsia="Times New Roman" w:hAnsi="Calibri" w:cs="Calibri"/>
                <w:b/>
                <w:bCs/>
                <w:color w:val="FFFFFF"/>
                <w:sz w:val="18"/>
                <w:szCs w:val="18"/>
                <w:lang w:val="es-CR" w:eastAsia="es-CR"/>
              </w:rPr>
              <w:t>Estado</w:t>
            </w:r>
          </w:p>
        </w:tc>
        <w:tc>
          <w:tcPr>
            <w:tcW w:w="883" w:type="dxa"/>
            <w:vMerge/>
            <w:tcBorders>
              <w:top w:val="single" w:sz="8" w:space="0" w:color="8DB3E2"/>
              <w:left w:val="single" w:sz="8" w:space="0" w:color="8DB3E2"/>
              <w:bottom w:val="single" w:sz="8" w:space="0" w:color="95B3D7"/>
              <w:right w:val="single" w:sz="8" w:space="0" w:color="8DB3E2"/>
            </w:tcBorders>
            <w:vAlign w:val="center"/>
            <w:hideMark/>
          </w:tcPr>
          <w:p w14:paraId="29D21AE5" w14:textId="77777777" w:rsidR="0089748C" w:rsidRPr="00C03D80" w:rsidRDefault="0089748C" w:rsidP="004A4F6C">
            <w:pPr>
              <w:spacing w:after="0" w:line="240" w:lineRule="auto"/>
              <w:rPr>
                <w:rFonts w:ascii="Calibri" w:eastAsia="Times New Roman" w:hAnsi="Calibri" w:cs="Calibri"/>
                <w:b/>
                <w:bCs/>
                <w:color w:val="FFFFFF"/>
                <w:sz w:val="18"/>
                <w:szCs w:val="18"/>
                <w:lang w:val="es-CR" w:eastAsia="es-CR"/>
              </w:rPr>
            </w:pPr>
          </w:p>
        </w:tc>
      </w:tr>
      <w:tr w:rsidR="0089748C" w:rsidRPr="00C03D80" w14:paraId="0D1D1948"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5425944D" w14:textId="77777777" w:rsidR="0089748C" w:rsidRPr="00C03D80" w:rsidRDefault="0089748C" w:rsidP="004A4F6C">
            <w:pPr>
              <w:spacing w:after="0" w:line="240" w:lineRule="auto"/>
              <w:rPr>
                <w:rFonts w:ascii="Calibri" w:eastAsia="Times New Roman" w:hAnsi="Calibri" w:cs="Calibri"/>
                <w:b/>
                <w:bCs/>
                <w:color w:val="000000"/>
                <w:sz w:val="18"/>
                <w:szCs w:val="18"/>
                <w:lang w:val="es-CR" w:eastAsia="es-CR"/>
              </w:rPr>
            </w:pPr>
            <w:r w:rsidRPr="00C03D80">
              <w:rPr>
                <w:rFonts w:ascii="Calibri" w:eastAsia="Times New Roman" w:hAnsi="Calibri" w:cs="Calibri"/>
                <w:b/>
                <w:bCs/>
                <w:color w:val="000000"/>
                <w:sz w:val="18"/>
                <w:szCs w:val="18"/>
                <w:lang w:val="es-CR" w:eastAsia="es-CR"/>
              </w:rPr>
              <w:t>Régimen Básico (RIVM)*</w:t>
            </w:r>
          </w:p>
        </w:tc>
        <w:tc>
          <w:tcPr>
            <w:tcW w:w="938" w:type="dxa"/>
            <w:tcBorders>
              <w:top w:val="nil"/>
              <w:left w:val="nil"/>
              <w:bottom w:val="single" w:sz="8" w:space="0" w:color="95B3D7"/>
              <w:right w:val="single" w:sz="8" w:space="0" w:color="95B3D7"/>
            </w:tcBorders>
            <w:shd w:val="clear" w:color="auto" w:fill="auto"/>
            <w:vAlign w:val="center"/>
            <w:hideMark/>
          </w:tcPr>
          <w:p w14:paraId="40B73DFE"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1 337 013</w:t>
            </w:r>
          </w:p>
        </w:tc>
        <w:tc>
          <w:tcPr>
            <w:tcW w:w="1101" w:type="dxa"/>
            <w:tcBorders>
              <w:top w:val="nil"/>
              <w:left w:val="nil"/>
              <w:bottom w:val="single" w:sz="8" w:space="0" w:color="95B3D7"/>
              <w:right w:val="single" w:sz="8" w:space="0" w:color="95B3D7"/>
            </w:tcBorders>
            <w:shd w:val="clear" w:color="auto" w:fill="auto"/>
            <w:vAlign w:val="center"/>
            <w:hideMark/>
          </w:tcPr>
          <w:p w14:paraId="50D201F4"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305 025</w:t>
            </w:r>
          </w:p>
        </w:tc>
        <w:tc>
          <w:tcPr>
            <w:tcW w:w="1261" w:type="dxa"/>
            <w:tcBorders>
              <w:top w:val="nil"/>
              <w:left w:val="nil"/>
              <w:bottom w:val="single" w:sz="8" w:space="0" w:color="95B3D7"/>
              <w:right w:val="single" w:sz="8" w:space="0" w:color="95B3D7"/>
            </w:tcBorders>
            <w:shd w:val="clear" w:color="auto" w:fill="auto"/>
            <w:noWrap/>
            <w:vAlign w:val="center"/>
            <w:hideMark/>
          </w:tcPr>
          <w:p w14:paraId="23A1CED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4%</w:t>
            </w:r>
          </w:p>
        </w:tc>
        <w:tc>
          <w:tcPr>
            <w:tcW w:w="751" w:type="dxa"/>
            <w:tcBorders>
              <w:top w:val="nil"/>
              <w:left w:val="nil"/>
              <w:bottom w:val="single" w:sz="8" w:space="0" w:color="95B3D7"/>
              <w:right w:val="single" w:sz="8" w:space="0" w:color="95B3D7"/>
            </w:tcBorders>
            <w:shd w:val="clear" w:color="auto" w:fill="auto"/>
            <w:noWrap/>
            <w:vAlign w:val="center"/>
            <w:hideMark/>
          </w:tcPr>
          <w:p w14:paraId="11883EAF"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5,25%</w:t>
            </w:r>
          </w:p>
        </w:tc>
        <w:tc>
          <w:tcPr>
            <w:tcW w:w="653" w:type="dxa"/>
            <w:tcBorders>
              <w:top w:val="nil"/>
              <w:left w:val="nil"/>
              <w:bottom w:val="single" w:sz="8" w:space="0" w:color="95B3D7"/>
              <w:right w:val="single" w:sz="8" w:space="0" w:color="95B3D7"/>
            </w:tcBorders>
            <w:shd w:val="clear" w:color="auto" w:fill="auto"/>
            <w:noWrap/>
            <w:vAlign w:val="center"/>
            <w:hideMark/>
          </w:tcPr>
          <w:p w14:paraId="32D984BC"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1,41%</w:t>
            </w:r>
          </w:p>
        </w:tc>
        <w:tc>
          <w:tcPr>
            <w:tcW w:w="883" w:type="dxa"/>
            <w:tcBorders>
              <w:top w:val="nil"/>
              <w:left w:val="nil"/>
              <w:bottom w:val="single" w:sz="8" w:space="0" w:color="95B3D7"/>
              <w:right w:val="single" w:sz="8" w:space="0" w:color="95B3D7"/>
            </w:tcBorders>
            <w:shd w:val="clear" w:color="auto" w:fill="auto"/>
            <w:noWrap/>
            <w:vAlign w:val="center"/>
            <w:hideMark/>
          </w:tcPr>
          <w:p w14:paraId="5DC5ECDF"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284 250</w:t>
            </w:r>
          </w:p>
        </w:tc>
      </w:tr>
      <w:tr w:rsidR="0089748C" w:rsidRPr="00C03D80" w14:paraId="5D8C0265" w14:textId="77777777" w:rsidTr="004A4F6C">
        <w:trPr>
          <w:trHeight w:val="220"/>
          <w:jc w:val="center"/>
        </w:trPr>
        <w:tc>
          <w:tcPr>
            <w:tcW w:w="9096" w:type="dxa"/>
            <w:gridSpan w:val="7"/>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305F92B5" w14:textId="77777777" w:rsidR="0089748C" w:rsidRPr="00C03D80" w:rsidRDefault="0089748C" w:rsidP="004A4F6C">
            <w:pPr>
              <w:spacing w:after="0" w:line="240" w:lineRule="auto"/>
              <w:rPr>
                <w:rFonts w:ascii="Calibri" w:eastAsia="Times New Roman" w:hAnsi="Calibri" w:cs="Calibri"/>
                <w:b/>
                <w:bCs/>
                <w:color w:val="000000"/>
                <w:sz w:val="18"/>
                <w:szCs w:val="18"/>
                <w:lang w:val="es-CR" w:eastAsia="es-CR"/>
              </w:rPr>
            </w:pPr>
            <w:r w:rsidRPr="00C03D80">
              <w:rPr>
                <w:rFonts w:ascii="Calibri" w:eastAsia="Times New Roman" w:hAnsi="Calibri" w:cs="Calibri"/>
                <w:b/>
                <w:bCs/>
                <w:color w:val="000000"/>
                <w:sz w:val="18"/>
                <w:szCs w:val="18"/>
                <w:lang w:val="es-CR" w:eastAsia="es-CR"/>
              </w:rPr>
              <w:t>Regímenes Básicos sustitutos</w:t>
            </w:r>
          </w:p>
        </w:tc>
      </w:tr>
      <w:tr w:rsidR="0089748C" w:rsidRPr="00C03D80" w14:paraId="0B773A76"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5F44B1F5"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RCCMN**</w:t>
            </w:r>
          </w:p>
        </w:tc>
        <w:tc>
          <w:tcPr>
            <w:tcW w:w="938" w:type="dxa"/>
            <w:tcBorders>
              <w:top w:val="nil"/>
              <w:left w:val="nil"/>
              <w:bottom w:val="single" w:sz="8" w:space="0" w:color="95B3D7"/>
              <w:right w:val="single" w:sz="8" w:space="0" w:color="95B3D7"/>
            </w:tcBorders>
            <w:shd w:val="clear" w:color="auto" w:fill="auto"/>
            <w:vAlign w:val="center"/>
            <w:hideMark/>
          </w:tcPr>
          <w:p w14:paraId="696BF8F7"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99 320</w:t>
            </w:r>
          </w:p>
        </w:tc>
        <w:tc>
          <w:tcPr>
            <w:tcW w:w="1101" w:type="dxa"/>
            <w:tcBorders>
              <w:top w:val="nil"/>
              <w:left w:val="nil"/>
              <w:bottom w:val="single" w:sz="8" w:space="0" w:color="95B3D7"/>
              <w:right w:val="single" w:sz="8" w:space="0" w:color="95B3D7"/>
            </w:tcBorders>
            <w:shd w:val="clear" w:color="auto" w:fill="auto"/>
            <w:vAlign w:val="center"/>
            <w:hideMark/>
          </w:tcPr>
          <w:p w14:paraId="6E3B0A52"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3 254</w:t>
            </w:r>
          </w:p>
        </w:tc>
        <w:tc>
          <w:tcPr>
            <w:tcW w:w="1261" w:type="dxa"/>
            <w:tcBorders>
              <w:top w:val="nil"/>
              <w:left w:val="nil"/>
              <w:bottom w:val="single" w:sz="8" w:space="0" w:color="95B3D7"/>
              <w:right w:val="single" w:sz="8" w:space="0" w:color="95B3D7"/>
            </w:tcBorders>
            <w:shd w:val="clear" w:color="auto" w:fill="auto"/>
            <w:noWrap/>
            <w:vAlign w:val="center"/>
            <w:hideMark/>
          </w:tcPr>
          <w:p w14:paraId="6A07EFE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8%</w:t>
            </w:r>
          </w:p>
        </w:tc>
        <w:tc>
          <w:tcPr>
            <w:tcW w:w="751" w:type="dxa"/>
            <w:tcBorders>
              <w:top w:val="nil"/>
              <w:left w:val="nil"/>
              <w:bottom w:val="single" w:sz="8" w:space="0" w:color="95B3D7"/>
              <w:right w:val="single" w:sz="8" w:space="0" w:color="95B3D7"/>
            </w:tcBorders>
            <w:shd w:val="clear" w:color="auto" w:fill="auto"/>
            <w:noWrap/>
            <w:vAlign w:val="center"/>
            <w:hideMark/>
          </w:tcPr>
          <w:p w14:paraId="4D8ABA4B"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6,75%</w:t>
            </w:r>
          </w:p>
        </w:tc>
        <w:tc>
          <w:tcPr>
            <w:tcW w:w="653" w:type="dxa"/>
            <w:tcBorders>
              <w:top w:val="nil"/>
              <w:left w:val="nil"/>
              <w:bottom w:val="single" w:sz="8" w:space="0" w:color="95B3D7"/>
              <w:right w:val="single" w:sz="8" w:space="0" w:color="95B3D7"/>
            </w:tcBorders>
            <w:shd w:val="clear" w:color="auto" w:fill="auto"/>
            <w:noWrap/>
            <w:vAlign w:val="center"/>
            <w:hideMark/>
          </w:tcPr>
          <w:p w14:paraId="5E19BF7D"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1,41%</w:t>
            </w:r>
          </w:p>
        </w:tc>
        <w:tc>
          <w:tcPr>
            <w:tcW w:w="883" w:type="dxa"/>
            <w:tcBorders>
              <w:top w:val="nil"/>
              <w:left w:val="nil"/>
              <w:bottom w:val="single" w:sz="8" w:space="0" w:color="95B3D7"/>
              <w:right w:val="single" w:sz="8" w:space="0" w:color="95B3D7"/>
            </w:tcBorders>
            <w:shd w:val="clear" w:color="auto" w:fill="auto"/>
            <w:noWrap/>
            <w:vAlign w:val="center"/>
            <w:hideMark/>
          </w:tcPr>
          <w:p w14:paraId="1CD3FC00"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392 991</w:t>
            </w:r>
          </w:p>
        </w:tc>
      </w:tr>
      <w:tr w:rsidR="0089748C" w:rsidRPr="00C03D80" w14:paraId="497F0182"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000000" w:fill="DBE5F1"/>
            <w:noWrap/>
            <w:vAlign w:val="center"/>
            <w:hideMark/>
          </w:tcPr>
          <w:p w14:paraId="780A65A7"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FPJ</w:t>
            </w:r>
          </w:p>
        </w:tc>
        <w:tc>
          <w:tcPr>
            <w:tcW w:w="938" w:type="dxa"/>
            <w:tcBorders>
              <w:top w:val="nil"/>
              <w:left w:val="nil"/>
              <w:bottom w:val="single" w:sz="8" w:space="0" w:color="95B3D7"/>
              <w:right w:val="single" w:sz="8" w:space="0" w:color="95B3D7"/>
            </w:tcBorders>
            <w:shd w:val="clear" w:color="000000" w:fill="DBE5F1"/>
            <w:vAlign w:val="center"/>
            <w:hideMark/>
          </w:tcPr>
          <w:p w14:paraId="41EABEFD"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13 613</w:t>
            </w:r>
          </w:p>
        </w:tc>
        <w:tc>
          <w:tcPr>
            <w:tcW w:w="1101" w:type="dxa"/>
            <w:tcBorders>
              <w:top w:val="nil"/>
              <w:left w:val="nil"/>
              <w:bottom w:val="single" w:sz="8" w:space="0" w:color="95B3D7"/>
              <w:right w:val="single" w:sz="8" w:space="0" w:color="95B3D7"/>
            </w:tcBorders>
            <w:shd w:val="clear" w:color="000000" w:fill="DBE5F1"/>
            <w:vAlign w:val="center"/>
            <w:hideMark/>
          </w:tcPr>
          <w:p w14:paraId="65ADCB8C"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4 231</w:t>
            </w:r>
          </w:p>
        </w:tc>
        <w:tc>
          <w:tcPr>
            <w:tcW w:w="1261" w:type="dxa"/>
            <w:tcBorders>
              <w:top w:val="nil"/>
              <w:left w:val="nil"/>
              <w:bottom w:val="single" w:sz="8" w:space="0" w:color="95B3D7"/>
              <w:right w:val="single" w:sz="8" w:space="0" w:color="95B3D7"/>
            </w:tcBorders>
            <w:shd w:val="clear" w:color="000000" w:fill="DBE5F1"/>
            <w:noWrap/>
            <w:vAlign w:val="center"/>
            <w:hideMark/>
          </w:tcPr>
          <w:p w14:paraId="57669951"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13%***</w:t>
            </w:r>
          </w:p>
        </w:tc>
        <w:tc>
          <w:tcPr>
            <w:tcW w:w="751" w:type="dxa"/>
            <w:tcBorders>
              <w:top w:val="nil"/>
              <w:left w:val="nil"/>
              <w:bottom w:val="single" w:sz="8" w:space="0" w:color="95B3D7"/>
              <w:right w:val="single" w:sz="8" w:space="0" w:color="95B3D7"/>
            </w:tcBorders>
            <w:shd w:val="clear" w:color="000000" w:fill="DBE5F1"/>
            <w:noWrap/>
            <w:vAlign w:val="center"/>
            <w:hideMark/>
          </w:tcPr>
          <w:p w14:paraId="1614A201"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14,36%</w:t>
            </w:r>
          </w:p>
        </w:tc>
        <w:tc>
          <w:tcPr>
            <w:tcW w:w="653" w:type="dxa"/>
            <w:tcBorders>
              <w:top w:val="nil"/>
              <w:left w:val="nil"/>
              <w:bottom w:val="single" w:sz="8" w:space="0" w:color="95B3D7"/>
              <w:right w:val="single" w:sz="8" w:space="0" w:color="95B3D7"/>
            </w:tcBorders>
            <w:shd w:val="clear" w:color="000000" w:fill="DBE5F1"/>
            <w:noWrap/>
            <w:vAlign w:val="center"/>
            <w:hideMark/>
          </w:tcPr>
          <w:p w14:paraId="3097B138"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1,41%</w:t>
            </w:r>
          </w:p>
        </w:tc>
        <w:tc>
          <w:tcPr>
            <w:tcW w:w="883" w:type="dxa"/>
            <w:tcBorders>
              <w:top w:val="nil"/>
              <w:left w:val="nil"/>
              <w:bottom w:val="single" w:sz="8" w:space="0" w:color="95B3D7"/>
              <w:right w:val="single" w:sz="8" w:space="0" w:color="95B3D7"/>
            </w:tcBorders>
            <w:shd w:val="clear" w:color="000000" w:fill="DBE5F1"/>
            <w:noWrap/>
            <w:vAlign w:val="center"/>
            <w:hideMark/>
          </w:tcPr>
          <w:p w14:paraId="4676754E"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1 603 474</w:t>
            </w:r>
          </w:p>
        </w:tc>
      </w:tr>
      <w:tr w:rsidR="0089748C" w:rsidRPr="00C03D80" w14:paraId="6DD4CF2C"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2869BFB4"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FBOMBEROS</w:t>
            </w:r>
          </w:p>
        </w:tc>
        <w:tc>
          <w:tcPr>
            <w:tcW w:w="938" w:type="dxa"/>
            <w:tcBorders>
              <w:top w:val="nil"/>
              <w:left w:val="nil"/>
              <w:bottom w:val="single" w:sz="8" w:space="0" w:color="95B3D7"/>
              <w:right w:val="single" w:sz="8" w:space="0" w:color="95B3D7"/>
            </w:tcBorders>
            <w:shd w:val="clear" w:color="auto" w:fill="auto"/>
            <w:vAlign w:val="center"/>
            <w:hideMark/>
          </w:tcPr>
          <w:p w14:paraId="7BEC304F"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w:t>
            </w:r>
          </w:p>
        </w:tc>
        <w:tc>
          <w:tcPr>
            <w:tcW w:w="1101" w:type="dxa"/>
            <w:tcBorders>
              <w:top w:val="nil"/>
              <w:left w:val="nil"/>
              <w:bottom w:val="single" w:sz="8" w:space="0" w:color="95B3D7"/>
              <w:right w:val="single" w:sz="8" w:space="0" w:color="95B3D7"/>
            </w:tcBorders>
            <w:shd w:val="clear" w:color="auto" w:fill="auto"/>
            <w:vAlign w:val="center"/>
            <w:hideMark/>
          </w:tcPr>
          <w:p w14:paraId="2F06315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221</w:t>
            </w:r>
          </w:p>
        </w:tc>
        <w:tc>
          <w:tcPr>
            <w:tcW w:w="1261" w:type="dxa"/>
            <w:tcBorders>
              <w:top w:val="nil"/>
              <w:left w:val="nil"/>
              <w:bottom w:val="single" w:sz="8" w:space="0" w:color="95B3D7"/>
              <w:right w:val="single" w:sz="8" w:space="0" w:color="95B3D7"/>
            </w:tcBorders>
            <w:shd w:val="clear" w:color="auto" w:fill="auto"/>
            <w:noWrap/>
            <w:vAlign w:val="center"/>
            <w:hideMark/>
          </w:tcPr>
          <w:p w14:paraId="1B9F02EA"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12,50%</w:t>
            </w:r>
          </w:p>
        </w:tc>
        <w:tc>
          <w:tcPr>
            <w:tcW w:w="751" w:type="dxa"/>
            <w:tcBorders>
              <w:top w:val="nil"/>
              <w:left w:val="nil"/>
              <w:bottom w:val="single" w:sz="8" w:space="0" w:color="95B3D7"/>
              <w:right w:val="single" w:sz="8" w:space="0" w:color="95B3D7"/>
            </w:tcBorders>
            <w:shd w:val="clear" w:color="auto" w:fill="auto"/>
            <w:noWrap/>
            <w:vAlign w:val="center"/>
            <w:hideMark/>
          </w:tcPr>
          <w:p w14:paraId="3E3F829B"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37,50%</w:t>
            </w:r>
          </w:p>
        </w:tc>
        <w:tc>
          <w:tcPr>
            <w:tcW w:w="653" w:type="dxa"/>
            <w:tcBorders>
              <w:top w:val="nil"/>
              <w:left w:val="nil"/>
              <w:bottom w:val="single" w:sz="8" w:space="0" w:color="95B3D7"/>
              <w:right w:val="single" w:sz="8" w:space="0" w:color="95B3D7"/>
            </w:tcBorders>
            <w:shd w:val="clear" w:color="auto" w:fill="auto"/>
            <w:noWrap/>
            <w:vAlign w:val="center"/>
            <w:hideMark/>
          </w:tcPr>
          <w:p w14:paraId="2582459C"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auto" w:fill="auto"/>
            <w:noWrap/>
            <w:vAlign w:val="center"/>
            <w:hideMark/>
          </w:tcPr>
          <w:p w14:paraId="11B52839"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938 442</w:t>
            </w:r>
          </w:p>
        </w:tc>
      </w:tr>
      <w:tr w:rsidR="0089748C" w:rsidRPr="00C03D80" w14:paraId="21477DCF" w14:textId="77777777" w:rsidTr="004A4F6C">
        <w:trPr>
          <w:trHeight w:val="220"/>
          <w:jc w:val="center"/>
        </w:trPr>
        <w:tc>
          <w:tcPr>
            <w:tcW w:w="9096" w:type="dxa"/>
            <w:gridSpan w:val="7"/>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181CBB3B" w14:textId="77777777" w:rsidR="0089748C" w:rsidRPr="00C03D80" w:rsidRDefault="0089748C" w:rsidP="004A4F6C">
            <w:pPr>
              <w:spacing w:after="0" w:line="240" w:lineRule="auto"/>
              <w:rPr>
                <w:rFonts w:ascii="Calibri" w:eastAsia="Times New Roman" w:hAnsi="Calibri" w:cs="Calibri"/>
                <w:b/>
                <w:bCs/>
                <w:color w:val="000000"/>
                <w:sz w:val="18"/>
                <w:szCs w:val="18"/>
                <w:lang w:val="es-CR" w:eastAsia="es-CR"/>
              </w:rPr>
            </w:pPr>
            <w:r w:rsidRPr="00C03D80">
              <w:rPr>
                <w:rFonts w:ascii="Calibri" w:eastAsia="Times New Roman" w:hAnsi="Calibri" w:cs="Calibri"/>
                <w:b/>
                <w:bCs/>
                <w:color w:val="000000"/>
                <w:sz w:val="18"/>
                <w:szCs w:val="18"/>
                <w:lang w:val="es-CR" w:eastAsia="es-CR"/>
              </w:rPr>
              <w:t>Regímenes Ocupacionales Complementarios</w:t>
            </w:r>
          </w:p>
        </w:tc>
      </w:tr>
      <w:tr w:rsidR="0089748C" w:rsidRPr="00C03D80" w14:paraId="1347893B"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4EB22A97"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FBNCR </w:t>
            </w:r>
          </w:p>
        </w:tc>
        <w:tc>
          <w:tcPr>
            <w:tcW w:w="938" w:type="dxa"/>
            <w:tcBorders>
              <w:top w:val="nil"/>
              <w:left w:val="nil"/>
              <w:bottom w:val="single" w:sz="8" w:space="0" w:color="95B3D7"/>
              <w:right w:val="single" w:sz="8" w:space="0" w:color="95B3D7"/>
            </w:tcBorders>
            <w:shd w:val="clear" w:color="auto" w:fill="auto"/>
            <w:vAlign w:val="center"/>
            <w:hideMark/>
          </w:tcPr>
          <w:p w14:paraId="2418CC22"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5 112</w:t>
            </w:r>
          </w:p>
        </w:tc>
        <w:tc>
          <w:tcPr>
            <w:tcW w:w="1101" w:type="dxa"/>
            <w:tcBorders>
              <w:top w:val="nil"/>
              <w:left w:val="nil"/>
              <w:bottom w:val="single" w:sz="8" w:space="0" w:color="95B3D7"/>
              <w:right w:val="single" w:sz="8" w:space="0" w:color="95B3D7"/>
            </w:tcBorders>
            <w:shd w:val="clear" w:color="auto" w:fill="auto"/>
            <w:vAlign w:val="center"/>
            <w:hideMark/>
          </w:tcPr>
          <w:p w14:paraId="665BEFB1"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1 588</w:t>
            </w:r>
          </w:p>
        </w:tc>
        <w:tc>
          <w:tcPr>
            <w:tcW w:w="1261" w:type="dxa"/>
            <w:tcBorders>
              <w:top w:val="nil"/>
              <w:left w:val="nil"/>
              <w:bottom w:val="single" w:sz="8" w:space="0" w:color="95B3D7"/>
              <w:right w:val="single" w:sz="8" w:space="0" w:color="95B3D7"/>
            </w:tcBorders>
            <w:shd w:val="clear" w:color="auto" w:fill="auto"/>
            <w:noWrap/>
            <w:vAlign w:val="center"/>
            <w:hideMark/>
          </w:tcPr>
          <w:p w14:paraId="7007541B"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5,50%</w:t>
            </w:r>
          </w:p>
        </w:tc>
        <w:tc>
          <w:tcPr>
            <w:tcW w:w="751" w:type="dxa"/>
            <w:tcBorders>
              <w:top w:val="nil"/>
              <w:left w:val="nil"/>
              <w:bottom w:val="single" w:sz="8" w:space="0" w:color="95B3D7"/>
              <w:right w:val="single" w:sz="8" w:space="0" w:color="95B3D7"/>
            </w:tcBorders>
            <w:shd w:val="clear" w:color="auto" w:fill="auto"/>
            <w:noWrap/>
            <w:vAlign w:val="center"/>
            <w:hideMark/>
          </w:tcPr>
          <w:p w14:paraId="643284D8"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10%</w:t>
            </w:r>
          </w:p>
        </w:tc>
        <w:tc>
          <w:tcPr>
            <w:tcW w:w="653" w:type="dxa"/>
            <w:tcBorders>
              <w:top w:val="nil"/>
              <w:left w:val="nil"/>
              <w:bottom w:val="single" w:sz="8" w:space="0" w:color="95B3D7"/>
              <w:right w:val="single" w:sz="8" w:space="0" w:color="95B3D7"/>
            </w:tcBorders>
            <w:shd w:val="clear" w:color="auto" w:fill="auto"/>
            <w:noWrap/>
            <w:vAlign w:val="center"/>
            <w:hideMark/>
          </w:tcPr>
          <w:p w14:paraId="011F482F"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auto" w:fill="auto"/>
            <w:noWrap/>
            <w:vAlign w:val="center"/>
            <w:hideMark/>
          </w:tcPr>
          <w:p w14:paraId="2820F44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764 637</w:t>
            </w:r>
          </w:p>
        </w:tc>
      </w:tr>
      <w:tr w:rsidR="0089748C" w:rsidRPr="00C03D80" w14:paraId="0E1A1BAD"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000000" w:fill="DBE5F1"/>
            <w:noWrap/>
            <w:vAlign w:val="center"/>
            <w:hideMark/>
          </w:tcPr>
          <w:p w14:paraId="3A686813"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FICE</w:t>
            </w:r>
          </w:p>
        </w:tc>
        <w:tc>
          <w:tcPr>
            <w:tcW w:w="938" w:type="dxa"/>
            <w:tcBorders>
              <w:top w:val="nil"/>
              <w:left w:val="nil"/>
              <w:bottom w:val="single" w:sz="8" w:space="0" w:color="95B3D7"/>
              <w:right w:val="single" w:sz="8" w:space="0" w:color="95B3D7"/>
            </w:tcBorders>
            <w:shd w:val="clear" w:color="000000" w:fill="DBE5F1"/>
            <w:vAlign w:val="center"/>
            <w:hideMark/>
          </w:tcPr>
          <w:p w14:paraId="526D759C"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11 622</w:t>
            </w:r>
          </w:p>
        </w:tc>
        <w:tc>
          <w:tcPr>
            <w:tcW w:w="1101" w:type="dxa"/>
            <w:tcBorders>
              <w:top w:val="nil"/>
              <w:left w:val="nil"/>
              <w:bottom w:val="single" w:sz="8" w:space="0" w:color="95B3D7"/>
              <w:right w:val="single" w:sz="8" w:space="0" w:color="95B3D7"/>
            </w:tcBorders>
            <w:shd w:val="clear" w:color="000000" w:fill="DBE5F1"/>
            <w:vAlign w:val="center"/>
            <w:hideMark/>
          </w:tcPr>
          <w:p w14:paraId="4C45B597"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4 470</w:t>
            </w:r>
          </w:p>
        </w:tc>
        <w:tc>
          <w:tcPr>
            <w:tcW w:w="1261" w:type="dxa"/>
            <w:tcBorders>
              <w:top w:val="nil"/>
              <w:left w:val="nil"/>
              <w:bottom w:val="single" w:sz="8" w:space="0" w:color="95B3D7"/>
              <w:right w:val="single" w:sz="8" w:space="0" w:color="95B3D7"/>
            </w:tcBorders>
            <w:shd w:val="clear" w:color="000000" w:fill="DBE5F1"/>
            <w:noWrap/>
            <w:vAlign w:val="center"/>
            <w:hideMark/>
          </w:tcPr>
          <w:p w14:paraId="29544C7B"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w:t>
            </w:r>
          </w:p>
        </w:tc>
        <w:tc>
          <w:tcPr>
            <w:tcW w:w="751" w:type="dxa"/>
            <w:tcBorders>
              <w:top w:val="nil"/>
              <w:left w:val="nil"/>
              <w:bottom w:val="single" w:sz="8" w:space="0" w:color="95B3D7"/>
              <w:right w:val="single" w:sz="8" w:space="0" w:color="95B3D7"/>
            </w:tcBorders>
            <w:shd w:val="clear" w:color="000000" w:fill="DBE5F1"/>
            <w:noWrap/>
            <w:vAlign w:val="center"/>
            <w:hideMark/>
          </w:tcPr>
          <w:p w14:paraId="2206D05E"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4,50%</w:t>
            </w:r>
          </w:p>
        </w:tc>
        <w:tc>
          <w:tcPr>
            <w:tcW w:w="653" w:type="dxa"/>
            <w:tcBorders>
              <w:top w:val="nil"/>
              <w:left w:val="nil"/>
              <w:bottom w:val="single" w:sz="8" w:space="0" w:color="95B3D7"/>
              <w:right w:val="single" w:sz="8" w:space="0" w:color="95B3D7"/>
            </w:tcBorders>
            <w:shd w:val="clear" w:color="000000" w:fill="DBE5F1"/>
            <w:noWrap/>
            <w:vAlign w:val="center"/>
            <w:hideMark/>
          </w:tcPr>
          <w:p w14:paraId="7A747D2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000000" w:fill="DBE5F1"/>
            <w:noWrap/>
            <w:vAlign w:val="center"/>
            <w:hideMark/>
          </w:tcPr>
          <w:p w14:paraId="61F1A37F"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290 003</w:t>
            </w:r>
          </w:p>
        </w:tc>
      </w:tr>
      <w:tr w:rsidR="0089748C" w:rsidRPr="00C03D80" w14:paraId="3381BA60"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1AA47BD7"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FRE</w:t>
            </w:r>
          </w:p>
        </w:tc>
        <w:tc>
          <w:tcPr>
            <w:tcW w:w="938" w:type="dxa"/>
            <w:tcBorders>
              <w:top w:val="nil"/>
              <w:left w:val="nil"/>
              <w:bottom w:val="single" w:sz="8" w:space="0" w:color="95B3D7"/>
              <w:right w:val="single" w:sz="8" w:space="0" w:color="95B3D7"/>
            </w:tcBorders>
            <w:shd w:val="clear" w:color="auto" w:fill="auto"/>
            <w:vAlign w:val="center"/>
            <w:hideMark/>
          </w:tcPr>
          <w:p w14:paraId="332F9F3A"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61 011</w:t>
            </w:r>
          </w:p>
        </w:tc>
        <w:tc>
          <w:tcPr>
            <w:tcW w:w="1101" w:type="dxa"/>
            <w:tcBorders>
              <w:top w:val="nil"/>
              <w:left w:val="nil"/>
              <w:bottom w:val="single" w:sz="8" w:space="0" w:color="95B3D7"/>
              <w:right w:val="single" w:sz="8" w:space="0" w:color="95B3D7"/>
            </w:tcBorders>
            <w:shd w:val="clear" w:color="auto" w:fill="auto"/>
            <w:vAlign w:val="center"/>
            <w:hideMark/>
          </w:tcPr>
          <w:p w14:paraId="44FC4FC8"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18 527</w:t>
            </w:r>
          </w:p>
        </w:tc>
        <w:tc>
          <w:tcPr>
            <w:tcW w:w="1261" w:type="dxa"/>
            <w:tcBorders>
              <w:top w:val="nil"/>
              <w:left w:val="nil"/>
              <w:bottom w:val="single" w:sz="8" w:space="0" w:color="95B3D7"/>
              <w:right w:val="single" w:sz="8" w:space="0" w:color="95B3D7"/>
            </w:tcBorders>
            <w:shd w:val="clear" w:color="auto" w:fill="auto"/>
            <w:noWrap/>
            <w:vAlign w:val="center"/>
            <w:hideMark/>
          </w:tcPr>
          <w:p w14:paraId="1E8D9216"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751" w:type="dxa"/>
            <w:tcBorders>
              <w:top w:val="nil"/>
              <w:left w:val="nil"/>
              <w:bottom w:val="single" w:sz="8" w:space="0" w:color="95B3D7"/>
              <w:right w:val="single" w:sz="8" w:space="0" w:color="95B3D7"/>
            </w:tcBorders>
            <w:shd w:val="clear" w:color="auto" w:fill="auto"/>
            <w:noWrap/>
            <w:vAlign w:val="center"/>
            <w:hideMark/>
          </w:tcPr>
          <w:p w14:paraId="382A1515"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w:t>
            </w:r>
          </w:p>
        </w:tc>
        <w:tc>
          <w:tcPr>
            <w:tcW w:w="653" w:type="dxa"/>
            <w:tcBorders>
              <w:top w:val="nil"/>
              <w:left w:val="nil"/>
              <w:bottom w:val="single" w:sz="8" w:space="0" w:color="95B3D7"/>
              <w:right w:val="single" w:sz="8" w:space="0" w:color="95B3D7"/>
            </w:tcBorders>
            <w:shd w:val="clear" w:color="auto" w:fill="auto"/>
            <w:noWrap/>
            <w:vAlign w:val="center"/>
            <w:hideMark/>
          </w:tcPr>
          <w:p w14:paraId="41779E38"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auto" w:fill="auto"/>
            <w:noWrap/>
            <w:vAlign w:val="center"/>
            <w:hideMark/>
          </w:tcPr>
          <w:p w14:paraId="24FDB126"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132 278</w:t>
            </w:r>
          </w:p>
        </w:tc>
      </w:tr>
      <w:tr w:rsidR="0089748C" w:rsidRPr="00C03D80" w14:paraId="3B4195DF" w14:textId="77777777" w:rsidTr="004A4F6C">
        <w:trPr>
          <w:trHeight w:val="682"/>
          <w:jc w:val="center"/>
        </w:trPr>
        <w:tc>
          <w:tcPr>
            <w:tcW w:w="3505" w:type="dxa"/>
            <w:tcBorders>
              <w:top w:val="nil"/>
              <w:left w:val="single" w:sz="8" w:space="0" w:color="95B3D7"/>
              <w:bottom w:val="single" w:sz="8" w:space="0" w:color="95B3D7"/>
              <w:right w:val="single" w:sz="8" w:space="0" w:color="95B3D7"/>
            </w:tcBorders>
            <w:shd w:val="clear" w:color="000000" w:fill="DBE5F1"/>
            <w:noWrap/>
            <w:vAlign w:val="center"/>
            <w:hideMark/>
          </w:tcPr>
          <w:p w14:paraId="12D7B7DD"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FVENTLOT</w:t>
            </w:r>
            <w:r>
              <w:rPr>
                <w:rFonts w:ascii="Calibri" w:eastAsia="Times New Roman" w:hAnsi="Calibri" w:cs="Calibri"/>
                <w:color w:val="000000"/>
                <w:sz w:val="18"/>
                <w:szCs w:val="18"/>
                <w:lang w:val="es-CR" w:eastAsia="es-CR"/>
              </w:rPr>
              <w:t>****</w:t>
            </w:r>
          </w:p>
        </w:tc>
        <w:tc>
          <w:tcPr>
            <w:tcW w:w="938" w:type="dxa"/>
            <w:tcBorders>
              <w:top w:val="nil"/>
              <w:left w:val="nil"/>
              <w:bottom w:val="single" w:sz="8" w:space="0" w:color="95B3D7"/>
              <w:right w:val="single" w:sz="8" w:space="0" w:color="95B3D7"/>
            </w:tcBorders>
            <w:shd w:val="clear" w:color="000000" w:fill="DBE5F1"/>
            <w:vAlign w:val="center"/>
            <w:hideMark/>
          </w:tcPr>
          <w:p w14:paraId="78B55B98"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1 629</w:t>
            </w:r>
          </w:p>
        </w:tc>
        <w:tc>
          <w:tcPr>
            <w:tcW w:w="1101" w:type="dxa"/>
            <w:tcBorders>
              <w:top w:val="nil"/>
              <w:left w:val="nil"/>
              <w:bottom w:val="single" w:sz="8" w:space="0" w:color="95B3D7"/>
              <w:right w:val="single" w:sz="8" w:space="0" w:color="95B3D7"/>
            </w:tcBorders>
            <w:shd w:val="clear" w:color="000000" w:fill="DBE5F1"/>
            <w:vAlign w:val="center"/>
            <w:hideMark/>
          </w:tcPr>
          <w:p w14:paraId="6087CCE7"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446</w:t>
            </w:r>
          </w:p>
        </w:tc>
        <w:tc>
          <w:tcPr>
            <w:tcW w:w="1261" w:type="dxa"/>
            <w:tcBorders>
              <w:top w:val="nil"/>
              <w:left w:val="nil"/>
              <w:bottom w:val="single" w:sz="8" w:space="0" w:color="95B3D7"/>
              <w:right w:val="single" w:sz="8" w:space="0" w:color="95B3D7"/>
            </w:tcBorders>
            <w:shd w:val="clear" w:color="000000" w:fill="DBE5F1"/>
            <w:vAlign w:val="center"/>
            <w:hideMark/>
          </w:tcPr>
          <w:p w14:paraId="54CCAF54" w14:textId="77777777" w:rsidR="0089748C" w:rsidRPr="00C03D80" w:rsidRDefault="0089748C" w:rsidP="004A4F6C">
            <w:pPr>
              <w:spacing w:after="0" w:line="240" w:lineRule="auto"/>
              <w:jc w:val="center"/>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0,25% del </w:t>
            </w:r>
          </w:p>
        </w:tc>
        <w:tc>
          <w:tcPr>
            <w:tcW w:w="751" w:type="dxa"/>
            <w:tcBorders>
              <w:top w:val="nil"/>
              <w:left w:val="nil"/>
              <w:bottom w:val="single" w:sz="8" w:space="0" w:color="95B3D7"/>
              <w:right w:val="single" w:sz="8" w:space="0" w:color="95B3D7"/>
            </w:tcBorders>
            <w:shd w:val="clear" w:color="000000" w:fill="DBE5F1"/>
            <w:vAlign w:val="center"/>
            <w:hideMark/>
          </w:tcPr>
          <w:p w14:paraId="4B6F1B8E" w14:textId="77777777" w:rsidR="0089748C" w:rsidRPr="00C03D80" w:rsidRDefault="0089748C" w:rsidP="004A4F6C">
            <w:pPr>
              <w:spacing w:after="0" w:line="240" w:lineRule="auto"/>
              <w:jc w:val="center"/>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1% d </w:t>
            </w:r>
          </w:p>
        </w:tc>
        <w:tc>
          <w:tcPr>
            <w:tcW w:w="653" w:type="dxa"/>
            <w:tcBorders>
              <w:top w:val="nil"/>
              <w:left w:val="nil"/>
              <w:bottom w:val="single" w:sz="8" w:space="0" w:color="95B3D7"/>
              <w:right w:val="single" w:sz="8" w:space="0" w:color="95B3D7"/>
            </w:tcBorders>
            <w:shd w:val="clear" w:color="000000" w:fill="DBE5F1"/>
            <w:noWrap/>
            <w:vAlign w:val="center"/>
            <w:hideMark/>
          </w:tcPr>
          <w:p w14:paraId="008101F6"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000000" w:fill="DBE5F1"/>
            <w:noWrap/>
            <w:vAlign w:val="center"/>
            <w:hideMark/>
          </w:tcPr>
          <w:p w14:paraId="7034F901"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145 594</w:t>
            </w:r>
          </w:p>
        </w:tc>
      </w:tr>
      <w:tr w:rsidR="0089748C" w:rsidRPr="00C03D80" w14:paraId="6F86244C"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5E1F70CA"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FBCR</w:t>
            </w:r>
          </w:p>
        </w:tc>
        <w:tc>
          <w:tcPr>
            <w:tcW w:w="938" w:type="dxa"/>
            <w:tcBorders>
              <w:top w:val="nil"/>
              <w:left w:val="nil"/>
              <w:bottom w:val="single" w:sz="8" w:space="0" w:color="95B3D7"/>
              <w:right w:val="single" w:sz="8" w:space="0" w:color="95B3D7"/>
            </w:tcBorders>
            <w:shd w:val="clear" w:color="auto" w:fill="auto"/>
            <w:vAlign w:val="center"/>
            <w:hideMark/>
          </w:tcPr>
          <w:p w14:paraId="7736DAFC"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3 906</w:t>
            </w:r>
          </w:p>
        </w:tc>
        <w:tc>
          <w:tcPr>
            <w:tcW w:w="1101" w:type="dxa"/>
            <w:tcBorders>
              <w:top w:val="nil"/>
              <w:left w:val="nil"/>
              <w:bottom w:val="single" w:sz="8" w:space="0" w:color="95B3D7"/>
              <w:right w:val="single" w:sz="8" w:space="0" w:color="95B3D7"/>
            </w:tcBorders>
            <w:shd w:val="clear" w:color="auto" w:fill="auto"/>
            <w:vAlign w:val="center"/>
            <w:hideMark/>
          </w:tcPr>
          <w:p w14:paraId="0E7BDB14"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30</w:t>
            </w:r>
          </w:p>
        </w:tc>
        <w:tc>
          <w:tcPr>
            <w:tcW w:w="1261" w:type="dxa"/>
            <w:tcBorders>
              <w:top w:val="nil"/>
              <w:left w:val="nil"/>
              <w:bottom w:val="single" w:sz="8" w:space="0" w:color="95B3D7"/>
              <w:right w:val="single" w:sz="8" w:space="0" w:color="95B3D7"/>
            </w:tcBorders>
            <w:shd w:val="clear" w:color="auto" w:fill="auto"/>
            <w:noWrap/>
            <w:vAlign w:val="center"/>
            <w:hideMark/>
          </w:tcPr>
          <w:p w14:paraId="40904689"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0,50%</w:t>
            </w:r>
          </w:p>
        </w:tc>
        <w:tc>
          <w:tcPr>
            <w:tcW w:w="751" w:type="dxa"/>
            <w:tcBorders>
              <w:top w:val="nil"/>
              <w:left w:val="nil"/>
              <w:bottom w:val="single" w:sz="8" w:space="0" w:color="95B3D7"/>
              <w:right w:val="single" w:sz="8" w:space="0" w:color="95B3D7"/>
            </w:tcBorders>
            <w:shd w:val="clear" w:color="auto" w:fill="auto"/>
            <w:noWrap/>
            <w:vAlign w:val="center"/>
            <w:hideMark/>
          </w:tcPr>
          <w:p w14:paraId="79EEDF6A"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10%</w:t>
            </w:r>
          </w:p>
        </w:tc>
        <w:tc>
          <w:tcPr>
            <w:tcW w:w="653" w:type="dxa"/>
            <w:tcBorders>
              <w:top w:val="nil"/>
              <w:left w:val="nil"/>
              <w:bottom w:val="single" w:sz="8" w:space="0" w:color="95B3D7"/>
              <w:right w:val="single" w:sz="8" w:space="0" w:color="95B3D7"/>
            </w:tcBorders>
            <w:shd w:val="clear" w:color="auto" w:fill="auto"/>
            <w:noWrap/>
            <w:vAlign w:val="center"/>
            <w:hideMark/>
          </w:tcPr>
          <w:p w14:paraId="5BFDEA0E"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auto" w:fill="auto"/>
            <w:noWrap/>
            <w:vAlign w:val="center"/>
            <w:hideMark/>
          </w:tcPr>
          <w:p w14:paraId="3709015D"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92 784</w:t>
            </w:r>
          </w:p>
        </w:tc>
      </w:tr>
      <w:tr w:rsidR="0089748C" w:rsidRPr="00C03D80" w14:paraId="1774FB79"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000000" w:fill="DBE5F1"/>
            <w:noWrap/>
            <w:vAlign w:val="center"/>
            <w:hideMark/>
          </w:tcPr>
          <w:p w14:paraId="082B7DCF" w14:textId="77777777" w:rsidR="0089748C" w:rsidRPr="00C03D80" w:rsidRDefault="0089748C" w:rsidP="004A4F6C">
            <w:pPr>
              <w:spacing w:after="0" w:line="240" w:lineRule="auto"/>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 xml:space="preserve">   FICT</w:t>
            </w:r>
          </w:p>
        </w:tc>
        <w:tc>
          <w:tcPr>
            <w:tcW w:w="938" w:type="dxa"/>
            <w:tcBorders>
              <w:top w:val="nil"/>
              <w:left w:val="nil"/>
              <w:bottom w:val="single" w:sz="8" w:space="0" w:color="95B3D7"/>
              <w:right w:val="single" w:sz="8" w:space="0" w:color="95B3D7"/>
            </w:tcBorders>
            <w:shd w:val="clear" w:color="000000" w:fill="DBE5F1"/>
            <w:vAlign w:val="center"/>
            <w:hideMark/>
          </w:tcPr>
          <w:p w14:paraId="07862DF8"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278</w:t>
            </w:r>
          </w:p>
        </w:tc>
        <w:tc>
          <w:tcPr>
            <w:tcW w:w="1101" w:type="dxa"/>
            <w:tcBorders>
              <w:top w:val="nil"/>
              <w:left w:val="nil"/>
              <w:bottom w:val="single" w:sz="8" w:space="0" w:color="95B3D7"/>
              <w:right w:val="single" w:sz="8" w:space="0" w:color="95B3D7"/>
            </w:tcBorders>
            <w:shd w:val="clear" w:color="000000" w:fill="DBE5F1"/>
            <w:vAlign w:val="center"/>
            <w:hideMark/>
          </w:tcPr>
          <w:p w14:paraId="419E264F"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1261" w:type="dxa"/>
            <w:tcBorders>
              <w:top w:val="nil"/>
              <w:left w:val="nil"/>
              <w:bottom w:val="single" w:sz="8" w:space="0" w:color="95B3D7"/>
              <w:right w:val="single" w:sz="8" w:space="0" w:color="95B3D7"/>
            </w:tcBorders>
            <w:shd w:val="clear" w:color="000000" w:fill="DBE5F1"/>
            <w:noWrap/>
            <w:vAlign w:val="center"/>
            <w:hideMark/>
          </w:tcPr>
          <w:p w14:paraId="6B308CC6"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751" w:type="dxa"/>
            <w:tcBorders>
              <w:top w:val="nil"/>
              <w:left w:val="nil"/>
              <w:bottom w:val="single" w:sz="8" w:space="0" w:color="95B3D7"/>
              <w:right w:val="single" w:sz="8" w:space="0" w:color="95B3D7"/>
            </w:tcBorders>
            <w:shd w:val="clear" w:color="000000" w:fill="DBE5F1"/>
            <w:noWrap/>
            <w:vAlign w:val="center"/>
            <w:hideMark/>
          </w:tcPr>
          <w:p w14:paraId="40956D3C"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5%</w:t>
            </w:r>
          </w:p>
        </w:tc>
        <w:tc>
          <w:tcPr>
            <w:tcW w:w="653" w:type="dxa"/>
            <w:tcBorders>
              <w:top w:val="nil"/>
              <w:left w:val="nil"/>
              <w:bottom w:val="single" w:sz="8" w:space="0" w:color="95B3D7"/>
              <w:right w:val="single" w:sz="8" w:space="0" w:color="95B3D7"/>
            </w:tcBorders>
            <w:shd w:val="clear" w:color="000000" w:fill="DBE5F1"/>
            <w:noWrap/>
            <w:vAlign w:val="center"/>
            <w:hideMark/>
          </w:tcPr>
          <w:p w14:paraId="3F8C6074"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000000" w:fill="DBE5F1"/>
            <w:noWrap/>
            <w:vAlign w:val="center"/>
            <w:hideMark/>
          </w:tcPr>
          <w:p w14:paraId="075D0AD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r>
      <w:tr w:rsidR="0089748C" w:rsidRPr="00C03D80" w14:paraId="57036045"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7DE01AFC" w14:textId="77777777" w:rsidR="0089748C" w:rsidRPr="00C03D80" w:rsidRDefault="0089748C" w:rsidP="004A4F6C">
            <w:pPr>
              <w:spacing w:after="0" w:line="240" w:lineRule="auto"/>
              <w:rPr>
                <w:rFonts w:ascii="Calibri" w:eastAsia="Times New Roman" w:hAnsi="Calibri" w:cs="Calibri"/>
                <w:b/>
                <w:bCs/>
                <w:color w:val="000000"/>
                <w:sz w:val="18"/>
                <w:szCs w:val="18"/>
                <w:lang w:val="es-CR" w:eastAsia="es-CR"/>
              </w:rPr>
            </w:pPr>
            <w:r w:rsidRPr="00C03D80">
              <w:rPr>
                <w:rFonts w:ascii="Calibri" w:eastAsia="Times New Roman" w:hAnsi="Calibri" w:cs="Calibri"/>
                <w:b/>
                <w:bCs/>
                <w:color w:val="000000"/>
                <w:sz w:val="18"/>
                <w:szCs w:val="18"/>
                <w:lang w:val="es-CR" w:eastAsia="es-CR"/>
              </w:rPr>
              <w:t>Régimen Obligatorio Complementario (ROP)</w:t>
            </w:r>
          </w:p>
        </w:tc>
        <w:tc>
          <w:tcPr>
            <w:tcW w:w="938" w:type="dxa"/>
            <w:tcBorders>
              <w:top w:val="nil"/>
              <w:left w:val="nil"/>
              <w:bottom w:val="single" w:sz="8" w:space="0" w:color="95B3D7"/>
              <w:right w:val="single" w:sz="8" w:space="0" w:color="95B3D7"/>
            </w:tcBorders>
            <w:shd w:val="clear" w:color="auto" w:fill="auto"/>
            <w:vAlign w:val="center"/>
            <w:hideMark/>
          </w:tcPr>
          <w:p w14:paraId="19782112"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2 833 791</w:t>
            </w:r>
          </w:p>
        </w:tc>
        <w:tc>
          <w:tcPr>
            <w:tcW w:w="1101" w:type="dxa"/>
            <w:tcBorders>
              <w:top w:val="nil"/>
              <w:left w:val="nil"/>
              <w:bottom w:val="single" w:sz="8" w:space="0" w:color="95B3D7"/>
              <w:right w:val="single" w:sz="8" w:space="0" w:color="95B3D7"/>
            </w:tcBorders>
            <w:shd w:val="clear" w:color="auto" w:fill="auto"/>
            <w:vAlign w:val="center"/>
            <w:hideMark/>
          </w:tcPr>
          <w:p w14:paraId="30997C31"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23 260</w:t>
            </w:r>
          </w:p>
        </w:tc>
        <w:tc>
          <w:tcPr>
            <w:tcW w:w="1261" w:type="dxa"/>
            <w:tcBorders>
              <w:top w:val="nil"/>
              <w:left w:val="nil"/>
              <w:bottom w:val="single" w:sz="8" w:space="0" w:color="95B3D7"/>
              <w:right w:val="single" w:sz="8" w:space="0" w:color="95B3D7"/>
            </w:tcBorders>
            <w:shd w:val="clear" w:color="auto" w:fill="auto"/>
            <w:noWrap/>
            <w:vAlign w:val="center"/>
            <w:hideMark/>
          </w:tcPr>
          <w:p w14:paraId="0B3E36AD"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w:t>
            </w:r>
          </w:p>
        </w:tc>
        <w:tc>
          <w:tcPr>
            <w:tcW w:w="751" w:type="dxa"/>
            <w:tcBorders>
              <w:top w:val="nil"/>
              <w:left w:val="nil"/>
              <w:bottom w:val="single" w:sz="8" w:space="0" w:color="95B3D7"/>
              <w:right w:val="single" w:sz="8" w:space="0" w:color="95B3D7"/>
            </w:tcBorders>
            <w:shd w:val="clear" w:color="auto" w:fill="auto"/>
            <w:noWrap/>
            <w:vAlign w:val="center"/>
            <w:hideMark/>
          </w:tcPr>
          <w:p w14:paraId="6CC43A46"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3,25%</w:t>
            </w:r>
          </w:p>
        </w:tc>
        <w:tc>
          <w:tcPr>
            <w:tcW w:w="653" w:type="dxa"/>
            <w:tcBorders>
              <w:top w:val="nil"/>
              <w:left w:val="nil"/>
              <w:bottom w:val="single" w:sz="8" w:space="0" w:color="95B3D7"/>
              <w:right w:val="single" w:sz="8" w:space="0" w:color="95B3D7"/>
            </w:tcBorders>
            <w:shd w:val="clear" w:color="auto" w:fill="auto"/>
            <w:noWrap/>
            <w:vAlign w:val="center"/>
            <w:hideMark/>
          </w:tcPr>
          <w:p w14:paraId="3EFC8ECF"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auto" w:fill="auto"/>
            <w:noWrap/>
            <w:vAlign w:val="center"/>
            <w:hideMark/>
          </w:tcPr>
          <w:p w14:paraId="79FF6CF1"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173 075</w:t>
            </w:r>
          </w:p>
        </w:tc>
      </w:tr>
      <w:tr w:rsidR="0089748C" w:rsidRPr="00C03D80" w14:paraId="59F1EAF3"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000000" w:fill="DBE5F1"/>
            <w:noWrap/>
            <w:vAlign w:val="center"/>
            <w:hideMark/>
          </w:tcPr>
          <w:p w14:paraId="379127AF" w14:textId="77777777" w:rsidR="0089748C" w:rsidRPr="00C03D80" w:rsidRDefault="0089748C" w:rsidP="004A4F6C">
            <w:pPr>
              <w:spacing w:after="0" w:line="240" w:lineRule="auto"/>
              <w:rPr>
                <w:rFonts w:ascii="Calibri" w:eastAsia="Times New Roman" w:hAnsi="Calibri" w:cs="Calibri"/>
                <w:b/>
                <w:bCs/>
                <w:color w:val="000000"/>
                <w:sz w:val="18"/>
                <w:szCs w:val="18"/>
                <w:lang w:val="es-CR" w:eastAsia="es-CR"/>
              </w:rPr>
            </w:pPr>
            <w:r w:rsidRPr="00C03D80">
              <w:rPr>
                <w:rFonts w:ascii="Calibri" w:eastAsia="Times New Roman" w:hAnsi="Calibri" w:cs="Calibri"/>
                <w:b/>
                <w:bCs/>
                <w:color w:val="000000"/>
                <w:sz w:val="18"/>
                <w:szCs w:val="18"/>
                <w:lang w:val="es-CR" w:eastAsia="es-CR"/>
              </w:rPr>
              <w:t>Planes Voluntarios</w:t>
            </w:r>
          </w:p>
        </w:tc>
        <w:tc>
          <w:tcPr>
            <w:tcW w:w="938" w:type="dxa"/>
            <w:tcBorders>
              <w:top w:val="nil"/>
              <w:left w:val="nil"/>
              <w:bottom w:val="single" w:sz="8" w:space="0" w:color="95B3D7"/>
              <w:right w:val="single" w:sz="8" w:space="0" w:color="95B3D7"/>
            </w:tcBorders>
            <w:shd w:val="clear" w:color="000000" w:fill="DBE5F1"/>
            <w:vAlign w:val="center"/>
            <w:hideMark/>
          </w:tcPr>
          <w:p w14:paraId="56AC3EA3"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162 891</w:t>
            </w:r>
          </w:p>
        </w:tc>
        <w:tc>
          <w:tcPr>
            <w:tcW w:w="1101" w:type="dxa"/>
            <w:tcBorders>
              <w:top w:val="nil"/>
              <w:left w:val="nil"/>
              <w:bottom w:val="single" w:sz="8" w:space="0" w:color="95B3D7"/>
              <w:right w:val="single" w:sz="8" w:space="0" w:color="95B3D7"/>
            </w:tcBorders>
            <w:shd w:val="clear" w:color="000000" w:fill="DBE5F1"/>
            <w:vAlign w:val="center"/>
            <w:hideMark/>
          </w:tcPr>
          <w:p w14:paraId="28EBD9CB"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6</w:t>
            </w:r>
          </w:p>
        </w:tc>
        <w:tc>
          <w:tcPr>
            <w:tcW w:w="1261" w:type="dxa"/>
            <w:tcBorders>
              <w:top w:val="nil"/>
              <w:left w:val="nil"/>
              <w:bottom w:val="single" w:sz="8" w:space="0" w:color="95B3D7"/>
              <w:right w:val="single" w:sz="8" w:space="0" w:color="95B3D7"/>
            </w:tcBorders>
            <w:shd w:val="clear" w:color="000000" w:fill="DBE5F1"/>
            <w:vAlign w:val="center"/>
            <w:hideMark/>
          </w:tcPr>
          <w:p w14:paraId="7B0F0DC5"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Libre</w:t>
            </w:r>
          </w:p>
        </w:tc>
        <w:tc>
          <w:tcPr>
            <w:tcW w:w="751" w:type="dxa"/>
            <w:tcBorders>
              <w:top w:val="nil"/>
              <w:left w:val="nil"/>
              <w:bottom w:val="single" w:sz="8" w:space="0" w:color="95B3D7"/>
              <w:right w:val="single" w:sz="8" w:space="0" w:color="95B3D7"/>
            </w:tcBorders>
            <w:shd w:val="clear" w:color="000000" w:fill="DBE5F1"/>
            <w:noWrap/>
            <w:vAlign w:val="center"/>
            <w:hideMark/>
          </w:tcPr>
          <w:p w14:paraId="0B903448"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653" w:type="dxa"/>
            <w:tcBorders>
              <w:top w:val="nil"/>
              <w:left w:val="nil"/>
              <w:bottom w:val="single" w:sz="8" w:space="0" w:color="95B3D7"/>
              <w:right w:val="single" w:sz="8" w:space="0" w:color="95B3D7"/>
            </w:tcBorders>
            <w:shd w:val="clear" w:color="000000" w:fill="DBE5F1"/>
            <w:noWrap/>
            <w:vAlign w:val="center"/>
            <w:hideMark/>
          </w:tcPr>
          <w:p w14:paraId="36326F6B"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000000" w:fill="DBE5F1"/>
            <w:noWrap/>
            <w:vAlign w:val="center"/>
            <w:hideMark/>
          </w:tcPr>
          <w:p w14:paraId="47E93DBA" w14:textId="77777777" w:rsidR="0089748C" w:rsidRPr="00C03D80" w:rsidRDefault="0089748C" w:rsidP="004A4F6C">
            <w:pPr>
              <w:spacing w:after="0" w:line="240" w:lineRule="auto"/>
              <w:jc w:val="right"/>
              <w:rPr>
                <w:rFonts w:ascii="Calibri" w:eastAsia="Times New Roman" w:hAnsi="Calibri" w:cs="Calibri"/>
                <w:sz w:val="18"/>
                <w:szCs w:val="18"/>
                <w:lang w:val="es-CR" w:eastAsia="es-CR"/>
              </w:rPr>
            </w:pPr>
            <w:r w:rsidRPr="00C03D80">
              <w:rPr>
                <w:rFonts w:ascii="Calibri" w:eastAsia="Times New Roman" w:hAnsi="Calibri" w:cs="Calibri"/>
                <w:sz w:val="18"/>
                <w:szCs w:val="18"/>
                <w:lang w:val="es-CR" w:eastAsia="es-CR"/>
              </w:rPr>
              <w:t>410 000</w:t>
            </w:r>
          </w:p>
        </w:tc>
      </w:tr>
      <w:tr w:rsidR="0089748C" w:rsidRPr="00C03D80" w14:paraId="5D121569" w14:textId="77777777" w:rsidTr="004A4F6C">
        <w:trPr>
          <w:trHeight w:val="220"/>
          <w:jc w:val="center"/>
        </w:trPr>
        <w:tc>
          <w:tcPr>
            <w:tcW w:w="3505" w:type="dxa"/>
            <w:tcBorders>
              <w:top w:val="nil"/>
              <w:left w:val="single" w:sz="8" w:space="0" w:color="95B3D7"/>
              <w:bottom w:val="single" w:sz="8" w:space="0" w:color="95B3D7"/>
              <w:right w:val="single" w:sz="8" w:space="0" w:color="95B3D7"/>
            </w:tcBorders>
            <w:shd w:val="clear" w:color="auto" w:fill="auto"/>
            <w:noWrap/>
            <w:vAlign w:val="center"/>
            <w:hideMark/>
          </w:tcPr>
          <w:p w14:paraId="30CF5913" w14:textId="77777777" w:rsidR="0089748C" w:rsidRPr="00C03D80" w:rsidRDefault="0089748C" w:rsidP="004A4F6C">
            <w:pPr>
              <w:spacing w:after="0" w:line="240" w:lineRule="auto"/>
              <w:rPr>
                <w:rFonts w:ascii="Calibri" w:eastAsia="Times New Roman" w:hAnsi="Calibri" w:cs="Calibri"/>
                <w:b/>
                <w:bCs/>
                <w:color w:val="000000"/>
                <w:sz w:val="18"/>
                <w:szCs w:val="18"/>
                <w:lang w:val="es-CR" w:eastAsia="es-CR"/>
              </w:rPr>
            </w:pPr>
            <w:r w:rsidRPr="00C03D80">
              <w:rPr>
                <w:rFonts w:ascii="Calibri" w:eastAsia="Times New Roman" w:hAnsi="Calibri" w:cs="Calibri"/>
                <w:b/>
                <w:bCs/>
                <w:color w:val="000000"/>
                <w:sz w:val="18"/>
                <w:szCs w:val="18"/>
                <w:lang w:val="es-CR" w:eastAsia="es-CR"/>
              </w:rPr>
              <w:t>Fondo de Capitalización Laboral (FCL)</w:t>
            </w:r>
          </w:p>
        </w:tc>
        <w:tc>
          <w:tcPr>
            <w:tcW w:w="938" w:type="dxa"/>
            <w:tcBorders>
              <w:top w:val="nil"/>
              <w:left w:val="nil"/>
              <w:bottom w:val="single" w:sz="8" w:space="0" w:color="95B3D7"/>
              <w:right w:val="single" w:sz="8" w:space="0" w:color="95B3D7"/>
            </w:tcBorders>
            <w:shd w:val="clear" w:color="auto" w:fill="auto"/>
            <w:vAlign w:val="center"/>
            <w:hideMark/>
          </w:tcPr>
          <w:p w14:paraId="1D98FDDA"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2 553 902</w:t>
            </w:r>
          </w:p>
        </w:tc>
        <w:tc>
          <w:tcPr>
            <w:tcW w:w="1101" w:type="dxa"/>
            <w:tcBorders>
              <w:top w:val="nil"/>
              <w:left w:val="nil"/>
              <w:bottom w:val="single" w:sz="8" w:space="0" w:color="95B3D7"/>
              <w:right w:val="single" w:sz="8" w:space="0" w:color="95B3D7"/>
            </w:tcBorders>
            <w:shd w:val="clear" w:color="auto" w:fill="auto"/>
            <w:noWrap/>
            <w:vAlign w:val="center"/>
            <w:hideMark/>
          </w:tcPr>
          <w:p w14:paraId="114F66C5"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NA</w:t>
            </w:r>
          </w:p>
        </w:tc>
        <w:tc>
          <w:tcPr>
            <w:tcW w:w="1261" w:type="dxa"/>
            <w:tcBorders>
              <w:top w:val="nil"/>
              <w:left w:val="nil"/>
              <w:bottom w:val="single" w:sz="8" w:space="0" w:color="95B3D7"/>
              <w:right w:val="single" w:sz="8" w:space="0" w:color="95B3D7"/>
            </w:tcBorders>
            <w:shd w:val="clear" w:color="auto" w:fill="auto"/>
            <w:noWrap/>
            <w:vAlign w:val="center"/>
            <w:hideMark/>
          </w:tcPr>
          <w:p w14:paraId="2E264D7D"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1,50%</w:t>
            </w:r>
          </w:p>
        </w:tc>
        <w:tc>
          <w:tcPr>
            <w:tcW w:w="751" w:type="dxa"/>
            <w:tcBorders>
              <w:top w:val="nil"/>
              <w:left w:val="nil"/>
              <w:bottom w:val="single" w:sz="8" w:space="0" w:color="95B3D7"/>
              <w:right w:val="single" w:sz="8" w:space="0" w:color="95B3D7"/>
            </w:tcBorders>
            <w:shd w:val="clear" w:color="auto" w:fill="auto"/>
            <w:noWrap/>
            <w:vAlign w:val="center"/>
            <w:hideMark/>
          </w:tcPr>
          <w:p w14:paraId="0E77778D"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653" w:type="dxa"/>
            <w:tcBorders>
              <w:top w:val="nil"/>
              <w:left w:val="nil"/>
              <w:bottom w:val="single" w:sz="8" w:space="0" w:color="95B3D7"/>
              <w:right w:val="single" w:sz="8" w:space="0" w:color="95B3D7"/>
            </w:tcBorders>
            <w:shd w:val="clear" w:color="auto" w:fill="auto"/>
            <w:noWrap/>
            <w:vAlign w:val="center"/>
            <w:hideMark/>
          </w:tcPr>
          <w:p w14:paraId="1832061C"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0%</w:t>
            </w:r>
          </w:p>
        </w:tc>
        <w:tc>
          <w:tcPr>
            <w:tcW w:w="883" w:type="dxa"/>
            <w:tcBorders>
              <w:top w:val="nil"/>
              <w:left w:val="nil"/>
              <w:bottom w:val="single" w:sz="8" w:space="0" w:color="95B3D7"/>
              <w:right w:val="single" w:sz="8" w:space="0" w:color="95B3D7"/>
            </w:tcBorders>
            <w:shd w:val="clear" w:color="auto" w:fill="auto"/>
            <w:noWrap/>
            <w:vAlign w:val="center"/>
            <w:hideMark/>
          </w:tcPr>
          <w:p w14:paraId="52212841" w14:textId="77777777" w:rsidR="0089748C" w:rsidRPr="00C03D80" w:rsidRDefault="0089748C" w:rsidP="004A4F6C">
            <w:pPr>
              <w:spacing w:after="0" w:line="240" w:lineRule="auto"/>
              <w:jc w:val="right"/>
              <w:rPr>
                <w:rFonts w:ascii="Calibri" w:eastAsia="Times New Roman" w:hAnsi="Calibri" w:cs="Calibri"/>
                <w:color w:val="000000"/>
                <w:sz w:val="18"/>
                <w:szCs w:val="18"/>
                <w:lang w:val="es-CR" w:eastAsia="es-CR"/>
              </w:rPr>
            </w:pPr>
            <w:r w:rsidRPr="00C03D80">
              <w:rPr>
                <w:rFonts w:ascii="Calibri" w:eastAsia="Times New Roman" w:hAnsi="Calibri" w:cs="Calibri"/>
                <w:color w:val="000000"/>
                <w:sz w:val="18"/>
                <w:szCs w:val="18"/>
                <w:lang w:val="es-CR" w:eastAsia="es-CR"/>
              </w:rPr>
              <w:t>NA</w:t>
            </w:r>
          </w:p>
        </w:tc>
      </w:tr>
    </w:tbl>
    <w:p w14:paraId="19CC4825" w14:textId="77777777" w:rsidR="0089748C" w:rsidRPr="00F8681F" w:rsidRDefault="0089748C" w:rsidP="0089748C">
      <w:pPr>
        <w:pStyle w:val="Descripcin"/>
        <w:spacing w:after="0"/>
        <w:ind w:left="708" w:hanging="708"/>
        <w:jc w:val="both"/>
      </w:pPr>
      <w:r w:rsidRPr="00F8681F">
        <w:t>* Datos de afiliados, pensionados y pensión promedio a mayo para RIVM. Último dato disponible.</w:t>
      </w:r>
      <w:r w:rsidRPr="00F8681F">
        <w:tab/>
      </w:r>
      <w:r w:rsidRPr="00F8681F">
        <w:tab/>
      </w:r>
    </w:p>
    <w:p w14:paraId="4CF8759A" w14:textId="77777777" w:rsidR="0089748C" w:rsidRPr="00F8681F" w:rsidRDefault="0089748C" w:rsidP="0089748C">
      <w:pPr>
        <w:pStyle w:val="Descripcin"/>
        <w:spacing w:after="0"/>
        <w:ind w:left="708" w:hanging="708"/>
        <w:jc w:val="both"/>
      </w:pPr>
      <w:r w:rsidRPr="00F8681F">
        <w:t>** Datos de afiliados a mayo para el RCCMN. Último dato disponible.</w:t>
      </w:r>
    </w:p>
    <w:p w14:paraId="72C47DB1" w14:textId="77777777" w:rsidR="0089748C" w:rsidRDefault="0089748C" w:rsidP="0089748C">
      <w:pPr>
        <w:pStyle w:val="Descripcin"/>
        <w:spacing w:after="0"/>
        <w:jc w:val="both"/>
      </w:pPr>
      <w:r w:rsidRPr="00F8681F">
        <w:t>*** Cotizan el trabajador y el pensionado</w:t>
      </w:r>
    </w:p>
    <w:p w14:paraId="7716ECF4" w14:textId="77777777" w:rsidR="0089748C" w:rsidRPr="00D54A7F" w:rsidRDefault="0089748C" w:rsidP="0089748C">
      <w:pPr>
        <w:pStyle w:val="Descripcin"/>
        <w:spacing w:after="0"/>
        <w:jc w:val="both"/>
      </w:pPr>
      <w:r>
        <w:t>**** contribución del trabajador sobre % del monto aportado por el patrono y la del patrono % sobre ventas de lotería</w:t>
      </w:r>
    </w:p>
    <w:p w14:paraId="458D3E02" w14:textId="77777777" w:rsidR="0089748C" w:rsidRPr="006D71EB" w:rsidRDefault="0089748C" w:rsidP="0089748C">
      <w:pPr>
        <w:pStyle w:val="Descripcin"/>
        <w:spacing w:after="0"/>
        <w:ind w:left="708" w:hanging="708"/>
        <w:jc w:val="both"/>
      </w:pPr>
      <w:r w:rsidRPr="00F8681F">
        <w:t>Fuente: Elaboración propia</w:t>
      </w:r>
    </w:p>
    <w:p w14:paraId="5690A5D2" w14:textId="77777777" w:rsidR="0089748C" w:rsidRPr="00C83D68" w:rsidRDefault="0089748C" w:rsidP="0089748C">
      <w:pPr>
        <w:spacing w:after="0" w:line="240" w:lineRule="auto"/>
      </w:pPr>
    </w:p>
    <w:p w14:paraId="063653FE" w14:textId="77777777" w:rsidR="0089748C" w:rsidRPr="00BE77BC" w:rsidRDefault="0089748C" w:rsidP="0089748C">
      <w:pPr>
        <w:pStyle w:val="Ttulo2"/>
        <w:numPr>
          <w:ilvl w:val="1"/>
          <w:numId w:val="1"/>
        </w:numPr>
      </w:pPr>
      <w:bookmarkStart w:id="8" w:name="_Toc80290684"/>
      <w:r w:rsidRPr="00BE77BC">
        <w:t>Activos administrados</w:t>
      </w:r>
      <w:bookmarkEnd w:id="8"/>
      <w:r w:rsidRPr="00BE77BC">
        <w:t xml:space="preserve"> </w:t>
      </w:r>
    </w:p>
    <w:p w14:paraId="6D40DD8F" w14:textId="77777777" w:rsidR="0089748C" w:rsidRDefault="0089748C" w:rsidP="0089748C">
      <w:pPr>
        <w:spacing w:after="0" w:line="240" w:lineRule="auto"/>
        <w:jc w:val="both"/>
      </w:pPr>
    </w:p>
    <w:p w14:paraId="6C80B02E" w14:textId="77777777" w:rsidR="0089748C" w:rsidRPr="00D863CF" w:rsidRDefault="0089748C" w:rsidP="0089748C">
      <w:pPr>
        <w:spacing w:after="0" w:line="240" w:lineRule="auto"/>
        <w:jc w:val="both"/>
        <w:rPr>
          <w:rFonts w:cstheme="minorHAnsi"/>
        </w:rPr>
      </w:pPr>
      <w:r w:rsidRPr="00D863CF">
        <w:rPr>
          <w:rFonts w:cstheme="minorHAnsi"/>
        </w:rPr>
        <w:t xml:space="preserve">El Sistema Nacional de Pensiones (SNP) y el FCL administran recursos, a junio del 2021, que totalizan ₡18,5 billones, esto corresponde al 49% del PIB. El crecimiento durante los primeros seis meses del año ha sido del 8,1%, por encima del observado para el mismo período el año pasado que fue del 4,1%. El </w:t>
      </w:r>
      <w:r>
        <w:rPr>
          <w:rFonts w:cstheme="minorHAnsi"/>
        </w:rPr>
        <w:t xml:space="preserve">mayor </w:t>
      </w:r>
      <w:r w:rsidRPr="00D863CF">
        <w:rPr>
          <w:rFonts w:cstheme="minorHAnsi"/>
        </w:rPr>
        <w:t>crecimiento de los activos se explica por el ingreso de aportes a los diferentes fondos y</w:t>
      </w:r>
      <w:r>
        <w:rPr>
          <w:rFonts w:cstheme="minorHAnsi"/>
        </w:rPr>
        <w:t xml:space="preserve"> principalmente por </w:t>
      </w:r>
      <w:r w:rsidRPr="00D863CF">
        <w:rPr>
          <w:rFonts w:cstheme="minorHAnsi"/>
        </w:rPr>
        <w:t xml:space="preserve">la valoración de los activos. </w:t>
      </w:r>
    </w:p>
    <w:p w14:paraId="1FF3D105" w14:textId="77777777" w:rsidR="0089748C" w:rsidRPr="00D863CF" w:rsidRDefault="0089748C" w:rsidP="0089748C">
      <w:pPr>
        <w:spacing w:after="0" w:line="240" w:lineRule="auto"/>
        <w:jc w:val="both"/>
        <w:rPr>
          <w:rFonts w:cstheme="minorHAnsi"/>
        </w:rPr>
      </w:pPr>
    </w:p>
    <w:p w14:paraId="67A66D7A" w14:textId="77777777" w:rsidR="0089748C" w:rsidRPr="00D863CF" w:rsidRDefault="0089748C" w:rsidP="0089748C">
      <w:pPr>
        <w:spacing w:after="0" w:line="240" w:lineRule="auto"/>
        <w:jc w:val="both"/>
        <w:rPr>
          <w:rFonts w:cstheme="minorHAnsi"/>
        </w:rPr>
      </w:pPr>
      <w:r w:rsidRPr="00D863CF">
        <w:rPr>
          <w:rFonts w:cstheme="minorHAnsi"/>
        </w:rPr>
        <w:t xml:space="preserve">El Régimen de Invalidez, Vejez y Muerte administrado por la CCSS creció un 4,7% </w:t>
      </w:r>
      <w:r>
        <w:rPr>
          <w:rFonts w:cstheme="minorHAnsi"/>
        </w:rPr>
        <w:t>semestral al finalizar junio de 2021</w:t>
      </w:r>
      <w:r w:rsidRPr="00D863CF">
        <w:rPr>
          <w:rFonts w:cstheme="minorHAnsi"/>
        </w:rPr>
        <w:t xml:space="preserve">, </w:t>
      </w:r>
      <w:r>
        <w:rPr>
          <w:rFonts w:cstheme="minorHAnsi"/>
        </w:rPr>
        <w:t>mientras el promedio anual ha sido</w:t>
      </w:r>
      <w:r w:rsidRPr="00D863CF">
        <w:rPr>
          <w:rFonts w:cstheme="minorHAnsi"/>
        </w:rPr>
        <w:t xml:space="preserve"> (7,6%)</w:t>
      </w:r>
      <w:r>
        <w:rPr>
          <w:rFonts w:cstheme="minorHAnsi"/>
        </w:rPr>
        <w:t xml:space="preserve"> en los últimos diez años.</w:t>
      </w:r>
    </w:p>
    <w:p w14:paraId="76C2D827" w14:textId="77777777" w:rsidR="0089748C" w:rsidRPr="00D863CF" w:rsidRDefault="0089748C" w:rsidP="0089748C">
      <w:pPr>
        <w:spacing w:after="0" w:line="240" w:lineRule="auto"/>
        <w:jc w:val="both"/>
        <w:rPr>
          <w:rFonts w:cstheme="minorHAnsi"/>
        </w:rPr>
      </w:pPr>
    </w:p>
    <w:p w14:paraId="2BEB5385" w14:textId="77777777" w:rsidR="0089748C" w:rsidRDefault="0089748C" w:rsidP="0089748C">
      <w:pPr>
        <w:spacing w:after="0" w:line="240" w:lineRule="auto"/>
        <w:jc w:val="both"/>
        <w:rPr>
          <w:rFonts w:cstheme="minorHAnsi"/>
        </w:rPr>
      </w:pPr>
      <w:r w:rsidRPr="00D863CF">
        <w:rPr>
          <w:rFonts w:cstheme="minorHAnsi"/>
        </w:rPr>
        <w:t xml:space="preserve">De los 14 gestores de fondos de pensiones, tres administran ₡10,7 billones, que representan el 57,9% del total de activos. Estos tres gestores administran activos de más ₡3 billones cada uno, a saber, Popular Pensiones, RCCMN y RIVM, el primero un régimen complementario </w:t>
      </w:r>
      <w:r>
        <w:rPr>
          <w:rFonts w:cstheme="minorHAnsi"/>
        </w:rPr>
        <w:t xml:space="preserve">obligatorio </w:t>
      </w:r>
      <w:r w:rsidRPr="00D863CF">
        <w:rPr>
          <w:rFonts w:cstheme="minorHAnsi"/>
        </w:rPr>
        <w:t>y los otros dos, regímenes básicos.</w:t>
      </w:r>
    </w:p>
    <w:p w14:paraId="7DEFD8D3" w14:textId="77777777" w:rsidR="0089748C" w:rsidRPr="00D863CF" w:rsidRDefault="0089748C" w:rsidP="0089748C">
      <w:pPr>
        <w:spacing w:after="0" w:line="240" w:lineRule="auto"/>
        <w:jc w:val="both"/>
        <w:rPr>
          <w:rFonts w:cstheme="minorHAnsi"/>
        </w:rPr>
      </w:pPr>
    </w:p>
    <w:p w14:paraId="755E09BD" w14:textId="77777777" w:rsidR="0089748C" w:rsidRPr="00BD6A58" w:rsidRDefault="0089748C" w:rsidP="0089748C">
      <w:pPr>
        <w:spacing w:after="0" w:line="240" w:lineRule="auto"/>
        <w:jc w:val="both"/>
      </w:pPr>
      <w:r w:rsidRPr="00D863CF">
        <w:rPr>
          <w:rFonts w:cstheme="minorHAnsi"/>
        </w:rPr>
        <w:t>El mayor volumen de activos lo administran los planes obligatorios complementarios (ROP), los regímenes básicos sustitutos y régimen general de seguridad social administrado por la CCSS. Sin</w:t>
      </w:r>
      <w:r w:rsidRPr="00BD6A58">
        <w:t xml:space="preserve"> </w:t>
      </w:r>
      <w:r w:rsidRPr="00BD6A58">
        <w:lastRenderedPageBreak/>
        <w:t xml:space="preserve">embargo, el crecimiento del ROP durante </w:t>
      </w:r>
      <w:r>
        <w:t>los primeros 6 meses del año</w:t>
      </w:r>
      <w:r w:rsidRPr="00BD6A58">
        <w:t xml:space="preserve"> ha sido del 12,8%, bastante importante considerando que el crecimiento durante todo el 2020 fue de un 14,8% y el crecimiento promedio anual de los últimos 10 años que ronda el 18,4%. </w:t>
      </w:r>
      <w:r>
        <w:t xml:space="preserve">El crecimiento se explica por el incremento en los aportes que ingresan directamente al ROP producto de la Ley 9906, que eliminó el traslado diferido al FCL. Sobre este particular los aportes del primer semestre se incrementan en 16,37% respecto al mismo periodo del año anterior. </w:t>
      </w:r>
      <w:r w:rsidRPr="00C05520">
        <w:t>No obstante, el crecimiento en el activo del ROP se explica en un 80% por los rendimientos de cerca de 18% anu</w:t>
      </w:r>
      <w:r>
        <w:t>al</w:t>
      </w:r>
    </w:p>
    <w:p w14:paraId="33A897DD" w14:textId="77777777" w:rsidR="0089748C" w:rsidRPr="00F74FB3" w:rsidRDefault="0089748C" w:rsidP="0089748C">
      <w:pPr>
        <w:spacing w:after="0" w:line="240" w:lineRule="auto"/>
        <w:jc w:val="both"/>
        <w:rPr>
          <w:highlight w:val="yellow"/>
        </w:rPr>
      </w:pPr>
    </w:p>
    <w:p w14:paraId="65D6CB08" w14:textId="77777777" w:rsidR="0089748C" w:rsidRDefault="0089748C" w:rsidP="0089748C">
      <w:pPr>
        <w:spacing w:after="0" w:line="240" w:lineRule="auto"/>
        <w:jc w:val="both"/>
      </w:pPr>
      <w:r w:rsidRPr="00FC5B8B">
        <w:t>Por otro lado, el activo de los fondos voluntarios ha experimentado un crecimiento del 16,1% durante los primeros 6 meses del año, mientras que todo el 2020 creció un 15,4% y el crecimiento promedio anual de los últimos 10 años que ronda el 10,3%.</w:t>
      </w:r>
    </w:p>
    <w:p w14:paraId="7C37D243" w14:textId="77777777" w:rsidR="0089748C" w:rsidRDefault="0089748C" w:rsidP="0089748C">
      <w:pPr>
        <w:spacing w:after="0" w:line="240" w:lineRule="auto"/>
        <w:jc w:val="both"/>
      </w:pPr>
    </w:p>
    <w:p w14:paraId="048A44D0" w14:textId="77777777" w:rsidR="0089748C" w:rsidRPr="00C161C9" w:rsidRDefault="0089748C" w:rsidP="0089748C">
      <w:pPr>
        <w:pStyle w:val="Descripcin"/>
        <w:tabs>
          <w:tab w:val="center" w:pos="4419"/>
          <w:tab w:val="left" w:pos="5331"/>
        </w:tabs>
        <w:spacing w:after="0"/>
      </w:pPr>
      <w:r>
        <w:tab/>
      </w:r>
      <w:bookmarkStart w:id="9" w:name="_Hlk63436943"/>
      <w:r w:rsidRPr="00C161C9">
        <w:t xml:space="preserve">Gráfico </w:t>
      </w:r>
      <w:r w:rsidRPr="00C161C9">
        <w:fldChar w:fldCharType="begin"/>
      </w:r>
      <w:r w:rsidRPr="00C161C9">
        <w:instrText xml:space="preserve"> SEQ Gráfico \* ARABIC </w:instrText>
      </w:r>
      <w:r w:rsidRPr="00C161C9">
        <w:fldChar w:fldCharType="separate"/>
      </w:r>
      <w:r>
        <w:rPr>
          <w:noProof/>
        </w:rPr>
        <w:t>1</w:t>
      </w:r>
      <w:r w:rsidRPr="00C161C9">
        <w:fldChar w:fldCharType="end"/>
      </w:r>
      <w:r w:rsidRPr="00C161C9">
        <w:t>: Activos del Sistema Nacional de Pensiones y FCL</w:t>
      </w:r>
    </w:p>
    <w:p w14:paraId="477E8567" w14:textId="77777777" w:rsidR="0089748C" w:rsidRPr="00C161C9" w:rsidRDefault="0089748C" w:rsidP="0089748C">
      <w:pPr>
        <w:pStyle w:val="Descripcin"/>
        <w:spacing w:after="0"/>
        <w:jc w:val="center"/>
      </w:pPr>
      <w:r w:rsidRPr="00C161C9">
        <w:t>Por tipo de fondo como porcentaje de PIB</w:t>
      </w:r>
    </w:p>
    <w:p w14:paraId="5BD08FD7" w14:textId="77777777" w:rsidR="0089748C" w:rsidRPr="00C161C9" w:rsidRDefault="0089748C" w:rsidP="0089748C">
      <w:pPr>
        <w:pStyle w:val="Descripcin"/>
        <w:spacing w:after="0"/>
        <w:jc w:val="center"/>
      </w:pPr>
      <w:r w:rsidRPr="00C161C9">
        <w:t>Billones de colones costarricenses a diciembre de cada año</w:t>
      </w:r>
    </w:p>
    <w:bookmarkEnd w:id="9"/>
    <w:p w14:paraId="6B2B199F" w14:textId="77777777" w:rsidR="0089748C" w:rsidRPr="00607A19" w:rsidRDefault="0089748C" w:rsidP="0089748C">
      <w:pPr>
        <w:spacing w:after="20"/>
        <w:rPr>
          <w:highlight w:val="yellow"/>
        </w:rPr>
      </w:pPr>
      <w:r>
        <w:rPr>
          <w:noProof/>
        </w:rPr>
        <w:drawing>
          <wp:inline distT="0" distB="0" distL="0" distR="0" wp14:anchorId="6CC6AE64" wp14:editId="1D1D177C">
            <wp:extent cx="5612130" cy="3143250"/>
            <wp:effectExtent l="0" t="0" r="7620" b="0"/>
            <wp:docPr id="4" name="Gráfico 4">
              <a:extLst xmlns:a="http://schemas.openxmlformats.org/drawingml/2006/main">
                <a:ext uri="{FF2B5EF4-FFF2-40B4-BE49-F238E27FC236}">
                  <a16:creationId xmlns:a16="http://schemas.microsoft.com/office/drawing/2014/main" id="{1C6C97A4-EBEF-4056-9429-8E0BAE715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82E5E4" w14:textId="77777777" w:rsidR="0089748C" w:rsidRPr="00C161C9" w:rsidRDefault="0089748C" w:rsidP="0089748C">
      <w:pPr>
        <w:pStyle w:val="Descripcin"/>
        <w:spacing w:after="0"/>
        <w:jc w:val="both"/>
      </w:pPr>
      <w:r w:rsidRPr="00C161C9">
        <w:t xml:space="preserve">  * Todos los datos para el 2021 son con corte al 30 de junio, excepto para Régimen básico (RIVM), los datos corresponden al 31 de mayo del 2021, último dato disponible.</w:t>
      </w:r>
    </w:p>
    <w:p w14:paraId="0BBA42DC" w14:textId="77777777" w:rsidR="0089748C" w:rsidRPr="00FC5B8B" w:rsidRDefault="0089748C" w:rsidP="0089748C">
      <w:pPr>
        <w:pStyle w:val="Descripcin"/>
        <w:spacing w:after="0"/>
        <w:jc w:val="both"/>
      </w:pPr>
      <w:r w:rsidRPr="00FC5B8B">
        <w:t xml:space="preserve">PIB es el Producto Interno Bruto a precios de mercado, nominal. Publicado en la página Web del </w:t>
      </w:r>
      <w:r>
        <w:t>BCCR</w:t>
      </w:r>
      <w:r w:rsidRPr="00FC5B8B">
        <w:t xml:space="preserve"> </w:t>
      </w:r>
      <w:r>
        <w:t>al 23/07/2021.</w:t>
      </w:r>
    </w:p>
    <w:p w14:paraId="03A39C1C" w14:textId="77777777" w:rsidR="0089748C" w:rsidRDefault="0089748C" w:rsidP="0089748C">
      <w:pPr>
        <w:pStyle w:val="Descripcin"/>
        <w:spacing w:after="0"/>
        <w:jc w:val="both"/>
      </w:pPr>
      <w:r w:rsidRPr="00FC5B8B">
        <w:t>Fuente: Elaboración propia</w:t>
      </w:r>
    </w:p>
    <w:p w14:paraId="36A89BC4" w14:textId="77777777" w:rsidR="0089748C" w:rsidRPr="000252E5" w:rsidRDefault="0089748C" w:rsidP="0089748C">
      <w:pPr>
        <w:spacing w:after="0" w:line="240" w:lineRule="auto"/>
        <w:jc w:val="both"/>
      </w:pPr>
    </w:p>
    <w:p w14:paraId="7D6C6D84" w14:textId="77777777" w:rsidR="0089748C" w:rsidRDefault="0089748C" w:rsidP="0089748C">
      <w:pPr>
        <w:pStyle w:val="Ttulo2"/>
        <w:numPr>
          <w:ilvl w:val="1"/>
          <w:numId w:val="1"/>
        </w:numPr>
      </w:pPr>
      <w:bookmarkStart w:id="10" w:name="_Toc80290685"/>
      <w:r w:rsidRPr="004A7EA3">
        <w:t>Inversiones</w:t>
      </w:r>
      <w:bookmarkEnd w:id="10"/>
      <w:r w:rsidRPr="004A7EA3">
        <w:t xml:space="preserve"> </w:t>
      </w:r>
    </w:p>
    <w:p w14:paraId="43B24D73" w14:textId="77777777" w:rsidR="0089748C" w:rsidRPr="000252E5" w:rsidRDefault="0089748C" w:rsidP="0089748C">
      <w:pPr>
        <w:spacing w:after="0" w:line="240" w:lineRule="auto"/>
        <w:jc w:val="both"/>
      </w:pPr>
    </w:p>
    <w:p w14:paraId="2A520F38" w14:textId="77777777" w:rsidR="0089748C" w:rsidRPr="007B3CB9" w:rsidRDefault="0089748C" w:rsidP="0089748C">
      <w:pPr>
        <w:tabs>
          <w:tab w:val="left" w:pos="1560"/>
        </w:tabs>
        <w:spacing w:after="0" w:line="240" w:lineRule="auto"/>
        <w:jc w:val="both"/>
        <w:rPr>
          <w:highlight w:val="yellow"/>
        </w:rPr>
      </w:pPr>
      <w:r w:rsidRPr="004D5834">
        <w:t>El portafolio de las inversiones (</w:t>
      </w:r>
      <w:r>
        <w:t>no se consideran</w:t>
      </w:r>
      <w:r w:rsidRPr="004D5834">
        <w:t xml:space="preserve"> carteras </w:t>
      </w:r>
      <w:r>
        <w:t>crediticias</w:t>
      </w:r>
      <w:r w:rsidRPr="004D5834">
        <w:t>) del SNP y el FCL equivale a ₡16,4 billones. Del total de inversiones</w:t>
      </w:r>
      <w:r>
        <w:t xml:space="preserve"> un 75,3% está concentrado en el Sector Púbico (</w:t>
      </w:r>
      <w:r w:rsidRPr="004D5834">
        <w:t>₡12,3 billones en Sector Público</w:t>
      </w:r>
      <w:r>
        <w:t xml:space="preserve">) principalmente </w:t>
      </w:r>
      <w:r w:rsidRPr="00ED74F4">
        <w:t>en instrumentos del Ministerio de Hacienda y Banco Central de Costa Rica</w:t>
      </w:r>
      <w:r>
        <w:t xml:space="preserve"> </w:t>
      </w:r>
      <w:r w:rsidRPr="004D5834">
        <w:t>(</w:t>
      </w:r>
      <w:r>
        <w:t xml:space="preserve">93,4%). </w:t>
      </w:r>
      <w:r w:rsidRPr="00ED74F4">
        <w:t>El</w:t>
      </w:r>
      <w:r w:rsidRPr="00B20BE8">
        <w:t xml:space="preserve"> 76% de los portafolios de pensiones se concentra en colones costarricenses y el restante 24% en US </w:t>
      </w:r>
      <w:r w:rsidRPr="00F74FB3">
        <w:t>dólares. La exposición en esta última moneda se incrementó un 3,9% durante el trimestre para todo el SNP y FCL.</w:t>
      </w:r>
    </w:p>
    <w:p w14:paraId="291E940A" w14:textId="77777777" w:rsidR="0089748C" w:rsidRPr="007B3CB9" w:rsidRDefault="0089748C" w:rsidP="0089748C">
      <w:pPr>
        <w:spacing w:after="0" w:line="240" w:lineRule="auto"/>
        <w:jc w:val="both"/>
        <w:rPr>
          <w:highlight w:val="yellow"/>
        </w:rPr>
      </w:pPr>
    </w:p>
    <w:p w14:paraId="1521FC0F" w14:textId="77777777" w:rsidR="0089748C" w:rsidRPr="004A7EA3" w:rsidRDefault="0089748C" w:rsidP="0089748C">
      <w:pPr>
        <w:spacing w:after="0" w:line="240" w:lineRule="auto"/>
        <w:jc w:val="both"/>
      </w:pPr>
      <w:r>
        <w:lastRenderedPageBreak/>
        <w:t xml:space="preserve">En el extranjero se invierte </w:t>
      </w:r>
      <w:r w:rsidRPr="008979BE">
        <w:rPr>
          <w:rFonts w:ascii="Calibri" w:eastAsia="Times New Roman" w:hAnsi="Calibri" w:cs="Calibri"/>
          <w:color w:val="000000"/>
          <w:lang w:val="es-CR" w:eastAsia="es-CR"/>
        </w:rPr>
        <w:t>₡</w:t>
      </w:r>
      <w:r>
        <w:t>2,2 billones, esto representa un</w:t>
      </w:r>
      <w:r w:rsidRPr="007B3CB9">
        <w:t xml:space="preserve"> 13,6% del total de los portafolios del SNP y FCL</w:t>
      </w:r>
      <w:r>
        <w:t>; el 94,4% de este monto corresponde al ROP, el cual incrementa su posición en</w:t>
      </w:r>
      <w:r w:rsidRPr="007B3CB9">
        <w:t xml:space="preserve"> </w:t>
      </w:r>
      <w:r>
        <w:t>5</w:t>
      </w:r>
      <w:r w:rsidRPr="007B3CB9">
        <w:t xml:space="preserve">,7% con respecto al cierre del trimestre anterior. Las inversiones de este tipo se concentran en Exchange </w:t>
      </w:r>
      <w:proofErr w:type="spellStart"/>
      <w:r w:rsidRPr="007B3CB9">
        <w:t>Traded</w:t>
      </w:r>
      <w:proofErr w:type="spellEnd"/>
      <w:r w:rsidRPr="007B3CB9">
        <w:t xml:space="preserve"> </w:t>
      </w:r>
      <w:proofErr w:type="spellStart"/>
      <w:r w:rsidRPr="007B3CB9">
        <w:t>Funds</w:t>
      </w:r>
      <w:proofErr w:type="spellEnd"/>
      <w:r w:rsidRPr="007B3CB9">
        <w:t xml:space="preserve"> (ETF) y participaciones de fondos de nivel I</w:t>
      </w:r>
      <w:r>
        <w:rPr>
          <w:rStyle w:val="Refdenotaalpie"/>
        </w:rPr>
        <w:footnoteReference w:id="2"/>
      </w:r>
      <w:r>
        <w:t>.</w:t>
      </w:r>
    </w:p>
    <w:p w14:paraId="53CF764F" w14:textId="77777777" w:rsidR="0089748C" w:rsidRPr="004A7EA3" w:rsidRDefault="0089748C" w:rsidP="0089748C">
      <w:pPr>
        <w:spacing w:after="0" w:line="240" w:lineRule="auto"/>
        <w:jc w:val="both"/>
      </w:pPr>
    </w:p>
    <w:p w14:paraId="58FA8AA4" w14:textId="77777777" w:rsidR="0089748C" w:rsidRPr="004A7EA3" w:rsidRDefault="0089748C" w:rsidP="0089748C">
      <w:pPr>
        <w:pStyle w:val="Descripcin"/>
        <w:spacing w:after="0"/>
        <w:jc w:val="center"/>
      </w:pPr>
      <w:r w:rsidRPr="004A7EA3">
        <w:t xml:space="preserve">Tabla </w:t>
      </w:r>
      <w:r w:rsidRPr="004A7EA3">
        <w:fldChar w:fldCharType="begin"/>
      </w:r>
      <w:r w:rsidRPr="004A7EA3">
        <w:instrText xml:space="preserve"> SEQ Tabla \* ARABIC </w:instrText>
      </w:r>
      <w:r w:rsidRPr="004A7EA3">
        <w:fldChar w:fldCharType="separate"/>
      </w:r>
      <w:r>
        <w:rPr>
          <w:noProof/>
        </w:rPr>
        <w:t>2</w:t>
      </w:r>
      <w:r w:rsidRPr="004A7EA3">
        <w:fldChar w:fldCharType="end"/>
      </w:r>
      <w:r w:rsidRPr="004A7EA3">
        <w:t>: Inversiones del Sistema Nacional de Pensiones y FCL</w:t>
      </w:r>
    </w:p>
    <w:p w14:paraId="1EA59C88" w14:textId="77777777" w:rsidR="0089748C" w:rsidRPr="004A7EA3" w:rsidRDefault="0089748C" w:rsidP="0089748C">
      <w:pPr>
        <w:pStyle w:val="Descripcin"/>
        <w:tabs>
          <w:tab w:val="center" w:pos="4419"/>
          <w:tab w:val="left" w:pos="5788"/>
        </w:tabs>
        <w:spacing w:after="0"/>
      </w:pPr>
      <w:r w:rsidRPr="004A7EA3">
        <w:tab/>
        <w:t>Por sector y tipo de fondo</w:t>
      </w:r>
    </w:p>
    <w:p w14:paraId="5272D6E9" w14:textId="77777777" w:rsidR="0089748C" w:rsidRPr="004A7EA3" w:rsidRDefault="0089748C" w:rsidP="0089748C">
      <w:pPr>
        <w:pStyle w:val="Descripcin"/>
        <w:tabs>
          <w:tab w:val="center" w:pos="4419"/>
          <w:tab w:val="left" w:pos="5788"/>
        </w:tabs>
        <w:spacing w:after="0"/>
        <w:jc w:val="center"/>
      </w:pPr>
      <w:r w:rsidRPr="004A7EA3">
        <w:t>Millones de colones costarricenses</w:t>
      </w:r>
    </w:p>
    <w:p w14:paraId="1AAB89C1" w14:textId="77777777" w:rsidR="0089748C" w:rsidRDefault="0089748C" w:rsidP="0089748C">
      <w:pPr>
        <w:pStyle w:val="Descripcin"/>
        <w:tabs>
          <w:tab w:val="center" w:pos="4419"/>
          <w:tab w:val="left" w:pos="5788"/>
        </w:tabs>
        <w:spacing w:after="0"/>
        <w:jc w:val="center"/>
      </w:pPr>
      <w:r w:rsidRPr="004A7EA3">
        <w:t xml:space="preserve"> Al 3</w:t>
      </w:r>
      <w:r>
        <w:t>0</w:t>
      </w:r>
      <w:r w:rsidRPr="004A7EA3">
        <w:t xml:space="preserve"> de </w:t>
      </w:r>
      <w:r>
        <w:t>junio</w:t>
      </w:r>
      <w:r w:rsidRPr="004A7EA3">
        <w:t xml:space="preserve"> del 202</w:t>
      </w:r>
      <w:r>
        <w:t>1</w:t>
      </w:r>
    </w:p>
    <w:tbl>
      <w:tblPr>
        <w:tblW w:w="10429" w:type="dxa"/>
        <w:jc w:val="center"/>
        <w:tblCellMar>
          <w:left w:w="70" w:type="dxa"/>
          <w:right w:w="70" w:type="dxa"/>
        </w:tblCellMar>
        <w:tblLook w:val="04A0" w:firstRow="1" w:lastRow="0" w:firstColumn="1" w:lastColumn="0" w:noHBand="0" w:noVBand="1"/>
      </w:tblPr>
      <w:tblGrid>
        <w:gridCol w:w="3534"/>
        <w:gridCol w:w="1398"/>
        <w:gridCol w:w="761"/>
        <w:gridCol w:w="1079"/>
        <w:gridCol w:w="765"/>
        <w:gridCol w:w="1058"/>
        <w:gridCol w:w="764"/>
        <w:gridCol w:w="1070"/>
      </w:tblGrid>
      <w:tr w:rsidR="0089748C" w:rsidRPr="008C4DC4" w14:paraId="4C299F19" w14:textId="77777777" w:rsidTr="004A4F6C">
        <w:trPr>
          <w:trHeight w:val="246"/>
          <w:jc w:val="center"/>
        </w:trPr>
        <w:tc>
          <w:tcPr>
            <w:tcW w:w="3534" w:type="dxa"/>
            <w:vMerge w:val="restart"/>
            <w:tcBorders>
              <w:top w:val="single" w:sz="8" w:space="0" w:color="8DB3E2"/>
              <w:left w:val="single" w:sz="8" w:space="0" w:color="8DB3E2"/>
              <w:bottom w:val="single" w:sz="8" w:space="0" w:color="8DB3E2"/>
              <w:right w:val="single" w:sz="8" w:space="0" w:color="8DB3E2"/>
            </w:tcBorders>
            <w:shd w:val="clear" w:color="000000" w:fill="4F81BD"/>
            <w:noWrap/>
            <w:vAlign w:val="center"/>
            <w:hideMark/>
          </w:tcPr>
          <w:p w14:paraId="41D0742D" w14:textId="77777777" w:rsidR="0089748C" w:rsidRPr="008C4DC4" w:rsidRDefault="0089748C" w:rsidP="004A4F6C">
            <w:pPr>
              <w:spacing w:after="0" w:line="240" w:lineRule="auto"/>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Tipo de Fondo</w:t>
            </w:r>
          </w:p>
        </w:tc>
        <w:tc>
          <w:tcPr>
            <w:tcW w:w="2159"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7505ABA0"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Extranjero</w:t>
            </w:r>
          </w:p>
        </w:tc>
        <w:tc>
          <w:tcPr>
            <w:tcW w:w="1844"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75960BB0"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 xml:space="preserve">   Privado</w:t>
            </w:r>
          </w:p>
        </w:tc>
        <w:tc>
          <w:tcPr>
            <w:tcW w:w="1822" w:type="dxa"/>
            <w:gridSpan w:val="2"/>
            <w:tcBorders>
              <w:top w:val="single" w:sz="8" w:space="0" w:color="8DB3E2"/>
              <w:left w:val="nil"/>
              <w:bottom w:val="single" w:sz="8" w:space="0" w:color="8DB3E2"/>
              <w:right w:val="single" w:sz="8" w:space="0" w:color="8DB3E2"/>
            </w:tcBorders>
            <w:shd w:val="clear" w:color="000000" w:fill="4F81BD"/>
            <w:vAlign w:val="center"/>
            <w:hideMark/>
          </w:tcPr>
          <w:p w14:paraId="184B54CD"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Público</w:t>
            </w:r>
          </w:p>
        </w:tc>
        <w:tc>
          <w:tcPr>
            <w:tcW w:w="1070" w:type="dxa"/>
            <w:tcBorders>
              <w:top w:val="single" w:sz="8" w:space="0" w:color="8DB3E2"/>
              <w:left w:val="nil"/>
              <w:bottom w:val="single" w:sz="8" w:space="0" w:color="8DB3E2"/>
              <w:right w:val="single" w:sz="8" w:space="0" w:color="8DB3E2"/>
            </w:tcBorders>
            <w:shd w:val="clear" w:color="000000" w:fill="4F81BD"/>
            <w:noWrap/>
            <w:vAlign w:val="center"/>
            <w:hideMark/>
          </w:tcPr>
          <w:p w14:paraId="1D010BAD"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Total</w:t>
            </w:r>
          </w:p>
        </w:tc>
      </w:tr>
      <w:tr w:rsidR="0089748C" w:rsidRPr="008C4DC4" w14:paraId="65FB7113" w14:textId="77777777" w:rsidTr="004A4F6C">
        <w:trPr>
          <w:trHeight w:val="246"/>
          <w:jc w:val="center"/>
        </w:trPr>
        <w:tc>
          <w:tcPr>
            <w:tcW w:w="3534" w:type="dxa"/>
            <w:vMerge/>
            <w:tcBorders>
              <w:top w:val="single" w:sz="8" w:space="0" w:color="8DB3E2"/>
              <w:left w:val="single" w:sz="8" w:space="0" w:color="8DB3E2"/>
              <w:bottom w:val="single" w:sz="8" w:space="0" w:color="8DB3E2"/>
              <w:right w:val="single" w:sz="8" w:space="0" w:color="8DB3E2"/>
            </w:tcBorders>
            <w:vAlign w:val="center"/>
            <w:hideMark/>
          </w:tcPr>
          <w:p w14:paraId="73C96536" w14:textId="77777777" w:rsidR="0089748C" w:rsidRPr="008C4DC4" w:rsidRDefault="0089748C" w:rsidP="004A4F6C">
            <w:pPr>
              <w:spacing w:after="0" w:line="240" w:lineRule="auto"/>
              <w:rPr>
                <w:rFonts w:ascii="Calibri" w:eastAsia="Times New Roman" w:hAnsi="Calibri" w:cs="Calibri"/>
                <w:b/>
                <w:bCs/>
                <w:color w:val="FFFFFF"/>
                <w:sz w:val="20"/>
                <w:szCs w:val="20"/>
                <w:lang w:val="es-CR" w:eastAsia="es-CR"/>
              </w:rPr>
            </w:pPr>
          </w:p>
        </w:tc>
        <w:tc>
          <w:tcPr>
            <w:tcW w:w="1398" w:type="dxa"/>
            <w:tcBorders>
              <w:top w:val="nil"/>
              <w:left w:val="nil"/>
              <w:bottom w:val="single" w:sz="8" w:space="0" w:color="8DB3E2"/>
              <w:right w:val="single" w:sz="8" w:space="0" w:color="8DB3E2"/>
            </w:tcBorders>
            <w:shd w:val="clear" w:color="000000" w:fill="4F81BD"/>
            <w:noWrap/>
            <w:vAlign w:val="center"/>
            <w:hideMark/>
          </w:tcPr>
          <w:p w14:paraId="103CAE60"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Monto</w:t>
            </w:r>
          </w:p>
        </w:tc>
        <w:tc>
          <w:tcPr>
            <w:tcW w:w="761" w:type="dxa"/>
            <w:tcBorders>
              <w:top w:val="nil"/>
              <w:left w:val="nil"/>
              <w:bottom w:val="single" w:sz="8" w:space="0" w:color="8DB3E2"/>
              <w:right w:val="single" w:sz="8" w:space="0" w:color="8DB3E2"/>
            </w:tcBorders>
            <w:shd w:val="clear" w:color="000000" w:fill="4F81BD"/>
            <w:noWrap/>
            <w:vAlign w:val="center"/>
            <w:hideMark/>
          </w:tcPr>
          <w:p w14:paraId="02FA3FC4"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w:t>
            </w:r>
          </w:p>
        </w:tc>
        <w:tc>
          <w:tcPr>
            <w:tcW w:w="1079" w:type="dxa"/>
            <w:tcBorders>
              <w:top w:val="nil"/>
              <w:left w:val="nil"/>
              <w:bottom w:val="single" w:sz="8" w:space="0" w:color="8DB3E2"/>
              <w:right w:val="single" w:sz="8" w:space="0" w:color="8DB3E2"/>
            </w:tcBorders>
            <w:shd w:val="clear" w:color="000000" w:fill="4F81BD"/>
            <w:noWrap/>
            <w:vAlign w:val="center"/>
            <w:hideMark/>
          </w:tcPr>
          <w:p w14:paraId="556D0018"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Monto</w:t>
            </w:r>
          </w:p>
        </w:tc>
        <w:tc>
          <w:tcPr>
            <w:tcW w:w="765" w:type="dxa"/>
            <w:tcBorders>
              <w:top w:val="nil"/>
              <w:left w:val="nil"/>
              <w:bottom w:val="single" w:sz="8" w:space="0" w:color="8DB3E2"/>
              <w:right w:val="single" w:sz="8" w:space="0" w:color="8DB3E2"/>
            </w:tcBorders>
            <w:shd w:val="clear" w:color="000000" w:fill="4F81BD"/>
            <w:noWrap/>
            <w:vAlign w:val="center"/>
            <w:hideMark/>
          </w:tcPr>
          <w:p w14:paraId="51A973E8"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w:t>
            </w:r>
          </w:p>
        </w:tc>
        <w:tc>
          <w:tcPr>
            <w:tcW w:w="1058" w:type="dxa"/>
            <w:tcBorders>
              <w:top w:val="nil"/>
              <w:left w:val="nil"/>
              <w:bottom w:val="single" w:sz="8" w:space="0" w:color="8DB3E2"/>
              <w:right w:val="single" w:sz="8" w:space="0" w:color="8DB3E2"/>
            </w:tcBorders>
            <w:shd w:val="clear" w:color="000000" w:fill="4F81BD"/>
            <w:noWrap/>
            <w:vAlign w:val="center"/>
            <w:hideMark/>
          </w:tcPr>
          <w:p w14:paraId="6CD07E4B"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Monto</w:t>
            </w:r>
          </w:p>
        </w:tc>
        <w:tc>
          <w:tcPr>
            <w:tcW w:w="764" w:type="dxa"/>
            <w:tcBorders>
              <w:top w:val="nil"/>
              <w:left w:val="nil"/>
              <w:bottom w:val="single" w:sz="8" w:space="0" w:color="8DB3E2"/>
              <w:right w:val="single" w:sz="8" w:space="0" w:color="8DB3E2"/>
            </w:tcBorders>
            <w:shd w:val="clear" w:color="000000" w:fill="4F81BD"/>
            <w:noWrap/>
            <w:vAlign w:val="center"/>
            <w:hideMark/>
          </w:tcPr>
          <w:p w14:paraId="1589FC7C"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w:t>
            </w:r>
          </w:p>
        </w:tc>
        <w:tc>
          <w:tcPr>
            <w:tcW w:w="1070" w:type="dxa"/>
            <w:tcBorders>
              <w:top w:val="nil"/>
              <w:left w:val="nil"/>
              <w:bottom w:val="single" w:sz="8" w:space="0" w:color="8DB3E2"/>
              <w:right w:val="single" w:sz="8" w:space="0" w:color="8DB3E2"/>
            </w:tcBorders>
            <w:shd w:val="clear" w:color="000000" w:fill="4F81BD"/>
            <w:noWrap/>
            <w:vAlign w:val="center"/>
            <w:hideMark/>
          </w:tcPr>
          <w:p w14:paraId="69A7D0A0" w14:textId="77777777" w:rsidR="0089748C" w:rsidRPr="008C4DC4" w:rsidRDefault="0089748C" w:rsidP="004A4F6C">
            <w:pPr>
              <w:spacing w:after="0" w:line="240" w:lineRule="auto"/>
              <w:jc w:val="center"/>
              <w:rPr>
                <w:rFonts w:ascii="Calibri" w:eastAsia="Times New Roman" w:hAnsi="Calibri" w:cs="Calibri"/>
                <w:b/>
                <w:bCs/>
                <w:color w:val="FFFFFF"/>
                <w:sz w:val="20"/>
                <w:szCs w:val="20"/>
                <w:lang w:val="es-CR" w:eastAsia="es-CR"/>
              </w:rPr>
            </w:pPr>
            <w:r w:rsidRPr="008C4DC4">
              <w:rPr>
                <w:rFonts w:ascii="Calibri" w:eastAsia="Times New Roman" w:hAnsi="Calibri" w:cs="Calibri"/>
                <w:b/>
                <w:bCs/>
                <w:color w:val="FFFFFF"/>
                <w:sz w:val="20"/>
                <w:szCs w:val="20"/>
                <w:lang w:val="es-CR" w:eastAsia="es-CR"/>
              </w:rPr>
              <w:t>Monto</w:t>
            </w:r>
          </w:p>
        </w:tc>
      </w:tr>
      <w:tr w:rsidR="0089748C" w:rsidRPr="008C4DC4" w14:paraId="11984239"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auto" w:fill="auto"/>
            <w:noWrap/>
            <w:vAlign w:val="center"/>
            <w:hideMark/>
          </w:tcPr>
          <w:p w14:paraId="7A2DD5C4"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Régimen Básico (RIVM)</w:t>
            </w:r>
          </w:p>
        </w:tc>
        <w:tc>
          <w:tcPr>
            <w:tcW w:w="1398" w:type="dxa"/>
            <w:tcBorders>
              <w:top w:val="nil"/>
              <w:left w:val="nil"/>
              <w:bottom w:val="single" w:sz="8" w:space="0" w:color="8DB3E2"/>
              <w:right w:val="single" w:sz="8" w:space="0" w:color="8DB3E2"/>
            </w:tcBorders>
            <w:shd w:val="clear" w:color="auto" w:fill="auto"/>
            <w:noWrap/>
            <w:vAlign w:val="center"/>
            <w:hideMark/>
          </w:tcPr>
          <w:p w14:paraId="4B6EC7AC"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 </w:t>
            </w:r>
          </w:p>
        </w:tc>
        <w:tc>
          <w:tcPr>
            <w:tcW w:w="761" w:type="dxa"/>
            <w:tcBorders>
              <w:top w:val="nil"/>
              <w:left w:val="nil"/>
              <w:bottom w:val="nil"/>
              <w:right w:val="single" w:sz="8" w:space="0" w:color="8DB3E2"/>
            </w:tcBorders>
            <w:shd w:val="clear" w:color="auto" w:fill="auto"/>
            <w:noWrap/>
            <w:vAlign w:val="center"/>
            <w:hideMark/>
          </w:tcPr>
          <w:p w14:paraId="73EEFAE8"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auto" w:fill="auto"/>
            <w:noWrap/>
            <w:vAlign w:val="center"/>
            <w:hideMark/>
          </w:tcPr>
          <w:p w14:paraId="321C85ED"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105 453</w:t>
            </w:r>
          </w:p>
        </w:tc>
        <w:tc>
          <w:tcPr>
            <w:tcW w:w="765" w:type="dxa"/>
            <w:tcBorders>
              <w:top w:val="nil"/>
              <w:left w:val="nil"/>
              <w:bottom w:val="nil"/>
              <w:right w:val="single" w:sz="8" w:space="0" w:color="8DB3E2"/>
            </w:tcBorders>
            <w:shd w:val="clear" w:color="auto" w:fill="auto"/>
            <w:noWrap/>
            <w:vAlign w:val="center"/>
            <w:hideMark/>
          </w:tcPr>
          <w:p w14:paraId="0B4AA174"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4,</w:t>
            </w:r>
            <w:r>
              <w:rPr>
                <w:rFonts w:ascii="Calibri" w:eastAsia="Times New Roman" w:hAnsi="Calibri" w:cs="Calibri"/>
                <w:color w:val="000000"/>
                <w:sz w:val="20"/>
                <w:szCs w:val="20"/>
                <w:lang w:val="es-CR" w:eastAsia="es-CR"/>
              </w:rPr>
              <w:t>2</w:t>
            </w:r>
            <w:r w:rsidRPr="008C4DC4">
              <w:rPr>
                <w:rFonts w:ascii="Calibri" w:eastAsia="Times New Roman" w:hAnsi="Calibri" w:cs="Calibri"/>
                <w:color w:val="000000"/>
                <w:sz w:val="20"/>
                <w:szCs w:val="20"/>
                <w:lang w:val="es-CR" w:eastAsia="es-CR"/>
              </w:rPr>
              <w:t>%</w:t>
            </w:r>
          </w:p>
        </w:tc>
        <w:tc>
          <w:tcPr>
            <w:tcW w:w="1058" w:type="dxa"/>
            <w:tcBorders>
              <w:top w:val="nil"/>
              <w:left w:val="nil"/>
              <w:bottom w:val="single" w:sz="8" w:space="0" w:color="8DB3E2"/>
              <w:right w:val="single" w:sz="8" w:space="0" w:color="8DB3E2"/>
            </w:tcBorders>
            <w:shd w:val="clear" w:color="auto" w:fill="auto"/>
            <w:noWrap/>
            <w:vAlign w:val="center"/>
            <w:hideMark/>
          </w:tcPr>
          <w:p w14:paraId="49209623"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2 425 283 </w:t>
            </w:r>
          </w:p>
        </w:tc>
        <w:tc>
          <w:tcPr>
            <w:tcW w:w="764" w:type="dxa"/>
            <w:tcBorders>
              <w:top w:val="nil"/>
              <w:left w:val="nil"/>
              <w:bottom w:val="nil"/>
              <w:right w:val="single" w:sz="8" w:space="0" w:color="8DB3E2"/>
            </w:tcBorders>
            <w:shd w:val="clear" w:color="auto" w:fill="auto"/>
            <w:noWrap/>
            <w:vAlign w:val="center"/>
            <w:hideMark/>
          </w:tcPr>
          <w:p w14:paraId="022CA2FF"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95,8%</w:t>
            </w:r>
          </w:p>
        </w:tc>
        <w:tc>
          <w:tcPr>
            <w:tcW w:w="1070" w:type="dxa"/>
            <w:tcBorders>
              <w:top w:val="nil"/>
              <w:left w:val="nil"/>
              <w:bottom w:val="single" w:sz="8" w:space="0" w:color="8DB3E2"/>
              <w:right w:val="single" w:sz="8" w:space="0" w:color="8DB3E2"/>
            </w:tcBorders>
            <w:shd w:val="clear" w:color="auto" w:fill="auto"/>
            <w:noWrap/>
            <w:vAlign w:val="center"/>
            <w:hideMark/>
          </w:tcPr>
          <w:p w14:paraId="0575C1CB"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2 530 736</w:t>
            </w:r>
          </w:p>
        </w:tc>
      </w:tr>
      <w:tr w:rsidR="0089748C" w:rsidRPr="008C4DC4" w14:paraId="0FCC1E35" w14:textId="77777777" w:rsidTr="004A4F6C">
        <w:trPr>
          <w:trHeight w:val="246"/>
          <w:jc w:val="center"/>
        </w:trPr>
        <w:tc>
          <w:tcPr>
            <w:tcW w:w="10429" w:type="dxa"/>
            <w:gridSpan w:val="8"/>
            <w:tcBorders>
              <w:top w:val="single" w:sz="8" w:space="0" w:color="8DB3E2"/>
              <w:left w:val="single" w:sz="8" w:space="0" w:color="8DB3E2"/>
              <w:bottom w:val="single" w:sz="8" w:space="0" w:color="8DB3E2"/>
              <w:right w:val="single" w:sz="8" w:space="0" w:color="8DB3E2"/>
            </w:tcBorders>
            <w:shd w:val="clear" w:color="000000" w:fill="DBE5F1"/>
            <w:noWrap/>
            <w:vAlign w:val="center"/>
            <w:hideMark/>
          </w:tcPr>
          <w:p w14:paraId="19313507"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Regímenes Básicos Sustitutos</w:t>
            </w:r>
          </w:p>
        </w:tc>
      </w:tr>
      <w:tr w:rsidR="0089748C" w:rsidRPr="008C4DC4" w14:paraId="52B4D281"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auto" w:fill="auto"/>
            <w:noWrap/>
            <w:vAlign w:val="center"/>
            <w:hideMark/>
          </w:tcPr>
          <w:p w14:paraId="24AF8C1E" w14:textId="77777777" w:rsidR="0089748C" w:rsidRPr="008C4DC4" w:rsidRDefault="0089748C" w:rsidP="004A4F6C">
            <w:pPr>
              <w:spacing w:after="0" w:line="240" w:lineRule="auto"/>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RCCMN</w:t>
            </w:r>
          </w:p>
        </w:tc>
        <w:tc>
          <w:tcPr>
            <w:tcW w:w="1398" w:type="dxa"/>
            <w:tcBorders>
              <w:top w:val="nil"/>
              <w:left w:val="nil"/>
              <w:bottom w:val="single" w:sz="8" w:space="0" w:color="8DB3E2"/>
              <w:right w:val="single" w:sz="8" w:space="0" w:color="8DB3E2"/>
            </w:tcBorders>
            <w:shd w:val="clear" w:color="auto" w:fill="auto"/>
            <w:noWrap/>
            <w:vAlign w:val="center"/>
            <w:hideMark/>
          </w:tcPr>
          <w:p w14:paraId="7D9F2736"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 </w:t>
            </w:r>
          </w:p>
        </w:tc>
        <w:tc>
          <w:tcPr>
            <w:tcW w:w="761" w:type="dxa"/>
            <w:tcBorders>
              <w:top w:val="nil"/>
              <w:left w:val="nil"/>
              <w:bottom w:val="single" w:sz="8" w:space="0" w:color="8DB3E2"/>
              <w:right w:val="single" w:sz="8" w:space="0" w:color="8DB3E2"/>
            </w:tcBorders>
            <w:shd w:val="clear" w:color="auto" w:fill="auto"/>
            <w:noWrap/>
            <w:vAlign w:val="center"/>
          </w:tcPr>
          <w:p w14:paraId="5DB02FAD"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auto" w:fill="auto"/>
            <w:noWrap/>
            <w:vAlign w:val="center"/>
            <w:hideMark/>
          </w:tcPr>
          <w:p w14:paraId="4B21D50A"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450 085 </w:t>
            </w:r>
          </w:p>
        </w:tc>
        <w:tc>
          <w:tcPr>
            <w:tcW w:w="765" w:type="dxa"/>
            <w:tcBorders>
              <w:top w:val="nil"/>
              <w:left w:val="nil"/>
              <w:bottom w:val="single" w:sz="8" w:space="0" w:color="8DB3E2"/>
              <w:right w:val="single" w:sz="8" w:space="0" w:color="8DB3E2"/>
            </w:tcBorders>
            <w:shd w:val="clear" w:color="auto" w:fill="auto"/>
            <w:noWrap/>
            <w:vAlign w:val="center"/>
            <w:hideMark/>
          </w:tcPr>
          <w:p w14:paraId="6BF6CEA0"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13,</w:t>
            </w:r>
            <w:r>
              <w:rPr>
                <w:rFonts w:ascii="Calibri" w:eastAsia="Times New Roman" w:hAnsi="Calibri" w:cs="Calibri"/>
                <w:color w:val="000000"/>
                <w:sz w:val="20"/>
                <w:szCs w:val="20"/>
                <w:lang w:val="es-CR" w:eastAsia="es-CR"/>
              </w:rPr>
              <w:t>9</w:t>
            </w:r>
            <w:r w:rsidRPr="008C4DC4">
              <w:rPr>
                <w:rFonts w:ascii="Calibri" w:eastAsia="Times New Roman" w:hAnsi="Calibri" w:cs="Calibri"/>
                <w:color w:val="000000"/>
                <w:sz w:val="20"/>
                <w:szCs w:val="20"/>
                <w:lang w:val="es-CR" w:eastAsia="es-CR"/>
              </w:rPr>
              <w:t>%</w:t>
            </w:r>
          </w:p>
        </w:tc>
        <w:tc>
          <w:tcPr>
            <w:tcW w:w="1058" w:type="dxa"/>
            <w:tcBorders>
              <w:top w:val="nil"/>
              <w:left w:val="nil"/>
              <w:bottom w:val="single" w:sz="8" w:space="0" w:color="8DB3E2"/>
              <w:right w:val="single" w:sz="8" w:space="0" w:color="8DB3E2"/>
            </w:tcBorders>
            <w:shd w:val="clear" w:color="auto" w:fill="auto"/>
            <w:noWrap/>
            <w:vAlign w:val="center"/>
            <w:hideMark/>
          </w:tcPr>
          <w:p w14:paraId="7661C2D6"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2 792 111 </w:t>
            </w:r>
          </w:p>
        </w:tc>
        <w:tc>
          <w:tcPr>
            <w:tcW w:w="764" w:type="dxa"/>
            <w:tcBorders>
              <w:top w:val="nil"/>
              <w:left w:val="nil"/>
              <w:bottom w:val="single" w:sz="8" w:space="0" w:color="8DB3E2"/>
              <w:right w:val="single" w:sz="8" w:space="0" w:color="8DB3E2"/>
            </w:tcBorders>
            <w:shd w:val="clear" w:color="auto" w:fill="auto"/>
            <w:noWrap/>
            <w:vAlign w:val="center"/>
            <w:hideMark/>
          </w:tcPr>
          <w:p w14:paraId="1F7C8F8B"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86,1%</w:t>
            </w:r>
          </w:p>
        </w:tc>
        <w:tc>
          <w:tcPr>
            <w:tcW w:w="1070" w:type="dxa"/>
            <w:tcBorders>
              <w:top w:val="nil"/>
              <w:left w:val="nil"/>
              <w:bottom w:val="single" w:sz="8" w:space="0" w:color="8DB3E2"/>
              <w:right w:val="single" w:sz="8" w:space="0" w:color="8DB3E2"/>
            </w:tcBorders>
            <w:shd w:val="clear" w:color="auto" w:fill="auto"/>
            <w:noWrap/>
            <w:vAlign w:val="center"/>
            <w:hideMark/>
          </w:tcPr>
          <w:p w14:paraId="089B8E75"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3 242 196 </w:t>
            </w:r>
          </w:p>
        </w:tc>
      </w:tr>
      <w:tr w:rsidR="0089748C" w:rsidRPr="008C4DC4" w14:paraId="4D217B90"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000000" w:fill="DBE5F1"/>
            <w:noWrap/>
            <w:vAlign w:val="center"/>
            <w:hideMark/>
          </w:tcPr>
          <w:p w14:paraId="7DFC7AF2" w14:textId="77777777" w:rsidR="0089748C" w:rsidRPr="008C4DC4" w:rsidRDefault="0089748C" w:rsidP="004A4F6C">
            <w:pPr>
              <w:spacing w:after="0" w:line="240" w:lineRule="auto"/>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FPJ</w:t>
            </w:r>
          </w:p>
        </w:tc>
        <w:tc>
          <w:tcPr>
            <w:tcW w:w="1398" w:type="dxa"/>
            <w:tcBorders>
              <w:top w:val="nil"/>
              <w:left w:val="nil"/>
              <w:bottom w:val="single" w:sz="8" w:space="0" w:color="8DB3E2"/>
              <w:right w:val="single" w:sz="8" w:space="0" w:color="8DB3E2"/>
            </w:tcBorders>
            <w:shd w:val="clear" w:color="000000" w:fill="DBE5F1"/>
            <w:noWrap/>
            <w:vAlign w:val="center"/>
            <w:hideMark/>
          </w:tcPr>
          <w:p w14:paraId="5A059F2E"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 </w:t>
            </w:r>
          </w:p>
        </w:tc>
        <w:tc>
          <w:tcPr>
            <w:tcW w:w="761" w:type="dxa"/>
            <w:tcBorders>
              <w:top w:val="nil"/>
              <w:left w:val="nil"/>
              <w:bottom w:val="single" w:sz="8" w:space="0" w:color="8DB3E2"/>
              <w:right w:val="single" w:sz="8" w:space="0" w:color="8DB3E2"/>
            </w:tcBorders>
            <w:shd w:val="clear" w:color="000000" w:fill="DBE5F1"/>
            <w:noWrap/>
            <w:vAlign w:val="center"/>
          </w:tcPr>
          <w:p w14:paraId="24B89EED"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000000" w:fill="DBE5F1"/>
            <w:noWrap/>
            <w:vAlign w:val="center"/>
            <w:hideMark/>
          </w:tcPr>
          <w:p w14:paraId="59B59D33"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122 854 </w:t>
            </w:r>
          </w:p>
        </w:tc>
        <w:tc>
          <w:tcPr>
            <w:tcW w:w="765" w:type="dxa"/>
            <w:tcBorders>
              <w:top w:val="nil"/>
              <w:left w:val="nil"/>
              <w:bottom w:val="single" w:sz="8" w:space="0" w:color="8DB3E2"/>
              <w:right w:val="single" w:sz="8" w:space="0" w:color="8DB3E2"/>
            </w:tcBorders>
            <w:shd w:val="clear" w:color="000000" w:fill="DBE5F1"/>
            <w:noWrap/>
            <w:vAlign w:val="center"/>
            <w:hideMark/>
          </w:tcPr>
          <w:p w14:paraId="275C82B9"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18,</w:t>
            </w:r>
            <w:r>
              <w:rPr>
                <w:rFonts w:ascii="Calibri" w:eastAsia="Times New Roman" w:hAnsi="Calibri" w:cs="Calibri"/>
                <w:color w:val="000000"/>
                <w:sz w:val="20"/>
                <w:szCs w:val="20"/>
                <w:lang w:val="es-CR" w:eastAsia="es-CR"/>
              </w:rPr>
              <w:t>6</w:t>
            </w:r>
            <w:r w:rsidRPr="008C4DC4">
              <w:rPr>
                <w:rFonts w:ascii="Calibri" w:eastAsia="Times New Roman" w:hAnsi="Calibri" w:cs="Calibri"/>
                <w:color w:val="000000"/>
                <w:sz w:val="20"/>
                <w:szCs w:val="20"/>
                <w:lang w:val="es-CR" w:eastAsia="es-CR"/>
              </w:rPr>
              <w:t>%</w:t>
            </w:r>
          </w:p>
        </w:tc>
        <w:tc>
          <w:tcPr>
            <w:tcW w:w="1058" w:type="dxa"/>
            <w:tcBorders>
              <w:top w:val="nil"/>
              <w:left w:val="nil"/>
              <w:bottom w:val="single" w:sz="8" w:space="0" w:color="8DB3E2"/>
              <w:right w:val="single" w:sz="8" w:space="0" w:color="8DB3E2"/>
            </w:tcBorders>
            <w:shd w:val="clear" w:color="000000" w:fill="DBE5F1"/>
            <w:noWrap/>
            <w:vAlign w:val="center"/>
            <w:hideMark/>
          </w:tcPr>
          <w:p w14:paraId="230FBAD7"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538 702 </w:t>
            </w:r>
          </w:p>
        </w:tc>
        <w:tc>
          <w:tcPr>
            <w:tcW w:w="764" w:type="dxa"/>
            <w:tcBorders>
              <w:top w:val="nil"/>
              <w:left w:val="nil"/>
              <w:bottom w:val="single" w:sz="8" w:space="0" w:color="8DB3E2"/>
              <w:right w:val="single" w:sz="8" w:space="0" w:color="8DB3E2"/>
            </w:tcBorders>
            <w:shd w:val="clear" w:color="000000" w:fill="DBE5F1"/>
            <w:noWrap/>
            <w:vAlign w:val="center"/>
            <w:hideMark/>
          </w:tcPr>
          <w:p w14:paraId="2D7F9675"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81,4%</w:t>
            </w:r>
          </w:p>
        </w:tc>
        <w:tc>
          <w:tcPr>
            <w:tcW w:w="1070" w:type="dxa"/>
            <w:tcBorders>
              <w:top w:val="nil"/>
              <w:left w:val="nil"/>
              <w:bottom w:val="single" w:sz="8" w:space="0" w:color="8DB3E2"/>
              <w:right w:val="single" w:sz="8" w:space="0" w:color="8DB3E2"/>
            </w:tcBorders>
            <w:shd w:val="clear" w:color="000000" w:fill="DBE5F1"/>
            <w:noWrap/>
            <w:vAlign w:val="center"/>
            <w:hideMark/>
          </w:tcPr>
          <w:p w14:paraId="12BBE3DE"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661 557 </w:t>
            </w:r>
          </w:p>
        </w:tc>
      </w:tr>
      <w:tr w:rsidR="0089748C" w:rsidRPr="008C4DC4" w14:paraId="1E99981D"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auto" w:fill="auto"/>
            <w:noWrap/>
            <w:vAlign w:val="center"/>
            <w:hideMark/>
          </w:tcPr>
          <w:p w14:paraId="188E1AD5" w14:textId="77777777" w:rsidR="0089748C" w:rsidRPr="008C4DC4" w:rsidRDefault="0089748C" w:rsidP="004A4F6C">
            <w:pPr>
              <w:spacing w:after="0" w:line="240" w:lineRule="auto"/>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FBOMBEROS</w:t>
            </w:r>
          </w:p>
        </w:tc>
        <w:tc>
          <w:tcPr>
            <w:tcW w:w="1398" w:type="dxa"/>
            <w:tcBorders>
              <w:top w:val="nil"/>
              <w:left w:val="nil"/>
              <w:bottom w:val="single" w:sz="8" w:space="0" w:color="8DB3E2"/>
              <w:right w:val="single" w:sz="8" w:space="0" w:color="8DB3E2"/>
            </w:tcBorders>
            <w:shd w:val="clear" w:color="auto" w:fill="auto"/>
            <w:noWrap/>
            <w:vAlign w:val="center"/>
            <w:hideMark/>
          </w:tcPr>
          <w:p w14:paraId="1EA816DA"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 </w:t>
            </w:r>
          </w:p>
        </w:tc>
        <w:tc>
          <w:tcPr>
            <w:tcW w:w="761" w:type="dxa"/>
            <w:tcBorders>
              <w:top w:val="nil"/>
              <w:left w:val="nil"/>
              <w:bottom w:val="single" w:sz="8" w:space="0" w:color="8DB3E2"/>
              <w:right w:val="single" w:sz="8" w:space="0" w:color="8DB3E2"/>
            </w:tcBorders>
            <w:shd w:val="clear" w:color="auto" w:fill="auto"/>
            <w:noWrap/>
            <w:vAlign w:val="center"/>
          </w:tcPr>
          <w:p w14:paraId="318168E3"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auto" w:fill="auto"/>
            <w:noWrap/>
            <w:vAlign w:val="center"/>
            <w:hideMark/>
          </w:tcPr>
          <w:p w14:paraId="4CA18F13"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15 813 </w:t>
            </w:r>
          </w:p>
        </w:tc>
        <w:tc>
          <w:tcPr>
            <w:tcW w:w="765" w:type="dxa"/>
            <w:tcBorders>
              <w:top w:val="nil"/>
              <w:left w:val="nil"/>
              <w:bottom w:val="single" w:sz="8" w:space="0" w:color="8DB3E2"/>
              <w:right w:val="single" w:sz="8" w:space="0" w:color="8DB3E2"/>
            </w:tcBorders>
            <w:shd w:val="clear" w:color="auto" w:fill="auto"/>
            <w:noWrap/>
            <w:vAlign w:val="center"/>
            <w:hideMark/>
          </w:tcPr>
          <w:p w14:paraId="6CFAB819"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31,3%</w:t>
            </w:r>
          </w:p>
        </w:tc>
        <w:tc>
          <w:tcPr>
            <w:tcW w:w="1058" w:type="dxa"/>
            <w:tcBorders>
              <w:top w:val="nil"/>
              <w:left w:val="nil"/>
              <w:bottom w:val="single" w:sz="8" w:space="0" w:color="8DB3E2"/>
              <w:right w:val="single" w:sz="8" w:space="0" w:color="8DB3E2"/>
            </w:tcBorders>
            <w:shd w:val="clear" w:color="auto" w:fill="auto"/>
            <w:noWrap/>
            <w:vAlign w:val="center"/>
            <w:hideMark/>
          </w:tcPr>
          <w:p w14:paraId="69757C02"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34 660 </w:t>
            </w:r>
          </w:p>
        </w:tc>
        <w:tc>
          <w:tcPr>
            <w:tcW w:w="764" w:type="dxa"/>
            <w:tcBorders>
              <w:top w:val="nil"/>
              <w:left w:val="nil"/>
              <w:bottom w:val="single" w:sz="8" w:space="0" w:color="8DB3E2"/>
              <w:right w:val="single" w:sz="8" w:space="0" w:color="8DB3E2"/>
            </w:tcBorders>
            <w:shd w:val="clear" w:color="auto" w:fill="auto"/>
            <w:noWrap/>
            <w:vAlign w:val="center"/>
            <w:hideMark/>
          </w:tcPr>
          <w:p w14:paraId="5B234C57"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68,7%</w:t>
            </w:r>
          </w:p>
        </w:tc>
        <w:tc>
          <w:tcPr>
            <w:tcW w:w="1070" w:type="dxa"/>
            <w:tcBorders>
              <w:top w:val="nil"/>
              <w:left w:val="nil"/>
              <w:bottom w:val="single" w:sz="8" w:space="0" w:color="8DB3E2"/>
              <w:right w:val="single" w:sz="8" w:space="0" w:color="8DB3E2"/>
            </w:tcBorders>
            <w:shd w:val="clear" w:color="auto" w:fill="auto"/>
            <w:noWrap/>
            <w:vAlign w:val="center"/>
            <w:hideMark/>
          </w:tcPr>
          <w:p w14:paraId="743489DB"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50 473 </w:t>
            </w:r>
          </w:p>
        </w:tc>
      </w:tr>
      <w:tr w:rsidR="0089748C" w:rsidRPr="008C4DC4" w14:paraId="7354AEFB"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000000" w:fill="DBE5F1"/>
            <w:noWrap/>
            <w:vAlign w:val="center"/>
            <w:hideMark/>
          </w:tcPr>
          <w:p w14:paraId="056D4643"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Regímenes Ocupacionales Complementarios</w:t>
            </w:r>
          </w:p>
        </w:tc>
        <w:tc>
          <w:tcPr>
            <w:tcW w:w="1398" w:type="dxa"/>
            <w:tcBorders>
              <w:top w:val="nil"/>
              <w:left w:val="nil"/>
              <w:bottom w:val="single" w:sz="8" w:space="0" w:color="8DB3E2"/>
              <w:right w:val="single" w:sz="8" w:space="0" w:color="8DB3E2"/>
            </w:tcBorders>
            <w:shd w:val="clear" w:color="000000" w:fill="DBE5F1"/>
            <w:noWrap/>
            <w:vAlign w:val="center"/>
            <w:hideMark/>
          </w:tcPr>
          <w:p w14:paraId="4C2D34E2"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 </w:t>
            </w:r>
          </w:p>
        </w:tc>
        <w:tc>
          <w:tcPr>
            <w:tcW w:w="761" w:type="dxa"/>
            <w:tcBorders>
              <w:top w:val="nil"/>
              <w:left w:val="nil"/>
              <w:bottom w:val="single" w:sz="8" w:space="0" w:color="8DB3E2"/>
              <w:right w:val="single" w:sz="8" w:space="0" w:color="8DB3E2"/>
            </w:tcBorders>
            <w:shd w:val="clear" w:color="000000" w:fill="DBE5F1"/>
            <w:noWrap/>
            <w:vAlign w:val="center"/>
          </w:tcPr>
          <w:p w14:paraId="7D5292F2"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000000" w:fill="DBE5F1"/>
            <w:noWrap/>
            <w:vAlign w:val="center"/>
            <w:hideMark/>
          </w:tcPr>
          <w:p w14:paraId="63DC4DBD"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185 872 </w:t>
            </w:r>
          </w:p>
        </w:tc>
        <w:tc>
          <w:tcPr>
            <w:tcW w:w="765" w:type="dxa"/>
            <w:tcBorders>
              <w:top w:val="nil"/>
              <w:left w:val="nil"/>
              <w:bottom w:val="single" w:sz="8" w:space="0" w:color="8DB3E2"/>
              <w:right w:val="single" w:sz="8" w:space="0" w:color="8DB3E2"/>
            </w:tcBorders>
            <w:shd w:val="clear" w:color="000000" w:fill="DBE5F1"/>
            <w:noWrap/>
            <w:vAlign w:val="center"/>
            <w:hideMark/>
          </w:tcPr>
          <w:p w14:paraId="159F475F"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19,4%</w:t>
            </w:r>
          </w:p>
        </w:tc>
        <w:tc>
          <w:tcPr>
            <w:tcW w:w="1058" w:type="dxa"/>
            <w:tcBorders>
              <w:top w:val="nil"/>
              <w:left w:val="nil"/>
              <w:bottom w:val="single" w:sz="8" w:space="0" w:color="8DB3E2"/>
              <w:right w:val="single" w:sz="8" w:space="0" w:color="8DB3E2"/>
            </w:tcBorders>
            <w:shd w:val="clear" w:color="000000" w:fill="DBE5F1"/>
            <w:noWrap/>
            <w:vAlign w:val="center"/>
            <w:hideMark/>
          </w:tcPr>
          <w:p w14:paraId="1A81B6B8"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770 934 </w:t>
            </w:r>
          </w:p>
        </w:tc>
        <w:tc>
          <w:tcPr>
            <w:tcW w:w="764" w:type="dxa"/>
            <w:tcBorders>
              <w:top w:val="nil"/>
              <w:left w:val="nil"/>
              <w:bottom w:val="single" w:sz="8" w:space="0" w:color="8DB3E2"/>
              <w:right w:val="single" w:sz="8" w:space="0" w:color="8DB3E2"/>
            </w:tcBorders>
            <w:shd w:val="clear" w:color="000000" w:fill="DBE5F1"/>
            <w:noWrap/>
            <w:vAlign w:val="center"/>
            <w:hideMark/>
          </w:tcPr>
          <w:p w14:paraId="7D4B74F3"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80,</w:t>
            </w:r>
            <w:r>
              <w:rPr>
                <w:rFonts w:ascii="Calibri" w:eastAsia="Times New Roman" w:hAnsi="Calibri" w:cs="Calibri"/>
                <w:color w:val="000000"/>
                <w:sz w:val="20"/>
                <w:szCs w:val="20"/>
                <w:lang w:val="es-CR" w:eastAsia="es-CR"/>
              </w:rPr>
              <w:t>6</w:t>
            </w:r>
            <w:r w:rsidRPr="008C4DC4">
              <w:rPr>
                <w:rFonts w:ascii="Calibri" w:eastAsia="Times New Roman" w:hAnsi="Calibri" w:cs="Calibri"/>
                <w:color w:val="000000"/>
                <w:sz w:val="20"/>
                <w:szCs w:val="20"/>
                <w:lang w:val="es-CR" w:eastAsia="es-CR"/>
              </w:rPr>
              <w:t>%</w:t>
            </w:r>
          </w:p>
        </w:tc>
        <w:tc>
          <w:tcPr>
            <w:tcW w:w="1070" w:type="dxa"/>
            <w:tcBorders>
              <w:top w:val="nil"/>
              <w:left w:val="nil"/>
              <w:bottom w:val="single" w:sz="8" w:space="0" w:color="8DB3E2"/>
              <w:right w:val="single" w:sz="8" w:space="0" w:color="8DB3E2"/>
            </w:tcBorders>
            <w:shd w:val="clear" w:color="000000" w:fill="DBE5F1"/>
            <w:noWrap/>
            <w:vAlign w:val="center"/>
            <w:hideMark/>
          </w:tcPr>
          <w:p w14:paraId="52D292C0"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956 806 </w:t>
            </w:r>
          </w:p>
        </w:tc>
      </w:tr>
      <w:tr w:rsidR="0089748C" w:rsidRPr="008C4DC4" w14:paraId="08D4A77C"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auto" w:fill="auto"/>
            <w:noWrap/>
            <w:vAlign w:val="center"/>
            <w:hideMark/>
          </w:tcPr>
          <w:p w14:paraId="12C9CE38"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Régimen Obligatorio Complementario</w:t>
            </w:r>
          </w:p>
        </w:tc>
        <w:tc>
          <w:tcPr>
            <w:tcW w:w="1398" w:type="dxa"/>
            <w:tcBorders>
              <w:top w:val="nil"/>
              <w:left w:val="nil"/>
              <w:bottom w:val="single" w:sz="8" w:space="0" w:color="8DB3E2"/>
              <w:right w:val="single" w:sz="8" w:space="0" w:color="8DB3E2"/>
            </w:tcBorders>
            <w:shd w:val="clear" w:color="auto" w:fill="auto"/>
            <w:noWrap/>
            <w:vAlign w:val="center"/>
            <w:hideMark/>
          </w:tcPr>
          <w:p w14:paraId="62F8F7B5"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2 102 504 </w:t>
            </w:r>
          </w:p>
        </w:tc>
        <w:tc>
          <w:tcPr>
            <w:tcW w:w="761" w:type="dxa"/>
            <w:tcBorders>
              <w:top w:val="nil"/>
              <w:left w:val="nil"/>
              <w:bottom w:val="single" w:sz="8" w:space="0" w:color="8DB3E2"/>
              <w:right w:val="single" w:sz="8" w:space="0" w:color="8DB3E2"/>
            </w:tcBorders>
            <w:shd w:val="clear" w:color="auto" w:fill="auto"/>
            <w:noWrap/>
            <w:vAlign w:val="center"/>
            <w:hideMark/>
          </w:tcPr>
          <w:p w14:paraId="0443D1E5"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26,</w:t>
            </w:r>
            <w:r>
              <w:rPr>
                <w:rFonts w:ascii="Calibri" w:eastAsia="Times New Roman" w:hAnsi="Calibri" w:cs="Calibri"/>
                <w:color w:val="000000"/>
                <w:sz w:val="20"/>
                <w:szCs w:val="20"/>
                <w:lang w:val="es-CR" w:eastAsia="es-CR"/>
              </w:rPr>
              <w:t>3</w:t>
            </w:r>
            <w:r w:rsidRPr="008C4DC4">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auto" w:fill="auto"/>
            <w:noWrap/>
            <w:vAlign w:val="center"/>
            <w:hideMark/>
          </w:tcPr>
          <w:p w14:paraId="38D7EA53"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761 720 </w:t>
            </w:r>
          </w:p>
        </w:tc>
        <w:tc>
          <w:tcPr>
            <w:tcW w:w="765" w:type="dxa"/>
            <w:tcBorders>
              <w:top w:val="nil"/>
              <w:left w:val="nil"/>
              <w:bottom w:val="single" w:sz="8" w:space="0" w:color="8DB3E2"/>
              <w:right w:val="single" w:sz="8" w:space="0" w:color="8DB3E2"/>
            </w:tcBorders>
            <w:shd w:val="clear" w:color="auto" w:fill="auto"/>
            <w:noWrap/>
            <w:vAlign w:val="center"/>
            <w:hideMark/>
          </w:tcPr>
          <w:p w14:paraId="4E454B77"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9,5%</w:t>
            </w:r>
          </w:p>
        </w:tc>
        <w:tc>
          <w:tcPr>
            <w:tcW w:w="1058" w:type="dxa"/>
            <w:tcBorders>
              <w:top w:val="nil"/>
              <w:left w:val="nil"/>
              <w:bottom w:val="single" w:sz="8" w:space="0" w:color="8DB3E2"/>
              <w:right w:val="single" w:sz="8" w:space="0" w:color="8DB3E2"/>
            </w:tcBorders>
            <w:shd w:val="clear" w:color="auto" w:fill="auto"/>
            <w:noWrap/>
            <w:vAlign w:val="center"/>
            <w:hideMark/>
          </w:tcPr>
          <w:p w14:paraId="536D01DA"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5 142 758 </w:t>
            </w:r>
          </w:p>
        </w:tc>
        <w:tc>
          <w:tcPr>
            <w:tcW w:w="764" w:type="dxa"/>
            <w:tcBorders>
              <w:top w:val="nil"/>
              <w:left w:val="nil"/>
              <w:bottom w:val="single" w:sz="8" w:space="0" w:color="8DB3E2"/>
              <w:right w:val="single" w:sz="8" w:space="0" w:color="8DB3E2"/>
            </w:tcBorders>
            <w:shd w:val="clear" w:color="auto" w:fill="auto"/>
            <w:noWrap/>
            <w:vAlign w:val="center"/>
            <w:hideMark/>
          </w:tcPr>
          <w:p w14:paraId="17ECD812"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64,2%</w:t>
            </w:r>
          </w:p>
        </w:tc>
        <w:tc>
          <w:tcPr>
            <w:tcW w:w="1070" w:type="dxa"/>
            <w:tcBorders>
              <w:top w:val="nil"/>
              <w:left w:val="nil"/>
              <w:bottom w:val="single" w:sz="8" w:space="0" w:color="8DB3E2"/>
              <w:right w:val="single" w:sz="8" w:space="0" w:color="8DB3E2"/>
            </w:tcBorders>
            <w:shd w:val="clear" w:color="auto" w:fill="auto"/>
            <w:noWrap/>
            <w:vAlign w:val="center"/>
            <w:hideMark/>
          </w:tcPr>
          <w:p w14:paraId="7429F624"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8 006 982 </w:t>
            </w:r>
          </w:p>
        </w:tc>
      </w:tr>
      <w:tr w:rsidR="0089748C" w:rsidRPr="008C4DC4" w14:paraId="3C831A75" w14:textId="77777777" w:rsidTr="004A4F6C">
        <w:trPr>
          <w:trHeight w:val="246"/>
          <w:jc w:val="center"/>
        </w:trPr>
        <w:tc>
          <w:tcPr>
            <w:tcW w:w="3534" w:type="dxa"/>
            <w:tcBorders>
              <w:top w:val="nil"/>
              <w:left w:val="single" w:sz="8" w:space="0" w:color="8DB3E2"/>
              <w:bottom w:val="single" w:sz="8" w:space="0" w:color="8DB3E2"/>
              <w:right w:val="single" w:sz="8" w:space="0" w:color="8DB3E2"/>
            </w:tcBorders>
            <w:shd w:val="clear" w:color="000000" w:fill="DBE5F1"/>
            <w:noWrap/>
            <w:vAlign w:val="center"/>
            <w:hideMark/>
          </w:tcPr>
          <w:p w14:paraId="612A02CE"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Planes Voluntarios</w:t>
            </w:r>
          </w:p>
        </w:tc>
        <w:tc>
          <w:tcPr>
            <w:tcW w:w="1398" w:type="dxa"/>
            <w:tcBorders>
              <w:top w:val="nil"/>
              <w:left w:val="nil"/>
              <w:bottom w:val="single" w:sz="8" w:space="0" w:color="8DB3E2"/>
              <w:right w:val="single" w:sz="8" w:space="0" w:color="8DB3E2"/>
            </w:tcBorders>
            <w:shd w:val="clear" w:color="000000" w:fill="DBE5F1"/>
            <w:noWrap/>
            <w:vAlign w:val="center"/>
            <w:hideMark/>
          </w:tcPr>
          <w:p w14:paraId="23BA92F9"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48 867 </w:t>
            </w:r>
          </w:p>
        </w:tc>
        <w:tc>
          <w:tcPr>
            <w:tcW w:w="761" w:type="dxa"/>
            <w:tcBorders>
              <w:top w:val="nil"/>
              <w:left w:val="nil"/>
              <w:bottom w:val="single" w:sz="8" w:space="0" w:color="8DB3E2"/>
              <w:right w:val="single" w:sz="8" w:space="0" w:color="8DB3E2"/>
            </w:tcBorders>
            <w:shd w:val="clear" w:color="000000" w:fill="DBE5F1"/>
            <w:noWrap/>
            <w:vAlign w:val="center"/>
            <w:hideMark/>
          </w:tcPr>
          <w:p w14:paraId="47A510C8"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11,</w:t>
            </w:r>
            <w:r>
              <w:rPr>
                <w:rFonts w:ascii="Calibri" w:eastAsia="Times New Roman" w:hAnsi="Calibri" w:cs="Calibri"/>
                <w:color w:val="000000"/>
                <w:sz w:val="20"/>
                <w:szCs w:val="20"/>
                <w:lang w:val="es-CR" w:eastAsia="es-CR"/>
              </w:rPr>
              <w:t>4</w:t>
            </w:r>
            <w:r w:rsidRPr="008C4DC4">
              <w:rPr>
                <w:rFonts w:ascii="Calibri" w:eastAsia="Times New Roman" w:hAnsi="Calibri" w:cs="Calibri"/>
                <w:color w:val="000000"/>
                <w:sz w:val="20"/>
                <w:szCs w:val="20"/>
                <w:lang w:val="es-CR" w:eastAsia="es-CR"/>
              </w:rPr>
              <w:t>%</w:t>
            </w:r>
          </w:p>
        </w:tc>
        <w:tc>
          <w:tcPr>
            <w:tcW w:w="1079" w:type="dxa"/>
            <w:tcBorders>
              <w:top w:val="nil"/>
              <w:left w:val="nil"/>
              <w:bottom w:val="single" w:sz="8" w:space="0" w:color="8DB3E2"/>
              <w:right w:val="single" w:sz="8" w:space="0" w:color="8DB3E2"/>
            </w:tcBorders>
            <w:shd w:val="clear" w:color="000000" w:fill="DBE5F1"/>
            <w:noWrap/>
            <w:vAlign w:val="center"/>
            <w:hideMark/>
          </w:tcPr>
          <w:p w14:paraId="22819695"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 101 462 </w:t>
            </w:r>
          </w:p>
        </w:tc>
        <w:tc>
          <w:tcPr>
            <w:tcW w:w="765" w:type="dxa"/>
            <w:tcBorders>
              <w:top w:val="nil"/>
              <w:left w:val="nil"/>
              <w:bottom w:val="single" w:sz="8" w:space="0" w:color="8DB3E2"/>
              <w:right w:val="single" w:sz="8" w:space="0" w:color="8DB3E2"/>
            </w:tcBorders>
            <w:shd w:val="clear" w:color="000000" w:fill="DBE5F1"/>
            <w:noWrap/>
            <w:vAlign w:val="center"/>
            <w:hideMark/>
          </w:tcPr>
          <w:p w14:paraId="607AA85F"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23,</w:t>
            </w:r>
            <w:r>
              <w:rPr>
                <w:rFonts w:ascii="Calibri" w:eastAsia="Times New Roman" w:hAnsi="Calibri" w:cs="Calibri"/>
                <w:color w:val="000000"/>
                <w:sz w:val="20"/>
                <w:szCs w:val="20"/>
                <w:lang w:val="es-CR" w:eastAsia="es-CR"/>
              </w:rPr>
              <w:t>6</w:t>
            </w:r>
            <w:r w:rsidRPr="008C4DC4">
              <w:rPr>
                <w:rFonts w:ascii="Calibri" w:eastAsia="Times New Roman" w:hAnsi="Calibri" w:cs="Calibri"/>
                <w:color w:val="000000"/>
                <w:sz w:val="20"/>
                <w:szCs w:val="20"/>
                <w:lang w:val="es-CR" w:eastAsia="es-CR"/>
              </w:rPr>
              <w:t>%</w:t>
            </w:r>
          </w:p>
        </w:tc>
        <w:tc>
          <w:tcPr>
            <w:tcW w:w="1058" w:type="dxa"/>
            <w:tcBorders>
              <w:top w:val="nil"/>
              <w:left w:val="nil"/>
              <w:bottom w:val="single" w:sz="8" w:space="0" w:color="8DB3E2"/>
              <w:right w:val="single" w:sz="8" w:space="0" w:color="8DB3E2"/>
            </w:tcBorders>
            <w:shd w:val="clear" w:color="000000" w:fill="DBE5F1"/>
            <w:noWrap/>
            <w:vAlign w:val="center"/>
            <w:hideMark/>
          </w:tcPr>
          <w:p w14:paraId="5C9A20F9"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279 830 </w:t>
            </w:r>
          </w:p>
        </w:tc>
        <w:tc>
          <w:tcPr>
            <w:tcW w:w="764" w:type="dxa"/>
            <w:tcBorders>
              <w:top w:val="nil"/>
              <w:left w:val="nil"/>
              <w:bottom w:val="single" w:sz="8" w:space="0" w:color="8DB3E2"/>
              <w:right w:val="single" w:sz="8" w:space="0" w:color="8DB3E2"/>
            </w:tcBorders>
            <w:shd w:val="clear" w:color="000000" w:fill="DBE5F1"/>
            <w:noWrap/>
            <w:vAlign w:val="center"/>
            <w:hideMark/>
          </w:tcPr>
          <w:p w14:paraId="1FEFCFD8"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65,</w:t>
            </w:r>
            <w:r>
              <w:rPr>
                <w:rFonts w:ascii="Calibri" w:eastAsia="Times New Roman" w:hAnsi="Calibri" w:cs="Calibri"/>
                <w:color w:val="000000"/>
                <w:sz w:val="20"/>
                <w:szCs w:val="20"/>
                <w:lang w:val="es-CR" w:eastAsia="es-CR"/>
              </w:rPr>
              <w:t>1</w:t>
            </w:r>
            <w:r w:rsidRPr="008C4DC4">
              <w:rPr>
                <w:rFonts w:ascii="Calibri" w:eastAsia="Times New Roman" w:hAnsi="Calibri" w:cs="Calibri"/>
                <w:color w:val="000000"/>
                <w:sz w:val="20"/>
                <w:szCs w:val="20"/>
                <w:lang w:val="es-CR" w:eastAsia="es-CR"/>
              </w:rPr>
              <w:t>%</w:t>
            </w:r>
          </w:p>
        </w:tc>
        <w:tc>
          <w:tcPr>
            <w:tcW w:w="1070" w:type="dxa"/>
            <w:tcBorders>
              <w:top w:val="nil"/>
              <w:left w:val="nil"/>
              <w:bottom w:val="single" w:sz="8" w:space="0" w:color="8DB3E2"/>
              <w:right w:val="single" w:sz="8" w:space="0" w:color="8DB3E2"/>
            </w:tcBorders>
            <w:shd w:val="clear" w:color="000000" w:fill="DBE5F1"/>
            <w:noWrap/>
            <w:vAlign w:val="center"/>
            <w:hideMark/>
          </w:tcPr>
          <w:p w14:paraId="4E054DB6"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430 159 </w:t>
            </w:r>
          </w:p>
        </w:tc>
      </w:tr>
      <w:tr w:rsidR="0089748C" w:rsidRPr="008C4DC4" w14:paraId="23AC5FB5" w14:textId="77777777" w:rsidTr="004A4F6C">
        <w:trPr>
          <w:trHeight w:val="246"/>
          <w:jc w:val="center"/>
        </w:trPr>
        <w:tc>
          <w:tcPr>
            <w:tcW w:w="3534" w:type="dxa"/>
            <w:tcBorders>
              <w:top w:val="nil"/>
              <w:left w:val="single" w:sz="8" w:space="0" w:color="8DB3E2"/>
              <w:bottom w:val="nil"/>
              <w:right w:val="single" w:sz="8" w:space="0" w:color="8DB3E2"/>
            </w:tcBorders>
            <w:shd w:val="clear" w:color="auto" w:fill="auto"/>
            <w:noWrap/>
            <w:vAlign w:val="center"/>
            <w:hideMark/>
          </w:tcPr>
          <w:p w14:paraId="0C9ABE18"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Fondo de Capitalización Laboral</w:t>
            </w:r>
          </w:p>
        </w:tc>
        <w:tc>
          <w:tcPr>
            <w:tcW w:w="1398" w:type="dxa"/>
            <w:tcBorders>
              <w:top w:val="nil"/>
              <w:left w:val="nil"/>
              <w:bottom w:val="nil"/>
              <w:right w:val="single" w:sz="8" w:space="0" w:color="8DB3E2"/>
            </w:tcBorders>
            <w:shd w:val="clear" w:color="auto" w:fill="auto"/>
            <w:noWrap/>
            <w:vAlign w:val="center"/>
            <w:hideMark/>
          </w:tcPr>
          <w:p w14:paraId="277B4C0D"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75 110 </w:t>
            </w:r>
          </w:p>
        </w:tc>
        <w:tc>
          <w:tcPr>
            <w:tcW w:w="761" w:type="dxa"/>
            <w:tcBorders>
              <w:top w:val="nil"/>
              <w:left w:val="nil"/>
              <w:bottom w:val="nil"/>
              <w:right w:val="single" w:sz="8" w:space="0" w:color="8DB3E2"/>
            </w:tcBorders>
            <w:shd w:val="clear" w:color="auto" w:fill="auto"/>
            <w:noWrap/>
            <w:vAlign w:val="center"/>
            <w:hideMark/>
          </w:tcPr>
          <w:p w14:paraId="40216471"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15,</w:t>
            </w:r>
            <w:r>
              <w:rPr>
                <w:rFonts w:ascii="Calibri" w:eastAsia="Times New Roman" w:hAnsi="Calibri" w:cs="Calibri"/>
                <w:color w:val="000000"/>
                <w:sz w:val="20"/>
                <w:szCs w:val="20"/>
                <w:lang w:val="es-CR" w:eastAsia="es-CR"/>
              </w:rPr>
              <w:t>2</w:t>
            </w:r>
            <w:r w:rsidRPr="008C4DC4">
              <w:rPr>
                <w:rFonts w:ascii="Calibri" w:eastAsia="Times New Roman" w:hAnsi="Calibri" w:cs="Calibri"/>
                <w:color w:val="000000"/>
                <w:sz w:val="20"/>
                <w:szCs w:val="20"/>
                <w:lang w:val="es-CR" w:eastAsia="es-CR"/>
              </w:rPr>
              <w:t>%</w:t>
            </w:r>
          </w:p>
        </w:tc>
        <w:tc>
          <w:tcPr>
            <w:tcW w:w="1079" w:type="dxa"/>
            <w:tcBorders>
              <w:top w:val="nil"/>
              <w:left w:val="nil"/>
              <w:bottom w:val="nil"/>
              <w:right w:val="single" w:sz="8" w:space="0" w:color="8DB3E2"/>
            </w:tcBorders>
            <w:shd w:val="clear" w:color="auto" w:fill="auto"/>
            <w:noWrap/>
            <w:vAlign w:val="center"/>
            <w:hideMark/>
          </w:tcPr>
          <w:p w14:paraId="5C171519"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77 759 </w:t>
            </w:r>
          </w:p>
        </w:tc>
        <w:tc>
          <w:tcPr>
            <w:tcW w:w="765" w:type="dxa"/>
            <w:tcBorders>
              <w:top w:val="nil"/>
              <w:left w:val="nil"/>
              <w:bottom w:val="nil"/>
              <w:right w:val="single" w:sz="8" w:space="0" w:color="8DB3E2"/>
            </w:tcBorders>
            <w:shd w:val="clear" w:color="auto" w:fill="auto"/>
            <w:noWrap/>
            <w:vAlign w:val="center"/>
            <w:hideMark/>
          </w:tcPr>
          <w:p w14:paraId="7C9135F2"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15,7%</w:t>
            </w:r>
          </w:p>
        </w:tc>
        <w:tc>
          <w:tcPr>
            <w:tcW w:w="1058" w:type="dxa"/>
            <w:tcBorders>
              <w:top w:val="nil"/>
              <w:left w:val="nil"/>
              <w:bottom w:val="nil"/>
              <w:right w:val="single" w:sz="8" w:space="0" w:color="8DB3E2"/>
            </w:tcBorders>
            <w:shd w:val="clear" w:color="auto" w:fill="auto"/>
            <w:noWrap/>
            <w:vAlign w:val="center"/>
            <w:hideMark/>
          </w:tcPr>
          <w:p w14:paraId="69CF8B42"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342 206 </w:t>
            </w:r>
          </w:p>
        </w:tc>
        <w:tc>
          <w:tcPr>
            <w:tcW w:w="764" w:type="dxa"/>
            <w:tcBorders>
              <w:top w:val="nil"/>
              <w:left w:val="nil"/>
              <w:bottom w:val="nil"/>
              <w:right w:val="single" w:sz="8" w:space="0" w:color="8DB3E2"/>
            </w:tcBorders>
            <w:shd w:val="clear" w:color="auto" w:fill="auto"/>
            <w:noWrap/>
            <w:vAlign w:val="center"/>
            <w:hideMark/>
          </w:tcPr>
          <w:p w14:paraId="5A1E570A"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69,1%</w:t>
            </w:r>
          </w:p>
        </w:tc>
        <w:tc>
          <w:tcPr>
            <w:tcW w:w="1070" w:type="dxa"/>
            <w:tcBorders>
              <w:top w:val="nil"/>
              <w:left w:val="nil"/>
              <w:bottom w:val="nil"/>
              <w:right w:val="single" w:sz="8" w:space="0" w:color="8DB3E2"/>
            </w:tcBorders>
            <w:shd w:val="clear" w:color="auto" w:fill="auto"/>
            <w:noWrap/>
            <w:vAlign w:val="center"/>
            <w:hideMark/>
          </w:tcPr>
          <w:p w14:paraId="58FE0255" w14:textId="77777777" w:rsidR="0089748C" w:rsidRPr="008C4DC4" w:rsidRDefault="0089748C" w:rsidP="004A4F6C">
            <w:pPr>
              <w:spacing w:after="0" w:line="240" w:lineRule="auto"/>
              <w:jc w:val="right"/>
              <w:rPr>
                <w:rFonts w:ascii="Calibri" w:eastAsia="Times New Roman" w:hAnsi="Calibri" w:cs="Calibri"/>
                <w:color w:val="000000"/>
                <w:sz w:val="20"/>
                <w:szCs w:val="20"/>
                <w:lang w:val="es-CR" w:eastAsia="es-CR"/>
              </w:rPr>
            </w:pPr>
            <w:r w:rsidRPr="008C4DC4">
              <w:rPr>
                <w:rFonts w:ascii="Calibri" w:eastAsia="Times New Roman" w:hAnsi="Calibri" w:cs="Calibri"/>
                <w:color w:val="000000"/>
                <w:sz w:val="20"/>
                <w:szCs w:val="20"/>
                <w:lang w:val="es-CR" w:eastAsia="es-CR"/>
              </w:rPr>
              <w:t xml:space="preserve">495 075 </w:t>
            </w:r>
          </w:p>
        </w:tc>
      </w:tr>
      <w:tr w:rsidR="0089748C" w:rsidRPr="008C4DC4" w14:paraId="6D675E14" w14:textId="77777777" w:rsidTr="004A4F6C">
        <w:trPr>
          <w:trHeight w:val="257"/>
          <w:jc w:val="center"/>
        </w:trPr>
        <w:tc>
          <w:tcPr>
            <w:tcW w:w="3534" w:type="dxa"/>
            <w:tcBorders>
              <w:top w:val="double" w:sz="6" w:space="0" w:color="8DB3E2"/>
              <w:left w:val="single" w:sz="8" w:space="0" w:color="8DB3E2"/>
              <w:bottom w:val="single" w:sz="8" w:space="0" w:color="95B3D7"/>
              <w:right w:val="single" w:sz="8" w:space="0" w:color="8DB3E2"/>
            </w:tcBorders>
            <w:shd w:val="clear" w:color="000000" w:fill="DBE5F1"/>
            <w:noWrap/>
            <w:vAlign w:val="center"/>
            <w:hideMark/>
          </w:tcPr>
          <w:p w14:paraId="26E05AA7" w14:textId="77777777" w:rsidR="0089748C" w:rsidRPr="008C4DC4" w:rsidRDefault="0089748C" w:rsidP="004A4F6C">
            <w:pPr>
              <w:spacing w:after="0" w:line="240" w:lineRule="auto"/>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Total</w:t>
            </w:r>
          </w:p>
        </w:tc>
        <w:tc>
          <w:tcPr>
            <w:tcW w:w="1398" w:type="dxa"/>
            <w:tcBorders>
              <w:top w:val="double" w:sz="6" w:space="0" w:color="8DB3E2"/>
              <w:left w:val="nil"/>
              <w:bottom w:val="single" w:sz="8" w:space="0" w:color="95B3D7"/>
              <w:right w:val="single" w:sz="8" w:space="0" w:color="8DB3E2"/>
            </w:tcBorders>
            <w:shd w:val="clear" w:color="000000" w:fill="DBE5F1"/>
            <w:noWrap/>
            <w:vAlign w:val="center"/>
            <w:hideMark/>
          </w:tcPr>
          <w:p w14:paraId="08027F7B"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 xml:space="preserve">2 226 480 </w:t>
            </w:r>
          </w:p>
        </w:tc>
        <w:tc>
          <w:tcPr>
            <w:tcW w:w="761" w:type="dxa"/>
            <w:tcBorders>
              <w:top w:val="double" w:sz="6" w:space="0" w:color="8DB3E2"/>
              <w:left w:val="nil"/>
              <w:bottom w:val="single" w:sz="8" w:space="0" w:color="95B3D7"/>
              <w:right w:val="single" w:sz="8" w:space="0" w:color="8DB3E2"/>
            </w:tcBorders>
            <w:shd w:val="clear" w:color="000000" w:fill="DBE5F1"/>
            <w:noWrap/>
            <w:vAlign w:val="center"/>
            <w:hideMark/>
          </w:tcPr>
          <w:p w14:paraId="62E137BF"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13,6%</w:t>
            </w:r>
          </w:p>
        </w:tc>
        <w:tc>
          <w:tcPr>
            <w:tcW w:w="1079" w:type="dxa"/>
            <w:tcBorders>
              <w:top w:val="double" w:sz="6" w:space="0" w:color="8DB3E2"/>
              <w:left w:val="nil"/>
              <w:bottom w:val="single" w:sz="8" w:space="0" w:color="95B3D7"/>
              <w:right w:val="single" w:sz="8" w:space="0" w:color="8DB3E2"/>
            </w:tcBorders>
            <w:shd w:val="clear" w:color="000000" w:fill="DBE5F1"/>
            <w:noWrap/>
            <w:vAlign w:val="center"/>
            <w:hideMark/>
          </w:tcPr>
          <w:p w14:paraId="75247EB6"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 xml:space="preserve">1 821 019 </w:t>
            </w:r>
          </w:p>
        </w:tc>
        <w:tc>
          <w:tcPr>
            <w:tcW w:w="765" w:type="dxa"/>
            <w:tcBorders>
              <w:top w:val="double" w:sz="6" w:space="0" w:color="8DB3E2"/>
              <w:left w:val="nil"/>
              <w:bottom w:val="single" w:sz="8" w:space="0" w:color="95B3D7"/>
              <w:right w:val="single" w:sz="8" w:space="0" w:color="8DB3E2"/>
            </w:tcBorders>
            <w:shd w:val="clear" w:color="000000" w:fill="DBE5F1"/>
            <w:noWrap/>
            <w:vAlign w:val="center"/>
            <w:hideMark/>
          </w:tcPr>
          <w:p w14:paraId="141E14A4"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11,1%</w:t>
            </w:r>
          </w:p>
        </w:tc>
        <w:tc>
          <w:tcPr>
            <w:tcW w:w="1058" w:type="dxa"/>
            <w:tcBorders>
              <w:top w:val="double" w:sz="6" w:space="0" w:color="8DB3E2"/>
              <w:left w:val="nil"/>
              <w:bottom w:val="single" w:sz="8" w:space="0" w:color="95B3D7"/>
              <w:right w:val="single" w:sz="8" w:space="0" w:color="8DB3E2"/>
            </w:tcBorders>
            <w:shd w:val="clear" w:color="000000" w:fill="DBE5F1"/>
            <w:noWrap/>
            <w:vAlign w:val="center"/>
            <w:hideMark/>
          </w:tcPr>
          <w:p w14:paraId="610A8941"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 xml:space="preserve">12 326 485 </w:t>
            </w:r>
          </w:p>
        </w:tc>
        <w:tc>
          <w:tcPr>
            <w:tcW w:w="764" w:type="dxa"/>
            <w:tcBorders>
              <w:top w:val="double" w:sz="6" w:space="0" w:color="8DB3E2"/>
              <w:left w:val="nil"/>
              <w:bottom w:val="single" w:sz="8" w:space="0" w:color="95B3D7"/>
              <w:right w:val="single" w:sz="8" w:space="0" w:color="8DB3E2"/>
            </w:tcBorders>
            <w:shd w:val="clear" w:color="000000" w:fill="DBE5F1"/>
            <w:noWrap/>
            <w:vAlign w:val="center"/>
            <w:hideMark/>
          </w:tcPr>
          <w:p w14:paraId="6C406CDC"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75,</w:t>
            </w:r>
            <w:r>
              <w:rPr>
                <w:rFonts w:ascii="Calibri" w:eastAsia="Times New Roman" w:hAnsi="Calibri" w:cs="Calibri"/>
                <w:b/>
                <w:bCs/>
                <w:color w:val="000000"/>
                <w:sz w:val="20"/>
                <w:szCs w:val="20"/>
                <w:lang w:val="es-CR" w:eastAsia="es-CR"/>
              </w:rPr>
              <w:t>3</w:t>
            </w:r>
            <w:r w:rsidRPr="008C4DC4">
              <w:rPr>
                <w:rFonts w:ascii="Calibri" w:eastAsia="Times New Roman" w:hAnsi="Calibri" w:cs="Calibri"/>
                <w:b/>
                <w:bCs/>
                <w:color w:val="000000"/>
                <w:sz w:val="20"/>
                <w:szCs w:val="20"/>
                <w:lang w:val="es-CR" w:eastAsia="es-CR"/>
              </w:rPr>
              <w:t>%</w:t>
            </w:r>
          </w:p>
        </w:tc>
        <w:tc>
          <w:tcPr>
            <w:tcW w:w="1070" w:type="dxa"/>
            <w:tcBorders>
              <w:top w:val="double" w:sz="6" w:space="0" w:color="8DB3E2"/>
              <w:left w:val="nil"/>
              <w:bottom w:val="single" w:sz="8" w:space="0" w:color="95B3D7"/>
              <w:right w:val="single" w:sz="8" w:space="0" w:color="8DB3E2"/>
            </w:tcBorders>
            <w:shd w:val="clear" w:color="000000" w:fill="DBE5F1"/>
            <w:noWrap/>
            <w:vAlign w:val="center"/>
            <w:hideMark/>
          </w:tcPr>
          <w:p w14:paraId="7E9D237D" w14:textId="77777777" w:rsidR="0089748C" w:rsidRPr="008C4DC4" w:rsidRDefault="0089748C" w:rsidP="004A4F6C">
            <w:pPr>
              <w:spacing w:after="0" w:line="240" w:lineRule="auto"/>
              <w:jc w:val="right"/>
              <w:rPr>
                <w:rFonts w:ascii="Calibri" w:eastAsia="Times New Roman" w:hAnsi="Calibri" w:cs="Calibri"/>
                <w:b/>
                <w:bCs/>
                <w:color w:val="000000"/>
                <w:sz w:val="20"/>
                <w:szCs w:val="20"/>
                <w:lang w:val="es-CR" w:eastAsia="es-CR"/>
              </w:rPr>
            </w:pPr>
            <w:r w:rsidRPr="008C4DC4">
              <w:rPr>
                <w:rFonts w:ascii="Calibri" w:eastAsia="Times New Roman" w:hAnsi="Calibri" w:cs="Calibri"/>
                <w:b/>
                <w:bCs/>
                <w:color w:val="000000"/>
                <w:sz w:val="20"/>
                <w:szCs w:val="20"/>
                <w:lang w:val="es-CR" w:eastAsia="es-CR"/>
              </w:rPr>
              <w:t xml:space="preserve">16 373 984 </w:t>
            </w:r>
          </w:p>
        </w:tc>
      </w:tr>
    </w:tbl>
    <w:p w14:paraId="31912638" w14:textId="77777777" w:rsidR="0089748C" w:rsidRPr="004A7EA3" w:rsidRDefault="0089748C" w:rsidP="0089748C">
      <w:pPr>
        <w:pStyle w:val="Descripcin"/>
        <w:spacing w:after="0"/>
      </w:pPr>
      <w:r w:rsidRPr="004A7EA3">
        <w:t xml:space="preserve"> Fuente: Elaboración propia</w:t>
      </w:r>
    </w:p>
    <w:p w14:paraId="2873FD0D" w14:textId="77777777" w:rsidR="0089748C" w:rsidRPr="00021BD0" w:rsidRDefault="0089748C" w:rsidP="0089748C">
      <w:pPr>
        <w:pStyle w:val="Descripcin"/>
        <w:spacing w:after="0"/>
        <w:jc w:val="center"/>
      </w:pPr>
      <w:r w:rsidRPr="00021BD0">
        <w:t xml:space="preserve">Tabla </w:t>
      </w:r>
      <w:r w:rsidRPr="00021BD0">
        <w:fldChar w:fldCharType="begin"/>
      </w:r>
      <w:r w:rsidRPr="00021BD0">
        <w:instrText xml:space="preserve"> SEQ Tabla \* ARABIC </w:instrText>
      </w:r>
      <w:r w:rsidRPr="00021BD0">
        <w:fldChar w:fldCharType="separate"/>
      </w:r>
      <w:r>
        <w:rPr>
          <w:noProof/>
        </w:rPr>
        <w:t>3</w:t>
      </w:r>
      <w:r w:rsidRPr="00021BD0">
        <w:fldChar w:fldCharType="end"/>
      </w:r>
      <w:r w:rsidRPr="00021BD0">
        <w:t>: Inversiones del ROP</w:t>
      </w:r>
      <w:r>
        <w:t xml:space="preserve"> e</w:t>
      </w:r>
      <w:r w:rsidRPr="00021BD0">
        <w:t>n moneda extranjera por sector</w:t>
      </w:r>
    </w:p>
    <w:p w14:paraId="04BF92E0" w14:textId="77777777" w:rsidR="0089748C" w:rsidRPr="00021BD0" w:rsidRDefault="0089748C" w:rsidP="0089748C">
      <w:pPr>
        <w:pStyle w:val="Descripcin"/>
        <w:spacing w:after="0"/>
        <w:jc w:val="center"/>
      </w:pPr>
      <w:r w:rsidRPr="00021BD0">
        <w:t>Como porcentaje del activo</w:t>
      </w:r>
    </w:p>
    <w:p w14:paraId="447242DD" w14:textId="77777777" w:rsidR="0089748C" w:rsidRDefault="0089748C" w:rsidP="0089748C">
      <w:pPr>
        <w:pStyle w:val="Descripcin"/>
        <w:spacing w:after="0"/>
        <w:jc w:val="center"/>
      </w:pPr>
      <w:r w:rsidRPr="00021BD0">
        <w:t xml:space="preserve">Al </w:t>
      </w:r>
      <w:r>
        <w:t>30 de junio</w:t>
      </w:r>
      <w:r w:rsidRPr="00021BD0">
        <w:t xml:space="preserve"> de cada año</w:t>
      </w:r>
    </w:p>
    <w:tbl>
      <w:tblPr>
        <w:tblW w:w="7012" w:type="dxa"/>
        <w:jc w:val="center"/>
        <w:tblCellMar>
          <w:left w:w="70" w:type="dxa"/>
          <w:right w:w="70" w:type="dxa"/>
        </w:tblCellMar>
        <w:tblLook w:val="04A0" w:firstRow="1" w:lastRow="0" w:firstColumn="1" w:lastColumn="0" w:noHBand="0" w:noVBand="1"/>
      </w:tblPr>
      <w:tblGrid>
        <w:gridCol w:w="1846"/>
        <w:gridCol w:w="1048"/>
        <w:gridCol w:w="674"/>
        <w:gridCol w:w="1048"/>
        <w:gridCol w:w="674"/>
        <w:gridCol w:w="1048"/>
        <w:gridCol w:w="674"/>
      </w:tblGrid>
      <w:tr w:rsidR="0089748C" w:rsidRPr="00DF40BA" w14:paraId="4D9FA5AF" w14:textId="77777777" w:rsidTr="004A4F6C">
        <w:trPr>
          <w:trHeight w:val="225"/>
          <w:jc w:val="center"/>
        </w:trPr>
        <w:tc>
          <w:tcPr>
            <w:tcW w:w="1846" w:type="dxa"/>
            <w:vMerge w:val="restart"/>
            <w:tcBorders>
              <w:top w:val="single" w:sz="8" w:space="0" w:color="8DB3E2"/>
              <w:left w:val="single" w:sz="8" w:space="0" w:color="8DB3E2"/>
              <w:bottom w:val="single" w:sz="8" w:space="0" w:color="8DB3E2"/>
              <w:right w:val="single" w:sz="8" w:space="0" w:color="8DB3E2"/>
            </w:tcBorders>
            <w:shd w:val="clear" w:color="000000" w:fill="4F81BD"/>
            <w:noWrap/>
            <w:vAlign w:val="center"/>
            <w:hideMark/>
          </w:tcPr>
          <w:p w14:paraId="6E7BE78F" w14:textId="77777777" w:rsidR="0089748C" w:rsidRPr="00DF40BA" w:rsidRDefault="0089748C" w:rsidP="004A4F6C">
            <w:pPr>
              <w:spacing w:after="0" w:line="240" w:lineRule="auto"/>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Operadora</w:t>
            </w:r>
          </w:p>
        </w:tc>
        <w:tc>
          <w:tcPr>
            <w:tcW w:w="1722"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226F3989"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2019</w:t>
            </w:r>
          </w:p>
        </w:tc>
        <w:tc>
          <w:tcPr>
            <w:tcW w:w="1722"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1FFEF57E"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2020</w:t>
            </w:r>
          </w:p>
        </w:tc>
        <w:tc>
          <w:tcPr>
            <w:tcW w:w="1722"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131CA982"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2021</w:t>
            </w:r>
            <w:r>
              <w:rPr>
                <w:rFonts w:ascii="Calibri" w:eastAsia="Times New Roman" w:hAnsi="Calibri" w:cs="Calibri"/>
                <w:b/>
                <w:bCs/>
                <w:color w:val="FFFFFF"/>
                <w:sz w:val="20"/>
                <w:szCs w:val="20"/>
                <w:lang w:val="es-CR" w:eastAsia="es-CR"/>
              </w:rPr>
              <w:t>*</w:t>
            </w:r>
          </w:p>
        </w:tc>
      </w:tr>
      <w:tr w:rsidR="0089748C" w:rsidRPr="00DF40BA" w14:paraId="1BC9435A" w14:textId="77777777" w:rsidTr="004A4F6C">
        <w:trPr>
          <w:trHeight w:val="225"/>
          <w:jc w:val="center"/>
        </w:trPr>
        <w:tc>
          <w:tcPr>
            <w:tcW w:w="1846" w:type="dxa"/>
            <w:vMerge/>
            <w:tcBorders>
              <w:top w:val="single" w:sz="8" w:space="0" w:color="8DB3E2"/>
              <w:left w:val="single" w:sz="8" w:space="0" w:color="8DB3E2"/>
              <w:bottom w:val="single" w:sz="8" w:space="0" w:color="8DB3E2"/>
              <w:right w:val="single" w:sz="8" w:space="0" w:color="8DB3E2"/>
            </w:tcBorders>
            <w:vAlign w:val="center"/>
            <w:hideMark/>
          </w:tcPr>
          <w:p w14:paraId="00A41307" w14:textId="77777777" w:rsidR="0089748C" w:rsidRPr="00DF40BA" w:rsidRDefault="0089748C" w:rsidP="004A4F6C">
            <w:pPr>
              <w:spacing w:after="0" w:line="240" w:lineRule="auto"/>
              <w:rPr>
                <w:rFonts w:ascii="Calibri" w:eastAsia="Times New Roman" w:hAnsi="Calibri" w:cs="Calibri"/>
                <w:b/>
                <w:bCs/>
                <w:color w:val="FFFFFF"/>
                <w:sz w:val="20"/>
                <w:szCs w:val="20"/>
                <w:lang w:val="es-CR" w:eastAsia="es-CR"/>
              </w:rPr>
            </w:pPr>
          </w:p>
        </w:tc>
        <w:tc>
          <w:tcPr>
            <w:tcW w:w="1048" w:type="dxa"/>
            <w:tcBorders>
              <w:top w:val="nil"/>
              <w:left w:val="nil"/>
              <w:bottom w:val="single" w:sz="8" w:space="0" w:color="8DB3E2"/>
              <w:right w:val="single" w:sz="8" w:space="0" w:color="8DB3E2"/>
            </w:tcBorders>
            <w:shd w:val="clear" w:color="000000" w:fill="4F81BD"/>
            <w:noWrap/>
            <w:vAlign w:val="center"/>
            <w:hideMark/>
          </w:tcPr>
          <w:p w14:paraId="317AAEF6"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Monto</w:t>
            </w:r>
          </w:p>
        </w:tc>
        <w:tc>
          <w:tcPr>
            <w:tcW w:w="673" w:type="dxa"/>
            <w:tcBorders>
              <w:top w:val="nil"/>
              <w:left w:val="nil"/>
              <w:bottom w:val="single" w:sz="8" w:space="0" w:color="8DB3E2"/>
              <w:right w:val="single" w:sz="8" w:space="0" w:color="8DB3E2"/>
            </w:tcBorders>
            <w:shd w:val="clear" w:color="000000" w:fill="4F81BD"/>
            <w:noWrap/>
            <w:vAlign w:val="center"/>
            <w:hideMark/>
          </w:tcPr>
          <w:p w14:paraId="4A96EEC8"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 xml:space="preserve">% </w:t>
            </w:r>
          </w:p>
        </w:tc>
        <w:tc>
          <w:tcPr>
            <w:tcW w:w="1048" w:type="dxa"/>
            <w:tcBorders>
              <w:top w:val="nil"/>
              <w:left w:val="nil"/>
              <w:bottom w:val="single" w:sz="8" w:space="0" w:color="8DB3E2"/>
              <w:right w:val="single" w:sz="8" w:space="0" w:color="8DB3E2"/>
            </w:tcBorders>
            <w:shd w:val="clear" w:color="000000" w:fill="4F81BD"/>
            <w:noWrap/>
            <w:vAlign w:val="center"/>
            <w:hideMark/>
          </w:tcPr>
          <w:p w14:paraId="1B5344B7"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Monto</w:t>
            </w:r>
          </w:p>
        </w:tc>
        <w:tc>
          <w:tcPr>
            <w:tcW w:w="673" w:type="dxa"/>
            <w:tcBorders>
              <w:top w:val="nil"/>
              <w:left w:val="nil"/>
              <w:bottom w:val="single" w:sz="8" w:space="0" w:color="8DB3E2"/>
              <w:right w:val="single" w:sz="8" w:space="0" w:color="8DB3E2"/>
            </w:tcBorders>
            <w:shd w:val="clear" w:color="000000" w:fill="4F81BD"/>
            <w:noWrap/>
            <w:vAlign w:val="center"/>
            <w:hideMark/>
          </w:tcPr>
          <w:p w14:paraId="647FD860"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 xml:space="preserve">% </w:t>
            </w:r>
          </w:p>
        </w:tc>
        <w:tc>
          <w:tcPr>
            <w:tcW w:w="1048" w:type="dxa"/>
            <w:tcBorders>
              <w:top w:val="nil"/>
              <w:left w:val="nil"/>
              <w:bottom w:val="single" w:sz="8" w:space="0" w:color="8DB3E2"/>
              <w:right w:val="single" w:sz="8" w:space="0" w:color="8DB3E2"/>
            </w:tcBorders>
            <w:shd w:val="clear" w:color="000000" w:fill="4F81BD"/>
            <w:noWrap/>
            <w:vAlign w:val="center"/>
            <w:hideMark/>
          </w:tcPr>
          <w:p w14:paraId="179CC80C"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Monto</w:t>
            </w:r>
          </w:p>
        </w:tc>
        <w:tc>
          <w:tcPr>
            <w:tcW w:w="673" w:type="dxa"/>
            <w:tcBorders>
              <w:top w:val="nil"/>
              <w:left w:val="nil"/>
              <w:bottom w:val="single" w:sz="8" w:space="0" w:color="8DB3E2"/>
              <w:right w:val="single" w:sz="8" w:space="0" w:color="8DB3E2"/>
            </w:tcBorders>
            <w:shd w:val="clear" w:color="000000" w:fill="4F81BD"/>
            <w:noWrap/>
            <w:vAlign w:val="center"/>
            <w:hideMark/>
          </w:tcPr>
          <w:p w14:paraId="74B340C9" w14:textId="77777777" w:rsidR="0089748C" w:rsidRPr="00DF40BA" w:rsidRDefault="0089748C" w:rsidP="004A4F6C">
            <w:pPr>
              <w:spacing w:after="0" w:line="240" w:lineRule="auto"/>
              <w:jc w:val="center"/>
              <w:rPr>
                <w:rFonts w:ascii="Calibri" w:eastAsia="Times New Roman" w:hAnsi="Calibri" w:cs="Calibri"/>
                <w:b/>
                <w:bCs/>
                <w:color w:val="FFFFFF"/>
                <w:sz w:val="20"/>
                <w:szCs w:val="20"/>
                <w:lang w:val="es-CR" w:eastAsia="es-CR"/>
              </w:rPr>
            </w:pPr>
            <w:r w:rsidRPr="00DF40BA">
              <w:rPr>
                <w:rFonts w:ascii="Calibri" w:eastAsia="Times New Roman" w:hAnsi="Calibri" w:cs="Calibri"/>
                <w:b/>
                <w:bCs/>
                <w:color w:val="FFFFFF"/>
                <w:sz w:val="20"/>
                <w:szCs w:val="20"/>
                <w:lang w:val="es-CR" w:eastAsia="es-CR"/>
              </w:rPr>
              <w:t xml:space="preserve">% </w:t>
            </w:r>
          </w:p>
        </w:tc>
      </w:tr>
      <w:tr w:rsidR="0089748C" w:rsidRPr="00DF40BA" w14:paraId="35F03F25"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13298F91" w14:textId="77777777" w:rsidR="0089748C" w:rsidRPr="00DF40BA" w:rsidRDefault="0089748C" w:rsidP="004A4F6C">
            <w:pPr>
              <w:spacing w:after="0" w:line="240" w:lineRule="auto"/>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 xml:space="preserve"> Sector Extranjero </w:t>
            </w:r>
          </w:p>
        </w:tc>
        <w:tc>
          <w:tcPr>
            <w:tcW w:w="1048" w:type="dxa"/>
            <w:tcBorders>
              <w:top w:val="nil"/>
              <w:left w:val="nil"/>
              <w:bottom w:val="single" w:sz="8" w:space="0" w:color="95B3D7"/>
              <w:right w:val="single" w:sz="8" w:space="0" w:color="8DB3E2"/>
            </w:tcBorders>
            <w:shd w:val="clear" w:color="auto" w:fill="auto"/>
            <w:noWrap/>
            <w:vAlign w:val="center"/>
            <w:hideMark/>
          </w:tcPr>
          <w:p w14:paraId="3C75662C"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806 539</w:t>
            </w:r>
          </w:p>
        </w:tc>
        <w:tc>
          <w:tcPr>
            <w:tcW w:w="673" w:type="dxa"/>
            <w:tcBorders>
              <w:top w:val="nil"/>
              <w:left w:val="nil"/>
              <w:bottom w:val="single" w:sz="8" w:space="0" w:color="95B3D7"/>
              <w:right w:val="single" w:sz="8" w:space="0" w:color="8DB3E2"/>
            </w:tcBorders>
            <w:shd w:val="clear" w:color="auto" w:fill="auto"/>
            <w:noWrap/>
            <w:vAlign w:val="center"/>
            <w:hideMark/>
          </w:tcPr>
          <w:p w14:paraId="7EDD7E2C"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13,1%</w:t>
            </w:r>
          </w:p>
        </w:tc>
        <w:tc>
          <w:tcPr>
            <w:tcW w:w="1048" w:type="dxa"/>
            <w:tcBorders>
              <w:top w:val="nil"/>
              <w:left w:val="nil"/>
              <w:bottom w:val="single" w:sz="8" w:space="0" w:color="95B3D7"/>
              <w:right w:val="single" w:sz="8" w:space="0" w:color="8DB3E2"/>
            </w:tcBorders>
            <w:shd w:val="clear" w:color="auto" w:fill="auto"/>
            <w:noWrap/>
            <w:vAlign w:val="center"/>
            <w:hideMark/>
          </w:tcPr>
          <w:p w14:paraId="123E562C"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940 984</w:t>
            </w:r>
          </w:p>
        </w:tc>
        <w:tc>
          <w:tcPr>
            <w:tcW w:w="673" w:type="dxa"/>
            <w:tcBorders>
              <w:top w:val="nil"/>
              <w:left w:val="nil"/>
              <w:bottom w:val="single" w:sz="8" w:space="0" w:color="95B3D7"/>
              <w:right w:val="single" w:sz="8" w:space="0" w:color="8DB3E2"/>
            </w:tcBorders>
            <w:shd w:val="clear" w:color="auto" w:fill="auto"/>
            <w:noWrap/>
            <w:vAlign w:val="center"/>
            <w:hideMark/>
          </w:tcPr>
          <w:p w14:paraId="7C7C96F2"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13,2%</w:t>
            </w:r>
          </w:p>
        </w:tc>
        <w:tc>
          <w:tcPr>
            <w:tcW w:w="1048" w:type="dxa"/>
            <w:tcBorders>
              <w:top w:val="nil"/>
              <w:left w:val="nil"/>
              <w:bottom w:val="single" w:sz="8" w:space="0" w:color="95B3D7"/>
              <w:right w:val="single" w:sz="8" w:space="0" w:color="8DB3E2"/>
            </w:tcBorders>
            <w:shd w:val="clear" w:color="auto" w:fill="auto"/>
            <w:noWrap/>
            <w:vAlign w:val="center"/>
            <w:hideMark/>
          </w:tcPr>
          <w:p w14:paraId="52B7AE42"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2 098 201</w:t>
            </w:r>
          </w:p>
        </w:tc>
        <w:tc>
          <w:tcPr>
            <w:tcW w:w="673" w:type="dxa"/>
            <w:tcBorders>
              <w:top w:val="nil"/>
              <w:left w:val="nil"/>
              <w:bottom w:val="single" w:sz="8" w:space="0" w:color="95B3D7"/>
              <w:right w:val="single" w:sz="8" w:space="0" w:color="8DB3E2"/>
            </w:tcBorders>
            <w:shd w:val="clear" w:color="auto" w:fill="auto"/>
            <w:noWrap/>
            <w:vAlign w:val="center"/>
            <w:hideMark/>
          </w:tcPr>
          <w:p w14:paraId="6BA50CFD"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23,7%</w:t>
            </w:r>
          </w:p>
        </w:tc>
      </w:tr>
      <w:tr w:rsidR="0089748C" w:rsidRPr="00DF40BA" w14:paraId="230A9D34"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000000" w:fill="DBE5F1"/>
            <w:noWrap/>
            <w:vAlign w:val="center"/>
            <w:hideMark/>
          </w:tcPr>
          <w:p w14:paraId="5CB34462"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BCR Pensión</w:t>
            </w:r>
          </w:p>
        </w:tc>
        <w:tc>
          <w:tcPr>
            <w:tcW w:w="1048" w:type="dxa"/>
            <w:tcBorders>
              <w:top w:val="nil"/>
              <w:left w:val="nil"/>
              <w:bottom w:val="single" w:sz="8" w:space="0" w:color="95B3D7"/>
              <w:right w:val="single" w:sz="8" w:space="0" w:color="8DB3E2"/>
            </w:tcBorders>
            <w:shd w:val="clear" w:color="000000" w:fill="DBE5F1"/>
            <w:noWrap/>
            <w:vAlign w:val="center"/>
            <w:hideMark/>
          </w:tcPr>
          <w:p w14:paraId="64534A8D"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39 389</w:t>
            </w:r>
          </w:p>
        </w:tc>
        <w:tc>
          <w:tcPr>
            <w:tcW w:w="673" w:type="dxa"/>
            <w:tcBorders>
              <w:top w:val="nil"/>
              <w:left w:val="nil"/>
              <w:bottom w:val="single" w:sz="8" w:space="0" w:color="95B3D7"/>
              <w:right w:val="single" w:sz="8" w:space="0" w:color="8DB3E2"/>
            </w:tcBorders>
            <w:shd w:val="clear" w:color="000000" w:fill="DBE5F1"/>
            <w:noWrap/>
            <w:vAlign w:val="center"/>
            <w:hideMark/>
          </w:tcPr>
          <w:p w14:paraId="6A5FF317"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4,4%</w:t>
            </w:r>
          </w:p>
        </w:tc>
        <w:tc>
          <w:tcPr>
            <w:tcW w:w="1048" w:type="dxa"/>
            <w:tcBorders>
              <w:top w:val="nil"/>
              <w:left w:val="nil"/>
              <w:bottom w:val="single" w:sz="8" w:space="0" w:color="95B3D7"/>
              <w:right w:val="single" w:sz="8" w:space="0" w:color="8DB3E2"/>
            </w:tcBorders>
            <w:shd w:val="clear" w:color="000000" w:fill="DBE5F1"/>
            <w:noWrap/>
            <w:vAlign w:val="center"/>
            <w:hideMark/>
          </w:tcPr>
          <w:p w14:paraId="7DFD9A76"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45 075</w:t>
            </w:r>
          </w:p>
        </w:tc>
        <w:tc>
          <w:tcPr>
            <w:tcW w:w="673" w:type="dxa"/>
            <w:tcBorders>
              <w:top w:val="nil"/>
              <w:left w:val="nil"/>
              <w:bottom w:val="single" w:sz="8" w:space="0" w:color="95B3D7"/>
              <w:right w:val="single" w:sz="8" w:space="0" w:color="8DB3E2"/>
            </w:tcBorders>
            <w:shd w:val="clear" w:color="000000" w:fill="DBE5F1"/>
            <w:noWrap/>
            <w:vAlign w:val="center"/>
            <w:hideMark/>
          </w:tcPr>
          <w:p w14:paraId="051B8A4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4,4%</w:t>
            </w:r>
          </w:p>
        </w:tc>
        <w:tc>
          <w:tcPr>
            <w:tcW w:w="1048" w:type="dxa"/>
            <w:tcBorders>
              <w:top w:val="nil"/>
              <w:left w:val="nil"/>
              <w:bottom w:val="single" w:sz="8" w:space="0" w:color="95B3D7"/>
              <w:right w:val="single" w:sz="8" w:space="0" w:color="8DB3E2"/>
            </w:tcBorders>
            <w:shd w:val="clear" w:color="000000" w:fill="DBE5F1"/>
            <w:noWrap/>
            <w:vAlign w:val="center"/>
            <w:hideMark/>
          </w:tcPr>
          <w:p w14:paraId="0C95289B"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118 182</w:t>
            </w:r>
          </w:p>
        </w:tc>
        <w:tc>
          <w:tcPr>
            <w:tcW w:w="673" w:type="dxa"/>
            <w:tcBorders>
              <w:top w:val="nil"/>
              <w:left w:val="nil"/>
              <w:bottom w:val="single" w:sz="8" w:space="0" w:color="95B3D7"/>
              <w:right w:val="single" w:sz="8" w:space="0" w:color="8DB3E2"/>
            </w:tcBorders>
            <w:shd w:val="clear" w:color="000000" w:fill="DBE5F1"/>
            <w:noWrap/>
            <w:vAlign w:val="center"/>
            <w:hideMark/>
          </w:tcPr>
          <w:p w14:paraId="51436F1D"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9,8%</w:t>
            </w:r>
          </w:p>
        </w:tc>
      </w:tr>
      <w:tr w:rsidR="0089748C" w:rsidRPr="00DF40BA" w14:paraId="273BA81F"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693D9C6B"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BN Vital </w:t>
            </w:r>
          </w:p>
        </w:tc>
        <w:tc>
          <w:tcPr>
            <w:tcW w:w="1048" w:type="dxa"/>
            <w:tcBorders>
              <w:top w:val="nil"/>
              <w:left w:val="nil"/>
              <w:bottom w:val="single" w:sz="8" w:space="0" w:color="95B3D7"/>
              <w:right w:val="single" w:sz="8" w:space="0" w:color="8DB3E2"/>
            </w:tcBorders>
            <w:shd w:val="clear" w:color="auto" w:fill="auto"/>
            <w:noWrap/>
            <w:vAlign w:val="center"/>
            <w:hideMark/>
          </w:tcPr>
          <w:p w14:paraId="7BA6AE7A"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52 476</w:t>
            </w:r>
          </w:p>
        </w:tc>
        <w:tc>
          <w:tcPr>
            <w:tcW w:w="673" w:type="dxa"/>
            <w:tcBorders>
              <w:top w:val="nil"/>
              <w:left w:val="nil"/>
              <w:bottom w:val="single" w:sz="8" w:space="0" w:color="95B3D7"/>
              <w:right w:val="single" w:sz="8" w:space="0" w:color="8DB3E2"/>
            </w:tcBorders>
            <w:shd w:val="clear" w:color="auto" w:fill="auto"/>
            <w:noWrap/>
            <w:vAlign w:val="center"/>
            <w:hideMark/>
          </w:tcPr>
          <w:p w14:paraId="448076F4"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4,1%</w:t>
            </w:r>
          </w:p>
        </w:tc>
        <w:tc>
          <w:tcPr>
            <w:tcW w:w="1048" w:type="dxa"/>
            <w:tcBorders>
              <w:top w:val="nil"/>
              <w:left w:val="nil"/>
              <w:bottom w:val="single" w:sz="8" w:space="0" w:color="95B3D7"/>
              <w:right w:val="single" w:sz="8" w:space="0" w:color="8DB3E2"/>
            </w:tcBorders>
            <w:shd w:val="clear" w:color="auto" w:fill="auto"/>
            <w:noWrap/>
            <w:vAlign w:val="center"/>
            <w:hideMark/>
          </w:tcPr>
          <w:p w14:paraId="0F605991"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52 887</w:t>
            </w:r>
          </w:p>
        </w:tc>
        <w:tc>
          <w:tcPr>
            <w:tcW w:w="673" w:type="dxa"/>
            <w:tcBorders>
              <w:top w:val="nil"/>
              <w:left w:val="nil"/>
              <w:bottom w:val="single" w:sz="8" w:space="0" w:color="95B3D7"/>
              <w:right w:val="single" w:sz="8" w:space="0" w:color="8DB3E2"/>
            </w:tcBorders>
            <w:shd w:val="clear" w:color="auto" w:fill="auto"/>
            <w:noWrap/>
            <w:vAlign w:val="center"/>
            <w:hideMark/>
          </w:tcPr>
          <w:p w14:paraId="7E58CADE"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3,6%</w:t>
            </w:r>
          </w:p>
        </w:tc>
        <w:tc>
          <w:tcPr>
            <w:tcW w:w="1048" w:type="dxa"/>
            <w:tcBorders>
              <w:top w:val="nil"/>
              <w:left w:val="nil"/>
              <w:bottom w:val="single" w:sz="8" w:space="0" w:color="95B3D7"/>
              <w:right w:val="single" w:sz="8" w:space="0" w:color="8DB3E2"/>
            </w:tcBorders>
            <w:shd w:val="clear" w:color="auto" w:fill="auto"/>
            <w:noWrap/>
            <w:vAlign w:val="center"/>
            <w:hideMark/>
          </w:tcPr>
          <w:p w14:paraId="2F6B9385"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355 167</w:t>
            </w:r>
          </w:p>
        </w:tc>
        <w:tc>
          <w:tcPr>
            <w:tcW w:w="673" w:type="dxa"/>
            <w:tcBorders>
              <w:top w:val="nil"/>
              <w:left w:val="nil"/>
              <w:bottom w:val="single" w:sz="8" w:space="0" w:color="95B3D7"/>
              <w:right w:val="single" w:sz="8" w:space="0" w:color="8DB3E2"/>
            </w:tcBorders>
            <w:shd w:val="clear" w:color="auto" w:fill="auto"/>
            <w:noWrap/>
            <w:vAlign w:val="center"/>
            <w:hideMark/>
          </w:tcPr>
          <w:p w14:paraId="4D072C4F"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20,1%</w:t>
            </w:r>
          </w:p>
        </w:tc>
      </w:tr>
      <w:tr w:rsidR="0089748C" w:rsidRPr="00DF40BA" w14:paraId="08B7C125"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000000" w:fill="DBE5F1"/>
            <w:noWrap/>
            <w:vAlign w:val="center"/>
            <w:hideMark/>
          </w:tcPr>
          <w:p w14:paraId="36AD6370"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CCSS-OPC </w:t>
            </w:r>
          </w:p>
        </w:tc>
        <w:tc>
          <w:tcPr>
            <w:tcW w:w="1048" w:type="dxa"/>
            <w:tcBorders>
              <w:top w:val="nil"/>
              <w:left w:val="nil"/>
              <w:bottom w:val="single" w:sz="8" w:space="0" w:color="95B3D7"/>
              <w:right w:val="single" w:sz="8" w:space="0" w:color="8DB3E2"/>
            </w:tcBorders>
            <w:shd w:val="clear" w:color="000000" w:fill="DBE5F1"/>
            <w:noWrap/>
            <w:vAlign w:val="center"/>
            <w:hideMark/>
          </w:tcPr>
          <w:p w14:paraId="34CC7FAD"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41 971</w:t>
            </w:r>
          </w:p>
        </w:tc>
        <w:tc>
          <w:tcPr>
            <w:tcW w:w="673" w:type="dxa"/>
            <w:tcBorders>
              <w:top w:val="nil"/>
              <w:left w:val="nil"/>
              <w:bottom w:val="single" w:sz="8" w:space="0" w:color="95B3D7"/>
              <w:right w:val="single" w:sz="8" w:space="0" w:color="8DB3E2"/>
            </w:tcBorders>
            <w:shd w:val="clear" w:color="000000" w:fill="DBE5F1"/>
            <w:noWrap/>
            <w:vAlign w:val="center"/>
            <w:hideMark/>
          </w:tcPr>
          <w:p w14:paraId="244AEE56"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21,1%</w:t>
            </w:r>
          </w:p>
        </w:tc>
        <w:tc>
          <w:tcPr>
            <w:tcW w:w="1048" w:type="dxa"/>
            <w:tcBorders>
              <w:top w:val="nil"/>
              <w:left w:val="nil"/>
              <w:bottom w:val="single" w:sz="8" w:space="0" w:color="95B3D7"/>
              <w:right w:val="single" w:sz="8" w:space="0" w:color="8DB3E2"/>
            </w:tcBorders>
            <w:shd w:val="clear" w:color="000000" w:fill="DBE5F1"/>
            <w:noWrap/>
            <w:vAlign w:val="center"/>
            <w:hideMark/>
          </w:tcPr>
          <w:p w14:paraId="69A60E97"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51 301</w:t>
            </w:r>
          </w:p>
        </w:tc>
        <w:tc>
          <w:tcPr>
            <w:tcW w:w="673" w:type="dxa"/>
            <w:tcBorders>
              <w:top w:val="nil"/>
              <w:left w:val="nil"/>
              <w:bottom w:val="single" w:sz="8" w:space="0" w:color="95B3D7"/>
              <w:right w:val="single" w:sz="8" w:space="0" w:color="8DB3E2"/>
            </w:tcBorders>
            <w:shd w:val="clear" w:color="000000" w:fill="DBE5F1"/>
            <w:noWrap/>
            <w:vAlign w:val="center"/>
            <w:hideMark/>
          </w:tcPr>
          <w:p w14:paraId="228A9D49"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23,7%</w:t>
            </w:r>
          </w:p>
        </w:tc>
        <w:tc>
          <w:tcPr>
            <w:tcW w:w="1048" w:type="dxa"/>
            <w:tcBorders>
              <w:top w:val="nil"/>
              <w:left w:val="nil"/>
              <w:bottom w:val="single" w:sz="8" w:space="0" w:color="95B3D7"/>
              <w:right w:val="single" w:sz="8" w:space="0" w:color="8DB3E2"/>
            </w:tcBorders>
            <w:shd w:val="clear" w:color="000000" w:fill="DBE5F1"/>
            <w:noWrap/>
            <w:vAlign w:val="center"/>
            <w:hideMark/>
          </w:tcPr>
          <w:p w14:paraId="3AC0B89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65 886</w:t>
            </w:r>
          </w:p>
        </w:tc>
        <w:tc>
          <w:tcPr>
            <w:tcW w:w="673" w:type="dxa"/>
            <w:tcBorders>
              <w:top w:val="nil"/>
              <w:left w:val="nil"/>
              <w:bottom w:val="single" w:sz="8" w:space="0" w:color="95B3D7"/>
              <w:right w:val="single" w:sz="8" w:space="0" w:color="8DB3E2"/>
            </w:tcBorders>
            <w:shd w:val="clear" w:color="000000" w:fill="DBE5F1"/>
            <w:noWrap/>
            <w:vAlign w:val="center"/>
            <w:hideMark/>
          </w:tcPr>
          <w:p w14:paraId="0E771044"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24,0%</w:t>
            </w:r>
          </w:p>
        </w:tc>
      </w:tr>
      <w:tr w:rsidR="0089748C" w:rsidRPr="00DF40BA" w14:paraId="165F3062"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0C796403"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Popular</w:t>
            </w:r>
          </w:p>
        </w:tc>
        <w:tc>
          <w:tcPr>
            <w:tcW w:w="1048" w:type="dxa"/>
            <w:tcBorders>
              <w:top w:val="nil"/>
              <w:left w:val="nil"/>
              <w:bottom w:val="single" w:sz="8" w:space="0" w:color="95B3D7"/>
              <w:right w:val="single" w:sz="8" w:space="0" w:color="8DB3E2"/>
            </w:tcBorders>
            <w:shd w:val="clear" w:color="auto" w:fill="auto"/>
            <w:noWrap/>
            <w:vAlign w:val="center"/>
            <w:hideMark/>
          </w:tcPr>
          <w:p w14:paraId="27FE8A14"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509 041</w:t>
            </w:r>
          </w:p>
        </w:tc>
        <w:tc>
          <w:tcPr>
            <w:tcW w:w="673" w:type="dxa"/>
            <w:tcBorders>
              <w:top w:val="nil"/>
              <w:left w:val="nil"/>
              <w:bottom w:val="single" w:sz="8" w:space="0" w:color="95B3D7"/>
              <w:right w:val="single" w:sz="8" w:space="0" w:color="8DB3E2"/>
            </w:tcBorders>
            <w:shd w:val="clear" w:color="auto" w:fill="auto"/>
            <w:noWrap/>
            <w:vAlign w:val="center"/>
            <w:hideMark/>
          </w:tcPr>
          <w:p w14:paraId="6B03E39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21,6%</w:t>
            </w:r>
          </w:p>
        </w:tc>
        <w:tc>
          <w:tcPr>
            <w:tcW w:w="1048" w:type="dxa"/>
            <w:tcBorders>
              <w:top w:val="nil"/>
              <w:left w:val="nil"/>
              <w:bottom w:val="single" w:sz="8" w:space="0" w:color="95B3D7"/>
              <w:right w:val="single" w:sz="8" w:space="0" w:color="8DB3E2"/>
            </w:tcBorders>
            <w:shd w:val="clear" w:color="auto" w:fill="auto"/>
            <w:noWrap/>
            <w:vAlign w:val="center"/>
            <w:hideMark/>
          </w:tcPr>
          <w:p w14:paraId="0F3E7518"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644 981</w:t>
            </w:r>
          </w:p>
        </w:tc>
        <w:tc>
          <w:tcPr>
            <w:tcW w:w="673" w:type="dxa"/>
            <w:tcBorders>
              <w:top w:val="nil"/>
              <w:left w:val="nil"/>
              <w:bottom w:val="single" w:sz="8" w:space="0" w:color="95B3D7"/>
              <w:right w:val="single" w:sz="8" w:space="0" w:color="8DB3E2"/>
            </w:tcBorders>
            <w:shd w:val="clear" w:color="auto" w:fill="auto"/>
            <w:noWrap/>
            <w:vAlign w:val="center"/>
            <w:hideMark/>
          </w:tcPr>
          <w:p w14:paraId="6A1EC267"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23,4%</w:t>
            </w:r>
          </w:p>
        </w:tc>
        <w:tc>
          <w:tcPr>
            <w:tcW w:w="1048" w:type="dxa"/>
            <w:tcBorders>
              <w:top w:val="nil"/>
              <w:left w:val="nil"/>
              <w:bottom w:val="single" w:sz="8" w:space="0" w:color="95B3D7"/>
              <w:right w:val="single" w:sz="8" w:space="0" w:color="8DB3E2"/>
            </w:tcBorders>
            <w:shd w:val="clear" w:color="auto" w:fill="auto"/>
            <w:noWrap/>
            <w:vAlign w:val="center"/>
            <w:hideMark/>
          </w:tcPr>
          <w:p w14:paraId="3914DB76"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1 102 115</w:t>
            </w:r>
          </w:p>
        </w:tc>
        <w:tc>
          <w:tcPr>
            <w:tcW w:w="673" w:type="dxa"/>
            <w:tcBorders>
              <w:top w:val="nil"/>
              <w:left w:val="nil"/>
              <w:bottom w:val="single" w:sz="8" w:space="0" w:color="95B3D7"/>
              <w:right w:val="single" w:sz="8" w:space="0" w:color="8DB3E2"/>
            </w:tcBorders>
            <w:shd w:val="clear" w:color="auto" w:fill="auto"/>
            <w:noWrap/>
            <w:vAlign w:val="center"/>
            <w:hideMark/>
          </w:tcPr>
          <w:p w14:paraId="703402E0"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31,0%</w:t>
            </w:r>
          </w:p>
        </w:tc>
      </w:tr>
      <w:tr w:rsidR="0089748C" w:rsidRPr="00DF40BA" w14:paraId="7CBEBDEE"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000000" w:fill="DBE5F1"/>
            <w:noWrap/>
            <w:vAlign w:val="center"/>
            <w:hideMark/>
          </w:tcPr>
          <w:p w14:paraId="5CCFCD62"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SJ-Pensiones </w:t>
            </w:r>
          </w:p>
        </w:tc>
        <w:tc>
          <w:tcPr>
            <w:tcW w:w="1048" w:type="dxa"/>
            <w:tcBorders>
              <w:top w:val="nil"/>
              <w:left w:val="nil"/>
              <w:bottom w:val="single" w:sz="8" w:space="0" w:color="95B3D7"/>
              <w:right w:val="single" w:sz="8" w:space="0" w:color="8DB3E2"/>
            </w:tcBorders>
            <w:shd w:val="clear" w:color="000000" w:fill="DBE5F1"/>
            <w:noWrap/>
            <w:vAlign w:val="center"/>
            <w:hideMark/>
          </w:tcPr>
          <w:p w14:paraId="2B0701C5"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119 593</w:t>
            </w:r>
          </w:p>
        </w:tc>
        <w:tc>
          <w:tcPr>
            <w:tcW w:w="673" w:type="dxa"/>
            <w:tcBorders>
              <w:top w:val="nil"/>
              <w:left w:val="nil"/>
              <w:bottom w:val="single" w:sz="8" w:space="0" w:color="95B3D7"/>
              <w:right w:val="single" w:sz="8" w:space="0" w:color="8DB3E2"/>
            </w:tcBorders>
            <w:shd w:val="clear" w:color="000000" w:fill="DBE5F1"/>
            <w:noWrap/>
            <w:vAlign w:val="center"/>
            <w:hideMark/>
          </w:tcPr>
          <w:p w14:paraId="46DB9BE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16,0%</w:t>
            </w:r>
          </w:p>
        </w:tc>
        <w:tc>
          <w:tcPr>
            <w:tcW w:w="1048" w:type="dxa"/>
            <w:tcBorders>
              <w:top w:val="nil"/>
              <w:left w:val="nil"/>
              <w:bottom w:val="single" w:sz="8" w:space="0" w:color="95B3D7"/>
              <w:right w:val="single" w:sz="8" w:space="0" w:color="8DB3E2"/>
            </w:tcBorders>
            <w:shd w:val="clear" w:color="000000" w:fill="DBE5F1"/>
            <w:noWrap/>
            <w:vAlign w:val="center"/>
            <w:hideMark/>
          </w:tcPr>
          <w:p w14:paraId="71F82B94"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101 908</w:t>
            </w:r>
          </w:p>
        </w:tc>
        <w:tc>
          <w:tcPr>
            <w:tcW w:w="673" w:type="dxa"/>
            <w:tcBorders>
              <w:top w:val="nil"/>
              <w:left w:val="nil"/>
              <w:bottom w:val="single" w:sz="8" w:space="0" w:color="95B3D7"/>
              <w:right w:val="single" w:sz="8" w:space="0" w:color="8DB3E2"/>
            </w:tcBorders>
            <w:shd w:val="clear" w:color="000000" w:fill="DBE5F1"/>
            <w:noWrap/>
            <w:vAlign w:val="center"/>
            <w:hideMark/>
          </w:tcPr>
          <w:p w14:paraId="58ACBDFB"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11,8%</w:t>
            </w:r>
          </w:p>
        </w:tc>
        <w:tc>
          <w:tcPr>
            <w:tcW w:w="1048" w:type="dxa"/>
            <w:tcBorders>
              <w:top w:val="nil"/>
              <w:left w:val="nil"/>
              <w:bottom w:val="single" w:sz="8" w:space="0" w:color="95B3D7"/>
              <w:right w:val="single" w:sz="8" w:space="0" w:color="8DB3E2"/>
            </w:tcBorders>
            <w:shd w:val="clear" w:color="000000" w:fill="DBE5F1"/>
            <w:noWrap/>
            <w:vAlign w:val="center"/>
            <w:hideMark/>
          </w:tcPr>
          <w:p w14:paraId="760131B4"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340 670</w:t>
            </w:r>
          </w:p>
        </w:tc>
        <w:tc>
          <w:tcPr>
            <w:tcW w:w="673" w:type="dxa"/>
            <w:tcBorders>
              <w:top w:val="nil"/>
              <w:left w:val="nil"/>
              <w:bottom w:val="single" w:sz="8" w:space="0" w:color="95B3D7"/>
              <w:right w:val="single" w:sz="8" w:space="0" w:color="8DB3E2"/>
            </w:tcBorders>
            <w:shd w:val="clear" w:color="000000" w:fill="DBE5F1"/>
            <w:noWrap/>
            <w:vAlign w:val="center"/>
            <w:hideMark/>
          </w:tcPr>
          <w:p w14:paraId="26DCB955"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31,7%</w:t>
            </w:r>
          </w:p>
        </w:tc>
      </w:tr>
      <w:tr w:rsidR="0089748C" w:rsidRPr="00DF40BA" w14:paraId="7CD67797"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3C893B50"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Vida Plena </w:t>
            </w:r>
          </w:p>
        </w:tc>
        <w:tc>
          <w:tcPr>
            <w:tcW w:w="1048" w:type="dxa"/>
            <w:tcBorders>
              <w:top w:val="nil"/>
              <w:left w:val="nil"/>
              <w:bottom w:val="single" w:sz="8" w:space="0" w:color="95B3D7"/>
              <w:right w:val="single" w:sz="8" w:space="0" w:color="8DB3E2"/>
            </w:tcBorders>
            <w:shd w:val="clear" w:color="auto" w:fill="auto"/>
            <w:noWrap/>
            <w:vAlign w:val="center"/>
            <w:hideMark/>
          </w:tcPr>
          <w:p w14:paraId="77B53C9B"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44 068</w:t>
            </w:r>
          </w:p>
        </w:tc>
        <w:tc>
          <w:tcPr>
            <w:tcW w:w="673" w:type="dxa"/>
            <w:tcBorders>
              <w:top w:val="nil"/>
              <w:left w:val="nil"/>
              <w:bottom w:val="single" w:sz="8" w:space="0" w:color="95B3D7"/>
              <w:right w:val="single" w:sz="8" w:space="0" w:color="8DB3E2"/>
            </w:tcBorders>
            <w:shd w:val="clear" w:color="auto" w:fill="auto"/>
            <w:noWrap/>
            <w:vAlign w:val="center"/>
            <w:hideMark/>
          </w:tcPr>
          <w:p w14:paraId="7EE3109F"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6,2%</w:t>
            </w:r>
          </w:p>
        </w:tc>
        <w:tc>
          <w:tcPr>
            <w:tcW w:w="1048" w:type="dxa"/>
            <w:tcBorders>
              <w:top w:val="nil"/>
              <w:left w:val="nil"/>
              <w:bottom w:val="single" w:sz="8" w:space="0" w:color="95B3D7"/>
              <w:right w:val="single" w:sz="8" w:space="0" w:color="8DB3E2"/>
            </w:tcBorders>
            <w:shd w:val="clear" w:color="auto" w:fill="auto"/>
            <w:noWrap/>
            <w:vAlign w:val="center"/>
            <w:hideMark/>
          </w:tcPr>
          <w:p w14:paraId="6801AFF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44 832</w:t>
            </w:r>
          </w:p>
        </w:tc>
        <w:tc>
          <w:tcPr>
            <w:tcW w:w="673" w:type="dxa"/>
            <w:tcBorders>
              <w:top w:val="nil"/>
              <w:left w:val="nil"/>
              <w:bottom w:val="single" w:sz="8" w:space="0" w:color="95B3D7"/>
              <w:right w:val="single" w:sz="8" w:space="0" w:color="8DB3E2"/>
            </w:tcBorders>
            <w:shd w:val="clear" w:color="auto" w:fill="auto"/>
            <w:noWrap/>
            <w:vAlign w:val="center"/>
            <w:hideMark/>
          </w:tcPr>
          <w:p w14:paraId="23C7F7CA"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5,5%</w:t>
            </w:r>
          </w:p>
        </w:tc>
        <w:tc>
          <w:tcPr>
            <w:tcW w:w="1048" w:type="dxa"/>
            <w:tcBorders>
              <w:top w:val="nil"/>
              <w:left w:val="nil"/>
              <w:bottom w:val="single" w:sz="8" w:space="0" w:color="95B3D7"/>
              <w:right w:val="single" w:sz="8" w:space="0" w:color="8DB3E2"/>
            </w:tcBorders>
            <w:shd w:val="clear" w:color="auto" w:fill="auto"/>
            <w:noWrap/>
            <w:vAlign w:val="center"/>
            <w:hideMark/>
          </w:tcPr>
          <w:p w14:paraId="4979B32F"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116 181</w:t>
            </w:r>
          </w:p>
        </w:tc>
        <w:tc>
          <w:tcPr>
            <w:tcW w:w="673" w:type="dxa"/>
            <w:tcBorders>
              <w:top w:val="nil"/>
              <w:left w:val="nil"/>
              <w:bottom w:val="single" w:sz="8" w:space="0" w:color="95B3D7"/>
              <w:right w:val="single" w:sz="8" w:space="0" w:color="8DB3E2"/>
            </w:tcBorders>
            <w:shd w:val="clear" w:color="auto" w:fill="auto"/>
            <w:noWrap/>
            <w:vAlign w:val="center"/>
            <w:hideMark/>
          </w:tcPr>
          <w:p w14:paraId="5CDBF1C2"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11,9%</w:t>
            </w:r>
          </w:p>
        </w:tc>
      </w:tr>
      <w:tr w:rsidR="0089748C" w:rsidRPr="00DF40BA" w14:paraId="2E31630B"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000000" w:fill="DBE5F1"/>
            <w:noWrap/>
            <w:vAlign w:val="center"/>
            <w:hideMark/>
          </w:tcPr>
          <w:p w14:paraId="4AB6CD12" w14:textId="77777777" w:rsidR="0089748C" w:rsidRPr="00DF40BA" w:rsidRDefault="0089748C" w:rsidP="004A4F6C">
            <w:pPr>
              <w:spacing w:after="0" w:line="240" w:lineRule="auto"/>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 xml:space="preserve"> Sector Local </w:t>
            </w:r>
          </w:p>
        </w:tc>
        <w:tc>
          <w:tcPr>
            <w:tcW w:w="1048" w:type="dxa"/>
            <w:tcBorders>
              <w:top w:val="nil"/>
              <w:left w:val="nil"/>
              <w:bottom w:val="single" w:sz="8" w:space="0" w:color="95B3D7"/>
              <w:right w:val="single" w:sz="8" w:space="0" w:color="8DB3E2"/>
            </w:tcBorders>
            <w:shd w:val="clear" w:color="000000" w:fill="DBE5F1"/>
            <w:noWrap/>
            <w:vAlign w:val="center"/>
            <w:hideMark/>
          </w:tcPr>
          <w:p w14:paraId="61E6170F"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1 013 896</w:t>
            </w:r>
          </w:p>
        </w:tc>
        <w:tc>
          <w:tcPr>
            <w:tcW w:w="673" w:type="dxa"/>
            <w:tcBorders>
              <w:top w:val="nil"/>
              <w:left w:val="nil"/>
              <w:bottom w:val="single" w:sz="8" w:space="0" w:color="95B3D7"/>
              <w:right w:val="single" w:sz="8" w:space="0" w:color="8DB3E2"/>
            </w:tcBorders>
            <w:shd w:val="clear" w:color="000000" w:fill="DBE5F1"/>
            <w:noWrap/>
            <w:vAlign w:val="center"/>
            <w:hideMark/>
          </w:tcPr>
          <w:p w14:paraId="530F8D63"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16,4%</w:t>
            </w:r>
          </w:p>
        </w:tc>
        <w:tc>
          <w:tcPr>
            <w:tcW w:w="1048" w:type="dxa"/>
            <w:tcBorders>
              <w:top w:val="nil"/>
              <w:left w:val="nil"/>
              <w:bottom w:val="single" w:sz="8" w:space="0" w:color="95B3D7"/>
              <w:right w:val="single" w:sz="8" w:space="0" w:color="8DB3E2"/>
            </w:tcBorders>
            <w:shd w:val="clear" w:color="000000" w:fill="DBE5F1"/>
            <w:noWrap/>
            <w:vAlign w:val="center"/>
            <w:hideMark/>
          </w:tcPr>
          <w:p w14:paraId="16B0013C"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1 119 196</w:t>
            </w:r>
          </w:p>
        </w:tc>
        <w:tc>
          <w:tcPr>
            <w:tcW w:w="673" w:type="dxa"/>
            <w:tcBorders>
              <w:top w:val="nil"/>
              <w:left w:val="nil"/>
              <w:bottom w:val="single" w:sz="8" w:space="0" w:color="95B3D7"/>
              <w:right w:val="single" w:sz="8" w:space="0" w:color="8DB3E2"/>
            </w:tcBorders>
            <w:shd w:val="clear" w:color="000000" w:fill="DBE5F1"/>
            <w:noWrap/>
            <w:vAlign w:val="center"/>
            <w:hideMark/>
          </w:tcPr>
          <w:p w14:paraId="792C0E58"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15,7%</w:t>
            </w:r>
          </w:p>
        </w:tc>
        <w:tc>
          <w:tcPr>
            <w:tcW w:w="1048" w:type="dxa"/>
            <w:tcBorders>
              <w:top w:val="nil"/>
              <w:left w:val="nil"/>
              <w:bottom w:val="single" w:sz="8" w:space="0" w:color="95B3D7"/>
              <w:right w:val="single" w:sz="8" w:space="0" w:color="8DB3E2"/>
            </w:tcBorders>
            <w:shd w:val="clear" w:color="000000" w:fill="DBE5F1"/>
            <w:noWrap/>
            <w:vAlign w:val="center"/>
            <w:hideMark/>
          </w:tcPr>
          <w:p w14:paraId="2A2F44F9"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940 020</w:t>
            </w:r>
          </w:p>
        </w:tc>
        <w:tc>
          <w:tcPr>
            <w:tcW w:w="673" w:type="dxa"/>
            <w:tcBorders>
              <w:top w:val="nil"/>
              <w:left w:val="nil"/>
              <w:bottom w:val="single" w:sz="8" w:space="0" w:color="95B3D7"/>
              <w:right w:val="single" w:sz="8" w:space="0" w:color="8DB3E2"/>
            </w:tcBorders>
            <w:shd w:val="clear" w:color="000000" w:fill="DBE5F1"/>
            <w:noWrap/>
            <w:vAlign w:val="center"/>
            <w:hideMark/>
          </w:tcPr>
          <w:p w14:paraId="7275D9CC" w14:textId="77777777" w:rsidR="0089748C" w:rsidRPr="00DF40BA" w:rsidRDefault="0089748C" w:rsidP="004A4F6C">
            <w:pPr>
              <w:spacing w:after="0" w:line="240" w:lineRule="auto"/>
              <w:jc w:val="right"/>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10,6%</w:t>
            </w:r>
          </w:p>
        </w:tc>
      </w:tr>
      <w:tr w:rsidR="0089748C" w:rsidRPr="00DF40BA" w14:paraId="6E886D1B"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37B16142"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BCR Pensión</w:t>
            </w:r>
          </w:p>
        </w:tc>
        <w:tc>
          <w:tcPr>
            <w:tcW w:w="1048" w:type="dxa"/>
            <w:tcBorders>
              <w:top w:val="nil"/>
              <w:left w:val="nil"/>
              <w:bottom w:val="single" w:sz="8" w:space="0" w:color="95B3D7"/>
              <w:right w:val="single" w:sz="8" w:space="0" w:color="8DB3E2"/>
            </w:tcBorders>
            <w:shd w:val="clear" w:color="auto" w:fill="auto"/>
            <w:noWrap/>
            <w:vAlign w:val="center"/>
            <w:hideMark/>
          </w:tcPr>
          <w:p w14:paraId="2AECE6A9"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145 582</w:t>
            </w:r>
          </w:p>
        </w:tc>
        <w:tc>
          <w:tcPr>
            <w:tcW w:w="673" w:type="dxa"/>
            <w:tcBorders>
              <w:top w:val="nil"/>
              <w:left w:val="nil"/>
              <w:bottom w:val="single" w:sz="8" w:space="0" w:color="95B3D7"/>
              <w:right w:val="single" w:sz="8" w:space="0" w:color="8DB3E2"/>
            </w:tcBorders>
            <w:shd w:val="clear" w:color="auto" w:fill="auto"/>
            <w:noWrap/>
            <w:vAlign w:val="center"/>
            <w:hideMark/>
          </w:tcPr>
          <w:p w14:paraId="5D59B86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16,2%</w:t>
            </w:r>
          </w:p>
        </w:tc>
        <w:tc>
          <w:tcPr>
            <w:tcW w:w="1048" w:type="dxa"/>
            <w:tcBorders>
              <w:top w:val="nil"/>
              <w:left w:val="nil"/>
              <w:bottom w:val="single" w:sz="8" w:space="0" w:color="95B3D7"/>
              <w:right w:val="single" w:sz="8" w:space="0" w:color="8DB3E2"/>
            </w:tcBorders>
            <w:shd w:val="clear" w:color="auto" w:fill="auto"/>
            <w:noWrap/>
            <w:vAlign w:val="center"/>
            <w:hideMark/>
          </w:tcPr>
          <w:p w14:paraId="56038362"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199 407</w:t>
            </w:r>
          </w:p>
        </w:tc>
        <w:tc>
          <w:tcPr>
            <w:tcW w:w="673" w:type="dxa"/>
            <w:tcBorders>
              <w:top w:val="nil"/>
              <w:left w:val="nil"/>
              <w:bottom w:val="single" w:sz="8" w:space="0" w:color="95B3D7"/>
              <w:right w:val="single" w:sz="8" w:space="0" w:color="8DB3E2"/>
            </w:tcBorders>
            <w:shd w:val="clear" w:color="auto" w:fill="auto"/>
            <w:noWrap/>
            <w:vAlign w:val="center"/>
            <w:hideMark/>
          </w:tcPr>
          <w:p w14:paraId="5FD4232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19,4%</w:t>
            </w:r>
          </w:p>
        </w:tc>
        <w:tc>
          <w:tcPr>
            <w:tcW w:w="1048" w:type="dxa"/>
            <w:tcBorders>
              <w:top w:val="nil"/>
              <w:left w:val="nil"/>
              <w:bottom w:val="single" w:sz="8" w:space="0" w:color="95B3D7"/>
              <w:right w:val="single" w:sz="8" w:space="0" w:color="8DB3E2"/>
            </w:tcBorders>
            <w:shd w:val="clear" w:color="auto" w:fill="auto"/>
            <w:noWrap/>
            <w:vAlign w:val="center"/>
            <w:hideMark/>
          </w:tcPr>
          <w:p w14:paraId="6854DC11"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187 637</w:t>
            </w:r>
          </w:p>
        </w:tc>
        <w:tc>
          <w:tcPr>
            <w:tcW w:w="673" w:type="dxa"/>
            <w:tcBorders>
              <w:top w:val="nil"/>
              <w:left w:val="nil"/>
              <w:bottom w:val="single" w:sz="8" w:space="0" w:color="95B3D7"/>
              <w:right w:val="single" w:sz="8" w:space="0" w:color="8DB3E2"/>
            </w:tcBorders>
            <w:shd w:val="clear" w:color="auto" w:fill="auto"/>
            <w:noWrap/>
            <w:vAlign w:val="center"/>
            <w:hideMark/>
          </w:tcPr>
          <w:p w14:paraId="1A8B56AA"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15,6%</w:t>
            </w:r>
          </w:p>
        </w:tc>
      </w:tr>
      <w:tr w:rsidR="0089748C" w:rsidRPr="00DF40BA" w14:paraId="557CB66E" w14:textId="77777777" w:rsidTr="004A4F6C">
        <w:trPr>
          <w:trHeight w:val="235"/>
          <w:jc w:val="center"/>
        </w:trPr>
        <w:tc>
          <w:tcPr>
            <w:tcW w:w="1846" w:type="dxa"/>
            <w:tcBorders>
              <w:top w:val="nil"/>
              <w:left w:val="single" w:sz="8" w:space="0" w:color="8DB3E2"/>
              <w:bottom w:val="single" w:sz="8" w:space="0" w:color="95B3D7"/>
              <w:right w:val="single" w:sz="8" w:space="0" w:color="8DB3E2"/>
            </w:tcBorders>
            <w:shd w:val="clear" w:color="000000" w:fill="DBE5F1"/>
            <w:noWrap/>
            <w:vAlign w:val="center"/>
            <w:hideMark/>
          </w:tcPr>
          <w:p w14:paraId="02CE8B3D"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BN Vital </w:t>
            </w:r>
          </w:p>
        </w:tc>
        <w:tc>
          <w:tcPr>
            <w:tcW w:w="1048" w:type="dxa"/>
            <w:tcBorders>
              <w:top w:val="nil"/>
              <w:left w:val="nil"/>
              <w:bottom w:val="single" w:sz="8" w:space="0" w:color="95B3D7"/>
              <w:right w:val="single" w:sz="8" w:space="0" w:color="8DB3E2"/>
            </w:tcBorders>
            <w:shd w:val="clear" w:color="000000" w:fill="DBE5F1"/>
            <w:noWrap/>
            <w:vAlign w:val="center"/>
            <w:hideMark/>
          </w:tcPr>
          <w:p w14:paraId="48C0625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272 421</w:t>
            </w:r>
          </w:p>
        </w:tc>
        <w:tc>
          <w:tcPr>
            <w:tcW w:w="673" w:type="dxa"/>
            <w:tcBorders>
              <w:top w:val="nil"/>
              <w:left w:val="nil"/>
              <w:bottom w:val="single" w:sz="8" w:space="0" w:color="95B3D7"/>
              <w:right w:val="single" w:sz="8" w:space="0" w:color="8DB3E2"/>
            </w:tcBorders>
            <w:shd w:val="clear" w:color="000000" w:fill="DBE5F1"/>
            <w:noWrap/>
            <w:vAlign w:val="center"/>
            <w:hideMark/>
          </w:tcPr>
          <w:p w14:paraId="1788E8B8"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21,4%</w:t>
            </w:r>
          </w:p>
        </w:tc>
        <w:tc>
          <w:tcPr>
            <w:tcW w:w="1048" w:type="dxa"/>
            <w:tcBorders>
              <w:top w:val="nil"/>
              <w:left w:val="nil"/>
              <w:bottom w:val="single" w:sz="8" w:space="0" w:color="95B3D7"/>
              <w:right w:val="single" w:sz="8" w:space="0" w:color="8DB3E2"/>
            </w:tcBorders>
            <w:shd w:val="clear" w:color="000000" w:fill="DBE5F1"/>
            <w:noWrap/>
            <w:vAlign w:val="center"/>
            <w:hideMark/>
          </w:tcPr>
          <w:p w14:paraId="7A5487C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323 053</w:t>
            </w:r>
          </w:p>
        </w:tc>
        <w:tc>
          <w:tcPr>
            <w:tcW w:w="673" w:type="dxa"/>
            <w:tcBorders>
              <w:top w:val="nil"/>
              <w:left w:val="nil"/>
              <w:bottom w:val="single" w:sz="8" w:space="0" w:color="95B3D7"/>
              <w:right w:val="single" w:sz="8" w:space="0" w:color="8DB3E2"/>
            </w:tcBorders>
            <w:shd w:val="clear" w:color="000000" w:fill="DBE5F1"/>
            <w:noWrap/>
            <w:vAlign w:val="center"/>
            <w:hideMark/>
          </w:tcPr>
          <w:p w14:paraId="17EA9CB7"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22,0%</w:t>
            </w:r>
          </w:p>
        </w:tc>
        <w:tc>
          <w:tcPr>
            <w:tcW w:w="1048" w:type="dxa"/>
            <w:tcBorders>
              <w:top w:val="nil"/>
              <w:left w:val="nil"/>
              <w:bottom w:val="single" w:sz="8" w:space="0" w:color="95B3D7"/>
              <w:right w:val="single" w:sz="8" w:space="0" w:color="8DB3E2"/>
            </w:tcBorders>
            <w:shd w:val="clear" w:color="000000" w:fill="DBE5F1"/>
            <w:noWrap/>
            <w:vAlign w:val="center"/>
            <w:hideMark/>
          </w:tcPr>
          <w:p w14:paraId="1E8AD8D9"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202 362</w:t>
            </w:r>
          </w:p>
        </w:tc>
        <w:tc>
          <w:tcPr>
            <w:tcW w:w="673" w:type="dxa"/>
            <w:tcBorders>
              <w:top w:val="nil"/>
              <w:left w:val="nil"/>
              <w:bottom w:val="single" w:sz="8" w:space="0" w:color="95B3D7"/>
              <w:right w:val="single" w:sz="8" w:space="0" w:color="8DB3E2"/>
            </w:tcBorders>
            <w:shd w:val="clear" w:color="000000" w:fill="DBE5F1"/>
            <w:noWrap/>
            <w:vAlign w:val="center"/>
            <w:hideMark/>
          </w:tcPr>
          <w:p w14:paraId="4FADB16E"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11,4%</w:t>
            </w:r>
          </w:p>
        </w:tc>
      </w:tr>
      <w:tr w:rsidR="0089748C" w:rsidRPr="00DF40BA" w14:paraId="36224E62"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2C6F8243"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CCSS-OPC </w:t>
            </w:r>
          </w:p>
        </w:tc>
        <w:tc>
          <w:tcPr>
            <w:tcW w:w="1048" w:type="dxa"/>
            <w:tcBorders>
              <w:top w:val="nil"/>
              <w:left w:val="nil"/>
              <w:bottom w:val="single" w:sz="8" w:space="0" w:color="95B3D7"/>
              <w:right w:val="single" w:sz="8" w:space="0" w:color="8DB3E2"/>
            </w:tcBorders>
            <w:shd w:val="clear" w:color="auto" w:fill="auto"/>
            <w:noWrap/>
            <w:vAlign w:val="center"/>
            <w:hideMark/>
          </w:tcPr>
          <w:p w14:paraId="4CE5182F"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29 125</w:t>
            </w:r>
          </w:p>
        </w:tc>
        <w:tc>
          <w:tcPr>
            <w:tcW w:w="673" w:type="dxa"/>
            <w:tcBorders>
              <w:top w:val="nil"/>
              <w:left w:val="nil"/>
              <w:bottom w:val="single" w:sz="8" w:space="0" w:color="95B3D7"/>
              <w:right w:val="single" w:sz="8" w:space="0" w:color="8DB3E2"/>
            </w:tcBorders>
            <w:shd w:val="clear" w:color="auto" w:fill="auto"/>
            <w:noWrap/>
            <w:vAlign w:val="center"/>
            <w:hideMark/>
          </w:tcPr>
          <w:p w14:paraId="0BDDA6BB"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14,6%</w:t>
            </w:r>
          </w:p>
        </w:tc>
        <w:tc>
          <w:tcPr>
            <w:tcW w:w="1048" w:type="dxa"/>
            <w:tcBorders>
              <w:top w:val="nil"/>
              <w:left w:val="nil"/>
              <w:bottom w:val="single" w:sz="8" w:space="0" w:color="95B3D7"/>
              <w:right w:val="single" w:sz="8" w:space="0" w:color="8DB3E2"/>
            </w:tcBorders>
            <w:shd w:val="clear" w:color="auto" w:fill="auto"/>
            <w:noWrap/>
            <w:vAlign w:val="center"/>
            <w:hideMark/>
          </w:tcPr>
          <w:p w14:paraId="51521DBD"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27 094</w:t>
            </w:r>
          </w:p>
        </w:tc>
        <w:tc>
          <w:tcPr>
            <w:tcW w:w="673" w:type="dxa"/>
            <w:tcBorders>
              <w:top w:val="nil"/>
              <w:left w:val="nil"/>
              <w:bottom w:val="single" w:sz="8" w:space="0" w:color="95B3D7"/>
              <w:right w:val="single" w:sz="8" w:space="0" w:color="8DB3E2"/>
            </w:tcBorders>
            <w:shd w:val="clear" w:color="auto" w:fill="auto"/>
            <w:noWrap/>
            <w:vAlign w:val="center"/>
            <w:hideMark/>
          </w:tcPr>
          <w:p w14:paraId="564BB247"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12,5%</w:t>
            </w:r>
          </w:p>
        </w:tc>
        <w:tc>
          <w:tcPr>
            <w:tcW w:w="1048" w:type="dxa"/>
            <w:tcBorders>
              <w:top w:val="nil"/>
              <w:left w:val="nil"/>
              <w:bottom w:val="single" w:sz="8" w:space="0" w:color="95B3D7"/>
              <w:right w:val="single" w:sz="8" w:space="0" w:color="8DB3E2"/>
            </w:tcBorders>
            <w:shd w:val="clear" w:color="auto" w:fill="auto"/>
            <w:noWrap/>
            <w:vAlign w:val="center"/>
            <w:hideMark/>
          </w:tcPr>
          <w:p w14:paraId="310326B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43 027</w:t>
            </w:r>
          </w:p>
        </w:tc>
        <w:tc>
          <w:tcPr>
            <w:tcW w:w="673" w:type="dxa"/>
            <w:tcBorders>
              <w:top w:val="nil"/>
              <w:left w:val="nil"/>
              <w:bottom w:val="single" w:sz="8" w:space="0" w:color="95B3D7"/>
              <w:right w:val="single" w:sz="8" w:space="0" w:color="8DB3E2"/>
            </w:tcBorders>
            <w:shd w:val="clear" w:color="auto" w:fill="auto"/>
            <w:noWrap/>
            <w:vAlign w:val="center"/>
            <w:hideMark/>
          </w:tcPr>
          <w:p w14:paraId="60F1C51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15,7%</w:t>
            </w:r>
          </w:p>
        </w:tc>
      </w:tr>
      <w:tr w:rsidR="0089748C" w:rsidRPr="00DF40BA" w14:paraId="75552635"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000000" w:fill="DBE5F1"/>
            <w:noWrap/>
            <w:vAlign w:val="center"/>
            <w:hideMark/>
          </w:tcPr>
          <w:p w14:paraId="5D25CF54"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Popular</w:t>
            </w:r>
          </w:p>
        </w:tc>
        <w:tc>
          <w:tcPr>
            <w:tcW w:w="1048" w:type="dxa"/>
            <w:tcBorders>
              <w:top w:val="nil"/>
              <w:left w:val="nil"/>
              <w:bottom w:val="single" w:sz="8" w:space="0" w:color="95B3D7"/>
              <w:right w:val="single" w:sz="8" w:space="0" w:color="8DB3E2"/>
            </w:tcBorders>
            <w:shd w:val="clear" w:color="000000" w:fill="DBE5F1"/>
            <w:noWrap/>
            <w:vAlign w:val="center"/>
            <w:hideMark/>
          </w:tcPr>
          <w:p w14:paraId="0E8FBF88"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378 727</w:t>
            </w:r>
          </w:p>
        </w:tc>
        <w:tc>
          <w:tcPr>
            <w:tcW w:w="673" w:type="dxa"/>
            <w:tcBorders>
              <w:top w:val="nil"/>
              <w:left w:val="nil"/>
              <w:bottom w:val="single" w:sz="8" w:space="0" w:color="95B3D7"/>
              <w:right w:val="single" w:sz="8" w:space="0" w:color="8DB3E2"/>
            </w:tcBorders>
            <w:shd w:val="clear" w:color="000000" w:fill="DBE5F1"/>
            <w:noWrap/>
            <w:vAlign w:val="center"/>
            <w:hideMark/>
          </w:tcPr>
          <w:p w14:paraId="3BB37B1B"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16,1%</w:t>
            </w:r>
          </w:p>
        </w:tc>
        <w:tc>
          <w:tcPr>
            <w:tcW w:w="1048" w:type="dxa"/>
            <w:tcBorders>
              <w:top w:val="nil"/>
              <w:left w:val="nil"/>
              <w:bottom w:val="single" w:sz="8" w:space="0" w:color="95B3D7"/>
              <w:right w:val="single" w:sz="8" w:space="0" w:color="8DB3E2"/>
            </w:tcBorders>
            <w:shd w:val="clear" w:color="000000" w:fill="DBE5F1"/>
            <w:noWrap/>
            <w:vAlign w:val="center"/>
            <w:hideMark/>
          </w:tcPr>
          <w:p w14:paraId="6F868536"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353 799</w:t>
            </w:r>
          </w:p>
        </w:tc>
        <w:tc>
          <w:tcPr>
            <w:tcW w:w="673" w:type="dxa"/>
            <w:tcBorders>
              <w:top w:val="nil"/>
              <w:left w:val="nil"/>
              <w:bottom w:val="single" w:sz="8" w:space="0" w:color="95B3D7"/>
              <w:right w:val="single" w:sz="8" w:space="0" w:color="8DB3E2"/>
            </w:tcBorders>
            <w:shd w:val="clear" w:color="000000" w:fill="DBE5F1"/>
            <w:noWrap/>
            <w:vAlign w:val="center"/>
            <w:hideMark/>
          </w:tcPr>
          <w:p w14:paraId="16B1509F"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12,8%</w:t>
            </w:r>
          </w:p>
        </w:tc>
        <w:tc>
          <w:tcPr>
            <w:tcW w:w="1048" w:type="dxa"/>
            <w:tcBorders>
              <w:top w:val="nil"/>
              <w:left w:val="nil"/>
              <w:bottom w:val="single" w:sz="8" w:space="0" w:color="95B3D7"/>
              <w:right w:val="single" w:sz="8" w:space="0" w:color="8DB3E2"/>
            </w:tcBorders>
            <w:shd w:val="clear" w:color="000000" w:fill="DBE5F1"/>
            <w:noWrap/>
            <w:vAlign w:val="center"/>
            <w:hideMark/>
          </w:tcPr>
          <w:p w14:paraId="2B6E9BB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397 740</w:t>
            </w:r>
          </w:p>
        </w:tc>
        <w:tc>
          <w:tcPr>
            <w:tcW w:w="673" w:type="dxa"/>
            <w:tcBorders>
              <w:top w:val="nil"/>
              <w:left w:val="nil"/>
              <w:bottom w:val="single" w:sz="8" w:space="0" w:color="95B3D7"/>
              <w:right w:val="single" w:sz="8" w:space="0" w:color="8DB3E2"/>
            </w:tcBorders>
            <w:shd w:val="clear" w:color="000000" w:fill="DBE5F1"/>
            <w:noWrap/>
            <w:vAlign w:val="center"/>
            <w:hideMark/>
          </w:tcPr>
          <w:p w14:paraId="4D594912"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11,2%</w:t>
            </w:r>
          </w:p>
        </w:tc>
      </w:tr>
      <w:tr w:rsidR="0089748C" w:rsidRPr="00DF40BA" w14:paraId="3DCF163A" w14:textId="77777777" w:rsidTr="004A4F6C">
        <w:trPr>
          <w:trHeight w:val="22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5EA7A3F5"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SJ-Pensiones </w:t>
            </w:r>
          </w:p>
        </w:tc>
        <w:tc>
          <w:tcPr>
            <w:tcW w:w="1048" w:type="dxa"/>
            <w:tcBorders>
              <w:top w:val="nil"/>
              <w:left w:val="nil"/>
              <w:bottom w:val="single" w:sz="8" w:space="0" w:color="95B3D7"/>
              <w:right w:val="single" w:sz="8" w:space="0" w:color="8DB3E2"/>
            </w:tcBorders>
            <w:shd w:val="clear" w:color="auto" w:fill="auto"/>
            <w:noWrap/>
            <w:vAlign w:val="center"/>
            <w:hideMark/>
          </w:tcPr>
          <w:p w14:paraId="6049CCA3"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102 581</w:t>
            </w:r>
          </w:p>
        </w:tc>
        <w:tc>
          <w:tcPr>
            <w:tcW w:w="673" w:type="dxa"/>
            <w:tcBorders>
              <w:top w:val="nil"/>
              <w:left w:val="nil"/>
              <w:bottom w:val="single" w:sz="8" w:space="0" w:color="95B3D7"/>
              <w:right w:val="single" w:sz="8" w:space="0" w:color="8DB3E2"/>
            </w:tcBorders>
            <w:shd w:val="clear" w:color="auto" w:fill="auto"/>
            <w:noWrap/>
            <w:vAlign w:val="center"/>
            <w:hideMark/>
          </w:tcPr>
          <w:p w14:paraId="0A3C72DE"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13,7%</w:t>
            </w:r>
          </w:p>
        </w:tc>
        <w:tc>
          <w:tcPr>
            <w:tcW w:w="1048" w:type="dxa"/>
            <w:tcBorders>
              <w:top w:val="nil"/>
              <w:left w:val="nil"/>
              <w:bottom w:val="single" w:sz="8" w:space="0" w:color="95B3D7"/>
              <w:right w:val="single" w:sz="8" w:space="0" w:color="8DB3E2"/>
            </w:tcBorders>
            <w:shd w:val="clear" w:color="auto" w:fill="auto"/>
            <w:noWrap/>
            <w:vAlign w:val="center"/>
            <w:hideMark/>
          </w:tcPr>
          <w:p w14:paraId="4C0F6678"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132 183</w:t>
            </w:r>
          </w:p>
        </w:tc>
        <w:tc>
          <w:tcPr>
            <w:tcW w:w="673" w:type="dxa"/>
            <w:tcBorders>
              <w:top w:val="nil"/>
              <w:left w:val="nil"/>
              <w:bottom w:val="single" w:sz="8" w:space="0" w:color="95B3D7"/>
              <w:right w:val="single" w:sz="8" w:space="0" w:color="8DB3E2"/>
            </w:tcBorders>
            <w:shd w:val="clear" w:color="auto" w:fill="auto"/>
            <w:noWrap/>
            <w:vAlign w:val="center"/>
            <w:hideMark/>
          </w:tcPr>
          <w:p w14:paraId="05DAEFCD"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15,3%</w:t>
            </w:r>
          </w:p>
        </w:tc>
        <w:tc>
          <w:tcPr>
            <w:tcW w:w="1048" w:type="dxa"/>
            <w:tcBorders>
              <w:top w:val="nil"/>
              <w:left w:val="nil"/>
              <w:bottom w:val="single" w:sz="8" w:space="0" w:color="95B3D7"/>
              <w:right w:val="single" w:sz="8" w:space="0" w:color="8DB3E2"/>
            </w:tcBorders>
            <w:shd w:val="clear" w:color="auto" w:fill="auto"/>
            <w:noWrap/>
            <w:vAlign w:val="center"/>
            <w:hideMark/>
          </w:tcPr>
          <w:p w14:paraId="3B2E35A8"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23 326</w:t>
            </w:r>
          </w:p>
        </w:tc>
        <w:tc>
          <w:tcPr>
            <w:tcW w:w="673" w:type="dxa"/>
            <w:tcBorders>
              <w:top w:val="nil"/>
              <w:left w:val="nil"/>
              <w:bottom w:val="single" w:sz="8" w:space="0" w:color="95B3D7"/>
              <w:right w:val="single" w:sz="8" w:space="0" w:color="8DB3E2"/>
            </w:tcBorders>
            <w:shd w:val="clear" w:color="auto" w:fill="auto"/>
            <w:noWrap/>
            <w:vAlign w:val="center"/>
            <w:hideMark/>
          </w:tcPr>
          <w:p w14:paraId="76CD51F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2,2%</w:t>
            </w:r>
          </w:p>
        </w:tc>
      </w:tr>
      <w:tr w:rsidR="0089748C" w:rsidRPr="00DF40BA" w14:paraId="75C17D3C" w14:textId="77777777" w:rsidTr="004A4F6C">
        <w:trPr>
          <w:trHeight w:val="225"/>
          <w:jc w:val="center"/>
        </w:trPr>
        <w:tc>
          <w:tcPr>
            <w:tcW w:w="1846" w:type="dxa"/>
            <w:tcBorders>
              <w:top w:val="nil"/>
              <w:left w:val="single" w:sz="8" w:space="0" w:color="8DB3E2"/>
              <w:bottom w:val="double" w:sz="6" w:space="0" w:color="95B3D7"/>
              <w:right w:val="single" w:sz="8" w:space="0" w:color="8DB3E2"/>
            </w:tcBorders>
            <w:shd w:val="clear" w:color="000000" w:fill="DBE5F1"/>
            <w:noWrap/>
            <w:vAlign w:val="center"/>
            <w:hideMark/>
          </w:tcPr>
          <w:p w14:paraId="4C947547" w14:textId="77777777" w:rsidR="0089748C" w:rsidRPr="00DF40BA" w:rsidRDefault="0089748C" w:rsidP="004A4F6C">
            <w:pPr>
              <w:spacing w:after="0" w:line="240" w:lineRule="auto"/>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 xml:space="preserve">        Vida Plena </w:t>
            </w:r>
          </w:p>
        </w:tc>
        <w:tc>
          <w:tcPr>
            <w:tcW w:w="1048" w:type="dxa"/>
            <w:tcBorders>
              <w:top w:val="nil"/>
              <w:left w:val="nil"/>
              <w:bottom w:val="double" w:sz="6" w:space="0" w:color="95B3D7"/>
              <w:right w:val="single" w:sz="8" w:space="0" w:color="8DB3E2"/>
            </w:tcBorders>
            <w:shd w:val="clear" w:color="000000" w:fill="DBE5F1"/>
            <w:noWrap/>
            <w:vAlign w:val="center"/>
            <w:hideMark/>
          </w:tcPr>
          <w:p w14:paraId="76640632"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85 461</w:t>
            </w:r>
          </w:p>
        </w:tc>
        <w:tc>
          <w:tcPr>
            <w:tcW w:w="673" w:type="dxa"/>
            <w:tcBorders>
              <w:top w:val="nil"/>
              <w:left w:val="nil"/>
              <w:bottom w:val="double" w:sz="6" w:space="0" w:color="95B3D7"/>
              <w:right w:val="single" w:sz="8" w:space="0" w:color="8DB3E2"/>
            </w:tcBorders>
            <w:shd w:val="clear" w:color="000000" w:fill="DBE5F1"/>
            <w:noWrap/>
            <w:vAlign w:val="center"/>
            <w:hideMark/>
          </w:tcPr>
          <w:p w14:paraId="764EB175"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12,1%</w:t>
            </w:r>
          </w:p>
        </w:tc>
        <w:tc>
          <w:tcPr>
            <w:tcW w:w="1048" w:type="dxa"/>
            <w:tcBorders>
              <w:top w:val="nil"/>
              <w:left w:val="nil"/>
              <w:bottom w:val="double" w:sz="6" w:space="0" w:color="95B3D7"/>
              <w:right w:val="single" w:sz="8" w:space="0" w:color="8DB3E2"/>
            </w:tcBorders>
            <w:shd w:val="clear" w:color="000000" w:fill="DBE5F1"/>
            <w:noWrap/>
            <w:vAlign w:val="center"/>
            <w:hideMark/>
          </w:tcPr>
          <w:p w14:paraId="43FADB1A"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83 661</w:t>
            </w:r>
          </w:p>
        </w:tc>
        <w:tc>
          <w:tcPr>
            <w:tcW w:w="673" w:type="dxa"/>
            <w:tcBorders>
              <w:top w:val="nil"/>
              <w:left w:val="nil"/>
              <w:bottom w:val="double" w:sz="6" w:space="0" w:color="95B3D7"/>
              <w:right w:val="single" w:sz="8" w:space="0" w:color="8DB3E2"/>
            </w:tcBorders>
            <w:shd w:val="clear" w:color="000000" w:fill="DBE5F1"/>
            <w:noWrap/>
            <w:vAlign w:val="center"/>
            <w:hideMark/>
          </w:tcPr>
          <w:p w14:paraId="09B44931"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10,2%</w:t>
            </w:r>
          </w:p>
        </w:tc>
        <w:tc>
          <w:tcPr>
            <w:tcW w:w="1048" w:type="dxa"/>
            <w:tcBorders>
              <w:top w:val="nil"/>
              <w:left w:val="nil"/>
              <w:bottom w:val="double" w:sz="6" w:space="0" w:color="95B3D7"/>
              <w:right w:val="single" w:sz="8" w:space="0" w:color="8DB3E2"/>
            </w:tcBorders>
            <w:shd w:val="clear" w:color="000000" w:fill="DBE5F1"/>
            <w:noWrap/>
            <w:vAlign w:val="center"/>
            <w:hideMark/>
          </w:tcPr>
          <w:p w14:paraId="6468A0F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85 928</w:t>
            </w:r>
          </w:p>
        </w:tc>
        <w:tc>
          <w:tcPr>
            <w:tcW w:w="673" w:type="dxa"/>
            <w:tcBorders>
              <w:top w:val="nil"/>
              <w:left w:val="nil"/>
              <w:bottom w:val="double" w:sz="6" w:space="0" w:color="95B3D7"/>
              <w:right w:val="single" w:sz="8" w:space="0" w:color="8DB3E2"/>
            </w:tcBorders>
            <w:shd w:val="clear" w:color="000000" w:fill="DBE5F1"/>
            <w:noWrap/>
            <w:vAlign w:val="center"/>
            <w:hideMark/>
          </w:tcPr>
          <w:p w14:paraId="1CF4C8A1"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val="es-CR" w:eastAsia="es-CR"/>
              </w:rPr>
              <w:t>8,8%</w:t>
            </w:r>
          </w:p>
        </w:tc>
      </w:tr>
      <w:tr w:rsidR="0089748C" w:rsidRPr="00DF40BA" w14:paraId="5871257B" w14:textId="77777777" w:rsidTr="004A4F6C">
        <w:trPr>
          <w:trHeight w:val="235"/>
          <w:jc w:val="center"/>
        </w:trPr>
        <w:tc>
          <w:tcPr>
            <w:tcW w:w="1846" w:type="dxa"/>
            <w:tcBorders>
              <w:top w:val="nil"/>
              <w:left w:val="single" w:sz="8" w:space="0" w:color="8DB3E2"/>
              <w:bottom w:val="single" w:sz="8" w:space="0" w:color="95B3D7"/>
              <w:right w:val="single" w:sz="8" w:space="0" w:color="8DB3E2"/>
            </w:tcBorders>
            <w:shd w:val="clear" w:color="auto" w:fill="auto"/>
            <w:noWrap/>
            <w:vAlign w:val="center"/>
            <w:hideMark/>
          </w:tcPr>
          <w:p w14:paraId="1AEE6235" w14:textId="77777777" w:rsidR="0089748C" w:rsidRPr="00DF40BA" w:rsidRDefault="0089748C" w:rsidP="004A4F6C">
            <w:pPr>
              <w:spacing w:after="0" w:line="240" w:lineRule="auto"/>
              <w:rPr>
                <w:rFonts w:ascii="Calibri" w:eastAsia="Times New Roman" w:hAnsi="Calibri" w:cs="Calibri"/>
                <w:b/>
                <w:bCs/>
                <w:color w:val="000000"/>
                <w:sz w:val="20"/>
                <w:szCs w:val="20"/>
                <w:lang w:val="es-CR" w:eastAsia="es-CR"/>
              </w:rPr>
            </w:pPr>
            <w:r w:rsidRPr="00DF40BA">
              <w:rPr>
                <w:rFonts w:ascii="Calibri" w:eastAsia="Times New Roman" w:hAnsi="Calibri" w:cs="Calibri"/>
                <w:b/>
                <w:bCs/>
                <w:color w:val="000000"/>
                <w:sz w:val="20"/>
                <w:szCs w:val="20"/>
                <w:lang w:eastAsia="es-CR"/>
              </w:rPr>
              <w:t xml:space="preserve"> Total </w:t>
            </w:r>
          </w:p>
        </w:tc>
        <w:tc>
          <w:tcPr>
            <w:tcW w:w="1048" w:type="dxa"/>
            <w:tcBorders>
              <w:top w:val="nil"/>
              <w:left w:val="nil"/>
              <w:bottom w:val="single" w:sz="8" w:space="0" w:color="95B3D7"/>
              <w:right w:val="single" w:sz="8" w:space="0" w:color="8DB3E2"/>
            </w:tcBorders>
            <w:shd w:val="clear" w:color="auto" w:fill="auto"/>
            <w:noWrap/>
            <w:vAlign w:val="center"/>
            <w:hideMark/>
          </w:tcPr>
          <w:p w14:paraId="463A4506"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1 820 435</w:t>
            </w:r>
          </w:p>
        </w:tc>
        <w:tc>
          <w:tcPr>
            <w:tcW w:w="673" w:type="dxa"/>
            <w:tcBorders>
              <w:top w:val="nil"/>
              <w:left w:val="nil"/>
              <w:bottom w:val="single" w:sz="8" w:space="0" w:color="95B3D7"/>
              <w:right w:val="single" w:sz="8" w:space="0" w:color="8DB3E2"/>
            </w:tcBorders>
            <w:shd w:val="clear" w:color="auto" w:fill="auto"/>
            <w:noWrap/>
            <w:vAlign w:val="center"/>
            <w:hideMark/>
          </w:tcPr>
          <w:p w14:paraId="4476D2BE"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29,5%</w:t>
            </w:r>
          </w:p>
        </w:tc>
        <w:tc>
          <w:tcPr>
            <w:tcW w:w="1048" w:type="dxa"/>
            <w:tcBorders>
              <w:top w:val="nil"/>
              <w:left w:val="nil"/>
              <w:bottom w:val="single" w:sz="8" w:space="0" w:color="95B3D7"/>
              <w:right w:val="single" w:sz="8" w:space="0" w:color="8DB3E2"/>
            </w:tcBorders>
            <w:shd w:val="clear" w:color="auto" w:fill="auto"/>
            <w:noWrap/>
            <w:vAlign w:val="center"/>
            <w:hideMark/>
          </w:tcPr>
          <w:p w14:paraId="1D7F9B84"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2 060 181</w:t>
            </w:r>
          </w:p>
        </w:tc>
        <w:tc>
          <w:tcPr>
            <w:tcW w:w="673" w:type="dxa"/>
            <w:tcBorders>
              <w:top w:val="nil"/>
              <w:left w:val="nil"/>
              <w:bottom w:val="single" w:sz="8" w:space="0" w:color="95B3D7"/>
              <w:right w:val="single" w:sz="8" w:space="0" w:color="8DB3E2"/>
            </w:tcBorders>
            <w:shd w:val="clear" w:color="auto" w:fill="auto"/>
            <w:noWrap/>
            <w:vAlign w:val="center"/>
            <w:hideMark/>
          </w:tcPr>
          <w:p w14:paraId="437DDE49"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28,8%</w:t>
            </w:r>
          </w:p>
        </w:tc>
        <w:tc>
          <w:tcPr>
            <w:tcW w:w="1048" w:type="dxa"/>
            <w:tcBorders>
              <w:top w:val="nil"/>
              <w:left w:val="nil"/>
              <w:bottom w:val="single" w:sz="8" w:space="0" w:color="95B3D7"/>
              <w:right w:val="single" w:sz="8" w:space="0" w:color="8DB3E2"/>
            </w:tcBorders>
            <w:shd w:val="clear" w:color="auto" w:fill="auto"/>
            <w:noWrap/>
            <w:vAlign w:val="center"/>
            <w:hideMark/>
          </w:tcPr>
          <w:p w14:paraId="4EC56D5C"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3 038 221</w:t>
            </w:r>
          </w:p>
        </w:tc>
        <w:tc>
          <w:tcPr>
            <w:tcW w:w="673" w:type="dxa"/>
            <w:tcBorders>
              <w:top w:val="nil"/>
              <w:left w:val="nil"/>
              <w:bottom w:val="single" w:sz="8" w:space="0" w:color="95B3D7"/>
              <w:right w:val="single" w:sz="8" w:space="0" w:color="8DB3E2"/>
            </w:tcBorders>
            <w:shd w:val="clear" w:color="auto" w:fill="auto"/>
            <w:noWrap/>
            <w:vAlign w:val="center"/>
            <w:hideMark/>
          </w:tcPr>
          <w:p w14:paraId="07015045" w14:textId="77777777" w:rsidR="0089748C" w:rsidRPr="00DF40BA" w:rsidRDefault="0089748C" w:rsidP="004A4F6C">
            <w:pPr>
              <w:spacing w:after="0" w:line="240" w:lineRule="auto"/>
              <w:jc w:val="right"/>
              <w:rPr>
                <w:rFonts w:ascii="Calibri" w:eastAsia="Times New Roman" w:hAnsi="Calibri" w:cs="Calibri"/>
                <w:color w:val="000000"/>
                <w:sz w:val="20"/>
                <w:szCs w:val="20"/>
                <w:lang w:val="es-CR" w:eastAsia="es-CR"/>
              </w:rPr>
            </w:pPr>
            <w:r w:rsidRPr="00DF40BA">
              <w:rPr>
                <w:rFonts w:ascii="Calibri" w:eastAsia="Times New Roman" w:hAnsi="Calibri" w:cs="Calibri"/>
                <w:color w:val="000000"/>
                <w:sz w:val="20"/>
                <w:szCs w:val="20"/>
                <w:lang w:eastAsia="es-CR"/>
              </w:rPr>
              <w:t>34,3%</w:t>
            </w:r>
          </w:p>
        </w:tc>
      </w:tr>
    </w:tbl>
    <w:p w14:paraId="07B7C54A" w14:textId="77777777" w:rsidR="0089748C" w:rsidRDefault="0089748C" w:rsidP="0089748C">
      <w:pPr>
        <w:pStyle w:val="Descripcin"/>
        <w:spacing w:after="0"/>
        <w:ind w:left="708" w:firstLine="708"/>
      </w:pPr>
      <w:r>
        <w:t>*Datos a junio del 2021,</w:t>
      </w:r>
      <w:r w:rsidRPr="00C161C9">
        <w:t xml:space="preserve"> último dato disponible.</w:t>
      </w:r>
    </w:p>
    <w:p w14:paraId="3018670C" w14:textId="77777777" w:rsidR="0089748C" w:rsidRDefault="0089748C" w:rsidP="0089748C">
      <w:pPr>
        <w:pStyle w:val="Descripcin"/>
        <w:spacing w:after="0"/>
        <w:ind w:left="708" w:firstLine="708"/>
      </w:pPr>
      <w:r w:rsidRPr="00021BD0">
        <w:t>Fuente: Elaboración propia</w:t>
      </w:r>
    </w:p>
    <w:p w14:paraId="333615EC" w14:textId="77777777" w:rsidR="0089748C" w:rsidRPr="00F43829" w:rsidRDefault="0089748C" w:rsidP="0089748C">
      <w:pPr>
        <w:spacing w:after="0" w:line="240" w:lineRule="auto"/>
        <w:jc w:val="both"/>
      </w:pPr>
    </w:p>
    <w:p w14:paraId="3CF3BB0D" w14:textId="77777777" w:rsidR="0089748C" w:rsidRPr="00AB431E" w:rsidRDefault="0089748C" w:rsidP="0089748C">
      <w:pPr>
        <w:spacing w:after="0" w:line="240" w:lineRule="auto"/>
        <w:jc w:val="both"/>
      </w:pPr>
      <w:r>
        <w:t>Las inversiones en dólares han aumentado un 66% en los últimos dos años, siendo las inversiones en el exterior las que han cobrado mayor preponderancia.  En</w:t>
      </w:r>
      <w:r w:rsidRPr="00AB431E">
        <w:t xml:space="preserve"> el caso del ROP, el crecimiento de los activos y la poca oferta de instrumentos en el mercado local, ha provocado que los administradores de los fondos diversifiquen su cartera en el mercado internacional. </w:t>
      </w:r>
    </w:p>
    <w:p w14:paraId="6D5BC407" w14:textId="77777777" w:rsidR="0089748C" w:rsidRPr="00F74FB3" w:rsidRDefault="0089748C" w:rsidP="0089748C">
      <w:pPr>
        <w:spacing w:after="0" w:line="240" w:lineRule="auto"/>
        <w:jc w:val="both"/>
        <w:rPr>
          <w:highlight w:val="yellow"/>
        </w:rPr>
      </w:pPr>
    </w:p>
    <w:p w14:paraId="747C265E" w14:textId="77777777" w:rsidR="0089748C" w:rsidRDefault="0089748C" w:rsidP="0089748C">
      <w:pPr>
        <w:spacing w:after="0" w:line="240" w:lineRule="auto"/>
        <w:jc w:val="both"/>
      </w:pPr>
      <w:r w:rsidRPr="00AB431E">
        <w:t xml:space="preserve">Del cuadro anterior </w:t>
      </w:r>
      <w:r>
        <w:t>se destaca</w:t>
      </w:r>
      <w:r w:rsidRPr="00AB431E">
        <w:t xml:space="preserve"> el porcentaje de inversiones en moneda extranjera del ROP </w:t>
      </w:r>
      <w:r>
        <w:t xml:space="preserve">que </w:t>
      </w:r>
      <w:r w:rsidRPr="00AB431E">
        <w:t>aumentó en casi 5 p.p. en los dos últimos años, destacando a su vez un aumento 11 p.p. en el sector extranjero.</w:t>
      </w:r>
    </w:p>
    <w:p w14:paraId="59D8DEA8" w14:textId="77777777" w:rsidR="0089748C" w:rsidRDefault="0089748C" w:rsidP="0089748C">
      <w:pPr>
        <w:spacing w:after="0" w:line="240" w:lineRule="auto"/>
        <w:jc w:val="both"/>
      </w:pPr>
    </w:p>
    <w:p w14:paraId="6FE2AC45" w14:textId="77777777" w:rsidR="0089748C" w:rsidRDefault="0089748C" w:rsidP="0089748C">
      <w:pPr>
        <w:shd w:val="clear" w:color="auto" w:fill="C6D9F1" w:themeFill="text2" w:themeFillTint="33"/>
        <w:spacing w:after="0" w:line="240" w:lineRule="auto"/>
        <w:jc w:val="both"/>
      </w:pPr>
    </w:p>
    <w:p w14:paraId="65F7B9B7" w14:textId="77777777" w:rsidR="0089748C" w:rsidRPr="00576C59" w:rsidRDefault="0089748C" w:rsidP="0089748C">
      <w:pPr>
        <w:shd w:val="clear" w:color="auto" w:fill="C6D9F1" w:themeFill="text2" w:themeFillTint="33"/>
        <w:spacing w:after="0" w:line="240" w:lineRule="auto"/>
        <w:jc w:val="center"/>
        <w:rPr>
          <w:b/>
          <w:bCs/>
          <w:sz w:val="28"/>
          <w:szCs w:val="28"/>
        </w:rPr>
      </w:pPr>
      <w:r w:rsidRPr="00576C59">
        <w:rPr>
          <w:b/>
          <w:bCs/>
          <w:sz w:val="28"/>
          <w:szCs w:val="28"/>
        </w:rPr>
        <w:t>Evolución de las inversiones del SNP y FCL</w:t>
      </w:r>
    </w:p>
    <w:p w14:paraId="6B9C9BFC" w14:textId="77777777" w:rsidR="0089748C" w:rsidRPr="003E0604" w:rsidRDefault="0089748C" w:rsidP="0089748C">
      <w:pPr>
        <w:shd w:val="clear" w:color="auto" w:fill="C6D9F1" w:themeFill="text2" w:themeFillTint="33"/>
        <w:spacing w:after="0" w:line="240" w:lineRule="auto"/>
        <w:jc w:val="center"/>
        <w:rPr>
          <w:b/>
          <w:bCs/>
          <w:sz w:val="28"/>
          <w:szCs w:val="28"/>
        </w:rPr>
      </w:pPr>
      <w:r w:rsidRPr="00576C59">
        <w:rPr>
          <w:b/>
          <w:bCs/>
          <w:sz w:val="28"/>
          <w:szCs w:val="28"/>
        </w:rPr>
        <w:t>Al 30 de junio de cada año</w:t>
      </w:r>
    </w:p>
    <w:p w14:paraId="72191212" w14:textId="77777777" w:rsidR="0089748C" w:rsidRDefault="0089748C" w:rsidP="0089748C">
      <w:pPr>
        <w:shd w:val="clear" w:color="auto" w:fill="C6D9F1" w:themeFill="text2" w:themeFillTint="33"/>
        <w:spacing w:after="0" w:line="240" w:lineRule="auto"/>
        <w:jc w:val="both"/>
      </w:pPr>
      <w:r>
        <w:t>En los últimos tres años:</w:t>
      </w:r>
    </w:p>
    <w:p w14:paraId="46D742BC" w14:textId="77777777" w:rsidR="0089748C" w:rsidRDefault="0089748C" w:rsidP="0089748C">
      <w:pPr>
        <w:pStyle w:val="Prrafodelista"/>
        <w:numPr>
          <w:ilvl w:val="0"/>
          <w:numId w:val="15"/>
        </w:numPr>
        <w:shd w:val="clear" w:color="auto" w:fill="C6D9F1" w:themeFill="text2" w:themeFillTint="33"/>
        <w:spacing w:after="0" w:line="240" w:lineRule="auto"/>
        <w:jc w:val="both"/>
      </w:pPr>
      <w:r>
        <w:t>Los portafolios de pensiones crecen un 27%.</w:t>
      </w:r>
    </w:p>
    <w:p w14:paraId="4B280C6C" w14:textId="77777777" w:rsidR="0089748C" w:rsidRDefault="0089748C" w:rsidP="0089748C">
      <w:pPr>
        <w:pStyle w:val="Prrafodelista"/>
        <w:numPr>
          <w:ilvl w:val="0"/>
          <w:numId w:val="15"/>
        </w:numPr>
        <w:shd w:val="clear" w:color="auto" w:fill="C6D9F1" w:themeFill="text2" w:themeFillTint="33"/>
        <w:spacing w:after="0" w:line="240" w:lineRule="auto"/>
        <w:jc w:val="both"/>
      </w:pPr>
      <w:r>
        <w:t>Los fondos que más crecen son el ROP y los regímenes básicos.</w:t>
      </w:r>
    </w:p>
    <w:p w14:paraId="5A717B2D" w14:textId="77777777" w:rsidR="0089748C" w:rsidRDefault="0089748C" w:rsidP="0089748C">
      <w:pPr>
        <w:pStyle w:val="Prrafodelista"/>
        <w:numPr>
          <w:ilvl w:val="0"/>
          <w:numId w:val="15"/>
        </w:numPr>
        <w:shd w:val="clear" w:color="auto" w:fill="C6D9F1" w:themeFill="text2" w:themeFillTint="33"/>
        <w:spacing w:after="0" w:line="240" w:lineRule="auto"/>
        <w:jc w:val="both"/>
      </w:pPr>
      <w:r>
        <w:t>La proporción invertida en dólares se incrementa en 57% mientras que la proporción invertida en colones se incrementa un 20%.</w:t>
      </w:r>
    </w:p>
    <w:p w14:paraId="4E8F556C" w14:textId="77777777" w:rsidR="0089748C" w:rsidRDefault="0089748C" w:rsidP="0089748C">
      <w:pPr>
        <w:pStyle w:val="Prrafodelista"/>
        <w:numPr>
          <w:ilvl w:val="0"/>
          <w:numId w:val="15"/>
        </w:numPr>
        <w:shd w:val="clear" w:color="auto" w:fill="C6D9F1" w:themeFill="text2" w:themeFillTint="33"/>
        <w:spacing w:after="0" w:line="240" w:lineRule="auto"/>
        <w:jc w:val="both"/>
      </w:pPr>
      <w:r>
        <w:t>La proporción invertida en el sector extranjero se incrementa 159% (pasando de 0,86 a 2,33 billones de colones) mientras que la proporción invertida en el sector local se incrementa 17%.</w:t>
      </w:r>
    </w:p>
    <w:p w14:paraId="6BCCF589" w14:textId="77777777" w:rsidR="0089748C" w:rsidRDefault="0089748C" w:rsidP="0089748C">
      <w:pPr>
        <w:pStyle w:val="Prrafodelista"/>
        <w:numPr>
          <w:ilvl w:val="0"/>
          <w:numId w:val="15"/>
        </w:numPr>
        <w:shd w:val="clear" w:color="auto" w:fill="C6D9F1" w:themeFill="text2" w:themeFillTint="33"/>
        <w:spacing w:after="0" w:line="240" w:lineRule="auto"/>
        <w:jc w:val="both"/>
      </w:pPr>
      <w:r>
        <w:t>Las inversiones se concentran en 82% en promedio en deuda estandarizada nivel I.</w:t>
      </w:r>
    </w:p>
    <w:p w14:paraId="30F478CA" w14:textId="77777777" w:rsidR="0089748C" w:rsidRDefault="0089748C" w:rsidP="0089748C">
      <w:pPr>
        <w:pStyle w:val="Prrafodelista"/>
        <w:numPr>
          <w:ilvl w:val="0"/>
          <w:numId w:val="15"/>
        </w:numPr>
        <w:shd w:val="clear" w:color="auto" w:fill="C6D9F1" w:themeFill="text2" w:themeFillTint="33"/>
        <w:spacing w:after="0" w:line="240" w:lineRule="auto"/>
        <w:jc w:val="both"/>
      </w:pPr>
      <w:r>
        <w:t>De junio 2020 a junio 2021 la proporción invertida en ETF se incrementa 167% (pasando de 0,6 a 1,6 billones de colones).</w:t>
      </w:r>
    </w:p>
    <w:p w14:paraId="2DCAA624" w14:textId="77777777" w:rsidR="0089748C" w:rsidRDefault="0089748C" w:rsidP="0089748C">
      <w:pPr>
        <w:shd w:val="clear" w:color="auto" w:fill="C6D9F1" w:themeFill="text2" w:themeFillTint="33"/>
        <w:spacing w:after="0" w:line="240" w:lineRule="auto"/>
        <w:jc w:val="both"/>
      </w:pPr>
    </w:p>
    <w:p w14:paraId="525474DD" w14:textId="77777777" w:rsidR="0089748C" w:rsidRDefault="0089748C" w:rsidP="0089748C">
      <w:pPr>
        <w:shd w:val="clear" w:color="auto" w:fill="C6D9F1" w:themeFill="text2" w:themeFillTint="33"/>
        <w:spacing w:after="0" w:line="240" w:lineRule="auto"/>
        <w:jc w:val="both"/>
      </w:pPr>
      <w:r>
        <w:rPr>
          <w:rStyle w:val="nfasisintenso"/>
          <w:noProof/>
          <w:sz w:val="28"/>
          <w:szCs w:val="28"/>
        </w:rPr>
        <w:drawing>
          <wp:inline distT="0" distB="0" distL="0" distR="0" wp14:anchorId="001AABEB" wp14:editId="1A420EDF">
            <wp:extent cx="5612130" cy="3334744"/>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334744"/>
                    </a:xfrm>
                    <a:prstGeom prst="rect">
                      <a:avLst/>
                    </a:prstGeom>
                    <a:noFill/>
                    <a:ln>
                      <a:noFill/>
                    </a:ln>
                  </pic:spPr>
                </pic:pic>
              </a:graphicData>
            </a:graphic>
          </wp:inline>
        </w:drawing>
      </w:r>
    </w:p>
    <w:p w14:paraId="0D142E8F" w14:textId="77777777" w:rsidR="0089748C" w:rsidRDefault="0089748C" w:rsidP="0089748C">
      <w:pPr>
        <w:shd w:val="clear" w:color="auto" w:fill="C6D9F1" w:themeFill="text2" w:themeFillTint="33"/>
        <w:spacing w:after="0" w:line="240" w:lineRule="auto"/>
        <w:jc w:val="both"/>
      </w:pPr>
    </w:p>
    <w:p w14:paraId="5A4AE97B" w14:textId="77777777" w:rsidR="0089748C" w:rsidRDefault="0089748C" w:rsidP="0089748C"/>
    <w:p w14:paraId="06EC031B" w14:textId="77777777" w:rsidR="0089748C" w:rsidRDefault="0089748C" w:rsidP="0089748C"/>
    <w:p w14:paraId="273FDA1C" w14:textId="77777777" w:rsidR="0089748C" w:rsidRPr="00576C59" w:rsidRDefault="0089748C" w:rsidP="0089748C">
      <w:pPr>
        <w:shd w:val="clear" w:color="auto" w:fill="D9D9D9" w:themeFill="background1" w:themeFillShade="D9"/>
        <w:spacing w:after="0" w:line="240" w:lineRule="auto"/>
        <w:jc w:val="center"/>
        <w:rPr>
          <w:b/>
          <w:bCs/>
          <w:sz w:val="28"/>
          <w:szCs w:val="28"/>
        </w:rPr>
      </w:pPr>
      <w:r w:rsidRPr="00576C59">
        <w:rPr>
          <w:b/>
          <w:bCs/>
          <w:sz w:val="28"/>
          <w:szCs w:val="28"/>
        </w:rPr>
        <w:t>Evolución de las inversiones de los fondos Voluntarios</w:t>
      </w:r>
    </w:p>
    <w:p w14:paraId="579F1998" w14:textId="77777777" w:rsidR="0089748C" w:rsidRPr="00576C59" w:rsidRDefault="0089748C" w:rsidP="0089748C">
      <w:pPr>
        <w:shd w:val="clear" w:color="auto" w:fill="D9D9D9" w:themeFill="background1" w:themeFillShade="D9"/>
        <w:spacing w:after="0" w:line="240" w:lineRule="auto"/>
        <w:jc w:val="center"/>
        <w:rPr>
          <w:b/>
          <w:bCs/>
          <w:sz w:val="28"/>
          <w:szCs w:val="28"/>
        </w:rPr>
      </w:pPr>
      <w:r w:rsidRPr="00576C59">
        <w:rPr>
          <w:b/>
          <w:bCs/>
          <w:sz w:val="28"/>
          <w:szCs w:val="28"/>
        </w:rPr>
        <w:t>Al 30 de junio de cada año</w:t>
      </w:r>
    </w:p>
    <w:p w14:paraId="0DA5C99E" w14:textId="77777777" w:rsidR="0089748C" w:rsidRDefault="0089748C" w:rsidP="0089748C">
      <w:pPr>
        <w:shd w:val="clear" w:color="auto" w:fill="D9D9D9" w:themeFill="background1" w:themeFillShade="D9"/>
        <w:spacing w:after="0" w:line="240" w:lineRule="auto"/>
      </w:pPr>
      <w:r>
        <w:t>En los últimos tres años:</w:t>
      </w:r>
    </w:p>
    <w:p w14:paraId="2C346D5E" w14:textId="77777777" w:rsidR="0089748C" w:rsidRDefault="0089748C" w:rsidP="0089748C">
      <w:pPr>
        <w:pStyle w:val="Prrafodelista"/>
        <w:numPr>
          <w:ilvl w:val="0"/>
          <w:numId w:val="16"/>
        </w:numPr>
        <w:shd w:val="clear" w:color="auto" w:fill="D9D9D9" w:themeFill="background1" w:themeFillShade="D9"/>
        <w:spacing w:after="0" w:line="240" w:lineRule="auto"/>
      </w:pPr>
      <w:r>
        <w:t>Los portafolios de pensiones voluntarias crecen un 26%.</w:t>
      </w:r>
    </w:p>
    <w:p w14:paraId="7254871D" w14:textId="77777777" w:rsidR="0089748C" w:rsidRDefault="0089748C" w:rsidP="0089748C">
      <w:pPr>
        <w:pStyle w:val="Prrafodelista"/>
        <w:numPr>
          <w:ilvl w:val="0"/>
          <w:numId w:val="16"/>
        </w:numPr>
        <w:shd w:val="clear" w:color="auto" w:fill="D9D9D9" w:themeFill="background1" w:themeFillShade="D9"/>
        <w:spacing w:after="0" w:line="240" w:lineRule="auto"/>
      </w:pPr>
      <w:r>
        <w:t>Los fondos que más crecen son los fondos voluntarios B en colones y dólares.</w:t>
      </w:r>
    </w:p>
    <w:p w14:paraId="2FD046D1" w14:textId="77777777" w:rsidR="0089748C" w:rsidRDefault="0089748C" w:rsidP="0089748C">
      <w:pPr>
        <w:pStyle w:val="Prrafodelista"/>
        <w:numPr>
          <w:ilvl w:val="0"/>
          <w:numId w:val="16"/>
        </w:numPr>
        <w:shd w:val="clear" w:color="auto" w:fill="D9D9D9" w:themeFill="background1" w:themeFillShade="D9"/>
        <w:spacing w:after="0" w:line="240" w:lineRule="auto"/>
      </w:pPr>
      <w:r>
        <w:t>Dos fondos nuevos: el fondo de renta temporal de Vida Plena a partir del 2020 y el fondo individual y colectivo de BAC SJ Pensiones a partir del 2021.</w:t>
      </w:r>
    </w:p>
    <w:p w14:paraId="64398D53" w14:textId="77777777" w:rsidR="0089748C" w:rsidRDefault="0089748C" w:rsidP="0089748C">
      <w:pPr>
        <w:pStyle w:val="Prrafodelista"/>
        <w:numPr>
          <w:ilvl w:val="0"/>
          <w:numId w:val="16"/>
        </w:numPr>
        <w:shd w:val="clear" w:color="auto" w:fill="D9D9D9" w:themeFill="background1" w:themeFillShade="D9"/>
        <w:spacing w:after="0" w:line="240" w:lineRule="auto"/>
      </w:pPr>
      <w:r>
        <w:t>La proporción invertida en dólares se incrementa 41% mientras que la proporción invertida en colones se incrementa 19%.</w:t>
      </w:r>
    </w:p>
    <w:p w14:paraId="0EEF9B59" w14:textId="77777777" w:rsidR="0089748C" w:rsidRDefault="0089748C" w:rsidP="0089748C">
      <w:pPr>
        <w:pStyle w:val="Prrafodelista"/>
        <w:numPr>
          <w:ilvl w:val="0"/>
          <w:numId w:val="16"/>
        </w:numPr>
        <w:shd w:val="clear" w:color="auto" w:fill="D9D9D9" w:themeFill="background1" w:themeFillShade="D9"/>
        <w:spacing w:after="0" w:line="240" w:lineRule="auto"/>
      </w:pPr>
      <w:r>
        <w:t>La proporción invertida en el sector extranjero se incrementa 470% (pasando de 8,6 a 48,9 mil millones) mientras que la proporción invertida en el sector local se incrementa 14%.</w:t>
      </w:r>
    </w:p>
    <w:p w14:paraId="192751EB" w14:textId="77777777" w:rsidR="0089748C" w:rsidRDefault="0089748C" w:rsidP="0089748C">
      <w:pPr>
        <w:pStyle w:val="Prrafodelista"/>
        <w:numPr>
          <w:ilvl w:val="0"/>
          <w:numId w:val="16"/>
        </w:numPr>
        <w:shd w:val="clear" w:color="auto" w:fill="D9D9D9" w:themeFill="background1" w:themeFillShade="D9"/>
        <w:spacing w:after="0" w:line="240" w:lineRule="auto"/>
      </w:pPr>
      <w:r>
        <w:t>Las inversiones se concentran en 86% en promedio en deuda estandarizada nivel I.</w:t>
      </w:r>
    </w:p>
    <w:p w14:paraId="147E5AC6" w14:textId="77777777" w:rsidR="0089748C" w:rsidRDefault="0089748C" w:rsidP="0089748C">
      <w:pPr>
        <w:pStyle w:val="Prrafodelista"/>
        <w:numPr>
          <w:ilvl w:val="0"/>
          <w:numId w:val="16"/>
        </w:numPr>
        <w:shd w:val="clear" w:color="auto" w:fill="D9D9D9" w:themeFill="background1" w:themeFillShade="D9"/>
        <w:spacing w:after="0" w:line="240" w:lineRule="auto"/>
      </w:pPr>
      <w:r>
        <w:t>De junio 2020 a junio 2021 la proporción invertida en ETF pasa de 0,9 a 31,1 mil millones de colones.</w:t>
      </w:r>
    </w:p>
    <w:p w14:paraId="4E6D0C76" w14:textId="77777777" w:rsidR="0089748C" w:rsidRDefault="0089748C" w:rsidP="0089748C">
      <w:pPr>
        <w:shd w:val="clear" w:color="auto" w:fill="D9D9D9" w:themeFill="background1" w:themeFillShade="D9"/>
      </w:pPr>
    </w:p>
    <w:p w14:paraId="4883DCFD" w14:textId="77777777" w:rsidR="0089748C" w:rsidRDefault="0089748C" w:rsidP="0089748C">
      <w:pPr>
        <w:shd w:val="clear" w:color="auto" w:fill="D9D9D9" w:themeFill="background1" w:themeFillShade="D9"/>
      </w:pPr>
      <w:r>
        <w:rPr>
          <w:rStyle w:val="nfasisintenso"/>
          <w:noProof/>
          <w:sz w:val="28"/>
          <w:szCs w:val="28"/>
        </w:rPr>
        <w:drawing>
          <wp:inline distT="0" distB="0" distL="0" distR="0" wp14:anchorId="734132D6" wp14:editId="2748424C">
            <wp:extent cx="5612130" cy="3334744"/>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334744"/>
                    </a:xfrm>
                    <a:prstGeom prst="rect">
                      <a:avLst/>
                    </a:prstGeom>
                    <a:noFill/>
                    <a:ln>
                      <a:noFill/>
                    </a:ln>
                  </pic:spPr>
                </pic:pic>
              </a:graphicData>
            </a:graphic>
          </wp:inline>
        </w:drawing>
      </w:r>
    </w:p>
    <w:p w14:paraId="05C1B2C0" w14:textId="77777777" w:rsidR="0089748C" w:rsidRDefault="0089748C" w:rsidP="0089748C">
      <w:r>
        <w:br w:type="page"/>
      </w:r>
    </w:p>
    <w:p w14:paraId="72F3253F" w14:textId="77777777" w:rsidR="0089748C" w:rsidRPr="00C470C3" w:rsidRDefault="0089748C" w:rsidP="0089748C">
      <w:pPr>
        <w:pStyle w:val="Ttulo2"/>
        <w:numPr>
          <w:ilvl w:val="1"/>
          <w:numId w:val="1"/>
        </w:numPr>
      </w:pPr>
      <w:bookmarkStart w:id="11" w:name="_Toc80290686"/>
      <w:r w:rsidRPr="00C470C3">
        <w:lastRenderedPageBreak/>
        <w:t>Rentabilidad</w:t>
      </w:r>
      <w:bookmarkEnd w:id="11"/>
    </w:p>
    <w:p w14:paraId="74E8D63F" w14:textId="77777777" w:rsidR="0089748C" w:rsidRDefault="0089748C" w:rsidP="0089748C">
      <w:pPr>
        <w:spacing w:after="0" w:line="240" w:lineRule="auto"/>
        <w:jc w:val="both"/>
      </w:pPr>
    </w:p>
    <w:p w14:paraId="2370328A" w14:textId="77777777" w:rsidR="0089748C" w:rsidRPr="0075398B" w:rsidRDefault="0089748C" w:rsidP="0089748C">
      <w:pPr>
        <w:spacing w:after="0" w:line="240" w:lineRule="auto"/>
        <w:jc w:val="both"/>
      </w:pPr>
      <w:r w:rsidRPr="00942B2B">
        <w:t xml:space="preserve">Durante el </w:t>
      </w:r>
      <w:r>
        <w:t>segundo</w:t>
      </w:r>
      <w:r w:rsidRPr="00942B2B">
        <w:t xml:space="preserve"> trimestre del 2021, los mercados financieros internacionales mostraron una tendencia al alza, favoreciendo la rentabilidad de los fondos administrados con exposición a instrumentos internacionales</w:t>
      </w:r>
      <w:r>
        <w:t>.</w:t>
      </w:r>
    </w:p>
    <w:p w14:paraId="224F9128" w14:textId="77777777" w:rsidR="0089748C" w:rsidRPr="0075398B" w:rsidRDefault="0089748C" w:rsidP="0089748C">
      <w:pPr>
        <w:spacing w:after="0" w:line="240" w:lineRule="auto"/>
        <w:jc w:val="both"/>
      </w:pPr>
    </w:p>
    <w:p w14:paraId="618067C6" w14:textId="77777777" w:rsidR="0089748C" w:rsidRPr="0075398B" w:rsidRDefault="0089748C" w:rsidP="0089748C">
      <w:pPr>
        <w:spacing w:after="0" w:line="240" w:lineRule="auto"/>
        <w:jc w:val="both"/>
      </w:pPr>
      <w:r w:rsidRPr="0075398B">
        <w:t>En el mercado local, durante el trimestre las curvas de rendimientos</w:t>
      </w:r>
      <w:r>
        <w:t xml:space="preserve"> se ajustaron en diferentes direcciones, sin embargo, de principios de abril a finales de junio se </w:t>
      </w:r>
      <w:r w:rsidRPr="0075398B">
        <w:t>presentaron desplazamientos hacia abajo en todos los plazos</w:t>
      </w:r>
      <w:r>
        <w:t xml:space="preserve"> de las curvas</w:t>
      </w:r>
      <w:r w:rsidRPr="0075398B">
        <w:t xml:space="preserve"> en colones y dólares, afectando de manera </w:t>
      </w:r>
      <w:r>
        <w:t>positiva</w:t>
      </w:r>
      <w:r w:rsidRPr="0075398B">
        <w:t xml:space="preserve"> el valor de las inversiones locales de los portafolios de pensiones. </w:t>
      </w:r>
    </w:p>
    <w:p w14:paraId="1619F245" w14:textId="77777777" w:rsidR="0089748C" w:rsidRPr="0075398B" w:rsidRDefault="0089748C" w:rsidP="0089748C">
      <w:pPr>
        <w:spacing w:after="0" w:line="240" w:lineRule="auto"/>
        <w:jc w:val="both"/>
      </w:pPr>
    </w:p>
    <w:p w14:paraId="7C7004A6" w14:textId="77777777" w:rsidR="0089748C" w:rsidRPr="00F74FB3" w:rsidRDefault="0089748C" w:rsidP="0089748C">
      <w:pPr>
        <w:spacing w:after="0" w:line="240" w:lineRule="auto"/>
        <w:jc w:val="both"/>
        <w:rPr>
          <w:highlight w:val="yellow"/>
        </w:rPr>
      </w:pPr>
      <w:r w:rsidRPr="003E17CD">
        <w:t xml:space="preserve">Por otro lado, el tipo de cambio de referencia del BCCR mostró fluctuaciones en este </w:t>
      </w:r>
      <w:r w:rsidRPr="00EA128E">
        <w:t xml:space="preserve">trimestre, oscilando su valor entre un mínimo de </w:t>
      </w:r>
      <w:r w:rsidRPr="00EA128E">
        <w:rPr>
          <w:rFonts w:eastAsia="Times New Roman" w:cs="Calibri"/>
          <w:color w:val="000000"/>
          <w:lang w:val="es-CR"/>
        </w:rPr>
        <w:t>₡</w:t>
      </w:r>
      <w:r w:rsidRPr="00EA128E">
        <w:t xml:space="preserve">614,27 y un máximo de </w:t>
      </w:r>
      <w:r w:rsidRPr="00EA128E">
        <w:rPr>
          <w:rFonts w:eastAsia="Times New Roman" w:cs="Calibri"/>
          <w:color w:val="000000"/>
          <w:lang w:val="es-CR"/>
        </w:rPr>
        <w:t>₡</w:t>
      </w:r>
      <w:r w:rsidRPr="00EA128E">
        <w:t xml:space="preserve">622,10. </w:t>
      </w:r>
      <w:r>
        <w:t>Por su parte l</w:t>
      </w:r>
      <w:r w:rsidRPr="00EA128E">
        <w:t>a tasa básica pasiva (TBP), se mantuvo su valor entre 3,15% (26 de mayo) y de 3,35% (7 de abril)</w:t>
      </w:r>
      <w:r>
        <w:t>, su valor al finalizar el segundo cierre de junio fue 3,20%</w:t>
      </w:r>
      <w:r w:rsidRPr="00EA128E">
        <w:t>. La tasa de política monetaria (TPM)</w:t>
      </w:r>
      <w:r>
        <w:t xml:space="preserve"> se ha mantenido </w:t>
      </w:r>
      <w:r w:rsidRPr="00EA128E">
        <w:t>en 0,75% desde junio</w:t>
      </w:r>
      <w:r w:rsidRPr="0005495C">
        <w:t xml:space="preserve"> del 2020.</w:t>
      </w:r>
    </w:p>
    <w:p w14:paraId="706F4E5C" w14:textId="77777777" w:rsidR="0089748C" w:rsidRPr="0075398B" w:rsidRDefault="0089748C" w:rsidP="0089748C">
      <w:pPr>
        <w:spacing w:after="0" w:line="240" w:lineRule="auto"/>
        <w:jc w:val="both"/>
      </w:pPr>
    </w:p>
    <w:p w14:paraId="791E1B93" w14:textId="77777777" w:rsidR="0089748C" w:rsidRDefault="0089748C" w:rsidP="0089748C">
      <w:pPr>
        <w:spacing w:after="0" w:line="240" w:lineRule="auto"/>
        <w:jc w:val="both"/>
      </w:pPr>
      <w:bookmarkStart w:id="12" w:name="_Hlk62836514"/>
    </w:p>
    <w:p w14:paraId="1314D5DC" w14:textId="77777777" w:rsidR="0089748C" w:rsidRDefault="0089748C" w:rsidP="0089748C">
      <w:pPr>
        <w:pStyle w:val="Ttulo2"/>
        <w:numPr>
          <w:ilvl w:val="1"/>
          <w:numId w:val="1"/>
        </w:numPr>
      </w:pPr>
      <w:bookmarkStart w:id="13" w:name="_Toc80290687"/>
      <w:bookmarkEnd w:id="12"/>
      <w:r>
        <w:t>Rentabilidad del ROP</w:t>
      </w:r>
      <w:bookmarkEnd w:id="13"/>
    </w:p>
    <w:p w14:paraId="215D0B5A" w14:textId="77777777" w:rsidR="0089748C" w:rsidRDefault="0089748C" w:rsidP="0089748C">
      <w:pPr>
        <w:spacing w:after="0" w:line="240" w:lineRule="auto"/>
        <w:jc w:val="both"/>
      </w:pPr>
    </w:p>
    <w:p w14:paraId="0989388A" w14:textId="77777777" w:rsidR="0089748C" w:rsidRDefault="0089748C" w:rsidP="0089748C">
      <w:pPr>
        <w:spacing w:after="0" w:line="240" w:lineRule="auto"/>
        <w:jc w:val="both"/>
      </w:pPr>
      <w:r w:rsidRPr="00EA2E9A">
        <w:t>Considerando que los fondos de pensiones son de largo plazo, un análisis prudencial nos obliga seguir indicadores de largo plazo, por la volatilidad que suele tener el corto plazo. Cuando observamos la rentabilidad histórica anualizada o la rentabilidad a 10 años del ROP, indicadores de más largo plazo, podemos observar que durante el segundo trimestre la tendencia ha sido creciente en todas las operadoras de pensiones.</w:t>
      </w:r>
    </w:p>
    <w:p w14:paraId="704ACC7D" w14:textId="77777777" w:rsidR="0089748C" w:rsidRPr="00EA2E9A" w:rsidRDefault="0089748C" w:rsidP="0089748C">
      <w:pPr>
        <w:spacing w:after="0" w:line="240" w:lineRule="auto"/>
        <w:jc w:val="both"/>
      </w:pPr>
    </w:p>
    <w:p w14:paraId="0093C6C2" w14:textId="77777777" w:rsidR="0089748C" w:rsidRPr="00EA2E9A" w:rsidRDefault="0089748C" w:rsidP="0089748C">
      <w:pPr>
        <w:pStyle w:val="Descripcin"/>
        <w:spacing w:after="0"/>
        <w:jc w:val="center"/>
      </w:pPr>
      <w:r w:rsidRPr="00EA2E9A">
        <w:t xml:space="preserve">Gráfico </w:t>
      </w:r>
      <w:r w:rsidRPr="00EA2E9A">
        <w:fldChar w:fldCharType="begin"/>
      </w:r>
      <w:r w:rsidRPr="00EA2E9A">
        <w:instrText xml:space="preserve"> SEQ Gráfico \* ARABIC </w:instrText>
      </w:r>
      <w:r w:rsidRPr="00EA2E9A">
        <w:fldChar w:fldCharType="separate"/>
      </w:r>
      <w:r>
        <w:rPr>
          <w:noProof/>
        </w:rPr>
        <w:t>2</w:t>
      </w:r>
      <w:r w:rsidRPr="00EA2E9A">
        <w:fldChar w:fldCharType="end"/>
      </w:r>
      <w:r w:rsidRPr="00EA2E9A">
        <w:t xml:space="preserve">: Rentabilidad </w:t>
      </w:r>
    </w:p>
    <w:p w14:paraId="403CB0F5" w14:textId="77777777" w:rsidR="0089748C" w:rsidRPr="00EA2E9A" w:rsidRDefault="0089748C" w:rsidP="0089748C">
      <w:pPr>
        <w:pStyle w:val="Descripcin"/>
        <w:spacing w:after="0"/>
        <w:jc w:val="center"/>
      </w:pPr>
      <w:r w:rsidRPr="00EA2E9A">
        <w:t>Régimen Obligatorio de Pensiones Complementario</w:t>
      </w:r>
    </w:p>
    <w:p w14:paraId="735D6E7C" w14:textId="77777777" w:rsidR="0089748C" w:rsidRPr="00EA2E9A" w:rsidRDefault="0089748C" w:rsidP="0089748C">
      <w:pPr>
        <w:pStyle w:val="Descripcin"/>
        <w:spacing w:after="0"/>
        <w:jc w:val="center"/>
      </w:pPr>
      <w:r w:rsidRPr="00EA2E9A">
        <w:t>De último año</w:t>
      </w:r>
    </w:p>
    <w:p w14:paraId="62647B4A" w14:textId="77777777" w:rsidR="0089748C" w:rsidRPr="00EA2E9A" w:rsidRDefault="0089748C" w:rsidP="0089748C">
      <w:pPr>
        <w:spacing w:after="0" w:line="240" w:lineRule="auto"/>
        <w:jc w:val="center"/>
      </w:pPr>
      <w:r>
        <w:object w:dxaOrig="15060" w:dyaOrig="5385" w14:anchorId="334D3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8.25pt" o:ole="">
            <v:imagedata r:id="rId18" o:title=""/>
          </v:shape>
          <o:OLEObject Type="Embed" ProgID="PBrush" ShapeID="_x0000_i1025" DrawAspect="Content" ObjectID="_1690963474" r:id="rId19"/>
        </w:object>
      </w:r>
    </w:p>
    <w:p w14:paraId="43DAA39E" w14:textId="77777777" w:rsidR="0089748C" w:rsidRPr="00EA2E9A" w:rsidRDefault="0089748C" w:rsidP="0089748C">
      <w:pPr>
        <w:pStyle w:val="Descripcin"/>
        <w:tabs>
          <w:tab w:val="left" w:pos="2490"/>
        </w:tabs>
        <w:spacing w:after="0"/>
      </w:pPr>
      <w:r w:rsidRPr="00EA2E9A">
        <w:t>Fuente: Elaboración propia</w:t>
      </w:r>
      <w:r w:rsidRPr="00EA2E9A">
        <w:tab/>
      </w:r>
    </w:p>
    <w:p w14:paraId="35C3C728" w14:textId="77777777" w:rsidR="0089748C" w:rsidRDefault="0089748C" w:rsidP="0089748C">
      <w:pPr>
        <w:rPr>
          <w:highlight w:val="yellow"/>
        </w:rPr>
      </w:pPr>
      <w:r>
        <w:rPr>
          <w:highlight w:val="yellow"/>
        </w:rPr>
        <w:br w:type="page"/>
      </w:r>
    </w:p>
    <w:p w14:paraId="32BC0C71" w14:textId="77777777" w:rsidR="0089748C" w:rsidRPr="00CD6E13" w:rsidRDefault="0089748C" w:rsidP="0089748C">
      <w:pPr>
        <w:pStyle w:val="Ttulo2"/>
        <w:numPr>
          <w:ilvl w:val="1"/>
          <w:numId w:val="1"/>
        </w:numPr>
      </w:pPr>
      <w:bookmarkStart w:id="14" w:name="_Toc80290688"/>
      <w:r w:rsidRPr="00CD6E13">
        <w:lastRenderedPageBreak/>
        <w:t>Desempeño de Gestores</w:t>
      </w:r>
      <w:bookmarkEnd w:id="14"/>
      <w:r w:rsidRPr="00CD6E13">
        <w:t xml:space="preserve"> </w:t>
      </w:r>
    </w:p>
    <w:p w14:paraId="73362CC1" w14:textId="77777777" w:rsidR="0089748C" w:rsidRPr="00CD6E13" w:rsidRDefault="0089748C" w:rsidP="0089748C">
      <w:pPr>
        <w:spacing w:after="0" w:line="240" w:lineRule="auto"/>
        <w:jc w:val="both"/>
        <w:rPr>
          <w:rFonts w:cstheme="minorHAnsi"/>
        </w:rPr>
      </w:pPr>
    </w:p>
    <w:p w14:paraId="005FE2ED" w14:textId="77777777" w:rsidR="0089748C" w:rsidRPr="00CD6E13" w:rsidRDefault="0089748C" w:rsidP="0089748C">
      <w:pPr>
        <w:spacing w:after="0" w:line="240" w:lineRule="auto"/>
        <w:jc w:val="both"/>
        <w:rPr>
          <w:rFonts w:cstheme="minorHAnsi"/>
        </w:rPr>
      </w:pPr>
      <w:r w:rsidRPr="00CD6E13">
        <w:rPr>
          <w:rFonts w:cstheme="minorHAnsi"/>
        </w:rPr>
        <w:t xml:space="preserve">Al ser el ROP un fondo de pensiones obligatorio, la regulación ha establecido mecanismos de protección al afiliado, específicamente la posibilidad de que el supervisor mediante regulación disponga </w:t>
      </w:r>
      <w:r>
        <w:rPr>
          <w:rFonts w:cstheme="minorHAnsi"/>
        </w:rPr>
        <w:t>comisiones máximas por administración</w:t>
      </w:r>
      <w:r w:rsidRPr="00CD6E13">
        <w:rPr>
          <w:rFonts w:cstheme="minorHAnsi"/>
        </w:rPr>
        <w:t xml:space="preserve">. Según lo establece el Reglamento de Apertura y Funcionamiento de las Entidades Autorizadas (RAF), las comisiones de administración de este producto son sobre saldo se ubica 0,35% sobre saldo </w:t>
      </w:r>
      <w:r>
        <w:rPr>
          <w:rFonts w:cstheme="minorHAnsi"/>
        </w:rPr>
        <w:t>enero</w:t>
      </w:r>
      <w:r w:rsidRPr="00CD6E13">
        <w:rPr>
          <w:rFonts w:cstheme="minorHAnsi"/>
        </w:rPr>
        <w:t xml:space="preserve"> </w:t>
      </w:r>
      <w:r>
        <w:rPr>
          <w:rFonts w:cstheme="minorHAnsi"/>
        </w:rPr>
        <w:t>d</w:t>
      </w:r>
      <w:r w:rsidRPr="00CD6E13">
        <w:rPr>
          <w:rFonts w:cstheme="minorHAnsi"/>
        </w:rPr>
        <w:t xml:space="preserve">el 2020. </w:t>
      </w:r>
    </w:p>
    <w:p w14:paraId="7991467B" w14:textId="77777777" w:rsidR="0089748C" w:rsidRPr="00CD6E13" w:rsidRDefault="0089748C" w:rsidP="0089748C">
      <w:pPr>
        <w:spacing w:after="0" w:line="240" w:lineRule="auto"/>
        <w:jc w:val="both"/>
        <w:rPr>
          <w:rFonts w:cstheme="minorHAnsi"/>
        </w:rPr>
      </w:pPr>
    </w:p>
    <w:p w14:paraId="5549D937" w14:textId="77777777" w:rsidR="0089748C" w:rsidRPr="00CD6E13" w:rsidRDefault="0089748C" w:rsidP="0089748C">
      <w:pPr>
        <w:spacing w:after="0" w:line="240" w:lineRule="auto"/>
        <w:jc w:val="both"/>
        <w:rPr>
          <w:rFonts w:cstheme="minorHAnsi"/>
        </w:rPr>
      </w:pPr>
      <w:r w:rsidRPr="00CD6E13">
        <w:rPr>
          <w:rFonts w:cstheme="minorHAnsi"/>
        </w:rPr>
        <w:t>Durante el 2020 se present</w:t>
      </w:r>
      <w:r>
        <w:rPr>
          <w:rFonts w:cstheme="minorHAnsi"/>
        </w:rPr>
        <w:t>ó</w:t>
      </w:r>
      <w:r w:rsidRPr="00CD6E13">
        <w:rPr>
          <w:rFonts w:cstheme="minorHAnsi"/>
        </w:rPr>
        <w:t xml:space="preserve"> una disminución en todos los indicadores financieros debido</w:t>
      </w:r>
      <w:r>
        <w:rPr>
          <w:rFonts w:cstheme="minorHAnsi"/>
        </w:rPr>
        <w:t>, como se indicó anteriormente, al</w:t>
      </w:r>
      <w:r w:rsidRPr="00CD6E13">
        <w:rPr>
          <w:rFonts w:cstheme="minorHAnsi"/>
        </w:rPr>
        <w:t xml:space="preserve"> ajust</w:t>
      </w:r>
      <w:r>
        <w:rPr>
          <w:rFonts w:cstheme="minorHAnsi"/>
        </w:rPr>
        <w:t xml:space="preserve">e de </w:t>
      </w:r>
      <w:r w:rsidRPr="00CD6E13">
        <w:rPr>
          <w:rFonts w:cstheme="minorHAnsi"/>
        </w:rPr>
        <w:t xml:space="preserve">la comisión </w:t>
      </w:r>
      <w:r>
        <w:rPr>
          <w:rFonts w:cstheme="minorHAnsi"/>
        </w:rPr>
        <w:t xml:space="preserve">máxima </w:t>
      </w:r>
      <w:r w:rsidRPr="00CD6E13">
        <w:rPr>
          <w:rFonts w:cstheme="minorHAnsi"/>
        </w:rPr>
        <w:t xml:space="preserve">de administración, pasando de 0,50% a 0,35% sobre saldo. Sin embargo, como se ha observado en periodos de ajuste de comisión pasados, estos indicadores se recuperan paulatinamente conforme los activos administrados aumentan. Para el segundo trimestre del año en curso se observan </w:t>
      </w:r>
      <w:r>
        <w:rPr>
          <w:rFonts w:cstheme="minorHAnsi"/>
        </w:rPr>
        <w:t xml:space="preserve">ya </w:t>
      </w:r>
      <w:r w:rsidRPr="00CD6E13">
        <w:rPr>
          <w:rFonts w:cstheme="minorHAnsi"/>
        </w:rPr>
        <w:t>resultados positivos</w:t>
      </w:r>
      <w:r>
        <w:rPr>
          <w:rFonts w:cstheme="minorHAnsi"/>
        </w:rPr>
        <w:t xml:space="preserve"> en las razones financieras</w:t>
      </w:r>
      <w:r w:rsidRPr="00CD6E13">
        <w:rPr>
          <w:rFonts w:cstheme="minorHAnsi"/>
        </w:rPr>
        <w:t>.</w:t>
      </w:r>
    </w:p>
    <w:p w14:paraId="0D1EF6DD" w14:textId="77777777" w:rsidR="0089748C" w:rsidRDefault="0089748C" w:rsidP="0089748C">
      <w:pPr>
        <w:spacing w:after="0" w:line="240" w:lineRule="auto"/>
        <w:jc w:val="both"/>
        <w:rPr>
          <w:rFonts w:cstheme="minorHAnsi"/>
          <w:highlight w:val="yellow"/>
        </w:rPr>
      </w:pPr>
    </w:p>
    <w:p w14:paraId="77F134A1" w14:textId="77777777" w:rsidR="0089748C" w:rsidRPr="00E3523C" w:rsidRDefault="0089748C" w:rsidP="0089748C">
      <w:pPr>
        <w:pStyle w:val="Descripcin"/>
        <w:spacing w:after="0"/>
        <w:jc w:val="center"/>
      </w:pPr>
      <w:r w:rsidRPr="00E3523C">
        <w:t xml:space="preserve">Tabla </w:t>
      </w:r>
      <w:r w:rsidRPr="00E3523C">
        <w:fldChar w:fldCharType="begin"/>
      </w:r>
      <w:r w:rsidRPr="00E3523C">
        <w:instrText xml:space="preserve"> SEQ Tabla \* ARABIC </w:instrText>
      </w:r>
      <w:r w:rsidRPr="00E3523C">
        <w:fldChar w:fldCharType="separate"/>
      </w:r>
      <w:r>
        <w:rPr>
          <w:noProof/>
        </w:rPr>
        <w:t>4</w:t>
      </w:r>
      <w:r w:rsidRPr="00E3523C">
        <w:fldChar w:fldCharType="end"/>
      </w:r>
      <w:r w:rsidRPr="00E3523C">
        <w:t>: Indicadores financieros Gestores de Pensiones</w:t>
      </w:r>
    </w:p>
    <w:p w14:paraId="7B7CF51A" w14:textId="77777777" w:rsidR="0089748C" w:rsidRPr="00E3523C" w:rsidRDefault="0089748C" w:rsidP="0089748C">
      <w:pPr>
        <w:pStyle w:val="Descripcin"/>
        <w:spacing w:after="0"/>
        <w:jc w:val="center"/>
      </w:pPr>
      <w:r w:rsidRPr="00E3523C">
        <w:t>A diciembre de cada año</w:t>
      </w:r>
    </w:p>
    <w:p w14:paraId="03D3E6F4" w14:textId="77777777" w:rsidR="0089748C" w:rsidRPr="00E3523C" w:rsidRDefault="0089748C" w:rsidP="0089748C">
      <w:pPr>
        <w:pStyle w:val="Descripcin"/>
        <w:spacing w:after="0"/>
        <w:jc w:val="center"/>
      </w:pPr>
      <w:r w:rsidRPr="00E3523C">
        <w:t>En millones de colones costarricenses</w:t>
      </w:r>
    </w:p>
    <w:tbl>
      <w:tblPr>
        <w:tblStyle w:val="Tablaconcuadrcula4-nfasis1"/>
        <w:tblW w:w="7225" w:type="dxa"/>
        <w:jc w:val="center"/>
        <w:tblLook w:val="04A0" w:firstRow="1" w:lastRow="0" w:firstColumn="1" w:lastColumn="0" w:noHBand="0" w:noVBand="1"/>
      </w:tblPr>
      <w:tblGrid>
        <w:gridCol w:w="722"/>
        <w:gridCol w:w="1500"/>
        <w:gridCol w:w="1275"/>
        <w:gridCol w:w="1134"/>
        <w:gridCol w:w="1134"/>
        <w:gridCol w:w="1460"/>
      </w:tblGrid>
      <w:tr w:rsidR="0089748C" w:rsidRPr="00E3523C" w14:paraId="2C14759C" w14:textId="77777777" w:rsidTr="004A4F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vAlign w:val="center"/>
            <w:hideMark/>
          </w:tcPr>
          <w:p w14:paraId="734FBF88" w14:textId="77777777" w:rsidR="0089748C" w:rsidRPr="00E3523C" w:rsidRDefault="0089748C" w:rsidP="004A4F6C">
            <w:pPr>
              <w:rPr>
                <w:rFonts w:eastAsia="Times New Roman" w:cs="Calibri"/>
                <w:lang w:val="es-CR"/>
              </w:rPr>
            </w:pPr>
            <w:r w:rsidRPr="00E3523C">
              <w:rPr>
                <w:rFonts w:eastAsia="Times New Roman" w:cs="Calibri"/>
                <w:lang w:val="es-CR"/>
              </w:rPr>
              <w:t>Año</w:t>
            </w:r>
          </w:p>
        </w:tc>
        <w:tc>
          <w:tcPr>
            <w:tcW w:w="1500" w:type="dxa"/>
            <w:noWrap/>
            <w:vAlign w:val="center"/>
            <w:hideMark/>
          </w:tcPr>
          <w:p w14:paraId="5573BAA4" w14:textId="77777777" w:rsidR="0089748C" w:rsidRPr="00E3523C" w:rsidRDefault="0089748C" w:rsidP="004A4F6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3523C">
              <w:rPr>
                <w:rFonts w:eastAsia="Times New Roman" w:cs="Calibri"/>
                <w:lang w:val="es-CR"/>
              </w:rPr>
              <w:t>Ingresos Operativos</w:t>
            </w:r>
          </w:p>
        </w:tc>
        <w:tc>
          <w:tcPr>
            <w:tcW w:w="1275" w:type="dxa"/>
            <w:noWrap/>
            <w:vAlign w:val="center"/>
            <w:hideMark/>
          </w:tcPr>
          <w:p w14:paraId="53CC17B1" w14:textId="77777777" w:rsidR="0089748C" w:rsidRPr="00E3523C" w:rsidRDefault="0089748C" w:rsidP="004A4F6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3523C">
              <w:rPr>
                <w:rFonts w:eastAsia="Times New Roman" w:cs="Calibri"/>
                <w:lang w:val="es-CR"/>
              </w:rPr>
              <w:t>Gastos Operativos</w:t>
            </w:r>
          </w:p>
        </w:tc>
        <w:tc>
          <w:tcPr>
            <w:tcW w:w="1134" w:type="dxa"/>
            <w:noWrap/>
            <w:vAlign w:val="center"/>
            <w:hideMark/>
          </w:tcPr>
          <w:p w14:paraId="57B5D3A4" w14:textId="77777777" w:rsidR="0089748C" w:rsidRPr="00E3523C" w:rsidRDefault="0089748C" w:rsidP="004A4F6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3523C">
              <w:rPr>
                <w:rFonts w:eastAsia="Times New Roman" w:cs="Calibri"/>
                <w:lang w:val="es-CR"/>
              </w:rPr>
              <w:t>Resultado Operativo</w:t>
            </w:r>
          </w:p>
        </w:tc>
        <w:tc>
          <w:tcPr>
            <w:tcW w:w="1134" w:type="dxa"/>
            <w:noWrap/>
            <w:vAlign w:val="center"/>
            <w:hideMark/>
          </w:tcPr>
          <w:p w14:paraId="75851B75" w14:textId="77777777" w:rsidR="0089748C" w:rsidRPr="00E3523C" w:rsidRDefault="0089748C" w:rsidP="004A4F6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3523C">
              <w:rPr>
                <w:rFonts w:eastAsia="Times New Roman" w:cs="Calibri"/>
                <w:lang w:val="es-CR"/>
              </w:rPr>
              <w:t>Resultado Neto</w:t>
            </w:r>
          </w:p>
        </w:tc>
        <w:tc>
          <w:tcPr>
            <w:tcW w:w="1460" w:type="dxa"/>
            <w:noWrap/>
            <w:vAlign w:val="center"/>
            <w:hideMark/>
          </w:tcPr>
          <w:p w14:paraId="0E7B5264" w14:textId="77777777" w:rsidR="0089748C" w:rsidRPr="00E3523C" w:rsidRDefault="0089748C" w:rsidP="004A4F6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3523C">
              <w:rPr>
                <w:rFonts w:eastAsia="Times New Roman" w:cs="Calibri"/>
                <w:lang w:val="es-CR"/>
              </w:rPr>
              <w:t>Resultado Neto *</w:t>
            </w:r>
            <w:r w:rsidRPr="00E3523C">
              <w:rPr>
                <w:rFonts w:eastAsia="Times New Roman"/>
                <w:lang w:val="es-CR"/>
              </w:rPr>
              <w:t>*</w:t>
            </w:r>
          </w:p>
        </w:tc>
      </w:tr>
      <w:tr w:rsidR="0089748C" w:rsidRPr="00E3523C" w14:paraId="42C6E9B0" w14:textId="77777777" w:rsidTr="004A4F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tcPr>
          <w:p w14:paraId="27F0ACC0" w14:textId="77777777" w:rsidR="0089748C" w:rsidRPr="00E3523C" w:rsidRDefault="0089748C" w:rsidP="004A4F6C">
            <w:pPr>
              <w:jc w:val="center"/>
              <w:rPr>
                <w:rFonts w:eastAsia="Times New Roman" w:cs="Calibri"/>
                <w:color w:val="000000"/>
                <w:lang w:val="es-CR"/>
              </w:rPr>
            </w:pPr>
            <w:r w:rsidRPr="00E3523C">
              <w:t>2016</w:t>
            </w:r>
          </w:p>
        </w:tc>
        <w:tc>
          <w:tcPr>
            <w:tcW w:w="1500" w:type="dxa"/>
            <w:noWrap/>
          </w:tcPr>
          <w:p w14:paraId="57201BBD"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pPr>
            <w:r w:rsidRPr="00E3523C">
              <w:t>42 700</w:t>
            </w:r>
          </w:p>
        </w:tc>
        <w:tc>
          <w:tcPr>
            <w:tcW w:w="1275" w:type="dxa"/>
            <w:noWrap/>
          </w:tcPr>
          <w:p w14:paraId="05D50146"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pPr>
            <w:r w:rsidRPr="00E3523C">
              <w:t>30 542</w:t>
            </w:r>
          </w:p>
        </w:tc>
        <w:tc>
          <w:tcPr>
            <w:tcW w:w="1134" w:type="dxa"/>
            <w:noWrap/>
          </w:tcPr>
          <w:p w14:paraId="579E8536"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pPr>
            <w:r w:rsidRPr="00E3523C">
              <w:t>12 157</w:t>
            </w:r>
          </w:p>
        </w:tc>
        <w:tc>
          <w:tcPr>
            <w:tcW w:w="1134" w:type="dxa"/>
            <w:noWrap/>
          </w:tcPr>
          <w:p w14:paraId="77695DF4"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pPr>
            <w:r w:rsidRPr="00E3523C">
              <w:t>6 612</w:t>
            </w:r>
          </w:p>
        </w:tc>
        <w:tc>
          <w:tcPr>
            <w:tcW w:w="1460" w:type="dxa"/>
            <w:noWrap/>
          </w:tcPr>
          <w:p w14:paraId="204644B7"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pPr>
            <w:r w:rsidRPr="00E3523C">
              <w:t>15 214</w:t>
            </w:r>
          </w:p>
        </w:tc>
      </w:tr>
      <w:tr w:rsidR="0089748C" w:rsidRPr="00E3523C" w14:paraId="6EEA0F47" w14:textId="77777777" w:rsidTr="004A4F6C">
        <w:trPr>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tcPr>
          <w:p w14:paraId="63FFCA2B" w14:textId="77777777" w:rsidR="0089748C" w:rsidRPr="00E3523C" w:rsidRDefault="0089748C" w:rsidP="004A4F6C">
            <w:pPr>
              <w:jc w:val="center"/>
              <w:rPr>
                <w:rFonts w:eastAsia="Times New Roman" w:cs="Calibri"/>
                <w:color w:val="000000"/>
                <w:lang w:val="es-CR"/>
              </w:rPr>
            </w:pPr>
            <w:r w:rsidRPr="00E3523C">
              <w:t>2017</w:t>
            </w:r>
          </w:p>
        </w:tc>
        <w:tc>
          <w:tcPr>
            <w:tcW w:w="1500" w:type="dxa"/>
            <w:noWrap/>
          </w:tcPr>
          <w:p w14:paraId="66FBCD87"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pPr>
            <w:r w:rsidRPr="00E3523C">
              <w:t>37 791</w:t>
            </w:r>
          </w:p>
        </w:tc>
        <w:tc>
          <w:tcPr>
            <w:tcW w:w="1275" w:type="dxa"/>
            <w:noWrap/>
          </w:tcPr>
          <w:p w14:paraId="6508A230"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pPr>
            <w:r w:rsidRPr="00E3523C">
              <w:t>30 184</w:t>
            </w:r>
          </w:p>
        </w:tc>
        <w:tc>
          <w:tcPr>
            <w:tcW w:w="1134" w:type="dxa"/>
            <w:noWrap/>
          </w:tcPr>
          <w:p w14:paraId="1742E5BB"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pPr>
            <w:r w:rsidRPr="00E3523C">
              <w:t>7 606</w:t>
            </w:r>
          </w:p>
        </w:tc>
        <w:tc>
          <w:tcPr>
            <w:tcW w:w="1134" w:type="dxa"/>
            <w:noWrap/>
          </w:tcPr>
          <w:p w14:paraId="7C73E5AF"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pPr>
            <w:r w:rsidRPr="00E3523C">
              <w:t>4 521</w:t>
            </w:r>
          </w:p>
        </w:tc>
        <w:tc>
          <w:tcPr>
            <w:tcW w:w="1460" w:type="dxa"/>
            <w:noWrap/>
          </w:tcPr>
          <w:p w14:paraId="053F77F8"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pPr>
            <w:r w:rsidRPr="00E3523C">
              <w:t>10 430</w:t>
            </w:r>
          </w:p>
        </w:tc>
      </w:tr>
      <w:tr w:rsidR="0089748C" w:rsidRPr="00E3523C" w14:paraId="10EE02BC" w14:textId="77777777" w:rsidTr="004A4F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2458FAC0" w14:textId="77777777" w:rsidR="0089748C" w:rsidRPr="00E3523C" w:rsidRDefault="0089748C" w:rsidP="004A4F6C">
            <w:pPr>
              <w:jc w:val="center"/>
              <w:rPr>
                <w:rFonts w:eastAsia="Times New Roman" w:cs="Calibri"/>
                <w:color w:val="000000"/>
                <w:lang w:val="es-CR"/>
              </w:rPr>
            </w:pPr>
            <w:r w:rsidRPr="00E3523C">
              <w:t>2018</w:t>
            </w:r>
          </w:p>
        </w:tc>
        <w:tc>
          <w:tcPr>
            <w:tcW w:w="1500" w:type="dxa"/>
            <w:noWrap/>
            <w:hideMark/>
          </w:tcPr>
          <w:p w14:paraId="04985738"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42 730</w:t>
            </w:r>
          </w:p>
        </w:tc>
        <w:tc>
          <w:tcPr>
            <w:tcW w:w="1275" w:type="dxa"/>
            <w:noWrap/>
            <w:hideMark/>
          </w:tcPr>
          <w:p w14:paraId="6356AD0C"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31 963</w:t>
            </w:r>
          </w:p>
        </w:tc>
        <w:tc>
          <w:tcPr>
            <w:tcW w:w="1134" w:type="dxa"/>
            <w:noWrap/>
            <w:hideMark/>
          </w:tcPr>
          <w:p w14:paraId="0F399DEC"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10 767</w:t>
            </w:r>
          </w:p>
        </w:tc>
        <w:tc>
          <w:tcPr>
            <w:tcW w:w="1134" w:type="dxa"/>
            <w:noWrap/>
            <w:hideMark/>
          </w:tcPr>
          <w:p w14:paraId="306C242D"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6 548</w:t>
            </w:r>
          </w:p>
        </w:tc>
        <w:tc>
          <w:tcPr>
            <w:tcW w:w="1460" w:type="dxa"/>
            <w:noWrap/>
            <w:hideMark/>
          </w:tcPr>
          <w:p w14:paraId="3FB4AA17"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15 094</w:t>
            </w:r>
          </w:p>
        </w:tc>
      </w:tr>
      <w:tr w:rsidR="0089748C" w:rsidRPr="00E3523C" w14:paraId="727A6C45" w14:textId="77777777" w:rsidTr="004A4F6C">
        <w:trPr>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15EB99A0" w14:textId="77777777" w:rsidR="0089748C" w:rsidRPr="00E3523C" w:rsidRDefault="0089748C" w:rsidP="004A4F6C">
            <w:pPr>
              <w:jc w:val="center"/>
              <w:rPr>
                <w:rFonts w:eastAsia="Times New Roman" w:cs="Calibri"/>
                <w:color w:val="000000"/>
                <w:lang w:val="es-CR"/>
              </w:rPr>
            </w:pPr>
            <w:r w:rsidRPr="00E3523C">
              <w:t>2019</w:t>
            </w:r>
          </w:p>
        </w:tc>
        <w:tc>
          <w:tcPr>
            <w:tcW w:w="1500" w:type="dxa"/>
            <w:noWrap/>
            <w:hideMark/>
          </w:tcPr>
          <w:p w14:paraId="0A7152DD"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49 847</w:t>
            </w:r>
          </w:p>
        </w:tc>
        <w:tc>
          <w:tcPr>
            <w:tcW w:w="1275" w:type="dxa"/>
            <w:noWrap/>
            <w:hideMark/>
          </w:tcPr>
          <w:p w14:paraId="3884A38E"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34 584</w:t>
            </w:r>
          </w:p>
        </w:tc>
        <w:tc>
          <w:tcPr>
            <w:tcW w:w="1134" w:type="dxa"/>
            <w:noWrap/>
            <w:hideMark/>
          </w:tcPr>
          <w:p w14:paraId="53834C10"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15 263</w:t>
            </w:r>
          </w:p>
        </w:tc>
        <w:tc>
          <w:tcPr>
            <w:tcW w:w="1134" w:type="dxa"/>
            <w:noWrap/>
            <w:hideMark/>
          </w:tcPr>
          <w:p w14:paraId="6F09D49B"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8 408</w:t>
            </w:r>
          </w:p>
        </w:tc>
        <w:tc>
          <w:tcPr>
            <w:tcW w:w="1460" w:type="dxa"/>
            <w:noWrap/>
            <w:hideMark/>
          </w:tcPr>
          <w:p w14:paraId="672E337F"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20 535</w:t>
            </w:r>
          </w:p>
        </w:tc>
      </w:tr>
      <w:tr w:rsidR="0089748C" w:rsidRPr="00E3523C" w14:paraId="02DE2E59" w14:textId="77777777" w:rsidTr="004A4F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5D988ACD" w14:textId="77777777" w:rsidR="0089748C" w:rsidRPr="00E3523C" w:rsidRDefault="0089748C" w:rsidP="004A4F6C">
            <w:pPr>
              <w:jc w:val="center"/>
              <w:rPr>
                <w:rFonts w:eastAsia="Times New Roman" w:cs="Calibri"/>
                <w:color w:val="000000"/>
                <w:lang w:val="es-CR"/>
              </w:rPr>
            </w:pPr>
            <w:r w:rsidRPr="00E3523C">
              <w:t>2020</w:t>
            </w:r>
          </w:p>
        </w:tc>
        <w:tc>
          <w:tcPr>
            <w:tcW w:w="1500" w:type="dxa"/>
            <w:noWrap/>
            <w:hideMark/>
          </w:tcPr>
          <w:p w14:paraId="4011BE81"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45 196</w:t>
            </w:r>
          </w:p>
        </w:tc>
        <w:tc>
          <w:tcPr>
            <w:tcW w:w="1275" w:type="dxa"/>
            <w:noWrap/>
            <w:hideMark/>
          </w:tcPr>
          <w:p w14:paraId="03C62126"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34 492</w:t>
            </w:r>
          </w:p>
        </w:tc>
        <w:tc>
          <w:tcPr>
            <w:tcW w:w="1134" w:type="dxa"/>
            <w:noWrap/>
            <w:hideMark/>
          </w:tcPr>
          <w:p w14:paraId="62F270D1"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10 704</w:t>
            </w:r>
          </w:p>
        </w:tc>
        <w:tc>
          <w:tcPr>
            <w:tcW w:w="1134" w:type="dxa"/>
            <w:noWrap/>
            <w:hideMark/>
          </w:tcPr>
          <w:p w14:paraId="09DEDCBE"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6 633</w:t>
            </w:r>
          </w:p>
        </w:tc>
        <w:tc>
          <w:tcPr>
            <w:tcW w:w="1460" w:type="dxa"/>
            <w:noWrap/>
            <w:hideMark/>
          </w:tcPr>
          <w:p w14:paraId="45C71E32" w14:textId="77777777" w:rsidR="0089748C" w:rsidRPr="00E3523C" w:rsidRDefault="0089748C" w:rsidP="004A4F6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16 743</w:t>
            </w:r>
          </w:p>
        </w:tc>
      </w:tr>
      <w:tr w:rsidR="0089748C" w:rsidRPr="00E3523C" w14:paraId="6E2A15BB" w14:textId="77777777" w:rsidTr="004A4F6C">
        <w:trPr>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20A4B911" w14:textId="77777777" w:rsidR="0089748C" w:rsidRPr="00E3523C" w:rsidRDefault="0089748C" w:rsidP="004A4F6C">
            <w:pPr>
              <w:jc w:val="center"/>
              <w:rPr>
                <w:rFonts w:eastAsia="Times New Roman" w:cs="Calibri"/>
                <w:color w:val="000000"/>
                <w:lang w:val="es-CR"/>
              </w:rPr>
            </w:pPr>
            <w:r w:rsidRPr="00E3523C">
              <w:t>2021*</w:t>
            </w:r>
          </w:p>
        </w:tc>
        <w:tc>
          <w:tcPr>
            <w:tcW w:w="1500" w:type="dxa"/>
            <w:noWrap/>
            <w:hideMark/>
          </w:tcPr>
          <w:p w14:paraId="6A5C8583"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25 059</w:t>
            </w:r>
          </w:p>
        </w:tc>
        <w:tc>
          <w:tcPr>
            <w:tcW w:w="1275" w:type="dxa"/>
            <w:noWrap/>
            <w:hideMark/>
          </w:tcPr>
          <w:p w14:paraId="7A7AD63E"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17 950</w:t>
            </w:r>
          </w:p>
        </w:tc>
        <w:tc>
          <w:tcPr>
            <w:tcW w:w="1134" w:type="dxa"/>
            <w:noWrap/>
            <w:hideMark/>
          </w:tcPr>
          <w:p w14:paraId="5579F8B1"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7 109</w:t>
            </w:r>
          </w:p>
        </w:tc>
        <w:tc>
          <w:tcPr>
            <w:tcW w:w="1134" w:type="dxa"/>
            <w:noWrap/>
            <w:hideMark/>
          </w:tcPr>
          <w:p w14:paraId="434674FE"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4 093</w:t>
            </w:r>
          </w:p>
        </w:tc>
        <w:tc>
          <w:tcPr>
            <w:tcW w:w="1460" w:type="dxa"/>
            <w:noWrap/>
            <w:hideMark/>
          </w:tcPr>
          <w:p w14:paraId="01031430" w14:textId="77777777" w:rsidR="0089748C" w:rsidRPr="00E3523C" w:rsidRDefault="0089748C" w:rsidP="004A4F6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10 029</w:t>
            </w:r>
          </w:p>
        </w:tc>
      </w:tr>
    </w:tbl>
    <w:p w14:paraId="5F908BC9" w14:textId="77777777" w:rsidR="0089748C" w:rsidRPr="00E3523C" w:rsidRDefault="0089748C" w:rsidP="0089748C">
      <w:pPr>
        <w:pStyle w:val="Descripcin"/>
        <w:spacing w:after="0"/>
        <w:ind w:left="708"/>
      </w:pPr>
      <w:r w:rsidRPr="00E3523C">
        <w:t xml:space="preserve">       Fuente: Elaboración propia</w:t>
      </w:r>
    </w:p>
    <w:p w14:paraId="474F9621" w14:textId="77777777" w:rsidR="0089748C" w:rsidRPr="00E3523C" w:rsidRDefault="0089748C" w:rsidP="0089748C">
      <w:pPr>
        <w:pStyle w:val="Descripcin"/>
        <w:spacing w:after="0"/>
        <w:ind w:left="708"/>
      </w:pPr>
      <w:r w:rsidRPr="00E3523C">
        <w:t xml:space="preserve">       * Datos acumulados </w:t>
      </w:r>
      <w:r>
        <w:t>a junio 2021</w:t>
      </w:r>
    </w:p>
    <w:p w14:paraId="533F5058" w14:textId="77777777" w:rsidR="0089748C" w:rsidRPr="00E00882" w:rsidRDefault="0089748C" w:rsidP="0089748C">
      <w:pPr>
        <w:ind w:left="708"/>
        <w:rPr>
          <w:i/>
          <w:color w:val="1F497D" w:themeColor="text2"/>
          <w:sz w:val="18"/>
          <w:szCs w:val="18"/>
        </w:rPr>
      </w:pPr>
      <w:r w:rsidRPr="00E3523C">
        <w:rPr>
          <w:i/>
          <w:iCs/>
          <w:color w:val="1F497D" w:themeColor="text2"/>
          <w:sz w:val="18"/>
          <w:szCs w:val="18"/>
        </w:rPr>
        <w:t xml:space="preserve">      ** Antes de impuestos y participaciones</w:t>
      </w:r>
    </w:p>
    <w:p w14:paraId="3EFA3070" w14:textId="77777777" w:rsidR="0089748C" w:rsidRPr="004B3BD2" w:rsidRDefault="0089748C" w:rsidP="0089748C">
      <w:pPr>
        <w:spacing w:after="0" w:line="240" w:lineRule="auto"/>
        <w:jc w:val="both"/>
        <w:rPr>
          <w:rFonts w:cstheme="minorHAnsi"/>
        </w:rPr>
      </w:pPr>
      <w:r w:rsidRPr="004B3BD2">
        <w:rPr>
          <w:rFonts w:cstheme="minorHAnsi"/>
        </w:rPr>
        <w:t>La rentabilidad sobre el patrimonio (ROE por sus siglas en inglés) se obtiene de dividir la utilidad neta de la empresa entre su patrimonio. Este es un indicador de eficiencia que se utiliza para evaluar la capacidad de generar beneficios de una empresa a partir de la inversión realizada por los accionistas. En el caso de las OPC, es importante considerar lo siguiente:</w:t>
      </w:r>
    </w:p>
    <w:p w14:paraId="1F2104D1" w14:textId="77777777" w:rsidR="0089748C" w:rsidRPr="004B3BD2" w:rsidRDefault="0089748C" w:rsidP="0089748C">
      <w:pPr>
        <w:spacing w:after="0" w:line="240" w:lineRule="auto"/>
        <w:jc w:val="both"/>
        <w:rPr>
          <w:rFonts w:cstheme="minorHAnsi"/>
        </w:rPr>
      </w:pPr>
    </w:p>
    <w:p w14:paraId="50C28E61" w14:textId="77777777" w:rsidR="0089748C" w:rsidRPr="004B3BD2" w:rsidRDefault="0089748C" w:rsidP="0089748C">
      <w:pPr>
        <w:pStyle w:val="Prrafodelista"/>
        <w:numPr>
          <w:ilvl w:val="0"/>
          <w:numId w:val="5"/>
        </w:numPr>
        <w:spacing w:after="0" w:line="240" w:lineRule="auto"/>
        <w:jc w:val="both"/>
        <w:rPr>
          <w:rFonts w:cstheme="minorHAnsi"/>
        </w:rPr>
      </w:pPr>
      <w:r w:rsidRPr="004B3BD2">
        <w:rPr>
          <w:rFonts w:cstheme="minorHAnsi"/>
        </w:rPr>
        <w:t>Las OPC gestionan una serie de productos, el ROP es únicamente uno de ellos. Al utilizarse las razones financieras totales para la entidad existen efectos combinados del resto de productos que pudieran confundir el entendimiento del fenómeno en análisis.</w:t>
      </w:r>
    </w:p>
    <w:p w14:paraId="52DD11E1" w14:textId="77777777" w:rsidR="0089748C" w:rsidRPr="004B3BD2" w:rsidRDefault="0089748C" w:rsidP="0089748C">
      <w:pPr>
        <w:pStyle w:val="Prrafodelista"/>
        <w:numPr>
          <w:ilvl w:val="0"/>
          <w:numId w:val="5"/>
        </w:numPr>
        <w:spacing w:after="0" w:line="240" w:lineRule="auto"/>
        <w:jc w:val="both"/>
        <w:rPr>
          <w:rFonts w:cstheme="minorHAnsi"/>
        </w:rPr>
      </w:pPr>
      <w:r w:rsidRPr="004B3BD2">
        <w:rPr>
          <w:rFonts w:cstheme="minorHAnsi"/>
        </w:rPr>
        <w:t xml:space="preserve">El patrimonio de las entidades corresponde a la combinación de dos variables: el Capital Regulatorio (en función de los requerimientos de capital asociados a los riesgos de la entidad) más el capital adicional que los socios desean aportar al negocio. Los registros contables observados, indican que los gestores mantienen un patrimonio superior al requerido. </w:t>
      </w:r>
    </w:p>
    <w:p w14:paraId="0603BB22" w14:textId="77777777" w:rsidR="0089748C" w:rsidRDefault="0089748C" w:rsidP="0089748C">
      <w:pPr>
        <w:pStyle w:val="Prrafodelista"/>
        <w:numPr>
          <w:ilvl w:val="0"/>
          <w:numId w:val="5"/>
        </w:numPr>
        <w:spacing w:after="0" w:line="240" w:lineRule="auto"/>
        <w:jc w:val="both"/>
        <w:rPr>
          <w:rFonts w:cstheme="minorHAnsi"/>
        </w:rPr>
      </w:pPr>
      <w:r w:rsidRPr="004B3BD2">
        <w:rPr>
          <w:rFonts w:cstheme="minorHAnsi"/>
        </w:rPr>
        <w:t>Para calcular el ROE, se considera la utilidad antes de distribución de utilidades</w:t>
      </w:r>
      <w:r>
        <w:rPr>
          <w:rFonts w:cstheme="minorHAnsi"/>
        </w:rPr>
        <w:t xml:space="preserve"> para la operadoras públicas</w:t>
      </w:r>
      <w:r w:rsidRPr="004B3BD2">
        <w:rPr>
          <w:rFonts w:cstheme="minorHAnsi"/>
        </w:rPr>
        <w:t xml:space="preserve"> e impuestos, la cual, además de incluir los resultados operacionales, también incluye los resultados financieros, es decir, los rendimientos de sus inversiones propias y capital mínimo de funcionamiento.</w:t>
      </w:r>
    </w:p>
    <w:p w14:paraId="582ECB63" w14:textId="77777777" w:rsidR="0089748C" w:rsidRDefault="0089748C" w:rsidP="0089748C">
      <w:pPr>
        <w:spacing w:after="0" w:line="240" w:lineRule="auto"/>
        <w:jc w:val="both"/>
        <w:rPr>
          <w:rFonts w:cstheme="minorHAnsi"/>
        </w:rPr>
      </w:pPr>
    </w:p>
    <w:p w14:paraId="163D6C1C" w14:textId="77777777" w:rsidR="0089748C" w:rsidRDefault="0089748C" w:rsidP="0089748C">
      <w:pPr>
        <w:pStyle w:val="Descripcin"/>
        <w:spacing w:after="0"/>
        <w:jc w:val="center"/>
      </w:pPr>
      <w:r w:rsidRPr="0016176E">
        <w:t xml:space="preserve">Tabla </w:t>
      </w:r>
      <w:r w:rsidRPr="0016176E">
        <w:fldChar w:fldCharType="begin"/>
      </w:r>
      <w:r w:rsidRPr="0016176E">
        <w:instrText xml:space="preserve"> SEQ Tabla \* ARABIC </w:instrText>
      </w:r>
      <w:r w:rsidRPr="0016176E">
        <w:fldChar w:fldCharType="separate"/>
      </w:r>
      <w:r>
        <w:rPr>
          <w:noProof/>
        </w:rPr>
        <w:t>5</w:t>
      </w:r>
      <w:r w:rsidRPr="0016176E">
        <w:fldChar w:fldCharType="end"/>
      </w:r>
      <w:r w:rsidRPr="0016176E">
        <w:t xml:space="preserve">: </w:t>
      </w:r>
      <w:r>
        <w:t>Rentabilidad sobre el patrimonio</w:t>
      </w:r>
    </w:p>
    <w:p w14:paraId="4D692B2A" w14:textId="77777777" w:rsidR="0089748C" w:rsidRDefault="0089748C" w:rsidP="0089748C">
      <w:pPr>
        <w:pStyle w:val="Descripcin"/>
        <w:spacing w:after="0"/>
        <w:jc w:val="center"/>
      </w:pPr>
      <w:r w:rsidRPr="00B74FAD">
        <w:t xml:space="preserve">Acumulado anual a </w:t>
      </w:r>
      <w:r>
        <w:t>junio de cada año</w:t>
      </w:r>
    </w:p>
    <w:tbl>
      <w:tblPr>
        <w:tblW w:w="0" w:type="auto"/>
        <w:jc w:val="center"/>
        <w:tblCellMar>
          <w:left w:w="70" w:type="dxa"/>
          <w:right w:w="70" w:type="dxa"/>
        </w:tblCellMar>
        <w:tblLook w:val="04A0" w:firstRow="1" w:lastRow="0" w:firstColumn="1" w:lastColumn="0" w:noHBand="0" w:noVBand="1"/>
      </w:tblPr>
      <w:tblGrid>
        <w:gridCol w:w="477"/>
        <w:gridCol w:w="1283"/>
        <w:gridCol w:w="922"/>
        <w:gridCol w:w="950"/>
        <w:gridCol w:w="938"/>
        <w:gridCol w:w="1305"/>
        <w:gridCol w:w="1146"/>
      </w:tblGrid>
      <w:tr w:rsidR="0089748C" w:rsidRPr="00874EC4" w14:paraId="36123A69" w14:textId="77777777" w:rsidTr="7B4F7EFE">
        <w:trPr>
          <w:trHeight w:val="182"/>
          <w:jc w:val="center"/>
        </w:trPr>
        <w:tc>
          <w:tcPr>
            <w:tcW w:w="0" w:type="auto"/>
            <w:tcBorders>
              <w:top w:val="single" w:sz="8" w:space="0" w:color="4F81BD" w:themeColor="accent1"/>
              <w:left w:val="single" w:sz="8" w:space="0" w:color="4F81BD" w:themeColor="accent1"/>
              <w:bottom w:val="single" w:sz="8" w:space="0" w:color="4F81BD" w:themeColor="accent1"/>
              <w:right w:val="nil"/>
            </w:tcBorders>
            <w:shd w:val="clear" w:color="auto" w:fill="4F81BD" w:themeFill="accent1"/>
            <w:noWrap/>
            <w:vAlign w:val="center"/>
            <w:hideMark/>
          </w:tcPr>
          <w:p w14:paraId="56A9BE8D"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Año</w:t>
            </w:r>
          </w:p>
        </w:tc>
        <w:tc>
          <w:tcPr>
            <w:tcW w:w="0" w:type="auto"/>
            <w:tcBorders>
              <w:top w:val="single" w:sz="8" w:space="0" w:color="4F81BD" w:themeColor="accent1"/>
              <w:left w:val="nil"/>
              <w:bottom w:val="single" w:sz="8" w:space="0" w:color="4F81BD" w:themeColor="accent1"/>
              <w:right w:val="nil"/>
            </w:tcBorders>
            <w:shd w:val="clear" w:color="auto" w:fill="4F81BD" w:themeFill="accent1"/>
            <w:noWrap/>
            <w:vAlign w:val="center"/>
            <w:hideMark/>
          </w:tcPr>
          <w:p w14:paraId="49000E53"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BCR-PENSION</w:t>
            </w:r>
          </w:p>
        </w:tc>
        <w:tc>
          <w:tcPr>
            <w:tcW w:w="0" w:type="auto"/>
            <w:tcBorders>
              <w:top w:val="single" w:sz="8" w:space="0" w:color="4F81BD" w:themeColor="accent1"/>
              <w:left w:val="nil"/>
              <w:bottom w:val="single" w:sz="8" w:space="0" w:color="4F81BD" w:themeColor="accent1"/>
              <w:right w:val="nil"/>
            </w:tcBorders>
            <w:shd w:val="clear" w:color="auto" w:fill="4F81BD" w:themeFill="accent1"/>
            <w:noWrap/>
            <w:vAlign w:val="center"/>
            <w:hideMark/>
          </w:tcPr>
          <w:p w14:paraId="22325D99"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BN-VITAL</w:t>
            </w:r>
          </w:p>
        </w:tc>
        <w:tc>
          <w:tcPr>
            <w:tcW w:w="0" w:type="auto"/>
            <w:tcBorders>
              <w:top w:val="single" w:sz="8" w:space="0" w:color="4F81BD" w:themeColor="accent1"/>
              <w:left w:val="nil"/>
              <w:bottom w:val="single" w:sz="8" w:space="0" w:color="4F81BD" w:themeColor="accent1"/>
              <w:right w:val="nil"/>
            </w:tcBorders>
            <w:shd w:val="clear" w:color="auto" w:fill="4F81BD" w:themeFill="accent1"/>
            <w:noWrap/>
            <w:vAlign w:val="center"/>
            <w:hideMark/>
          </w:tcPr>
          <w:p w14:paraId="013D6916"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CCSS-OPC</w:t>
            </w:r>
          </w:p>
        </w:tc>
        <w:tc>
          <w:tcPr>
            <w:tcW w:w="0" w:type="auto"/>
            <w:tcBorders>
              <w:top w:val="single" w:sz="8" w:space="0" w:color="4F81BD" w:themeColor="accent1"/>
              <w:left w:val="nil"/>
              <w:bottom w:val="single" w:sz="8" w:space="0" w:color="4F81BD" w:themeColor="accent1"/>
              <w:right w:val="nil"/>
            </w:tcBorders>
            <w:shd w:val="clear" w:color="auto" w:fill="4F81BD" w:themeFill="accent1"/>
            <w:noWrap/>
            <w:vAlign w:val="center"/>
            <w:hideMark/>
          </w:tcPr>
          <w:p w14:paraId="2BF534CE"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POPULAR</w:t>
            </w:r>
          </w:p>
        </w:tc>
        <w:tc>
          <w:tcPr>
            <w:tcW w:w="0" w:type="auto"/>
            <w:tcBorders>
              <w:top w:val="single" w:sz="8" w:space="0" w:color="4F81BD" w:themeColor="accent1"/>
              <w:left w:val="nil"/>
              <w:bottom w:val="single" w:sz="8" w:space="0" w:color="4F81BD" w:themeColor="accent1"/>
              <w:right w:val="nil"/>
            </w:tcBorders>
            <w:shd w:val="clear" w:color="auto" w:fill="4F81BD" w:themeFill="accent1"/>
            <w:noWrap/>
            <w:vAlign w:val="center"/>
            <w:hideMark/>
          </w:tcPr>
          <w:p w14:paraId="78F78512"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SJ-PENSIONES</w:t>
            </w:r>
          </w:p>
        </w:tc>
        <w:tc>
          <w:tcPr>
            <w:tcW w:w="0" w:type="auto"/>
            <w:tcBorders>
              <w:top w:val="single" w:sz="8" w:space="0" w:color="4F81BD" w:themeColor="accent1"/>
              <w:left w:val="nil"/>
              <w:bottom w:val="single" w:sz="8" w:space="0" w:color="4F81BD" w:themeColor="accent1"/>
              <w:right w:val="single" w:sz="8" w:space="0" w:color="4F81BD" w:themeColor="accent1"/>
            </w:tcBorders>
            <w:shd w:val="clear" w:color="auto" w:fill="4F81BD" w:themeFill="accent1"/>
            <w:noWrap/>
            <w:vAlign w:val="center"/>
            <w:hideMark/>
          </w:tcPr>
          <w:p w14:paraId="4AB8FEC2" w14:textId="77777777" w:rsidR="0089748C" w:rsidRPr="0096640B" w:rsidRDefault="0089748C" w:rsidP="004A4F6C">
            <w:pPr>
              <w:spacing w:after="0" w:line="240" w:lineRule="auto"/>
              <w:rPr>
                <w:rFonts w:ascii="Calibri" w:eastAsia="Times New Roman" w:hAnsi="Calibri" w:cs="Calibri"/>
                <w:b/>
                <w:bCs/>
                <w:color w:val="FFFFFF"/>
                <w:sz w:val="20"/>
                <w:szCs w:val="20"/>
                <w:lang w:val="es-CR" w:eastAsia="es-CR"/>
              </w:rPr>
            </w:pPr>
            <w:r w:rsidRPr="0096640B">
              <w:rPr>
                <w:rFonts w:ascii="Calibri" w:eastAsia="Times New Roman" w:hAnsi="Calibri" w:cs="Calibri"/>
                <w:b/>
                <w:bCs/>
                <w:color w:val="FFFFFF"/>
                <w:sz w:val="20"/>
                <w:szCs w:val="20"/>
                <w:lang w:val="es-CR" w:eastAsia="es-CR"/>
              </w:rPr>
              <w:t>VIDA PLENA</w:t>
            </w:r>
          </w:p>
        </w:tc>
      </w:tr>
      <w:tr w:rsidR="0089748C" w:rsidRPr="00874EC4" w14:paraId="14F76055" w14:textId="77777777" w:rsidTr="7B4F7EFE">
        <w:trPr>
          <w:trHeight w:val="57"/>
          <w:jc w:val="center"/>
        </w:trPr>
        <w:tc>
          <w:tcPr>
            <w:tcW w:w="0" w:type="auto"/>
            <w:tcBorders>
              <w:top w:val="nil"/>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noWrap/>
            <w:vAlign w:val="center"/>
            <w:hideMark/>
          </w:tcPr>
          <w:p w14:paraId="74579121" w14:textId="77777777" w:rsidR="0089748C" w:rsidRPr="0096640B" w:rsidRDefault="0089748C" w:rsidP="7B4F7EFE">
            <w:pPr>
              <w:spacing w:after="0" w:line="240" w:lineRule="auto"/>
              <w:jc w:val="center"/>
              <w:rPr>
                <w:rFonts w:ascii="Calibri" w:eastAsia="Times New Roman" w:hAnsi="Calibri" w:cs="Calibri"/>
                <w:color w:val="000000"/>
                <w:sz w:val="16"/>
                <w:szCs w:val="16"/>
                <w:lang w:val="es-CR" w:eastAsia="es-CR"/>
              </w:rPr>
            </w:pPr>
            <w:r w:rsidRPr="7B4F7EFE">
              <w:rPr>
                <w:rFonts w:ascii="Calibri" w:eastAsia="Times New Roman" w:hAnsi="Calibri" w:cs="Calibri"/>
                <w:color w:val="000000" w:themeColor="text1"/>
                <w:sz w:val="16"/>
                <w:szCs w:val="16"/>
                <w:lang w:val="es-CR" w:eastAsia="es-CR"/>
              </w:rPr>
              <w:t>2018</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5E6787A9"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46,8%</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44CC5528"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42,4%</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6DEBB58C"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12,7%</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06A0A9C8"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37,4%</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5C9E231D"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19,5%</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39B5F7FC"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16,0%</w:t>
            </w:r>
          </w:p>
        </w:tc>
      </w:tr>
      <w:tr w:rsidR="0089748C" w:rsidRPr="00874EC4" w14:paraId="6D162387" w14:textId="77777777" w:rsidTr="7B4F7EFE">
        <w:trPr>
          <w:trHeight w:val="187"/>
          <w:jc w:val="center"/>
        </w:trPr>
        <w:tc>
          <w:tcPr>
            <w:tcW w:w="0" w:type="auto"/>
            <w:tcBorders>
              <w:top w:val="nil"/>
              <w:left w:val="single" w:sz="8" w:space="0" w:color="95B3D7" w:themeColor="accent1" w:themeTint="99"/>
              <w:bottom w:val="single" w:sz="8" w:space="0" w:color="95B3D7" w:themeColor="accent1" w:themeTint="99"/>
              <w:right w:val="single" w:sz="8" w:space="0" w:color="95B3D7" w:themeColor="accent1" w:themeTint="99"/>
            </w:tcBorders>
            <w:shd w:val="clear" w:color="auto" w:fill="auto"/>
            <w:noWrap/>
            <w:vAlign w:val="center"/>
            <w:hideMark/>
          </w:tcPr>
          <w:p w14:paraId="713751ED" w14:textId="77777777" w:rsidR="0089748C" w:rsidRPr="0096640B" w:rsidRDefault="0089748C" w:rsidP="7B4F7EFE">
            <w:pPr>
              <w:spacing w:after="0" w:line="240" w:lineRule="auto"/>
              <w:jc w:val="center"/>
              <w:rPr>
                <w:rFonts w:ascii="Calibri" w:eastAsia="Times New Roman" w:hAnsi="Calibri" w:cs="Calibri"/>
                <w:color w:val="000000"/>
                <w:sz w:val="16"/>
                <w:szCs w:val="16"/>
                <w:lang w:val="es-CR" w:eastAsia="es-CR"/>
              </w:rPr>
            </w:pPr>
            <w:r w:rsidRPr="7B4F7EFE">
              <w:rPr>
                <w:rFonts w:ascii="Calibri" w:eastAsia="Times New Roman" w:hAnsi="Calibri" w:cs="Calibri"/>
                <w:color w:val="000000" w:themeColor="text1"/>
                <w:sz w:val="16"/>
                <w:szCs w:val="16"/>
                <w:lang w:val="es-CR" w:eastAsia="es-CR"/>
              </w:rPr>
              <w:t>2019</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724EE203"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51,1%</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5741831A"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50,5%</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074F5996"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9,4%</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0A2C7A81"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46,5%</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67646461"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14,1%</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116BBBF3"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10,6%</w:t>
            </w:r>
          </w:p>
        </w:tc>
      </w:tr>
      <w:tr w:rsidR="0089748C" w:rsidRPr="00874EC4" w14:paraId="4F7B2B95" w14:textId="77777777" w:rsidTr="7B4F7EFE">
        <w:trPr>
          <w:trHeight w:val="187"/>
          <w:jc w:val="center"/>
        </w:trPr>
        <w:tc>
          <w:tcPr>
            <w:tcW w:w="0" w:type="auto"/>
            <w:tcBorders>
              <w:top w:val="nil"/>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noWrap/>
            <w:vAlign w:val="center"/>
            <w:hideMark/>
          </w:tcPr>
          <w:p w14:paraId="055DF279" w14:textId="77777777" w:rsidR="0089748C" w:rsidRPr="0096640B" w:rsidRDefault="0089748C" w:rsidP="7B4F7EFE">
            <w:pPr>
              <w:spacing w:after="0" w:line="240" w:lineRule="auto"/>
              <w:jc w:val="center"/>
              <w:rPr>
                <w:rFonts w:ascii="Calibri" w:eastAsia="Times New Roman" w:hAnsi="Calibri" w:cs="Calibri"/>
                <w:color w:val="000000"/>
                <w:sz w:val="16"/>
                <w:szCs w:val="16"/>
                <w:lang w:val="es-CR" w:eastAsia="es-CR"/>
              </w:rPr>
            </w:pPr>
            <w:r w:rsidRPr="7B4F7EFE">
              <w:rPr>
                <w:rFonts w:ascii="Calibri" w:eastAsia="Times New Roman" w:hAnsi="Calibri" w:cs="Calibri"/>
                <w:color w:val="000000" w:themeColor="text1"/>
                <w:sz w:val="16"/>
                <w:szCs w:val="16"/>
                <w:lang w:val="es-CR" w:eastAsia="es-CR"/>
              </w:rPr>
              <w:t>2020</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002BCC53"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45,0%</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2B4A40C1"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41,6%</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5AA2F338"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3,7%</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3859A208"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30,6%</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61A9DBF4"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18,1%</w:t>
            </w:r>
          </w:p>
        </w:tc>
        <w:tc>
          <w:tcPr>
            <w:tcW w:w="0" w:type="auto"/>
            <w:tcBorders>
              <w:top w:val="nil"/>
              <w:left w:val="nil"/>
              <w:bottom w:val="single" w:sz="8" w:space="0" w:color="95B3D7" w:themeColor="accent1" w:themeTint="99"/>
              <w:right w:val="single" w:sz="8" w:space="0" w:color="95B3D7" w:themeColor="accent1" w:themeTint="99"/>
            </w:tcBorders>
            <w:shd w:val="clear" w:color="auto" w:fill="DBE5F1" w:themeFill="accent1" w:themeFillTint="33"/>
            <w:noWrap/>
            <w:hideMark/>
          </w:tcPr>
          <w:p w14:paraId="4C6811AE"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4,9%</w:t>
            </w:r>
          </w:p>
        </w:tc>
      </w:tr>
      <w:tr w:rsidR="0089748C" w:rsidRPr="00874EC4" w14:paraId="2EE02B4B" w14:textId="77777777" w:rsidTr="7B4F7EFE">
        <w:trPr>
          <w:trHeight w:val="187"/>
          <w:jc w:val="center"/>
        </w:trPr>
        <w:tc>
          <w:tcPr>
            <w:tcW w:w="0" w:type="auto"/>
            <w:tcBorders>
              <w:top w:val="nil"/>
              <w:left w:val="single" w:sz="8" w:space="0" w:color="95B3D7" w:themeColor="accent1" w:themeTint="99"/>
              <w:bottom w:val="single" w:sz="8" w:space="0" w:color="95B3D7" w:themeColor="accent1" w:themeTint="99"/>
              <w:right w:val="single" w:sz="8" w:space="0" w:color="95B3D7" w:themeColor="accent1" w:themeTint="99"/>
            </w:tcBorders>
            <w:shd w:val="clear" w:color="auto" w:fill="auto"/>
            <w:noWrap/>
            <w:vAlign w:val="center"/>
            <w:hideMark/>
          </w:tcPr>
          <w:p w14:paraId="4343D822" w14:textId="77777777" w:rsidR="0089748C" w:rsidRPr="0096640B" w:rsidRDefault="0089748C" w:rsidP="7B4F7EFE">
            <w:pPr>
              <w:spacing w:after="0" w:line="240" w:lineRule="auto"/>
              <w:jc w:val="center"/>
              <w:rPr>
                <w:rFonts w:ascii="Calibri" w:eastAsia="Times New Roman" w:hAnsi="Calibri" w:cs="Calibri"/>
                <w:color w:val="000000"/>
                <w:sz w:val="16"/>
                <w:szCs w:val="16"/>
                <w:lang w:val="es-CR" w:eastAsia="es-CR"/>
              </w:rPr>
            </w:pPr>
            <w:r w:rsidRPr="7B4F7EFE">
              <w:rPr>
                <w:rFonts w:ascii="Calibri" w:eastAsia="Times New Roman" w:hAnsi="Calibri" w:cs="Calibri"/>
                <w:color w:val="000000" w:themeColor="text1"/>
                <w:sz w:val="16"/>
                <w:szCs w:val="16"/>
                <w:lang w:val="es-CR" w:eastAsia="es-CR"/>
              </w:rPr>
              <w:t>2021</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1CC76480"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30,9%</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2867354E"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25,5%</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1A74AAA9"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8,7%</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08C3C727"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13,0%</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59BBC7A8"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10,2%</w:t>
            </w:r>
          </w:p>
        </w:tc>
        <w:tc>
          <w:tcPr>
            <w:tcW w:w="0" w:type="auto"/>
            <w:tcBorders>
              <w:top w:val="nil"/>
              <w:left w:val="nil"/>
              <w:bottom w:val="single" w:sz="8" w:space="0" w:color="95B3D7" w:themeColor="accent1" w:themeTint="99"/>
              <w:right w:val="single" w:sz="8" w:space="0" w:color="95B3D7" w:themeColor="accent1" w:themeTint="99"/>
            </w:tcBorders>
            <w:shd w:val="clear" w:color="auto" w:fill="auto"/>
            <w:noWrap/>
            <w:hideMark/>
          </w:tcPr>
          <w:p w14:paraId="13E7637B" w14:textId="77777777" w:rsidR="0089748C" w:rsidRPr="0096640B" w:rsidRDefault="0089748C" w:rsidP="004A4F6C">
            <w:pPr>
              <w:spacing w:after="0" w:line="240" w:lineRule="auto"/>
              <w:jc w:val="center"/>
              <w:rPr>
                <w:rFonts w:ascii="Calibri" w:eastAsia="Times New Roman" w:hAnsi="Calibri" w:cs="Calibri"/>
                <w:color w:val="000000"/>
                <w:sz w:val="20"/>
                <w:szCs w:val="20"/>
                <w:lang w:val="es-CR" w:eastAsia="es-CR"/>
              </w:rPr>
            </w:pPr>
            <w:r w:rsidRPr="00874EC4">
              <w:rPr>
                <w:sz w:val="20"/>
                <w:szCs w:val="20"/>
              </w:rPr>
              <w:t>3,4%</w:t>
            </w:r>
          </w:p>
        </w:tc>
      </w:tr>
    </w:tbl>
    <w:p w14:paraId="68E9AC44" w14:textId="77777777" w:rsidR="0089748C" w:rsidRDefault="0089748C" w:rsidP="0089748C">
      <w:pPr>
        <w:pStyle w:val="Descripcin"/>
        <w:spacing w:after="0"/>
        <w:ind w:left="708"/>
      </w:pPr>
      <w:r>
        <w:t xml:space="preserve">     Fuente: Elaboración propia</w:t>
      </w:r>
    </w:p>
    <w:p w14:paraId="6782AC9B" w14:textId="77777777" w:rsidR="0089748C" w:rsidRDefault="0089748C" w:rsidP="0089748C">
      <w:pPr>
        <w:spacing w:after="0" w:line="240" w:lineRule="auto"/>
        <w:jc w:val="both"/>
      </w:pPr>
    </w:p>
    <w:p w14:paraId="1B249279" w14:textId="77777777" w:rsidR="0089748C" w:rsidRDefault="0089748C" w:rsidP="0089748C">
      <w:pPr>
        <w:pStyle w:val="Ttulo2"/>
        <w:numPr>
          <w:ilvl w:val="1"/>
          <w:numId w:val="1"/>
        </w:numPr>
      </w:pPr>
      <w:bookmarkStart w:id="15" w:name="_Toc80290689"/>
      <w:r>
        <w:t>Efectos de la pandemia en el ROP</w:t>
      </w:r>
      <w:bookmarkEnd w:id="15"/>
    </w:p>
    <w:p w14:paraId="6513EF77" w14:textId="77777777" w:rsidR="0089748C" w:rsidRPr="0073025C" w:rsidRDefault="0089748C" w:rsidP="0089748C">
      <w:pPr>
        <w:spacing w:after="0" w:line="240" w:lineRule="auto"/>
        <w:jc w:val="both"/>
      </w:pPr>
    </w:p>
    <w:p w14:paraId="48D69B52" w14:textId="77777777" w:rsidR="0089748C" w:rsidRDefault="0089748C" w:rsidP="0089748C">
      <w:pPr>
        <w:spacing w:after="0" w:line="240" w:lineRule="auto"/>
        <w:jc w:val="both"/>
        <w:rPr>
          <w:rFonts w:cstheme="minorHAnsi"/>
        </w:rPr>
      </w:pPr>
      <w:r w:rsidRPr="0073025C">
        <w:rPr>
          <w:rFonts w:cstheme="minorHAnsi"/>
        </w:rPr>
        <w:t>Se analizaron los patrones de aportación para los trabajadores por ingreso y edad al ROP. Se presenta el análisis para trabajadores mayores de 44 años. En vista de patrones de aportación diferentes por nivel de ingreso, se realizó el ejercicio para ingresos bajos (salario mensual menor a 285 000) y los de ingresos medios (salarios mensuales entre 285 000 y 760 000). Para cada grupo se adiciona el resultado por edad. Los resultados se muestran en la siguiente tabla.</w:t>
      </w:r>
    </w:p>
    <w:p w14:paraId="6C1172A0" w14:textId="77777777" w:rsidR="0089748C" w:rsidRPr="0073025C" w:rsidRDefault="0089748C" w:rsidP="0089748C">
      <w:pPr>
        <w:spacing w:after="0" w:line="240" w:lineRule="auto"/>
        <w:jc w:val="both"/>
        <w:rPr>
          <w:rFonts w:cstheme="minorHAnsi"/>
        </w:rPr>
      </w:pPr>
    </w:p>
    <w:p w14:paraId="74675C28" w14:textId="77777777" w:rsidR="0089748C" w:rsidRDefault="0089748C" w:rsidP="0089748C">
      <w:pPr>
        <w:pStyle w:val="Descripcin"/>
        <w:spacing w:after="0"/>
        <w:jc w:val="center"/>
      </w:pPr>
      <w:r w:rsidRPr="0016176E">
        <w:t xml:space="preserve">Tabla </w:t>
      </w:r>
      <w:r w:rsidRPr="0016176E">
        <w:fldChar w:fldCharType="begin"/>
      </w:r>
      <w:r w:rsidRPr="0016176E">
        <w:instrText xml:space="preserve"> SEQ Tabla \* ARABIC </w:instrText>
      </w:r>
      <w:r w:rsidRPr="0016176E">
        <w:fldChar w:fldCharType="separate"/>
      </w:r>
      <w:r>
        <w:rPr>
          <w:noProof/>
        </w:rPr>
        <w:t>6</w:t>
      </w:r>
      <w:r w:rsidRPr="0016176E">
        <w:fldChar w:fldCharType="end"/>
      </w:r>
      <w:r w:rsidRPr="0016176E">
        <w:t xml:space="preserve">: </w:t>
      </w:r>
      <w:r>
        <w:t>ROP, Densidad de cotización</w:t>
      </w:r>
    </w:p>
    <w:p w14:paraId="3C476A6F" w14:textId="77777777" w:rsidR="0089748C" w:rsidRDefault="0089748C" w:rsidP="0089748C">
      <w:pPr>
        <w:pStyle w:val="Descripcin"/>
        <w:spacing w:after="0"/>
        <w:jc w:val="center"/>
      </w:pPr>
      <w:r>
        <w:t>Por edad y por ingresos</w:t>
      </w:r>
    </w:p>
    <w:tbl>
      <w:tblPr>
        <w:tblW w:w="7545" w:type="dxa"/>
        <w:jc w:val="center"/>
        <w:tblCellMar>
          <w:left w:w="0" w:type="dxa"/>
          <w:right w:w="0" w:type="dxa"/>
        </w:tblCellMar>
        <w:tblLook w:val="0600" w:firstRow="0" w:lastRow="0" w:firstColumn="0" w:lastColumn="0" w:noHBand="1" w:noVBand="1"/>
      </w:tblPr>
      <w:tblGrid>
        <w:gridCol w:w="837"/>
        <w:gridCol w:w="557"/>
        <w:gridCol w:w="557"/>
        <w:gridCol w:w="557"/>
        <w:gridCol w:w="557"/>
        <w:gridCol w:w="730"/>
        <w:gridCol w:w="467"/>
        <w:gridCol w:w="618"/>
        <w:gridCol w:w="557"/>
        <w:gridCol w:w="696"/>
        <w:gridCol w:w="697"/>
        <w:gridCol w:w="715"/>
      </w:tblGrid>
      <w:tr w:rsidR="0089748C" w:rsidRPr="00C94807" w14:paraId="4AAE80BD" w14:textId="77777777" w:rsidTr="004A4F6C">
        <w:trPr>
          <w:trHeight w:val="254"/>
          <w:jc w:val="center"/>
        </w:trPr>
        <w:tc>
          <w:tcPr>
            <w:tcW w:w="837" w:type="dxa"/>
            <w:vMerge w:val="restart"/>
            <w:tcBorders>
              <w:top w:val="single" w:sz="4" w:space="0" w:color="4F81BD" w:themeColor="accent1"/>
              <w:left w:val="nil"/>
              <w:bottom w:val="single" w:sz="4" w:space="0" w:color="000000"/>
              <w:right w:val="nil"/>
            </w:tcBorders>
            <w:shd w:val="clear" w:color="auto" w:fill="auto"/>
            <w:tcMar>
              <w:top w:w="15" w:type="dxa"/>
              <w:left w:w="15" w:type="dxa"/>
              <w:bottom w:w="0" w:type="dxa"/>
              <w:right w:w="15" w:type="dxa"/>
            </w:tcMar>
            <w:vAlign w:val="center"/>
            <w:hideMark/>
          </w:tcPr>
          <w:p w14:paraId="1ACB0090" w14:textId="77777777" w:rsidR="0089748C" w:rsidRPr="00C94807" w:rsidRDefault="0089748C" w:rsidP="004A4F6C">
            <w:pPr>
              <w:spacing w:after="0" w:line="240" w:lineRule="auto"/>
              <w:jc w:val="center"/>
              <w:textAlignment w:val="center"/>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Edad</w:t>
            </w:r>
          </w:p>
        </w:tc>
        <w:tc>
          <w:tcPr>
            <w:tcW w:w="2958" w:type="dxa"/>
            <w:gridSpan w:val="5"/>
            <w:tcBorders>
              <w:top w:val="single" w:sz="4" w:space="0" w:color="4F81BD" w:themeColor="accent1"/>
              <w:left w:val="nil"/>
              <w:bottom w:val="nil"/>
              <w:right w:val="nil"/>
            </w:tcBorders>
            <w:shd w:val="clear" w:color="auto" w:fill="auto"/>
            <w:tcMar>
              <w:top w:w="15" w:type="dxa"/>
              <w:left w:w="15" w:type="dxa"/>
              <w:bottom w:w="0" w:type="dxa"/>
              <w:right w:w="15" w:type="dxa"/>
            </w:tcMar>
            <w:vAlign w:val="bottom"/>
            <w:hideMark/>
          </w:tcPr>
          <w:p w14:paraId="78E15EC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Ingresos Bajos</w:t>
            </w:r>
          </w:p>
        </w:tc>
        <w:tc>
          <w:tcPr>
            <w:tcW w:w="467" w:type="dxa"/>
            <w:tcBorders>
              <w:top w:val="single" w:sz="4" w:space="0" w:color="4F81BD" w:themeColor="accent1"/>
              <w:left w:val="nil"/>
              <w:bottom w:val="nil"/>
              <w:right w:val="nil"/>
            </w:tcBorders>
            <w:shd w:val="clear" w:color="auto" w:fill="auto"/>
            <w:tcMar>
              <w:top w:w="15" w:type="dxa"/>
              <w:left w:w="15" w:type="dxa"/>
              <w:bottom w:w="0" w:type="dxa"/>
              <w:right w:w="15" w:type="dxa"/>
            </w:tcMar>
            <w:vAlign w:val="bottom"/>
            <w:hideMark/>
          </w:tcPr>
          <w:p w14:paraId="78FE5A59" w14:textId="77777777" w:rsidR="0089748C" w:rsidRPr="00C94807" w:rsidRDefault="0089748C" w:rsidP="004A4F6C">
            <w:pPr>
              <w:spacing w:after="0" w:line="240" w:lineRule="auto"/>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 </w:t>
            </w:r>
          </w:p>
        </w:tc>
        <w:tc>
          <w:tcPr>
            <w:tcW w:w="3283" w:type="dxa"/>
            <w:gridSpan w:val="5"/>
            <w:tcBorders>
              <w:top w:val="single" w:sz="4" w:space="0" w:color="4F81BD" w:themeColor="accent1"/>
              <w:left w:val="nil"/>
              <w:bottom w:val="nil"/>
              <w:right w:val="nil"/>
            </w:tcBorders>
            <w:shd w:val="clear" w:color="auto" w:fill="auto"/>
            <w:tcMar>
              <w:top w:w="15" w:type="dxa"/>
              <w:left w:w="15" w:type="dxa"/>
              <w:bottom w:w="0" w:type="dxa"/>
              <w:right w:w="15" w:type="dxa"/>
            </w:tcMar>
            <w:vAlign w:val="bottom"/>
            <w:hideMark/>
          </w:tcPr>
          <w:p w14:paraId="50DD08F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Ingresos Medios</w:t>
            </w:r>
          </w:p>
        </w:tc>
      </w:tr>
      <w:tr w:rsidR="0089748C" w:rsidRPr="00C94807" w14:paraId="30C0E746" w14:textId="77777777" w:rsidTr="004A4F6C">
        <w:trPr>
          <w:trHeight w:val="254"/>
          <w:jc w:val="center"/>
        </w:trPr>
        <w:tc>
          <w:tcPr>
            <w:tcW w:w="837" w:type="dxa"/>
            <w:vMerge/>
            <w:tcBorders>
              <w:top w:val="single" w:sz="4" w:space="0" w:color="000000"/>
              <w:left w:val="nil"/>
              <w:bottom w:val="single" w:sz="4" w:space="0" w:color="4F81BD" w:themeColor="accent1"/>
              <w:right w:val="nil"/>
            </w:tcBorders>
            <w:vAlign w:val="center"/>
            <w:hideMark/>
          </w:tcPr>
          <w:p w14:paraId="238DC0A8" w14:textId="77777777" w:rsidR="0089748C" w:rsidRPr="00C94807" w:rsidRDefault="0089748C" w:rsidP="004A4F6C">
            <w:pPr>
              <w:spacing w:after="0" w:line="240" w:lineRule="auto"/>
              <w:rPr>
                <w:rFonts w:eastAsia="Times New Roman" w:cstheme="minorHAnsi"/>
                <w:sz w:val="20"/>
                <w:szCs w:val="20"/>
                <w:lang w:val="es-CR" w:eastAsia="es-CR"/>
              </w:rPr>
            </w:pPr>
          </w:p>
        </w:tc>
        <w:tc>
          <w:tcPr>
            <w:tcW w:w="55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1024B96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2016</w:t>
            </w:r>
          </w:p>
        </w:tc>
        <w:tc>
          <w:tcPr>
            <w:tcW w:w="55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6BE8C1F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2017</w:t>
            </w:r>
          </w:p>
        </w:tc>
        <w:tc>
          <w:tcPr>
            <w:tcW w:w="55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5B65E0A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2018</w:t>
            </w:r>
          </w:p>
        </w:tc>
        <w:tc>
          <w:tcPr>
            <w:tcW w:w="55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6E67F18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2019</w:t>
            </w:r>
          </w:p>
        </w:tc>
        <w:tc>
          <w:tcPr>
            <w:tcW w:w="729"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24A9D53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2020</w:t>
            </w:r>
          </w:p>
        </w:tc>
        <w:tc>
          <w:tcPr>
            <w:tcW w:w="46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2265343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p>
        </w:tc>
        <w:tc>
          <w:tcPr>
            <w:tcW w:w="618"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1F8FD86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2016</w:t>
            </w:r>
          </w:p>
        </w:tc>
        <w:tc>
          <w:tcPr>
            <w:tcW w:w="55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6C6E8FE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2017</w:t>
            </w:r>
          </w:p>
        </w:tc>
        <w:tc>
          <w:tcPr>
            <w:tcW w:w="696"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6893ADF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2018</w:t>
            </w:r>
          </w:p>
        </w:tc>
        <w:tc>
          <w:tcPr>
            <w:tcW w:w="69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0485D22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2019</w:t>
            </w:r>
          </w:p>
        </w:tc>
        <w:tc>
          <w:tcPr>
            <w:tcW w:w="714"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1CDBA11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2020</w:t>
            </w:r>
          </w:p>
        </w:tc>
      </w:tr>
      <w:tr w:rsidR="0089748C" w:rsidRPr="00C94807" w14:paraId="6803DED8" w14:textId="77777777" w:rsidTr="004A4F6C">
        <w:trPr>
          <w:trHeight w:val="254"/>
          <w:jc w:val="center"/>
        </w:trPr>
        <w:tc>
          <w:tcPr>
            <w:tcW w:w="837" w:type="dxa"/>
            <w:tcBorders>
              <w:top w:val="single" w:sz="4" w:space="0" w:color="4F81BD" w:themeColor="accent1"/>
              <w:left w:val="nil"/>
              <w:bottom w:val="nil"/>
              <w:right w:val="nil"/>
            </w:tcBorders>
            <w:shd w:val="clear" w:color="auto" w:fill="auto"/>
            <w:tcMar>
              <w:top w:w="15" w:type="dxa"/>
              <w:left w:w="15" w:type="dxa"/>
              <w:bottom w:w="0" w:type="dxa"/>
              <w:right w:w="15" w:type="dxa"/>
            </w:tcMar>
            <w:vAlign w:val="bottom"/>
            <w:hideMark/>
          </w:tcPr>
          <w:p w14:paraId="7375271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45</w:t>
            </w:r>
          </w:p>
        </w:tc>
        <w:tc>
          <w:tcPr>
            <w:tcW w:w="557" w:type="dxa"/>
            <w:tcBorders>
              <w:top w:val="single" w:sz="4" w:space="0" w:color="4F81BD" w:themeColor="accent1"/>
              <w:left w:val="nil"/>
              <w:bottom w:val="nil"/>
              <w:right w:val="nil"/>
            </w:tcBorders>
            <w:shd w:val="clear" w:color="auto" w:fill="FDCF7E"/>
            <w:tcMar>
              <w:top w:w="15" w:type="dxa"/>
              <w:left w:w="15" w:type="dxa"/>
              <w:bottom w:w="0" w:type="dxa"/>
              <w:right w:w="15" w:type="dxa"/>
            </w:tcMar>
            <w:vAlign w:val="bottom"/>
            <w:hideMark/>
          </w:tcPr>
          <w:p w14:paraId="7068B1A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8,3</w:t>
            </w:r>
          </w:p>
        </w:tc>
        <w:tc>
          <w:tcPr>
            <w:tcW w:w="557" w:type="dxa"/>
            <w:tcBorders>
              <w:top w:val="single" w:sz="4" w:space="0" w:color="4F81BD" w:themeColor="accent1"/>
              <w:left w:val="nil"/>
              <w:bottom w:val="nil"/>
              <w:right w:val="nil"/>
            </w:tcBorders>
            <w:shd w:val="clear" w:color="auto" w:fill="FBA476"/>
            <w:tcMar>
              <w:top w:w="15" w:type="dxa"/>
              <w:left w:w="15" w:type="dxa"/>
              <w:bottom w:w="0" w:type="dxa"/>
              <w:right w:w="15" w:type="dxa"/>
            </w:tcMar>
            <w:vAlign w:val="bottom"/>
            <w:hideMark/>
          </w:tcPr>
          <w:p w14:paraId="7B755FC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7,0</w:t>
            </w:r>
          </w:p>
        </w:tc>
        <w:tc>
          <w:tcPr>
            <w:tcW w:w="557" w:type="dxa"/>
            <w:tcBorders>
              <w:top w:val="single" w:sz="4" w:space="0" w:color="4F81BD" w:themeColor="accent1"/>
              <w:left w:val="nil"/>
              <w:bottom w:val="nil"/>
              <w:right w:val="nil"/>
            </w:tcBorders>
            <w:shd w:val="clear" w:color="auto" w:fill="FCB479"/>
            <w:tcMar>
              <w:top w:w="15" w:type="dxa"/>
              <w:left w:w="15" w:type="dxa"/>
              <w:bottom w:w="0" w:type="dxa"/>
              <w:right w:w="15" w:type="dxa"/>
            </w:tcMar>
            <w:vAlign w:val="bottom"/>
            <w:hideMark/>
          </w:tcPr>
          <w:p w14:paraId="60E9954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single" w:sz="4" w:space="0" w:color="4F81BD" w:themeColor="accent1"/>
              <w:left w:val="nil"/>
              <w:bottom w:val="nil"/>
              <w:right w:val="nil"/>
            </w:tcBorders>
            <w:shd w:val="clear" w:color="auto" w:fill="FEDA80"/>
            <w:tcMar>
              <w:top w:w="15" w:type="dxa"/>
              <w:left w:w="15" w:type="dxa"/>
              <w:bottom w:w="0" w:type="dxa"/>
              <w:right w:w="15" w:type="dxa"/>
            </w:tcMar>
            <w:vAlign w:val="bottom"/>
            <w:hideMark/>
          </w:tcPr>
          <w:p w14:paraId="7C1112E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c>
          <w:tcPr>
            <w:tcW w:w="729" w:type="dxa"/>
            <w:tcBorders>
              <w:top w:val="single" w:sz="4" w:space="0" w:color="4F81BD" w:themeColor="accent1"/>
              <w:left w:val="nil"/>
              <w:bottom w:val="nil"/>
              <w:right w:val="nil"/>
            </w:tcBorders>
            <w:shd w:val="clear" w:color="auto" w:fill="F8696B"/>
            <w:tcMar>
              <w:top w:w="15" w:type="dxa"/>
              <w:left w:w="15" w:type="dxa"/>
              <w:bottom w:w="0" w:type="dxa"/>
              <w:right w:w="15" w:type="dxa"/>
            </w:tcMar>
            <w:vAlign w:val="bottom"/>
            <w:hideMark/>
          </w:tcPr>
          <w:p w14:paraId="360FB5D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5,2</w:t>
            </w:r>
          </w:p>
        </w:tc>
        <w:tc>
          <w:tcPr>
            <w:tcW w:w="467" w:type="dxa"/>
            <w:tcBorders>
              <w:top w:val="single" w:sz="4" w:space="0" w:color="4F81BD" w:themeColor="accent1"/>
              <w:left w:val="nil"/>
              <w:bottom w:val="nil"/>
              <w:right w:val="nil"/>
            </w:tcBorders>
            <w:shd w:val="clear" w:color="auto" w:fill="auto"/>
            <w:tcMar>
              <w:top w:w="15" w:type="dxa"/>
              <w:left w:w="15" w:type="dxa"/>
              <w:bottom w:w="0" w:type="dxa"/>
              <w:right w:w="15" w:type="dxa"/>
            </w:tcMar>
            <w:vAlign w:val="bottom"/>
            <w:hideMark/>
          </w:tcPr>
          <w:p w14:paraId="13BEAA88"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single" w:sz="4" w:space="0" w:color="4F81BD" w:themeColor="accent1"/>
              <w:left w:val="nil"/>
              <w:bottom w:val="nil"/>
              <w:right w:val="nil"/>
            </w:tcBorders>
            <w:shd w:val="clear" w:color="auto" w:fill="6DC17C"/>
            <w:tcMar>
              <w:top w:w="15" w:type="dxa"/>
              <w:left w:w="15" w:type="dxa"/>
              <w:bottom w:w="0" w:type="dxa"/>
              <w:right w:w="15" w:type="dxa"/>
            </w:tcMar>
            <w:vAlign w:val="bottom"/>
            <w:hideMark/>
          </w:tcPr>
          <w:p w14:paraId="14A0DF3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11,8</w:t>
            </w:r>
          </w:p>
        </w:tc>
        <w:tc>
          <w:tcPr>
            <w:tcW w:w="557" w:type="dxa"/>
            <w:tcBorders>
              <w:top w:val="single" w:sz="4" w:space="0" w:color="4F81BD" w:themeColor="accent1"/>
              <w:left w:val="nil"/>
              <w:bottom w:val="nil"/>
              <w:right w:val="nil"/>
            </w:tcBorders>
            <w:shd w:val="clear" w:color="auto" w:fill="63BE7B"/>
            <w:tcMar>
              <w:top w:w="15" w:type="dxa"/>
              <w:left w:w="15" w:type="dxa"/>
              <w:bottom w:w="0" w:type="dxa"/>
              <w:right w:w="15" w:type="dxa"/>
            </w:tcMar>
            <w:vAlign w:val="bottom"/>
            <w:hideMark/>
          </w:tcPr>
          <w:p w14:paraId="7A9F7F6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single" w:sz="4" w:space="0" w:color="4F81BD" w:themeColor="accent1"/>
              <w:left w:val="nil"/>
              <w:bottom w:val="nil"/>
              <w:right w:val="nil"/>
            </w:tcBorders>
            <w:shd w:val="clear" w:color="auto" w:fill="6DC17C"/>
            <w:tcMar>
              <w:top w:w="15" w:type="dxa"/>
              <w:left w:w="15" w:type="dxa"/>
              <w:bottom w:w="0" w:type="dxa"/>
              <w:right w:w="15" w:type="dxa"/>
            </w:tcMar>
            <w:vAlign w:val="bottom"/>
            <w:hideMark/>
          </w:tcPr>
          <w:p w14:paraId="53E8082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11,8</w:t>
            </w:r>
          </w:p>
        </w:tc>
        <w:tc>
          <w:tcPr>
            <w:tcW w:w="697" w:type="dxa"/>
            <w:tcBorders>
              <w:top w:val="single" w:sz="4" w:space="0" w:color="4F81BD" w:themeColor="accent1"/>
              <w:left w:val="nil"/>
              <w:bottom w:val="nil"/>
              <w:right w:val="nil"/>
            </w:tcBorders>
            <w:shd w:val="clear" w:color="auto" w:fill="A4D17F"/>
            <w:tcMar>
              <w:top w:w="15" w:type="dxa"/>
              <w:left w:w="15" w:type="dxa"/>
              <w:bottom w:w="0" w:type="dxa"/>
              <w:right w:w="15" w:type="dxa"/>
            </w:tcMar>
            <w:vAlign w:val="bottom"/>
            <w:hideMark/>
          </w:tcPr>
          <w:p w14:paraId="078EC48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10,8</w:t>
            </w:r>
          </w:p>
        </w:tc>
        <w:tc>
          <w:tcPr>
            <w:tcW w:w="714" w:type="dxa"/>
            <w:tcBorders>
              <w:top w:val="single" w:sz="4" w:space="0" w:color="4F81BD" w:themeColor="accent1"/>
              <w:left w:val="nil"/>
              <w:bottom w:val="nil"/>
              <w:right w:val="nil"/>
            </w:tcBorders>
            <w:shd w:val="clear" w:color="auto" w:fill="B6D680"/>
            <w:tcMar>
              <w:top w:w="15" w:type="dxa"/>
              <w:left w:w="15" w:type="dxa"/>
              <w:bottom w:w="0" w:type="dxa"/>
              <w:right w:w="15" w:type="dxa"/>
            </w:tcMar>
            <w:vAlign w:val="bottom"/>
            <w:hideMark/>
          </w:tcPr>
          <w:p w14:paraId="0B160D2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10,5</w:t>
            </w:r>
          </w:p>
        </w:tc>
      </w:tr>
      <w:tr w:rsidR="0089748C" w:rsidRPr="00C94807" w14:paraId="1BF5388F"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7788F57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46</w:t>
            </w:r>
          </w:p>
        </w:tc>
        <w:tc>
          <w:tcPr>
            <w:tcW w:w="557" w:type="dxa"/>
            <w:tcBorders>
              <w:top w:val="nil"/>
              <w:left w:val="nil"/>
              <w:bottom w:val="nil"/>
              <w:right w:val="nil"/>
            </w:tcBorders>
            <w:shd w:val="clear" w:color="auto" w:fill="FBAF78"/>
            <w:tcMar>
              <w:top w:w="15" w:type="dxa"/>
              <w:left w:w="15" w:type="dxa"/>
              <w:bottom w:w="0" w:type="dxa"/>
              <w:right w:w="15" w:type="dxa"/>
            </w:tcMar>
            <w:vAlign w:val="bottom"/>
            <w:hideMark/>
          </w:tcPr>
          <w:p w14:paraId="5C3D866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7,3</w:t>
            </w:r>
          </w:p>
        </w:tc>
        <w:tc>
          <w:tcPr>
            <w:tcW w:w="557" w:type="dxa"/>
            <w:tcBorders>
              <w:top w:val="nil"/>
              <w:left w:val="nil"/>
              <w:bottom w:val="nil"/>
              <w:right w:val="nil"/>
            </w:tcBorders>
            <w:shd w:val="clear" w:color="auto" w:fill="F8796E"/>
            <w:tcMar>
              <w:top w:w="15" w:type="dxa"/>
              <w:left w:w="15" w:type="dxa"/>
              <w:bottom w:w="0" w:type="dxa"/>
              <w:right w:w="15" w:type="dxa"/>
            </w:tcMar>
            <w:vAlign w:val="bottom"/>
            <w:hideMark/>
          </w:tcPr>
          <w:p w14:paraId="3F5A3C3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5,7</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03C3F9A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104DF51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729" w:type="dxa"/>
            <w:tcBorders>
              <w:top w:val="nil"/>
              <w:left w:val="nil"/>
              <w:bottom w:val="nil"/>
              <w:right w:val="nil"/>
            </w:tcBorders>
            <w:shd w:val="clear" w:color="auto" w:fill="FA9974"/>
            <w:tcMar>
              <w:top w:w="15" w:type="dxa"/>
              <w:left w:w="15" w:type="dxa"/>
              <w:bottom w:w="0" w:type="dxa"/>
              <w:right w:w="15" w:type="dxa"/>
            </w:tcMar>
            <w:vAlign w:val="bottom"/>
            <w:hideMark/>
          </w:tcPr>
          <w:p w14:paraId="19C0DA7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6,7</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1688B50F"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1596C70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545E5BC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42F4451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76C47D"/>
            <w:tcMar>
              <w:top w:w="15" w:type="dxa"/>
              <w:left w:w="15" w:type="dxa"/>
              <w:bottom w:w="0" w:type="dxa"/>
              <w:right w:w="15" w:type="dxa"/>
            </w:tcMar>
            <w:vAlign w:val="bottom"/>
            <w:hideMark/>
          </w:tcPr>
          <w:p w14:paraId="300ACAF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11,7</w:t>
            </w:r>
          </w:p>
        </w:tc>
        <w:tc>
          <w:tcPr>
            <w:tcW w:w="714" w:type="dxa"/>
            <w:tcBorders>
              <w:top w:val="nil"/>
              <w:left w:val="nil"/>
              <w:bottom w:val="nil"/>
              <w:right w:val="nil"/>
            </w:tcBorders>
            <w:shd w:val="clear" w:color="auto" w:fill="FEE582"/>
            <w:tcMar>
              <w:top w:w="15" w:type="dxa"/>
              <w:left w:w="15" w:type="dxa"/>
              <w:bottom w:w="0" w:type="dxa"/>
              <w:right w:w="15" w:type="dxa"/>
            </w:tcMar>
            <w:vAlign w:val="bottom"/>
            <w:hideMark/>
          </w:tcPr>
          <w:p w14:paraId="2918154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9,0</w:t>
            </w:r>
          </w:p>
        </w:tc>
      </w:tr>
      <w:tr w:rsidR="0089748C" w:rsidRPr="00C94807" w14:paraId="40B43F42"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298791C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47</w:t>
            </w:r>
          </w:p>
        </w:tc>
        <w:tc>
          <w:tcPr>
            <w:tcW w:w="557" w:type="dxa"/>
            <w:tcBorders>
              <w:top w:val="nil"/>
              <w:left w:val="nil"/>
              <w:bottom w:val="nil"/>
              <w:right w:val="nil"/>
            </w:tcBorders>
            <w:shd w:val="clear" w:color="auto" w:fill="FEDA80"/>
            <w:tcMar>
              <w:top w:w="15" w:type="dxa"/>
              <w:left w:w="15" w:type="dxa"/>
              <w:bottom w:w="0" w:type="dxa"/>
              <w:right w:w="15" w:type="dxa"/>
            </w:tcMar>
            <w:vAlign w:val="bottom"/>
            <w:hideMark/>
          </w:tcPr>
          <w:p w14:paraId="50F0523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2E8FCAE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5D6894A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101AB69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729" w:type="dxa"/>
            <w:tcBorders>
              <w:top w:val="nil"/>
              <w:left w:val="nil"/>
              <w:bottom w:val="nil"/>
              <w:right w:val="nil"/>
            </w:tcBorders>
            <w:shd w:val="clear" w:color="auto" w:fill="FA9473"/>
            <w:tcMar>
              <w:top w:w="15" w:type="dxa"/>
              <w:left w:w="15" w:type="dxa"/>
              <w:bottom w:w="0" w:type="dxa"/>
              <w:right w:w="15" w:type="dxa"/>
            </w:tcMar>
            <w:vAlign w:val="bottom"/>
            <w:hideMark/>
          </w:tcPr>
          <w:p w14:paraId="6BDC5B8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6,5</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7FAF6616"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06EC4E8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328C961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DC17C"/>
            <w:tcMar>
              <w:top w:w="15" w:type="dxa"/>
              <w:left w:w="15" w:type="dxa"/>
              <w:bottom w:w="0" w:type="dxa"/>
              <w:right w:w="15" w:type="dxa"/>
            </w:tcMar>
            <w:vAlign w:val="bottom"/>
            <w:hideMark/>
          </w:tcPr>
          <w:p w14:paraId="5666A10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11,8</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3A3D98D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B6D680"/>
            <w:tcMar>
              <w:top w:w="15" w:type="dxa"/>
              <w:left w:w="15" w:type="dxa"/>
              <w:bottom w:w="0" w:type="dxa"/>
              <w:right w:w="15" w:type="dxa"/>
            </w:tcMar>
            <w:vAlign w:val="bottom"/>
            <w:hideMark/>
          </w:tcPr>
          <w:p w14:paraId="681D222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10,5</w:t>
            </w:r>
          </w:p>
        </w:tc>
      </w:tr>
      <w:tr w:rsidR="0089748C" w:rsidRPr="00C94807" w14:paraId="0CC75261"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5DEBA1F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48</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33B061A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EE582"/>
            <w:tcMar>
              <w:top w:w="15" w:type="dxa"/>
              <w:left w:w="15" w:type="dxa"/>
              <w:bottom w:w="0" w:type="dxa"/>
              <w:right w:w="15" w:type="dxa"/>
            </w:tcMar>
            <w:vAlign w:val="bottom"/>
            <w:hideMark/>
          </w:tcPr>
          <w:p w14:paraId="109F525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9,0</w:t>
            </w:r>
          </w:p>
        </w:tc>
        <w:tc>
          <w:tcPr>
            <w:tcW w:w="557" w:type="dxa"/>
            <w:tcBorders>
              <w:top w:val="nil"/>
              <w:left w:val="nil"/>
              <w:bottom w:val="nil"/>
              <w:right w:val="nil"/>
            </w:tcBorders>
            <w:shd w:val="clear" w:color="auto" w:fill="F86E6C"/>
            <w:tcMar>
              <w:top w:w="15" w:type="dxa"/>
              <w:left w:w="15" w:type="dxa"/>
              <w:bottom w:w="0" w:type="dxa"/>
              <w:right w:w="15" w:type="dxa"/>
            </w:tcMar>
            <w:vAlign w:val="bottom"/>
            <w:hideMark/>
          </w:tcPr>
          <w:p w14:paraId="4B265AB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5,3</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19734ED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729" w:type="dxa"/>
            <w:tcBorders>
              <w:top w:val="nil"/>
              <w:left w:val="nil"/>
              <w:bottom w:val="nil"/>
              <w:right w:val="nil"/>
            </w:tcBorders>
            <w:shd w:val="clear" w:color="auto" w:fill="F8796E"/>
            <w:tcMar>
              <w:top w:w="15" w:type="dxa"/>
              <w:left w:w="15" w:type="dxa"/>
              <w:bottom w:w="0" w:type="dxa"/>
              <w:right w:w="15" w:type="dxa"/>
            </w:tcMar>
            <w:vAlign w:val="bottom"/>
            <w:hideMark/>
          </w:tcPr>
          <w:p w14:paraId="77A53E1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5,7</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194BCEFA"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88C97E"/>
            <w:tcMar>
              <w:top w:w="15" w:type="dxa"/>
              <w:left w:w="15" w:type="dxa"/>
              <w:bottom w:w="0" w:type="dxa"/>
              <w:right w:w="15" w:type="dxa"/>
            </w:tcMar>
            <w:vAlign w:val="bottom"/>
            <w:hideMark/>
          </w:tcPr>
          <w:p w14:paraId="0C4FFF6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11,3</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7405B6D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BFD981"/>
            <w:tcMar>
              <w:top w:w="15" w:type="dxa"/>
              <w:left w:w="15" w:type="dxa"/>
              <w:bottom w:w="0" w:type="dxa"/>
              <w:right w:w="15" w:type="dxa"/>
            </w:tcMar>
            <w:vAlign w:val="bottom"/>
            <w:hideMark/>
          </w:tcPr>
          <w:p w14:paraId="1A43EDD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10,3</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3B08DAB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C8DC81"/>
            <w:tcMar>
              <w:top w:w="15" w:type="dxa"/>
              <w:left w:w="15" w:type="dxa"/>
              <w:bottom w:w="0" w:type="dxa"/>
              <w:right w:w="15" w:type="dxa"/>
            </w:tcMar>
            <w:vAlign w:val="bottom"/>
            <w:hideMark/>
          </w:tcPr>
          <w:p w14:paraId="5DBBE83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10,2</w:t>
            </w:r>
          </w:p>
        </w:tc>
      </w:tr>
      <w:tr w:rsidR="0089748C" w:rsidRPr="00C94807" w14:paraId="4FD2A122"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55B01E0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49</w:t>
            </w:r>
          </w:p>
        </w:tc>
        <w:tc>
          <w:tcPr>
            <w:tcW w:w="557" w:type="dxa"/>
            <w:tcBorders>
              <w:top w:val="nil"/>
              <w:left w:val="nil"/>
              <w:bottom w:val="nil"/>
              <w:right w:val="nil"/>
            </w:tcBorders>
            <w:shd w:val="clear" w:color="auto" w:fill="FBA476"/>
            <w:tcMar>
              <w:top w:w="15" w:type="dxa"/>
              <w:left w:w="15" w:type="dxa"/>
              <w:bottom w:w="0" w:type="dxa"/>
              <w:right w:w="15" w:type="dxa"/>
            </w:tcMar>
            <w:vAlign w:val="bottom"/>
            <w:hideMark/>
          </w:tcPr>
          <w:p w14:paraId="607C63E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7,0</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1F12918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2666C43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6E984"/>
            <w:tcMar>
              <w:top w:w="15" w:type="dxa"/>
              <w:left w:w="15" w:type="dxa"/>
              <w:bottom w:w="0" w:type="dxa"/>
              <w:right w:w="15" w:type="dxa"/>
            </w:tcMar>
            <w:vAlign w:val="bottom"/>
            <w:hideMark/>
          </w:tcPr>
          <w:p w14:paraId="4F830ED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9,3</w:t>
            </w:r>
          </w:p>
        </w:tc>
        <w:tc>
          <w:tcPr>
            <w:tcW w:w="729" w:type="dxa"/>
            <w:tcBorders>
              <w:top w:val="nil"/>
              <w:left w:val="nil"/>
              <w:bottom w:val="nil"/>
              <w:right w:val="nil"/>
            </w:tcBorders>
            <w:shd w:val="clear" w:color="auto" w:fill="FA8E72"/>
            <w:tcMar>
              <w:top w:w="15" w:type="dxa"/>
              <w:left w:w="15" w:type="dxa"/>
              <w:bottom w:w="0" w:type="dxa"/>
              <w:right w:w="15" w:type="dxa"/>
            </w:tcMar>
            <w:vAlign w:val="bottom"/>
            <w:hideMark/>
          </w:tcPr>
          <w:p w14:paraId="71DDD85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6,3</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66C0D027"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0DFE468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9BCE7F"/>
            <w:tcMar>
              <w:top w:w="15" w:type="dxa"/>
              <w:left w:w="15" w:type="dxa"/>
              <w:bottom w:w="0" w:type="dxa"/>
              <w:right w:w="15" w:type="dxa"/>
            </w:tcMar>
            <w:vAlign w:val="bottom"/>
            <w:hideMark/>
          </w:tcPr>
          <w:p w14:paraId="6EE390A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11,0</w:t>
            </w:r>
          </w:p>
        </w:tc>
        <w:tc>
          <w:tcPr>
            <w:tcW w:w="696" w:type="dxa"/>
            <w:tcBorders>
              <w:top w:val="nil"/>
              <w:left w:val="nil"/>
              <w:bottom w:val="nil"/>
              <w:right w:val="nil"/>
            </w:tcBorders>
            <w:shd w:val="clear" w:color="auto" w:fill="FDCF7E"/>
            <w:tcMar>
              <w:top w:w="15" w:type="dxa"/>
              <w:left w:w="15" w:type="dxa"/>
              <w:bottom w:w="0" w:type="dxa"/>
              <w:right w:w="15" w:type="dxa"/>
            </w:tcMar>
            <w:vAlign w:val="bottom"/>
            <w:hideMark/>
          </w:tcPr>
          <w:p w14:paraId="2B30ABE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8,3</w:t>
            </w:r>
          </w:p>
        </w:tc>
        <w:tc>
          <w:tcPr>
            <w:tcW w:w="697" w:type="dxa"/>
            <w:tcBorders>
              <w:top w:val="nil"/>
              <w:left w:val="nil"/>
              <w:bottom w:val="nil"/>
              <w:right w:val="nil"/>
            </w:tcBorders>
            <w:shd w:val="clear" w:color="auto" w:fill="76C47D"/>
            <w:tcMar>
              <w:top w:w="15" w:type="dxa"/>
              <w:left w:w="15" w:type="dxa"/>
              <w:bottom w:w="0" w:type="dxa"/>
              <w:right w:w="15" w:type="dxa"/>
            </w:tcMar>
            <w:vAlign w:val="bottom"/>
            <w:hideMark/>
          </w:tcPr>
          <w:p w14:paraId="053EE1E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11,7</w:t>
            </w:r>
          </w:p>
        </w:tc>
        <w:tc>
          <w:tcPr>
            <w:tcW w:w="714" w:type="dxa"/>
            <w:tcBorders>
              <w:top w:val="nil"/>
              <w:left w:val="nil"/>
              <w:bottom w:val="nil"/>
              <w:right w:val="nil"/>
            </w:tcBorders>
            <w:shd w:val="clear" w:color="auto" w:fill="63BE7B"/>
            <w:tcMar>
              <w:top w:w="15" w:type="dxa"/>
              <w:left w:w="15" w:type="dxa"/>
              <w:bottom w:w="0" w:type="dxa"/>
              <w:right w:w="15" w:type="dxa"/>
            </w:tcMar>
            <w:vAlign w:val="bottom"/>
            <w:hideMark/>
          </w:tcPr>
          <w:p w14:paraId="586C5A5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r>
      <w:tr w:rsidR="0089748C" w:rsidRPr="00C94807" w14:paraId="16AD0B9B"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5E7C73E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50</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6777945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EDA80"/>
            <w:tcMar>
              <w:top w:w="15" w:type="dxa"/>
              <w:left w:w="15" w:type="dxa"/>
              <w:bottom w:w="0" w:type="dxa"/>
              <w:right w:w="15" w:type="dxa"/>
            </w:tcMar>
            <w:vAlign w:val="bottom"/>
            <w:hideMark/>
          </w:tcPr>
          <w:p w14:paraId="7182167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c>
          <w:tcPr>
            <w:tcW w:w="557" w:type="dxa"/>
            <w:tcBorders>
              <w:top w:val="nil"/>
              <w:left w:val="nil"/>
              <w:bottom w:val="nil"/>
              <w:right w:val="nil"/>
            </w:tcBorders>
            <w:shd w:val="clear" w:color="auto" w:fill="FCB479"/>
            <w:tcMar>
              <w:top w:w="15" w:type="dxa"/>
              <w:left w:w="15" w:type="dxa"/>
              <w:bottom w:w="0" w:type="dxa"/>
              <w:right w:w="15" w:type="dxa"/>
            </w:tcMar>
            <w:vAlign w:val="bottom"/>
            <w:hideMark/>
          </w:tcPr>
          <w:p w14:paraId="26A46C5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0CDCCD0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86E6C"/>
            <w:tcMar>
              <w:top w:w="15" w:type="dxa"/>
              <w:left w:w="15" w:type="dxa"/>
              <w:bottom w:w="0" w:type="dxa"/>
              <w:right w:w="15" w:type="dxa"/>
            </w:tcMar>
            <w:vAlign w:val="bottom"/>
            <w:hideMark/>
          </w:tcPr>
          <w:p w14:paraId="0DB2385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5,3</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092867A8"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6E1D49C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74A46ED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F6E984"/>
            <w:tcMar>
              <w:top w:w="15" w:type="dxa"/>
              <w:left w:w="15" w:type="dxa"/>
              <w:bottom w:w="0" w:type="dxa"/>
              <w:right w:w="15" w:type="dxa"/>
            </w:tcMar>
            <w:vAlign w:val="bottom"/>
            <w:hideMark/>
          </w:tcPr>
          <w:p w14:paraId="633E4C8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9,3</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680AF06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9BCE7F"/>
            <w:tcMar>
              <w:top w:w="15" w:type="dxa"/>
              <w:left w:w="15" w:type="dxa"/>
              <w:bottom w:w="0" w:type="dxa"/>
              <w:right w:w="15" w:type="dxa"/>
            </w:tcMar>
            <w:vAlign w:val="bottom"/>
            <w:hideMark/>
          </w:tcPr>
          <w:p w14:paraId="06B6321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11,0</w:t>
            </w:r>
          </w:p>
        </w:tc>
      </w:tr>
      <w:tr w:rsidR="0089748C" w:rsidRPr="00C94807" w14:paraId="64938273"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07A2EBF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51</w:t>
            </w:r>
          </w:p>
        </w:tc>
        <w:tc>
          <w:tcPr>
            <w:tcW w:w="557" w:type="dxa"/>
            <w:tcBorders>
              <w:top w:val="nil"/>
              <w:left w:val="nil"/>
              <w:bottom w:val="nil"/>
              <w:right w:val="nil"/>
            </w:tcBorders>
            <w:shd w:val="clear" w:color="auto" w:fill="FEDA80"/>
            <w:tcMar>
              <w:top w:w="15" w:type="dxa"/>
              <w:left w:w="15" w:type="dxa"/>
              <w:bottom w:w="0" w:type="dxa"/>
              <w:right w:w="15" w:type="dxa"/>
            </w:tcMar>
            <w:vAlign w:val="bottom"/>
            <w:hideMark/>
          </w:tcPr>
          <w:p w14:paraId="10430E1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c>
          <w:tcPr>
            <w:tcW w:w="557" w:type="dxa"/>
            <w:tcBorders>
              <w:top w:val="nil"/>
              <w:left w:val="nil"/>
              <w:bottom w:val="nil"/>
              <w:right w:val="nil"/>
            </w:tcBorders>
            <w:shd w:val="clear" w:color="auto" w:fill="F8796E"/>
            <w:tcMar>
              <w:top w:w="15" w:type="dxa"/>
              <w:left w:w="15" w:type="dxa"/>
              <w:bottom w:w="0" w:type="dxa"/>
              <w:right w:w="15" w:type="dxa"/>
            </w:tcMar>
            <w:vAlign w:val="bottom"/>
            <w:hideMark/>
          </w:tcPr>
          <w:p w14:paraId="77814EE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5,7</w:t>
            </w:r>
          </w:p>
        </w:tc>
        <w:tc>
          <w:tcPr>
            <w:tcW w:w="557" w:type="dxa"/>
            <w:tcBorders>
              <w:top w:val="nil"/>
              <w:left w:val="nil"/>
              <w:bottom w:val="nil"/>
              <w:right w:val="nil"/>
            </w:tcBorders>
            <w:shd w:val="clear" w:color="auto" w:fill="FCBA7A"/>
            <w:tcMar>
              <w:top w:w="15" w:type="dxa"/>
              <w:left w:w="15" w:type="dxa"/>
              <w:bottom w:w="0" w:type="dxa"/>
              <w:right w:w="15" w:type="dxa"/>
            </w:tcMar>
            <w:vAlign w:val="bottom"/>
            <w:hideMark/>
          </w:tcPr>
          <w:p w14:paraId="36BC714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7,7</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76533CC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CBA7A"/>
            <w:tcMar>
              <w:top w:w="15" w:type="dxa"/>
              <w:left w:w="15" w:type="dxa"/>
              <w:bottom w:w="0" w:type="dxa"/>
              <w:right w:w="15" w:type="dxa"/>
            </w:tcMar>
            <w:vAlign w:val="bottom"/>
            <w:hideMark/>
          </w:tcPr>
          <w:p w14:paraId="7250C6F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7,7</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1FEEA012"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76C47D"/>
            <w:tcMar>
              <w:top w:w="15" w:type="dxa"/>
              <w:left w:w="15" w:type="dxa"/>
              <w:bottom w:w="0" w:type="dxa"/>
              <w:right w:w="15" w:type="dxa"/>
            </w:tcMar>
            <w:vAlign w:val="bottom"/>
            <w:hideMark/>
          </w:tcPr>
          <w:p w14:paraId="207F830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11,7</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56D21E4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55E12E6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3ABD719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C8DC81"/>
            <w:tcMar>
              <w:top w:w="15" w:type="dxa"/>
              <w:left w:w="15" w:type="dxa"/>
              <w:bottom w:w="0" w:type="dxa"/>
              <w:right w:w="15" w:type="dxa"/>
            </w:tcMar>
            <w:vAlign w:val="bottom"/>
            <w:hideMark/>
          </w:tcPr>
          <w:p w14:paraId="10BAAD3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10,2</w:t>
            </w:r>
          </w:p>
        </w:tc>
      </w:tr>
      <w:tr w:rsidR="0089748C" w:rsidRPr="00C94807" w14:paraId="55D8F23B"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0A00587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52</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4A4E62C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6E984"/>
            <w:tcMar>
              <w:top w:w="15" w:type="dxa"/>
              <w:left w:w="15" w:type="dxa"/>
              <w:bottom w:w="0" w:type="dxa"/>
              <w:right w:w="15" w:type="dxa"/>
            </w:tcMar>
            <w:vAlign w:val="bottom"/>
            <w:hideMark/>
          </w:tcPr>
          <w:p w14:paraId="3C31850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9,3</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52C9319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6E984"/>
            <w:tcMar>
              <w:top w:w="15" w:type="dxa"/>
              <w:left w:w="15" w:type="dxa"/>
              <w:bottom w:w="0" w:type="dxa"/>
              <w:right w:w="15" w:type="dxa"/>
            </w:tcMar>
            <w:vAlign w:val="bottom"/>
            <w:hideMark/>
          </w:tcPr>
          <w:p w14:paraId="0B81263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9,3</w:t>
            </w:r>
          </w:p>
        </w:tc>
        <w:tc>
          <w:tcPr>
            <w:tcW w:w="729" w:type="dxa"/>
            <w:tcBorders>
              <w:top w:val="nil"/>
              <w:left w:val="nil"/>
              <w:bottom w:val="nil"/>
              <w:right w:val="nil"/>
            </w:tcBorders>
            <w:shd w:val="clear" w:color="auto" w:fill="FBA476"/>
            <w:tcMar>
              <w:top w:w="15" w:type="dxa"/>
              <w:left w:w="15" w:type="dxa"/>
              <w:bottom w:w="0" w:type="dxa"/>
              <w:right w:w="15" w:type="dxa"/>
            </w:tcMar>
            <w:vAlign w:val="bottom"/>
            <w:hideMark/>
          </w:tcPr>
          <w:p w14:paraId="74A4893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7,0</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6731C0E6"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FEE582"/>
            <w:tcMar>
              <w:top w:w="15" w:type="dxa"/>
              <w:left w:w="15" w:type="dxa"/>
              <w:bottom w:w="0" w:type="dxa"/>
              <w:right w:w="15" w:type="dxa"/>
            </w:tcMar>
            <w:vAlign w:val="bottom"/>
            <w:hideMark/>
          </w:tcPr>
          <w:p w14:paraId="7AC22C5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062CF2C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056BAEF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0F24035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FEE081"/>
            <w:tcMar>
              <w:top w:w="15" w:type="dxa"/>
              <w:left w:w="15" w:type="dxa"/>
              <w:bottom w:w="0" w:type="dxa"/>
              <w:right w:w="15" w:type="dxa"/>
            </w:tcMar>
            <w:vAlign w:val="bottom"/>
            <w:hideMark/>
          </w:tcPr>
          <w:p w14:paraId="739FD5C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8,8</w:t>
            </w:r>
          </w:p>
        </w:tc>
      </w:tr>
      <w:tr w:rsidR="0089748C" w:rsidRPr="00C94807" w14:paraId="66D844FC"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7ED1B17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53</w:t>
            </w:r>
          </w:p>
        </w:tc>
        <w:tc>
          <w:tcPr>
            <w:tcW w:w="557" w:type="dxa"/>
            <w:tcBorders>
              <w:top w:val="nil"/>
              <w:left w:val="nil"/>
              <w:bottom w:val="nil"/>
              <w:right w:val="nil"/>
            </w:tcBorders>
            <w:shd w:val="clear" w:color="auto" w:fill="FA8E72"/>
            <w:tcMar>
              <w:top w:w="15" w:type="dxa"/>
              <w:left w:w="15" w:type="dxa"/>
              <w:bottom w:w="0" w:type="dxa"/>
              <w:right w:w="15" w:type="dxa"/>
            </w:tcMar>
            <w:vAlign w:val="bottom"/>
            <w:hideMark/>
          </w:tcPr>
          <w:p w14:paraId="4D9177D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6,3</w:t>
            </w:r>
          </w:p>
        </w:tc>
        <w:tc>
          <w:tcPr>
            <w:tcW w:w="557" w:type="dxa"/>
            <w:tcBorders>
              <w:top w:val="nil"/>
              <w:left w:val="nil"/>
              <w:bottom w:val="nil"/>
              <w:right w:val="nil"/>
            </w:tcBorders>
            <w:shd w:val="clear" w:color="auto" w:fill="F8796E"/>
            <w:tcMar>
              <w:top w:w="15" w:type="dxa"/>
              <w:left w:w="15" w:type="dxa"/>
              <w:bottom w:w="0" w:type="dxa"/>
              <w:right w:w="15" w:type="dxa"/>
            </w:tcMar>
            <w:vAlign w:val="bottom"/>
            <w:hideMark/>
          </w:tcPr>
          <w:p w14:paraId="60AE949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5,7</w:t>
            </w:r>
          </w:p>
        </w:tc>
        <w:tc>
          <w:tcPr>
            <w:tcW w:w="557" w:type="dxa"/>
            <w:tcBorders>
              <w:top w:val="nil"/>
              <w:left w:val="nil"/>
              <w:bottom w:val="nil"/>
              <w:right w:val="nil"/>
            </w:tcBorders>
            <w:shd w:val="clear" w:color="auto" w:fill="E4E483"/>
            <w:tcMar>
              <w:top w:w="15" w:type="dxa"/>
              <w:left w:w="15" w:type="dxa"/>
              <w:bottom w:w="0" w:type="dxa"/>
              <w:right w:w="15" w:type="dxa"/>
            </w:tcMar>
            <w:vAlign w:val="bottom"/>
            <w:hideMark/>
          </w:tcPr>
          <w:p w14:paraId="24886FB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9,7</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213315D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98470"/>
            <w:tcMar>
              <w:top w:w="15" w:type="dxa"/>
              <w:left w:w="15" w:type="dxa"/>
              <w:bottom w:w="0" w:type="dxa"/>
              <w:right w:w="15" w:type="dxa"/>
            </w:tcMar>
            <w:vAlign w:val="bottom"/>
            <w:hideMark/>
          </w:tcPr>
          <w:p w14:paraId="3FDA198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6,0</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2D11EE8A"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23F8FB3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21C9AFE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ADD480"/>
            <w:tcMar>
              <w:top w:w="15" w:type="dxa"/>
              <w:left w:w="15" w:type="dxa"/>
              <w:bottom w:w="0" w:type="dxa"/>
              <w:right w:w="15" w:type="dxa"/>
            </w:tcMar>
            <w:vAlign w:val="bottom"/>
            <w:hideMark/>
          </w:tcPr>
          <w:p w14:paraId="516E7C6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10,7</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16A821F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E4E483"/>
            <w:tcMar>
              <w:top w:w="15" w:type="dxa"/>
              <w:left w:w="15" w:type="dxa"/>
              <w:bottom w:w="0" w:type="dxa"/>
              <w:right w:w="15" w:type="dxa"/>
            </w:tcMar>
            <w:vAlign w:val="bottom"/>
            <w:hideMark/>
          </w:tcPr>
          <w:p w14:paraId="4B2BB55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9,7</w:t>
            </w:r>
          </w:p>
        </w:tc>
      </w:tr>
      <w:tr w:rsidR="0089748C" w:rsidRPr="00C94807" w14:paraId="2E3F91A5"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11DB5FD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54</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27F8DBA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BA476"/>
            <w:tcMar>
              <w:top w:w="15" w:type="dxa"/>
              <w:left w:w="15" w:type="dxa"/>
              <w:bottom w:w="0" w:type="dxa"/>
              <w:right w:w="15" w:type="dxa"/>
            </w:tcMar>
            <w:vAlign w:val="bottom"/>
            <w:hideMark/>
          </w:tcPr>
          <w:p w14:paraId="11105F8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7,0</w:t>
            </w:r>
          </w:p>
        </w:tc>
        <w:tc>
          <w:tcPr>
            <w:tcW w:w="557" w:type="dxa"/>
            <w:tcBorders>
              <w:top w:val="nil"/>
              <w:left w:val="nil"/>
              <w:bottom w:val="nil"/>
              <w:right w:val="nil"/>
            </w:tcBorders>
            <w:shd w:val="clear" w:color="auto" w:fill="F98470"/>
            <w:tcMar>
              <w:top w:w="15" w:type="dxa"/>
              <w:left w:w="15" w:type="dxa"/>
              <w:bottom w:w="0" w:type="dxa"/>
              <w:right w:w="15" w:type="dxa"/>
            </w:tcMar>
            <w:vAlign w:val="bottom"/>
            <w:hideMark/>
          </w:tcPr>
          <w:p w14:paraId="3C2CA1A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6,0</w:t>
            </w:r>
          </w:p>
        </w:tc>
        <w:tc>
          <w:tcPr>
            <w:tcW w:w="557" w:type="dxa"/>
            <w:tcBorders>
              <w:top w:val="nil"/>
              <w:left w:val="nil"/>
              <w:bottom w:val="nil"/>
              <w:right w:val="nil"/>
            </w:tcBorders>
            <w:shd w:val="clear" w:color="auto" w:fill="E4E483"/>
            <w:tcMar>
              <w:top w:w="15" w:type="dxa"/>
              <w:left w:w="15" w:type="dxa"/>
              <w:bottom w:w="0" w:type="dxa"/>
              <w:right w:w="15" w:type="dxa"/>
            </w:tcMar>
            <w:vAlign w:val="bottom"/>
            <w:hideMark/>
          </w:tcPr>
          <w:p w14:paraId="1742F3B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9,7</w:t>
            </w:r>
          </w:p>
        </w:tc>
        <w:tc>
          <w:tcPr>
            <w:tcW w:w="729" w:type="dxa"/>
            <w:tcBorders>
              <w:top w:val="nil"/>
              <w:left w:val="nil"/>
              <w:bottom w:val="nil"/>
              <w:right w:val="nil"/>
            </w:tcBorders>
            <w:shd w:val="clear" w:color="auto" w:fill="F8796E"/>
            <w:tcMar>
              <w:top w:w="15" w:type="dxa"/>
              <w:left w:w="15" w:type="dxa"/>
              <w:bottom w:w="0" w:type="dxa"/>
              <w:right w:w="15" w:type="dxa"/>
            </w:tcMar>
            <w:vAlign w:val="bottom"/>
            <w:hideMark/>
          </w:tcPr>
          <w:p w14:paraId="7E8D729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5,7</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137248BA"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225CC5D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5C1E7A6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184AD58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76C47D"/>
            <w:tcMar>
              <w:top w:w="15" w:type="dxa"/>
              <w:left w:w="15" w:type="dxa"/>
              <w:bottom w:w="0" w:type="dxa"/>
              <w:right w:w="15" w:type="dxa"/>
            </w:tcMar>
            <w:vAlign w:val="bottom"/>
            <w:hideMark/>
          </w:tcPr>
          <w:p w14:paraId="09EF600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11,7</w:t>
            </w:r>
          </w:p>
        </w:tc>
        <w:tc>
          <w:tcPr>
            <w:tcW w:w="714" w:type="dxa"/>
            <w:tcBorders>
              <w:top w:val="nil"/>
              <w:left w:val="nil"/>
              <w:bottom w:val="nil"/>
              <w:right w:val="nil"/>
            </w:tcBorders>
            <w:shd w:val="clear" w:color="auto" w:fill="FEDA80"/>
            <w:tcMar>
              <w:top w:w="15" w:type="dxa"/>
              <w:left w:w="15" w:type="dxa"/>
              <w:bottom w:w="0" w:type="dxa"/>
              <w:right w:w="15" w:type="dxa"/>
            </w:tcMar>
            <w:vAlign w:val="bottom"/>
            <w:hideMark/>
          </w:tcPr>
          <w:p w14:paraId="3F43FCA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r>
      <w:tr w:rsidR="0089748C" w:rsidRPr="00C94807" w14:paraId="081F388B"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57C322A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55</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74157E5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779BC9D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98470"/>
            <w:tcMar>
              <w:top w:w="15" w:type="dxa"/>
              <w:left w:w="15" w:type="dxa"/>
              <w:bottom w:w="0" w:type="dxa"/>
              <w:right w:w="15" w:type="dxa"/>
            </w:tcMar>
            <w:vAlign w:val="bottom"/>
            <w:hideMark/>
          </w:tcPr>
          <w:p w14:paraId="2E9BCE1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6,0</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2A3D579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EDA80"/>
            <w:tcMar>
              <w:top w:w="15" w:type="dxa"/>
              <w:left w:w="15" w:type="dxa"/>
              <w:bottom w:w="0" w:type="dxa"/>
              <w:right w:w="15" w:type="dxa"/>
            </w:tcMar>
            <w:vAlign w:val="bottom"/>
            <w:hideMark/>
          </w:tcPr>
          <w:p w14:paraId="0E56078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156BD7C8"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6541D24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292D81C1"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51D7A24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58795D7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BFD981"/>
            <w:tcMar>
              <w:top w:w="15" w:type="dxa"/>
              <w:left w:w="15" w:type="dxa"/>
              <w:bottom w:w="0" w:type="dxa"/>
              <w:right w:w="15" w:type="dxa"/>
            </w:tcMar>
            <w:vAlign w:val="bottom"/>
            <w:hideMark/>
          </w:tcPr>
          <w:p w14:paraId="4303E97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10,3</w:t>
            </w:r>
          </w:p>
        </w:tc>
      </w:tr>
      <w:tr w:rsidR="0089748C" w:rsidRPr="00C94807" w14:paraId="4B55E76D"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30C8F19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56</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27E8A6B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235170B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065CC31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2FB60BB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A8E72"/>
            <w:tcMar>
              <w:top w:w="15" w:type="dxa"/>
              <w:left w:w="15" w:type="dxa"/>
              <w:bottom w:w="0" w:type="dxa"/>
              <w:right w:w="15" w:type="dxa"/>
            </w:tcMar>
            <w:vAlign w:val="bottom"/>
            <w:hideMark/>
          </w:tcPr>
          <w:p w14:paraId="75EB958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6,3</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69D49BDB"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1C6C20C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7B31AA8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3B673CF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029B377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FEDA80"/>
            <w:tcMar>
              <w:top w:w="15" w:type="dxa"/>
              <w:left w:w="15" w:type="dxa"/>
              <w:bottom w:w="0" w:type="dxa"/>
              <w:right w:w="15" w:type="dxa"/>
            </w:tcMar>
            <w:vAlign w:val="bottom"/>
            <w:hideMark/>
          </w:tcPr>
          <w:p w14:paraId="17AC62C5"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8,7</w:t>
            </w:r>
          </w:p>
        </w:tc>
      </w:tr>
      <w:tr w:rsidR="0089748C" w:rsidRPr="00C94807" w14:paraId="68FDB1A7"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399C127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57</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337E5A12"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1152266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17980A4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3ECFC70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A9974"/>
            <w:tcMar>
              <w:top w:w="15" w:type="dxa"/>
              <w:left w:w="15" w:type="dxa"/>
              <w:bottom w:w="0" w:type="dxa"/>
              <w:right w:w="15" w:type="dxa"/>
            </w:tcMar>
            <w:vAlign w:val="bottom"/>
            <w:hideMark/>
          </w:tcPr>
          <w:p w14:paraId="4412FA9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6,7</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27250CD0"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ADD480"/>
            <w:tcMar>
              <w:top w:w="15" w:type="dxa"/>
              <w:left w:w="15" w:type="dxa"/>
              <w:bottom w:w="0" w:type="dxa"/>
              <w:right w:w="15" w:type="dxa"/>
            </w:tcMar>
            <w:vAlign w:val="bottom"/>
            <w:hideMark/>
          </w:tcPr>
          <w:p w14:paraId="53694EBE"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10,7</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09FEBE4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0CD712F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31FF982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DBE182"/>
            <w:tcMar>
              <w:top w:w="15" w:type="dxa"/>
              <w:left w:w="15" w:type="dxa"/>
              <w:bottom w:w="0" w:type="dxa"/>
              <w:right w:w="15" w:type="dxa"/>
            </w:tcMar>
            <w:vAlign w:val="bottom"/>
            <w:hideMark/>
          </w:tcPr>
          <w:p w14:paraId="357BC9E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9,8</w:t>
            </w:r>
          </w:p>
        </w:tc>
      </w:tr>
      <w:tr w:rsidR="0089748C" w:rsidRPr="00C94807" w14:paraId="1FD101AE"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679554D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58</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66E4C20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CC57C"/>
            <w:tcMar>
              <w:top w:w="15" w:type="dxa"/>
              <w:left w:w="15" w:type="dxa"/>
              <w:bottom w:w="0" w:type="dxa"/>
              <w:right w:w="15" w:type="dxa"/>
            </w:tcMar>
            <w:vAlign w:val="bottom"/>
            <w:hideMark/>
          </w:tcPr>
          <w:p w14:paraId="70F36A8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454B299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6F8770A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A8E72"/>
            <w:tcMar>
              <w:top w:w="15" w:type="dxa"/>
              <w:left w:w="15" w:type="dxa"/>
              <w:bottom w:w="0" w:type="dxa"/>
              <w:right w:w="15" w:type="dxa"/>
            </w:tcMar>
            <w:vAlign w:val="bottom"/>
            <w:hideMark/>
          </w:tcPr>
          <w:p w14:paraId="39F8A41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6,3</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12BC94ED"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63BE7B"/>
            <w:tcMar>
              <w:top w:w="15" w:type="dxa"/>
              <w:left w:w="15" w:type="dxa"/>
              <w:bottom w:w="0" w:type="dxa"/>
              <w:right w:w="15" w:type="dxa"/>
            </w:tcMar>
            <w:vAlign w:val="bottom"/>
            <w:hideMark/>
          </w:tcPr>
          <w:p w14:paraId="67A9F7E6"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7E982E6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63BE7B"/>
            <w:tcMar>
              <w:top w:w="15" w:type="dxa"/>
              <w:left w:w="15" w:type="dxa"/>
              <w:bottom w:w="0" w:type="dxa"/>
              <w:right w:w="15" w:type="dxa"/>
            </w:tcMar>
            <w:vAlign w:val="bottom"/>
            <w:hideMark/>
          </w:tcPr>
          <w:p w14:paraId="2F3955A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4597A38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FDCF7E"/>
            <w:tcMar>
              <w:top w:w="15" w:type="dxa"/>
              <w:left w:w="15" w:type="dxa"/>
              <w:bottom w:w="0" w:type="dxa"/>
              <w:right w:w="15" w:type="dxa"/>
            </w:tcMar>
            <w:vAlign w:val="bottom"/>
            <w:hideMark/>
          </w:tcPr>
          <w:p w14:paraId="65699DA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8,3</w:t>
            </w:r>
          </w:p>
        </w:tc>
      </w:tr>
      <w:tr w:rsidR="0089748C" w:rsidRPr="00C94807" w14:paraId="40C1F6CE" w14:textId="77777777" w:rsidTr="004A4F6C">
        <w:trPr>
          <w:trHeight w:val="254"/>
          <w:jc w:val="center"/>
        </w:trPr>
        <w:tc>
          <w:tcPr>
            <w:tcW w:w="837" w:type="dxa"/>
            <w:tcBorders>
              <w:top w:val="nil"/>
              <w:left w:val="nil"/>
              <w:bottom w:val="nil"/>
              <w:right w:val="nil"/>
            </w:tcBorders>
            <w:shd w:val="clear" w:color="auto" w:fill="auto"/>
            <w:tcMar>
              <w:top w:w="15" w:type="dxa"/>
              <w:left w:w="15" w:type="dxa"/>
              <w:bottom w:w="0" w:type="dxa"/>
              <w:right w:w="15" w:type="dxa"/>
            </w:tcMar>
            <w:vAlign w:val="bottom"/>
            <w:hideMark/>
          </w:tcPr>
          <w:p w14:paraId="303A420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59</w:t>
            </w:r>
          </w:p>
        </w:tc>
        <w:tc>
          <w:tcPr>
            <w:tcW w:w="557" w:type="dxa"/>
            <w:tcBorders>
              <w:top w:val="nil"/>
              <w:left w:val="nil"/>
              <w:bottom w:val="nil"/>
              <w:right w:val="nil"/>
            </w:tcBorders>
            <w:shd w:val="clear" w:color="auto" w:fill="F6E984"/>
            <w:tcMar>
              <w:top w:w="15" w:type="dxa"/>
              <w:left w:w="15" w:type="dxa"/>
              <w:bottom w:w="0" w:type="dxa"/>
              <w:right w:w="15" w:type="dxa"/>
            </w:tcMar>
            <w:vAlign w:val="bottom"/>
            <w:hideMark/>
          </w:tcPr>
          <w:p w14:paraId="4604143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9,3</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258907C8"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14FC502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nil"/>
              <w:right w:val="nil"/>
            </w:tcBorders>
            <w:shd w:val="clear" w:color="auto" w:fill="FDD57F"/>
            <w:tcMar>
              <w:top w:w="15" w:type="dxa"/>
              <w:left w:w="15" w:type="dxa"/>
              <w:bottom w:w="0" w:type="dxa"/>
              <w:right w:w="15" w:type="dxa"/>
            </w:tcMar>
            <w:vAlign w:val="bottom"/>
            <w:hideMark/>
          </w:tcPr>
          <w:p w14:paraId="2E9BF9D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729" w:type="dxa"/>
            <w:tcBorders>
              <w:top w:val="nil"/>
              <w:left w:val="nil"/>
              <w:bottom w:val="nil"/>
              <w:right w:val="nil"/>
            </w:tcBorders>
            <w:shd w:val="clear" w:color="auto" w:fill="FCC57C"/>
            <w:tcMar>
              <w:top w:w="15" w:type="dxa"/>
              <w:left w:w="15" w:type="dxa"/>
              <w:bottom w:w="0" w:type="dxa"/>
              <w:right w:w="15" w:type="dxa"/>
            </w:tcMar>
            <w:vAlign w:val="bottom"/>
            <w:hideMark/>
          </w:tcPr>
          <w:p w14:paraId="30CC180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467" w:type="dxa"/>
            <w:tcBorders>
              <w:top w:val="nil"/>
              <w:left w:val="nil"/>
              <w:bottom w:val="nil"/>
              <w:right w:val="nil"/>
            </w:tcBorders>
            <w:shd w:val="clear" w:color="auto" w:fill="auto"/>
            <w:tcMar>
              <w:top w:w="15" w:type="dxa"/>
              <w:left w:w="15" w:type="dxa"/>
              <w:bottom w:w="0" w:type="dxa"/>
              <w:right w:w="15" w:type="dxa"/>
            </w:tcMar>
            <w:vAlign w:val="bottom"/>
            <w:hideMark/>
          </w:tcPr>
          <w:p w14:paraId="20C382FE" w14:textId="77777777" w:rsidR="0089748C" w:rsidRPr="00C94807" w:rsidRDefault="0089748C" w:rsidP="004A4F6C">
            <w:pPr>
              <w:spacing w:after="0" w:line="240" w:lineRule="auto"/>
              <w:jc w:val="center"/>
              <w:rPr>
                <w:rFonts w:eastAsia="Times New Roman" w:cstheme="minorHAnsi"/>
                <w:sz w:val="20"/>
                <w:szCs w:val="20"/>
                <w:lang w:val="es-CR" w:eastAsia="es-CR"/>
              </w:rPr>
            </w:pPr>
          </w:p>
        </w:tc>
        <w:tc>
          <w:tcPr>
            <w:tcW w:w="618" w:type="dxa"/>
            <w:tcBorders>
              <w:top w:val="nil"/>
              <w:left w:val="nil"/>
              <w:bottom w:val="nil"/>
              <w:right w:val="nil"/>
            </w:tcBorders>
            <w:shd w:val="clear" w:color="auto" w:fill="9BCE7F"/>
            <w:tcMar>
              <w:top w:w="15" w:type="dxa"/>
              <w:left w:w="15" w:type="dxa"/>
              <w:bottom w:w="0" w:type="dxa"/>
              <w:right w:w="15" w:type="dxa"/>
            </w:tcMar>
            <w:vAlign w:val="bottom"/>
            <w:hideMark/>
          </w:tcPr>
          <w:p w14:paraId="0784FCB4"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11,0</w:t>
            </w:r>
          </w:p>
        </w:tc>
        <w:tc>
          <w:tcPr>
            <w:tcW w:w="557" w:type="dxa"/>
            <w:tcBorders>
              <w:top w:val="nil"/>
              <w:left w:val="nil"/>
              <w:bottom w:val="nil"/>
              <w:right w:val="nil"/>
            </w:tcBorders>
            <w:shd w:val="clear" w:color="auto" w:fill="63BE7B"/>
            <w:tcMar>
              <w:top w:w="15" w:type="dxa"/>
              <w:left w:w="15" w:type="dxa"/>
              <w:bottom w:w="0" w:type="dxa"/>
              <w:right w:w="15" w:type="dxa"/>
            </w:tcMar>
            <w:vAlign w:val="bottom"/>
            <w:hideMark/>
          </w:tcPr>
          <w:p w14:paraId="13DF423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696" w:type="dxa"/>
            <w:tcBorders>
              <w:top w:val="nil"/>
              <w:left w:val="nil"/>
              <w:bottom w:val="nil"/>
              <w:right w:val="nil"/>
            </w:tcBorders>
            <w:shd w:val="clear" w:color="auto" w:fill="D2DE82"/>
            <w:tcMar>
              <w:top w:w="15" w:type="dxa"/>
              <w:left w:w="15" w:type="dxa"/>
              <w:bottom w:w="0" w:type="dxa"/>
              <w:right w:w="15" w:type="dxa"/>
            </w:tcMar>
            <w:vAlign w:val="bottom"/>
            <w:hideMark/>
          </w:tcPr>
          <w:p w14:paraId="76FCBE2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10,0</w:t>
            </w:r>
          </w:p>
        </w:tc>
        <w:tc>
          <w:tcPr>
            <w:tcW w:w="697" w:type="dxa"/>
            <w:tcBorders>
              <w:top w:val="nil"/>
              <w:left w:val="nil"/>
              <w:bottom w:val="nil"/>
              <w:right w:val="nil"/>
            </w:tcBorders>
            <w:shd w:val="clear" w:color="auto" w:fill="63BE7B"/>
            <w:tcMar>
              <w:top w:w="15" w:type="dxa"/>
              <w:left w:w="15" w:type="dxa"/>
              <w:bottom w:w="0" w:type="dxa"/>
              <w:right w:w="15" w:type="dxa"/>
            </w:tcMar>
            <w:vAlign w:val="bottom"/>
            <w:hideMark/>
          </w:tcPr>
          <w:p w14:paraId="5917CD83"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714" w:type="dxa"/>
            <w:tcBorders>
              <w:top w:val="nil"/>
              <w:left w:val="nil"/>
              <w:bottom w:val="nil"/>
              <w:right w:val="nil"/>
            </w:tcBorders>
            <w:shd w:val="clear" w:color="auto" w:fill="63BE7B"/>
            <w:tcMar>
              <w:top w:w="15" w:type="dxa"/>
              <w:left w:w="15" w:type="dxa"/>
              <w:bottom w:w="0" w:type="dxa"/>
              <w:right w:w="15" w:type="dxa"/>
            </w:tcMar>
            <w:vAlign w:val="bottom"/>
            <w:hideMark/>
          </w:tcPr>
          <w:p w14:paraId="0133F170"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r>
      <w:tr w:rsidR="0089748C" w:rsidRPr="00C94807" w14:paraId="4FD75616" w14:textId="77777777" w:rsidTr="004A4F6C">
        <w:trPr>
          <w:trHeight w:val="254"/>
          <w:jc w:val="center"/>
        </w:trPr>
        <w:tc>
          <w:tcPr>
            <w:tcW w:w="83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6C26219D"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b/>
                <w:bCs/>
                <w:color w:val="000000"/>
                <w:kern w:val="24"/>
                <w:sz w:val="20"/>
                <w:szCs w:val="20"/>
                <w:lang w:val="es-CR" w:eastAsia="es-CR"/>
              </w:rPr>
              <w:t>60</w:t>
            </w:r>
          </w:p>
        </w:tc>
        <w:tc>
          <w:tcPr>
            <w:tcW w:w="557" w:type="dxa"/>
            <w:tcBorders>
              <w:top w:val="nil"/>
              <w:left w:val="nil"/>
              <w:bottom w:val="single" w:sz="4" w:space="0" w:color="4F81BD" w:themeColor="accent1"/>
              <w:right w:val="nil"/>
            </w:tcBorders>
            <w:shd w:val="clear" w:color="auto" w:fill="FDD57F"/>
            <w:tcMar>
              <w:top w:w="15" w:type="dxa"/>
              <w:left w:w="15" w:type="dxa"/>
              <w:bottom w:w="0" w:type="dxa"/>
              <w:right w:w="15" w:type="dxa"/>
            </w:tcMar>
            <w:vAlign w:val="bottom"/>
            <w:hideMark/>
          </w:tcPr>
          <w:p w14:paraId="0DE4751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8,5</w:t>
            </w:r>
          </w:p>
        </w:tc>
        <w:tc>
          <w:tcPr>
            <w:tcW w:w="557" w:type="dxa"/>
            <w:tcBorders>
              <w:top w:val="nil"/>
              <w:left w:val="nil"/>
              <w:bottom w:val="single" w:sz="4" w:space="0" w:color="4F81BD" w:themeColor="accent1"/>
              <w:right w:val="nil"/>
            </w:tcBorders>
            <w:shd w:val="clear" w:color="auto" w:fill="E4E483"/>
            <w:tcMar>
              <w:top w:w="15" w:type="dxa"/>
              <w:left w:w="15" w:type="dxa"/>
              <w:bottom w:w="0" w:type="dxa"/>
              <w:right w:w="15" w:type="dxa"/>
            </w:tcMar>
            <w:vAlign w:val="bottom"/>
            <w:hideMark/>
          </w:tcPr>
          <w:p w14:paraId="106D440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9,7</w:t>
            </w:r>
          </w:p>
        </w:tc>
        <w:tc>
          <w:tcPr>
            <w:tcW w:w="557" w:type="dxa"/>
            <w:tcBorders>
              <w:top w:val="nil"/>
              <w:left w:val="nil"/>
              <w:bottom w:val="single" w:sz="4" w:space="0" w:color="4F81BD" w:themeColor="accent1"/>
              <w:right w:val="nil"/>
            </w:tcBorders>
            <w:shd w:val="clear" w:color="auto" w:fill="FCC57C"/>
            <w:tcMar>
              <w:top w:w="15" w:type="dxa"/>
              <w:left w:w="15" w:type="dxa"/>
              <w:bottom w:w="0" w:type="dxa"/>
              <w:right w:w="15" w:type="dxa"/>
            </w:tcMar>
            <w:vAlign w:val="bottom"/>
            <w:hideMark/>
          </w:tcPr>
          <w:p w14:paraId="4AD7BBBA"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8,0</w:t>
            </w:r>
          </w:p>
        </w:tc>
        <w:tc>
          <w:tcPr>
            <w:tcW w:w="557" w:type="dxa"/>
            <w:tcBorders>
              <w:top w:val="nil"/>
              <w:left w:val="nil"/>
              <w:bottom w:val="single" w:sz="4" w:space="0" w:color="4F81BD" w:themeColor="accent1"/>
              <w:right w:val="nil"/>
            </w:tcBorders>
            <w:shd w:val="clear" w:color="auto" w:fill="FEE582"/>
            <w:tcMar>
              <w:top w:w="15" w:type="dxa"/>
              <w:left w:w="15" w:type="dxa"/>
              <w:bottom w:w="0" w:type="dxa"/>
              <w:right w:w="15" w:type="dxa"/>
            </w:tcMar>
            <w:vAlign w:val="bottom"/>
            <w:hideMark/>
          </w:tcPr>
          <w:p w14:paraId="514999B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9,0</w:t>
            </w:r>
          </w:p>
        </w:tc>
        <w:tc>
          <w:tcPr>
            <w:tcW w:w="729" w:type="dxa"/>
            <w:tcBorders>
              <w:top w:val="nil"/>
              <w:left w:val="nil"/>
              <w:bottom w:val="single" w:sz="4" w:space="0" w:color="4F81BD" w:themeColor="accent1"/>
              <w:right w:val="nil"/>
            </w:tcBorders>
            <w:shd w:val="clear" w:color="auto" w:fill="F98470"/>
            <w:tcMar>
              <w:top w:w="15" w:type="dxa"/>
              <w:left w:w="15" w:type="dxa"/>
              <w:bottom w:w="0" w:type="dxa"/>
              <w:right w:w="15" w:type="dxa"/>
            </w:tcMar>
            <w:vAlign w:val="bottom"/>
            <w:hideMark/>
          </w:tcPr>
          <w:p w14:paraId="0F9B2F2B"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6,0</w:t>
            </w:r>
          </w:p>
        </w:tc>
        <w:tc>
          <w:tcPr>
            <w:tcW w:w="467" w:type="dxa"/>
            <w:tcBorders>
              <w:top w:val="nil"/>
              <w:left w:val="nil"/>
              <w:bottom w:val="single" w:sz="4" w:space="0" w:color="4F81BD" w:themeColor="accent1"/>
              <w:right w:val="nil"/>
            </w:tcBorders>
            <w:shd w:val="clear" w:color="auto" w:fill="auto"/>
            <w:tcMar>
              <w:top w:w="15" w:type="dxa"/>
              <w:left w:w="15" w:type="dxa"/>
              <w:bottom w:w="0" w:type="dxa"/>
              <w:right w:w="15" w:type="dxa"/>
            </w:tcMar>
            <w:vAlign w:val="bottom"/>
            <w:hideMark/>
          </w:tcPr>
          <w:p w14:paraId="4F6D39BF"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p>
        </w:tc>
        <w:tc>
          <w:tcPr>
            <w:tcW w:w="618" w:type="dxa"/>
            <w:tcBorders>
              <w:top w:val="nil"/>
              <w:left w:val="nil"/>
              <w:bottom w:val="single" w:sz="4" w:space="0" w:color="4F81BD" w:themeColor="accent1"/>
              <w:right w:val="nil"/>
            </w:tcBorders>
            <w:shd w:val="clear" w:color="auto" w:fill="63BE7B"/>
            <w:tcMar>
              <w:top w:w="15" w:type="dxa"/>
              <w:left w:w="15" w:type="dxa"/>
              <w:bottom w:w="0" w:type="dxa"/>
              <w:right w:w="15" w:type="dxa"/>
            </w:tcMar>
            <w:vAlign w:val="bottom"/>
            <w:hideMark/>
          </w:tcPr>
          <w:p w14:paraId="2C4D25E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12,0</w:t>
            </w:r>
          </w:p>
        </w:tc>
        <w:tc>
          <w:tcPr>
            <w:tcW w:w="557" w:type="dxa"/>
            <w:tcBorders>
              <w:top w:val="nil"/>
              <w:left w:val="nil"/>
              <w:bottom w:val="single" w:sz="4" w:space="0" w:color="4F81BD" w:themeColor="accent1"/>
              <w:right w:val="nil"/>
            </w:tcBorders>
            <w:shd w:val="clear" w:color="auto" w:fill="ADD480"/>
            <w:tcMar>
              <w:top w:w="15" w:type="dxa"/>
              <w:left w:w="15" w:type="dxa"/>
              <w:bottom w:w="0" w:type="dxa"/>
              <w:right w:w="15" w:type="dxa"/>
            </w:tcMar>
            <w:vAlign w:val="bottom"/>
            <w:hideMark/>
          </w:tcPr>
          <w:p w14:paraId="26B4271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10,7</w:t>
            </w:r>
          </w:p>
        </w:tc>
        <w:tc>
          <w:tcPr>
            <w:tcW w:w="696" w:type="dxa"/>
            <w:tcBorders>
              <w:top w:val="nil"/>
              <w:left w:val="nil"/>
              <w:bottom w:val="single" w:sz="4" w:space="0" w:color="4F81BD" w:themeColor="accent1"/>
              <w:right w:val="nil"/>
            </w:tcBorders>
            <w:shd w:val="clear" w:color="auto" w:fill="7FC67D"/>
            <w:tcMar>
              <w:top w:w="15" w:type="dxa"/>
              <w:left w:w="15" w:type="dxa"/>
              <w:bottom w:w="0" w:type="dxa"/>
              <w:right w:w="15" w:type="dxa"/>
            </w:tcMar>
            <w:vAlign w:val="bottom"/>
            <w:hideMark/>
          </w:tcPr>
          <w:p w14:paraId="684CC08C"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11,5</w:t>
            </w:r>
          </w:p>
        </w:tc>
        <w:tc>
          <w:tcPr>
            <w:tcW w:w="697" w:type="dxa"/>
            <w:tcBorders>
              <w:top w:val="nil"/>
              <w:left w:val="nil"/>
              <w:bottom w:val="single" w:sz="4" w:space="0" w:color="4F81BD" w:themeColor="accent1"/>
              <w:right w:val="nil"/>
            </w:tcBorders>
            <w:shd w:val="clear" w:color="auto" w:fill="BFD981"/>
            <w:tcMar>
              <w:top w:w="15" w:type="dxa"/>
              <w:left w:w="15" w:type="dxa"/>
              <w:bottom w:w="0" w:type="dxa"/>
              <w:right w:w="15" w:type="dxa"/>
            </w:tcMar>
            <w:vAlign w:val="bottom"/>
            <w:hideMark/>
          </w:tcPr>
          <w:p w14:paraId="6383AC39"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10,3</w:t>
            </w:r>
          </w:p>
        </w:tc>
        <w:tc>
          <w:tcPr>
            <w:tcW w:w="714" w:type="dxa"/>
            <w:tcBorders>
              <w:top w:val="nil"/>
              <w:left w:val="nil"/>
              <w:bottom w:val="single" w:sz="4" w:space="0" w:color="4F81BD" w:themeColor="accent1"/>
              <w:right w:val="nil"/>
            </w:tcBorders>
            <w:shd w:val="clear" w:color="auto" w:fill="E4E483"/>
            <w:tcMar>
              <w:top w:w="15" w:type="dxa"/>
              <w:left w:w="15" w:type="dxa"/>
              <w:bottom w:w="0" w:type="dxa"/>
              <w:right w:w="15" w:type="dxa"/>
            </w:tcMar>
            <w:vAlign w:val="bottom"/>
            <w:hideMark/>
          </w:tcPr>
          <w:p w14:paraId="4D730017" w14:textId="77777777" w:rsidR="0089748C" w:rsidRPr="00C94807" w:rsidRDefault="0089748C" w:rsidP="004A4F6C">
            <w:pPr>
              <w:spacing w:after="0" w:line="240" w:lineRule="auto"/>
              <w:jc w:val="center"/>
              <w:textAlignment w:val="bottom"/>
              <w:rPr>
                <w:rFonts w:eastAsia="Times New Roman" w:cstheme="minorHAnsi"/>
                <w:sz w:val="20"/>
                <w:szCs w:val="20"/>
                <w:lang w:val="es-CR" w:eastAsia="es-CR"/>
              </w:rPr>
            </w:pPr>
            <w:r w:rsidRPr="00C94807">
              <w:rPr>
                <w:rFonts w:eastAsia="Times New Roman" w:cstheme="minorHAnsi"/>
                <w:color w:val="000000"/>
                <w:kern w:val="24"/>
                <w:sz w:val="20"/>
                <w:szCs w:val="20"/>
                <w:lang w:val="es-CR" w:eastAsia="es-CR"/>
              </w:rPr>
              <w:t>9,7</w:t>
            </w:r>
          </w:p>
        </w:tc>
      </w:tr>
    </w:tbl>
    <w:p w14:paraId="130E5AC5" w14:textId="77777777" w:rsidR="0089748C" w:rsidRDefault="0089748C" w:rsidP="0089748C">
      <w:pPr>
        <w:spacing w:after="0" w:line="240" w:lineRule="auto"/>
        <w:jc w:val="both"/>
        <w:rPr>
          <w:rFonts w:cstheme="minorHAnsi"/>
        </w:rPr>
      </w:pPr>
    </w:p>
    <w:p w14:paraId="28BCE3B3" w14:textId="77777777" w:rsidR="0089748C" w:rsidRPr="0073025C" w:rsidRDefault="0089748C" w:rsidP="0089748C">
      <w:pPr>
        <w:spacing w:after="0" w:line="240" w:lineRule="auto"/>
        <w:jc w:val="both"/>
        <w:rPr>
          <w:rFonts w:cstheme="minorHAnsi"/>
        </w:rPr>
      </w:pPr>
      <w:r w:rsidRPr="0073025C">
        <w:rPr>
          <w:rFonts w:cstheme="minorHAnsi"/>
        </w:rPr>
        <w:t>Los datos del ROP evidencian que los trabajadores de bajos ingresos disminuyen en mayor medida su densidad durante la pandemia. En 2019 la densidad de cotización fue entre 7,5 y 9,7, mientras que para el 2020 bajó a un mínimo de 5,2 y un máximo de 8,7 cuotas por año. Por su parte los trabajadores de ingresos medios pasaron en ese mismo periodo, de un mínimo de 10,3 en 2019 a 8,3, mientras mantienen el máximo de 12 cuotas.</w:t>
      </w:r>
    </w:p>
    <w:p w14:paraId="71782357" w14:textId="77777777" w:rsidR="0089748C" w:rsidRPr="00367135" w:rsidRDefault="0089748C" w:rsidP="0089748C"/>
    <w:p w14:paraId="28F0AE3A" w14:textId="77777777" w:rsidR="0089748C" w:rsidRPr="007E4FC7" w:rsidRDefault="0089748C" w:rsidP="0089748C">
      <w:pPr>
        <w:pStyle w:val="Ttulo2"/>
        <w:numPr>
          <w:ilvl w:val="1"/>
          <w:numId w:val="1"/>
        </w:numPr>
      </w:pPr>
      <w:bookmarkStart w:id="16" w:name="_Toc80290690"/>
      <w:r w:rsidRPr="007E4FC7">
        <w:lastRenderedPageBreak/>
        <w:t>Retiros del FCL por nuevas causales</w:t>
      </w:r>
      <w:bookmarkEnd w:id="16"/>
    </w:p>
    <w:p w14:paraId="3458B705" w14:textId="77777777" w:rsidR="0089748C" w:rsidRDefault="0089748C" w:rsidP="0089748C">
      <w:pPr>
        <w:spacing w:after="0" w:line="240" w:lineRule="auto"/>
        <w:jc w:val="both"/>
        <w:rPr>
          <w:rFonts w:ascii="Times New Roman" w:hAnsi="Times New Roman" w:cs="Times New Roman"/>
        </w:rPr>
      </w:pPr>
    </w:p>
    <w:p w14:paraId="4A720D63" w14:textId="77777777" w:rsidR="0089748C" w:rsidRDefault="0089748C" w:rsidP="0089748C">
      <w:pPr>
        <w:spacing w:after="0" w:line="240" w:lineRule="auto"/>
        <w:jc w:val="both"/>
        <w:rPr>
          <w:rFonts w:cstheme="minorHAnsi"/>
        </w:rPr>
      </w:pPr>
      <w:r>
        <w:rPr>
          <w:rFonts w:cstheme="minorHAnsi"/>
        </w:rPr>
        <w:t>A</w:t>
      </w:r>
      <w:r w:rsidRPr="008C7579">
        <w:rPr>
          <w:rFonts w:cstheme="minorHAnsi"/>
        </w:rPr>
        <w:t xml:space="preserve">l 30 de junio de 2021, las operadoras de pensiones habían recibido 521 293 solicitudes de retiro del FCL, de las cuales el 75% se originaron por la causal de cese de la relación laboral (393 163). A esa fecha, el 99,9% de las solicitudes recibidas habían sido pagadas. Popular Pensiones y OPC CCSS se mantienen como las entidades que han pagado la mayor cantidad de recursos (49,3% del monto liquidado). </w:t>
      </w:r>
    </w:p>
    <w:p w14:paraId="14786F40" w14:textId="77777777" w:rsidR="0089748C" w:rsidRPr="008C7579" w:rsidRDefault="0089748C" w:rsidP="0089748C">
      <w:pPr>
        <w:spacing w:after="0" w:line="240" w:lineRule="auto"/>
        <w:jc w:val="both"/>
        <w:rPr>
          <w:rFonts w:cstheme="minorHAnsi"/>
        </w:rPr>
      </w:pPr>
    </w:p>
    <w:p w14:paraId="6B50AD62" w14:textId="77777777" w:rsidR="0089748C" w:rsidRDefault="0089748C" w:rsidP="0089748C">
      <w:pPr>
        <w:spacing w:after="0" w:line="240" w:lineRule="auto"/>
        <w:jc w:val="both"/>
        <w:rPr>
          <w:rFonts w:cstheme="minorHAnsi"/>
        </w:rPr>
      </w:pPr>
      <w:r w:rsidRPr="008C7579">
        <w:rPr>
          <w:rFonts w:cstheme="minorHAnsi"/>
        </w:rPr>
        <w:t>En el análisis de los datos generados sobre los pagos del FCL, se identificó que la mayor cantidad de solicitudes y de montos pagados para las tres causales se presentó en mayo 2020; a partir de ese mes se ha mostrado una marcada disminución en las entregas del FCL. Dado este comportamiento, se concluye que la entrega de recursos del FCL por las nuevas causales derivadas de la pandemia ha mermado y los retiros asociados al cese de la relación laboral han retornado al comportamiento mostrado en años anteriores.</w:t>
      </w:r>
    </w:p>
    <w:p w14:paraId="11187F37" w14:textId="77777777" w:rsidR="0089748C" w:rsidRDefault="0089748C" w:rsidP="0089748C">
      <w:pPr>
        <w:spacing w:after="0" w:line="240" w:lineRule="auto"/>
        <w:jc w:val="both"/>
        <w:rPr>
          <w:rFonts w:cstheme="minorHAnsi"/>
        </w:rPr>
      </w:pPr>
    </w:p>
    <w:p w14:paraId="73D52922" w14:textId="77777777" w:rsidR="0089748C" w:rsidRDefault="0089748C" w:rsidP="0089748C">
      <w:pPr>
        <w:spacing w:after="0" w:line="240" w:lineRule="auto"/>
        <w:jc w:val="both"/>
        <w:rPr>
          <w:rFonts w:cstheme="minorHAnsi"/>
        </w:rPr>
      </w:pPr>
      <w:r w:rsidRPr="008C7579">
        <w:rPr>
          <w:rFonts w:cstheme="minorHAnsi"/>
        </w:rPr>
        <w:t xml:space="preserve">El pago de estos recursos se ha realizado con los dineros provenientes de la recaudación y del vencimiento de títulos valores, por lo cual no se ha requerido acudir a otros mecanismos de liquidez como los previstos en la modificación a la </w:t>
      </w:r>
      <w:r>
        <w:rPr>
          <w:rFonts w:cstheme="minorHAnsi"/>
        </w:rPr>
        <w:t>LPT.</w:t>
      </w:r>
      <w:r w:rsidRPr="008C7579">
        <w:rPr>
          <w:rFonts w:cstheme="minorHAnsi"/>
        </w:rPr>
        <w:t xml:space="preserve"> </w:t>
      </w:r>
    </w:p>
    <w:p w14:paraId="5397FA7B" w14:textId="77777777" w:rsidR="0089748C" w:rsidRDefault="0089748C" w:rsidP="0089748C">
      <w:pPr>
        <w:pStyle w:val="Descripcin"/>
        <w:spacing w:after="0"/>
        <w:jc w:val="center"/>
      </w:pPr>
    </w:p>
    <w:p w14:paraId="087127B7" w14:textId="77777777" w:rsidR="0089748C" w:rsidRPr="00C83773" w:rsidRDefault="0089748C" w:rsidP="0089748C">
      <w:pPr>
        <w:pStyle w:val="Descripcin"/>
        <w:spacing w:after="0"/>
        <w:jc w:val="center"/>
      </w:pPr>
      <w:r w:rsidRPr="00C161C9">
        <w:t xml:space="preserve">Gráfico </w:t>
      </w:r>
      <w:r w:rsidRPr="00C161C9">
        <w:fldChar w:fldCharType="begin"/>
      </w:r>
      <w:r w:rsidRPr="00C161C9">
        <w:instrText xml:space="preserve"> SEQ Gráfico \* ARABIC </w:instrText>
      </w:r>
      <w:r w:rsidRPr="00C161C9">
        <w:fldChar w:fldCharType="separate"/>
      </w:r>
      <w:r>
        <w:rPr>
          <w:noProof/>
        </w:rPr>
        <w:t>3</w:t>
      </w:r>
      <w:r w:rsidRPr="00C161C9">
        <w:fldChar w:fldCharType="end"/>
      </w:r>
      <w:r w:rsidRPr="00C161C9">
        <w:t xml:space="preserve">: </w:t>
      </w:r>
      <w:r w:rsidRPr="00C83773">
        <w:t>Retiros del Fondo de Capitalización Laboral</w:t>
      </w:r>
    </w:p>
    <w:p w14:paraId="780D4196" w14:textId="77777777" w:rsidR="0089748C" w:rsidRPr="00C83773" w:rsidRDefault="0089748C" w:rsidP="0089748C">
      <w:pPr>
        <w:pStyle w:val="Descripcin"/>
        <w:spacing w:after="0"/>
        <w:jc w:val="center"/>
      </w:pPr>
      <w:r>
        <w:t>M</w:t>
      </w:r>
      <w:r w:rsidRPr="00C83773">
        <w:t>onto en millones de colones</w:t>
      </w:r>
      <w:r>
        <w:t xml:space="preserve"> costarricenses</w:t>
      </w:r>
    </w:p>
    <w:p w14:paraId="2F9A1AD8" w14:textId="77777777" w:rsidR="0089748C" w:rsidRDefault="0089748C" w:rsidP="0089748C">
      <w:pPr>
        <w:spacing w:after="0" w:line="240" w:lineRule="auto"/>
        <w:jc w:val="center"/>
        <w:rPr>
          <w:rFonts w:ascii="Times New Roman" w:hAnsi="Times New Roman" w:cs="Times New Roman"/>
          <w:b/>
          <w:bCs/>
        </w:rPr>
      </w:pPr>
      <w:r>
        <w:rPr>
          <w:rFonts w:ascii="Times New Roman" w:hAnsi="Times New Roman" w:cs="Times New Roman"/>
          <w:b/>
          <w:bCs/>
          <w:noProof/>
        </w:rPr>
        <w:drawing>
          <wp:inline distT="0" distB="0" distL="0" distR="0" wp14:anchorId="1A2421B9" wp14:editId="772E6DF3">
            <wp:extent cx="4204745" cy="3533775"/>
            <wp:effectExtent l="0" t="0" r="5715" b="0"/>
            <wp:docPr id="1320797252" name="Imagen 132079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1387" cy="3539357"/>
                    </a:xfrm>
                    <a:prstGeom prst="rect">
                      <a:avLst/>
                    </a:prstGeom>
                    <a:noFill/>
                    <a:ln>
                      <a:noFill/>
                    </a:ln>
                  </pic:spPr>
                </pic:pic>
              </a:graphicData>
            </a:graphic>
          </wp:inline>
        </w:drawing>
      </w:r>
    </w:p>
    <w:p w14:paraId="460493FB" w14:textId="77777777" w:rsidR="0089748C" w:rsidRDefault="0089748C" w:rsidP="0089748C">
      <w:pPr>
        <w:pStyle w:val="Descripcin"/>
        <w:spacing w:after="0"/>
        <w:jc w:val="center"/>
        <w:rPr>
          <w:rFonts w:ascii="Times New Roman" w:hAnsi="Times New Roman" w:cs="Times New Roman"/>
          <w:b/>
          <w:bCs/>
        </w:rPr>
      </w:pPr>
      <w:r w:rsidRPr="00CA0C81">
        <w:rPr>
          <w:rFonts w:cstheme="minorHAnsi"/>
        </w:rPr>
        <w:t xml:space="preserve">Fuente: Elaboración propia </w:t>
      </w:r>
    </w:p>
    <w:p w14:paraId="38ADD0E9" w14:textId="77777777" w:rsidR="0089748C" w:rsidRDefault="0089748C" w:rsidP="0089748C">
      <w:pPr>
        <w:spacing w:after="0" w:line="240" w:lineRule="auto"/>
        <w:jc w:val="both"/>
        <w:rPr>
          <w:rFonts w:ascii="Times New Roman" w:hAnsi="Times New Roman" w:cs="Times New Roman"/>
          <w:b/>
          <w:bCs/>
        </w:rPr>
      </w:pPr>
    </w:p>
    <w:p w14:paraId="7F34547B" w14:textId="77777777" w:rsidR="0089748C" w:rsidRDefault="0089748C" w:rsidP="0089748C">
      <w:pPr>
        <w:spacing w:after="0" w:line="240" w:lineRule="auto"/>
        <w:jc w:val="both"/>
        <w:rPr>
          <w:rFonts w:ascii="Times New Roman" w:hAnsi="Times New Roman" w:cs="Times New Roman"/>
          <w:b/>
          <w:bCs/>
        </w:rPr>
      </w:pPr>
    </w:p>
    <w:p w14:paraId="1599EAB9" w14:textId="77777777" w:rsidR="0089748C" w:rsidRPr="001C3A8B" w:rsidRDefault="0089748C" w:rsidP="0089748C">
      <w:pPr>
        <w:spacing w:after="0" w:line="240" w:lineRule="auto"/>
        <w:jc w:val="both"/>
        <w:rPr>
          <w:rFonts w:ascii="Times New Roman" w:hAnsi="Times New Roman" w:cs="Times New Roman"/>
          <w:b/>
          <w:bCs/>
        </w:rPr>
      </w:pPr>
    </w:p>
    <w:p w14:paraId="4CCE6E62" w14:textId="77777777" w:rsidR="0089748C" w:rsidRPr="003D2DAF" w:rsidRDefault="0089748C" w:rsidP="0089748C">
      <w:pPr>
        <w:pStyle w:val="Ttulo2"/>
        <w:numPr>
          <w:ilvl w:val="1"/>
          <w:numId w:val="1"/>
        </w:numPr>
      </w:pPr>
      <w:bookmarkStart w:id="17" w:name="_Toc80290691"/>
      <w:r w:rsidRPr="003D2DAF">
        <w:lastRenderedPageBreak/>
        <w:t>Distribución de aportes del Banco Popular y de Desarrollo Comunal</w:t>
      </w:r>
      <w:bookmarkEnd w:id="17"/>
    </w:p>
    <w:p w14:paraId="266D81C4" w14:textId="77777777" w:rsidR="0089748C" w:rsidRDefault="0089748C" w:rsidP="0089748C">
      <w:pPr>
        <w:spacing w:after="0" w:line="240" w:lineRule="auto"/>
        <w:jc w:val="both"/>
        <w:rPr>
          <w:rFonts w:cstheme="minorHAnsi"/>
        </w:rPr>
      </w:pPr>
    </w:p>
    <w:p w14:paraId="5217FFB6" w14:textId="77777777" w:rsidR="0089748C" w:rsidRPr="00926B84" w:rsidRDefault="0089748C" w:rsidP="0089748C">
      <w:pPr>
        <w:spacing w:after="0" w:line="240" w:lineRule="auto"/>
        <w:jc w:val="both"/>
        <w:rPr>
          <w:rFonts w:cstheme="minorHAnsi"/>
        </w:rPr>
      </w:pPr>
      <w:r w:rsidRPr="00926B84">
        <w:rPr>
          <w:rFonts w:cstheme="minorHAnsi"/>
        </w:rPr>
        <w:t xml:space="preserve">El 14 de julio 2021, se realizó la distribución del ahorro obligatorio proveniente del BPDC a las cuentas individuales de los trabajadores en el ROP, por un monto total de </w:t>
      </w:r>
      <w:r>
        <w:rPr>
          <w:rFonts w:cstheme="minorHAnsi"/>
        </w:rPr>
        <w:t>₡</w:t>
      </w:r>
      <w:r w:rsidRPr="00926B84">
        <w:rPr>
          <w:rFonts w:cstheme="minorHAnsi"/>
        </w:rPr>
        <w:t xml:space="preserve">142,7 mil millones, según la distribución porcentual por operadora que se muestra </w:t>
      </w:r>
      <w:r>
        <w:rPr>
          <w:rFonts w:cstheme="minorHAnsi"/>
        </w:rPr>
        <w:t>en el siguiente gráfico.</w:t>
      </w:r>
    </w:p>
    <w:p w14:paraId="7DB9DC34" w14:textId="77777777" w:rsidR="0089748C" w:rsidRPr="009642EC" w:rsidRDefault="0089748C" w:rsidP="0089748C">
      <w:pPr>
        <w:spacing w:after="0"/>
        <w:jc w:val="both"/>
        <w:rPr>
          <w:rFonts w:ascii="Times New Roman" w:hAnsi="Times New Roman" w:cs="Times New Roman"/>
        </w:rPr>
      </w:pPr>
    </w:p>
    <w:p w14:paraId="5E41B717" w14:textId="77777777" w:rsidR="0089748C" w:rsidRPr="00C83773" w:rsidRDefault="0089748C" w:rsidP="0089748C">
      <w:pPr>
        <w:pStyle w:val="Descripcin"/>
        <w:spacing w:after="0"/>
        <w:jc w:val="center"/>
      </w:pPr>
      <w:r w:rsidRPr="00C161C9">
        <w:t xml:space="preserve">Gráfico </w:t>
      </w:r>
      <w:r w:rsidRPr="00C161C9">
        <w:fldChar w:fldCharType="begin"/>
      </w:r>
      <w:r w:rsidRPr="00C161C9">
        <w:instrText xml:space="preserve"> SEQ Gráfico \* ARABIC </w:instrText>
      </w:r>
      <w:r w:rsidRPr="00C161C9">
        <w:fldChar w:fldCharType="separate"/>
      </w:r>
      <w:r>
        <w:rPr>
          <w:noProof/>
        </w:rPr>
        <w:t>4</w:t>
      </w:r>
      <w:r w:rsidRPr="00C161C9">
        <w:fldChar w:fldCharType="end"/>
      </w:r>
      <w:r w:rsidRPr="00C161C9">
        <w:t xml:space="preserve">: </w:t>
      </w:r>
      <w:r w:rsidRPr="00C83773">
        <w:t>Distribución porcentual aportes del BPDC trasladados al ROP, por operadora</w:t>
      </w:r>
    </w:p>
    <w:p w14:paraId="1A19E578" w14:textId="77777777" w:rsidR="0089748C" w:rsidRPr="00C83773" w:rsidRDefault="0089748C" w:rsidP="0089748C">
      <w:pPr>
        <w:pStyle w:val="Descripcin"/>
        <w:spacing w:after="0"/>
        <w:jc w:val="center"/>
      </w:pPr>
      <w:r w:rsidRPr="00C83773">
        <w:t>Julio 2021 (correspondiente al periodo de 2019)</w:t>
      </w:r>
    </w:p>
    <w:p w14:paraId="6E84E696" w14:textId="77777777" w:rsidR="0089748C" w:rsidRPr="00CB04A3" w:rsidRDefault="0089748C" w:rsidP="0089748C">
      <w:pPr>
        <w:spacing w:after="20" w:line="240" w:lineRule="auto"/>
        <w:jc w:val="center"/>
        <w:rPr>
          <w:rFonts w:ascii="Times New Roman" w:hAnsi="Times New Roman" w:cs="Times New Roman"/>
          <w:highlight w:val="yellow"/>
        </w:rPr>
      </w:pPr>
      <w:r>
        <w:rPr>
          <w:noProof/>
        </w:rPr>
        <w:drawing>
          <wp:inline distT="0" distB="0" distL="0" distR="0" wp14:anchorId="4B3D08E0" wp14:editId="7F8A4E1E">
            <wp:extent cx="4248150" cy="2295525"/>
            <wp:effectExtent l="0" t="0" r="0" b="9525"/>
            <wp:docPr id="13" name="Gráfico 13">
              <a:extLst xmlns:a="http://schemas.openxmlformats.org/drawingml/2006/main">
                <a:ext uri="{FF2B5EF4-FFF2-40B4-BE49-F238E27FC236}">
                  <a16:creationId xmlns:a16="http://schemas.microsoft.com/office/drawing/2014/main" id="{5872CADF-977A-42E0-85FE-305CC6F008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8EF8F5" w14:textId="77777777" w:rsidR="0089748C" w:rsidRDefault="0089748C" w:rsidP="0089748C">
      <w:pPr>
        <w:pStyle w:val="Descripcin"/>
        <w:spacing w:after="0"/>
        <w:jc w:val="center"/>
        <w:rPr>
          <w:rFonts w:cstheme="minorHAnsi"/>
        </w:rPr>
      </w:pPr>
      <w:r w:rsidRPr="00CA0C81">
        <w:rPr>
          <w:rFonts w:cstheme="minorHAnsi"/>
        </w:rPr>
        <w:t>Fuente: Elaboración propia con información remitida por SICERE</w:t>
      </w:r>
    </w:p>
    <w:p w14:paraId="36F1C192" w14:textId="77777777" w:rsidR="0089748C" w:rsidRPr="007776FB" w:rsidRDefault="0089748C" w:rsidP="0089748C">
      <w:pPr>
        <w:spacing w:after="0" w:line="240" w:lineRule="auto"/>
        <w:jc w:val="both"/>
      </w:pPr>
    </w:p>
    <w:p w14:paraId="739BCD89" w14:textId="77777777" w:rsidR="0089748C" w:rsidRDefault="0089748C" w:rsidP="0089748C">
      <w:pPr>
        <w:spacing w:after="0" w:line="240" w:lineRule="auto"/>
        <w:jc w:val="both"/>
        <w:rPr>
          <w:rFonts w:cstheme="minorHAnsi"/>
        </w:rPr>
      </w:pPr>
      <w:r w:rsidRPr="00CA0C81">
        <w:rPr>
          <w:rFonts w:cstheme="minorHAnsi"/>
        </w:rPr>
        <w:t>En la siguiente tabla se puede observar el desglose de los recursos que se trasladaron de acuerdo con su origen:</w:t>
      </w:r>
    </w:p>
    <w:p w14:paraId="3B28F642" w14:textId="77777777" w:rsidR="0089748C" w:rsidRPr="00CA0C81" w:rsidRDefault="0089748C" w:rsidP="0089748C">
      <w:pPr>
        <w:spacing w:after="0" w:line="240" w:lineRule="auto"/>
        <w:jc w:val="both"/>
        <w:rPr>
          <w:rFonts w:cstheme="minorHAnsi"/>
        </w:rPr>
      </w:pPr>
    </w:p>
    <w:p w14:paraId="2D7C14A0" w14:textId="77777777" w:rsidR="0089748C" w:rsidRPr="007776FB" w:rsidRDefault="0089748C" w:rsidP="0089748C">
      <w:pPr>
        <w:pStyle w:val="Descripcin"/>
        <w:spacing w:after="0"/>
        <w:ind w:left="360"/>
        <w:jc w:val="center"/>
        <w:rPr>
          <w:rFonts w:cstheme="minorHAnsi"/>
        </w:rPr>
      </w:pPr>
      <w:r w:rsidRPr="0016176E">
        <w:t xml:space="preserve">Tabla </w:t>
      </w:r>
      <w:r w:rsidRPr="0016176E">
        <w:fldChar w:fldCharType="begin"/>
      </w:r>
      <w:r w:rsidRPr="0016176E">
        <w:instrText xml:space="preserve"> SEQ Tabla \* ARABIC </w:instrText>
      </w:r>
      <w:r w:rsidRPr="0016176E">
        <w:fldChar w:fldCharType="separate"/>
      </w:r>
      <w:r>
        <w:rPr>
          <w:noProof/>
        </w:rPr>
        <w:t>7</w:t>
      </w:r>
      <w:r w:rsidRPr="0016176E">
        <w:fldChar w:fldCharType="end"/>
      </w:r>
      <w:r w:rsidRPr="0016176E">
        <w:t>:</w:t>
      </w:r>
      <w:r w:rsidRPr="00C83773">
        <w:t xml:space="preserve"> </w:t>
      </w:r>
      <w:r w:rsidRPr="007776FB">
        <w:rPr>
          <w:rFonts w:cstheme="minorHAnsi"/>
        </w:rPr>
        <w:t>Devolución de ahorro obligatorio del Banco Popular</w:t>
      </w:r>
    </w:p>
    <w:p w14:paraId="0C2FFF04" w14:textId="77777777" w:rsidR="0089748C" w:rsidRPr="007776FB" w:rsidRDefault="0089748C" w:rsidP="0089748C">
      <w:pPr>
        <w:pStyle w:val="Descripcin"/>
        <w:spacing w:after="0"/>
        <w:ind w:left="360"/>
        <w:jc w:val="center"/>
        <w:rPr>
          <w:rFonts w:cstheme="minorHAnsi"/>
          <w:sz w:val="12"/>
          <w:szCs w:val="12"/>
        </w:rPr>
      </w:pPr>
      <w:r>
        <w:rPr>
          <w:rFonts w:cstheme="minorHAnsi"/>
        </w:rPr>
        <w:t>M</w:t>
      </w:r>
      <w:r w:rsidRPr="007776FB">
        <w:rPr>
          <w:rFonts w:cstheme="minorHAnsi"/>
        </w:rPr>
        <w:t>onto en colones</w:t>
      </w:r>
      <w:r>
        <w:rPr>
          <w:rFonts w:cstheme="minorHAnsi"/>
        </w:rPr>
        <w:t xml:space="preserve"> costarricenses</w:t>
      </w:r>
    </w:p>
    <w:p w14:paraId="2856FB78" w14:textId="77777777" w:rsidR="0089748C" w:rsidRPr="007776FB" w:rsidRDefault="0089748C" w:rsidP="0089748C">
      <w:pPr>
        <w:pStyle w:val="Descripcin"/>
        <w:spacing w:after="0"/>
        <w:ind w:left="360"/>
        <w:jc w:val="center"/>
        <w:rPr>
          <w:rFonts w:cstheme="minorHAnsi"/>
        </w:rPr>
      </w:pPr>
      <w:r w:rsidRPr="007776FB">
        <w:rPr>
          <w:rFonts w:cstheme="minorHAnsi"/>
        </w:rPr>
        <w:t>14 de julio de 2021</w:t>
      </w:r>
    </w:p>
    <w:tbl>
      <w:tblPr>
        <w:tblStyle w:val="Tablaconcuadrcula4-nfasis1"/>
        <w:tblW w:w="7935" w:type="dxa"/>
        <w:jc w:val="center"/>
        <w:tblLook w:val="04E0" w:firstRow="1" w:lastRow="1" w:firstColumn="1" w:lastColumn="0" w:noHBand="0" w:noVBand="1"/>
      </w:tblPr>
      <w:tblGrid>
        <w:gridCol w:w="2786"/>
        <w:gridCol w:w="1768"/>
        <w:gridCol w:w="1753"/>
        <w:gridCol w:w="1628"/>
      </w:tblGrid>
      <w:tr w:rsidR="0089748C" w:rsidRPr="007776FB" w14:paraId="18664E26" w14:textId="77777777" w:rsidTr="004A4F6C">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786" w:type="dxa"/>
            <w:noWrap/>
            <w:vAlign w:val="center"/>
            <w:hideMark/>
          </w:tcPr>
          <w:p w14:paraId="2BF9FB38" w14:textId="77777777" w:rsidR="0089748C" w:rsidRPr="007776FB" w:rsidRDefault="0089748C" w:rsidP="004A4F6C">
            <w:pPr>
              <w:rPr>
                <w:rFonts w:asciiTheme="minorHAnsi" w:eastAsia="Times New Roman" w:hAnsiTheme="minorHAnsi" w:cstheme="minorHAnsi"/>
                <w:color w:val="auto"/>
                <w:lang w:val="es-CR"/>
              </w:rPr>
            </w:pPr>
            <w:r w:rsidRPr="007776FB">
              <w:rPr>
                <w:rFonts w:asciiTheme="minorHAnsi" w:eastAsia="Times New Roman" w:hAnsiTheme="minorHAnsi" w:cstheme="minorHAnsi"/>
                <w:color w:val="auto"/>
                <w:lang w:val="es-CR"/>
              </w:rPr>
              <w:t>Detalle</w:t>
            </w:r>
          </w:p>
        </w:tc>
        <w:tc>
          <w:tcPr>
            <w:tcW w:w="1768" w:type="dxa"/>
            <w:noWrap/>
            <w:vAlign w:val="center"/>
            <w:hideMark/>
          </w:tcPr>
          <w:p w14:paraId="302757E8" w14:textId="77777777" w:rsidR="0089748C" w:rsidRPr="007776FB"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7776FB">
              <w:rPr>
                <w:rFonts w:asciiTheme="minorHAnsi" w:eastAsia="Times New Roman" w:hAnsiTheme="minorHAnsi" w:cstheme="minorHAnsi"/>
                <w:color w:val="auto"/>
                <w:lang w:val="es-CR"/>
              </w:rPr>
              <w:t xml:space="preserve">Aporte </w:t>
            </w:r>
          </w:p>
          <w:p w14:paraId="70641A79" w14:textId="77777777" w:rsidR="0089748C" w:rsidRPr="007776FB"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s-CR"/>
              </w:rPr>
            </w:pPr>
            <w:r w:rsidRPr="007776FB">
              <w:rPr>
                <w:rFonts w:asciiTheme="minorHAnsi" w:eastAsia="Times New Roman" w:hAnsiTheme="minorHAnsi" w:cstheme="minorHAnsi"/>
                <w:color w:val="auto"/>
                <w:lang w:val="es-CR"/>
              </w:rPr>
              <w:t xml:space="preserve">obrero </w:t>
            </w:r>
          </w:p>
        </w:tc>
        <w:tc>
          <w:tcPr>
            <w:tcW w:w="1753" w:type="dxa"/>
            <w:noWrap/>
            <w:vAlign w:val="center"/>
            <w:hideMark/>
          </w:tcPr>
          <w:p w14:paraId="4B5880D4" w14:textId="77777777" w:rsidR="0089748C" w:rsidRPr="007776FB"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s-CR"/>
              </w:rPr>
            </w:pPr>
            <w:r w:rsidRPr="007776FB">
              <w:rPr>
                <w:rFonts w:asciiTheme="minorHAnsi" w:eastAsia="Times New Roman" w:hAnsiTheme="minorHAnsi" w:cstheme="minorHAnsi"/>
                <w:color w:val="auto"/>
                <w:lang w:val="es-CR"/>
              </w:rPr>
              <w:t>Aporte patronal</w:t>
            </w:r>
          </w:p>
        </w:tc>
        <w:tc>
          <w:tcPr>
            <w:tcW w:w="1628" w:type="dxa"/>
            <w:vAlign w:val="center"/>
          </w:tcPr>
          <w:p w14:paraId="1D531C03" w14:textId="77777777" w:rsidR="0089748C" w:rsidRPr="007776FB"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s-CR"/>
              </w:rPr>
            </w:pPr>
            <w:r w:rsidRPr="007776FB">
              <w:rPr>
                <w:rFonts w:asciiTheme="minorHAnsi" w:eastAsia="Times New Roman" w:hAnsiTheme="minorHAnsi" w:cstheme="minorHAnsi"/>
                <w:color w:val="auto"/>
                <w:lang w:val="es-CR"/>
              </w:rPr>
              <w:t>Total</w:t>
            </w:r>
          </w:p>
        </w:tc>
      </w:tr>
      <w:tr w:rsidR="0089748C" w:rsidRPr="007776FB" w14:paraId="58B575C3" w14:textId="77777777" w:rsidTr="004A4F6C">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786" w:type="dxa"/>
            <w:noWrap/>
            <w:hideMark/>
          </w:tcPr>
          <w:p w14:paraId="27D0BDFB" w14:textId="77777777" w:rsidR="0089748C" w:rsidRPr="007776FB" w:rsidRDefault="0089748C" w:rsidP="004A4F6C">
            <w:pPr>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 xml:space="preserve">Monto </w:t>
            </w:r>
          </w:p>
        </w:tc>
        <w:tc>
          <w:tcPr>
            <w:tcW w:w="1768" w:type="dxa"/>
            <w:noWrap/>
          </w:tcPr>
          <w:p w14:paraId="0E15062D" w14:textId="77777777" w:rsidR="0089748C" w:rsidRPr="007776FB"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109</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079</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684</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410</w:t>
            </w:r>
          </w:p>
        </w:tc>
        <w:tc>
          <w:tcPr>
            <w:tcW w:w="1753" w:type="dxa"/>
            <w:noWrap/>
          </w:tcPr>
          <w:p w14:paraId="579AA478" w14:textId="77777777" w:rsidR="0089748C" w:rsidRPr="007776FB"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27</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270</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289</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639</w:t>
            </w:r>
          </w:p>
        </w:tc>
        <w:tc>
          <w:tcPr>
            <w:tcW w:w="1628" w:type="dxa"/>
          </w:tcPr>
          <w:p w14:paraId="62A46B4E" w14:textId="77777777" w:rsidR="0089748C" w:rsidRPr="007776FB"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6FB">
              <w:rPr>
                <w:rFonts w:asciiTheme="minorHAnsi" w:hAnsiTheme="minorHAnsi" w:cstheme="minorHAnsi"/>
              </w:rPr>
              <w:t>136</w:t>
            </w:r>
            <w:r>
              <w:rPr>
                <w:rFonts w:asciiTheme="minorHAnsi" w:hAnsiTheme="minorHAnsi" w:cstheme="minorHAnsi"/>
              </w:rPr>
              <w:t xml:space="preserve"> </w:t>
            </w:r>
            <w:r w:rsidRPr="007776FB">
              <w:rPr>
                <w:rFonts w:asciiTheme="minorHAnsi" w:hAnsiTheme="minorHAnsi" w:cstheme="minorHAnsi"/>
              </w:rPr>
              <w:t>349</w:t>
            </w:r>
            <w:r>
              <w:rPr>
                <w:rFonts w:asciiTheme="minorHAnsi" w:hAnsiTheme="minorHAnsi" w:cstheme="minorHAnsi"/>
              </w:rPr>
              <w:t xml:space="preserve"> </w:t>
            </w:r>
            <w:r w:rsidRPr="007776FB">
              <w:rPr>
                <w:rFonts w:asciiTheme="minorHAnsi" w:hAnsiTheme="minorHAnsi" w:cstheme="minorHAnsi"/>
              </w:rPr>
              <w:t>974</w:t>
            </w:r>
            <w:r>
              <w:rPr>
                <w:rFonts w:asciiTheme="minorHAnsi" w:hAnsiTheme="minorHAnsi" w:cstheme="minorHAnsi"/>
              </w:rPr>
              <w:t xml:space="preserve"> </w:t>
            </w:r>
            <w:r w:rsidRPr="007776FB">
              <w:rPr>
                <w:rFonts w:asciiTheme="minorHAnsi" w:hAnsiTheme="minorHAnsi" w:cstheme="minorHAnsi"/>
              </w:rPr>
              <w:t>049</w:t>
            </w:r>
          </w:p>
        </w:tc>
      </w:tr>
      <w:tr w:rsidR="0089748C" w:rsidRPr="007776FB" w14:paraId="233D47F3" w14:textId="77777777" w:rsidTr="004A4F6C">
        <w:trPr>
          <w:trHeight w:val="200"/>
          <w:jc w:val="center"/>
        </w:trPr>
        <w:tc>
          <w:tcPr>
            <w:cnfStyle w:val="001000000000" w:firstRow="0" w:lastRow="0" w:firstColumn="1" w:lastColumn="0" w:oddVBand="0" w:evenVBand="0" w:oddHBand="0" w:evenHBand="0" w:firstRowFirstColumn="0" w:firstRowLastColumn="0" w:lastRowFirstColumn="0" w:lastRowLastColumn="0"/>
            <w:tcW w:w="2786" w:type="dxa"/>
            <w:noWrap/>
            <w:hideMark/>
          </w:tcPr>
          <w:p w14:paraId="44739F4B" w14:textId="77777777" w:rsidR="0089748C" w:rsidRPr="007776FB" w:rsidRDefault="0089748C" w:rsidP="004A4F6C">
            <w:pPr>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Interés devengado</w:t>
            </w:r>
          </w:p>
        </w:tc>
        <w:tc>
          <w:tcPr>
            <w:tcW w:w="1768" w:type="dxa"/>
            <w:noWrap/>
          </w:tcPr>
          <w:p w14:paraId="22B2D7D7" w14:textId="77777777" w:rsidR="0089748C" w:rsidRPr="007776FB"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6</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227</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179</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755</w:t>
            </w:r>
          </w:p>
        </w:tc>
        <w:tc>
          <w:tcPr>
            <w:tcW w:w="1753" w:type="dxa"/>
            <w:noWrap/>
          </w:tcPr>
          <w:p w14:paraId="420F138B" w14:textId="77777777" w:rsidR="0089748C" w:rsidRPr="007776FB"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0</w:t>
            </w:r>
          </w:p>
        </w:tc>
        <w:tc>
          <w:tcPr>
            <w:tcW w:w="1628" w:type="dxa"/>
          </w:tcPr>
          <w:p w14:paraId="576D9D6D" w14:textId="77777777" w:rsidR="0089748C" w:rsidRPr="007776FB"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6FB">
              <w:rPr>
                <w:rFonts w:asciiTheme="minorHAnsi" w:hAnsiTheme="minorHAnsi" w:cstheme="minorHAnsi"/>
              </w:rPr>
              <w:t>6</w:t>
            </w:r>
            <w:r>
              <w:rPr>
                <w:rFonts w:asciiTheme="minorHAnsi" w:hAnsiTheme="minorHAnsi" w:cstheme="minorHAnsi"/>
              </w:rPr>
              <w:t xml:space="preserve"> </w:t>
            </w:r>
            <w:r w:rsidRPr="007776FB">
              <w:rPr>
                <w:rFonts w:asciiTheme="minorHAnsi" w:hAnsiTheme="minorHAnsi" w:cstheme="minorHAnsi"/>
              </w:rPr>
              <w:t>227</w:t>
            </w:r>
            <w:r>
              <w:rPr>
                <w:rFonts w:asciiTheme="minorHAnsi" w:hAnsiTheme="minorHAnsi" w:cstheme="minorHAnsi"/>
              </w:rPr>
              <w:t xml:space="preserve"> </w:t>
            </w:r>
            <w:r w:rsidRPr="007776FB">
              <w:rPr>
                <w:rFonts w:asciiTheme="minorHAnsi" w:hAnsiTheme="minorHAnsi" w:cstheme="minorHAnsi"/>
              </w:rPr>
              <w:t>179</w:t>
            </w:r>
            <w:r>
              <w:rPr>
                <w:rFonts w:asciiTheme="minorHAnsi" w:hAnsiTheme="minorHAnsi" w:cstheme="minorHAnsi"/>
              </w:rPr>
              <w:t xml:space="preserve"> </w:t>
            </w:r>
            <w:r w:rsidRPr="007776FB">
              <w:rPr>
                <w:rFonts w:asciiTheme="minorHAnsi" w:hAnsiTheme="minorHAnsi" w:cstheme="minorHAnsi"/>
              </w:rPr>
              <w:t>755</w:t>
            </w:r>
          </w:p>
        </w:tc>
      </w:tr>
      <w:tr w:rsidR="0089748C" w:rsidRPr="007776FB" w14:paraId="4B04CA70" w14:textId="77777777" w:rsidTr="004A4F6C">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786" w:type="dxa"/>
            <w:noWrap/>
            <w:hideMark/>
          </w:tcPr>
          <w:p w14:paraId="00FDF798" w14:textId="77777777" w:rsidR="0089748C" w:rsidRPr="007776FB" w:rsidRDefault="0089748C" w:rsidP="004A4F6C">
            <w:pPr>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Interés por mora</w:t>
            </w:r>
          </w:p>
        </w:tc>
        <w:tc>
          <w:tcPr>
            <w:tcW w:w="1768" w:type="dxa"/>
            <w:noWrap/>
          </w:tcPr>
          <w:p w14:paraId="2A102C2E" w14:textId="77777777" w:rsidR="0089748C" w:rsidRPr="007776FB"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130</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236</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294</w:t>
            </w:r>
          </w:p>
        </w:tc>
        <w:tc>
          <w:tcPr>
            <w:tcW w:w="1753" w:type="dxa"/>
            <w:noWrap/>
          </w:tcPr>
          <w:p w14:paraId="497BAFC3" w14:textId="77777777" w:rsidR="0089748C" w:rsidRPr="007776FB"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32</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497</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254</w:t>
            </w:r>
          </w:p>
        </w:tc>
        <w:tc>
          <w:tcPr>
            <w:tcW w:w="1628" w:type="dxa"/>
          </w:tcPr>
          <w:p w14:paraId="2912A305" w14:textId="77777777" w:rsidR="0089748C" w:rsidRPr="007776FB"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6FB">
              <w:rPr>
                <w:rFonts w:asciiTheme="minorHAnsi" w:hAnsiTheme="minorHAnsi" w:cstheme="minorHAnsi"/>
              </w:rPr>
              <w:t>132</w:t>
            </w:r>
            <w:r>
              <w:rPr>
                <w:rFonts w:asciiTheme="minorHAnsi" w:hAnsiTheme="minorHAnsi" w:cstheme="minorHAnsi"/>
              </w:rPr>
              <w:t xml:space="preserve"> </w:t>
            </w:r>
            <w:r w:rsidRPr="007776FB">
              <w:rPr>
                <w:rFonts w:asciiTheme="minorHAnsi" w:hAnsiTheme="minorHAnsi" w:cstheme="minorHAnsi"/>
              </w:rPr>
              <w:t>733</w:t>
            </w:r>
            <w:r>
              <w:rPr>
                <w:rFonts w:asciiTheme="minorHAnsi" w:hAnsiTheme="minorHAnsi" w:cstheme="minorHAnsi"/>
              </w:rPr>
              <w:t xml:space="preserve"> </w:t>
            </w:r>
            <w:r w:rsidRPr="007776FB">
              <w:rPr>
                <w:rFonts w:asciiTheme="minorHAnsi" w:hAnsiTheme="minorHAnsi" w:cstheme="minorHAnsi"/>
              </w:rPr>
              <w:t>548</w:t>
            </w:r>
          </w:p>
        </w:tc>
      </w:tr>
      <w:tr w:rsidR="0089748C" w:rsidRPr="007776FB" w14:paraId="5B17AF2C" w14:textId="77777777" w:rsidTr="004A4F6C">
        <w:trPr>
          <w:cnfStyle w:val="010000000000" w:firstRow="0" w:lastRow="1"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786" w:type="dxa"/>
            <w:noWrap/>
            <w:hideMark/>
          </w:tcPr>
          <w:p w14:paraId="11D6F971" w14:textId="77777777" w:rsidR="0089748C" w:rsidRPr="007776FB" w:rsidRDefault="0089748C" w:rsidP="004A4F6C">
            <w:pPr>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Total</w:t>
            </w:r>
          </w:p>
        </w:tc>
        <w:tc>
          <w:tcPr>
            <w:tcW w:w="1768" w:type="dxa"/>
            <w:noWrap/>
          </w:tcPr>
          <w:p w14:paraId="7F2C13DA" w14:textId="77777777" w:rsidR="0089748C" w:rsidRPr="007776FB" w:rsidRDefault="0089748C" w:rsidP="004A4F6C">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115</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437</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100</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459</w:t>
            </w:r>
          </w:p>
        </w:tc>
        <w:tc>
          <w:tcPr>
            <w:tcW w:w="1753" w:type="dxa"/>
            <w:noWrap/>
          </w:tcPr>
          <w:p w14:paraId="59028E0D" w14:textId="77777777" w:rsidR="0089748C" w:rsidRPr="007776FB" w:rsidRDefault="0089748C" w:rsidP="004A4F6C">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7776FB">
              <w:rPr>
                <w:rFonts w:asciiTheme="minorHAnsi" w:eastAsia="Times New Roman" w:hAnsiTheme="minorHAnsi" w:cstheme="minorHAnsi"/>
                <w:color w:val="000000"/>
                <w:lang w:val="es-CR"/>
              </w:rPr>
              <w:t>27</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302</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786</w:t>
            </w:r>
            <w:r>
              <w:rPr>
                <w:rFonts w:asciiTheme="minorHAnsi" w:eastAsia="Times New Roman" w:hAnsiTheme="minorHAnsi" w:cstheme="minorHAnsi"/>
                <w:color w:val="000000"/>
                <w:lang w:val="es-CR"/>
              </w:rPr>
              <w:t xml:space="preserve"> </w:t>
            </w:r>
            <w:r w:rsidRPr="007776FB">
              <w:rPr>
                <w:rFonts w:asciiTheme="minorHAnsi" w:eastAsia="Times New Roman" w:hAnsiTheme="minorHAnsi" w:cstheme="minorHAnsi"/>
                <w:color w:val="000000"/>
                <w:lang w:val="es-CR"/>
              </w:rPr>
              <w:t>893</w:t>
            </w:r>
          </w:p>
        </w:tc>
        <w:tc>
          <w:tcPr>
            <w:tcW w:w="1628" w:type="dxa"/>
          </w:tcPr>
          <w:p w14:paraId="52106C4D" w14:textId="77777777" w:rsidR="0089748C" w:rsidRPr="007776FB" w:rsidRDefault="0089748C" w:rsidP="004A4F6C">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7776FB">
              <w:rPr>
                <w:rFonts w:asciiTheme="minorHAnsi" w:hAnsiTheme="minorHAnsi" w:cstheme="minorHAnsi"/>
              </w:rPr>
              <w:t>142</w:t>
            </w:r>
            <w:r>
              <w:rPr>
                <w:rFonts w:asciiTheme="minorHAnsi" w:hAnsiTheme="minorHAnsi" w:cstheme="minorHAnsi"/>
              </w:rPr>
              <w:t xml:space="preserve"> </w:t>
            </w:r>
            <w:r w:rsidRPr="007776FB">
              <w:rPr>
                <w:rFonts w:asciiTheme="minorHAnsi" w:hAnsiTheme="minorHAnsi" w:cstheme="minorHAnsi"/>
              </w:rPr>
              <w:t>739</w:t>
            </w:r>
            <w:r>
              <w:rPr>
                <w:rFonts w:asciiTheme="minorHAnsi" w:hAnsiTheme="minorHAnsi" w:cstheme="minorHAnsi"/>
              </w:rPr>
              <w:t xml:space="preserve"> </w:t>
            </w:r>
            <w:r w:rsidRPr="007776FB">
              <w:rPr>
                <w:rFonts w:asciiTheme="minorHAnsi" w:hAnsiTheme="minorHAnsi" w:cstheme="minorHAnsi"/>
              </w:rPr>
              <w:t>887</w:t>
            </w:r>
            <w:r>
              <w:rPr>
                <w:rFonts w:asciiTheme="minorHAnsi" w:hAnsiTheme="minorHAnsi" w:cstheme="minorHAnsi"/>
              </w:rPr>
              <w:t xml:space="preserve"> </w:t>
            </w:r>
            <w:r w:rsidRPr="007776FB">
              <w:rPr>
                <w:rFonts w:asciiTheme="minorHAnsi" w:hAnsiTheme="minorHAnsi" w:cstheme="minorHAnsi"/>
              </w:rPr>
              <w:t>352</w:t>
            </w:r>
          </w:p>
        </w:tc>
      </w:tr>
    </w:tbl>
    <w:p w14:paraId="36A805B9" w14:textId="77777777" w:rsidR="0089748C" w:rsidRDefault="0089748C" w:rsidP="0089748C">
      <w:pPr>
        <w:pStyle w:val="Descripcin"/>
        <w:spacing w:after="0"/>
        <w:ind w:left="567" w:firstLine="1"/>
        <w:rPr>
          <w:rFonts w:cstheme="minorHAnsi"/>
        </w:rPr>
      </w:pPr>
      <w:r w:rsidRPr="007776FB">
        <w:rPr>
          <w:rFonts w:cstheme="minorHAnsi"/>
        </w:rPr>
        <w:t>Fuente: Elaboración propia con datos suministrados por SICERE</w:t>
      </w:r>
    </w:p>
    <w:p w14:paraId="66F062C5" w14:textId="77777777" w:rsidR="0089748C" w:rsidRPr="00087866" w:rsidRDefault="0089748C" w:rsidP="0089748C">
      <w:pPr>
        <w:pStyle w:val="Descripcin"/>
        <w:spacing w:after="0"/>
        <w:ind w:left="567" w:right="474" w:firstLine="1"/>
        <w:jc w:val="both"/>
        <w:rPr>
          <w:rFonts w:cstheme="minorHAnsi"/>
          <w:i w:val="0"/>
          <w:iCs w:val="0"/>
        </w:rPr>
      </w:pPr>
      <w:r w:rsidRPr="00AB7D58">
        <w:rPr>
          <w:rFonts w:cstheme="minorHAnsi"/>
        </w:rPr>
        <w:t>Nota</w:t>
      </w:r>
      <w:r>
        <w:rPr>
          <w:rFonts w:cstheme="minorHAnsi"/>
          <w:i w:val="0"/>
          <w:iCs w:val="0"/>
        </w:rPr>
        <w:t xml:space="preserve">: </w:t>
      </w:r>
      <w:r w:rsidRPr="00925747">
        <w:rPr>
          <w:rFonts w:cstheme="minorHAnsi"/>
          <w:i w:val="0"/>
          <w:iCs w:val="0"/>
        </w:rPr>
        <w:t>“Interés por mora” al monto de intereses que se le distribuye cuando el aporte fue recaudado posterior a la fecha límite de pago, es decir cuando el patrono pagó el monto de la planilla con intereses.</w:t>
      </w:r>
    </w:p>
    <w:p w14:paraId="2F0A143B" w14:textId="77777777" w:rsidR="0089748C" w:rsidRPr="007776FB" w:rsidRDefault="0089748C" w:rsidP="0089748C">
      <w:pPr>
        <w:spacing w:after="0" w:line="240" w:lineRule="auto"/>
        <w:jc w:val="both"/>
      </w:pPr>
    </w:p>
    <w:p w14:paraId="30B6EE28" w14:textId="77777777" w:rsidR="0089748C" w:rsidRDefault="0089748C" w:rsidP="0089748C">
      <w:pPr>
        <w:spacing w:after="0" w:line="240" w:lineRule="auto"/>
        <w:jc w:val="both"/>
        <w:rPr>
          <w:rFonts w:cstheme="minorHAnsi"/>
        </w:rPr>
      </w:pPr>
      <w:r w:rsidRPr="007776FB">
        <w:rPr>
          <w:rFonts w:cstheme="minorHAnsi"/>
        </w:rPr>
        <w:t xml:space="preserve">De acuerdo con lo establecido en el artículo 13 de la </w:t>
      </w:r>
      <w:r>
        <w:rPr>
          <w:rFonts w:cstheme="minorHAnsi"/>
        </w:rPr>
        <w:t>LPT</w:t>
      </w:r>
      <w:r w:rsidRPr="007776FB">
        <w:rPr>
          <w:rFonts w:cstheme="minorHAnsi"/>
        </w:rPr>
        <w:t>, la administración del BPDC deberá reconocer una tasa de interés anual sobre estos recursos. En este sentido, según acuerdo de la sesión de la Junta Directiva Nacional del BPDC del 5 de mayo de 2021, se aprobó una tasa de interés anual del 3,31%.</w:t>
      </w:r>
    </w:p>
    <w:p w14:paraId="74DB3C62" w14:textId="77777777" w:rsidR="0089748C" w:rsidRDefault="0089748C" w:rsidP="0089748C">
      <w:pPr>
        <w:spacing w:after="0" w:line="240" w:lineRule="auto"/>
        <w:jc w:val="both"/>
        <w:rPr>
          <w:rFonts w:cstheme="minorHAnsi"/>
        </w:rPr>
      </w:pPr>
    </w:p>
    <w:p w14:paraId="19A88339" w14:textId="77777777" w:rsidR="0089748C" w:rsidRDefault="0089748C" w:rsidP="0089748C">
      <w:pPr>
        <w:spacing w:after="0" w:line="240" w:lineRule="auto"/>
        <w:jc w:val="both"/>
        <w:rPr>
          <w:rFonts w:cstheme="minorHAnsi"/>
        </w:rPr>
      </w:pPr>
    </w:p>
    <w:p w14:paraId="70BEF2DA" w14:textId="77777777" w:rsidR="0089748C" w:rsidRDefault="0089748C" w:rsidP="0089748C">
      <w:pPr>
        <w:spacing w:after="0" w:line="240" w:lineRule="auto"/>
        <w:jc w:val="both"/>
        <w:rPr>
          <w:rFonts w:cstheme="minorHAnsi"/>
        </w:rPr>
      </w:pPr>
    </w:p>
    <w:p w14:paraId="68778A88" w14:textId="77777777" w:rsidR="0089748C" w:rsidRPr="007553A5" w:rsidRDefault="0089748C" w:rsidP="0089748C">
      <w:pPr>
        <w:pStyle w:val="Ttulo2"/>
        <w:numPr>
          <w:ilvl w:val="1"/>
          <w:numId w:val="1"/>
        </w:numPr>
      </w:pPr>
      <w:bookmarkStart w:id="18" w:name="_Toc80290692"/>
      <w:r w:rsidRPr="003D2DAF">
        <w:lastRenderedPageBreak/>
        <w:t>Retiros</w:t>
      </w:r>
      <w:r w:rsidRPr="007553A5">
        <w:t xml:space="preserve"> en el ROP a partir de la reforma de la LPT</w:t>
      </w:r>
      <w:bookmarkEnd w:id="18"/>
    </w:p>
    <w:p w14:paraId="4D0A6EA1" w14:textId="77777777" w:rsidR="0089748C" w:rsidRDefault="0089748C" w:rsidP="0089748C">
      <w:pPr>
        <w:spacing w:after="0" w:line="240" w:lineRule="auto"/>
        <w:jc w:val="both"/>
        <w:rPr>
          <w:rFonts w:ascii="Times New Roman" w:eastAsiaTheme="majorEastAsia" w:hAnsi="Times New Roman" w:cs="Times New Roman"/>
          <w:i/>
          <w:iCs/>
          <w:color w:val="243F60" w:themeColor="accent1" w:themeShade="7F"/>
          <w:highlight w:val="yellow"/>
        </w:rPr>
      </w:pPr>
    </w:p>
    <w:p w14:paraId="2442ED8F" w14:textId="77777777" w:rsidR="0089748C" w:rsidRDefault="0089748C" w:rsidP="0089748C">
      <w:pPr>
        <w:spacing w:after="0" w:line="240" w:lineRule="auto"/>
        <w:jc w:val="both"/>
        <w:rPr>
          <w:rFonts w:cstheme="minorHAnsi"/>
        </w:rPr>
      </w:pPr>
      <w:r w:rsidRPr="005637C0">
        <w:rPr>
          <w:rFonts w:cstheme="minorHAnsi"/>
        </w:rPr>
        <w:t>A continuación, se presenta el resumen de los retiros del ROP registrados desde el 1 de enero al 30 de junio de 2021, en el que se ilustran</w:t>
      </w:r>
      <w:r w:rsidRPr="005637C0" w:rsidDel="00A845B1">
        <w:rPr>
          <w:rFonts w:cstheme="minorHAnsi"/>
        </w:rPr>
        <w:t xml:space="preserve"> </w:t>
      </w:r>
      <w:r w:rsidRPr="005637C0">
        <w:rPr>
          <w:rFonts w:cstheme="minorHAnsi"/>
        </w:rPr>
        <w:t xml:space="preserve">las nuevas modalidades de beneficios según la Ley 9906: </w:t>
      </w:r>
    </w:p>
    <w:p w14:paraId="36A03CF9" w14:textId="77777777" w:rsidR="0089748C" w:rsidRPr="005637C0" w:rsidRDefault="0089748C" w:rsidP="0089748C">
      <w:pPr>
        <w:spacing w:after="0" w:line="240" w:lineRule="auto"/>
        <w:jc w:val="both"/>
        <w:rPr>
          <w:rFonts w:cstheme="minorHAnsi"/>
        </w:rPr>
      </w:pPr>
    </w:p>
    <w:p w14:paraId="3C4FF4DF" w14:textId="77777777" w:rsidR="0089748C" w:rsidRPr="005637C0" w:rsidRDefault="0089748C" w:rsidP="0089748C">
      <w:pPr>
        <w:pStyle w:val="Descripcin"/>
        <w:spacing w:after="0"/>
        <w:ind w:left="360"/>
        <w:jc w:val="center"/>
      </w:pPr>
      <w:r w:rsidRPr="0016176E">
        <w:t xml:space="preserve">Tabla </w:t>
      </w:r>
      <w:r w:rsidRPr="0016176E">
        <w:fldChar w:fldCharType="begin"/>
      </w:r>
      <w:r w:rsidRPr="0016176E">
        <w:instrText xml:space="preserve"> SEQ Tabla \* ARABIC </w:instrText>
      </w:r>
      <w:r w:rsidRPr="0016176E">
        <w:fldChar w:fldCharType="separate"/>
      </w:r>
      <w:r>
        <w:rPr>
          <w:noProof/>
        </w:rPr>
        <w:t>8</w:t>
      </w:r>
      <w:r w:rsidRPr="0016176E">
        <w:fldChar w:fldCharType="end"/>
      </w:r>
      <w:r w:rsidRPr="0016176E">
        <w:t>:</w:t>
      </w:r>
      <w:r w:rsidRPr="00C83773">
        <w:t xml:space="preserve"> </w:t>
      </w:r>
      <w:r w:rsidRPr="005637C0">
        <w:t>Retiros del ROP por modalidades transitorias</w:t>
      </w:r>
    </w:p>
    <w:p w14:paraId="6271F5BD" w14:textId="77777777" w:rsidR="0089748C" w:rsidRPr="005637C0" w:rsidRDefault="0089748C" w:rsidP="0089748C">
      <w:pPr>
        <w:pStyle w:val="Descripcin"/>
        <w:spacing w:after="0"/>
        <w:ind w:left="360"/>
        <w:jc w:val="center"/>
      </w:pPr>
      <w:r w:rsidRPr="005637C0">
        <w:t>Monto pagado en millones de colones</w:t>
      </w:r>
      <w:r>
        <w:t xml:space="preserve"> costarricenses</w:t>
      </w:r>
    </w:p>
    <w:p w14:paraId="48ED2E9F" w14:textId="77777777" w:rsidR="0089748C" w:rsidRPr="005637C0" w:rsidRDefault="0089748C" w:rsidP="0089748C">
      <w:pPr>
        <w:pStyle w:val="Descripcin"/>
        <w:spacing w:after="0"/>
        <w:ind w:left="360"/>
        <w:jc w:val="center"/>
      </w:pPr>
      <w:r w:rsidRPr="005637C0">
        <w:t>del 1 de enero al 30 de junio de 2021</w:t>
      </w:r>
    </w:p>
    <w:tbl>
      <w:tblPr>
        <w:tblStyle w:val="Tablaconcuadrcula4-nfasis1"/>
        <w:tblW w:w="8080" w:type="dxa"/>
        <w:jc w:val="center"/>
        <w:tblLook w:val="04E0" w:firstRow="1" w:lastRow="1" w:firstColumn="1" w:lastColumn="0" w:noHBand="0" w:noVBand="1"/>
      </w:tblPr>
      <w:tblGrid>
        <w:gridCol w:w="3990"/>
        <w:gridCol w:w="1275"/>
        <w:gridCol w:w="1468"/>
        <w:gridCol w:w="1347"/>
      </w:tblGrid>
      <w:tr w:rsidR="0089748C" w:rsidRPr="006F0EBA" w14:paraId="3957001A" w14:textId="77777777" w:rsidTr="004A4F6C">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990" w:type="dxa"/>
            <w:vAlign w:val="center"/>
            <w:hideMark/>
          </w:tcPr>
          <w:p w14:paraId="4E22773B" w14:textId="77777777" w:rsidR="0089748C" w:rsidRPr="006F0EBA" w:rsidRDefault="0089748C" w:rsidP="004A4F6C">
            <w:pPr>
              <w:jc w:val="center"/>
              <w:rPr>
                <w:rFonts w:asciiTheme="minorHAnsi" w:eastAsia="Times New Roman" w:hAnsiTheme="minorHAnsi" w:cstheme="minorHAnsi"/>
                <w:color w:val="auto"/>
                <w:lang w:val="es-CR"/>
              </w:rPr>
            </w:pPr>
            <w:r w:rsidRPr="006F0EBA">
              <w:rPr>
                <w:rFonts w:asciiTheme="minorHAnsi" w:eastAsia="Times New Roman" w:hAnsiTheme="minorHAnsi" w:cstheme="minorHAnsi"/>
                <w:color w:val="auto"/>
                <w:lang w:val="es-CR"/>
              </w:rPr>
              <w:t xml:space="preserve">Modalidad transitoria </w:t>
            </w:r>
          </w:p>
        </w:tc>
        <w:tc>
          <w:tcPr>
            <w:tcW w:w="1275" w:type="dxa"/>
            <w:vAlign w:val="center"/>
            <w:hideMark/>
          </w:tcPr>
          <w:p w14:paraId="1B44FABD" w14:textId="77777777" w:rsidR="0089748C" w:rsidRPr="006F0EBA"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s-CR"/>
              </w:rPr>
            </w:pPr>
            <w:r w:rsidRPr="006F0EBA">
              <w:rPr>
                <w:rFonts w:asciiTheme="minorHAnsi" w:eastAsia="Times New Roman" w:hAnsiTheme="minorHAnsi" w:cstheme="minorHAnsi"/>
                <w:color w:val="auto"/>
                <w:lang w:val="es-CR"/>
              </w:rPr>
              <w:t>Solicitudes recibidas</w:t>
            </w:r>
          </w:p>
        </w:tc>
        <w:tc>
          <w:tcPr>
            <w:tcW w:w="1468" w:type="dxa"/>
            <w:vAlign w:val="center"/>
            <w:hideMark/>
          </w:tcPr>
          <w:p w14:paraId="4053D224" w14:textId="77777777" w:rsidR="0089748C" w:rsidRPr="006F0EBA"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s-CR"/>
              </w:rPr>
            </w:pPr>
            <w:r w:rsidRPr="006F0EBA">
              <w:rPr>
                <w:rFonts w:asciiTheme="minorHAnsi" w:eastAsia="Times New Roman" w:hAnsiTheme="minorHAnsi" w:cstheme="minorHAnsi"/>
                <w:color w:val="auto"/>
                <w:lang w:val="es-CR"/>
              </w:rPr>
              <w:t>Solicitudes pendientes</w:t>
            </w:r>
          </w:p>
        </w:tc>
        <w:tc>
          <w:tcPr>
            <w:tcW w:w="1347" w:type="dxa"/>
            <w:noWrap/>
            <w:vAlign w:val="center"/>
            <w:hideMark/>
          </w:tcPr>
          <w:p w14:paraId="6AB192BB" w14:textId="77777777" w:rsidR="0089748C" w:rsidRPr="006F0EBA" w:rsidRDefault="0089748C" w:rsidP="004A4F6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6F0EBA">
              <w:rPr>
                <w:rFonts w:asciiTheme="minorHAnsi" w:eastAsia="Times New Roman" w:hAnsiTheme="minorHAnsi" w:cstheme="minorHAnsi"/>
                <w:color w:val="auto"/>
                <w:lang w:val="es-CR"/>
              </w:rPr>
              <w:t>Monto pagado</w:t>
            </w:r>
          </w:p>
        </w:tc>
      </w:tr>
      <w:tr w:rsidR="0089748C" w:rsidRPr="006F0EBA" w14:paraId="381DAB6E" w14:textId="77777777" w:rsidTr="004A4F6C">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990" w:type="dxa"/>
            <w:vAlign w:val="center"/>
            <w:hideMark/>
          </w:tcPr>
          <w:p w14:paraId="59ABBC10" w14:textId="77777777" w:rsidR="0089748C" w:rsidRPr="006F0EBA" w:rsidRDefault="0089748C" w:rsidP="004A4F6C">
            <w:pPr>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Renta mensual a 30 meses</w:t>
            </w:r>
          </w:p>
        </w:tc>
        <w:tc>
          <w:tcPr>
            <w:tcW w:w="1275" w:type="dxa"/>
            <w:noWrap/>
            <w:vAlign w:val="center"/>
          </w:tcPr>
          <w:p w14:paraId="2C5A8AC1" w14:textId="77777777" w:rsidR="0089748C" w:rsidRPr="006F0EBA"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4 032</w:t>
            </w:r>
          </w:p>
        </w:tc>
        <w:tc>
          <w:tcPr>
            <w:tcW w:w="1468" w:type="dxa"/>
            <w:noWrap/>
            <w:vAlign w:val="center"/>
          </w:tcPr>
          <w:p w14:paraId="2889D8E5" w14:textId="77777777" w:rsidR="0089748C" w:rsidRPr="006F0EBA"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619</w:t>
            </w:r>
          </w:p>
        </w:tc>
        <w:tc>
          <w:tcPr>
            <w:tcW w:w="1347" w:type="dxa"/>
            <w:noWrap/>
            <w:vAlign w:val="center"/>
          </w:tcPr>
          <w:p w14:paraId="4B52874E" w14:textId="77777777" w:rsidR="0089748C" w:rsidRPr="006F0EBA"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5 081</w:t>
            </w:r>
          </w:p>
        </w:tc>
      </w:tr>
      <w:tr w:rsidR="0089748C" w:rsidRPr="006F0EBA" w14:paraId="5A85BAE0" w14:textId="77777777" w:rsidTr="004A4F6C">
        <w:trPr>
          <w:trHeight w:val="184"/>
          <w:jc w:val="center"/>
        </w:trPr>
        <w:tc>
          <w:tcPr>
            <w:cnfStyle w:val="001000000000" w:firstRow="0" w:lastRow="0" w:firstColumn="1" w:lastColumn="0" w:oddVBand="0" w:evenVBand="0" w:oddHBand="0" w:evenHBand="0" w:firstRowFirstColumn="0" w:firstRowLastColumn="0" w:lastRowFirstColumn="0" w:lastRowLastColumn="0"/>
            <w:tcW w:w="3990" w:type="dxa"/>
            <w:vAlign w:val="center"/>
            <w:hideMark/>
          </w:tcPr>
          <w:p w14:paraId="65466A9C" w14:textId="77777777" w:rsidR="0089748C" w:rsidRPr="006F0EBA" w:rsidRDefault="0089748C" w:rsidP="004A4F6C">
            <w:pPr>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Retiro acelerado: 9 mensualidades + pago 25% + pago restante al IV periodo</w:t>
            </w:r>
          </w:p>
        </w:tc>
        <w:tc>
          <w:tcPr>
            <w:tcW w:w="1275" w:type="dxa"/>
            <w:noWrap/>
            <w:vAlign w:val="center"/>
          </w:tcPr>
          <w:p w14:paraId="5974BFBB" w14:textId="77777777" w:rsidR="0089748C" w:rsidRPr="006F0EBA"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11 286</w:t>
            </w:r>
          </w:p>
        </w:tc>
        <w:tc>
          <w:tcPr>
            <w:tcW w:w="1468" w:type="dxa"/>
            <w:noWrap/>
            <w:vAlign w:val="center"/>
          </w:tcPr>
          <w:p w14:paraId="6EEC59B3" w14:textId="77777777" w:rsidR="0089748C" w:rsidRPr="006F0EBA"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1 744</w:t>
            </w:r>
          </w:p>
        </w:tc>
        <w:tc>
          <w:tcPr>
            <w:tcW w:w="1347" w:type="dxa"/>
            <w:noWrap/>
            <w:vAlign w:val="center"/>
          </w:tcPr>
          <w:p w14:paraId="7C3A1006" w14:textId="77777777" w:rsidR="0089748C" w:rsidRPr="006F0EBA"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30 536</w:t>
            </w:r>
          </w:p>
        </w:tc>
      </w:tr>
      <w:tr w:rsidR="0089748C" w:rsidRPr="006F0EBA" w14:paraId="344D2B5C" w14:textId="77777777" w:rsidTr="004A4F6C">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3990" w:type="dxa"/>
            <w:vAlign w:val="center"/>
          </w:tcPr>
          <w:p w14:paraId="575F1796" w14:textId="77777777" w:rsidR="0089748C" w:rsidRPr="006F0EBA" w:rsidRDefault="0089748C" w:rsidP="004A4F6C">
            <w:pPr>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 xml:space="preserve">Renta temporal igual a cantidad de cotizaciones </w:t>
            </w:r>
          </w:p>
        </w:tc>
        <w:tc>
          <w:tcPr>
            <w:tcW w:w="1275" w:type="dxa"/>
            <w:noWrap/>
            <w:vAlign w:val="center"/>
          </w:tcPr>
          <w:p w14:paraId="7618CB20" w14:textId="77777777" w:rsidR="0089748C" w:rsidRPr="006F0EBA"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1 415</w:t>
            </w:r>
          </w:p>
        </w:tc>
        <w:tc>
          <w:tcPr>
            <w:tcW w:w="1468" w:type="dxa"/>
            <w:noWrap/>
            <w:vAlign w:val="center"/>
          </w:tcPr>
          <w:p w14:paraId="30359192" w14:textId="77777777" w:rsidR="0089748C" w:rsidRPr="006F0EBA"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405</w:t>
            </w:r>
          </w:p>
        </w:tc>
        <w:tc>
          <w:tcPr>
            <w:tcW w:w="1347" w:type="dxa"/>
            <w:noWrap/>
            <w:vAlign w:val="center"/>
          </w:tcPr>
          <w:p w14:paraId="121E6D20" w14:textId="77777777" w:rsidR="0089748C" w:rsidRPr="006F0EBA"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702</w:t>
            </w:r>
          </w:p>
        </w:tc>
      </w:tr>
      <w:tr w:rsidR="0089748C" w:rsidRPr="006F0EBA" w14:paraId="7B8D8837" w14:textId="77777777" w:rsidTr="004A4F6C">
        <w:trPr>
          <w:cnfStyle w:val="010000000000" w:firstRow="0" w:lastRow="1" w:firstColumn="0" w:lastColumn="0" w:oddVBand="0" w:evenVBand="0" w:oddHBand="0"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6733" w:type="dxa"/>
            <w:gridSpan w:val="3"/>
            <w:noWrap/>
            <w:vAlign w:val="center"/>
          </w:tcPr>
          <w:p w14:paraId="0F852DE2" w14:textId="77777777" w:rsidR="0089748C" w:rsidRPr="006F0EBA" w:rsidRDefault="0089748C" w:rsidP="004A4F6C">
            <w:pPr>
              <w:jc w:val="right"/>
              <w:rPr>
                <w:rFonts w:asciiTheme="minorHAnsi" w:eastAsia="Times New Roman" w:hAnsiTheme="minorHAnsi" w:cstheme="minorHAnsi"/>
                <w:color w:val="000000"/>
                <w:lang w:val="es-CR"/>
              </w:rPr>
            </w:pPr>
            <w:r w:rsidRPr="006F0EBA">
              <w:rPr>
                <w:rFonts w:asciiTheme="minorHAnsi" w:eastAsia="Times New Roman" w:hAnsiTheme="minorHAnsi" w:cstheme="minorHAnsi"/>
                <w:color w:val="000000"/>
                <w:lang w:val="es-CR"/>
              </w:rPr>
              <w:t xml:space="preserve">Total                                                             </w:t>
            </w:r>
            <w:r w:rsidRPr="006F0EBA">
              <w:rPr>
                <w:rFonts w:asciiTheme="minorHAnsi" w:eastAsia="Times New Roman" w:hAnsiTheme="minorHAnsi" w:cstheme="minorHAnsi"/>
                <w:b w:val="0"/>
                <w:bCs w:val="0"/>
                <w:color w:val="000000"/>
                <w:lang w:val="es-CR"/>
              </w:rPr>
              <w:t>16 733                       2 768</w:t>
            </w:r>
          </w:p>
        </w:tc>
        <w:tc>
          <w:tcPr>
            <w:tcW w:w="1347" w:type="dxa"/>
            <w:noWrap/>
            <w:vAlign w:val="center"/>
          </w:tcPr>
          <w:p w14:paraId="033DF931" w14:textId="77777777" w:rsidR="0089748C" w:rsidRPr="006F0EBA" w:rsidRDefault="0089748C" w:rsidP="004A4F6C">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val="es-CR"/>
              </w:rPr>
            </w:pPr>
            <w:r w:rsidRPr="006F0EBA">
              <w:rPr>
                <w:rFonts w:asciiTheme="minorHAnsi" w:eastAsia="Times New Roman" w:hAnsiTheme="minorHAnsi" w:cstheme="minorHAnsi"/>
                <w:b w:val="0"/>
                <w:bCs w:val="0"/>
                <w:color w:val="000000"/>
                <w:lang w:val="es-CR"/>
              </w:rPr>
              <w:t>36 319</w:t>
            </w:r>
          </w:p>
        </w:tc>
      </w:tr>
    </w:tbl>
    <w:p w14:paraId="7FAFA7C1" w14:textId="77777777" w:rsidR="0089748C" w:rsidRPr="006F0EBA" w:rsidRDefault="0089748C" w:rsidP="0089748C">
      <w:pPr>
        <w:pStyle w:val="Descripcin"/>
        <w:spacing w:after="0"/>
        <w:jc w:val="center"/>
        <w:rPr>
          <w:rFonts w:cstheme="minorHAnsi"/>
        </w:rPr>
      </w:pPr>
      <w:r w:rsidRPr="006F0EBA">
        <w:rPr>
          <w:rFonts w:cstheme="minorHAnsi"/>
        </w:rPr>
        <w:t>Fuente: Elaboración propia con datos suministrados por las operadoras de pensiones</w:t>
      </w:r>
    </w:p>
    <w:p w14:paraId="10C39F1D" w14:textId="77777777" w:rsidR="0089748C" w:rsidRPr="00F97CE3" w:rsidRDefault="0089748C" w:rsidP="0089748C">
      <w:pPr>
        <w:spacing w:after="0" w:line="240" w:lineRule="auto"/>
        <w:jc w:val="both"/>
        <w:rPr>
          <w:rFonts w:ascii="Times New Roman" w:hAnsi="Times New Roman" w:cs="Times New Roman"/>
          <w:highlight w:val="yellow"/>
        </w:rPr>
      </w:pPr>
    </w:p>
    <w:p w14:paraId="3BBBC2B9" w14:textId="77777777" w:rsidR="0089748C" w:rsidRPr="00B50434" w:rsidRDefault="0089748C" w:rsidP="0089748C">
      <w:pPr>
        <w:spacing w:after="0" w:line="240" w:lineRule="auto"/>
        <w:jc w:val="both"/>
        <w:rPr>
          <w:rFonts w:cstheme="minorHAnsi"/>
        </w:rPr>
      </w:pPr>
      <w:r w:rsidRPr="00B50434">
        <w:rPr>
          <w:rFonts w:cstheme="minorHAnsi"/>
        </w:rPr>
        <w:t xml:space="preserve">Esta información muestra el comportamiento de las nuevas modalidades en el transcurso del primer semestre de 2021, se incorpora en este corte la nueva modalidad de retiro aprobada en la Ley 9906, correspondiente a </w:t>
      </w:r>
      <w:r w:rsidRPr="00B50434">
        <w:rPr>
          <w:rFonts w:cstheme="minorHAnsi"/>
          <w:i/>
          <w:iCs/>
        </w:rPr>
        <w:t>Renta temporal igual a cantidad de cotizaciones</w:t>
      </w:r>
      <w:r w:rsidRPr="00B50434">
        <w:rPr>
          <w:rFonts w:cstheme="minorHAnsi"/>
        </w:rPr>
        <w:t xml:space="preserve">, la cual entró a regir en enero de 2021. </w:t>
      </w:r>
      <w:r>
        <w:rPr>
          <w:rFonts w:cstheme="minorHAnsi"/>
        </w:rPr>
        <w:t xml:space="preserve"> La renta mensual y el retiro acelerado son modalidades que pueden optar quienes hubieren alcanzado el derecho de pensión al 31 de diciembre del 2020. </w:t>
      </w:r>
    </w:p>
    <w:p w14:paraId="2D2A0CF9" w14:textId="77777777" w:rsidR="0089748C" w:rsidRDefault="0089748C" w:rsidP="0089748C"/>
    <w:p w14:paraId="41407729" w14:textId="77777777" w:rsidR="0089748C" w:rsidRDefault="0089748C" w:rsidP="0089748C">
      <w:r>
        <w:br w:type="page"/>
      </w:r>
    </w:p>
    <w:p w14:paraId="6C7A0D99" w14:textId="77777777" w:rsidR="0089748C" w:rsidRDefault="0089748C" w:rsidP="0089748C">
      <w:pPr>
        <w:pStyle w:val="Ttulo1"/>
        <w:numPr>
          <w:ilvl w:val="0"/>
          <w:numId w:val="1"/>
        </w:numPr>
      </w:pPr>
      <w:bookmarkStart w:id="19" w:name="_Toc79588916"/>
      <w:bookmarkStart w:id="20" w:name="_Toc79588917"/>
      <w:bookmarkStart w:id="21" w:name="_Toc79588918"/>
      <w:bookmarkStart w:id="22" w:name="_Toc79588919"/>
      <w:bookmarkStart w:id="23" w:name="_Toc79588920"/>
      <w:bookmarkStart w:id="24" w:name="_Toc79588921"/>
      <w:bookmarkStart w:id="25" w:name="_Toc79588922"/>
      <w:bookmarkStart w:id="26" w:name="_Toc79588923"/>
      <w:bookmarkStart w:id="27" w:name="_Toc79588924"/>
      <w:bookmarkStart w:id="28" w:name="_Toc79588925"/>
      <w:bookmarkStart w:id="29" w:name="_Toc79588926"/>
      <w:bookmarkStart w:id="30" w:name="_Toc79588927"/>
      <w:bookmarkStart w:id="31" w:name="_Toc79588928"/>
      <w:bookmarkStart w:id="32" w:name="_Toc79588929"/>
      <w:bookmarkStart w:id="33" w:name="_Toc79588930"/>
      <w:bookmarkStart w:id="34" w:name="_Toc79588931"/>
      <w:bookmarkStart w:id="35" w:name="_Toc79588932"/>
      <w:bookmarkStart w:id="36" w:name="_Toc79588933"/>
      <w:bookmarkStart w:id="37" w:name="_Toc79588934"/>
      <w:bookmarkStart w:id="38" w:name="_Toc79588935"/>
      <w:bookmarkStart w:id="39" w:name="_Toc79588936"/>
      <w:bookmarkStart w:id="40" w:name="_Toc79588937"/>
      <w:bookmarkStart w:id="41" w:name="_Toc79588938"/>
      <w:bookmarkStart w:id="42" w:name="_Toc79588939"/>
      <w:bookmarkStart w:id="43" w:name="_Toc79588940"/>
      <w:bookmarkStart w:id="44" w:name="_Toc79588941"/>
      <w:bookmarkStart w:id="45" w:name="_Toc79588942"/>
      <w:bookmarkStart w:id="46" w:name="_Toc79588943"/>
      <w:bookmarkStart w:id="47" w:name="_Toc79588944"/>
      <w:bookmarkStart w:id="48" w:name="_Toc79588945"/>
      <w:bookmarkStart w:id="49" w:name="_Toc79588946"/>
      <w:bookmarkStart w:id="50" w:name="_Toc79588947"/>
      <w:bookmarkStart w:id="51" w:name="_Toc79588948"/>
      <w:bookmarkStart w:id="52" w:name="_Toc79588949"/>
      <w:bookmarkStart w:id="53" w:name="_Toc79588950"/>
      <w:bookmarkStart w:id="54" w:name="_Toc79588951"/>
      <w:bookmarkStart w:id="55" w:name="_Toc79588952"/>
      <w:bookmarkStart w:id="56" w:name="_Toc79588953"/>
      <w:bookmarkStart w:id="57" w:name="_Toc79588954"/>
      <w:bookmarkStart w:id="58" w:name="_Toc79588955"/>
      <w:bookmarkStart w:id="59" w:name="_Toc79588956"/>
      <w:bookmarkStart w:id="60" w:name="_Toc79588957"/>
      <w:bookmarkStart w:id="61" w:name="_Toc79588958"/>
      <w:bookmarkStart w:id="62" w:name="_Toc79588959"/>
      <w:bookmarkStart w:id="63" w:name="_Toc79588960"/>
      <w:bookmarkStart w:id="64" w:name="_Toc79588961"/>
      <w:bookmarkStart w:id="65" w:name="_Toc79588962"/>
      <w:bookmarkStart w:id="66" w:name="_Toc79588963"/>
      <w:bookmarkStart w:id="67" w:name="_Toc79588964"/>
      <w:bookmarkStart w:id="68" w:name="_Toc79588965"/>
      <w:bookmarkStart w:id="69" w:name="_Toc79588966"/>
      <w:bookmarkStart w:id="70" w:name="_Toc79588967"/>
      <w:bookmarkStart w:id="71" w:name="_Toc79588968"/>
      <w:bookmarkStart w:id="72" w:name="_Toc79588969"/>
      <w:bookmarkStart w:id="73" w:name="_Toc79588970"/>
      <w:bookmarkStart w:id="74" w:name="_Toc79588971"/>
      <w:bookmarkStart w:id="75" w:name="_Toc79588972"/>
      <w:bookmarkStart w:id="76" w:name="_Toc79588973"/>
      <w:bookmarkStart w:id="77" w:name="_Toc79588974"/>
      <w:bookmarkStart w:id="78" w:name="_Toc79588975"/>
      <w:bookmarkStart w:id="79" w:name="_Toc79588976"/>
      <w:bookmarkStart w:id="80" w:name="_Toc79588977"/>
      <w:bookmarkStart w:id="81" w:name="_Toc79588978"/>
      <w:bookmarkStart w:id="82" w:name="_Toc79588979"/>
      <w:bookmarkStart w:id="83" w:name="_Toc79588980"/>
      <w:bookmarkStart w:id="84" w:name="_Toc79588981"/>
      <w:bookmarkStart w:id="85" w:name="_Toc79588982"/>
      <w:bookmarkStart w:id="86" w:name="_Toc79588983"/>
      <w:bookmarkStart w:id="87" w:name="_Toc79588984"/>
      <w:bookmarkStart w:id="88" w:name="_Toc79588985"/>
      <w:bookmarkStart w:id="89" w:name="_Toc79588986"/>
      <w:bookmarkStart w:id="90" w:name="_Toc79588987"/>
      <w:bookmarkStart w:id="91" w:name="_Toc79588988"/>
      <w:bookmarkStart w:id="92" w:name="_Toc79588989"/>
      <w:bookmarkStart w:id="93" w:name="_Toc79588990"/>
      <w:bookmarkStart w:id="94" w:name="_Toc79588991"/>
      <w:bookmarkStart w:id="95" w:name="_Toc79588992"/>
      <w:bookmarkStart w:id="96" w:name="_Toc79588993"/>
      <w:bookmarkStart w:id="97" w:name="_Toc79588994"/>
      <w:bookmarkStart w:id="98" w:name="_Toc79588995"/>
      <w:bookmarkStart w:id="99" w:name="_Toc79588996"/>
      <w:bookmarkStart w:id="100" w:name="_Toc79588997"/>
      <w:bookmarkStart w:id="101" w:name="_Toc79588998"/>
      <w:bookmarkStart w:id="102" w:name="_Toc79588999"/>
      <w:bookmarkStart w:id="103" w:name="_Toc802906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lastRenderedPageBreak/>
        <w:t>Aspectos jurídicos relevantes</w:t>
      </w:r>
      <w:bookmarkEnd w:id="103"/>
    </w:p>
    <w:p w14:paraId="216886F2" w14:textId="77777777" w:rsidR="0089748C" w:rsidRPr="00A028B4" w:rsidRDefault="0089748C" w:rsidP="0089748C">
      <w:pPr>
        <w:spacing w:after="0" w:line="240" w:lineRule="auto"/>
      </w:pPr>
    </w:p>
    <w:p w14:paraId="420DACBC" w14:textId="77777777" w:rsidR="0089748C" w:rsidRDefault="0089748C" w:rsidP="0089748C">
      <w:pPr>
        <w:pStyle w:val="Ttulo2"/>
        <w:numPr>
          <w:ilvl w:val="1"/>
          <w:numId w:val="1"/>
        </w:numPr>
      </w:pPr>
      <w:bookmarkStart w:id="104" w:name="_Toc80290694"/>
      <w:r>
        <w:t>Consultas y denuncias</w:t>
      </w:r>
      <w:bookmarkEnd w:id="104"/>
    </w:p>
    <w:p w14:paraId="21A87254" w14:textId="77777777" w:rsidR="0089748C" w:rsidRPr="003E0662" w:rsidRDefault="0089748C" w:rsidP="0089748C">
      <w:pPr>
        <w:spacing w:after="0" w:line="240" w:lineRule="auto"/>
      </w:pPr>
    </w:p>
    <w:p w14:paraId="5636C5AC" w14:textId="77777777" w:rsidR="0089748C" w:rsidRDefault="0089748C" w:rsidP="0089748C">
      <w:pPr>
        <w:pStyle w:val="Descripcin"/>
        <w:spacing w:after="0"/>
        <w:jc w:val="center"/>
      </w:pPr>
      <w:r>
        <w:t xml:space="preserve">Tabla </w:t>
      </w:r>
      <w:r>
        <w:fldChar w:fldCharType="begin"/>
      </w:r>
      <w:r>
        <w:instrText xml:space="preserve"> SEQ Tabla \* ARABIC </w:instrText>
      </w:r>
      <w:r>
        <w:fldChar w:fldCharType="separate"/>
      </w:r>
      <w:r>
        <w:rPr>
          <w:noProof/>
        </w:rPr>
        <w:t>13</w:t>
      </w:r>
      <w:r>
        <w:fldChar w:fldCharType="end"/>
      </w:r>
      <w:r>
        <w:t>: Consultas y Denuncias</w:t>
      </w:r>
    </w:p>
    <w:p w14:paraId="0E4A4A6D" w14:textId="77777777" w:rsidR="0089748C" w:rsidRDefault="0089748C" w:rsidP="0089748C">
      <w:pPr>
        <w:pStyle w:val="Descripcin"/>
        <w:spacing w:after="0"/>
        <w:jc w:val="center"/>
      </w:pPr>
      <w:r>
        <w:t>Atendidas durante el segundo trimestre del 2021</w:t>
      </w:r>
    </w:p>
    <w:p w14:paraId="53160380" w14:textId="77777777" w:rsidR="0089748C" w:rsidRDefault="0089748C" w:rsidP="0089748C">
      <w:pPr>
        <w:pStyle w:val="Descripcin"/>
        <w:spacing w:after="0"/>
        <w:jc w:val="center"/>
      </w:pPr>
      <w:r>
        <w:t>por la división jurídica de SUPEN</w:t>
      </w:r>
    </w:p>
    <w:tbl>
      <w:tblPr>
        <w:tblStyle w:val="Tablaconcuadrcula4-nfasis1"/>
        <w:tblW w:w="3545" w:type="dxa"/>
        <w:jc w:val="center"/>
        <w:tblLook w:val="04A0" w:firstRow="1" w:lastRow="0" w:firstColumn="1" w:lastColumn="0" w:noHBand="0" w:noVBand="1"/>
      </w:tblPr>
      <w:tblGrid>
        <w:gridCol w:w="2516"/>
        <w:gridCol w:w="1029"/>
      </w:tblGrid>
      <w:tr w:rsidR="0089748C" w:rsidRPr="001F6709" w14:paraId="6D18CD12" w14:textId="77777777" w:rsidTr="004A4F6C">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2516" w:type="dxa"/>
          </w:tcPr>
          <w:p w14:paraId="0E911F6B" w14:textId="77777777" w:rsidR="0089748C" w:rsidRPr="00326F80" w:rsidRDefault="0089748C" w:rsidP="004A4F6C">
            <w:pPr>
              <w:rPr>
                <w:rFonts w:asciiTheme="minorHAnsi" w:hAnsiTheme="minorHAnsi" w:cstheme="minorHAnsi"/>
                <w:lang w:val="es-CR"/>
              </w:rPr>
            </w:pPr>
            <w:r w:rsidRPr="00326F80">
              <w:rPr>
                <w:rFonts w:asciiTheme="minorHAnsi" w:hAnsiTheme="minorHAnsi" w:cstheme="minorHAnsi"/>
                <w:lang w:val="es-CR"/>
              </w:rPr>
              <w:t>Trámite</w:t>
            </w:r>
          </w:p>
        </w:tc>
        <w:tc>
          <w:tcPr>
            <w:tcW w:w="1029" w:type="dxa"/>
          </w:tcPr>
          <w:p w14:paraId="706EFE25" w14:textId="77777777" w:rsidR="0089748C" w:rsidRPr="00326F80" w:rsidRDefault="0089748C" w:rsidP="004A4F6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326F80">
              <w:rPr>
                <w:rFonts w:asciiTheme="minorHAnsi" w:hAnsiTheme="minorHAnsi" w:cstheme="minorHAnsi"/>
                <w:lang w:val="es-CR"/>
              </w:rPr>
              <w:t>Cantidad</w:t>
            </w:r>
          </w:p>
        </w:tc>
      </w:tr>
      <w:tr w:rsidR="0089748C" w:rsidRPr="001F6709" w14:paraId="75D1D32E" w14:textId="77777777" w:rsidTr="004A4F6C">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516" w:type="dxa"/>
          </w:tcPr>
          <w:p w14:paraId="6B8020A6" w14:textId="77777777" w:rsidR="0089748C" w:rsidRPr="001F6709" w:rsidRDefault="0089748C" w:rsidP="004A4F6C">
            <w:pPr>
              <w:jc w:val="both"/>
              <w:rPr>
                <w:rFonts w:cstheme="minorHAnsi"/>
                <w:lang w:val="es-CR"/>
              </w:rPr>
            </w:pPr>
            <w:r w:rsidRPr="001F6709">
              <w:rPr>
                <w:rFonts w:asciiTheme="minorHAnsi" w:hAnsiTheme="minorHAnsi" w:cstheme="minorHAnsi"/>
                <w:b w:val="0"/>
                <w:bCs w:val="0"/>
                <w:lang w:val="es-CR"/>
              </w:rPr>
              <w:t>Consultas</w:t>
            </w:r>
            <w:r>
              <w:rPr>
                <w:rFonts w:asciiTheme="minorHAnsi" w:hAnsiTheme="minorHAnsi" w:cstheme="minorHAnsi"/>
                <w:b w:val="0"/>
                <w:bCs w:val="0"/>
                <w:lang w:val="es-CR"/>
              </w:rPr>
              <w:t xml:space="preserve"> </w:t>
            </w:r>
          </w:p>
        </w:tc>
        <w:tc>
          <w:tcPr>
            <w:tcW w:w="1029" w:type="dxa"/>
          </w:tcPr>
          <w:p w14:paraId="2D717CE9" w14:textId="77777777" w:rsidR="0089748C" w:rsidRDefault="0089748C" w:rsidP="004A4F6C">
            <w:pPr>
              <w:jc w:val="right"/>
              <w:cnfStyle w:val="000000100000" w:firstRow="0" w:lastRow="0" w:firstColumn="0" w:lastColumn="0" w:oddVBand="0" w:evenVBand="0" w:oddHBand="1" w:evenHBand="0" w:firstRowFirstColumn="0" w:firstRowLastColumn="0" w:lastRowFirstColumn="0" w:lastRowLastColumn="0"/>
              <w:rPr>
                <w:rFonts w:cstheme="minorHAnsi"/>
                <w:lang w:val="es-CR"/>
              </w:rPr>
            </w:pPr>
            <w:r>
              <w:rPr>
                <w:rFonts w:cstheme="minorHAnsi"/>
                <w:lang w:val="es-CR"/>
              </w:rPr>
              <w:t>17</w:t>
            </w:r>
          </w:p>
        </w:tc>
      </w:tr>
      <w:tr w:rsidR="0089748C" w:rsidRPr="001F6709" w14:paraId="2B1C3511" w14:textId="77777777" w:rsidTr="004A4F6C">
        <w:trPr>
          <w:trHeight w:val="228"/>
          <w:jc w:val="center"/>
        </w:trPr>
        <w:tc>
          <w:tcPr>
            <w:cnfStyle w:val="001000000000" w:firstRow="0" w:lastRow="0" w:firstColumn="1" w:lastColumn="0" w:oddVBand="0" w:evenVBand="0" w:oddHBand="0" w:evenHBand="0" w:firstRowFirstColumn="0" w:firstRowLastColumn="0" w:lastRowFirstColumn="0" w:lastRowLastColumn="0"/>
            <w:tcW w:w="2516" w:type="dxa"/>
          </w:tcPr>
          <w:p w14:paraId="0D9F7211" w14:textId="77777777" w:rsidR="0089748C" w:rsidRPr="001F6709" w:rsidRDefault="0089748C" w:rsidP="004A4F6C">
            <w:pPr>
              <w:jc w:val="both"/>
              <w:rPr>
                <w:rFonts w:asciiTheme="minorHAnsi" w:hAnsiTheme="minorHAnsi" w:cstheme="minorHAnsi"/>
                <w:b w:val="0"/>
                <w:bCs w:val="0"/>
                <w:lang w:val="es-CR"/>
              </w:rPr>
            </w:pPr>
            <w:r>
              <w:rPr>
                <w:rFonts w:asciiTheme="minorHAnsi" w:hAnsiTheme="minorHAnsi" w:cstheme="minorHAnsi"/>
                <w:b w:val="0"/>
                <w:bCs w:val="0"/>
                <w:lang w:val="es-CR"/>
              </w:rPr>
              <w:t>Denuncias</w:t>
            </w:r>
          </w:p>
        </w:tc>
        <w:tc>
          <w:tcPr>
            <w:tcW w:w="1029" w:type="dxa"/>
          </w:tcPr>
          <w:p w14:paraId="38E7AE73" w14:textId="77777777" w:rsidR="0089748C" w:rsidRPr="001F6709" w:rsidRDefault="0089748C" w:rsidP="004A4F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Pr>
                <w:rFonts w:asciiTheme="minorHAnsi" w:hAnsiTheme="minorHAnsi" w:cstheme="minorHAnsi"/>
                <w:lang w:val="es-CR"/>
              </w:rPr>
              <w:t>19</w:t>
            </w:r>
          </w:p>
        </w:tc>
      </w:tr>
      <w:tr w:rsidR="0089748C" w:rsidRPr="001F6709" w14:paraId="234DD8A8" w14:textId="77777777" w:rsidTr="004A4F6C">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2516" w:type="dxa"/>
          </w:tcPr>
          <w:p w14:paraId="742C84FF" w14:textId="77777777" w:rsidR="0089748C" w:rsidRPr="001F6709" w:rsidRDefault="0089748C" w:rsidP="004A4F6C">
            <w:pPr>
              <w:jc w:val="both"/>
              <w:rPr>
                <w:rFonts w:asciiTheme="minorHAnsi" w:hAnsiTheme="minorHAnsi" w:cstheme="minorHAnsi"/>
                <w:b w:val="0"/>
                <w:bCs w:val="0"/>
                <w:lang w:val="es-CR"/>
              </w:rPr>
            </w:pPr>
            <w:r w:rsidRPr="001F6709">
              <w:rPr>
                <w:rFonts w:asciiTheme="minorHAnsi" w:hAnsiTheme="minorHAnsi" w:cstheme="minorHAnsi"/>
                <w:b w:val="0"/>
                <w:bCs w:val="0"/>
                <w:lang w:val="es-CR"/>
              </w:rPr>
              <w:t>Consultas rápidas</w:t>
            </w:r>
          </w:p>
        </w:tc>
        <w:tc>
          <w:tcPr>
            <w:tcW w:w="1029" w:type="dxa"/>
          </w:tcPr>
          <w:p w14:paraId="6AF710D6" w14:textId="77777777" w:rsidR="0089748C" w:rsidRPr="001F6709" w:rsidRDefault="0089748C" w:rsidP="004A4F6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Pr>
                <w:rFonts w:asciiTheme="minorHAnsi" w:hAnsiTheme="minorHAnsi" w:cstheme="minorHAnsi"/>
                <w:lang w:val="es-CR"/>
              </w:rPr>
              <w:t>6 311</w:t>
            </w:r>
          </w:p>
        </w:tc>
      </w:tr>
    </w:tbl>
    <w:p w14:paraId="7C7D62B2" w14:textId="77777777" w:rsidR="0089748C" w:rsidRDefault="0089748C" w:rsidP="0089748C">
      <w:pPr>
        <w:pStyle w:val="Descripcin"/>
        <w:spacing w:after="0"/>
        <w:jc w:val="center"/>
      </w:pPr>
      <w:r>
        <w:t>Fuente: Elaboración propia</w:t>
      </w:r>
    </w:p>
    <w:p w14:paraId="7140334F" w14:textId="77777777" w:rsidR="0089748C" w:rsidRDefault="0089748C" w:rsidP="0089748C">
      <w:pPr>
        <w:pStyle w:val="Ttulo2"/>
        <w:numPr>
          <w:ilvl w:val="1"/>
          <w:numId w:val="1"/>
        </w:numPr>
      </w:pPr>
      <w:bookmarkStart w:id="105" w:name="_Toc80290695"/>
      <w:r>
        <w:t>Criterios jurídicos</w:t>
      </w:r>
      <w:bookmarkEnd w:id="105"/>
    </w:p>
    <w:p w14:paraId="46FD4639" w14:textId="77777777" w:rsidR="0089748C" w:rsidRDefault="0089748C" w:rsidP="0089748C">
      <w:pPr>
        <w:pStyle w:val="Descripcin"/>
        <w:spacing w:after="0"/>
        <w:jc w:val="center"/>
      </w:pPr>
      <w:r>
        <w:t xml:space="preserve">Tabla </w:t>
      </w:r>
      <w:r>
        <w:fldChar w:fldCharType="begin"/>
      </w:r>
      <w:r>
        <w:instrText xml:space="preserve"> SEQ Tabla \* ARABIC </w:instrText>
      </w:r>
      <w:r>
        <w:fldChar w:fldCharType="separate"/>
      </w:r>
      <w:r>
        <w:rPr>
          <w:noProof/>
        </w:rPr>
        <w:t>14</w:t>
      </w:r>
      <w:r>
        <w:fldChar w:fldCharType="end"/>
      </w:r>
      <w:r>
        <w:t>: Criterios jurídicos</w:t>
      </w:r>
    </w:p>
    <w:p w14:paraId="7D7BE187" w14:textId="77777777" w:rsidR="0089748C" w:rsidRDefault="0089748C" w:rsidP="0089748C">
      <w:pPr>
        <w:pStyle w:val="Descripcin"/>
        <w:spacing w:after="0"/>
        <w:jc w:val="center"/>
      </w:pPr>
      <w:r>
        <w:t>Elaborados durante el segundo trimestre del 2021</w:t>
      </w:r>
    </w:p>
    <w:p w14:paraId="1487FCAB" w14:textId="77777777" w:rsidR="0089748C" w:rsidRDefault="0089748C" w:rsidP="0089748C">
      <w:pPr>
        <w:pStyle w:val="Descripcin"/>
        <w:spacing w:after="0"/>
        <w:jc w:val="center"/>
      </w:pPr>
      <w:r>
        <w:t>por la división jurídica de SUPEN</w:t>
      </w:r>
    </w:p>
    <w:tbl>
      <w:tblPr>
        <w:tblStyle w:val="Tablaconcuadrcula4-nfasis1"/>
        <w:tblW w:w="9493" w:type="dxa"/>
        <w:jc w:val="center"/>
        <w:tblLook w:val="04A0" w:firstRow="1" w:lastRow="0" w:firstColumn="1" w:lastColumn="0" w:noHBand="0" w:noVBand="1"/>
      </w:tblPr>
      <w:tblGrid>
        <w:gridCol w:w="1271"/>
        <w:gridCol w:w="8222"/>
      </w:tblGrid>
      <w:tr w:rsidR="0089748C" w:rsidRPr="00925713" w14:paraId="25D69C94" w14:textId="77777777" w:rsidTr="004A4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hideMark/>
          </w:tcPr>
          <w:p w14:paraId="3FF4F314" w14:textId="77777777" w:rsidR="0089748C" w:rsidRPr="00925713" w:rsidRDefault="0089748C" w:rsidP="004A4F6C">
            <w:pPr>
              <w:jc w:val="both"/>
              <w:rPr>
                <w:rFonts w:asciiTheme="minorHAnsi" w:hAnsiTheme="minorHAnsi" w:cstheme="minorHAnsi"/>
                <w:lang w:val="es-CR"/>
              </w:rPr>
            </w:pPr>
            <w:r w:rsidRPr="00925713">
              <w:rPr>
                <w:rFonts w:asciiTheme="minorHAnsi" w:hAnsiTheme="minorHAnsi" w:cstheme="minorHAnsi"/>
                <w:b w:val="0"/>
                <w:bCs w:val="0"/>
                <w:lang w:val="es-CR"/>
              </w:rPr>
              <w:t>Criterio</w:t>
            </w:r>
          </w:p>
        </w:tc>
        <w:tc>
          <w:tcPr>
            <w:tcW w:w="8222" w:type="dxa"/>
            <w:hideMark/>
          </w:tcPr>
          <w:p w14:paraId="331E20A1" w14:textId="77777777" w:rsidR="0089748C" w:rsidRPr="00925713" w:rsidRDefault="0089748C" w:rsidP="004A4F6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s-CR"/>
              </w:rPr>
            </w:pPr>
            <w:r w:rsidRPr="00925713">
              <w:rPr>
                <w:rFonts w:asciiTheme="minorHAnsi" w:hAnsiTheme="minorHAnsi" w:cstheme="minorHAnsi"/>
                <w:b w:val="0"/>
                <w:bCs w:val="0"/>
                <w:lang w:val="es-CR"/>
              </w:rPr>
              <w:t>Temas</w:t>
            </w:r>
          </w:p>
        </w:tc>
      </w:tr>
      <w:tr w:rsidR="0089748C" w:rsidRPr="00925713" w14:paraId="421D4553" w14:textId="77777777" w:rsidTr="004A4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hideMark/>
          </w:tcPr>
          <w:p w14:paraId="3541964F" w14:textId="77777777" w:rsidR="0089748C" w:rsidRPr="00925713" w:rsidRDefault="0089748C" w:rsidP="004A4F6C">
            <w:pPr>
              <w:jc w:val="both"/>
              <w:rPr>
                <w:rFonts w:asciiTheme="minorHAnsi" w:hAnsiTheme="minorHAnsi" w:cstheme="minorHAnsi"/>
                <w:b w:val="0"/>
                <w:bCs w:val="0"/>
                <w:lang w:val="es-CR"/>
              </w:rPr>
            </w:pPr>
            <w:r w:rsidRPr="00925713">
              <w:rPr>
                <w:rFonts w:asciiTheme="minorHAnsi" w:hAnsiTheme="minorHAnsi" w:cstheme="minorHAnsi"/>
                <w:b w:val="0"/>
                <w:bCs w:val="0"/>
                <w:lang w:val="es-CR"/>
              </w:rPr>
              <w:t>PJD-3-2021</w:t>
            </w:r>
          </w:p>
        </w:tc>
        <w:tc>
          <w:tcPr>
            <w:tcW w:w="8222" w:type="dxa"/>
            <w:hideMark/>
          </w:tcPr>
          <w:p w14:paraId="3030258C" w14:textId="77777777" w:rsidR="0089748C" w:rsidRPr="00925713" w:rsidRDefault="0089748C" w:rsidP="004A4F6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925713">
              <w:rPr>
                <w:rFonts w:asciiTheme="minorHAnsi" w:hAnsiTheme="minorHAnsi" w:cstheme="minorHAnsi"/>
                <w:lang w:val="es-CR"/>
              </w:rPr>
              <w:t>Imposibilidad de realizar la apertura de un plan de acumulación denominado en dólares estadounidenses para el Régimen Obligatorio de Pensiones Complementarias (ROP).</w:t>
            </w:r>
          </w:p>
        </w:tc>
      </w:tr>
      <w:tr w:rsidR="0089748C" w:rsidRPr="00925713" w14:paraId="453EDF15" w14:textId="77777777" w:rsidTr="004A4F6C">
        <w:trPr>
          <w:jc w:val="center"/>
        </w:trPr>
        <w:tc>
          <w:tcPr>
            <w:cnfStyle w:val="001000000000" w:firstRow="0" w:lastRow="0" w:firstColumn="1" w:lastColumn="0" w:oddVBand="0" w:evenVBand="0" w:oddHBand="0" w:evenHBand="0" w:firstRowFirstColumn="0" w:firstRowLastColumn="0" w:lastRowFirstColumn="0" w:lastRowLastColumn="0"/>
            <w:tcW w:w="1271" w:type="dxa"/>
            <w:hideMark/>
          </w:tcPr>
          <w:p w14:paraId="77F95658" w14:textId="77777777" w:rsidR="0089748C" w:rsidRPr="00925713" w:rsidRDefault="0089748C" w:rsidP="004A4F6C">
            <w:pPr>
              <w:jc w:val="both"/>
              <w:rPr>
                <w:rFonts w:asciiTheme="minorHAnsi" w:hAnsiTheme="minorHAnsi" w:cstheme="minorHAnsi"/>
                <w:lang w:val="es-CR"/>
              </w:rPr>
            </w:pPr>
            <w:r w:rsidRPr="00925713">
              <w:rPr>
                <w:rFonts w:asciiTheme="minorHAnsi" w:hAnsiTheme="minorHAnsi" w:cstheme="minorHAnsi"/>
                <w:b w:val="0"/>
                <w:bCs w:val="0"/>
                <w:lang w:val="es-CR"/>
              </w:rPr>
              <w:t>PJD-4-2021</w:t>
            </w:r>
          </w:p>
        </w:tc>
        <w:tc>
          <w:tcPr>
            <w:tcW w:w="8222" w:type="dxa"/>
            <w:hideMark/>
          </w:tcPr>
          <w:p w14:paraId="33725BF7" w14:textId="77777777" w:rsidR="0089748C" w:rsidRPr="00925713"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925713">
              <w:rPr>
                <w:rFonts w:asciiTheme="minorHAnsi" w:hAnsiTheme="minorHAnsi" w:cstheme="minorHAnsi"/>
                <w:lang w:val="es-CR"/>
              </w:rPr>
              <w:t xml:space="preserve">Traslado de recursos al Régimen no contributivo de pensiones de conformidad con la reforma realizada al artículo 77 de la Ley de Protección al Trabajador. Este criterio se preparó para presentar una consulta ante la Procuraduría General de la República. </w:t>
            </w:r>
          </w:p>
        </w:tc>
      </w:tr>
      <w:tr w:rsidR="0089748C" w:rsidRPr="00925713" w14:paraId="5BE785F4" w14:textId="77777777" w:rsidTr="004A4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hideMark/>
          </w:tcPr>
          <w:p w14:paraId="180105FE" w14:textId="77777777" w:rsidR="0089748C" w:rsidRPr="00925713" w:rsidRDefault="0089748C" w:rsidP="004A4F6C">
            <w:pPr>
              <w:jc w:val="both"/>
              <w:rPr>
                <w:rFonts w:asciiTheme="minorHAnsi" w:hAnsiTheme="minorHAnsi" w:cstheme="minorHAnsi"/>
                <w:lang w:val="es-CR"/>
              </w:rPr>
            </w:pPr>
            <w:r w:rsidRPr="00925713">
              <w:rPr>
                <w:rFonts w:asciiTheme="minorHAnsi" w:hAnsiTheme="minorHAnsi" w:cstheme="minorHAnsi"/>
                <w:b w:val="0"/>
                <w:bCs w:val="0"/>
                <w:lang w:val="es-CR"/>
              </w:rPr>
              <w:t>PJD-5-2021</w:t>
            </w:r>
          </w:p>
        </w:tc>
        <w:tc>
          <w:tcPr>
            <w:tcW w:w="8222" w:type="dxa"/>
            <w:hideMark/>
          </w:tcPr>
          <w:p w14:paraId="7A4FA12F" w14:textId="77777777" w:rsidR="0089748C" w:rsidRPr="00925713" w:rsidRDefault="0089748C" w:rsidP="004A4F6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925713">
              <w:rPr>
                <w:rFonts w:asciiTheme="minorHAnsi" w:hAnsiTheme="minorHAnsi" w:cstheme="minorHAnsi"/>
                <w:lang w:val="es-CR"/>
              </w:rPr>
              <w:t xml:space="preserve">Improcedencia de establecer limitaciones no previstas en la ley para los beneficiarios del Régimen de jubilaciones y pensiones del Poder Judicial mayores de 18 años y menores de 25 años que realicen estudios. </w:t>
            </w:r>
          </w:p>
        </w:tc>
      </w:tr>
      <w:tr w:rsidR="0089748C" w:rsidRPr="00925713" w14:paraId="4471A6B3" w14:textId="77777777" w:rsidTr="004A4F6C">
        <w:trPr>
          <w:jc w:val="center"/>
        </w:trPr>
        <w:tc>
          <w:tcPr>
            <w:cnfStyle w:val="001000000000" w:firstRow="0" w:lastRow="0" w:firstColumn="1" w:lastColumn="0" w:oddVBand="0" w:evenVBand="0" w:oddHBand="0" w:evenHBand="0" w:firstRowFirstColumn="0" w:firstRowLastColumn="0" w:lastRowFirstColumn="0" w:lastRowLastColumn="0"/>
            <w:tcW w:w="1271" w:type="dxa"/>
            <w:hideMark/>
          </w:tcPr>
          <w:p w14:paraId="5C0AC179" w14:textId="77777777" w:rsidR="0089748C" w:rsidRPr="00925713" w:rsidRDefault="0089748C" w:rsidP="004A4F6C">
            <w:pPr>
              <w:jc w:val="both"/>
              <w:rPr>
                <w:rFonts w:asciiTheme="minorHAnsi" w:hAnsiTheme="minorHAnsi" w:cstheme="minorHAnsi"/>
                <w:lang w:val="es-CR"/>
              </w:rPr>
            </w:pPr>
            <w:r w:rsidRPr="00925713">
              <w:rPr>
                <w:rFonts w:asciiTheme="minorHAnsi" w:hAnsiTheme="minorHAnsi" w:cstheme="minorHAnsi"/>
                <w:b w:val="0"/>
                <w:bCs w:val="0"/>
                <w:lang w:val="es-CR"/>
              </w:rPr>
              <w:t>PJD-6-2021</w:t>
            </w:r>
          </w:p>
        </w:tc>
        <w:tc>
          <w:tcPr>
            <w:tcW w:w="8222" w:type="dxa"/>
          </w:tcPr>
          <w:p w14:paraId="23AD2503" w14:textId="77777777" w:rsidR="0089748C" w:rsidRPr="00925713"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925713">
              <w:rPr>
                <w:rFonts w:asciiTheme="minorHAnsi" w:hAnsiTheme="minorHAnsi" w:cstheme="minorHAnsi"/>
                <w:lang w:val="es-CR"/>
              </w:rPr>
              <w:t xml:space="preserve">Beneficiarios de una indemnización del régimen básico no pueden ser considerados beneficiarios de la pensión complementaria que otorga el ROP. En este caso prevalecen los beneficiarios designados ante la operadora de pensiones o aquellos que defina la autoridad judicial de trabajo que corresponda.  </w:t>
            </w:r>
          </w:p>
        </w:tc>
      </w:tr>
      <w:tr w:rsidR="0089748C" w:rsidRPr="00925713" w14:paraId="3D88C264" w14:textId="77777777" w:rsidTr="004A4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hideMark/>
          </w:tcPr>
          <w:p w14:paraId="57150D39" w14:textId="77777777" w:rsidR="0089748C" w:rsidRPr="00925713" w:rsidRDefault="0089748C" w:rsidP="004A4F6C">
            <w:pPr>
              <w:jc w:val="both"/>
              <w:rPr>
                <w:rFonts w:asciiTheme="minorHAnsi" w:hAnsiTheme="minorHAnsi" w:cstheme="minorHAnsi"/>
                <w:lang w:val="es-CR"/>
              </w:rPr>
            </w:pPr>
            <w:r w:rsidRPr="00925713">
              <w:rPr>
                <w:rFonts w:asciiTheme="minorHAnsi" w:hAnsiTheme="minorHAnsi" w:cstheme="minorHAnsi"/>
                <w:b w:val="0"/>
                <w:bCs w:val="0"/>
                <w:lang w:val="es-CR"/>
              </w:rPr>
              <w:t>PJD-7-2021</w:t>
            </w:r>
          </w:p>
        </w:tc>
        <w:tc>
          <w:tcPr>
            <w:tcW w:w="8222" w:type="dxa"/>
            <w:hideMark/>
          </w:tcPr>
          <w:p w14:paraId="5DA928A2" w14:textId="77777777" w:rsidR="0089748C" w:rsidRPr="00925713" w:rsidRDefault="0089748C" w:rsidP="004A4F6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925713">
              <w:rPr>
                <w:rFonts w:asciiTheme="minorHAnsi" w:hAnsiTheme="minorHAnsi" w:cstheme="minorHAnsi"/>
                <w:lang w:val="es-CR"/>
              </w:rPr>
              <w:t>Corresponde a la entidad supervisada disponer la ampliación del límite de inversión en mercados internacionales de un 25% a un 50%, sin que para ello se requiera la autorización de esta Superintendencia.</w:t>
            </w:r>
          </w:p>
        </w:tc>
      </w:tr>
    </w:tbl>
    <w:p w14:paraId="4296539D" w14:textId="77777777" w:rsidR="0089748C" w:rsidRDefault="0089748C" w:rsidP="0089748C">
      <w:pPr>
        <w:pStyle w:val="Descripcin"/>
        <w:spacing w:after="0"/>
      </w:pPr>
      <w:r>
        <w:t>Fuente: Elaboración propia</w:t>
      </w:r>
    </w:p>
    <w:p w14:paraId="1C128D59" w14:textId="77777777" w:rsidR="0089748C" w:rsidRPr="00925713" w:rsidRDefault="0089748C" w:rsidP="0089748C">
      <w:pPr>
        <w:spacing w:after="0" w:line="240" w:lineRule="auto"/>
        <w:jc w:val="both"/>
        <w:rPr>
          <w:lang w:val="es-CR"/>
        </w:rPr>
      </w:pPr>
    </w:p>
    <w:p w14:paraId="0EC5449C" w14:textId="77777777" w:rsidR="0089748C" w:rsidRDefault="0089748C" w:rsidP="0089748C">
      <w:pPr>
        <w:pStyle w:val="Ttulo2"/>
        <w:numPr>
          <w:ilvl w:val="1"/>
          <w:numId w:val="1"/>
        </w:numPr>
      </w:pPr>
      <w:bookmarkStart w:id="106" w:name="_Toc80290696"/>
      <w:r>
        <w:t>Proyectos de Ley</w:t>
      </w:r>
      <w:bookmarkEnd w:id="106"/>
    </w:p>
    <w:p w14:paraId="40E5CDC4" w14:textId="77777777" w:rsidR="0089748C" w:rsidRDefault="0089748C" w:rsidP="0089748C">
      <w:pPr>
        <w:spacing w:after="0" w:line="240" w:lineRule="auto"/>
        <w:jc w:val="both"/>
        <w:rPr>
          <w:rFonts w:cstheme="minorHAnsi"/>
        </w:rPr>
      </w:pPr>
    </w:p>
    <w:p w14:paraId="4B13C1C7" w14:textId="77777777" w:rsidR="0089748C" w:rsidRPr="00B62904" w:rsidRDefault="0089748C" w:rsidP="0089748C">
      <w:pPr>
        <w:spacing w:after="0" w:line="240" w:lineRule="auto"/>
        <w:jc w:val="both"/>
        <w:rPr>
          <w:rFonts w:cstheme="minorHAnsi"/>
        </w:rPr>
      </w:pPr>
      <w:r w:rsidRPr="00B62904">
        <w:rPr>
          <w:rFonts w:cstheme="minorHAnsi"/>
        </w:rPr>
        <w:t>Durante el trimestre se atienden los siguientes proyectos de Ley:</w:t>
      </w:r>
    </w:p>
    <w:p w14:paraId="4FFDC682" w14:textId="77777777" w:rsidR="0089748C" w:rsidRPr="00B62904" w:rsidRDefault="0089748C" w:rsidP="0089748C">
      <w:pPr>
        <w:spacing w:after="0" w:line="240" w:lineRule="auto"/>
        <w:jc w:val="both"/>
        <w:rPr>
          <w:rFonts w:cstheme="minorHAnsi"/>
        </w:rPr>
      </w:pPr>
    </w:p>
    <w:p w14:paraId="55B5538C" w14:textId="77777777" w:rsidR="0089748C" w:rsidRPr="00A47931" w:rsidRDefault="0089748C" w:rsidP="0089748C">
      <w:pPr>
        <w:pStyle w:val="Prrafodelista"/>
        <w:numPr>
          <w:ilvl w:val="0"/>
          <w:numId w:val="3"/>
        </w:numPr>
        <w:spacing w:after="0" w:line="240" w:lineRule="auto"/>
        <w:jc w:val="both"/>
        <w:rPr>
          <w:rFonts w:cstheme="minorHAnsi"/>
        </w:rPr>
      </w:pPr>
      <w:r>
        <w:rPr>
          <w:rFonts w:cstheme="minorHAnsi"/>
        </w:rPr>
        <w:t xml:space="preserve">Expediente </w:t>
      </w:r>
      <w:r w:rsidRPr="00A47931">
        <w:rPr>
          <w:rFonts w:cstheme="minorHAnsi"/>
        </w:rPr>
        <w:t>21.179</w:t>
      </w:r>
      <w:r w:rsidRPr="00B4410F">
        <w:rPr>
          <w:rFonts w:cstheme="minorHAnsi"/>
        </w:rPr>
        <w:t xml:space="preserve"> </w:t>
      </w:r>
      <w:r w:rsidRPr="00B62904">
        <w:rPr>
          <w:rFonts w:cstheme="minorHAnsi"/>
        </w:rPr>
        <w:t>“</w:t>
      </w:r>
      <w:r w:rsidRPr="00507190">
        <w:rPr>
          <w:rFonts w:cstheme="minorHAnsi"/>
          <w:i/>
          <w:iCs/>
        </w:rPr>
        <w:t xml:space="preserve">Reforma de la Ley </w:t>
      </w:r>
      <w:proofErr w:type="spellStart"/>
      <w:r w:rsidRPr="00507190">
        <w:rPr>
          <w:rFonts w:cstheme="minorHAnsi"/>
          <w:i/>
          <w:iCs/>
        </w:rPr>
        <w:t>N°</w:t>
      </w:r>
      <w:proofErr w:type="spellEnd"/>
      <w:r w:rsidRPr="00507190">
        <w:rPr>
          <w:rFonts w:cstheme="minorHAnsi"/>
          <w:i/>
          <w:iCs/>
        </w:rPr>
        <w:t xml:space="preserve"> 7531 del Sistema de Pensiones y Jubilaciones del Magisterio Nacional</w:t>
      </w:r>
      <w:r w:rsidRPr="00B62904">
        <w:rPr>
          <w:rFonts w:cstheme="minorHAnsi"/>
        </w:rPr>
        <w:t>”</w:t>
      </w:r>
      <w:r w:rsidRPr="00A47931">
        <w:rPr>
          <w:rFonts w:cstheme="minorHAnsi"/>
        </w:rPr>
        <w:t xml:space="preserve"> es un proyecto para modificar, entre otros, el régimen de inversión de los recursos del Fondo de Capitalización Colectiva. </w:t>
      </w:r>
    </w:p>
    <w:p w14:paraId="28531866" w14:textId="77777777" w:rsidR="0089748C" w:rsidRDefault="0089748C" w:rsidP="0089748C">
      <w:pPr>
        <w:pStyle w:val="Prrafodelista"/>
        <w:numPr>
          <w:ilvl w:val="0"/>
          <w:numId w:val="3"/>
        </w:numPr>
        <w:spacing w:after="0" w:line="240" w:lineRule="auto"/>
        <w:jc w:val="both"/>
        <w:rPr>
          <w:rFonts w:cstheme="minorHAnsi"/>
        </w:rPr>
      </w:pPr>
      <w:r w:rsidRPr="00CA6853">
        <w:rPr>
          <w:rFonts w:cstheme="minorHAnsi"/>
        </w:rPr>
        <w:t>Expediente 22.388, “</w:t>
      </w:r>
      <w:r w:rsidRPr="00507190">
        <w:rPr>
          <w:rFonts w:cstheme="minorHAnsi"/>
          <w:i/>
          <w:iCs/>
        </w:rPr>
        <w:t>Reforma Integral a la Ley de Protección de la Persona Frente al Tratamiento de sus Datos Personales</w:t>
      </w:r>
      <w:r w:rsidRPr="00CA6853">
        <w:rPr>
          <w:rFonts w:cstheme="minorHAnsi"/>
        </w:rPr>
        <w:t>”.</w:t>
      </w:r>
    </w:p>
    <w:p w14:paraId="16DBC22C" w14:textId="77777777" w:rsidR="0089748C" w:rsidRPr="00407422" w:rsidRDefault="0089748C" w:rsidP="0089748C">
      <w:pPr>
        <w:pStyle w:val="Prrafodelista"/>
        <w:numPr>
          <w:ilvl w:val="0"/>
          <w:numId w:val="3"/>
        </w:numPr>
        <w:spacing w:after="0" w:line="240" w:lineRule="auto"/>
        <w:jc w:val="both"/>
        <w:rPr>
          <w:rFonts w:cstheme="minorHAnsi"/>
        </w:rPr>
      </w:pPr>
      <w:r w:rsidRPr="00407422">
        <w:rPr>
          <w:rFonts w:cstheme="minorHAnsi"/>
        </w:rPr>
        <w:t xml:space="preserve">También se continuó con el análisis que realiza el grupo de trabajo interinstitucional encargado del proyecto de Ley de Protección al Consumidor Financiero. </w:t>
      </w:r>
      <w:r w:rsidRPr="00407422">
        <w:rPr>
          <w:rFonts w:cstheme="minorHAnsi"/>
        </w:rPr>
        <w:br w:type="page"/>
      </w:r>
    </w:p>
    <w:p w14:paraId="07B4BF8B" w14:textId="77777777" w:rsidR="0089748C" w:rsidRDefault="0089748C" w:rsidP="0089748C">
      <w:pPr>
        <w:pStyle w:val="Ttulo2"/>
        <w:numPr>
          <w:ilvl w:val="1"/>
          <w:numId w:val="1"/>
        </w:numPr>
      </w:pPr>
      <w:bookmarkStart w:id="107" w:name="_Toc80290697"/>
      <w:r>
        <w:lastRenderedPageBreak/>
        <w:t>Acuerdos del Superintendente</w:t>
      </w:r>
      <w:bookmarkEnd w:id="107"/>
    </w:p>
    <w:p w14:paraId="3C24FBC2" w14:textId="77777777" w:rsidR="0089748C" w:rsidRPr="00C32631" w:rsidRDefault="0089748C" w:rsidP="0089748C">
      <w:pPr>
        <w:tabs>
          <w:tab w:val="left" w:pos="1485"/>
        </w:tabs>
        <w:spacing w:after="0" w:line="240" w:lineRule="auto"/>
      </w:pPr>
    </w:p>
    <w:p w14:paraId="71DB0728" w14:textId="77777777" w:rsidR="0089748C" w:rsidRDefault="0089748C" w:rsidP="0089748C">
      <w:pPr>
        <w:pStyle w:val="Descripcin"/>
        <w:spacing w:after="0"/>
        <w:ind w:left="360"/>
        <w:jc w:val="center"/>
      </w:pPr>
      <w:r>
        <w:t xml:space="preserve">Tabla </w:t>
      </w:r>
      <w:r>
        <w:fldChar w:fldCharType="begin"/>
      </w:r>
      <w:r>
        <w:instrText xml:space="preserve"> SEQ Tabla \* ARABIC </w:instrText>
      </w:r>
      <w:r>
        <w:fldChar w:fldCharType="separate"/>
      </w:r>
      <w:r>
        <w:rPr>
          <w:noProof/>
        </w:rPr>
        <w:t>15</w:t>
      </w:r>
      <w:r>
        <w:fldChar w:fldCharType="end"/>
      </w:r>
      <w:r>
        <w:t>: Acuerdos de Superintendente</w:t>
      </w:r>
    </w:p>
    <w:p w14:paraId="7AAE86E2" w14:textId="77777777" w:rsidR="0089748C" w:rsidRDefault="0089748C" w:rsidP="0089748C">
      <w:pPr>
        <w:pStyle w:val="Descripcin"/>
        <w:spacing w:after="0"/>
        <w:ind w:left="360"/>
        <w:jc w:val="center"/>
      </w:pPr>
      <w:r>
        <w:t>Emitidos por SUPEN</w:t>
      </w:r>
    </w:p>
    <w:p w14:paraId="147987F6" w14:textId="77777777" w:rsidR="0089748C" w:rsidRDefault="0089748C" w:rsidP="0089748C">
      <w:pPr>
        <w:pStyle w:val="Descripcin"/>
        <w:spacing w:after="0"/>
        <w:ind w:left="360"/>
        <w:jc w:val="center"/>
      </w:pPr>
      <w:r>
        <w:t>durante el segundo trimestre del 2021</w:t>
      </w:r>
    </w:p>
    <w:tbl>
      <w:tblPr>
        <w:tblStyle w:val="Tablaconcuadrcula4-nfasis1"/>
        <w:tblW w:w="10362" w:type="dxa"/>
        <w:jc w:val="center"/>
        <w:tblLayout w:type="fixed"/>
        <w:tblLook w:val="04A0" w:firstRow="1" w:lastRow="0" w:firstColumn="1" w:lastColumn="0" w:noHBand="0" w:noVBand="1"/>
      </w:tblPr>
      <w:tblGrid>
        <w:gridCol w:w="2131"/>
        <w:gridCol w:w="8231"/>
      </w:tblGrid>
      <w:tr w:rsidR="0089748C" w:rsidRPr="00EF4617" w14:paraId="2D702741" w14:textId="77777777" w:rsidTr="004A4F6C">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31" w:type="dxa"/>
            <w:noWrap/>
            <w:hideMark/>
          </w:tcPr>
          <w:p w14:paraId="1561A596" w14:textId="77777777" w:rsidR="0089748C" w:rsidRPr="00EF4617" w:rsidRDefault="0089748C" w:rsidP="004A4F6C">
            <w:pPr>
              <w:rPr>
                <w:rFonts w:asciiTheme="minorHAnsi" w:eastAsia="Times New Roman" w:hAnsiTheme="minorHAnsi" w:cstheme="minorHAnsi"/>
                <w:lang w:val="es-CR"/>
              </w:rPr>
            </w:pPr>
            <w:r w:rsidRPr="00EF4617">
              <w:rPr>
                <w:rFonts w:asciiTheme="minorHAnsi" w:eastAsia="Times New Roman" w:hAnsiTheme="minorHAnsi" w:cstheme="minorHAnsi"/>
                <w:lang w:val="es-CR"/>
              </w:rPr>
              <w:t>Acuerdo</w:t>
            </w:r>
          </w:p>
        </w:tc>
        <w:tc>
          <w:tcPr>
            <w:tcW w:w="8231" w:type="dxa"/>
            <w:noWrap/>
            <w:hideMark/>
          </w:tcPr>
          <w:p w14:paraId="5E1A2E54" w14:textId="77777777" w:rsidR="0089748C" w:rsidRPr="00EF4617" w:rsidRDefault="0089748C" w:rsidP="004A4F6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EF4617">
              <w:rPr>
                <w:rFonts w:asciiTheme="minorHAnsi" w:eastAsia="Times New Roman" w:hAnsiTheme="minorHAnsi" w:cstheme="minorHAnsi"/>
                <w:lang w:val="es-CR"/>
              </w:rPr>
              <w:t>Alcance</w:t>
            </w:r>
          </w:p>
        </w:tc>
      </w:tr>
      <w:tr w:rsidR="0089748C" w:rsidRPr="00EF4617" w14:paraId="28BC546C" w14:textId="77777777" w:rsidTr="004A4F6C">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1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9EC12E" w14:textId="77777777" w:rsidR="0089748C" w:rsidRPr="00EF4617" w:rsidRDefault="0089748C" w:rsidP="004A4F6C">
            <w:pPr>
              <w:jc w:val="both"/>
              <w:rPr>
                <w:rFonts w:asciiTheme="minorHAnsi" w:eastAsia="Times New Roman" w:hAnsiTheme="minorHAnsi" w:cstheme="minorHAnsi"/>
                <w:b w:val="0"/>
                <w:bCs w:val="0"/>
                <w:color w:val="000000"/>
                <w:lang w:val="es-CR"/>
              </w:rPr>
            </w:pPr>
            <w:r w:rsidRPr="00EF4617">
              <w:rPr>
                <w:rFonts w:asciiTheme="minorHAnsi" w:eastAsia="Times New Roman" w:hAnsiTheme="minorHAnsi" w:cstheme="minorHAnsi"/>
                <w:color w:val="000000"/>
                <w:lang w:val="es-CR"/>
              </w:rPr>
              <w:t>SP-A-243-2021, del 18 de mayo del 2021.</w:t>
            </w:r>
          </w:p>
          <w:p w14:paraId="5F65D002" w14:textId="77777777" w:rsidR="0089748C" w:rsidRPr="00EF4617" w:rsidRDefault="0089748C" w:rsidP="004A4F6C">
            <w:pPr>
              <w:jc w:val="both"/>
              <w:rPr>
                <w:rFonts w:asciiTheme="minorHAnsi" w:eastAsia="Times New Roman" w:hAnsiTheme="minorHAnsi" w:cstheme="minorHAnsi"/>
                <w:color w:val="000000"/>
                <w:lang w:val="es-CR"/>
              </w:rPr>
            </w:pP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E9D5CF" w14:textId="77777777" w:rsidR="0089748C" w:rsidRPr="00EF4617" w:rsidRDefault="0089748C" w:rsidP="004A4F6C">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s-CR"/>
              </w:rPr>
            </w:pPr>
            <w:r w:rsidRPr="00EF4617">
              <w:rPr>
                <w:rFonts w:asciiTheme="minorHAnsi" w:eastAsia="Times New Roman" w:hAnsiTheme="minorHAnsi" w:cstheme="minorHAnsi"/>
                <w:color w:val="000000"/>
                <w:lang w:val="es-CR"/>
              </w:rPr>
              <w:t>E</w:t>
            </w:r>
            <w:r w:rsidRPr="00EF4617">
              <w:rPr>
                <w:rFonts w:asciiTheme="minorHAnsi" w:eastAsia="Times New Roman" w:hAnsiTheme="minorHAnsi" w:cstheme="minorHAnsi"/>
                <w:lang w:val="es-CR"/>
              </w:rPr>
              <w:t xml:space="preserve">stablece los requisitos mínimos para el envío de estados de cuenta, sus contenidos </w:t>
            </w:r>
            <w:r w:rsidRPr="00EF4617">
              <w:rPr>
                <w:rFonts w:asciiTheme="minorHAnsi" w:eastAsia="Times New Roman" w:hAnsiTheme="minorHAnsi" w:cstheme="minorHAnsi"/>
                <w:i/>
                <w:iCs/>
                <w:lang w:val="es-CR"/>
              </w:rPr>
              <w:t xml:space="preserve">“mínimos”, </w:t>
            </w:r>
            <w:r w:rsidRPr="00EF4617">
              <w:rPr>
                <w:rFonts w:asciiTheme="minorHAnsi" w:eastAsia="Times New Roman" w:hAnsiTheme="minorHAnsi" w:cstheme="minorHAnsi"/>
                <w:lang w:val="es-CR"/>
              </w:rPr>
              <w:t xml:space="preserve">los deberes de información adicional de las entidades cuando el afiliado así lo solicite, así como las proyecciones que deben contener los estados de cuenta y los requisitos de </w:t>
            </w:r>
            <w:proofErr w:type="gramStart"/>
            <w:r w:rsidRPr="00EF4617">
              <w:rPr>
                <w:rFonts w:asciiTheme="minorHAnsi" w:eastAsia="Times New Roman" w:hAnsiTheme="minorHAnsi" w:cstheme="minorHAnsi"/>
                <w:lang w:val="es-CR"/>
              </w:rPr>
              <w:t>las mismas</w:t>
            </w:r>
            <w:proofErr w:type="gramEnd"/>
            <w:r w:rsidRPr="00EF4617">
              <w:rPr>
                <w:rFonts w:asciiTheme="minorHAnsi" w:eastAsia="Times New Roman" w:hAnsiTheme="minorHAnsi" w:cstheme="minorHAnsi"/>
                <w:lang w:val="es-CR"/>
              </w:rPr>
              <w:t>.</w:t>
            </w:r>
          </w:p>
        </w:tc>
      </w:tr>
      <w:tr w:rsidR="0089748C" w:rsidRPr="00EF4617" w14:paraId="20ED713B" w14:textId="77777777" w:rsidTr="004A4F6C">
        <w:trPr>
          <w:trHeight w:val="456"/>
          <w:jc w:val="center"/>
        </w:trPr>
        <w:tc>
          <w:tcPr>
            <w:cnfStyle w:val="001000000000" w:firstRow="0" w:lastRow="0" w:firstColumn="1" w:lastColumn="0" w:oddVBand="0" w:evenVBand="0" w:oddHBand="0" w:evenHBand="0" w:firstRowFirstColumn="0" w:firstRowLastColumn="0" w:lastRowFirstColumn="0" w:lastRowLastColumn="0"/>
            <w:tcW w:w="21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FF6E20" w14:textId="77777777" w:rsidR="0089748C" w:rsidRPr="00EF4617" w:rsidRDefault="0089748C" w:rsidP="004A4F6C">
            <w:pPr>
              <w:jc w:val="both"/>
              <w:rPr>
                <w:rFonts w:asciiTheme="minorHAnsi" w:eastAsia="Times New Roman" w:hAnsiTheme="minorHAnsi" w:cstheme="minorHAnsi"/>
                <w:color w:val="000000"/>
              </w:rPr>
            </w:pPr>
            <w:r w:rsidRPr="00EF4617">
              <w:rPr>
                <w:rFonts w:asciiTheme="minorHAnsi" w:eastAsia="Times New Roman" w:hAnsiTheme="minorHAnsi" w:cstheme="minorHAnsi"/>
                <w:color w:val="000000"/>
              </w:rPr>
              <w:t xml:space="preserve">SP-A-244-2021, Reforma el Acuerdo SP-A-219-2020, del </w:t>
            </w:r>
            <w:r>
              <w:rPr>
                <w:rFonts w:asciiTheme="minorHAnsi" w:eastAsia="Times New Roman" w:hAnsiTheme="minorHAnsi" w:cstheme="minorHAnsi"/>
                <w:color w:val="000000"/>
              </w:rPr>
              <w:t>24</w:t>
            </w:r>
            <w:r w:rsidRPr="00EF4617">
              <w:rPr>
                <w:rFonts w:asciiTheme="minorHAnsi" w:eastAsia="Times New Roman" w:hAnsiTheme="minorHAnsi" w:cstheme="minorHAnsi"/>
                <w:color w:val="000000"/>
              </w:rPr>
              <w:t xml:space="preserve"> de junio del 2020.</w:t>
            </w:r>
          </w:p>
          <w:p w14:paraId="7130B8FC" w14:textId="77777777" w:rsidR="0089748C" w:rsidRPr="00EF4617" w:rsidRDefault="0089748C" w:rsidP="004A4F6C">
            <w:pPr>
              <w:jc w:val="both"/>
              <w:rPr>
                <w:rFonts w:asciiTheme="minorHAnsi" w:eastAsia="Times New Roman" w:hAnsiTheme="minorHAnsi" w:cstheme="minorHAnsi"/>
                <w:color w:val="000000"/>
                <w:lang w:val="es-CR"/>
              </w:rPr>
            </w:pP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3582F2" w14:textId="77777777" w:rsidR="0089748C" w:rsidRPr="00EF4617"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4617">
              <w:rPr>
                <w:rFonts w:asciiTheme="minorHAnsi" w:eastAsia="Times New Roman" w:hAnsiTheme="minorHAnsi" w:cstheme="minorHAnsi"/>
                <w:lang w:val="es-CR"/>
              </w:rPr>
              <w:t xml:space="preserve">Se reforma íntegramente el acuerdo SP-A-219-2020, </w:t>
            </w:r>
            <w:r w:rsidRPr="00EF4617">
              <w:rPr>
                <w:rFonts w:asciiTheme="minorHAnsi" w:hAnsiTheme="minorHAnsi" w:cstheme="minorHAnsi"/>
              </w:rPr>
              <w:t xml:space="preserve">se exime al </w:t>
            </w:r>
            <w:r w:rsidRPr="00730113">
              <w:rPr>
                <w:rFonts w:asciiTheme="minorHAnsi" w:hAnsiTheme="minorHAnsi" w:cstheme="minorHAnsi"/>
              </w:rPr>
              <w:t xml:space="preserve">Fondo de Garantías y Jubilaciones de la Refinadora Costarricense de Petróleo </w:t>
            </w:r>
            <w:r w:rsidRPr="00EF4617">
              <w:rPr>
                <w:rFonts w:asciiTheme="minorHAnsi" w:hAnsiTheme="minorHAnsi" w:cstheme="minorHAnsi"/>
              </w:rPr>
              <w:t>del cumplimiento de una serie de disposiciones del Reglamento de Riesgos y del Reglamento de Gobierno Corporativo, y se prevén para la supervisión de los beneficiarios y la gestión de las inversiones, que el Fondo cumpla con los requerimientos de información que se describen en el acuerdo.</w:t>
            </w:r>
          </w:p>
        </w:tc>
      </w:tr>
      <w:tr w:rsidR="0089748C" w:rsidRPr="00EF4617" w14:paraId="1712A934" w14:textId="77777777" w:rsidTr="004A4F6C">
        <w:trPr>
          <w:cnfStyle w:val="000000100000" w:firstRow="0" w:lastRow="0" w:firstColumn="0" w:lastColumn="0" w:oddVBand="0" w:evenVBand="0" w:oddHBand="1"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21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01DACE3" w14:textId="77777777" w:rsidR="0089748C" w:rsidRPr="00EF4617" w:rsidRDefault="0089748C" w:rsidP="004A4F6C">
            <w:pPr>
              <w:jc w:val="both"/>
              <w:rPr>
                <w:rFonts w:asciiTheme="minorHAnsi" w:eastAsia="Times New Roman" w:hAnsiTheme="minorHAnsi" w:cstheme="minorHAnsi"/>
                <w:color w:val="000000"/>
              </w:rPr>
            </w:pPr>
            <w:r w:rsidRPr="00EF4617">
              <w:rPr>
                <w:rFonts w:asciiTheme="minorHAnsi" w:eastAsia="Times New Roman" w:hAnsiTheme="minorHAnsi" w:cstheme="minorHAnsi"/>
                <w:color w:val="000000"/>
              </w:rPr>
              <w:t xml:space="preserve">SP-A-245-2021, </w:t>
            </w:r>
            <w:r w:rsidRPr="00EF4617">
              <w:rPr>
                <w:rFonts w:asciiTheme="minorHAnsi" w:hAnsiTheme="minorHAnsi" w:cstheme="minorHAnsi"/>
              </w:rPr>
              <w:t>del</w:t>
            </w:r>
            <w:r>
              <w:rPr>
                <w:rFonts w:asciiTheme="minorHAnsi" w:hAnsiTheme="minorHAnsi" w:cstheme="minorHAnsi"/>
              </w:rPr>
              <w:t xml:space="preserve"> 29</w:t>
            </w:r>
            <w:r w:rsidRPr="00EF4617">
              <w:rPr>
                <w:rFonts w:asciiTheme="minorHAnsi" w:hAnsiTheme="minorHAnsi" w:cstheme="minorHAnsi"/>
              </w:rPr>
              <w:t xml:space="preserve"> de junio </w:t>
            </w:r>
            <w:r>
              <w:rPr>
                <w:rFonts w:asciiTheme="minorHAnsi" w:hAnsiTheme="minorHAnsi" w:cstheme="minorHAnsi"/>
              </w:rPr>
              <w:t>2021</w:t>
            </w:r>
            <w:r w:rsidRPr="00EF4617">
              <w:rPr>
                <w:rFonts w:asciiTheme="minorHAnsi" w:hAnsiTheme="minorHAnsi" w:cstheme="minorHAnsi"/>
              </w:rPr>
              <w:t>.</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D7E731C" w14:textId="77777777" w:rsidR="0089748C" w:rsidRPr="00EF4617" w:rsidRDefault="0089748C" w:rsidP="004A4F6C">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EF4617">
              <w:rPr>
                <w:rFonts w:asciiTheme="minorHAnsi" w:hAnsiTheme="minorHAnsi" w:cstheme="minorHAnsi"/>
              </w:rPr>
              <w:t xml:space="preserve">La operadora que, con posterioridad al 02 de marzo 2021, reciba recursos que deban ser acreditados en alguna cuenta del </w:t>
            </w:r>
            <w:r>
              <w:rPr>
                <w:rFonts w:asciiTheme="minorHAnsi" w:hAnsiTheme="minorHAnsi" w:cstheme="minorHAnsi"/>
              </w:rPr>
              <w:t>ROP</w:t>
            </w:r>
            <w:r w:rsidRPr="00EF4617">
              <w:rPr>
                <w:rFonts w:asciiTheme="minorHAnsi" w:hAnsiTheme="minorHAnsi" w:cstheme="minorHAnsi"/>
              </w:rPr>
              <w:t xml:space="preserve"> bajo su gestión, los cuales provengan de una cuenta del FCL administrada por otra entidad autorizada, deberá reintegrarle a la operadora de origen, el monto proporcional correspondiente a la comisión de recaudación que aquella haya pagado al SICERE, dentro de un plazo de diez días hábiles contados a partir de que haya remitido los correspondientes recursos.</w:t>
            </w:r>
          </w:p>
        </w:tc>
      </w:tr>
      <w:tr w:rsidR="0089748C" w:rsidRPr="00EF4617" w14:paraId="51FD1122" w14:textId="77777777" w:rsidTr="004A4F6C">
        <w:trPr>
          <w:trHeight w:val="456"/>
          <w:jc w:val="center"/>
        </w:trPr>
        <w:tc>
          <w:tcPr>
            <w:cnfStyle w:val="001000000000" w:firstRow="0" w:lastRow="0" w:firstColumn="1" w:lastColumn="0" w:oddVBand="0" w:evenVBand="0" w:oddHBand="0" w:evenHBand="0" w:firstRowFirstColumn="0" w:firstRowLastColumn="0" w:lastRowFirstColumn="0" w:lastRowLastColumn="0"/>
            <w:tcW w:w="21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1F1F3ED" w14:textId="77777777" w:rsidR="0089748C" w:rsidRPr="00EF4617" w:rsidRDefault="0089748C" w:rsidP="004A4F6C">
            <w:pPr>
              <w:jc w:val="both"/>
              <w:rPr>
                <w:rFonts w:asciiTheme="minorHAnsi" w:eastAsia="Times New Roman" w:hAnsiTheme="minorHAnsi" w:cstheme="minorHAnsi"/>
                <w:color w:val="000000"/>
                <w:lang w:val="es-CR"/>
              </w:rPr>
            </w:pPr>
            <w:r w:rsidRPr="00EF4617">
              <w:rPr>
                <w:rFonts w:asciiTheme="minorHAnsi" w:eastAsia="Times New Roman" w:hAnsiTheme="minorHAnsi" w:cstheme="minorHAnsi"/>
                <w:color w:val="000000"/>
                <w:lang w:val="es-CR"/>
              </w:rPr>
              <w:t>SP-A-246-2021, de</w:t>
            </w:r>
            <w:r>
              <w:rPr>
                <w:rFonts w:asciiTheme="minorHAnsi" w:eastAsia="Times New Roman" w:hAnsiTheme="minorHAnsi" w:cstheme="minorHAnsi"/>
                <w:color w:val="000000"/>
                <w:lang w:val="es-CR"/>
              </w:rPr>
              <w:t xml:space="preserve">l 29 </w:t>
            </w:r>
            <w:r w:rsidRPr="00EF4617">
              <w:rPr>
                <w:rFonts w:asciiTheme="minorHAnsi" w:eastAsia="Times New Roman" w:hAnsiTheme="minorHAnsi" w:cstheme="minorHAnsi"/>
                <w:color w:val="000000"/>
                <w:lang w:val="es-CR"/>
              </w:rPr>
              <w:t xml:space="preserve">de junio del </w:t>
            </w:r>
            <w:r>
              <w:rPr>
                <w:rFonts w:asciiTheme="minorHAnsi" w:eastAsia="Times New Roman" w:hAnsiTheme="minorHAnsi" w:cstheme="minorHAnsi"/>
                <w:color w:val="000000"/>
                <w:lang w:val="es-CR"/>
              </w:rPr>
              <w:t>2021</w:t>
            </w:r>
            <w:r w:rsidRPr="00EF4617">
              <w:rPr>
                <w:rFonts w:asciiTheme="minorHAnsi" w:eastAsia="Times New Roman" w:hAnsiTheme="minorHAnsi" w:cstheme="minorHAnsi"/>
                <w:color w:val="000000"/>
                <w:lang w:val="es-CR"/>
              </w:rPr>
              <w:t>.</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A27A23C" w14:textId="77777777" w:rsidR="0089748C" w:rsidRPr="00EF4617"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4617">
              <w:rPr>
                <w:rFonts w:asciiTheme="minorHAnsi" w:hAnsiTheme="minorHAnsi" w:cstheme="minorHAnsi"/>
              </w:rPr>
              <w:t xml:space="preserve">Mediante acuerdo SP-A-246-2021 </w:t>
            </w:r>
            <w:r>
              <w:rPr>
                <w:rFonts w:asciiTheme="minorHAnsi" w:hAnsiTheme="minorHAnsi" w:cstheme="minorHAnsi"/>
              </w:rPr>
              <w:t xml:space="preserve">se </w:t>
            </w:r>
            <w:r w:rsidRPr="00EF4617">
              <w:rPr>
                <w:rFonts w:asciiTheme="minorHAnsi" w:hAnsiTheme="minorHAnsi" w:cstheme="minorHAnsi"/>
              </w:rPr>
              <w:t>acordó que el Fondo de Pensiones y Jubilaciones para los miembros del Benemérito Cuerpo de Bomberos</w:t>
            </w:r>
            <w:r>
              <w:rPr>
                <w:rFonts w:asciiTheme="minorHAnsi" w:hAnsiTheme="minorHAnsi" w:cstheme="minorHAnsi"/>
              </w:rPr>
              <w:t xml:space="preserve"> </w:t>
            </w:r>
            <w:r w:rsidRPr="00EF4617">
              <w:rPr>
                <w:rFonts w:asciiTheme="minorHAnsi" w:hAnsiTheme="minorHAnsi" w:cstheme="minorHAnsi"/>
              </w:rPr>
              <w:t>podrá contratar los servicios prestados por la unidad o función de riesgos con un área especializada del Instituto Nacional de Seguros, conforme prevé el artículo 10 del Reglamento de Riesgos. </w:t>
            </w:r>
          </w:p>
          <w:p w14:paraId="5D87E183" w14:textId="77777777" w:rsidR="0089748C"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4617">
              <w:rPr>
                <w:rFonts w:asciiTheme="minorHAnsi" w:hAnsiTheme="minorHAnsi" w:cstheme="minorHAnsi"/>
              </w:rPr>
              <w:t xml:space="preserve">En virtud de esto, se exime al Fondo de Bomberos de la aplicación del artículo 8 del Reglamento Actuarial, </w:t>
            </w:r>
            <w:r>
              <w:rPr>
                <w:rFonts w:asciiTheme="minorHAnsi" w:hAnsiTheme="minorHAnsi" w:cstheme="minorHAnsi"/>
              </w:rPr>
              <w:t>que</w:t>
            </w:r>
            <w:r w:rsidRPr="00EF4617">
              <w:rPr>
                <w:rFonts w:asciiTheme="minorHAnsi" w:hAnsiTheme="minorHAnsi" w:cstheme="minorHAnsi"/>
              </w:rPr>
              <w:t xml:space="preserve"> establece la obligatoriedad de realizar una valuación actuarial del fondo cada año para que, en su lugar, se realice cada tres años, la primera con corte al año 2023 y, la segunda con corte al 2026, y así sucesivamente.</w:t>
            </w:r>
          </w:p>
          <w:p w14:paraId="40E35966" w14:textId="77777777" w:rsidR="0089748C" w:rsidRPr="00EF4617"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4617">
              <w:rPr>
                <w:rFonts w:asciiTheme="minorHAnsi" w:hAnsiTheme="minorHAnsi" w:cstheme="minorHAnsi"/>
              </w:rPr>
              <w:t>De igual forma se dispusieron exenciones o bien aclaraciones respecto al plazo de la Auditoría Actuarial Externa, para que esta se realice cada seis años.</w:t>
            </w:r>
          </w:p>
          <w:p w14:paraId="6CE96CBA" w14:textId="77777777" w:rsidR="0089748C" w:rsidRPr="00EF4617" w:rsidRDefault="0089748C" w:rsidP="004A4F6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4617">
              <w:rPr>
                <w:rFonts w:asciiTheme="minorHAnsi" w:hAnsiTheme="minorHAnsi" w:cstheme="minorHAnsi"/>
              </w:rPr>
              <w:t>Por otra parte, se acordó derogar el acuerdo SP-A-102-2007 del 5 de noviembre del 2007.</w:t>
            </w:r>
          </w:p>
        </w:tc>
      </w:tr>
    </w:tbl>
    <w:p w14:paraId="74871F0A" w14:textId="77777777" w:rsidR="0089748C" w:rsidRDefault="0089748C" w:rsidP="0089748C">
      <w:pPr>
        <w:pStyle w:val="Descripcin"/>
        <w:spacing w:after="0"/>
        <w:ind w:left="360"/>
      </w:pPr>
      <w:r>
        <w:t xml:space="preserve">Fuente: Elaboración propia </w:t>
      </w:r>
    </w:p>
    <w:p w14:paraId="7EBEACBA" w14:textId="77777777" w:rsidR="0089748C" w:rsidRDefault="0089748C" w:rsidP="0089748C">
      <w:pPr>
        <w:tabs>
          <w:tab w:val="left" w:pos="1485"/>
        </w:tabs>
        <w:spacing w:after="0" w:line="240" w:lineRule="auto"/>
      </w:pPr>
    </w:p>
    <w:p w14:paraId="73F56390" w14:textId="77777777" w:rsidR="0089748C" w:rsidRDefault="0089748C" w:rsidP="0089748C">
      <w:pPr>
        <w:pStyle w:val="Ttulo2"/>
        <w:numPr>
          <w:ilvl w:val="1"/>
          <w:numId w:val="1"/>
        </w:numPr>
      </w:pPr>
      <w:bookmarkStart w:id="108" w:name="_Toc80290698"/>
      <w:bookmarkStart w:id="109" w:name="_Hlk62557035"/>
      <w:r>
        <w:t>Proyectos normativos</w:t>
      </w:r>
      <w:bookmarkEnd w:id="108"/>
    </w:p>
    <w:p w14:paraId="27F97F3A" w14:textId="77777777" w:rsidR="0089748C" w:rsidRDefault="0089748C" w:rsidP="0089748C">
      <w:pPr>
        <w:spacing w:after="0" w:line="240" w:lineRule="auto"/>
        <w:jc w:val="both"/>
      </w:pPr>
    </w:p>
    <w:p w14:paraId="2992ADE9" w14:textId="77777777" w:rsidR="0089748C" w:rsidRDefault="0089748C" w:rsidP="0089748C">
      <w:pPr>
        <w:pStyle w:val="Descripcin"/>
        <w:spacing w:after="0"/>
        <w:jc w:val="center"/>
      </w:pPr>
      <w:r>
        <w:t xml:space="preserve">Tabla </w:t>
      </w:r>
      <w:r>
        <w:fldChar w:fldCharType="begin"/>
      </w:r>
      <w:r>
        <w:instrText xml:space="preserve"> SEQ Tabla \* ARABIC </w:instrText>
      </w:r>
      <w:r>
        <w:fldChar w:fldCharType="separate"/>
      </w:r>
      <w:r>
        <w:rPr>
          <w:noProof/>
        </w:rPr>
        <w:t>16</w:t>
      </w:r>
      <w:r>
        <w:fldChar w:fldCharType="end"/>
      </w:r>
      <w:r>
        <w:t>: Proyectos normativos de SUPEN</w:t>
      </w:r>
    </w:p>
    <w:p w14:paraId="7B269550" w14:textId="77777777" w:rsidR="0089748C" w:rsidRDefault="0089748C" w:rsidP="0089748C">
      <w:pPr>
        <w:pStyle w:val="Descripcin"/>
        <w:spacing w:after="0"/>
        <w:jc w:val="center"/>
      </w:pPr>
      <w:r>
        <w:t>Al 30 de junio 2021</w:t>
      </w:r>
    </w:p>
    <w:tbl>
      <w:tblPr>
        <w:tblStyle w:val="Tablaconcuadrcula4-nfasis1"/>
        <w:tblW w:w="9918" w:type="dxa"/>
        <w:jc w:val="center"/>
        <w:tblLook w:val="04A0" w:firstRow="1" w:lastRow="0" w:firstColumn="1" w:lastColumn="0" w:noHBand="0" w:noVBand="1"/>
      </w:tblPr>
      <w:tblGrid>
        <w:gridCol w:w="5217"/>
        <w:gridCol w:w="1408"/>
        <w:gridCol w:w="2105"/>
        <w:gridCol w:w="1188"/>
      </w:tblGrid>
      <w:tr w:rsidR="0089748C" w14:paraId="547D6C00" w14:textId="77777777" w:rsidTr="004A4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7" w:type="dxa"/>
            <w:vAlign w:val="center"/>
            <w:hideMark/>
          </w:tcPr>
          <w:p w14:paraId="123B1DD2" w14:textId="77777777" w:rsidR="0089748C" w:rsidRDefault="0089748C" w:rsidP="004A4F6C">
            <w:pPr>
              <w:jc w:val="center"/>
            </w:pPr>
            <w:r>
              <w:t>Proyectos</w:t>
            </w:r>
          </w:p>
        </w:tc>
        <w:tc>
          <w:tcPr>
            <w:tcW w:w="1412" w:type="dxa"/>
            <w:vAlign w:val="center"/>
            <w:hideMark/>
          </w:tcPr>
          <w:p w14:paraId="00F3A93B" w14:textId="77777777" w:rsidR="0089748C" w:rsidRDefault="0089748C" w:rsidP="004A4F6C">
            <w:pPr>
              <w:jc w:val="center"/>
              <w:cnfStyle w:val="100000000000" w:firstRow="1" w:lastRow="0" w:firstColumn="0" w:lastColumn="0" w:oddVBand="0" w:evenVBand="0" w:oddHBand="0" w:evenHBand="0" w:firstRowFirstColumn="0" w:firstRowLastColumn="0" w:lastRowFirstColumn="0" w:lastRowLastColumn="0"/>
            </w:pPr>
            <w:r>
              <w:t>Estado Actual</w:t>
            </w:r>
          </w:p>
        </w:tc>
        <w:tc>
          <w:tcPr>
            <w:tcW w:w="2115" w:type="dxa"/>
            <w:vAlign w:val="center"/>
            <w:hideMark/>
          </w:tcPr>
          <w:p w14:paraId="1EAFE8CB" w14:textId="77777777" w:rsidR="0089748C" w:rsidRDefault="0089748C" w:rsidP="004A4F6C">
            <w:pPr>
              <w:jc w:val="center"/>
              <w:cnfStyle w:val="100000000000" w:firstRow="1" w:lastRow="0" w:firstColumn="0" w:lastColumn="0" w:oddVBand="0" w:evenVBand="0" w:oddHBand="0" w:evenHBand="0" w:firstRowFirstColumn="0" w:firstRowLastColumn="0" w:lastRowFirstColumn="0" w:lastRowLastColumn="0"/>
            </w:pPr>
            <w:r>
              <w:t>Próxima Etapa</w:t>
            </w:r>
          </w:p>
        </w:tc>
        <w:tc>
          <w:tcPr>
            <w:tcW w:w="1134" w:type="dxa"/>
            <w:vAlign w:val="center"/>
            <w:hideMark/>
          </w:tcPr>
          <w:p w14:paraId="5D827B9A" w14:textId="77777777" w:rsidR="0089748C" w:rsidRDefault="0089748C" w:rsidP="004A4F6C">
            <w:pPr>
              <w:jc w:val="center"/>
              <w:cnfStyle w:val="100000000000" w:firstRow="1" w:lastRow="0" w:firstColumn="0" w:lastColumn="0" w:oddVBand="0" w:evenVBand="0" w:oddHBand="0" w:evenHBand="0" w:firstRowFirstColumn="0" w:firstRowLastColumn="0" w:lastRowFirstColumn="0" w:lastRowLastColumn="0"/>
            </w:pPr>
            <w:r>
              <w:t xml:space="preserve">Fecha de </w:t>
            </w:r>
          </w:p>
          <w:p w14:paraId="71CCAFB3" w14:textId="77777777" w:rsidR="0089748C" w:rsidRDefault="0089748C" w:rsidP="004A4F6C">
            <w:pPr>
              <w:jc w:val="center"/>
              <w:cnfStyle w:val="100000000000" w:firstRow="1" w:lastRow="0" w:firstColumn="0" w:lastColumn="0" w:oddVBand="0" w:evenVBand="0" w:oddHBand="0" w:evenHBand="0" w:firstRowFirstColumn="0" w:firstRowLastColumn="0" w:lastRowFirstColumn="0" w:lastRowLastColumn="0"/>
            </w:pPr>
            <w:r>
              <w:t>Finalización</w:t>
            </w:r>
          </w:p>
        </w:tc>
      </w:tr>
      <w:tr w:rsidR="0089748C" w14:paraId="50E46001" w14:textId="77777777" w:rsidTr="004A4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AA50D25" w14:textId="77777777" w:rsidR="0089748C" w:rsidRPr="00BA7B4B" w:rsidRDefault="0089748C" w:rsidP="004A4F6C">
            <w:pPr>
              <w:jc w:val="both"/>
              <w:rPr>
                <w:b w:val="0"/>
                <w:bCs w:val="0"/>
              </w:rPr>
            </w:pPr>
            <w:r w:rsidRPr="00BA7B4B">
              <w:t xml:space="preserve">Reforma al RAF + Gestión de Activos </w:t>
            </w:r>
          </w:p>
          <w:p w14:paraId="58F639C7" w14:textId="77777777" w:rsidR="0089748C" w:rsidRPr="00BA7B4B" w:rsidRDefault="0089748C" w:rsidP="004A4F6C">
            <w:pPr>
              <w:jc w:val="both"/>
            </w:pPr>
            <w:r w:rsidRPr="00BA7B4B">
              <w:t>(Fondos Generacionales)</w:t>
            </w:r>
          </w:p>
        </w:tc>
        <w:tc>
          <w:tcPr>
            <w:tcW w:w="14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913725D" w14:textId="77777777" w:rsidR="0089748C" w:rsidRPr="00BA7B4B" w:rsidRDefault="0089748C" w:rsidP="004A4F6C">
            <w:pPr>
              <w:jc w:val="center"/>
              <w:cnfStyle w:val="000000100000" w:firstRow="0" w:lastRow="0" w:firstColumn="0" w:lastColumn="0" w:oddVBand="0" w:evenVBand="0" w:oddHBand="1" w:evenHBand="0" w:firstRowFirstColumn="0" w:firstRowLastColumn="0" w:lastRowFirstColumn="0" w:lastRowLastColumn="0"/>
            </w:pPr>
            <w:r w:rsidRPr="00BA7B4B">
              <w:t>En Ejecución</w:t>
            </w:r>
          </w:p>
        </w:tc>
        <w:tc>
          <w:tcPr>
            <w:tcW w:w="21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A174946" w14:textId="77777777" w:rsidR="0089748C" w:rsidRPr="00BA7B4B" w:rsidRDefault="0089748C" w:rsidP="004A4F6C">
            <w:pPr>
              <w:jc w:val="center"/>
              <w:cnfStyle w:val="000000100000" w:firstRow="0" w:lastRow="0" w:firstColumn="0" w:lastColumn="0" w:oddVBand="0" w:evenVBand="0" w:oddHBand="1" w:evenHBand="0" w:firstRowFirstColumn="0" w:firstRowLastColumn="0" w:lastRowFirstColumn="0" w:lastRowLastColumn="0"/>
            </w:pPr>
            <w:r>
              <w:t>Estudios técnicos</w:t>
            </w:r>
          </w:p>
          <w:p w14:paraId="6A630D6B" w14:textId="77777777" w:rsidR="0089748C" w:rsidRPr="00BA7B4B" w:rsidRDefault="0089748C" w:rsidP="004A4F6C">
            <w:pPr>
              <w:jc w:val="center"/>
              <w:cnfStyle w:val="000000100000" w:firstRow="0" w:lastRow="0" w:firstColumn="0" w:lastColumn="0" w:oddVBand="0" w:evenVBand="0" w:oddHBand="1" w:evenHBand="0" w:firstRowFirstColumn="0" w:firstRowLastColumn="0" w:lastRowFirstColumn="0" w:lastRowLastColumn="0"/>
            </w:pPr>
            <w:r>
              <w:t>Setiembre</w:t>
            </w:r>
            <w:r w:rsidRPr="00BA7B4B">
              <w:t xml:space="preserve"> 2021</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06BFF9" w14:textId="77777777" w:rsidR="0089748C" w:rsidRDefault="0089748C" w:rsidP="004A4F6C">
            <w:pPr>
              <w:jc w:val="center"/>
              <w:cnfStyle w:val="000000100000" w:firstRow="0" w:lastRow="0" w:firstColumn="0" w:lastColumn="0" w:oddVBand="0" w:evenVBand="0" w:oddHBand="1" w:evenHBand="0" w:firstRowFirstColumn="0" w:firstRowLastColumn="0" w:lastRowFirstColumn="0" w:lastRowLastColumn="0"/>
            </w:pPr>
            <w:r>
              <w:t>Junio</w:t>
            </w:r>
          </w:p>
          <w:p w14:paraId="1EFFA833" w14:textId="77777777" w:rsidR="0089748C" w:rsidRPr="00BA7B4B" w:rsidRDefault="0089748C" w:rsidP="004A4F6C">
            <w:pPr>
              <w:jc w:val="center"/>
              <w:cnfStyle w:val="000000100000" w:firstRow="0" w:lastRow="0" w:firstColumn="0" w:lastColumn="0" w:oddVBand="0" w:evenVBand="0" w:oddHBand="1" w:evenHBand="0" w:firstRowFirstColumn="0" w:firstRowLastColumn="0" w:lastRowFirstColumn="0" w:lastRowLastColumn="0"/>
            </w:pPr>
            <w:r w:rsidRPr="00BA7B4B">
              <w:t xml:space="preserve"> 202</w:t>
            </w:r>
            <w:r>
              <w:t>2</w:t>
            </w:r>
          </w:p>
        </w:tc>
      </w:tr>
      <w:tr w:rsidR="0089748C" w14:paraId="233ED4C9" w14:textId="77777777" w:rsidTr="004A4F6C">
        <w:trPr>
          <w:jc w:val="center"/>
        </w:trPr>
        <w:tc>
          <w:tcPr>
            <w:cnfStyle w:val="001000000000" w:firstRow="0" w:lastRow="0" w:firstColumn="1" w:lastColumn="0" w:oddVBand="0" w:evenVBand="0" w:oddHBand="0" w:evenHBand="0" w:firstRowFirstColumn="0" w:firstRowLastColumn="0" w:lastRowFirstColumn="0" w:lastRowLastColumn="0"/>
            <w:tcW w:w="5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43D809" w14:textId="77777777" w:rsidR="0089748C" w:rsidRDefault="0089748C" w:rsidP="004A4F6C">
            <w:pPr>
              <w:jc w:val="both"/>
              <w:rPr>
                <w:b w:val="0"/>
                <w:bCs w:val="0"/>
              </w:rPr>
            </w:pPr>
            <w:r>
              <w:t>Reforma al Reglamento sobre la apertura y funcionamiento</w:t>
            </w:r>
          </w:p>
          <w:p w14:paraId="19C3AAA9" w14:textId="77777777" w:rsidR="0089748C" w:rsidRDefault="0089748C" w:rsidP="004A4F6C">
            <w:pPr>
              <w:jc w:val="both"/>
            </w:pPr>
            <w:r>
              <w:t>(Actualización normativa Fondos Voluntarios)</w:t>
            </w:r>
          </w:p>
        </w:tc>
        <w:tc>
          <w:tcPr>
            <w:tcW w:w="14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276E3A0" w14:textId="77777777" w:rsidR="0089748C" w:rsidRDefault="0089748C" w:rsidP="004A4F6C">
            <w:pPr>
              <w:jc w:val="center"/>
              <w:cnfStyle w:val="000000000000" w:firstRow="0" w:lastRow="0" w:firstColumn="0" w:lastColumn="0" w:oddVBand="0" w:evenVBand="0" w:oddHBand="0" w:evenHBand="0" w:firstRowFirstColumn="0" w:firstRowLastColumn="0" w:lastRowFirstColumn="0" w:lastRowLastColumn="0"/>
            </w:pPr>
            <w:r>
              <w:t>Por Iniciar</w:t>
            </w:r>
          </w:p>
        </w:tc>
        <w:tc>
          <w:tcPr>
            <w:tcW w:w="21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6071684" w14:textId="77777777" w:rsidR="0089748C" w:rsidRDefault="0089748C" w:rsidP="004A4F6C">
            <w:pPr>
              <w:jc w:val="center"/>
              <w:cnfStyle w:val="000000000000" w:firstRow="0" w:lastRow="0" w:firstColumn="0" w:lastColumn="0" w:oddVBand="0" w:evenVBand="0" w:oddHBand="0" w:evenHBand="0" w:firstRowFirstColumn="0" w:firstRowLastColumn="0" w:lastRowFirstColumn="0" w:lastRowLastColumn="0"/>
            </w:pPr>
            <w:r>
              <w:t>Marco Conceptual</w:t>
            </w:r>
          </w:p>
          <w:p w14:paraId="78F791EE" w14:textId="77777777" w:rsidR="0089748C" w:rsidRDefault="0089748C" w:rsidP="004A4F6C">
            <w:pPr>
              <w:jc w:val="center"/>
              <w:cnfStyle w:val="000000000000" w:firstRow="0" w:lastRow="0" w:firstColumn="0" w:lastColumn="0" w:oddVBand="0" w:evenVBand="0" w:oddHBand="0" w:evenHBand="0" w:firstRowFirstColumn="0" w:firstRowLastColumn="0" w:lastRowFirstColumn="0" w:lastRowLastColumn="0"/>
            </w:pPr>
            <w:r>
              <w:t>27 de setiembre</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CA64F59" w14:textId="77777777" w:rsidR="0089748C" w:rsidRDefault="0089748C" w:rsidP="004A4F6C">
            <w:pPr>
              <w:jc w:val="center"/>
              <w:cnfStyle w:val="000000000000" w:firstRow="0" w:lastRow="0" w:firstColumn="0" w:lastColumn="0" w:oddVBand="0" w:evenVBand="0" w:oddHBand="0" w:evenHBand="0" w:firstRowFirstColumn="0" w:firstRowLastColumn="0" w:lastRowFirstColumn="0" w:lastRowLastColumn="0"/>
            </w:pPr>
            <w:r>
              <w:t>Diciembre 2021</w:t>
            </w:r>
          </w:p>
        </w:tc>
      </w:tr>
      <w:tr w:rsidR="0089748C" w14:paraId="6AB81CD1" w14:textId="77777777" w:rsidTr="004A4F6C">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5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C75F97D" w14:textId="77777777" w:rsidR="0089748C" w:rsidRDefault="0089748C" w:rsidP="004A4F6C">
            <w:pPr>
              <w:jc w:val="both"/>
              <w:rPr>
                <w:b w:val="0"/>
                <w:bCs w:val="0"/>
              </w:rPr>
            </w:pPr>
            <w:r>
              <w:t>Ajuste Reglamento de beneficios</w:t>
            </w:r>
          </w:p>
          <w:p w14:paraId="14F0FB6B" w14:textId="77777777" w:rsidR="0089748C" w:rsidRDefault="0089748C" w:rsidP="004A4F6C">
            <w:pPr>
              <w:jc w:val="both"/>
            </w:pPr>
            <w:r>
              <w:t>(Actualización)</w:t>
            </w:r>
          </w:p>
        </w:tc>
        <w:tc>
          <w:tcPr>
            <w:tcW w:w="14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BE9E486" w14:textId="77777777" w:rsidR="0089748C" w:rsidRDefault="0089748C" w:rsidP="004A4F6C">
            <w:pPr>
              <w:jc w:val="center"/>
              <w:cnfStyle w:val="000000100000" w:firstRow="0" w:lastRow="0" w:firstColumn="0" w:lastColumn="0" w:oddVBand="0" w:evenVBand="0" w:oddHBand="1" w:evenHBand="0" w:firstRowFirstColumn="0" w:firstRowLastColumn="0" w:lastRowFirstColumn="0" w:lastRowLastColumn="0"/>
            </w:pPr>
            <w:r>
              <w:t>Por Iniciar</w:t>
            </w:r>
          </w:p>
        </w:tc>
        <w:tc>
          <w:tcPr>
            <w:tcW w:w="21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6F0F2C5" w14:textId="77777777" w:rsidR="0089748C" w:rsidRDefault="0089748C" w:rsidP="004A4F6C">
            <w:pPr>
              <w:jc w:val="center"/>
              <w:cnfStyle w:val="000000100000" w:firstRow="0" w:lastRow="0" w:firstColumn="0" w:lastColumn="0" w:oddVBand="0" w:evenVBand="0" w:oddHBand="1" w:evenHBand="0" w:firstRowFirstColumn="0" w:firstRowLastColumn="0" w:lastRowFirstColumn="0" w:lastRowLastColumn="0"/>
            </w:pPr>
            <w:r>
              <w:t>Texto de Reforma</w:t>
            </w:r>
          </w:p>
          <w:p w14:paraId="749E66C6" w14:textId="77777777" w:rsidR="0089748C" w:rsidRDefault="0089748C" w:rsidP="004A4F6C">
            <w:pPr>
              <w:jc w:val="center"/>
              <w:cnfStyle w:val="000000100000" w:firstRow="0" w:lastRow="0" w:firstColumn="0" w:lastColumn="0" w:oddVBand="0" w:evenVBand="0" w:oddHBand="1" w:evenHBand="0" w:firstRowFirstColumn="0" w:firstRowLastColumn="0" w:lastRowFirstColumn="0" w:lastRowLastColumn="0"/>
            </w:pPr>
            <w:r>
              <w:t>1 de noviembre</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BD9B9C1" w14:textId="77777777" w:rsidR="0089748C" w:rsidRDefault="0089748C" w:rsidP="004A4F6C">
            <w:pPr>
              <w:jc w:val="center"/>
              <w:cnfStyle w:val="000000100000" w:firstRow="0" w:lastRow="0" w:firstColumn="0" w:lastColumn="0" w:oddVBand="0" w:evenVBand="0" w:oddHBand="1" w:evenHBand="0" w:firstRowFirstColumn="0" w:firstRowLastColumn="0" w:lastRowFirstColumn="0" w:lastRowLastColumn="0"/>
            </w:pPr>
            <w:r>
              <w:t>Diciembre 2021</w:t>
            </w:r>
          </w:p>
        </w:tc>
      </w:tr>
    </w:tbl>
    <w:p w14:paraId="343679EF" w14:textId="77777777" w:rsidR="0089748C" w:rsidRDefault="0089748C" w:rsidP="0089748C">
      <w:pPr>
        <w:pStyle w:val="Descripcin"/>
        <w:spacing w:after="0"/>
      </w:pPr>
      <w:r>
        <w:t xml:space="preserve">Fuente: Elaboración propia </w:t>
      </w:r>
    </w:p>
    <w:bookmarkEnd w:id="109"/>
    <w:p w14:paraId="28F090E7" w14:textId="77777777" w:rsidR="0089748C" w:rsidRDefault="0089748C" w:rsidP="0089748C">
      <w:pPr>
        <w:tabs>
          <w:tab w:val="left" w:pos="1485"/>
        </w:tabs>
        <w:spacing w:after="0" w:line="240" w:lineRule="auto"/>
      </w:pPr>
    </w:p>
    <w:p w14:paraId="2FF3C7E8" w14:textId="77777777" w:rsidR="0089748C" w:rsidRDefault="0089748C" w:rsidP="0089748C">
      <w:pPr>
        <w:rPr>
          <w:rFonts w:ascii="Century Gothic" w:eastAsiaTheme="minorEastAsia" w:hAnsi="Century Gothic" w:cs="Century Gothic"/>
          <w:color w:val="000000"/>
          <w:sz w:val="24"/>
          <w:szCs w:val="24"/>
        </w:rPr>
      </w:pPr>
    </w:p>
    <w:p w14:paraId="3648EEE4" w14:textId="77777777" w:rsidR="0089748C" w:rsidRDefault="0089748C" w:rsidP="0089748C">
      <w:pPr>
        <w:pStyle w:val="Ttulo1"/>
        <w:numPr>
          <w:ilvl w:val="0"/>
          <w:numId w:val="1"/>
        </w:numPr>
      </w:pPr>
      <w:bookmarkStart w:id="110" w:name="_Toc80290699"/>
      <w:r>
        <w:lastRenderedPageBreak/>
        <w:t>Actividades de comunicación</w:t>
      </w:r>
      <w:bookmarkEnd w:id="110"/>
    </w:p>
    <w:p w14:paraId="270171FA" w14:textId="77777777" w:rsidR="0089748C" w:rsidRDefault="0089748C" w:rsidP="0089748C">
      <w:pPr>
        <w:spacing w:after="0" w:line="240" w:lineRule="auto"/>
        <w:jc w:val="both"/>
        <w:rPr>
          <w:rFonts w:cstheme="minorHAnsi"/>
        </w:rPr>
      </w:pPr>
    </w:p>
    <w:p w14:paraId="7D7E52CB" w14:textId="77777777" w:rsidR="0089748C" w:rsidRDefault="0089748C" w:rsidP="0089748C">
      <w:pPr>
        <w:spacing w:after="0" w:line="240" w:lineRule="auto"/>
        <w:jc w:val="both"/>
        <w:rPr>
          <w:rFonts w:cstheme="minorHAnsi"/>
        </w:rPr>
      </w:pPr>
      <w:r w:rsidRPr="0028650A">
        <w:rPr>
          <w:rFonts w:cstheme="minorHAnsi"/>
        </w:rPr>
        <w:t>De acuerdo con lo programado en el Plan de Comunicación de la superintendencia, durante el primer semestre de 2021 se han llevado a cabo las siguientes actividades:</w:t>
      </w:r>
    </w:p>
    <w:p w14:paraId="723B20D1" w14:textId="77777777" w:rsidR="0089748C" w:rsidRPr="0028650A" w:rsidRDefault="0089748C" w:rsidP="0089748C">
      <w:pPr>
        <w:spacing w:after="0" w:line="240" w:lineRule="auto"/>
        <w:jc w:val="both"/>
        <w:rPr>
          <w:rFonts w:cstheme="minorHAnsi"/>
        </w:rPr>
      </w:pPr>
    </w:p>
    <w:p w14:paraId="6166E17E"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Publicaciones de temas de interés en redes sociales, con un alcance en interacción de 779796 en Facebook; 3</w:t>
      </w:r>
      <w:r>
        <w:rPr>
          <w:rFonts w:cstheme="minorHAnsi"/>
        </w:rPr>
        <w:t xml:space="preserve"> </w:t>
      </w:r>
      <w:r w:rsidRPr="0028650A">
        <w:rPr>
          <w:rFonts w:cstheme="minorHAnsi"/>
        </w:rPr>
        <w:t>537 Instagram y 14</w:t>
      </w:r>
      <w:r>
        <w:rPr>
          <w:rFonts w:cstheme="minorHAnsi"/>
        </w:rPr>
        <w:t xml:space="preserve"> </w:t>
      </w:r>
      <w:r w:rsidRPr="0028650A">
        <w:rPr>
          <w:rFonts w:cstheme="minorHAnsi"/>
        </w:rPr>
        <w:t>125 en Twitter, donde se logró 91</w:t>
      </w:r>
      <w:r>
        <w:rPr>
          <w:rFonts w:cstheme="minorHAnsi"/>
        </w:rPr>
        <w:t xml:space="preserve"> </w:t>
      </w:r>
      <w:r w:rsidRPr="0028650A">
        <w:rPr>
          <w:rFonts w:cstheme="minorHAnsi"/>
        </w:rPr>
        <w:t>079 impresiones, superando el objetivo planteado de 74</w:t>
      </w:r>
      <w:r>
        <w:rPr>
          <w:rFonts w:cstheme="minorHAnsi"/>
        </w:rPr>
        <w:t xml:space="preserve"> </w:t>
      </w:r>
      <w:r w:rsidRPr="0028650A">
        <w:rPr>
          <w:rFonts w:cstheme="minorHAnsi"/>
        </w:rPr>
        <w:t>500 impresiones.</w:t>
      </w:r>
    </w:p>
    <w:p w14:paraId="42E58A72"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Desarrollo y publicación de 6 vídeos, con los temas: Ciclo financiero de la vida; Presupuesto familiar; Jubilación; Plan Voluntario; Sistema nacional de pensiones y ¿Qué es un plan voluntario de pensiones?</w:t>
      </w:r>
    </w:p>
    <w:p w14:paraId="7AFD11ED"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 xml:space="preserve">Charlas educativas virtuales en:  </w:t>
      </w:r>
    </w:p>
    <w:p w14:paraId="59A59B1F" w14:textId="77777777" w:rsidR="0089748C" w:rsidRPr="008A317F" w:rsidRDefault="0089748C" w:rsidP="0089748C">
      <w:pPr>
        <w:pStyle w:val="Prrafodelista"/>
        <w:numPr>
          <w:ilvl w:val="0"/>
          <w:numId w:val="9"/>
        </w:numPr>
        <w:spacing w:after="0" w:line="240" w:lineRule="auto"/>
        <w:ind w:left="1134"/>
        <w:jc w:val="both"/>
        <w:rPr>
          <w:rFonts w:cstheme="minorHAnsi"/>
        </w:rPr>
      </w:pPr>
      <w:r w:rsidRPr="008A317F">
        <w:rPr>
          <w:rFonts w:cstheme="minorHAnsi"/>
        </w:rPr>
        <w:t xml:space="preserve">Programa de apoyo a jubilados de la </w:t>
      </w:r>
      <w:r>
        <w:rPr>
          <w:rFonts w:cstheme="minorHAnsi"/>
        </w:rPr>
        <w:t>CCSS</w:t>
      </w:r>
      <w:r w:rsidRPr="008A317F">
        <w:rPr>
          <w:rFonts w:cstheme="minorHAnsi"/>
        </w:rPr>
        <w:t>, con un alcance de 240 personas.</w:t>
      </w:r>
    </w:p>
    <w:p w14:paraId="413CCF00" w14:textId="77777777" w:rsidR="0089748C" w:rsidRPr="008A317F" w:rsidRDefault="0089748C" w:rsidP="0089748C">
      <w:pPr>
        <w:pStyle w:val="Prrafodelista"/>
        <w:numPr>
          <w:ilvl w:val="0"/>
          <w:numId w:val="9"/>
        </w:numPr>
        <w:spacing w:after="0" w:line="240" w:lineRule="auto"/>
        <w:ind w:left="1134"/>
        <w:jc w:val="both"/>
        <w:rPr>
          <w:rFonts w:cstheme="minorHAnsi"/>
        </w:rPr>
      </w:pPr>
      <w:r w:rsidRPr="008A317F">
        <w:rPr>
          <w:rFonts w:cstheme="minorHAnsi"/>
        </w:rPr>
        <w:t>Colegio de Contadores Privados con un alcance de 72 personas en directo y 24 veces compartido</w:t>
      </w:r>
      <w:r>
        <w:rPr>
          <w:rFonts w:cstheme="minorHAnsi"/>
        </w:rPr>
        <w:t>.</w:t>
      </w:r>
    </w:p>
    <w:p w14:paraId="54DE0B90" w14:textId="77777777" w:rsidR="0089748C" w:rsidRPr="008A317F" w:rsidRDefault="0089748C" w:rsidP="0089748C">
      <w:pPr>
        <w:pStyle w:val="Prrafodelista"/>
        <w:numPr>
          <w:ilvl w:val="0"/>
          <w:numId w:val="9"/>
        </w:numPr>
        <w:spacing w:after="0" w:line="240" w:lineRule="auto"/>
        <w:ind w:left="1134"/>
        <w:jc w:val="both"/>
        <w:rPr>
          <w:rFonts w:cstheme="minorHAnsi"/>
        </w:rPr>
      </w:pPr>
      <w:r w:rsidRPr="008A317F">
        <w:rPr>
          <w:rFonts w:cstheme="minorHAnsi"/>
        </w:rPr>
        <w:t xml:space="preserve">Colegio de Periodistas </w:t>
      </w:r>
      <w:r>
        <w:rPr>
          <w:rFonts w:cstheme="minorHAnsi"/>
        </w:rPr>
        <w:t xml:space="preserve">con </w:t>
      </w:r>
      <w:r w:rsidRPr="008A317F">
        <w:rPr>
          <w:rFonts w:cstheme="minorHAnsi"/>
        </w:rPr>
        <w:t>215 reproducciones.</w:t>
      </w:r>
    </w:p>
    <w:p w14:paraId="656E87F9" w14:textId="77777777" w:rsidR="0089748C" w:rsidRPr="008A317F" w:rsidRDefault="0089748C" w:rsidP="0089748C">
      <w:pPr>
        <w:pStyle w:val="Prrafodelista"/>
        <w:numPr>
          <w:ilvl w:val="0"/>
          <w:numId w:val="9"/>
        </w:numPr>
        <w:spacing w:after="0" w:line="240" w:lineRule="auto"/>
        <w:ind w:left="1134"/>
        <w:jc w:val="both"/>
        <w:rPr>
          <w:rFonts w:cstheme="minorHAnsi"/>
        </w:rPr>
      </w:pPr>
      <w:r w:rsidRPr="008A317F">
        <w:rPr>
          <w:rFonts w:cstheme="minorHAnsi"/>
        </w:rPr>
        <w:t>Compañía Nacional de Fuerza y Luz</w:t>
      </w:r>
      <w:r>
        <w:rPr>
          <w:rFonts w:cstheme="minorHAnsi"/>
        </w:rPr>
        <w:t xml:space="preserve"> (CNFL)</w:t>
      </w:r>
    </w:p>
    <w:p w14:paraId="5C63548A" w14:textId="77777777" w:rsidR="0089748C" w:rsidRPr="008A317F" w:rsidRDefault="0089748C" w:rsidP="0089748C">
      <w:pPr>
        <w:pStyle w:val="Prrafodelista"/>
        <w:numPr>
          <w:ilvl w:val="0"/>
          <w:numId w:val="9"/>
        </w:numPr>
        <w:spacing w:after="0" w:line="240" w:lineRule="auto"/>
        <w:ind w:left="1134"/>
        <w:jc w:val="both"/>
        <w:rPr>
          <w:rFonts w:cstheme="minorHAnsi"/>
        </w:rPr>
      </w:pPr>
      <w:r w:rsidRPr="008A317F">
        <w:rPr>
          <w:rFonts w:cstheme="minorHAnsi"/>
        </w:rPr>
        <w:t>Programa de Preparación para la Jubilación de la Red CIMMI: MIDEPLAN, ICD, INAMU MIVAH</w:t>
      </w:r>
    </w:p>
    <w:p w14:paraId="69AF205A" w14:textId="77777777" w:rsidR="0089748C" w:rsidRPr="008A317F" w:rsidRDefault="0089748C" w:rsidP="0089748C">
      <w:pPr>
        <w:pStyle w:val="Prrafodelista"/>
        <w:numPr>
          <w:ilvl w:val="0"/>
          <w:numId w:val="9"/>
        </w:numPr>
        <w:spacing w:after="0" w:line="240" w:lineRule="auto"/>
        <w:ind w:left="1134"/>
        <w:jc w:val="both"/>
        <w:rPr>
          <w:rFonts w:cstheme="minorHAnsi"/>
        </w:rPr>
      </w:pPr>
      <w:r w:rsidRPr="008A317F">
        <w:rPr>
          <w:rFonts w:cstheme="minorHAnsi"/>
        </w:rPr>
        <w:t>Autoridad Reguladora de los Servicios Públicos (ARESEP)</w:t>
      </w:r>
    </w:p>
    <w:p w14:paraId="7E78FDF3" w14:textId="77777777" w:rsidR="0089748C" w:rsidRPr="002F3788" w:rsidRDefault="0089748C" w:rsidP="0089748C">
      <w:pPr>
        <w:pStyle w:val="Prrafodelista"/>
        <w:numPr>
          <w:ilvl w:val="0"/>
          <w:numId w:val="9"/>
        </w:numPr>
        <w:spacing w:after="0" w:line="240" w:lineRule="auto"/>
        <w:ind w:left="1134"/>
        <w:jc w:val="both"/>
        <w:rPr>
          <w:rFonts w:cstheme="minorHAnsi"/>
        </w:rPr>
      </w:pPr>
      <w:r w:rsidRPr="008A317F">
        <w:rPr>
          <w:rFonts w:cstheme="minorHAnsi"/>
        </w:rPr>
        <w:t>Asociación de funcionarios del Tecnológico de Costa Rica</w:t>
      </w:r>
      <w:r>
        <w:rPr>
          <w:rFonts w:cstheme="minorHAnsi"/>
        </w:rPr>
        <w:t xml:space="preserve"> (</w:t>
      </w:r>
      <w:r w:rsidRPr="002F3788">
        <w:rPr>
          <w:rFonts w:cstheme="minorHAnsi"/>
        </w:rPr>
        <w:t>AFITEC</w:t>
      </w:r>
      <w:r>
        <w:rPr>
          <w:rFonts w:cstheme="minorHAnsi"/>
        </w:rPr>
        <w:t>)</w:t>
      </w:r>
    </w:p>
    <w:p w14:paraId="02B34AA4"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Coordinación con la Asociación Costarricense de Operadoras de Pensiones (ACOP) para replicar información de interés sobre pensiones.</w:t>
      </w:r>
    </w:p>
    <w:p w14:paraId="334336B1"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 xml:space="preserve">Participación en el </w:t>
      </w:r>
      <w:proofErr w:type="spellStart"/>
      <w:r w:rsidRPr="0028650A">
        <w:rPr>
          <w:rFonts w:cstheme="minorHAnsi"/>
        </w:rPr>
        <w:t>Webinar</w:t>
      </w:r>
      <w:proofErr w:type="spellEnd"/>
      <w:r w:rsidRPr="0028650A">
        <w:rPr>
          <w:rFonts w:cstheme="minorHAnsi"/>
        </w:rPr>
        <w:t xml:space="preserve"> “</w:t>
      </w:r>
      <w:r w:rsidRPr="002F3788">
        <w:rPr>
          <w:rFonts w:cstheme="minorHAnsi"/>
          <w:i/>
          <w:iCs/>
        </w:rPr>
        <w:t>El ABC de la educación financiera</w:t>
      </w:r>
      <w:r w:rsidRPr="0028650A">
        <w:rPr>
          <w:rFonts w:cstheme="minorHAnsi"/>
        </w:rPr>
        <w:t>", en el cual participaron las 4 superintendencias.</w:t>
      </w:r>
    </w:p>
    <w:p w14:paraId="3495F839"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 xml:space="preserve">Realización de campañas informativas, en Panorama, </w:t>
      </w:r>
      <w:proofErr w:type="spellStart"/>
      <w:r w:rsidRPr="0028650A">
        <w:rPr>
          <w:rFonts w:cstheme="minorHAnsi"/>
        </w:rPr>
        <w:t>totem</w:t>
      </w:r>
      <w:proofErr w:type="spellEnd"/>
      <w:r w:rsidRPr="0028650A">
        <w:rPr>
          <w:rFonts w:cstheme="minorHAnsi"/>
        </w:rPr>
        <w:t xml:space="preserve"> digitales (vallas publicitarias), para prevenir estafas con el retiro del FCL.</w:t>
      </w:r>
    </w:p>
    <w:p w14:paraId="78607DF7" w14:textId="77777777" w:rsidR="0089748C" w:rsidRPr="0028650A" w:rsidRDefault="0089748C" w:rsidP="0089748C">
      <w:pPr>
        <w:pStyle w:val="Prrafodelista"/>
        <w:numPr>
          <w:ilvl w:val="0"/>
          <w:numId w:val="8"/>
        </w:numPr>
        <w:spacing w:after="0" w:line="240" w:lineRule="auto"/>
        <w:jc w:val="both"/>
        <w:rPr>
          <w:rFonts w:cstheme="minorHAnsi"/>
        </w:rPr>
      </w:pPr>
      <w:r w:rsidRPr="0028650A">
        <w:rPr>
          <w:rFonts w:cstheme="minorHAnsi"/>
        </w:rPr>
        <w:t>Coordinación con el Ministerio de Economía Industria y Comercio (MEIC), como parte de la estrategia de Educación Financiera a nivel nacional, para el desarrollo de contenidos de interés y de guías de educación financiera que abarcarán el mercado de pensiones, seguros, valores y entidades financieras.</w:t>
      </w:r>
    </w:p>
    <w:p w14:paraId="28CD7613" w14:textId="77777777" w:rsidR="0089748C" w:rsidRDefault="0089748C" w:rsidP="0089748C">
      <w:r>
        <w:br w:type="page"/>
      </w:r>
    </w:p>
    <w:sectPr w:rsidR="0089748C" w:rsidSect="0050694B">
      <w:headerReference w:type="default" r:id="rId22"/>
      <w:footerReference w:type="default" r:id="rId23"/>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E3952" w14:textId="77777777" w:rsidR="00373897" w:rsidRDefault="00373897" w:rsidP="00700711">
      <w:pPr>
        <w:spacing w:after="0" w:line="240" w:lineRule="auto"/>
      </w:pPr>
      <w:r>
        <w:separator/>
      </w:r>
    </w:p>
  </w:endnote>
  <w:endnote w:type="continuationSeparator" w:id="0">
    <w:p w14:paraId="45B89BD2" w14:textId="77777777" w:rsidR="00373897" w:rsidRDefault="00373897" w:rsidP="00700711">
      <w:pPr>
        <w:spacing w:after="0" w:line="240" w:lineRule="auto"/>
      </w:pPr>
      <w:r>
        <w:continuationSeparator/>
      </w:r>
    </w:p>
  </w:endnote>
  <w:endnote w:type="continuationNotice" w:id="1">
    <w:p w14:paraId="3D16F0E2" w14:textId="77777777" w:rsidR="00373897" w:rsidRDefault="0037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36F1" w14:textId="77777777" w:rsidR="0089748C" w:rsidRPr="00BE078A" w:rsidRDefault="0089748C" w:rsidP="00EC0F17">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1506B889" w14:textId="77777777" w:rsidR="0089748C" w:rsidRDefault="008974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8E87" w14:textId="77777777" w:rsidR="00533777" w:rsidRPr="00BE078A" w:rsidRDefault="00533777" w:rsidP="00EC0F17">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740BC9D3" w14:textId="77777777" w:rsidR="00533777" w:rsidRDefault="00533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5053" w14:textId="77777777" w:rsidR="00373897" w:rsidRDefault="00373897" w:rsidP="00700711">
      <w:pPr>
        <w:spacing w:after="0" w:line="240" w:lineRule="auto"/>
      </w:pPr>
      <w:r>
        <w:separator/>
      </w:r>
    </w:p>
  </w:footnote>
  <w:footnote w:type="continuationSeparator" w:id="0">
    <w:p w14:paraId="6608FDDF" w14:textId="77777777" w:rsidR="00373897" w:rsidRDefault="00373897" w:rsidP="00700711">
      <w:pPr>
        <w:spacing w:after="0" w:line="240" w:lineRule="auto"/>
      </w:pPr>
      <w:r>
        <w:continuationSeparator/>
      </w:r>
    </w:p>
  </w:footnote>
  <w:footnote w:type="continuationNotice" w:id="1">
    <w:p w14:paraId="5DC62087" w14:textId="77777777" w:rsidR="00373897" w:rsidRDefault="00373897">
      <w:pPr>
        <w:spacing w:after="0" w:line="240" w:lineRule="auto"/>
      </w:pPr>
    </w:p>
  </w:footnote>
  <w:footnote w:id="2">
    <w:p w14:paraId="2EF945B4" w14:textId="77777777" w:rsidR="0089748C" w:rsidRPr="008427EA" w:rsidRDefault="0089748C" w:rsidP="0089748C">
      <w:pPr>
        <w:pStyle w:val="Textonotapie"/>
        <w:spacing w:after="0" w:line="240" w:lineRule="auto"/>
        <w:jc w:val="both"/>
        <w:rPr>
          <w:lang w:val="es-CR"/>
        </w:rPr>
      </w:pPr>
      <w:r>
        <w:rPr>
          <w:rStyle w:val="Refdenotaalpie"/>
        </w:rPr>
        <w:footnoteRef/>
      </w:r>
      <w:r>
        <w:t xml:space="preserve"> De acuerdo con el artículo 17 del Reglamento de Gestión de Activos, p</w:t>
      </w:r>
      <w:r w:rsidRPr="008427EA">
        <w:t>articipaciones de fondos o participaciones fiduciarias</w:t>
      </w:r>
      <w:r>
        <w:t xml:space="preserve"> nivel II son</w:t>
      </w:r>
      <w:r w:rsidRPr="008427EA">
        <w:t xml:space="preserve"> fondos financieros, de deuda, accionarios, mixtos o fondos índices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DE3D" w14:textId="77777777" w:rsidR="0089748C" w:rsidRDefault="0089748C" w:rsidP="00EC0F17">
    <w:pPr>
      <w:pStyle w:val="Encabezado"/>
      <w:jc w:val="both"/>
    </w:pPr>
    <w:r>
      <w:rPr>
        <w:noProof/>
      </w:rPr>
      <w:drawing>
        <wp:anchor distT="0" distB="0" distL="114300" distR="114300" simplePos="0" relativeHeight="251658243" behindDoc="0" locked="0" layoutInCell="1" allowOverlap="1" wp14:anchorId="24E6AB1D" wp14:editId="403F35A7">
          <wp:simplePos x="0" y="0"/>
          <wp:positionH relativeFrom="margin">
            <wp:align>right</wp:align>
          </wp:positionH>
          <wp:positionV relativeFrom="paragraph">
            <wp:posOffset>-164694</wp:posOffset>
          </wp:positionV>
          <wp:extent cx="950595" cy="615315"/>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2" behindDoc="1" locked="0" layoutInCell="1" allowOverlap="1" wp14:anchorId="53FA1166" wp14:editId="3B7A45B4">
          <wp:simplePos x="0" y="0"/>
          <wp:positionH relativeFrom="page">
            <wp:posOffset>812165</wp:posOffset>
          </wp:positionH>
          <wp:positionV relativeFrom="page">
            <wp:posOffset>184150</wp:posOffset>
          </wp:positionV>
          <wp:extent cx="1945005" cy="89979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A955" w14:textId="77777777" w:rsidR="00533777" w:rsidRDefault="00533777" w:rsidP="00EC0F17">
    <w:pPr>
      <w:pStyle w:val="Encabezado"/>
      <w:jc w:val="both"/>
    </w:pPr>
    <w:r>
      <w:rPr>
        <w:noProof/>
      </w:rPr>
      <w:drawing>
        <wp:anchor distT="0" distB="0" distL="114300" distR="114300" simplePos="0" relativeHeight="251658241" behindDoc="0" locked="0" layoutInCell="1" allowOverlap="1" wp14:anchorId="650CA359" wp14:editId="30E38299">
          <wp:simplePos x="0" y="0"/>
          <wp:positionH relativeFrom="margin">
            <wp:align>right</wp:align>
          </wp:positionH>
          <wp:positionV relativeFrom="paragraph">
            <wp:posOffset>-164694</wp:posOffset>
          </wp:positionV>
          <wp:extent cx="950595" cy="615315"/>
          <wp:effectExtent l="0" t="0" r="1905"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2315E553" wp14:editId="1A0B6E68">
          <wp:simplePos x="0" y="0"/>
          <wp:positionH relativeFrom="page">
            <wp:posOffset>812165</wp:posOffset>
          </wp:positionH>
          <wp:positionV relativeFrom="page">
            <wp:posOffset>184150</wp:posOffset>
          </wp:positionV>
          <wp:extent cx="1945005" cy="899795"/>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1ED6"/>
    <w:multiLevelType w:val="hybridMultilevel"/>
    <w:tmpl w:val="7B7CBA00"/>
    <w:lvl w:ilvl="0" w:tplc="E6F87596">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6700DD"/>
    <w:multiLevelType w:val="multilevel"/>
    <w:tmpl w:val="41A84FC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875A47"/>
    <w:multiLevelType w:val="hybridMultilevel"/>
    <w:tmpl w:val="5AD074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9C81D36"/>
    <w:multiLevelType w:val="hybridMultilevel"/>
    <w:tmpl w:val="C83AE4D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F947140"/>
    <w:multiLevelType w:val="hybridMultilevel"/>
    <w:tmpl w:val="C67AAA36"/>
    <w:lvl w:ilvl="0" w:tplc="110C5E1C">
      <w:numFmt w:val="bullet"/>
      <w:lvlText w:val="•"/>
      <w:lvlJc w:val="left"/>
      <w:pPr>
        <w:ind w:left="1065" w:hanging="705"/>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08B0DD3"/>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49A33833"/>
    <w:multiLevelType w:val="hybridMultilevel"/>
    <w:tmpl w:val="760298C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A9B728E"/>
    <w:multiLevelType w:val="hybridMultilevel"/>
    <w:tmpl w:val="FF04D9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C617452"/>
    <w:multiLevelType w:val="hybridMultilevel"/>
    <w:tmpl w:val="73F86232"/>
    <w:lvl w:ilvl="0" w:tplc="D5A4A848">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3086927"/>
    <w:multiLevelType w:val="hybridMultilevel"/>
    <w:tmpl w:val="95764A72"/>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650711B8"/>
    <w:multiLevelType w:val="hybridMultilevel"/>
    <w:tmpl w:val="F8D6E7EE"/>
    <w:lvl w:ilvl="0" w:tplc="E6F87596">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A2A2BFC"/>
    <w:multiLevelType w:val="hybridMultilevel"/>
    <w:tmpl w:val="248C8362"/>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15:restartNumberingAfterBreak="0">
    <w:nsid w:val="6DBA55E4"/>
    <w:multiLevelType w:val="hybridMultilevel"/>
    <w:tmpl w:val="C3C25EB2"/>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79162002"/>
    <w:multiLevelType w:val="hybridMultilevel"/>
    <w:tmpl w:val="583A066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4" w15:restartNumberingAfterBreak="0">
    <w:nsid w:val="7AA42D9D"/>
    <w:multiLevelType w:val="hybridMultilevel"/>
    <w:tmpl w:val="3072E1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2"/>
  </w:num>
  <w:num w:numId="6">
    <w:abstractNumId w:val="10"/>
  </w:num>
  <w:num w:numId="7">
    <w:abstractNumId w:val="0"/>
  </w:num>
  <w:num w:numId="8">
    <w:abstractNumId w:val="6"/>
  </w:num>
  <w:num w:numId="9">
    <w:abstractNumId w:val="11"/>
  </w:num>
  <w:num w:numId="10">
    <w:abstractNumId w:val="4"/>
  </w:num>
  <w:num w:numId="11">
    <w:abstractNumId w:val="3"/>
  </w:num>
  <w:num w:numId="12">
    <w:abstractNumId w:val="5"/>
  </w:num>
  <w:num w:numId="13">
    <w:abstractNumId w:val="13"/>
  </w:num>
  <w:num w:numId="14">
    <w:abstractNumId w:val="14"/>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B8"/>
    <w:rsid w:val="000003CD"/>
    <w:rsid w:val="00000C6E"/>
    <w:rsid w:val="00000E3E"/>
    <w:rsid w:val="000014E8"/>
    <w:rsid w:val="00002349"/>
    <w:rsid w:val="000024C8"/>
    <w:rsid w:val="000027C1"/>
    <w:rsid w:val="0000342F"/>
    <w:rsid w:val="0000460B"/>
    <w:rsid w:val="00004749"/>
    <w:rsid w:val="00004AA7"/>
    <w:rsid w:val="00004C84"/>
    <w:rsid w:val="00005F05"/>
    <w:rsid w:val="00005FF5"/>
    <w:rsid w:val="00006851"/>
    <w:rsid w:val="0000725F"/>
    <w:rsid w:val="00007615"/>
    <w:rsid w:val="000076D9"/>
    <w:rsid w:val="00007C43"/>
    <w:rsid w:val="00010027"/>
    <w:rsid w:val="00010148"/>
    <w:rsid w:val="000109F7"/>
    <w:rsid w:val="00012B8D"/>
    <w:rsid w:val="000132A3"/>
    <w:rsid w:val="00013812"/>
    <w:rsid w:val="00013FDF"/>
    <w:rsid w:val="0001437B"/>
    <w:rsid w:val="000144FD"/>
    <w:rsid w:val="00014AA3"/>
    <w:rsid w:val="00014C2C"/>
    <w:rsid w:val="00016C43"/>
    <w:rsid w:val="0001719A"/>
    <w:rsid w:val="000174F3"/>
    <w:rsid w:val="00017969"/>
    <w:rsid w:val="00017C11"/>
    <w:rsid w:val="00017D63"/>
    <w:rsid w:val="00017E6B"/>
    <w:rsid w:val="000213A9"/>
    <w:rsid w:val="00021969"/>
    <w:rsid w:val="00021BD0"/>
    <w:rsid w:val="00022164"/>
    <w:rsid w:val="00022C04"/>
    <w:rsid w:val="00023E90"/>
    <w:rsid w:val="000249CC"/>
    <w:rsid w:val="00025208"/>
    <w:rsid w:val="000252E5"/>
    <w:rsid w:val="00025303"/>
    <w:rsid w:val="000258BA"/>
    <w:rsid w:val="00025BE7"/>
    <w:rsid w:val="00025EB5"/>
    <w:rsid w:val="000268A8"/>
    <w:rsid w:val="00026C62"/>
    <w:rsid w:val="00026D15"/>
    <w:rsid w:val="0002700B"/>
    <w:rsid w:val="000271F8"/>
    <w:rsid w:val="000274AC"/>
    <w:rsid w:val="0002755C"/>
    <w:rsid w:val="00027AD4"/>
    <w:rsid w:val="000305CD"/>
    <w:rsid w:val="00030EE8"/>
    <w:rsid w:val="00033313"/>
    <w:rsid w:val="00033E42"/>
    <w:rsid w:val="00034065"/>
    <w:rsid w:val="00035AAB"/>
    <w:rsid w:val="00036FAC"/>
    <w:rsid w:val="000406DF"/>
    <w:rsid w:val="00040FCB"/>
    <w:rsid w:val="00041A3A"/>
    <w:rsid w:val="00041A97"/>
    <w:rsid w:val="00041F6B"/>
    <w:rsid w:val="00041F73"/>
    <w:rsid w:val="000420E2"/>
    <w:rsid w:val="00042EFB"/>
    <w:rsid w:val="0004595A"/>
    <w:rsid w:val="00045B13"/>
    <w:rsid w:val="0004607D"/>
    <w:rsid w:val="000466A7"/>
    <w:rsid w:val="00046CEA"/>
    <w:rsid w:val="00050388"/>
    <w:rsid w:val="00050943"/>
    <w:rsid w:val="00050CDB"/>
    <w:rsid w:val="00050EAC"/>
    <w:rsid w:val="00050F7B"/>
    <w:rsid w:val="000512CA"/>
    <w:rsid w:val="00051A66"/>
    <w:rsid w:val="00051F09"/>
    <w:rsid w:val="000521BC"/>
    <w:rsid w:val="00052CB6"/>
    <w:rsid w:val="0005363C"/>
    <w:rsid w:val="0005495C"/>
    <w:rsid w:val="000559A5"/>
    <w:rsid w:val="00055F85"/>
    <w:rsid w:val="00056AF4"/>
    <w:rsid w:val="00057D4F"/>
    <w:rsid w:val="00060865"/>
    <w:rsid w:val="00060A18"/>
    <w:rsid w:val="00060D93"/>
    <w:rsid w:val="00061536"/>
    <w:rsid w:val="00061580"/>
    <w:rsid w:val="0006180F"/>
    <w:rsid w:val="00061DB4"/>
    <w:rsid w:val="000623D4"/>
    <w:rsid w:val="00063BC9"/>
    <w:rsid w:val="00063C0D"/>
    <w:rsid w:val="00063D13"/>
    <w:rsid w:val="000645FF"/>
    <w:rsid w:val="00064DC3"/>
    <w:rsid w:val="0006544A"/>
    <w:rsid w:val="00065859"/>
    <w:rsid w:val="00065C2A"/>
    <w:rsid w:val="00070D35"/>
    <w:rsid w:val="00071844"/>
    <w:rsid w:val="00072725"/>
    <w:rsid w:val="000728C9"/>
    <w:rsid w:val="00074018"/>
    <w:rsid w:val="000747D4"/>
    <w:rsid w:val="0007653C"/>
    <w:rsid w:val="00076588"/>
    <w:rsid w:val="00077082"/>
    <w:rsid w:val="0007719F"/>
    <w:rsid w:val="00077586"/>
    <w:rsid w:val="00077B65"/>
    <w:rsid w:val="00077C34"/>
    <w:rsid w:val="000808C0"/>
    <w:rsid w:val="00080E72"/>
    <w:rsid w:val="000822BD"/>
    <w:rsid w:val="0008275F"/>
    <w:rsid w:val="00082B26"/>
    <w:rsid w:val="00082CA5"/>
    <w:rsid w:val="00083412"/>
    <w:rsid w:val="00084397"/>
    <w:rsid w:val="0008483B"/>
    <w:rsid w:val="00084C45"/>
    <w:rsid w:val="00085DDD"/>
    <w:rsid w:val="000863D0"/>
    <w:rsid w:val="00086546"/>
    <w:rsid w:val="00087083"/>
    <w:rsid w:val="00087575"/>
    <w:rsid w:val="00087866"/>
    <w:rsid w:val="00087BC3"/>
    <w:rsid w:val="0009014F"/>
    <w:rsid w:val="00090AA7"/>
    <w:rsid w:val="00091992"/>
    <w:rsid w:val="00092454"/>
    <w:rsid w:val="00092EB8"/>
    <w:rsid w:val="000938B2"/>
    <w:rsid w:val="000941CA"/>
    <w:rsid w:val="00094629"/>
    <w:rsid w:val="000949B3"/>
    <w:rsid w:val="00094C84"/>
    <w:rsid w:val="0009547F"/>
    <w:rsid w:val="00095920"/>
    <w:rsid w:val="000959F4"/>
    <w:rsid w:val="000963CD"/>
    <w:rsid w:val="00096F4F"/>
    <w:rsid w:val="00097008"/>
    <w:rsid w:val="0009701B"/>
    <w:rsid w:val="000978D1"/>
    <w:rsid w:val="000A0944"/>
    <w:rsid w:val="000A0AD4"/>
    <w:rsid w:val="000A0EF8"/>
    <w:rsid w:val="000A1835"/>
    <w:rsid w:val="000A2026"/>
    <w:rsid w:val="000A2518"/>
    <w:rsid w:val="000A2E38"/>
    <w:rsid w:val="000A35F6"/>
    <w:rsid w:val="000A52E2"/>
    <w:rsid w:val="000A5C90"/>
    <w:rsid w:val="000A603D"/>
    <w:rsid w:val="000A60AE"/>
    <w:rsid w:val="000B0279"/>
    <w:rsid w:val="000B02C5"/>
    <w:rsid w:val="000B0847"/>
    <w:rsid w:val="000B0F90"/>
    <w:rsid w:val="000B1531"/>
    <w:rsid w:val="000B1E4A"/>
    <w:rsid w:val="000B2D0E"/>
    <w:rsid w:val="000B3887"/>
    <w:rsid w:val="000B3ABA"/>
    <w:rsid w:val="000B3AC2"/>
    <w:rsid w:val="000B52B1"/>
    <w:rsid w:val="000B62C1"/>
    <w:rsid w:val="000B70A6"/>
    <w:rsid w:val="000B77D6"/>
    <w:rsid w:val="000B78FC"/>
    <w:rsid w:val="000C0020"/>
    <w:rsid w:val="000C051C"/>
    <w:rsid w:val="000C2212"/>
    <w:rsid w:val="000C26E7"/>
    <w:rsid w:val="000C2E29"/>
    <w:rsid w:val="000C2E69"/>
    <w:rsid w:val="000C37E4"/>
    <w:rsid w:val="000C39CB"/>
    <w:rsid w:val="000C3D87"/>
    <w:rsid w:val="000C4783"/>
    <w:rsid w:val="000C47B0"/>
    <w:rsid w:val="000C573D"/>
    <w:rsid w:val="000C5DB8"/>
    <w:rsid w:val="000C5FB2"/>
    <w:rsid w:val="000C6C6E"/>
    <w:rsid w:val="000C70AB"/>
    <w:rsid w:val="000C7F12"/>
    <w:rsid w:val="000D0158"/>
    <w:rsid w:val="000D0956"/>
    <w:rsid w:val="000D3119"/>
    <w:rsid w:val="000D3D97"/>
    <w:rsid w:val="000D5DDF"/>
    <w:rsid w:val="000D6125"/>
    <w:rsid w:val="000D6726"/>
    <w:rsid w:val="000D6CEC"/>
    <w:rsid w:val="000D7AD9"/>
    <w:rsid w:val="000D7F7B"/>
    <w:rsid w:val="000E0293"/>
    <w:rsid w:val="000E0BCE"/>
    <w:rsid w:val="000E116B"/>
    <w:rsid w:val="000E140E"/>
    <w:rsid w:val="000E149A"/>
    <w:rsid w:val="000E28FD"/>
    <w:rsid w:val="000E31A9"/>
    <w:rsid w:val="000E429B"/>
    <w:rsid w:val="000E4E5D"/>
    <w:rsid w:val="000E59BC"/>
    <w:rsid w:val="000E5ECF"/>
    <w:rsid w:val="000E6FDB"/>
    <w:rsid w:val="000E7393"/>
    <w:rsid w:val="000E7A47"/>
    <w:rsid w:val="000E7D3E"/>
    <w:rsid w:val="000F017A"/>
    <w:rsid w:val="000F0AE5"/>
    <w:rsid w:val="000F1F20"/>
    <w:rsid w:val="000F2223"/>
    <w:rsid w:val="000F2447"/>
    <w:rsid w:val="000F2BD8"/>
    <w:rsid w:val="000F2DDA"/>
    <w:rsid w:val="000F319B"/>
    <w:rsid w:val="000F4855"/>
    <w:rsid w:val="000F4C71"/>
    <w:rsid w:val="000F5746"/>
    <w:rsid w:val="000F5DAF"/>
    <w:rsid w:val="000F6356"/>
    <w:rsid w:val="000F72D7"/>
    <w:rsid w:val="001005C5"/>
    <w:rsid w:val="001010FA"/>
    <w:rsid w:val="001019BE"/>
    <w:rsid w:val="00101D28"/>
    <w:rsid w:val="00102219"/>
    <w:rsid w:val="00102597"/>
    <w:rsid w:val="00102BE6"/>
    <w:rsid w:val="00103286"/>
    <w:rsid w:val="00103849"/>
    <w:rsid w:val="0010425F"/>
    <w:rsid w:val="00104E64"/>
    <w:rsid w:val="00105FD5"/>
    <w:rsid w:val="00107EB8"/>
    <w:rsid w:val="00107F08"/>
    <w:rsid w:val="00110043"/>
    <w:rsid w:val="00110564"/>
    <w:rsid w:val="00110B00"/>
    <w:rsid w:val="00110D84"/>
    <w:rsid w:val="00111529"/>
    <w:rsid w:val="001115EC"/>
    <w:rsid w:val="001118CF"/>
    <w:rsid w:val="0011353F"/>
    <w:rsid w:val="00113726"/>
    <w:rsid w:val="00113867"/>
    <w:rsid w:val="00115ED3"/>
    <w:rsid w:val="00116424"/>
    <w:rsid w:val="00116D66"/>
    <w:rsid w:val="00117194"/>
    <w:rsid w:val="0011720C"/>
    <w:rsid w:val="00120063"/>
    <w:rsid w:val="00120EAA"/>
    <w:rsid w:val="0012149C"/>
    <w:rsid w:val="00121676"/>
    <w:rsid w:val="00121885"/>
    <w:rsid w:val="00122172"/>
    <w:rsid w:val="0012244A"/>
    <w:rsid w:val="00122C01"/>
    <w:rsid w:val="00122C4E"/>
    <w:rsid w:val="00122E6B"/>
    <w:rsid w:val="0012306A"/>
    <w:rsid w:val="0012348C"/>
    <w:rsid w:val="001238EB"/>
    <w:rsid w:val="00123D35"/>
    <w:rsid w:val="00123EB5"/>
    <w:rsid w:val="00123F47"/>
    <w:rsid w:val="00124491"/>
    <w:rsid w:val="00124CB2"/>
    <w:rsid w:val="0012619C"/>
    <w:rsid w:val="001264F8"/>
    <w:rsid w:val="00126582"/>
    <w:rsid w:val="00127749"/>
    <w:rsid w:val="00130456"/>
    <w:rsid w:val="0013145E"/>
    <w:rsid w:val="001323A3"/>
    <w:rsid w:val="0013276C"/>
    <w:rsid w:val="00132FE1"/>
    <w:rsid w:val="001336D1"/>
    <w:rsid w:val="00133762"/>
    <w:rsid w:val="0013643A"/>
    <w:rsid w:val="00136D03"/>
    <w:rsid w:val="00140BEF"/>
    <w:rsid w:val="00141791"/>
    <w:rsid w:val="00142387"/>
    <w:rsid w:val="0014266B"/>
    <w:rsid w:val="00142B33"/>
    <w:rsid w:val="00142F63"/>
    <w:rsid w:val="0014333B"/>
    <w:rsid w:val="00144402"/>
    <w:rsid w:val="00144549"/>
    <w:rsid w:val="00144742"/>
    <w:rsid w:val="0014485C"/>
    <w:rsid w:val="001453EA"/>
    <w:rsid w:val="00146DA5"/>
    <w:rsid w:val="00147B66"/>
    <w:rsid w:val="00150B1C"/>
    <w:rsid w:val="00151702"/>
    <w:rsid w:val="0015218D"/>
    <w:rsid w:val="00152350"/>
    <w:rsid w:val="001525EB"/>
    <w:rsid w:val="00152DE0"/>
    <w:rsid w:val="00154284"/>
    <w:rsid w:val="001549A7"/>
    <w:rsid w:val="00155A25"/>
    <w:rsid w:val="001577B0"/>
    <w:rsid w:val="00157994"/>
    <w:rsid w:val="00160248"/>
    <w:rsid w:val="001603CE"/>
    <w:rsid w:val="00160C70"/>
    <w:rsid w:val="0016176E"/>
    <w:rsid w:val="00161AF0"/>
    <w:rsid w:val="0016225D"/>
    <w:rsid w:val="00163ABA"/>
    <w:rsid w:val="00163DD6"/>
    <w:rsid w:val="00164169"/>
    <w:rsid w:val="00164381"/>
    <w:rsid w:val="00164549"/>
    <w:rsid w:val="00164A7E"/>
    <w:rsid w:val="001657E6"/>
    <w:rsid w:val="00165EE4"/>
    <w:rsid w:val="001661C5"/>
    <w:rsid w:val="001664B0"/>
    <w:rsid w:val="001669BF"/>
    <w:rsid w:val="00167EF0"/>
    <w:rsid w:val="0017053E"/>
    <w:rsid w:val="00170B03"/>
    <w:rsid w:val="00170F63"/>
    <w:rsid w:val="00171641"/>
    <w:rsid w:val="0017221D"/>
    <w:rsid w:val="001742EA"/>
    <w:rsid w:val="00174B1B"/>
    <w:rsid w:val="00174BC1"/>
    <w:rsid w:val="00175075"/>
    <w:rsid w:val="00177F37"/>
    <w:rsid w:val="001807B6"/>
    <w:rsid w:val="00181973"/>
    <w:rsid w:val="00182060"/>
    <w:rsid w:val="001821ED"/>
    <w:rsid w:val="00184449"/>
    <w:rsid w:val="00184513"/>
    <w:rsid w:val="00184F61"/>
    <w:rsid w:val="00185030"/>
    <w:rsid w:val="001853FD"/>
    <w:rsid w:val="00185BA0"/>
    <w:rsid w:val="00185D18"/>
    <w:rsid w:val="00186001"/>
    <w:rsid w:val="0018767E"/>
    <w:rsid w:val="00187E4F"/>
    <w:rsid w:val="0019075D"/>
    <w:rsid w:val="001908A9"/>
    <w:rsid w:val="00190D69"/>
    <w:rsid w:val="00191527"/>
    <w:rsid w:val="001919F7"/>
    <w:rsid w:val="00191B26"/>
    <w:rsid w:val="00192145"/>
    <w:rsid w:val="00193898"/>
    <w:rsid w:val="00193995"/>
    <w:rsid w:val="00193BD7"/>
    <w:rsid w:val="00194017"/>
    <w:rsid w:val="0019485B"/>
    <w:rsid w:val="00196EE3"/>
    <w:rsid w:val="00196F37"/>
    <w:rsid w:val="00196FFE"/>
    <w:rsid w:val="00197136"/>
    <w:rsid w:val="001971F6"/>
    <w:rsid w:val="001975A7"/>
    <w:rsid w:val="00197E09"/>
    <w:rsid w:val="001A0762"/>
    <w:rsid w:val="001A16FD"/>
    <w:rsid w:val="001A2318"/>
    <w:rsid w:val="001A284C"/>
    <w:rsid w:val="001A3876"/>
    <w:rsid w:val="001A44F1"/>
    <w:rsid w:val="001A60D4"/>
    <w:rsid w:val="001A6A99"/>
    <w:rsid w:val="001A6DE4"/>
    <w:rsid w:val="001A79B5"/>
    <w:rsid w:val="001A7CD9"/>
    <w:rsid w:val="001A7F73"/>
    <w:rsid w:val="001B06C2"/>
    <w:rsid w:val="001B0725"/>
    <w:rsid w:val="001B08BD"/>
    <w:rsid w:val="001B1CBD"/>
    <w:rsid w:val="001B1D17"/>
    <w:rsid w:val="001B2241"/>
    <w:rsid w:val="001B3226"/>
    <w:rsid w:val="001B4193"/>
    <w:rsid w:val="001B6E07"/>
    <w:rsid w:val="001B7047"/>
    <w:rsid w:val="001B71C7"/>
    <w:rsid w:val="001B72F4"/>
    <w:rsid w:val="001B7C3E"/>
    <w:rsid w:val="001C0047"/>
    <w:rsid w:val="001C1519"/>
    <w:rsid w:val="001C216E"/>
    <w:rsid w:val="001C2AE7"/>
    <w:rsid w:val="001C332D"/>
    <w:rsid w:val="001C3363"/>
    <w:rsid w:val="001C3A3F"/>
    <w:rsid w:val="001C3CFE"/>
    <w:rsid w:val="001C3D8E"/>
    <w:rsid w:val="001C47AC"/>
    <w:rsid w:val="001C4CBA"/>
    <w:rsid w:val="001C521C"/>
    <w:rsid w:val="001C58FF"/>
    <w:rsid w:val="001C5D21"/>
    <w:rsid w:val="001C657A"/>
    <w:rsid w:val="001C6F7B"/>
    <w:rsid w:val="001C7661"/>
    <w:rsid w:val="001C7FB6"/>
    <w:rsid w:val="001D01FF"/>
    <w:rsid w:val="001D0A34"/>
    <w:rsid w:val="001D13C4"/>
    <w:rsid w:val="001D3342"/>
    <w:rsid w:val="001D3519"/>
    <w:rsid w:val="001D3692"/>
    <w:rsid w:val="001D45EE"/>
    <w:rsid w:val="001D4C00"/>
    <w:rsid w:val="001D53BA"/>
    <w:rsid w:val="001D570C"/>
    <w:rsid w:val="001D586E"/>
    <w:rsid w:val="001D5C2F"/>
    <w:rsid w:val="001D7DB5"/>
    <w:rsid w:val="001E1948"/>
    <w:rsid w:val="001E1FE9"/>
    <w:rsid w:val="001E2DBD"/>
    <w:rsid w:val="001E40B1"/>
    <w:rsid w:val="001E4685"/>
    <w:rsid w:val="001E4B7E"/>
    <w:rsid w:val="001E650B"/>
    <w:rsid w:val="001E6D55"/>
    <w:rsid w:val="001E6FE7"/>
    <w:rsid w:val="001F02B2"/>
    <w:rsid w:val="001F2804"/>
    <w:rsid w:val="001F2C78"/>
    <w:rsid w:val="001F302F"/>
    <w:rsid w:val="001F3267"/>
    <w:rsid w:val="001F3FD4"/>
    <w:rsid w:val="001F416B"/>
    <w:rsid w:val="001F4D60"/>
    <w:rsid w:val="001F521E"/>
    <w:rsid w:val="001F5B8D"/>
    <w:rsid w:val="001F6709"/>
    <w:rsid w:val="001F7917"/>
    <w:rsid w:val="001F7B97"/>
    <w:rsid w:val="0020008E"/>
    <w:rsid w:val="002002C7"/>
    <w:rsid w:val="00200429"/>
    <w:rsid w:val="002004DD"/>
    <w:rsid w:val="00200540"/>
    <w:rsid w:val="00201328"/>
    <w:rsid w:val="00202535"/>
    <w:rsid w:val="00202ADE"/>
    <w:rsid w:val="00202EB9"/>
    <w:rsid w:val="00202F0E"/>
    <w:rsid w:val="00203632"/>
    <w:rsid w:val="00203956"/>
    <w:rsid w:val="00204109"/>
    <w:rsid w:val="00205227"/>
    <w:rsid w:val="002055C6"/>
    <w:rsid w:val="00205F51"/>
    <w:rsid w:val="00206382"/>
    <w:rsid w:val="002066C8"/>
    <w:rsid w:val="00206ABA"/>
    <w:rsid w:val="0020715C"/>
    <w:rsid w:val="00207201"/>
    <w:rsid w:val="00207315"/>
    <w:rsid w:val="00207403"/>
    <w:rsid w:val="00207701"/>
    <w:rsid w:val="002105EE"/>
    <w:rsid w:val="00211097"/>
    <w:rsid w:val="002114A8"/>
    <w:rsid w:val="0021212F"/>
    <w:rsid w:val="0021270A"/>
    <w:rsid w:val="00213CA5"/>
    <w:rsid w:val="00214D74"/>
    <w:rsid w:val="002150FF"/>
    <w:rsid w:val="00215563"/>
    <w:rsid w:val="002156F7"/>
    <w:rsid w:val="002165F7"/>
    <w:rsid w:val="002167C1"/>
    <w:rsid w:val="00216B50"/>
    <w:rsid w:val="00217AE0"/>
    <w:rsid w:val="00220528"/>
    <w:rsid w:val="00221014"/>
    <w:rsid w:val="00221401"/>
    <w:rsid w:val="00221631"/>
    <w:rsid w:val="00221A0C"/>
    <w:rsid w:val="00222B61"/>
    <w:rsid w:val="00223F11"/>
    <w:rsid w:val="00225049"/>
    <w:rsid w:val="002262FF"/>
    <w:rsid w:val="0022651A"/>
    <w:rsid w:val="00226648"/>
    <w:rsid w:val="00227FD8"/>
    <w:rsid w:val="00230360"/>
    <w:rsid w:val="00231C53"/>
    <w:rsid w:val="00231E7E"/>
    <w:rsid w:val="00234791"/>
    <w:rsid w:val="00235E50"/>
    <w:rsid w:val="00237642"/>
    <w:rsid w:val="00237B4C"/>
    <w:rsid w:val="00237EF4"/>
    <w:rsid w:val="00240D40"/>
    <w:rsid w:val="002418AE"/>
    <w:rsid w:val="00241BDC"/>
    <w:rsid w:val="00241FF7"/>
    <w:rsid w:val="00242012"/>
    <w:rsid w:val="00242194"/>
    <w:rsid w:val="00243206"/>
    <w:rsid w:val="00243640"/>
    <w:rsid w:val="0024364B"/>
    <w:rsid w:val="00243925"/>
    <w:rsid w:val="00243E13"/>
    <w:rsid w:val="00244049"/>
    <w:rsid w:val="00245551"/>
    <w:rsid w:val="002462A6"/>
    <w:rsid w:val="00246384"/>
    <w:rsid w:val="002463E7"/>
    <w:rsid w:val="00246669"/>
    <w:rsid w:val="00246D34"/>
    <w:rsid w:val="002475A8"/>
    <w:rsid w:val="00250CD1"/>
    <w:rsid w:val="00250D7E"/>
    <w:rsid w:val="00251242"/>
    <w:rsid w:val="002518C9"/>
    <w:rsid w:val="00251E1E"/>
    <w:rsid w:val="002528B5"/>
    <w:rsid w:val="00252A26"/>
    <w:rsid w:val="00252E8B"/>
    <w:rsid w:val="00252EDA"/>
    <w:rsid w:val="00252FBB"/>
    <w:rsid w:val="00253B4A"/>
    <w:rsid w:val="0025604A"/>
    <w:rsid w:val="00256059"/>
    <w:rsid w:val="002560E2"/>
    <w:rsid w:val="00256105"/>
    <w:rsid w:val="00256911"/>
    <w:rsid w:val="00257068"/>
    <w:rsid w:val="00257768"/>
    <w:rsid w:val="00257E73"/>
    <w:rsid w:val="00257F40"/>
    <w:rsid w:val="002601A3"/>
    <w:rsid w:val="002607C1"/>
    <w:rsid w:val="00262013"/>
    <w:rsid w:val="0026217B"/>
    <w:rsid w:val="00262227"/>
    <w:rsid w:val="0026227E"/>
    <w:rsid w:val="0026274D"/>
    <w:rsid w:val="00262F0E"/>
    <w:rsid w:val="00263835"/>
    <w:rsid w:val="00264D3E"/>
    <w:rsid w:val="00265A15"/>
    <w:rsid w:val="00265F62"/>
    <w:rsid w:val="00266E8D"/>
    <w:rsid w:val="00270CC9"/>
    <w:rsid w:val="00270EA2"/>
    <w:rsid w:val="00270ECD"/>
    <w:rsid w:val="002724DB"/>
    <w:rsid w:val="002735C3"/>
    <w:rsid w:val="00273831"/>
    <w:rsid w:val="00273AD9"/>
    <w:rsid w:val="00273B0B"/>
    <w:rsid w:val="00273E40"/>
    <w:rsid w:val="0027413B"/>
    <w:rsid w:val="0027438B"/>
    <w:rsid w:val="0027446F"/>
    <w:rsid w:val="00274602"/>
    <w:rsid w:val="0027553B"/>
    <w:rsid w:val="00275D8D"/>
    <w:rsid w:val="00276942"/>
    <w:rsid w:val="00280E81"/>
    <w:rsid w:val="00280EA2"/>
    <w:rsid w:val="00281060"/>
    <w:rsid w:val="0028107F"/>
    <w:rsid w:val="00281A3E"/>
    <w:rsid w:val="00282880"/>
    <w:rsid w:val="00282C9C"/>
    <w:rsid w:val="00283B15"/>
    <w:rsid w:val="00283E95"/>
    <w:rsid w:val="0028429D"/>
    <w:rsid w:val="002857DD"/>
    <w:rsid w:val="0028650A"/>
    <w:rsid w:val="00291A63"/>
    <w:rsid w:val="0029213E"/>
    <w:rsid w:val="00292204"/>
    <w:rsid w:val="002926E2"/>
    <w:rsid w:val="002932B7"/>
    <w:rsid w:val="002935E7"/>
    <w:rsid w:val="00293FB1"/>
    <w:rsid w:val="00294312"/>
    <w:rsid w:val="00294476"/>
    <w:rsid w:val="00294917"/>
    <w:rsid w:val="00294F13"/>
    <w:rsid w:val="00295492"/>
    <w:rsid w:val="00295C0D"/>
    <w:rsid w:val="00295D86"/>
    <w:rsid w:val="00295DFA"/>
    <w:rsid w:val="0029732E"/>
    <w:rsid w:val="002A01D8"/>
    <w:rsid w:val="002A064F"/>
    <w:rsid w:val="002A076A"/>
    <w:rsid w:val="002A0844"/>
    <w:rsid w:val="002A09AE"/>
    <w:rsid w:val="002A0A54"/>
    <w:rsid w:val="002A0D61"/>
    <w:rsid w:val="002A0EFE"/>
    <w:rsid w:val="002A12BA"/>
    <w:rsid w:val="002A1545"/>
    <w:rsid w:val="002A2AAB"/>
    <w:rsid w:val="002A2D65"/>
    <w:rsid w:val="002A3C19"/>
    <w:rsid w:val="002A40AC"/>
    <w:rsid w:val="002A4D42"/>
    <w:rsid w:val="002A5017"/>
    <w:rsid w:val="002A550F"/>
    <w:rsid w:val="002A58A8"/>
    <w:rsid w:val="002A647C"/>
    <w:rsid w:val="002A6D6A"/>
    <w:rsid w:val="002A6EE5"/>
    <w:rsid w:val="002A70A4"/>
    <w:rsid w:val="002A7C78"/>
    <w:rsid w:val="002A7D0C"/>
    <w:rsid w:val="002B0382"/>
    <w:rsid w:val="002B0561"/>
    <w:rsid w:val="002B0E7C"/>
    <w:rsid w:val="002B0FAD"/>
    <w:rsid w:val="002B11CB"/>
    <w:rsid w:val="002B1523"/>
    <w:rsid w:val="002B1AED"/>
    <w:rsid w:val="002B243B"/>
    <w:rsid w:val="002B4B07"/>
    <w:rsid w:val="002B52CD"/>
    <w:rsid w:val="002B5E1A"/>
    <w:rsid w:val="002B602A"/>
    <w:rsid w:val="002B6049"/>
    <w:rsid w:val="002B6731"/>
    <w:rsid w:val="002B6E70"/>
    <w:rsid w:val="002B705A"/>
    <w:rsid w:val="002B7125"/>
    <w:rsid w:val="002B77C4"/>
    <w:rsid w:val="002C0899"/>
    <w:rsid w:val="002C1221"/>
    <w:rsid w:val="002C1A8E"/>
    <w:rsid w:val="002C1AD7"/>
    <w:rsid w:val="002C2ED8"/>
    <w:rsid w:val="002C3725"/>
    <w:rsid w:val="002C38F4"/>
    <w:rsid w:val="002C3C3C"/>
    <w:rsid w:val="002C4FD2"/>
    <w:rsid w:val="002C638E"/>
    <w:rsid w:val="002C78A8"/>
    <w:rsid w:val="002C7BA1"/>
    <w:rsid w:val="002D0A41"/>
    <w:rsid w:val="002D0D19"/>
    <w:rsid w:val="002D1483"/>
    <w:rsid w:val="002D1D0A"/>
    <w:rsid w:val="002D1E02"/>
    <w:rsid w:val="002D2BA4"/>
    <w:rsid w:val="002D3A2A"/>
    <w:rsid w:val="002D3B07"/>
    <w:rsid w:val="002D4049"/>
    <w:rsid w:val="002D43C7"/>
    <w:rsid w:val="002D45E5"/>
    <w:rsid w:val="002D4BD4"/>
    <w:rsid w:val="002D6FC7"/>
    <w:rsid w:val="002D7016"/>
    <w:rsid w:val="002D7433"/>
    <w:rsid w:val="002D77C0"/>
    <w:rsid w:val="002D7B66"/>
    <w:rsid w:val="002E0461"/>
    <w:rsid w:val="002E06A7"/>
    <w:rsid w:val="002E11A3"/>
    <w:rsid w:val="002E2060"/>
    <w:rsid w:val="002E34F0"/>
    <w:rsid w:val="002E4319"/>
    <w:rsid w:val="002E441F"/>
    <w:rsid w:val="002E4F29"/>
    <w:rsid w:val="002E51FC"/>
    <w:rsid w:val="002E526F"/>
    <w:rsid w:val="002E629A"/>
    <w:rsid w:val="002E6639"/>
    <w:rsid w:val="002E66A1"/>
    <w:rsid w:val="002F1CB6"/>
    <w:rsid w:val="002F1FE6"/>
    <w:rsid w:val="002F3559"/>
    <w:rsid w:val="002F36E9"/>
    <w:rsid w:val="002F3788"/>
    <w:rsid w:val="002F3869"/>
    <w:rsid w:val="002F3E4A"/>
    <w:rsid w:val="002F417A"/>
    <w:rsid w:val="002F4417"/>
    <w:rsid w:val="002F5872"/>
    <w:rsid w:val="002F59B6"/>
    <w:rsid w:val="002F6A07"/>
    <w:rsid w:val="002F6A3B"/>
    <w:rsid w:val="002F79E3"/>
    <w:rsid w:val="002F7BDA"/>
    <w:rsid w:val="002F7D79"/>
    <w:rsid w:val="002F7FD3"/>
    <w:rsid w:val="0030045C"/>
    <w:rsid w:val="00300D51"/>
    <w:rsid w:val="0030150F"/>
    <w:rsid w:val="00301BCB"/>
    <w:rsid w:val="0030235C"/>
    <w:rsid w:val="00302CA6"/>
    <w:rsid w:val="00304CAA"/>
    <w:rsid w:val="00304FCA"/>
    <w:rsid w:val="00305358"/>
    <w:rsid w:val="00305428"/>
    <w:rsid w:val="0030549E"/>
    <w:rsid w:val="00305577"/>
    <w:rsid w:val="00305643"/>
    <w:rsid w:val="00305FFD"/>
    <w:rsid w:val="00306EA3"/>
    <w:rsid w:val="00307D20"/>
    <w:rsid w:val="00310082"/>
    <w:rsid w:val="003109B9"/>
    <w:rsid w:val="00310A2A"/>
    <w:rsid w:val="00311DE9"/>
    <w:rsid w:val="0031233E"/>
    <w:rsid w:val="00312E8D"/>
    <w:rsid w:val="00313582"/>
    <w:rsid w:val="00313B7D"/>
    <w:rsid w:val="00314A47"/>
    <w:rsid w:val="00315548"/>
    <w:rsid w:val="00315A03"/>
    <w:rsid w:val="00315D14"/>
    <w:rsid w:val="00316282"/>
    <w:rsid w:val="003169E1"/>
    <w:rsid w:val="00317195"/>
    <w:rsid w:val="0031719C"/>
    <w:rsid w:val="0031766B"/>
    <w:rsid w:val="003200B9"/>
    <w:rsid w:val="00320276"/>
    <w:rsid w:val="003204B7"/>
    <w:rsid w:val="003204BC"/>
    <w:rsid w:val="00320871"/>
    <w:rsid w:val="0032189C"/>
    <w:rsid w:val="0032220E"/>
    <w:rsid w:val="00322759"/>
    <w:rsid w:val="00322D31"/>
    <w:rsid w:val="0032319F"/>
    <w:rsid w:val="0032329D"/>
    <w:rsid w:val="0032341D"/>
    <w:rsid w:val="003235E6"/>
    <w:rsid w:val="003238BF"/>
    <w:rsid w:val="00324A61"/>
    <w:rsid w:val="00324CC3"/>
    <w:rsid w:val="00325034"/>
    <w:rsid w:val="00325A87"/>
    <w:rsid w:val="00325D21"/>
    <w:rsid w:val="0032628D"/>
    <w:rsid w:val="00326A20"/>
    <w:rsid w:val="00326AF5"/>
    <w:rsid w:val="00326ED8"/>
    <w:rsid w:val="00326F80"/>
    <w:rsid w:val="0032728F"/>
    <w:rsid w:val="003305D0"/>
    <w:rsid w:val="0033068B"/>
    <w:rsid w:val="0033086A"/>
    <w:rsid w:val="00330919"/>
    <w:rsid w:val="00331232"/>
    <w:rsid w:val="0033182C"/>
    <w:rsid w:val="00331973"/>
    <w:rsid w:val="00332DD6"/>
    <w:rsid w:val="00332EFC"/>
    <w:rsid w:val="00332EFF"/>
    <w:rsid w:val="003335E6"/>
    <w:rsid w:val="00333C34"/>
    <w:rsid w:val="00333D61"/>
    <w:rsid w:val="00334092"/>
    <w:rsid w:val="003343F0"/>
    <w:rsid w:val="00335513"/>
    <w:rsid w:val="00335748"/>
    <w:rsid w:val="00335F60"/>
    <w:rsid w:val="0033622A"/>
    <w:rsid w:val="0033646A"/>
    <w:rsid w:val="00336650"/>
    <w:rsid w:val="00336712"/>
    <w:rsid w:val="003372FD"/>
    <w:rsid w:val="003379CC"/>
    <w:rsid w:val="003403C5"/>
    <w:rsid w:val="00340485"/>
    <w:rsid w:val="003407AD"/>
    <w:rsid w:val="003419CD"/>
    <w:rsid w:val="00342002"/>
    <w:rsid w:val="00342AD9"/>
    <w:rsid w:val="00344699"/>
    <w:rsid w:val="00344897"/>
    <w:rsid w:val="003459CF"/>
    <w:rsid w:val="003463F7"/>
    <w:rsid w:val="00346AE6"/>
    <w:rsid w:val="003472BE"/>
    <w:rsid w:val="0034780A"/>
    <w:rsid w:val="00350300"/>
    <w:rsid w:val="00350614"/>
    <w:rsid w:val="00351358"/>
    <w:rsid w:val="00351FA1"/>
    <w:rsid w:val="003521A3"/>
    <w:rsid w:val="0035229A"/>
    <w:rsid w:val="00352BFF"/>
    <w:rsid w:val="0035475E"/>
    <w:rsid w:val="00354932"/>
    <w:rsid w:val="0035501D"/>
    <w:rsid w:val="00355C65"/>
    <w:rsid w:val="00355EFE"/>
    <w:rsid w:val="00356C65"/>
    <w:rsid w:val="00357176"/>
    <w:rsid w:val="0036030A"/>
    <w:rsid w:val="0036056E"/>
    <w:rsid w:val="0036114C"/>
    <w:rsid w:val="003613CB"/>
    <w:rsid w:val="00361955"/>
    <w:rsid w:val="00362254"/>
    <w:rsid w:val="003625DC"/>
    <w:rsid w:val="00362C6D"/>
    <w:rsid w:val="00362DA9"/>
    <w:rsid w:val="00363A8B"/>
    <w:rsid w:val="00363BBA"/>
    <w:rsid w:val="00364753"/>
    <w:rsid w:val="00364BA0"/>
    <w:rsid w:val="00365C5D"/>
    <w:rsid w:val="00366333"/>
    <w:rsid w:val="0036682C"/>
    <w:rsid w:val="003668FA"/>
    <w:rsid w:val="00366EC3"/>
    <w:rsid w:val="00367135"/>
    <w:rsid w:val="00367A3A"/>
    <w:rsid w:val="003700B8"/>
    <w:rsid w:val="003706F0"/>
    <w:rsid w:val="00370D1C"/>
    <w:rsid w:val="0037124F"/>
    <w:rsid w:val="00372B02"/>
    <w:rsid w:val="00373897"/>
    <w:rsid w:val="003738BA"/>
    <w:rsid w:val="003739F2"/>
    <w:rsid w:val="00373A3E"/>
    <w:rsid w:val="003748A0"/>
    <w:rsid w:val="00374AD3"/>
    <w:rsid w:val="00375127"/>
    <w:rsid w:val="00377633"/>
    <w:rsid w:val="00380159"/>
    <w:rsid w:val="00380C51"/>
    <w:rsid w:val="00381CA7"/>
    <w:rsid w:val="00381CB1"/>
    <w:rsid w:val="003822AA"/>
    <w:rsid w:val="00382A75"/>
    <w:rsid w:val="00383083"/>
    <w:rsid w:val="003830EC"/>
    <w:rsid w:val="00383143"/>
    <w:rsid w:val="0038366B"/>
    <w:rsid w:val="0038373A"/>
    <w:rsid w:val="00383C2A"/>
    <w:rsid w:val="0038489B"/>
    <w:rsid w:val="0038518F"/>
    <w:rsid w:val="003852D5"/>
    <w:rsid w:val="0038532C"/>
    <w:rsid w:val="003858DE"/>
    <w:rsid w:val="00385AE8"/>
    <w:rsid w:val="00385E2E"/>
    <w:rsid w:val="003863E2"/>
    <w:rsid w:val="0038661D"/>
    <w:rsid w:val="003868DF"/>
    <w:rsid w:val="003872B1"/>
    <w:rsid w:val="0039020E"/>
    <w:rsid w:val="00390426"/>
    <w:rsid w:val="00390FB3"/>
    <w:rsid w:val="00391779"/>
    <w:rsid w:val="0039187A"/>
    <w:rsid w:val="00391A6B"/>
    <w:rsid w:val="003924BF"/>
    <w:rsid w:val="003927EA"/>
    <w:rsid w:val="00392921"/>
    <w:rsid w:val="00392E18"/>
    <w:rsid w:val="00393D4C"/>
    <w:rsid w:val="00394589"/>
    <w:rsid w:val="00394DBE"/>
    <w:rsid w:val="00395299"/>
    <w:rsid w:val="003A3141"/>
    <w:rsid w:val="003A3420"/>
    <w:rsid w:val="003A3B07"/>
    <w:rsid w:val="003A4C34"/>
    <w:rsid w:val="003A4C8C"/>
    <w:rsid w:val="003A4EDC"/>
    <w:rsid w:val="003A50B0"/>
    <w:rsid w:val="003A57B0"/>
    <w:rsid w:val="003A5B46"/>
    <w:rsid w:val="003A69D4"/>
    <w:rsid w:val="003A6B67"/>
    <w:rsid w:val="003A79AB"/>
    <w:rsid w:val="003B0175"/>
    <w:rsid w:val="003B0AB5"/>
    <w:rsid w:val="003B1262"/>
    <w:rsid w:val="003B1BC8"/>
    <w:rsid w:val="003B2A19"/>
    <w:rsid w:val="003B2CFC"/>
    <w:rsid w:val="003B2D3F"/>
    <w:rsid w:val="003B2D49"/>
    <w:rsid w:val="003B2E47"/>
    <w:rsid w:val="003B3553"/>
    <w:rsid w:val="003B35CF"/>
    <w:rsid w:val="003B38FE"/>
    <w:rsid w:val="003B44B8"/>
    <w:rsid w:val="003B4EAA"/>
    <w:rsid w:val="003B4F28"/>
    <w:rsid w:val="003B50B3"/>
    <w:rsid w:val="003B51B5"/>
    <w:rsid w:val="003B5728"/>
    <w:rsid w:val="003B5ED2"/>
    <w:rsid w:val="003B60C4"/>
    <w:rsid w:val="003B662D"/>
    <w:rsid w:val="003B6881"/>
    <w:rsid w:val="003B7072"/>
    <w:rsid w:val="003B7E22"/>
    <w:rsid w:val="003C0576"/>
    <w:rsid w:val="003C0783"/>
    <w:rsid w:val="003C13F2"/>
    <w:rsid w:val="003C155C"/>
    <w:rsid w:val="003C158B"/>
    <w:rsid w:val="003C1E9F"/>
    <w:rsid w:val="003C27E2"/>
    <w:rsid w:val="003C30A0"/>
    <w:rsid w:val="003C32E5"/>
    <w:rsid w:val="003C41D8"/>
    <w:rsid w:val="003C5A98"/>
    <w:rsid w:val="003C77FD"/>
    <w:rsid w:val="003D0436"/>
    <w:rsid w:val="003D1573"/>
    <w:rsid w:val="003D2C27"/>
    <w:rsid w:val="003D2DAF"/>
    <w:rsid w:val="003D310E"/>
    <w:rsid w:val="003D32F3"/>
    <w:rsid w:val="003D3B71"/>
    <w:rsid w:val="003D57DF"/>
    <w:rsid w:val="003D5F68"/>
    <w:rsid w:val="003D6D48"/>
    <w:rsid w:val="003D7171"/>
    <w:rsid w:val="003D7272"/>
    <w:rsid w:val="003E05FF"/>
    <w:rsid w:val="003E0662"/>
    <w:rsid w:val="003E0F64"/>
    <w:rsid w:val="003E17CD"/>
    <w:rsid w:val="003E1B14"/>
    <w:rsid w:val="003E2975"/>
    <w:rsid w:val="003E2E41"/>
    <w:rsid w:val="003E3B30"/>
    <w:rsid w:val="003E403C"/>
    <w:rsid w:val="003E41A4"/>
    <w:rsid w:val="003E45A4"/>
    <w:rsid w:val="003E47CD"/>
    <w:rsid w:val="003E4C39"/>
    <w:rsid w:val="003E62FD"/>
    <w:rsid w:val="003E650D"/>
    <w:rsid w:val="003E699E"/>
    <w:rsid w:val="003E7141"/>
    <w:rsid w:val="003E7728"/>
    <w:rsid w:val="003E7DCA"/>
    <w:rsid w:val="003F028F"/>
    <w:rsid w:val="003F10CD"/>
    <w:rsid w:val="003F1766"/>
    <w:rsid w:val="003F35B3"/>
    <w:rsid w:val="003F47FA"/>
    <w:rsid w:val="003F491D"/>
    <w:rsid w:val="003F4EEE"/>
    <w:rsid w:val="003F613C"/>
    <w:rsid w:val="003F66BE"/>
    <w:rsid w:val="003F7D8B"/>
    <w:rsid w:val="0040017E"/>
    <w:rsid w:val="004001D4"/>
    <w:rsid w:val="004002CB"/>
    <w:rsid w:val="00400A8A"/>
    <w:rsid w:val="00400B46"/>
    <w:rsid w:val="00400D68"/>
    <w:rsid w:val="00401991"/>
    <w:rsid w:val="00403905"/>
    <w:rsid w:val="004039DE"/>
    <w:rsid w:val="00404176"/>
    <w:rsid w:val="00405190"/>
    <w:rsid w:val="004059BF"/>
    <w:rsid w:val="00405E27"/>
    <w:rsid w:val="00406217"/>
    <w:rsid w:val="0040662B"/>
    <w:rsid w:val="00407059"/>
    <w:rsid w:val="00407422"/>
    <w:rsid w:val="004075F7"/>
    <w:rsid w:val="00407CA8"/>
    <w:rsid w:val="004103A9"/>
    <w:rsid w:val="00410EF4"/>
    <w:rsid w:val="00410F0D"/>
    <w:rsid w:val="00410F40"/>
    <w:rsid w:val="00411229"/>
    <w:rsid w:val="0041150C"/>
    <w:rsid w:val="00411523"/>
    <w:rsid w:val="00411A01"/>
    <w:rsid w:val="00411A4B"/>
    <w:rsid w:val="0041386A"/>
    <w:rsid w:val="00413E2F"/>
    <w:rsid w:val="00414F00"/>
    <w:rsid w:val="004157A9"/>
    <w:rsid w:val="00416B69"/>
    <w:rsid w:val="0041744F"/>
    <w:rsid w:val="004174A0"/>
    <w:rsid w:val="004202A0"/>
    <w:rsid w:val="00420318"/>
    <w:rsid w:val="004208AB"/>
    <w:rsid w:val="00420D23"/>
    <w:rsid w:val="00421438"/>
    <w:rsid w:val="004219C8"/>
    <w:rsid w:val="00422001"/>
    <w:rsid w:val="00423B6C"/>
    <w:rsid w:val="0042614F"/>
    <w:rsid w:val="00426C9D"/>
    <w:rsid w:val="00427CD1"/>
    <w:rsid w:val="00427F51"/>
    <w:rsid w:val="004308B6"/>
    <w:rsid w:val="00430B72"/>
    <w:rsid w:val="0043289E"/>
    <w:rsid w:val="00432EAE"/>
    <w:rsid w:val="00435186"/>
    <w:rsid w:val="00435A82"/>
    <w:rsid w:val="00435F45"/>
    <w:rsid w:val="004361B9"/>
    <w:rsid w:val="00436825"/>
    <w:rsid w:val="00436E54"/>
    <w:rsid w:val="00437A9E"/>
    <w:rsid w:val="00440C42"/>
    <w:rsid w:val="0044191F"/>
    <w:rsid w:val="00442FAC"/>
    <w:rsid w:val="00443515"/>
    <w:rsid w:val="0044407D"/>
    <w:rsid w:val="004443B1"/>
    <w:rsid w:val="00444671"/>
    <w:rsid w:val="004460CD"/>
    <w:rsid w:val="00446C6A"/>
    <w:rsid w:val="0044709C"/>
    <w:rsid w:val="0044709F"/>
    <w:rsid w:val="00447BB8"/>
    <w:rsid w:val="00447FA0"/>
    <w:rsid w:val="00450116"/>
    <w:rsid w:val="00450989"/>
    <w:rsid w:val="00450F7C"/>
    <w:rsid w:val="0045173C"/>
    <w:rsid w:val="004526D9"/>
    <w:rsid w:val="00453407"/>
    <w:rsid w:val="004552F7"/>
    <w:rsid w:val="00455DEC"/>
    <w:rsid w:val="004562F3"/>
    <w:rsid w:val="00456440"/>
    <w:rsid w:val="00456D31"/>
    <w:rsid w:val="0045724B"/>
    <w:rsid w:val="004575DD"/>
    <w:rsid w:val="0045764C"/>
    <w:rsid w:val="004576F1"/>
    <w:rsid w:val="004600B4"/>
    <w:rsid w:val="004603C7"/>
    <w:rsid w:val="004607D3"/>
    <w:rsid w:val="00460D92"/>
    <w:rsid w:val="00461010"/>
    <w:rsid w:val="00461609"/>
    <w:rsid w:val="004616E7"/>
    <w:rsid w:val="00462A3B"/>
    <w:rsid w:val="00462D2D"/>
    <w:rsid w:val="00462EEF"/>
    <w:rsid w:val="004632C4"/>
    <w:rsid w:val="004633C6"/>
    <w:rsid w:val="004640EE"/>
    <w:rsid w:val="00465350"/>
    <w:rsid w:val="00465A06"/>
    <w:rsid w:val="00465FAA"/>
    <w:rsid w:val="0046689D"/>
    <w:rsid w:val="00467280"/>
    <w:rsid w:val="00467EB7"/>
    <w:rsid w:val="0047009E"/>
    <w:rsid w:val="004700BE"/>
    <w:rsid w:val="00470110"/>
    <w:rsid w:val="0047012F"/>
    <w:rsid w:val="00470677"/>
    <w:rsid w:val="004722B6"/>
    <w:rsid w:val="00472D67"/>
    <w:rsid w:val="00472F74"/>
    <w:rsid w:val="00474B12"/>
    <w:rsid w:val="00474CAF"/>
    <w:rsid w:val="00475493"/>
    <w:rsid w:val="00475C17"/>
    <w:rsid w:val="0047644A"/>
    <w:rsid w:val="0047684A"/>
    <w:rsid w:val="0047771B"/>
    <w:rsid w:val="00477C1F"/>
    <w:rsid w:val="004802EB"/>
    <w:rsid w:val="00480812"/>
    <w:rsid w:val="00481C36"/>
    <w:rsid w:val="004825B1"/>
    <w:rsid w:val="0048269E"/>
    <w:rsid w:val="00482C6B"/>
    <w:rsid w:val="00482D94"/>
    <w:rsid w:val="0048322D"/>
    <w:rsid w:val="004838EC"/>
    <w:rsid w:val="00484029"/>
    <w:rsid w:val="0048444A"/>
    <w:rsid w:val="004852A9"/>
    <w:rsid w:val="004866B1"/>
    <w:rsid w:val="004868C2"/>
    <w:rsid w:val="00486DE8"/>
    <w:rsid w:val="00487399"/>
    <w:rsid w:val="00487549"/>
    <w:rsid w:val="004875FA"/>
    <w:rsid w:val="004901F1"/>
    <w:rsid w:val="0049024E"/>
    <w:rsid w:val="004914A9"/>
    <w:rsid w:val="0049180D"/>
    <w:rsid w:val="0049267B"/>
    <w:rsid w:val="0049368D"/>
    <w:rsid w:val="00493868"/>
    <w:rsid w:val="00493FE1"/>
    <w:rsid w:val="004944B8"/>
    <w:rsid w:val="004949D5"/>
    <w:rsid w:val="00495740"/>
    <w:rsid w:val="00495AE1"/>
    <w:rsid w:val="00497712"/>
    <w:rsid w:val="004A0152"/>
    <w:rsid w:val="004A12C4"/>
    <w:rsid w:val="004A14C7"/>
    <w:rsid w:val="004A160C"/>
    <w:rsid w:val="004A1CD5"/>
    <w:rsid w:val="004A232C"/>
    <w:rsid w:val="004A3961"/>
    <w:rsid w:val="004A3F1F"/>
    <w:rsid w:val="004A442C"/>
    <w:rsid w:val="004A5072"/>
    <w:rsid w:val="004A5A5B"/>
    <w:rsid w:val="004A5A71"/>
    <w:rsid w:val="004A5BF2"/>
    <w:rsid w:val="004A5E21"/>
    <w:rsid w:val="004A6008"/>
    <w:rsid w:val="004A67CA"/>
    <w:rsid w:val="004A6855"/>
    <w:rsid w:val="004A721D"/>
    <w:rsid w:val="004A7273"/>
    <w:rsid w:val="004A7943"/>
    <w:rsid w:val="004A7B36"/>
    <w:rsid w:val="004A7D37"/>
    <w:rsid w:val="004A7EA3"/>
    <w:rsid w:val="004B067D"/>
    <w:rsid w:val="004B083D"/>
    <w:rsid w:val="004B085E"/>
    <w:rsid w:val="004B0A90"/>
    <w:rsid w:val="004B13A0"/>
    <w:rsid w:val="004B13E3"/>
    <w:rsid w:val="004B2181"/>
    <w:rsid w:val="004B25ED"/>
    <w:rsid w:val="004B2BE0"/>
    <w:rsid w:val="004B2C94"/>
    <w:rsid w:val="004B36F8"/>
    <w:rsid w:val="004B3BD2"/>
    <w:rsid w:val="004B4241"/>
    <w:rsid w:val="004B43D3"/>
    <w:rsid w:val="004B4E36"/>
    <w:rsid w:val="004B4F38"/>
    <w:rsid w:val="004B4F5F"/>
    <w:rsid w:val="004B7F48"/>
    <w:rsid w:val="004C0CC3"/>
    <w:rsid w:val="004C1914"/>
    <w:rsid w:val="004C1E64"/>
    <w:rsid w:val="004C1EA1"/>
    <w:rsid w:val="004C22FA"/>
    <w:rsid w:val="004C23F0"/>
    <w:rsid w:val="004C384A"/>
    <w:rsid w:val="004C3A6C"/>
    <w:rsid w:val="004C45AF"/>
    <w:rsid w:val="004C5D79"/>
    <w:rsid w:val="004C5F37"/>
    <w:rsid w:val="004C60A0"/>
    <w:rsid w:val="004C75FB"/>
    <w:rsid w:val="004D0694"/>
    <w:rsid w:val="004D10DD"/>
    <w:rsid w:val="004D2005"/>
    <w:rsid w:val="004D2104"/>
    <w:rsid w:val="004D2142"/>
    <w:rsid w:val="004D2B8A"/>
    <w:rsid w:val="004D3264"/>
    <w:rsid w:val="004D3EC4"/>
    <w:rsid w:val="004D4000"/>
    <w:rsid w:val="004D5834"/>
    <w:rsid w:val="004D6100"/>
    <w:rsid w:val="004D624C"/>
    <w:rsid w:val="004D6CFB"/>
    <w:rsid w:val="004D6D59"/>
    <w:rsid w:val="004D707B"/>
    <w:rsid w:val="004D7951"/>
    <w:rsid w:val="004E01EB"/>
    <w:rsid w:val="004E23E6"/>
    <w:rsid w:val="004E2577"/>
    <w:rsid w:val="004E32B2"/>
    <w:rsid w:val="004E3D20"/>
    <w:rsid w:val="004E41A8"/>
    <w:rsid w:val="004E4665"/>
    <w:rsid w:val="004E4EE5"/>
    <w:rsid w:val="004E521B"/>
    <w:rsid w:val="004E530B"/>
    <w:rsid w:val="004E624B"/>
    <w:rsid w:val="004E6498"/>
    <w:rsid w:val="004E71D1"/>
    <w:rsid w:val="004E724D"/>
    <w:rsid w:val="004E7585"/>
    <w:rsid w:val="004E7D5C"/>
    <w:rsid w:val="004F029B"/>
    <w:rsid w:val="004F0E48"/>
    <w:rsid w:val="004F113A"/>
    <w:rsid w:val="004F12FD"/>
    <w:rsid w:val="004F1603"/>
    <w:rsid w:val="004F190B"/>
    <w:rsid w:val="004F2195"/>
    <w:rsid w:val="004F2334"/>
    <w:rsid w:val="004F234E"/>
    <w:rsid w:val="004F2398"/>
    <w:rsid w:val="004F3376"/>
    <w:rsid w:val="004F38CF"/>
    <w:rsid w:val="004F459D"/>
    <w:rsid w:val="004F494A"/>
    <w:rsid w:val="004F4B7C"/>
    <w:rsid w:val="004F4BDF"/>
    <w:rsid w:val="004F538C"/>
    <w:rsid w:val="004F65BD"/>
    <w:rsid w:val="004F6C4A"/>
    <w:rsid w:val="004F71A7"/>
    <w:rsid w:val="004F7A02"/>
    <w:rsid w:val="005004AE"/>
    <w:rsid w:val="00500D3B"/>
    <w:rsid w:val="005039EE"/>
    <w:rsid w:val="0050435A"/>
    <w:rsid w:val="005047D4"/>
    <w:rsid w:val="00504F73"/>
    <w:rsid w:val="00505222"/>
    <w:rsid w:val="00505522"/>
    <w:rsid w:val="005059FF"/>
    <w:rsid w:val="00505D16"/>
    <w:rsid w:val="00506182"/>
    <w:rsid w:val="0050694B"/>
    <w:rsid w:val="00506F49"/>
    <w:rsid w:val="00507190"/>
    <w:rsid w:val="00507C06"/>
    <w:rsid w:val="00510753"/>
    <w:rsid w:val="00511C03"/>
    <w:rsid w:val="00511E10"/>
    <w:rsid w:val="00511FBB"/>
    <w:rsid w:val="005126D7"/>
    <w:rsid w:val="00512A6F"/>
    <w:rsid w:val="00513654"/>
    <w:rsid w:val="00513DA1"/>
    <w:rsid w:val="005140AC"/>
    <w:rsid w:val="00514BEE"/>
    <w:rsid w:val="00514CD6"/>
    <w:rsid w:val="00514D76"/>
    <w:rsid w:val="00514E0B"/>
    <w:rsid w:val="005158CE"/>
    <w:rsid w:val="0051691B"/>
    <w:rsid w:val="00516B54"/>
    <w:rsid w:val="005170D8"/>
    <w:rsid w:val="0051768A"/>
    <w:rsid w:val="00517737"/>
    <w:rsid w:val="0052001A"/>
    <w:rsid w:val="00521202"/>
    <w:rsid w:val="0052133B"/>
    <w:rsid w:val="00521C6D"/>
    <w:rsid w:val="005226B4"/>
    <w:rsid w:val="0052406E"/>
    <w:rsid w:val="005260BC"/>
    <w:rsid w:val="00526266"/>
    <w:rsid w:val="00526592"/>
    <w:rsid w:val="005270E0"/>
    <w:rsid w:val="0053023A"/>
    <w:rsid w:val="00530B34"/>
    <w:rsid w:val="00530C67"/>
    <w:rsid w:val="0053119E"/>
    <w:rsid w:val="005311EA"/>
    <w:rsid w:val="0053138E"/>
    <w:rsid w:val="00531602"/>
    <w:rsid w:val="005316D0"/>
    <w:rsid w:val="00531CAC"/>
    <w:rsid w:val="00531D32"/>
    <w:rsid w:val="00532029"/>
    <w:rsid w:val="00532C23"/>
    <w:rsid w:val="00533777"/>
    <w:rsid w:val="0053395D"/>
    <w:rsid w:val="00534BF4"/>
    <w:rsid w:val="0053543C"/>
    <w:rsid w:val="00535704"/>
    <w:rsid w:val="00535FAE"/>
    <w:rsid w:val="0053611E"/>
    <w:rsid w:val="00536183"/>
    <w:rsid w:val="00536A7C"/>
    <w:rsid w:val="00536F3D"/>
    <w:rsid w:val="005371E2"/>
    <w:rsid w:val="00537507"/>
    <w:rsid w:val="005376B4"/>
    <w:rsid w:val="00537941"/>
    <w:rsid w:val="005408CD"/>
    <w:rsid w:val="00541CE5"/>
    <w:rsid w:val="005424CC"/>
    <w:rsid w:val="005429DA"/>
    <w:rsid w:val="005429FA"/>
    <w:rsid w:val="00542ED2"/>
    <w:rsid w:val="00543724"/>
    <w:rsid w:val="00544960"/>
    <w:rsid w:val="00544FFB"/>
    <w:rsid w:val="005462CC"/>
    <w:rsid w:val="0054671E"/>
    <w:rsid w:val="00547456"/>
    <w:rsid w:val="0055078E"/>
    <w:rsid w:val="00550806"/>
    <w:rsid w:val="00551002"/>
    <w:rsid w:val="00552CB6"/>
    <w:rsid w:val="00553BF4"/>
    <w:rsid w:val="00554416"/>
    <w:rsid w:val="00555F0A"/>
    <w:rsid w:val="00556370"/>
    <w:rsid w:val="00557F45"/>
    <w:rsid w:val="005600BE"/>
    <w:rsid w:val="00560BDB"/>
    <w:rsid w:val="00561D64"/>
    <w:rsid w:val="005628DC"/>
    <w:rsid w:val="0056317E"/>
    <w:rsid w:val="005637C0"/>
    <w:rsid w:val="00564642"/>
    <w:rsid w:val="005647E4"/>
    <w:rsid w:val="005647F1"/>
    <w:rsid w:val="005648D7"/>
    <w:rsid w:val="00564AF8"/>
    <w:rsid w:val="00566313"/>
    <w:rsid w:val="00566C83"/>
    <w:rsid w:val="00566F7C"/>
    <w:rsid w:val="005709E2"/>
    <w:rsid w:val="0057152B"/>
    <w:rsid w:val="0057157E"/>
    <w:rsid w:val="005715B8"/>
    <w:rsid w:val="00571E1B"/>
    <w:rsid w:val="00572867"/>
    <w:rsid w:val="0057431C"/>
    <w:rsid w:val="00574C5D"/>
    <w:rsid w:val="00574EA2"/>
    <w:rsid w:val="00575006"/>
    <w:rsid w:val="00576307"/>
    <w:rsid w:val="00576D8A"/>
    <w:rsid w:val="00576E43"/>
    <w:rsid w:val="00576F98"/>
    <w:rsid w:val="00577F62"/>
    <w:rsid w:val="00580CE0"/>
    <w:rsid w:val="00580DEF"/>
    <w:rsid w:val="0058115B"/>
    <w:rsid w:val="00581E68"/>
    <w:rsid w:val="0058323A"/>
    <w:rsid w:val="00584910"/>
    <w:rsid w:val="00585563"/>
    <w:rsid w:val="00585CF0"/>
    <w:rsid w:val="00585EAA"/>
    <w:rsid w:val="00585FD5"/>
    <w:rsid w:val="0058640D"/>
    <w:rsid w:val="005874EB"/>
    <w:rsid w:val="00590338"/>
    <w:rsid w:val="00590670"/>
    <w:rsid w:val="00590AC6"/>
    <w:rsid w:val="00590AEB"/>
    <w:rsid w:val="005919BA"/>
    <w:rsid w:val="00592873"/>
    <w:rsid w:val="00594F58"/>
    <w:rsid w:val="005970EB"/>
    <w:rsid w:val="00597917"/>
    <w:rsid w:val="005A023C"/>
    <w:rsid w:val="005A0ABF"/>
    <w:rsid w:val="005A0FBF"/>
    <w:rsid w:val="005A1E9C"/>
    <w:rsid w:val="005A2B54"/>
    <w:rsid w:val="005A4512"/>
    <w:rsid w:val="005A48A9"/>
    <w:rsid w:val="005A4F82"/>
    <w:rsid w:val="005A5536"/>
    <w:rsid w:val="005A5565"/>
    <w:rsid w:val="005A5AF4"/>
    <w:rsid w:val="005B04AC"/>
    <w:rsid w:val="005B0712"/>
    <w:rsid w:val="005B0B2F"/>
    <w:rsid w:val="005B17AD"/>
    <w:rsid w:val="005B2109"/>
    <w:rsid w:val="005B26C1"/>
    <w:rsid w:val="005B27DE"/>
    <w:rsid w:val="005B286F"/>
    <w:rsid w:val="005B2B01"/>
    <w:rsid w:val="005B2BBE"/>
    <w:rsid w:val="005B322F"/>
    <w:rsid w:val="005B340A"/>
    <w:rsid w:val="005B345D"/>
    <w:rsid w:val="005B3BA5"/>
    <w:rsid w:val="005B3C4B"/>
    <w:rsid w:val="005B46C1"/>
    <w:rsid w:val="005B53AB"/>
    <w:rsid w:val="005B6A2A"/>
    <w:rsid w:val="005B6BEA"/>
    <w:rsid w:val="005B7F06"/>
    <w:rsid w:val="005C02DE"/>
    <w:rsid w:val="005C0F80"/>
    <w:rsid w:val="005C12B3"/>
    <w:rsid w:val="005C40B4"/>
    <w:rsid w:val="005C52C3"/>
    <w:rsid w:val="005C6132"/>
    <w:rsid w:val="005D0052"/>
    <w:rsid w:val="005D0A08"/>
    <w:rsid w:val="005D1F82"/>
    <w:rsid w:val="005D34E5"/>
    <w:rsid w:val="005D388F"/>
    <w:rsid w:val="005D3A43"/>
    <w:rsid w:val="005D4588"/>
    <w:rsid w:val="005D4BA7"/>
    <w:rsid w:val="005D50A7"/>
    <w:rsid w:val="005D5FF7"/>
    <w:rsid w:val="005D6016"/>
    <w:rsid w:val="005D6773"/>
    <w:rsid w:val="005D6CD5"/>
    <w:rsid w:val="005D7335"/>
    <w:rsid w:val="005D7B44"/>
    <w:rsid w:val="005E0390"/>
    <w:rsid w:val="005E07CB"/>
    <w:rsid w:val="005E0918"/>
    <w:rsid w:val="005E0B05"/>
    <w:rsid w:val="005E0B07"/>
    <w:rsid w:val="005E0CFE"/>
    <w:rsid w:val="005E1425"/>
    <w:rsid w:val="005E1C52"/>
    <w:rsid w:val="005E1E56"/>
    <w:rsid w:val="005E2151"/>
    <w:rsid w:val="005E263F"/>
    <w:rsid w:val="005E2ECB"/>
    <w:rsid w:val="005E3EEF"/>
    <w:rsid w:val="005E4315"/>
    <w:rsid w:val="005E5884"/>
    <w:rsid w:val="005E6826"/>
    <w:rsid w:val="005E6B27"/>
    <w:rsid w:val="005F0338"/>
    <w:rsid w:val="005F0BF5"/>
    <w:rsid w:val="005F0E98"/>
    <w:rsid w:val="005F0F5C"/>
    <w:rsid w:val="005F13B3"/>
    <w:rsid w:val="005F1570"/>
    <w:rsid w:val="005F376D"/>
    <w:rsid w:val="005F42BD"/>
    <w:rsid w:val="005F49D3"/>
    <w:rsid w:val="005F4DAA"/>
    <w:rsid w:val="005F551C"/>
    <w:rsid w:val="005F5DAD"/>
    <w:rsid w:val="00600150"/>
    <w:rsid w:val="00602575"/>
    <w:rsid w:val="00602671"/>
    <w:rsid w:val="00603204"/>
    <w:rsid w:val="00603756"/>
    <w:rsid w:val="00604645"/>
    <w:rsid w:val="006047F8"/>
    <w:rsid w:val="0060502E"/>
    <w:rsid w:val="0060538F"/>
    <w:rsid w:val="00605EB2"/>
    <w:rsid w:val="00606C83"/>
    <w:rsid w:val="00606FC2"/>
    <w:rsid w:val="0060763F"/>
    <w:rsid w:val="00607A19"/>
    <w:rsid w:val="00607B97"/>
    <w:rsid w:val="00611443"/>
    <w:rsid w:val="00611B8C"/>
    <w:rsid w:val="00611E75"/>
    <w:rsid w:val="00612166"/>
    <w:rsid w:val="00612296"/>
    <w:rsid w:val="00612B7D"/>
    <w:rsid w:val="00613108"/>
    <w:rsid w:val="00613998"/>
    <w:rsid w:val="006139B7"/>
    <w:rsid w:val="00614049"/>
    <w:rsid w:val="00614D9C"/>
    <w:rsid w:val="006150CF"/>
    <w:rsid w:val="00616706"/>
    <w:rsid w:val="00616D58"/>
    <w:rsid w:val="006175A4"/>
    <w:rsid w:val="006178B1"/>
    <w:rsid w:val="00620770"/>
    <w:rsid w:val="00620A81"/>
    <w:rsid w:val="00620C1F"/>
    <w:rsid w:val="00620D13"/>
    <w:rsid w:val="00620EB0"/>
    <w:rsid w:val="00621A99"/>
    <w:rsid w:val="00622780"/>
    <w:rsid w:val="00622AFD"/>
    <w:rsid w:val="00622E99"/>
    <w:rsid w:val="00622FD1"/>
    <w:rsid w:val="0062312D"/>
    <w:rsid w:val="00623520"/>
    <w:rsid w:val="006238D9"/>
    <w:rsid w:val="00624386"/>
    <w:rsid w:val="00624723"/>
    <w:rsid w:val="0062582C"/>
    <w:rsid w:val="00625B70"/>
    <w:rsid w:val="00626190"/>
    <w:rsid w:val="00626308"/>
    <w:rsid w:val="0063104B"/>
    <w:rsid w:val="006318F5"/>
    <w:rsid w:val="00632796"/>
    <w:rsid w:val="0063459A"/>
    <w:rsid w:val="00634D14"/>
    <w:rsid w:val="006352E5"/>
    <w:rsid w:val="00635693"/>
    <w:rsid w:val="00635D6C"/>
    <w:rsid w:val="00636309"/>
    <w:rsid w:val="00636B65"/>
    <w:rsid w:val="00636ECD"/>
    <w:rsid w:val="00636EEB"/>
    <w:rsid w:val="006377C7"/>
    <w:rsid w:val="00637B4B"/>
    <w:rsid w:val="00637EBB"/>
    <w:rsid w:val="00637F57"/>
    <w:rsid w:val="00640375"/>
    <w:rsid w:val="00641048"/>
    <w:rsid w:val="00641C95"/>
    <w:rsid w:val="00642CB8"/>
    <w:rsid w:val="00643CA3"/>
    <w:rsid w:val="00643CDB"/>
    <w:rsid w:val="006448BC"/>
    <w:rsid w:val="00644FB7"/>
    <w:rsid w:val="00645079"/>
    <w:rsid w:val="0064522C"/>
    <w:rsid w:val="00645415"/>
    <w:rsid w:val="006514B4"/>
    <w:rsid w:val="00651533"/>
    <w:rsid w:val="00651A3A"/>
    <w:rsid w:val="006525EA"/>
    <w:rsid w:val="006538D9"/>
    <w:rsid w:val="00653E18"/>
    <w:rsid w:val="006542B9"/>
    <w:rsid w:val="006544E0"/>
    <w:rsid w:val="00655479"/>
    <w:rsid w:val="006556D6"/>
    <w:rsid w:val="0065674E"/>
    <w:rsid w:val="00656922"/>
    <w:rsid w:val="006569C7"/>
    <w:rsid w:val="00657287"/>
    <w:rsid w:val="006572AA"/>
    <w:rsid w:val="0065770F"/>
    <w:rsid w:val="00657BE3"/>
    <w:rsid w:val="00660108"/>
    <w:rsid w:val="00660B2E"/>
    <w:rsid w:val="00660BC4"/>
    <w:rsid w:val="00661128"/>
    <w:rsid w:val="0066167D"/>
    <w:rsid w:val="0066192A"/>
    <w:rsid w:val="00661DDD"/>
    <w:rsid w:val="00662B8B"/>
    <w:rsid w:val="00663B77"/>
    <w:rsid w:val="006648B8"/>
    <w:rsid w:val="006648C9"/>
    <w:rsid w:val="00664A55"/>
    <w:rsid w:val="006658D0"/>
    <w:rsid w:val="00665CE5"/>
    <w:rsid w:val="00666F0A"/>
    <w:rsid w:val="0066712D"/>
    <w:rsid w:val="00667653"/>
    <w:rsid w:val="0066788C"/>
    <w:rsid w:val="006702EE"/>
    <w:rsid w:val="00670E9B"/>
    <w:rsid w:val="00670FF5"/>
    <w:rsid w:val="0067269D"/>
    <w:rsid w:val="006727F5"/>
    <w:rsid w:val="00672D4E"/>
    <w:rsid w:val="00672DEB"/>
    <w:rsid w:val="0067301A"/>
    <w:rsid w:val="006735AD"/>
    <w:rsid w:val="00673E14"/>
    <w:rsid w:val="006741EB"/>
    <w:rsid w:val="00674476"/>
    <w:rsid w:val="00674F3F"/>
    <w:rsid w:val="00675829"/>
    <w:rsid w:val="00676141"/>
    <w:rsid w:val="006765ED"/>
    <w:rsid w:val="006766BC"/>
    <w:rsid w:val="00677218"/>
    <w:rsid w:val="00677DD8"/>
    <w:rsid w:val="00680185"/>
    <w:rsid w:val="0068020F"/>
    <w:rsid w:val="0068098F"/>
    <w:rsid w:val="00680F11"/>
    <w:rsid w:val="006816DF"/>
    <w:rsid w:val="00681C9F"/>
    <w:rsid w:val="00681D64"/>
    <w:rsid w:val="00682437"/>
    <w:rsid w:val="006827A3"/>
    <w:rsid w:val="00682800"/>
    <w:rsid w:val="0068302A"/>
    <w:rsid w:val="00683858"/>
    <w:rsid w:val="0068433E"/>
    <w:rsid w:val="00684E15"/>
    <w:rsid w:val="00684E2A"/>
    <w:rsid w:val="00686413"/>
    <w:rsid w:val="0068680E"/>
    <w:rsid w:val="00686A6C"/>
    <w:rsid w:val="00686C93"/>
    <w:rsid w:val="00686DE8"/>
    <w:rsid w:val="0069013C"/>
    <w:rsid w:val="00690563"/>
    <w:rsid w:val="0069119F"/>
    <w:rsid w:val="00691E9D"/>
    <w:rsid w:val="006920F8"/>
    <w:rsid w:val="006929F8"/>
    <w:rsid w:val="00694158"/>
    <w:rsid w:val="0069475C"/>
    <w:rsid w:val="006949EB"/>
    <w:rsid w:val="00695337"/>
    <w:rsid w:val="00695395"/>
    <w:rsid w:val="006955BD"/>
    <w:rsid w:val="006969BF"/>
    <w:rsid w:val="00697106"/>
    <w:rsid w:val="0069732D"/>
    <w:rsid w:val="0069757C"/>
    <w:rsid w:val="006A0179"/>
    <w:rsid w:val="006A07FF"/>
    <w:rsid w:val="006A0C09"/>
    <w:rsid w:val="006A16AD"/>
    <w:rsid w:val="006A32FD"/>
    <w:rsid w:val="006A3377"/>
    <w:rsid w:val="006A4578"/>
    <w:rsid w:val="006A53FE"/>
    <w:rsid w:val="006A5481"/>
    <w:rsid w:val="006A55A6"/>
    <w:rsid w:val="006A5CC3"/>
    <w:rsid w:val="006A5EB3"/>
    <w:rsid w:val="006A5F39"/>
    <w:rsid w:val="006A67F3"/>
    <w:rsid w:val="006A6F3C"/>
    <w:rsid w:val="006B06E2"/>
    <w:rsid w:val="006B097E"/>
    <w:rsid w:val="006B1606"/>
    <w:rsid w:val="006B1E4D"/>
    <w:rsid w:val="006B221A"/>
    <w:rsid w:val="006B2868"/>
    <w:rsid w:val="006B2C6F"/>
    <w:rsid w:val="006B3467"/>
    <w:rsid w:val="006B360C"/>
    <w:rsid w:val="006B6C05"/>
    <w:rsid w:val="006B71D9"/>
    <w:rsid w:val="006B7B2F"/>
    <w:rsid w:val="006C0458"/>
    <w:rsid w:val="006C0CE5"/>
    <w:rsid w:val="006C174B"/>
    <w:rsid w:val="006C1970"/>
    <w:rsid w:val="006C2200"/>
    <w:rsid w:val="006C25B2"/>
    <w:rsid w:val="006C2EE1"/>
    <w:rsid w:val="006C4DF8"/>
    <w:rsid w:val="006C58D3"/>
    <w:rsid w:val="006C62D1"/>
    <w:rsid w:val="006C6A28"/>
    <w:rsid w:val="006C6AF9"/>
    <w:rsid w:val="006C73DE"/>
    <w:rsid w:val="006C75B5"/>
    <w:rsid w:val="006C7809"/>
    <w:rsid w:val="006D0409"/>
    <w:rsid w:val="006D0D7F"/>
    <w:rsid w:val="006D199E"/>
    <w:rsid w:val="006D1B52"/>
    <w:rsid w:val="006D207F"/>
    <w:rsid w:val="006D250D"/>
    <w:rsid w:val="006D25D8"/>
    <w:rsid w:val="006D26A7"/>
    <w:rsid w:val="006D2B1D"/>
    <w:rsid w:val="006D2EFA"/>
    <w:rsid w:val="006D2F10"/>
    <w:rsid w:val="006D36C4"/>
    <w:rsid w:val="006D3A7F"/>
    <w:rsid w:val="006D47B3"/>
    <w:rsid w:val="006D603A"/>
    <w:rsid w:val="006D6286"/>
    <w:rsid w:val="006D71EB"/>
    <w:rsid w:val="006D754B"/>
    <w:rsid w:val="006D7611"/>
    <w:rsid w:val="006D764B"/>
    <w:rsid w:val="006D7B3D"/>
    <w:rsid w:val="006E01AD"/>
    <w:rsid w:val="006E17A3"/>
    <w:rsid w:val="006E17CF"/>
    <w:rsid w:val="006E18AE"/>
    <w:rsid w:val="006E2D91"/>
    <w:rsid w:val="006E2E5F"/>
    <w:rsid w:val="006E2ED7"/>
    <w:rsid w:val="006E4AF4"/>
    <w:rsid w:val="006E581B"/>
    <w:rsid w:val="006E5A6D"/>
    <w:rsid w:val="006E5C94"/>
    <w:rsid w:val="006E6AD3"/>
    <w:rsid w:val="006E7E4F"/>
    <w:rsid w:val="006F03D5"/>
    <w:rsid w:val="006F0B8B"/>
    <w:rsid w:val="006F0CD3"/>
    <w:rsid w:val="006F0EBA"/>
    <w:rsid w:val="006F10FE"/>
    <w:rsid w:val="006F19F1"/>
    <w:rsid w:val="006F1A07"/>
    <w:rsid w:val="006F1C70"/>
    <w:rsid w:val="006F22D0"/>
    <w:rsid w:val="006F26D4"/>
    <w:rsid w:val="006F275A"/>
    <w:rsid w:val="006F2D58"/>
    <w:rsid w:val="006F2FF4"/>
    <w:rsid w:val="006F3319"/>
    <w:rsid w:val="006F331D"/>
    <w:rsid w:val="006F39EE"/>
    <w:rsid w:val="006F3AE5"/>
    <w:rsid w:val="006F3BE8"/>
    <w:rsid w:val="006F3C4B"/>
    <w:rsid w:val="006F41E7"/>
    <w:rsid w:val="006F585D"/>
    <w:rsid w:val="006F5AA1"/>
    <w:rsid w:val="006F5CBB"/>
    <w:rsid w:val="006F6A33"/>
    <w:rsid w:val="006F7C96"/>
    <w:rsid w:val="006F7D74"/>
    <w:rsid w:val="00700711"/>
    <w:rsid w:val="00700CF5"/>
    <w:rsid w:val="00701F57"/>
    <w:rsid w:val="00702B53"/>
    <w:rsid w:val="007039A6"/>
    <w:rsid w:val="00703B19"/>
    <w:rsid w:val="00704510"/>
    <w:rsid w:val="00705498"/>
    <w:rsid w:val="00705D5C"/>
    <w:rsid w:val="0070643D"/>
    <w:rsid w:val="0070698C"/>
    <w:rsid w:val="007070F0"/>
    <w:rsid w:val="007073AC"/>
    <w:rsid w:val="0071057F"/>
    <w:rsid w:val="00712616"/>
    <w:rsid w:val="00712FE1"/>
    <w:rsid w:val="00713BAC"/>
    <w:rsid w:val="00713D37"/>
    <w:rsid w:val="0071465D"/>
    <w:rsid w:val="00714BE4"/>
    <w:rsid w:val="0071515E"/>
    <w:rsid w:val="00716A85"/>
    <w:rsid w:val="00716EC0"/>
    <w:rsid w:val="00717768"/>
    <w:rsid w:val="007177C5"/>
    <w:rsid w:val="00717D49"/>
    <w:rsid w:val="00720409"/>
    <w:rsid w:val="0072107C"/>
    <w:rsid w:val="007215C8"/>
    <w:rsid w:val="00721801"/>
    <w:rsid w:val="0072187A"/>
    <w:rsid w:val="007219CD"/>
    <w:rsid w:val="007219FA"/>
    <w:rsid w:val="0072353C"/>
    <w:rsid w:val="00723D16"/>
    <w:rsid w:val="00723D1F"/>
    <w:rsid w:val="00724362"/>
    <w:rsid w:val="00724E66"/>
    <w:rsid w:val="007254D9"/>
    <w:rsid w:val="00725FE9"/>
    <w:rsid w:val="00726286"/>
    <w:rsid w:val="00726651"/>
    <w:rsid w:val="007277E8"/>
    <w:rsid w:val="00730022"/>
    <w:rsid w:val="00730113"/>
    <w:rsid w:val="0073025C"/>
    <w:rsid w:val="00730D18"/>
    <w:rsid w:val="00730DE2"/>
    <w:rsid w:val="0073202C"/>
    <w:rsid w:val="00732136"/>
    <w:rsid w:val="00733C1F"/>
    <w:rsid w:val="007349A4"/>
    <w:rsid w:val="00734E48"/>
    <w:rsid w:val="00735FCC"/>
    <w:rsid w:val="00736683"/>
    <w:rsid w:val="00737175"/>
    <w:rsid w:val="007376C5"/>
    <w:rsid w:val="0074057B"/>
    <w:rsid w:val="00740A5F"/>
    <w:rsid w:val="00740B91"/>
    <w:rsid w:val="00740F3F"/>
    <w:rsid w:val="00741055"/>
    <w:rsid w:val="00741714"/>
    <w:rsid w:val="00741B11"/>
    <w:rsid w:val="007429E1"/>
    <w:rsid w:val="00742D92"/>
    <w:rsid w:val="007430AE"/>
    <w:rsid w:val="00743608"/>
    <w:rsid w:val="00743BD5"/>
    <w:rsid w:val="00743C9A"/>
    <w:rsid w:val="0074472B"/>
    <w:rsid w:val="00744CF4"/>
    <w:rsid w:val="00745FB0"/>
    <w:rsid w:val="0074601B"/>
    <w:rsid w:val="0074690D"/>
    <w:rsid w:val="00746B58"/>
    <w:rsid w:val="00747A1A"/>
    <w:rsid w:val="00750592"/>
    <w:rsid w:val="007506D1"/>
    <w:rsid w:val="00752D57"/>
    <w:rsid w:val="007538D8"/>
    <w:rsid w:val="0075398B"/>
    <w:rsid w:val="00754086"/>
    <w:rsid w:val="00754434"/>
    <w:rsid w:val="007551CD"/>
    <w:rsid w:val="007553A5"/>
    <w:rsid w:val="00755A8D"/>
    <w:rsid w:val="00756522"/>
    <w:rsid w:val="00757EBE"/>
    <w:rsid w:val="007603C9"/>
    <w:rsid w:val="007612A3"/>
    <w:rsid w:val="00761420"/>
    <w:rsid w:val="00761C5E"/>
    <w:rsid w:val="00761D12"/>
    <w:rsid w:val="00761EB1"/>
    <w:rsid w:val="00762DAC"/>
    <w:rsid w:val="00762E94"/>
    <w:rsid w:val="00763666"/>
    <w:rsid w:val="007639D9"/>
    <w:rsid w:val="007649DD"/>
    <w:rsid w:val="00766731"/>
    <w:rsid w:val="0076698A"/>
    <w:rsid w:val="00767A3D"/>
    <w:rsid w:val="00767AC8"/>
    <w:rsid w:val="007704CE"/>
    <w:rsid w:val="007721FF"/>
    <w:rsid w:val="007729BD"/>
    <w:rsid w:val="007729D9"/>
    <w:rsid w:val="00772DF9"/>
    <w:rsid w:val="007731EB"/>
    <w:rsid w:val="00773348"/>
    <w:rsid w:val="00774B94"/>
    <w:rsid w:val="007751FA"/>
    <w:rsid w:val="00775502"/>
    <w:rsid w:val="00775F83"/>
    <w:rsid w:val="007764DB"/>
    <w:rsid w:val="007776FB"/>
    <w:rsid w:val="00777763"/>
    <w:rsid w:val="00777E14"/>
    <w:rsid w:val="00780DEE"/>
    <w:rsid w:val="00780F08"/>
    <w:rsid w:val="00781BDD"/>
    <w:rsid w:val="007823EA"/>
    <w:rsid w:val="00782518"/>
    <w:rsid w:val="00782C12"/>
    <w:rsid w:val="00783AF4"/>
    <w:rsid w:val="007840A7"/>
    <w:rsid w:val="007845DF"/>
    <w:rsid w:val="007867BA"/>
    <w:rsid w:val="00786A8E"/>
    <w:rsid w:val="00790210"/>
    <w:rsid w:val="00790955"/>
    <w:rsid w:val="00790B90"/>
    <w:rsid w:val="00790BEF"/>
    <w:rsid w:val="007913AA"/>
    <w:rsid w:val="00791552"/>
    <w:rsid w:val="00791571"/>
    <w:rsid w:val="00791624"/>
    <w:rsid w:val="00792B2A"/>
    <w:rsid w:val="0079369A"/>
    <w:rsid w:val="0079399E"/>
    <w:rsid w:val="007939C0"/>
    <w:rsid w:val="00793EBF"/>
    <w:rsid w:val="00793FBD"/>
    <w:rsid w:val="00794D3C"/>
    <w:rsid w:val="00794D98"/>
    <w:rsid w:val="00795132"/>
    <w:rsid w:val="00795437"/>
    <w:rsid w:val="007959EE"/>
    <w:rsid w:val="00795EA3"/>
    <w:rsid w:val="00796313"/>
    <w:rsid w:val="007965B8"/>
    <w:rsid w:val="007965CF"/>
    <w:rsid w:val="00796F5A"/>
    <w:rsid w:val="007970B1"/>
    <w:rsid w:val="007970CA"/>
    <w:rsid w:val="0079714C"/>
    <w:rsid w:val="007A078A"/>
    <w:rsid w:val="007A07D5"/>
    <w:rsid w:val="007A1484"/>
    <w:rsid w:val="007A1BE5"/>
    <w:rsid w:val="007A1C6F"/>
    <w:rsid w:val="007A20FF"/>
    <w:rsid w:val="007A3787"/>
    <w:rsid w:val="007A430A"/>
    <w:rsid w:val="007A4C34"/>
    <w:rsid w:val="007A4DB7"/>
    <w:rsid w:val="007A7154"/>
    <w:rsid w:val="007A719B"/>
    <w:rsid w:val="007B0412"/>
    <w:rsid w:val="007B04C6"/>
    <w:rsid w:val="007B10EA"/>
    <w:rsid w:val="007B11DC"/>
    <w:rsid w:val="007B1272"/>
    <w:rsid w:val="007B1509"/>
    <w:rsid w:val="007B1693"/>
    <w:rsid w:val="007B25B6"/>
    <w:rsid w:val="007B3B5E"/>
    <w:rsid w:val="007B3CB9"/>
    <w:rsid w:val="007B3DE6"/>
    <w:rsid w:val="007B493B"/>
    <w:rsid w:val="007B4A4A"/>
    <w:rsid w:val="007B537C"/>
    <w:rsid w:val="007B6861"/>
    <w:rsid w:val="007B6D77"/>
    <w:rsid w:val="007B6DB1"/>
    <w:rsid w:val="007B7265"/>
    <w:rsid w:val="007B73F9"/>
    <w:rsid w:val="007B7811"/>
    <w:rsid w:val="007B7FFD"/>
    <w:rsid w:val="007C1023"/>
    <w:rsid w:val="007C1B20"/>
    <w:rsid w:val="007C1C0D"/>
    <w:rsid w:val="007C1C66"/>
    <w:rsid w:val="007C2245"/>
    <w:rsid w:val="007C2284"/>
    <w:rsid w:val="007C2374"/>
    <w:rsid w:val="007C3140"/>
    <w:rsid w:val="007C3748"/>
    <w:rsid w:val="007C53B9"/>
    <w:rsid w:val="007C6238"/>
    <w:rsid w:val="007C6409"/>
    <w:rsid w:val="007C6A23"/>
    <w:rsid w:val="007C6DF2"/>
    <w:rsid w:val="007C7902"/>
    <w:rsid w:val="007D0606"/>
    <w:rsid w:val="007D101E"/>
    <w:rsid w:val="007D15A5"/>
    <w:rsid w:val="007D166E"/>
    <w:rsid w:val="007D1B14"/>
    <w:rsid w:val="007D1CC5"/>
    <w:rsid w:val="007D2252"/>
    <w:rsid w:val="007D2874"/>
    <w:rsid w:val="007D2BB1"/>
    <w:rsid w:val="007D2D0F"/>
    <w:rsid w:val="007D3BFC"/>
    <w:rsid w:val="007D4AE7"/>
    <w:rsid w:val="007D617A"/>
    <w:rsid w:val="007D6E5B"/>
    <w:rsid w:val="007E0362"/>
    <w:rsid w:val="007E0532"/>
    <w:rsid w:val="007E0644"/>
    <w:rsid w:val="007E07EA"/>
    <w:rsid w:val="007E1254"/>
    <w:rsid w:val="007E170D"/>
    <w:rsid w:val="007E18E1"/>
    <w:rsid w:val="007E24E4"/>
    <w:rsid w:val="007E2AA4"/>
    <w:rsid w:val="007E2CA2"/>
    <w:rsid w:val="007E3246"/>
    <w:rsid w:val="007E410E"/>
    <w:rsid w:val="007E49A1"/>
    <w:rsid w:val="007E4C29"/>
    <w:rsid w:val="007E4DD2"/>
    <w:rsid w:val="007E4FC7"/>
    <w:rsid w:val="007E5D8A"/>
    <w:rsid w:val="007E6090"/>
    <w:rsid w:val="007E612A"/>
    <w:rsid w:val="007E6A4A"/>
    <w:rsid w:val="007E70FB"/>
    <w:rsid w:val="007E72D3"/>
    <w:rsid w:val="007E7562"/>
    <w:rsid w:val="007E772A"/>
    <w:rsid w:val="007E7881"/>
    <w:rsid w:val="007E7B7E"/>
    <w:rsid w:val="007F05F3"/>
    <w:rsid w:val="007F172E"/>
    <w:rsid w:val="007F1DEC"/>
    <w:rsid w:val="007F2162"/>
    <w:rsid w:val="007F266F"/>
    <w:rsid w:val="007F2D57"/>
    <w:rsid w:val="007F3D6F"/>
    <w:rsid w:val="007F3F00"/>
    <w:rsid w:val="007F589C"/>
    <w:rsid w:val="007F6400"/>
    <w:rsid w:val="007F6928"/>
    <w:rsid w:val="007F6B0C"/>
    <w:rsid w:val="007F6C6B"/>
    <w:rsid w:val="007F6EAB"/>
    <w:rsid w:val="007F712A"/>
    <w:rsid w:val="007F72FB"/>
    <w:rsid w:val="007F7C64"/>
    <w:rsid w:val="008009C7"/>
    <w:rsid w:val="00800E1D"/>
    <w:rsid w:val="0080148C"/>
    <w:rsid w:val="008017BC"/>
    <w:rsid w:val="00801B81"/>
    <w:rsid w:val="00801BFB"/>
    <w:rsid w:val="00801FD5"/>
    <w:rsid w:val="0080220F"/>
    <w:rsid w:val="00802B6A"/>
    <w:rsid w:val="00802BBF"/>
    <w:rsid w:val="00803A27"/>
    <w:rsid w:val="00803BC6"/>
    <w:rsid w:val="00803E6D"/>
    <w:rsid w:val="0080413B"/>
    <w:rsid w:val="00804271"/>
    <w:rsid w:val="008042F7"/>
    <w:rsid w:val="00804D60"/>
    <w:rsid w:val="00804E77"/>
    <w:rsid w:val="00804F70"/>
    <w:rsid w:val="00805854"/>
    <w:rsid w:val="00805B28"/>
    <w:rsid w:val="00805EEE"/>
    <w:rsid w:val="00806160"/>
    <w:rsid w:val="008101E2"/>
    <w:rsid w:val="00811931"/>
    <w:rsid w:val="008120DC"/>
    <w:rsid w:val="00812342"/>
    <w:rsid w:val="00812A82"/>
    <w:rsid w:val="00812DA5"/>
    <w:rsid w:val="00813DFF"/>
    <w:rsid w:val="00814294"/>
    <w:rsid w:val="00814489"/>
    <w:rsid w:val="00814E71"/>
    <w:rsid w:val="008164C8"/>
    <w:rsid w:val="0081684F"/>
    <w:rsid w:val="00817AD1"/>
    <w:rsid w:val="00817B96"/>
    <w:rsid w:val="0082166A"/>
    <w:rsid w:val="008228BD"/>
    <w:rsid w:val="00823BE4"/>
    <w:rsid w:val="0082493D"/>
    <w:rsid w:val="00825592"/>
    <w:rsid w:val="00825636"/>
    <w:rsid w:val="00825829"/>
    <w:rsid w:val="00825AB0"/>
    <w:rsid w:val="00825F1D"/>
    <w:rsid w:val="00827752"/>
    <w:rsid w:val="0082798A"/>
    <w:rsid w:val="00827A34"/>
    <w:rsid w:val="00827C02"/>
    <w:rsid w:val="008309E8"/>
    <w:rsid w:val="008309EA"/>
    <w:rsid w:val="008314B6"/>
    <w:rsid w:val="00831D7E"/>
    <w:rsid w:val="00831FA3"/>
    <w:rsid w:val="00832AEE"/>
    <w:rsid w:val="00832C53"/>
    <w:rsid w:val="00832E86"/>
    <w:rsid w:val="00832E8E"/>
    <w:rsid w:val="008330EA"/>
    <w:rsid w:val="008338C3"/>
    <w:rsid w:val="008339F4"/>
    <w:rsid w:val="00833E63"/>
    <w:rsid w:val="00834D6E"/>
    <w:rsid w:val="00834D90"/>
    <w:rsid w:val="008354EC"/>
    <w:rsid w:val="00835B61"/>
    <w:rsid w:val="008362CF"/>
    <w:rsid w:val="00836975"/>
    <w:rsid w:val="00836E1D"/>
    <w:rsid w:val="0083778D"/>
    <w:rsid w:val="00837C1E"/>
    <w:rsid w:val="00840C1E"/>
    <w:rsid w:val="0084104B"/>
    <w:rsid w:val="0084104F"/>
    <w:rsid w:val="008410F7"/>
    <w:rsid w:val="008412B2"/>
    <w:rsid w:val="00841412"/>
    <w:rsid w:val="00841E24"/>
    <w:rsid w:val="0084208A"/>
    <w:rsid w:val="0084235F"/>
    <w:rsid w:val="008427EA"/>
    <w:rsid w:val="008429EA"/>
    <w:rsid w:val="00842C96"/>
    <w:rsid w:val="00842D71"/>
    <w:rsid w:val="00842FDD"/>
    <w:rsid w:val="00843174"/>
    <w:rsid w:val="0084369A"/>
    <w:rsid w:val="00843AA3"/>
    <w:rsid w:val="0084426E"/>
    <w:rsid w:val="008445F2"/>
    <w:rsid w:val="008447E2"/>
    <w:rsid w:val="00844D6D"/>
    <w:rsid w:val="00845BF6"/>
    <w:rsid w:val="00846CB0"/>
    <w:rsid w:val="008470CD"/>
    <w:rsid w:val="00847291"/>
    <w:rsid w:val="00847E63"/>
    <w:rsid w:val="00847F19"/>
    <w:rsid w:val="00850F51"/>
    <w:rsid w:val="00851288"/>
    <w:rsid w:val="00852083"/>
    <w:rsid w:val="008520F9"/>
    <w:rsid w:val="008522C7"/>
    <w:rsid w:val="00853F4E"/>
    <w:rsid w:val="00854532"/>
    <w:rsid w:val="00854C6A"/>
    <w:rsid w:val="00855795"/>
    <w:rsid w:val="0085589E"/>
    <w:rsid w:val="00855BEF"/>
    <w:rsid w:val="00855E18"/>
    <w:rsid w:val="00855EA8"/>
    <w:rsid w:val="008568B4"/>
    <w:rsid w:val="00857052"/>
    <w:rsid w:val="00857200"/>
    <w:rsid w:val="008575BE"/>
    <w:rsid w:val="00857BE1"/>
    <w:rsid w:val="008607E7"/>
    <w:rsid w:val="00860BCF"/>
    <w:rsid w:val="00860DCC"/>
    <w:rsid w:val="00860DF7"/>
    <w:rsid w:val="0086122F"/>
    <w:rsid w:val="008619FA"/>
    <w:rsid w:val="00862054"/>
    <w:rsid w:val="00862846"/>
    <w:rsid w:val="00862F89"/>
    <w:rsid w:val="00864D8A"/>
    <w:rsid w:val="00865352"/>
    <w:rsid w:val="0086547A"/>
    <w:rsid w:val="00866311"/>
    <w:rsid w:val="00866C1B"/>
    <w:rsid w:val="00866CE9"/>
    <w:rsid w:val="008708FF"/>
    <w:rsid w:val="0087113D"/>
    <w:rsid w:val="008713AE"/>
    <w:rsid w:val="00872E54"/>
    <w:rsid w:val="008742A4"/>
    <w:rsid w:val="00874D1E"/>
    <w:rsid w:val="00874EC4"/>
    <w:rsid w:val="00875181"/>
    <w:rsid w:val="00875D69"/>
    <w:rsid w:val="00876CD1"/>
    <w:rsid w:val="00876DB8"/>
    <w:rsid w:val="00877622"/>
    <w:rsid w:val="008804C0"/>
    <w:rsid w:val="0088082D"/>
    <w:rsid w:val="00881218"/>
    <w:rsid w:val="00881BD0"/>
    <w:rsid w:val="00881C5D"/>
    <w:rsid w:val="00882B9A"/>
    <w:rsid w:val="008830FF"/>
    <w:rsid w:val="0088311D"/>
    <w:rsid w:val="00884A25"/>
    <w:rsid w:val="00886310"/>
    <w:rsid w:val="008864D2"/>
    <w:rsid w:val="008869E2"/>
    <w:rsid w:val="00890FB3"/>
    <w:rsid w:val="0089167C"/>
    <w:rsid w:val="00892660"/>
    <w:rsid w:val="008928EE"/>
    <w:rsid w:val="00893712"/>
    <w:rsid w:val="008939F1"/>
    <w:rsid w:val="008944D9"/>
    <w:rsid w:val="00894835"/>
    <w:rsid w:val="008949AC"/>
    <w:rsid w:val="00895382"/>
    <w:rsid w:val="0089548D"/>
    <w:rsid w:val="0089566B"/>
    <w:rsid w:val="00895CD8"/>
    <w:rsid w:val="00896513"/>
    <w:rsid w:val="00896E8B"/>
    <w:rsid w:val="00896E9F"/>
    <w:rsid w:val="008970C8"/>
    <w:rsid w:val="008972E0"/>
    <w:rsid w:val="0089748C"/>
    <w:rsid w:val="00897871"/>
    <w:rsid w:val="008979BE"/>
    <w:rsid w:val="008A01DE"/>
    <w:rsid w:val="008A0E1B"/>
    <w:rsid w:val="008A234A"/>
    <w:rsid w:val="008A2BE8"/>
    <w:rsid w:val="008A317F"/>
    <w:rsid w:val="008A3CFB"/>
    <w:rsid w:val="008A444F"/>
    <w:rsid w:val="008A4B88"/>
    <w:rsid w:val="008A4EEF"/>
    <w:rsid w:val="008A504F"/>
    <w:rsid w:val="008A562B"/>
    <w:rsid w:val="008A5E0C"/>
    <w:rsid w:val="008A678D"/>
    <w:rsid w:val="008A6827"/>
    <w:rsid w:val="008A69F7"/>
    <w:rsid w:val="008A7512"/>
    <w:rsid w:val="008A7A72"/>
    <w:rsid w:val="008B06A0"/>
    <w:rsid w:val="008B08C6"/>
    <w:rsid w:val="008B13C2"/>
    <w:rsid w:val="008B1600"/>
    <w:rsid w:val="008B191F"/>
    <w:rsid w:val="008B1D07"/>
    <w:rsid w:val="008B2E83"/>
    <w:rsid w:val="008B38FE"/>
    <w:rsid w:val="008B459A"/>
    <w:rsid w:val="008B5C26"/>
    <w:rsid w:val="008B5EC1"/>
    <w:rsid w:val="008B67A0"/>
    <w:rsid w:val="008C0425"/>
    <w:rsid w:val="008C0532"/>
    <w:rsid w:val="008C0B7D"/>
    <w:rsid w:val="008C0E68"/>
    <w:rsid w:val="008C15BE"/>
    <w:rsid w:val="008C174A"/>
    <w:rsid w:val="008C249B"/>
    <w:rsid w:val="008C2655"/>
    <w:rsid w:val="008C397C"/>
    <w:rsid w:val="008C39D9"/>
    <w:rsid w:val="008C4DC4"/>
    <w:rsid w:val="008C566C"/>
    <w:rsid w:val="008C60E1"/>
    <w:rsid w:val="008C6B67"/>
    <w:rsid w:val="008C72AF"/>
    <w:rsid w:val="008C7579"/>
    <w:rsid w:val="008C7C31"/>
    <w:rsid w:val="008D08EF"/>
    <w:rsid w:val="008D1470"/>
    <w:rsid w:val="008D1ECA"/>
    <w:rsid w:val="008D2038"/>
    <w:rsid w:val="008D24A1"/>
    <w:rsid w:val="008D2D44"/>
    <w:rsid w:val="008D3BA1"/>
    <w:rsid w:val="008D41B1"/>
    <w:rsid w:val="008D4B17"/>
    <w:rsid w:val="008D56F0"/>
    <w:rsid w:val="008D5B65"/>
    <w:rsid w:val="008D61AC"/>
    <w:rsid w:val="008D637D"/>
    <w:rsid w:val="008D7175"/>
    <w:rsid w:val="008D7A13"/>
    <w:rsid w:val="008D7D3F"/>
    <w:rsid w:val="008E0ACC"/>
    <w:rsid w:val="008E0C9D"/>
    <w:rsid w:val="008E0FF5"/>
    <w:rsid w:val="008E10B0"/>
    <w:rsid w:val="008E17F9"/>
    <w:rsid w:val="008E227C"/>
    <w:rsid w:val="008E2282"/>
    <w:rsid w:val="008E2F6D"/>
    <w:rsid w:val="008E3B3D"/>
    <w:rsid w:val="008E3E26"/>
    <w:rsid w:val="008E4569"/>
    <w:rsid w:val="008E45B5"/>
    <w:rsid w:val="008E4F5D"/>
    <w:rsid w:val="008E55C2"/>
    <w:rsid w:val="008E5860"/>
    <w:rsid w:val="008E5950"/>
    <w:rsid w:val="008E5D80"/>
    <w:rsid w:val="008E664D"/>
    <w:rsid w:val="008E6D5E"/>
    <w:rsid w:val="008E79B3"/>
    <w:rsid w:val="008F0100"/>
    <w:rsid w:val="008F1C9A"/>
    <w:rsid w:val="008F295F"/>
    <w:rsid w:val="008F2B0D"/>
    <w:rsid w:val="008F32C8"/>
    <w:rsid w:val="008F3EB1"/>
    <w:rsid w:val="008F463F"/>
    <w:rsid w:val="008F4AEC"/>
    <w:rsid w:val="008F4BDC"/>
    <w:rsid w:val="008F5D50"/>
    <w:rsid w:val="008F69DE"/>
    <w:rsid w:val="008F6C52"/>
    <w:rsid w:val="008F7156"/>
    <w:rsid w:val="00900173"/>
    <w:rsid w:val="00900196"/>
    <w:rsid w:val="009011EE"/>
    <w:rsid w:val="00901C0D"/>
    <w:rsid w:val="00902A71"/>
    <w:rsid w:val="00902EC5"/>
    <w:rsid w:val="009030CB"/>
    <w:rsid w:val="009032E0"/>
    <w:rsid w:val="009036C8"/>
    <w:rsid w:val="0090387A"/>
    <w:rsid w:val="00903AFF"/>
    <w:rsid w:val="0090484E"/>
    <w:rsid w:val="00905EA2"/>
    <w:rsid w:val="00906DAF"/>
    <w:rsid w:val="00907606"/>
    <w:rsid w:val="00907B37"/>
    <w:rsid w:val="00907CD1"/>
    <w:rsid w:val="00910AD5"/>
    <w:rsid w:val="00910CCE"/>
    <w:rsid w:val="0091263A"/>
    <w:rsid w:val="00912B19"/>
    <w:rsid w:val="00912D18"/>
    <w:rsid w:val="009132FC"/>
    <w:rsid w:val="00913340"/>
    <w:rsid w:val="009134BB"/>
    <w:rsid w:val="00913508"/>
    <w:rsid w:val="00913C93"/>
    <w:rsid w:val="00913FB0"/>
    <w:rsid w:val="009142B5"/>
    <w:rsid w:val="00914A19"/>
    <w:rsid w:val="00914C43"/>
    <w:rsid w:val="009164D8"/>
    <w:rsid w:val="00917428"/>
    <w:rsid w:val="00920283"/>
    <w:rsid w:val="00920CA0"/>
    <w:rsid w:val="00920E4E"/>
    <w:rsid w:val="009219B6"/>
    <w:rsid w:val="00923190"/>
    <w:rsid w:val="0092324F"/>
    <w:rsid w:val="009236A8"/>
    <w:rsid w:val="00923BEB"/>
    <w:rsid w:val="0092422E"/>
    <w:rsid w:val="009249F0"/>
    <w:rsid w:val="00924AEC"/>
    <w:rsid w:val="00925713"/>
    <w:rsid w:val="00925747"/>
    <w:rsid w:val="00925D54"/>
    <w:rsid w:val="00925DB8"/>
    <w:rsid w:val="0092615A"/>
    <w:rsid w:val="00926B84"/>
    <w:rsid w:val="009270D6"/>
    <w:rsid w:val="0092785C"/>
    <w:rsid w:val="00927D1A"/>
    <w:rsid w:val="00927F96"/>
    <w:rsid w:val="00930711"/>
    <w:rsid w:val="00930CB0"/>
    <w:rsid w:val="00931447"/>
    <w:rsid w:val="00931C53"/>
    <w:rsid w:val="0093217B"/>
    <w:rsid w:val="009324F7"/>
    <w:rsid w:val="009336BC"/>
    <w:rsid w:val="009343E9"/>
    <w:rsid w:val="0093453D"/>
    <w:rsid w:val="00934714"/>
    <w:rsid w:val="009352CD"/>
    <w:rsid w:val="00935322"/>
    <w:rsid w:val="009355C3"/>
    <w:rsid w:val="00936E1D"/>
    <w:rsid w:val="009373FA"/>
    <w:rsid w:val="0093743F"/>
    <w:rsid w:val="0093752B"/>
    <w:rsid w:val="00940EB8"/>
    <w:rsid w:val="00941699"/>
    <w:rsid w:val="009417A3"/>
    <w:rsid w:val="00941943"/>
    <w:rsid w:val="00941CA7"/>
    <w:rsid w:val="00942B2B"/>
    <w:rsid w:val="009435AC"/>
    <w:rsid w:val="00944202"/>
    <w:rsid w:val="00945379"/>
    <w:rsid w:val="00945DD0"/>
    <w:rsid w:val="0094623D"/>
    <w:rsid w:val="009469F0"/>
    <w:rsid w:val="00946DDE"/>
    <w:rsid w:val="00947586"/>
    <w:rsid w:val="00951099"/>
    <w:rsid w:val="0095142F"/>
    <w:rsid w:val="00953D92"/>
    <w:rsid w:val="00954793"/>
    <w:rsid w:val="00954897"/>
    <w:rsid w:val="009556C9"/>
    <w:rsid w:val="009558DC"/>
    <w:rsid w:val="00955B61"/>
    <w:rsid w:val="009563A1"/>
    <w:rsid w:val="00961325"/>
    <w:rsid w:val="009626BA"/>
    <w:rsid w:val="00962CD1"/>
    <w:rsid w:val="00963952"/>
    <w:rsid w:val="00964245"/>
    <w:rsid w:val="00964544"/>
    <w:rsid w:val="00965031"/>
    <w:rsid w:val="00965353"/>
    <w:rsid w:val="009663EA"/>
    <w:rsid w:val="0096640B"/>
    <w:rsid w:val="0096643C"/>
    <w:rsid w:val="00966DA7"/>
    <w:rsid w:val="009670DE"/>
    <w:rsid w:val="00967F4A"/>
    <w:rsid w:val="00970CD3"/>
    <w:rsid w:val="00971E15"/>
    <w:rsid w:val="009725DD"/>
    <w:rsid w:val="00974124"/>
    <w:rsid w:val="009746F3"/>
    <w:rsid w:val="00974E59"/>
    <w:rsid w:val="00975055"/>
    <w:rsid w:val="0097517B"/>
    <w:rsid w:val="00975347"/>
    <w:rsid w:val="00975A9C"/>
    <w:rsid w:val="009763F2"/>
    <w:rsid w:val="00976A05"/>
    <w:rsid w:val="00977002"/>
    <w:rsid w:val="00980068"/>
    <w:rsid w:val="009801A9"/>
    <w:rsid w:val="00980B3F"/>
    <w:rsid w:val="00980FCC"/>
    <w:rsid w:val="009811A8"/>
    <w:rsid w:val="0098139F"/>
    <w:rsid w:val="00981C7C"/>
    <w:rsid w:val="00981FAA"/>
    <w:rsid w:val="009820C9"/>
    <w:rsid w:val="00982726"/>
    <w:rsid w:val="009828CA"/>
    <w:rsid w:val="00982A2D"/>
    <w:rsid w:val="00983465"/>
    <w:rsid w:val="009838BC"/>
    <w:rsid w:val="009838C8"/>
    <w:rsid w:val="0098391A"/>
    <w:rsid w:val="00983C17"/>
    <w:rsid w:val="00984034"/>
    <w:rsid w:val="0098408F"/>
    <w:rsid w:val="00984F99"/>
    <w:rsid w:val="009853B3"/>
    <w:rsid w:val="009856E4"/>
    <w:rsid w:val="00985F6A"/>
    <w:rsid w:val="009864B3"/>
    <w:rsid w:val="00986C84"/>
    <w:rsid w:val="00986F5C"/>
    <w:rsid w:val="00987032"/>
    <w:rsid w:val="009870F8"/>
    <w:rsid w:val="00987238"/>
    <w:rsid w:val="00987D65"/>
    <w:rsid w:val="00990162"/>
    <w:rsid w:val="00990235"/>
    <w:rsid w:val="00990959"/>
    <w:rsid w:val="00991097"/>
    <w:rsid w:val="00992051"/>
    <w:rsid w:val="00992108"/>
    <w:rsid w:val="00992239"/>
    <w:rsid w:val="00992437"/>
    <w:rsid w:val="00992DE6"/>
    <w:rsid w:val="0099372F"/>
    <w:rsid w:val="00993C08"/>
    <w:rsid w:val="009946B7"/>
    <w:rsid w:val="009946DE"/>
    <w:rsid w:val="00994746"/>
    <w:rsid w:val="009952B2"/>
    <w:rsid w:val="0099611A"/>
    <w:rsid w:val="00996835"/>
    <w:rsid w:val="00996E71"/>
    <w:rsid w:val="009973CA"/>
    <w:rsid w:val="009975CE"/>
    <w:rsid w:val="009A0E13"/>
    <w:rsid w:val="009A13F0"/>
    <w:rsid w:val="009A1BDE"/>
    <w:rsid w:val="009A235C"/>
    <w:rsid w:val="009A256B"/>
    <w:rsid w:val="009A3C37"/>
    <w:rsid w:val="009A4458"/>
    <w:rsid w:val="009A4ABC"/>
    <w:rsid w:val="009A55A8"/>
    <w:rsid w:val="009A5E19"/>
    <w:rsid w:val="009A6CE9"/>
    <w:rsid w:val="009A6D40"/>
    <w:rsid w:val="009A72C2"/>
    <w:rsid w:val="009B08CA"/>
    <w:rsid w:val="009B10B2"/>
    <w:rsid w:val="009B2325"/>
    <w:rsid w:val="009B2B91"/>
    <w:rsid w:val="009B2C4B"/>
    <w:rsid w:val="009B33BE"/>
    <w:rsid w:val="009B4865"/>
    <w:rsid w:val="009B4C96"/>
    <w:rsid w:val="009B4CF7"/>
    <w:rsid w:val="009B585F"/>
    <w:rsid w:val="009B5DE3"/>
    <w:rsid w:val="009B5E35"/>
    <w:rsid w:val="009B5E88"/>
    <w:rsid w:val="009B6242"/>
    <w:rsid w:val="009B6FAD"/>
    <w:rsid w:val="009B7356"/>
    <w:rsid w:val="009B7740"/>
    <w:rsid w:val="009C03BC"/>
    <w:rsid w:val="009C06E1"/>
    <w:rsid w:val="009C1E75"/>
    <w:rsid w:val="009C282C"/>
    <w:rsid w:val="009C4371"/>
    <w:rsid w:val="009C4A22"/>
    <w:rsid w:val="009C4D94"/>
    <w:rsid w:val="009C4E38"/>
    <w:rsid w:val="009C7177"/>
    <w:rsid w:val="009C7717"/>
    <w:rsid w:val="009D079F"/>
    <w:rsid w:val="009D0D08"/>
    <w:rsid w:val="009D0FCC"/>
    <w:rsid w:val="009D117C"/>
    <w:rsid w:val="009D1423"/>
    <w:rsid w:val="009D4265"/>
    <w:rsid w:val="009D4411"/>
    <w:rsid w:val="009D4B41"/>
    <w:rsid w:val="009D574D"/>
    <w:rsid w:val="009D5FBB"/>
    <w:rsid w:val="009D7617"/>
    <w:rsid w:val="009E056B"/>
    <w:rsid w:val="009E07AA"/>
    <w:rsid w:val="009E0C85"/>
    <w:rsid w:val="009E105D"/>
    <w:rsid w:val="009E2143"/>
    <w:rsid w:val="009E2BE0"/>
    <w:rsid w:val="009E3157"/>
    <w:rsid w:val="009E3367"/>
    <w:rsid w:val="009E516A"/>
    <w:rsid w:val="009E5410"/>
    <w:rsid w:val="009E5EAB"/>
    <w:rsid w:val="009E7B58"/>
    <w:rsid w:val="009F255D"/>
    <w:rsid w:val="009F26A3"/>
    <w:rsid w:val="009F2AD5"/>
    <w:rsid w:val="009F2EF8"/>
    <w:rsid w:val="009F430B"/>
    <w:rsid w:val="009F4F3B"/>
    <w:rsid w:val="009F62FA"/>
    <w:rsid w:val="009F6931"/>
    <w:rsid w:val="009F69FF"/>
    <w:rsid w:val="009F6B9F"/>
    <w:rsid w:val="009F6D79"/>
    <w:rsid w:val="009F7B7C"/>
    <w:rsid w:val="009F7D5C"/>
    <w:rsid w:val="00A0003B"/>
    <w:rsid w:val="00A007F1"/>
    <w:rsid w:val="00A0115F"/>
    <w:rsid w:val="00A01680"/>
    <w:rsid w:val="00A01991"/>
    <w:rsid w:val="00A01A6A"/>
    <w:rsid w:val="00A01AB1"/>
    <w:rsid w:val="00A01D89"/>
    <w:rsid w:val="00A02612"/>
    <w:rsid w:val="00A028B4"/>
    <w:rsid w:val="00A02A3D"/>
    <w:rsid w:val="00A03B4A"/>
    <w:rsid w:val="00A03F00"/>
    <w:rsid w:val="00A03F62"/>
    <w:rsid w:val="00A0431A"/>
    <w:rsid w:val="00A05329"/>
    <w:rsid w:val="00A053EB"/>
    <w:rsid w:val="00A05848"/>
    <w:rsid w:val="00A058D6"/>
    <w:rsid w:val="00A071CB"/>
    <w:rsid w:val="00A0739F"/>
    <w:rsid w:val="00A10739"/>
    <w:rsid w:val="00A1160E"/>
    <w:rsid w:val="00A11811"/>
    <w:rsid w:val="00A12C1C"/>
    <w:rsid w:val="00A12C20"/>
    <w:rsid w:val="00A12C67"/>
    <w:rsid w:val="00A131D6"/>
    <w:rsid w:val="00A13AA1"/>
    <w:rsid w:val="00A14223"/>
    <w:rsid w:val="00A143AA"/>
    <w:rsid w:val="00A14CBF"/>
    <w:rsid w:val="00A15399"/>
    <w:rsid w:val="00A159BD"/>
    <w:rsid w:val="00A15D4A"/>
    <w:rsid w:val="00A16127"/>
    <w:rsid w:val="00A1627F"/>
    <w:rsid w:val="00A167CA"/>
    <w:rsid w:val="00A17D91"/>
    <w:rsid w:val="00A204E8"/>
    <w:rsid w:val="00A209D2"/>
    <w:rsid w:val="00A2234E"/>
    <w:rsid w:val="00A22EEA"/>
    <w:rsid w:val="00A231D0"/>
    <w:rsid w:val="00A231D6"/>
    <w:rsid w:val="00A231D8"/>
    <w:rsid w:val="00A235D7"/>
    <w:rsid w:val="00A243C4"/>
    <w:rsid w:val="00A25946"/>
    <w:rsid w:val="00A25DC3"/>
    <w:rsid w:val="00A263E1"/>
    <w:rsid w:val="00A26E04"/>
    <w:rsid w:val="00A2798F"/>
    <w:rsid w:val="00A27B83"/>
    <w:rsid w:val="00A27CC6"/>
    <w:rsid w:val="00A300A0"/>
    <w:rsid w:val="00A300F7"/>
    <w:rsid w:val="00A303EC"/>
    <w:rsid w:val="00A30C9B"/>
    <w:rsid w:val="00A30EEF"/>
    <w:rsid w:val="00A3134E"/>
    <w:rsid w:val="00A336D4"/>
    <w:rsid w:val="00A33DEB"/>
    <w:rsid w:val="00A348D4"/>
    <w:rsid w:val="00A3491C"/>
    <w:rsid w:val="00A34D6C"/>
    <w:rsid w:val="00A35039"/>
    <w:rsid w:val="00A35F86"/>
    <w:rsid w:val="00A361B4"/>
    <w:rsid w:val="00A368B9"/>
    <w:rsid w:val="00A37326"/>
    <w:rsid w:val="00A373C2"/>
    <w:rsid w:val="00A400A0"/>
    <w:rsid w:val="00A40A1F"/>
    <w:rsid w:val="00A4178C"/>
    <w:rsid w:val="00A41E66"/>
    <w:rsid w:val="00A41F1D"/>
    <w:rsid w:val="00A42208"/>
    <w:rsid w:val="00A439E3"/>
    <w:rsid w:val="00A43B77"/>
    <w:rsid w:val="00A43F98"/>
    <w:rsid w:val="00A448B0"/>
    <w:rsid w:val="00A44C79"/>
    <w:rsid w:val="00A44E34"/>
    <w:rsid w:val="00A451EE"/>
    <w:rsid w:val="00A45B1A"/>
    <w:rsid w:val="00A46E73"/>
    <w:rsid w:val="00A4706B"/>
    <w:rsid w:val="00A471C7"/>
    <w:rsid w:val="00A472D7"/>
    <w:rsid w:val="00A4744A"/>
    <w:rsid w:val="00A476EB"/>
    <w:rsid w:val="00A47931"/>
    <w:rsid w:val="00A508DF"/>
    <w:rsid w:val="00A51469"/>
    <w:rsid w:val="00A52D21"/>
    <w:rsid w:val="00A5333E"/>
    <w:rsid w:val="00A53C74"/>
    <w:rsid w:val="00A54A26"/>
    <w:rsid w:val="00A54C85"/>
    <w:rsid w:val="00A5566B"/>
    <w:rsid w:val="00A55D93"/>
    <w:rsid w:val="00A562D0"/>
    <w:rsid w:val="00A56ADB"/>
    <w:rsid w:val="00A5734E"/>
    <w:rsid w:val="00A60091"/>
    <w:rsid w:val="00A61B46"/>
    <w:rsid w:val="00A62AC9"/>
    <w:rsid w:val="00A62F86"/>
    <w:rsid w:val="00A6352E"/>
    <w:rsid w:val="00A6364F"/>
    <w:rsid w:val="00A63BF6"/>
    <w:rsid w:val="00A66D06"/>
    <w:rsid w:val="00A672DC"/>
    <w:rsid w:val="00A70E52"/>
    <w:rsid w:val="00A713E4"/>
    <w:rsid w:val="00A71553"/>
    <w:rsid w:val="00A72605"/>
    <w:rsid w:val="00A72B42"/>
    <w:rsid w:val="00A72EAA"/>
    <w:rsid w:val="00A73273"/>
    <w:rsid w:val="00A7338A"/>
    <w:rsid w:val="00A73A1E"/>
    <w:rsid w:val="00A75A5F"/>
    <w:rsid w:val="00A75B84"/>
    <w:rsid w:val="00A8046C"/>
    <w:rsid w:val="00A80627"/>
    <w:rsid w:val="00A82422"/>
    <w:rsid w:val="00A824E8"/>
    <w:rsid w:val="00A825F2"/>
    <w:rsid w:val="00A827E4"/>
    <w:rsid w:val="00A82C95"/>
    <w:rsid w:val="00A82EF5"/>
    <w:rsid w:val="00A83B68"/>
    <w:rsid w:val="00A83F66"/>
    <w:rsid w:val="00A84BE4"/>
    <w:rsid w:val="00A86EB2"/>
    <w:rsid w:val="00A905A8"/>
    <w:rsid w:val="00A90B38"/>
    <w:rsid w:val="00A90BEB"/>
    <w:rsid w:val="00A919A6"/>
    <w:rsid w:val="00A92B97"/>
    <w:rsid w:val="00A92FA9"/>
    <w:rsid w:val="00A93144"/>
    <w:rsid w:val="00A934D8"/>
    <w:rsid w:val="00A94983"/>
    <w:rsid w:val="00A952C9"/>
    <w:rsid w:val="00A9554B"/>
    <w:rsid w:val="00A9597D"/>
    <w:rsid w:val="00A95C2D"/>
    <w:rsid w:val="00A95DB6"/>
    <w:rsid w:val="00A967F7"/>
    <w:rsid w:val="00A969FC"/>
    <w:rsid w:val="00A96A95"/>
    <w:rsid w:val="00A96AE7"/>
    <w:rsid w:val="00A970B2"/>
    <w:rsid w:val="00A973F9"/>
    <w:rsid w:val="00A975D5"/>
    <w:rsid w:val="00AA1973"/>
    <w:rsid w:val="00AA3206"/>
    <w:rsid w:val="00AA406B"/>
    <w:rsid w:val="00AA42FE"/>
    <w:rsid w:val="00AA4B1E"/>
    <w:rsid w:val="00AA4D19"/>
    <w:rsid w:val="00AA536A"/>
    <w:rsid w:val="00AA5639"/>
    <w:rsid w:val="00AA56E9"/>
    <w:rsid w:val="00AA65D5"/>
    <w:rsid w:val="00AA66AE"/>
    <w:rsid w:val="00AA7047"/>
    <w:rsid w:val="00AA7138"/>
    <w:rsid w:val="00AA7A2B"/>
    <w:rsid w:val="00AA7E66"/>
    <w:rsid w:val="00AB05C0"/>
    <w:rsid w:val="00AB06C0"/>
    <w:rsid w:val="00AB1112"/>
    <w:rsid w:val="00AB14FB"/>
    <w:rsid w:val="00AB19A9"/>
    <w:rsid w:val="00AB1B07"/>
    <w:rsid w:val="00AB2AFE"/>
    <w:rsid w:val="00AB3BF7"/>
    <w:rsid w:val="00AB431E"/>
    <w:rsid w:val="00AB4D1D"/>
    <w:rsid w:val="00AB659E"/>
    <w:rsid w:val="00AB6888"/>
    <w:rsid w:val="00AB7391"/>
    <w:rsid w:val="00AB7660"/>
    <w:rsid w:val="00AB7B4E"/>
    <w:rsid w:val="00AB7D09"/>
    <w:rsid w:val="00AB7D58"/>
    <w:rsid w:val="00AB7E64"/>
    <w:rsid w:val="00AC0240"/>
    <w:rsid w:val="00AC04A5"/>
    <w:rsid w:val="00AC0ADC"/>
    <w:rsid w:val="00AC3593"/>
    <w:rsid w:val="00AC36B6"/>
    <w:rsid w:val="00AC373D"/>
    <w:rsid w:val="00AC37E8"/>
    <w:rsid w:val="00AC37FD"/>
    <w:rsid w:val="00AC4053"/>
    <w:rsid w:val="00AC458D"/>
    <w:rsid w:val="00AC4A95"/>
    <w:rsid w:val="00AC4DF0"/>
    <w:rsid w:val="00AC7EF2"/>
    <w:rsid w:val="00AD013A"/>
    <w:rsid w:val="00AD0602"/>
    <w:rsid w:val="00AD0970"/>
    <w:rsid w:val="00AD0B2A"/>
    <w:rsid w:val="00AD0CD5"/>
    <w:rsid w:val="00AD10EB"/>
    <w:rsid w:val="00AD26AA"/>
    <w:rsid w:val="00AD2C20"/>
    <w:rsid w:val="00AD33B3"/>
    <w:rsid w:val="00AD4867"/>
    <w:rsid w:val="00AD4962"/>
    <w:rsid w:val="00AD4BF1"/>
    <w:rsid w:val="00AD50FA"/>
    <w:rsid w:val="00AD55B7"/>
    <w:rsid w:val="00AD5966"/>
    <w:rsid w:val="00AD5AED"/>
    <w:rsid w:val="00AD63D1"/>
    <w:rsid w:val="00AD7173"/>
    <w:rsid w:val="00AD7321"/>
    <w:rsid w:val="00AE03F5"/>
    <w:rsid w:val="00AE0C11"/>
    <w:rsid w:val="00AE0C13"/>
    <w:rsid w:val="00AE0D78"/>
    <w:rsid w:val="00AE0F78"/>
    <w:rsid w:val="00AE101C"/>
    <w:rsid w:val="00AE128F"/>
    <w:rsid w:val="00AE1A1C"/>
    <w:rsid w:val="00AE2E8F"/>
    <w:rsid w:val="00AE386D"/>
    <w:rsid w:val="00AE38A0"/>
    <w:rsid w:val="00AE4108"/>
    <w:rsid w:val="00AE417E"/>
    <w:rsid w:val="00AE48A3"/>
    <w:rsid w:val="00AE5310"/>
    <w:rsid w:val="00AE5DF9"/>
    <w:rsid w:val="00AE6135"/>
    <w:rsid w:val="00AE71AF"/>
    <w:rsid w:val="00AE7641"/>
    <w:rsid w:val="00AE7EA9"/>
    <w:rsid w:val="00AF0186"/>
    <w:rsid w:val="00AF0DCB"/>
    <w:rsid w:val="00AF11C9"/>
    <w:rsid w:val="00AF13FB"/>
    <w:rsid w:val="00AF163A"/>
    <w:rsid w:val="00AF2AAF"/>
    <w:rsid w:val="00AF4B25"/>
    <w:rsid w:val="00AF5788"/>
    <w:rsid w:val="00AF6A37"/>
    <w:rsid w:val="00AF784D"/>
    <w:rsid w:val="00B00350"/>
    <w:rsid w:val="00B0042E"/>
    <w:rsid w:val="00B0086C"/>
    <w:rsid w:val="00B00B36"/>
    <w:rsid w:val="00B00BA6"/>
    <w:rsid w:val="00B00C06"/>
    <w:rsid w:val="00B01149"/>
    <w:rsid w:val="00B0129A"/>
    <w:rsid w:val="00B02EA4"/>
    <w:rsid w:val="00B04360"/>
    <w:rsid w:val="00B048CD"/>
    <w:rsid w:val="00B04BCA"/>
    <w:rsid w:val="00B04E53"/>
    <w:rsid w:val="00B04E60"/>
    <w:rsid w:val="00B0522B"/>
    <w:rsid w:val="00B05274"/>
    <w:rsid w:val="00B0656F"/>
    <w:rsid w:val="00B11545"/>
    <w:rsid w:val="00B12C1B"/>
    <w:rsid w:val="00B13219"/>
    <w:rsid w:val="00B1382D"/>
    <w:rsid w:val="00B13EE6"/>
    <w:rsid w:val="00B1514A"/>
    <w:rsid w:val="00B16812"/>
    <w:rsid w:val="00B16C1F"/>
    <w:rsid w:val="00B16FFE"/>
    <w:rsid w:val="00B207A5"/>
    <w:rsid w:val="00B20BE8"/>
    <w:rsid w:val="00B224E0"/>
    <w:rsid w:val="00B229D1"/>
    <w:rsid w:val="00B22AA2"/>
    <w:rsid w:val="00B22F3E"/>
    <w:rsid w:val="00B2337F"/>
    <w:rsid w:val="00B23731"/>
    <w:rsid w:val="00B23D86"/>
    <w:rsid w:val="00B2488B"/>
    <w:rsid w:val="00B249A9"/>
    <w:rsid w:val="00B24D2C"/>
    <w:rsid w:val="00B256D1"/>
    <w:rsid w:val="00B25CE2"/>
    <w:rsid w:val="00B26AA8"/>
    <w:rsid w:val="00B26B33"/>
    <w:rsid w:val="00B304A2"/>
    <w:rsid w:val="00B30BB9"/>
    <w:rsid w:val="00B31035"/>
    <w:rsid w:val="00B31200"/>
    <w:rsid w:val="00B312D3"/>
    <w:rsid w:val="00B31A27"/>
    <w:rsid w:val="00B32B78"/>
    <w:rsid w:val="00B32B7B"/>
    <w:rsid w:val="00B33057"/>
    <w:rsid w:val="00B335C3"/>
    <w:rsid w:val="00B341AC"/>
    <w:rsid w:val="00B34458"/>
    <w:rsid w:val="00B344EB"/>
    <w:rsid w:val="00B34A4F"/>
    <w:rsid w:val="00B351B0"/>
    <w:rsid w:val="00B36559"/>
    <w:rsid w:val="00B37744"/>
    <w:rsid w:val="00B409FC"/>
    <w:rsid w:val="00B41A91"/>
    <w:rsid w:val="00B41ABC"/>
    <w:rsid w:val="00B41E48"/>
    <w:rsid w:val="00B42235"/>
    <w:rsid w:val="00B423A8"/>
    <w:rsid w:val="00B42EAA"/>
    <w:rsid w:val="00B42EAB"/>
    <w:rsid w:val="00B4410F"/>
    <w:rsid w:val="00B44C8A"/>
    <w:rsid w:val="00B44CAF"/>
    <w:rsid w:val="00B44D03"/>
    <w:rsid w:val="00B44D8C"/>
    <w:rsid w:val="00B45DD0"/>
    <w:rsid w:val="00B46140"/>
    <w:rsid w:val="00B46A1B"/>
    <w:rsid w:val="00B46BDA"/>
    <w:rsid w:val="00B46C8C"/>
    <w:rsid w:val="00B47468"/>
    <w:rsid w:val="00B47867"/>
    <w:rsid w:val="00B47986"/>
    <w:rsid w:val="00B47AC6"/>
    <w:rsid w:val="00B47C2A"/>
    <w:rsid w:val="00B50394"/>
    <w:rsid w:val="00B50434"/>
    <w:rsid w:val="00B51830"/>
    <w:rsid w:val="00B5193A"/>
    <w:rsid w:val="00B520C8"/>
    <w:rsid w:val="00B524B1"/>
    <w:rsid w:val="00B52C32"/>
    <w:rsid w:val="00B53BE6"/>
    <w:rsid w:val="00B53F55"/>
    <w:rsid w:val="00B54760"/>
    <w:rsid w:val="00B549B3"/>
    <w:rsid w:val="00B54A78"/>
    <w:rsid w:val="00B55729"/>
    <w:rsid w:val="00B558A6"/>
    <w:rsid w:val="00B55C18"/>
    <w:rsid w:val="00B573AD"/>
    <w:rsid w:val="00B61538"/>
    <w:rsid w:val="00B626A6"/>
    <w:rsid w:val="00B62904"/>
    <w:rsid w:val="00B63A33"/>
    <w:rsid w:val="00B63F01"/>
    <w:rsid w:val="00B65964"/>
    <w:rsid w:val="00B6658D"/>
    <w:rsid w:val="00B7001F"/>
    <w:rsid w:val="00B700FA"/>
    <w:rsid w:val="00B70133"/>
    <w:rsid w:val="00B704F3"/>
    <w:rsid w:val="00B7101C"/>
    <w:rsid w:val="00B7118D"/>
    <w:rsid w:val="00B7127D"/>
    <w:rsid w:val="00B71473"/>
    <w:rsid w:val="00B72304"/>
    <w:rsid w:val="00B72C92"/>
    <w:rsid w:val="00B72E85"/>
    <w:rsid w:val="00B7388A"/>
    <w:rsid w:val="00B73B8C"/>
    <w:rsid w:val="00B73C0A"/>
    <w:rsid w:val="00B744FE"/>
    <w:rsid w:val="00B74FAD"/>
    <w:rsid w:val="00B75174"/>
    <w:rsid w:val="00B7538D"/>
    <w:rsid w:val="00B75875"/>
    <w:rsid w:val="00B7694E"/>
    <w:rsid w:val="00B76A35"/>
    <w:rsid w:val="00B77168"/>
    <w:rsid w:val="00B77B2B"/>
    <w:rsid w:val="00B80274"/>
    <w:rsid w:val="00B8150B"/>
    <w:rsid w:val="00B828DC"/>
    <w:rsid w:val="00B83066"/>
    <w:rsid w:val="00B8376A"/>
    <w:rsid w:val="00B83976"/>
    <w:rsid w:val="00B84FA8"/>
    <w:rsid w:val="00B856EA"/>
    <w:rsid w:val="00B85CA2"/>
    <w:rsid w:val="00B861E0"/>
    <w:rsid w:val="00B86D1C"/>
    <w:rsid w:val="00B87590"/>
    <w:rsid w:val="00B87B0B"/>
    <w:rsid w:val="00B9075B"/>
    <w:rsid w:val="00B91081"/>
    <w:rsid w:val="00B91128"/>
    <w:rsid w:val="00B91390"/>
    <w:rsid w:val="00B91B0C"/>
    <w:rsid w:val="00B91DC7"/>
    <w:rsid w:val="00B926FD"/>
    <w:rsid w:val="00B92B3B"/>
    <w:rsid w:val="00B9399F"/>
    <w:rsid w:val="00B93D04"/>
    <w:rsid w:val="00B93D44"/>
    <w:rsid w:val="00B9467A"/>
    <w:rsid w:val="00B94934"/>
    <w:rsid w:val="00B9565E"/>
    <w:rsid w:val="00B95A40"/>
    <w:rsid w:val="00B95A87"/>
    <w:rsid w:val="00B95AFC"/>
    <w:rsid w:val="00B96308"/>
    <w:rsid w:val="00B967BF"/>
    <w:rsid w:val="00B969BA"/>
    <w:rsid w:val="00B96A35"/>
    <w:rsid w:val="00B9703E"/>
    <w:rsid w:val="00B970C8"/>
    <w:rsid w:val="00BA032F"/>
    <w:rsid w:val="00BA0708"/>
    <w:rsid w:val="00BA1177"/>
    <w:rsid w:val="00BA140F"/>
    <w:rsid w:val="00BA2171"/>
    <w:rsid w:val="00BA2AAF"/>
    <w:rsid w:val="00BA2BE6"/>
    <w:rsid w:val="00BA2ED1"/>
    <w:rsid w:val="00BA344D"/>
    <w:rsid w:val="00BA34DC"/>
    <w:rsid w:val="00BA3B7C"/>
    <w:rsid w:val="00BA4798"/>
    <w:rsid w:val="00BA5D19"/>
    <w:rsid w:val="00BA62A7"/>
    <w:rsid w:val="00BA6ADD"/>
    <w:rsid w:val="00BA6BC1"/>
    <w:rsid w:val="00BA6C11"/>
    <w:rsid w:val="00BA6D1F"/>
    <w:rsid w:val="00BA70BC"/>
    <w:rsid w:val="00BA77A3"/>
    <w:rsid w:val="00BA7B4B"/>
    <w:rsid w:val="00BB0AB3"/>
    <w:rsid w:val="00BB1758"/>
    <w:rsid w:val="00BB2DBD"/>
    <w:rsid w:val="00BB2E45"/>
    <w:rsid w:val="00BB2F59"/>
    <w:rsid w:val="00BB3DB6"/>
    <w:rsid w:val="00BB41E4"/>
    <w:rsid w:val="00BB496B"/>
    <w:rsid w:val="00BB4CDC"/>
    <w:rsid w:val="00BB6061"/>
    <w:rsid w:val="00BB62EA"/>
    <w:rsid w:val="00BB6C10"/>
    <w:rsid w:val="00BB6CB8"/>
    <w:rsid w:val="00BB6F39"/>
    <w:rsid w:val="00BB7008"/>
    <w:rsid w:val="00BB78B1"/>
    <w:rsid w:val="00BC045D"/>
    <w:rsid w:val="00BC0D66"/>
    <w:rsid w:val="00BC17CE"/>
    <w:rsid w:val="00BC1DF3"/>
    <w:rsid w:val="00BC1E76"/>
    <w:rsid w:val="00BC284D"/>
    <w:rsid w:val="00BC2E26"/>
    <w:rsid w:val="00BC3DEB"/>
    <w:rsid w:val="00BC414E"/>
    <w:rsid w:val="00BC4AFF"/>
    <w:rsid w:val="00BC536D"/>
    <w:rsid w:val="00BC589F"/>
    <w:rsid w:val="00BC6D48"/>
    <w:rsid w:val="00BD1136"/>
    <w:rsid w:val="00BD19DC"/>
    <w:rsid w:val="00BD280A"/>
    <w:rsid w:val="00BD2EC8"/>
    <w:rsid w:val="00BD2FED"/>
    <w:rsid w:val="00BD52CD"/>
    <w:rsid w:val="00BD5AFA"/>
    <w:rsid w:val="00BD60CF"/>
    <w:rsid w:val="00BD66FC"/>
    <w:rsid w:val="00BD6A58"/>
    <w:rsid w:val="00BD7CF3"/>
    <w:rsid w:val="00BD7E36"/>
    <w:rsid w:val="00BD7E39"/>
    <w:rsid w:val="00BE0348"/>
    <w:rsid w:val="00BE06CB"/>
    <w:rsid w:val="00BE0960"/>
    <w:rsid w:val="00BE1745"/>
    <w:rsid w:val="00BE1859"/>
    <w:rsid w:val="00BE21E3"/>
    <w:rsid w:val="00BE2D9E"/>
    <w:rsid w:val="00BE4225"/>
    <w:rsid w:val="00BE50A0"/>
    <w:rsid w:val="00BE5499"/>
    <w:rsid w:val="00BE589B"/>
    <w:rsid w:val="00BE5A1A"/>
    <w:rsid w:val="00BE618C"/>
    <w:rsid w:val="00BE65C6"/>
    <w:rsid w:val="00BE6BC5"/>
    <w:rsid w:val="00BE6D0A"/>
    <w:rsid w:val="00BE7023"/>
    <w:rsid w:val="00BE77BC"/>
    <w:rsid w:val="00BE7924"/>
    <w:rsid w:val="00BE7C44"/>
    <w:rsid w:val="00BF09DB"/>
    <w:rsid w:val="00BF14FE"/>
    <w:rsid w:val="00BF2439"/>
    <w:rsid w:val="00BF2927"/>
    <w:rsid w:val="00BF2BCF"/>
    <w:rsid w:val="00BF36A8"/>
    <w:rsid w:val="00BF3742"/>
    <w:rsid w:val="00BF47CD"/>
    <w:rsid w:val="00BF4B50"/>
    <w:rsid w:val="00BF53FB"/>
    <w:rsid w:val="00BF55CE"/>
    <w:rsid w:val="00BF5615"/>
    <w:rsid w:val="00BF56F8"/>
    <w:rsid w:val="00BF5E30"/>
    <w:rsid w:val="00BF6194"/>
    <w:rsid w:val="00BF62A0"/>
    <w:rsid w:val="00BF6CE9"/>
    <w:rsid w:val="00BF7216"/>
    <w:rsid w:val="00BF75B8"/>
    <w:rsid w:val="00C01178"/>
    <w:rsid w:val="00C01312"/>
    <w:rsid w:val="00C01A6B"/>
    <w:rsid w:val="00C02D33"/>
    <w:rsid w:val="00C02D80"/>
    <w:rsid w:val="00C03042"/>
    <w:rsid w:val="00C03755"/>
    <w:rsid w:val="00C0395A"/>
    <w:rsid w:val="00C03D80"/>
    <w:rsid w:val="00C05520"/>
    <w:rsid w:val="00C05C73"/>
    <w:rsid w:val="00C05D4F"/>
    <w:rsid w:val="00C05FFA"/>
    <w:rsid w:val="00C062AC"/>
    <w:rsid w:val="00C06D6C"/>
    <w:rsid w:val="00C07413"/>
    <w:rsid w:val="00C07436"/>
    <w:rsid w:val="00C1088D"/>
    <w:rsid w:val="00C109AB"/>
    <w:rsid w:val="00C110B8"/>
    <w:rsid w:val="00C123D8"/>
    <w:rsid w:val="00C13076"/>
    <w:rsid w:val="00C13416"/>
    <w:rsid w:val="00C134CD"/>
    <w:rsid w:val="00C13D0C"/>
    <w:rsid w:val="00C140AC"/>
    <w:rsid w:val="00C14155"/>
    <w:rsid w:val="00C143CB"/>
    <w:rsid w:val="00C14B75"/>
    <w:rsid w:val="00C14BD2"/>
    <w:rsid w:val="00C161C9"/>
    <w:rsid w:val="00C17399"/>
    <w:rsid w:val="00C17492"/>
    <w:rsid w:val="00C218F6"/>
    <w:rsid w:val="00C21ADD"/>
    <w:rsid w:val="00C21D04"/>
    <w:rsid w:val="00C22212"/>
    <w:rsid w:val="00C228B8"/>
    <w:rsid w:val="00C230D9"/>
    <w:rsid w:val="00C23AF7"/>
    <w:rsid w:val="00C2473A"/>
    <w:rsid w:val="00C25276"/>
    <w:rsid w:val="00C2629A"/>
    <w:rsid w:val="00C26A52"/>
    <w:rsid w:val="00C27445"/>
    <w:rsid w:val="00C277E1"/>
    <w:rsid w:val="00C27963"/>
    <w:rsid w:val="00C27A18"/>
    <w:rsid w:val="00C30006"/>
    <w:rsid w:val="00C30338"/>
    <w:rsid w:val="00C304B5"/>
    <w:rsid w:val="00C3050B"/>
    <w:rsid w:val="00C30A69"/>
    <w:rsid w:val="00C31EF0"/>
    <w:rsid w:val="00C31F08"/>
    <w:rsid w:val="00C32631"/>
    <w:rsid w:val="00C328B8"/>
    <w:rsid w:val="00C33987"/>
    <w:rsid w:val="00C33C02"/>
    <w:rsid w:val="00C33C1A"/>
    <w:rsid w:val="00C345CA"/>
    <w:rsid w:val="00C35167"/>
    <w:rsid w:val="00C35864"/>
    <w:rsid w:val="00C36353"/>
    <w:rsid w:val="00C40EAC"/>
    <w:rsid w:val="00C4140D"/>
    <w:rsid w:val="00C41BB9"/>
    <w:rsid w:val="00C42973"/>
    <w:rsid w:val="00C42B4F"/>
    <w:rsid w:val="00C43DFA"/>
    <w:rsid w:val="00C43F05"/>
    <w:rsid w:val="00C440B8"/>
    <w:rsid w:val="00C4465E"/>
    <w:rsid w:val="00C44757"/>
    <w:rsid w:val="00C45CC6"/>
    <w:rsid w:val="00C46209"/>
    <w:rsid w:val="00C46B82"/>
    <w:rsid w:val="00C470C3"/>
    <w:rsid w:val="00C50010"/>
    <w:rsid w:val="00C502A4"/>
    <w:rsid w:val="00C504E8"/>
    <w:rsid w:val="00C50EF0"/>
    <w:rsid w:val="00C5105C"/>
    <w:rsid w:val="00C513E4"/>
    <w:rsid w:val="00C51851"/>
    <w:rsid w:val="00C51D92"/>
    <w:rsid w:val="00C52925"/>
    <w:rsid w:val="00C52DFF"/>
    <w:rsid w:val="00C530BB"/>
    <w:rsid w:val="00C538DB"/>
    <w:rsid w:val="00C53C02"/>
    <w:rsid w:val="00C53E1E"/>
    <w:rsid w:val="00C546A1"/>
    <w:rsid w:val="00C549AA"/>
    <w:rsid w:val="00C55BFF"/>
    <w:rsid w:val="00C56AD6"/>
    <w:rsid w:val="00C570BE"/>
    <w:rsid w:val="00C571B0"/>
    <w:rsid w:val="00C57268"/>
    <w:rsid w:val="00C6045E"/>
    <w:rsid w:val="00C6062F"/>
    <w:rsid w:val="00C60EBE"/>
    <w:rsid w:val="00C6120A"/>
    <w:rsid w:val="00C61921"/>
    <w:rsid w:val="00C61BC4"/>
    <w:rsid w:val="00C62688"/>
    <w:rsid w:val="00C63655"/>
    <w:rsid w:val="00C63DD4"/>
    <w:rsid w:val="00C63F6E"/>
    <w:rsid w:val="00C64092"/>
    <w:rsid w:val="00C6412A"/>
    <w:rsid w:val="00C643D7"/>
    <w:rsid w:val="00C6444F"/>
    <w:rsid w:val="00C6453C"/>
    <w:rsid w:val="00C64BA7"/>
    <w:rsid w:val="00C6545F"/>
    <w:rsid w:val="00C659DC"/>
    <w:rsid w:val="00C65AD9"/>
    <w:rsid w:val="00C65BE5"/>
    <w:rsid w:val="00C65CBA"/>
    <w:rsid w:val="00C66AB4"/>
    <w:rsid w:val="00C66CDE"/>
    <w:rsid w:val="00C67B35"/>
    <w:rsid w:val="00C712EE"/>
    <w:rsid w:val="00C71405"/>
    <w:rsid w:val="00C71859"/>
    <w:rsid w:val="00C72096"/>
    <w:rsid w:val="00C72658"/>
    <w:rsid w:val="00C72DB9"/>
    <w:rsid w:val="00C7371E"/>
    <w:rsid w:val="00C73B02"/>
    <w:rsid w:val="00C74688"/>
    <w:rsid w:val="00C74702"/>
    <w:rsid w:val="00C74CA8"/>
    <w:rsid w:val="00C7649C"/>
    <w:rsid w:val="00C765EB"/>
    <w:rsid w:val="00C7672F"/>
    <w:rsid w:val="00C768CA"/>
    <w:rsid w:val="00C773A1"/>
    <w:rsid w:val="00C77CC8"/>
    <w:rsid w:val="00C80881"/>
    <w:rsid w:val="00C811FC"/>
    <w:rsid w:val="00C8270F"/>
    <w:rsid w:val="00C83292"/>
    <w:rsid w:val="00C832C0"/>
    <w:rsid w:val="00C8371F"/>
    <w:rsid w:val="00C83773"/>
    <w:rsid w:val="00C83D68"/>
    <w:rsid w:val="00C841D7"/>
    <w:rsid w:val="00C841FD"/>
    <w:rsid w:val="00C8584A"/>
    <w:rsid w:val="00C86B22"/>
    <w:rsid w:val="00C86F6E"/>
    <w:rsid w:val="00C8720B"/>
    <w:rsid w:val="00C87248"/>
    <w:rsid w:val="00C9285A"/>
    <w:rsid w:val="00C92915"/>
    <w:rsid w:val="00C92A17"/>
    <w:rsid w:val="00C92B8C"/>
    <w:rsid w:val="00C932B8"/>
    <w:rsid w:val="00C9350F"/>
    <w:rsid w:val="00C935B3"/>
    <w:rsid w:val="00C94725"/>
    <w:rsid w:val="00C94807"/>
    <w:rsid w:val="00C94D6F"/>
    <w:rsid w:val="00C95621"/>
    <w:rsid w:val="00C95F5E"/>
    <w:rsid w:val="00C966BB"/>
    <w:rsid w:val="00C96C88"/>
    <w:rsid w:val="00C96DF2"/>
    <w:rsid w:val="00C96E5D"/>
    <w:rsid w:val="00C97347"/>
    <w:rsid w:val="00C9788F"/>
    <w:rsid w:val="00CA083C"/>
    <w:rsid w:val="00CA0C81"/>
    <w:rsid w:val="00CA12C4"/>
    <w:rsid w:val="00CA131C"/>
    <w:rsid w:val="00CA1821"/>
    <w:rsid w:val="00CA20ED"/>
    <w:rsid w:val="00CA2762"/>
    <w:rsid w:val="00CA2B26"/>
    <w:rsid w:val="00CA2EA9"/>
    <w:rsid w:val="00CA2FF2"/>
    <w:rsid w:val="00CA3FD3"/>
    <w:rsid w:val="00CA4224"/>
    <w:rsid w:val="00CA48E8"/>
    <w:rsid w:val="00CA48FB"/>
    <w:rsid w:val="00CA5437"/>
    <w:rsid w:val="00CA6853"/>
    <w:rsid w:val="00CA72EA"/>
    <w:rsid w:val="00CA7704"/>
    <w:rsid w:val="00CA77B1"/>
    <w:rsid w:val="00CA7F4F"/>
    <w:rsid w:val="00CB01A8"/>
    <w:rsid w:val="00CB145F"/>
    <w:rsid w:val="00CB1A2D"/>
    <w:rsid w:val="00CB2134"/>
    <w:rsid w:val="00CB23B3"/>
    <w:rsid w:val="00CB5514"/>
    <w:rsid w:val="00CB63A3"/>
    <w:rsid w:val="00CB69A1"/>
    <w:rsid w:val="00CB69C5"/>
    <w:rsid w:val="00CB71D1"/>
    <w:rsid w:val="00CB7700"/>
    <w:rsid w:val="00CB7BC2"/>
    <w:rsid w:val="00CC1E7B"/>
    <w:rsid w:val="00CC21F0"/>
    <w:rsid w:val="00CC2CF7"/>
    <w:rsid w:val="00CC30DE"/>
    <w:rsid w:val="00CC31B3"/>
    <w:rsid w:val="00CC36E2"/>
    <w:rsid w:val="00CC388A"/>
    <w:rsid w:val="00CC3BB8"/>
    <w:rsid w:val="00CC44DF"/>
    <w:rsid w:val="00CC4DD5"/>
    <w:rsid w:val="00CC5B95"/>
    <w:rsid w:val="00CC626A"/>
    <w:rsid w:val="00CC7F99"/>
    <w:rsid w:val="00CD01CB"/>
    <w:rsid w:val="00CD0B96"/>
    <w:rsid w:val="00CD0BA6"/>
    <w:rsid w:val="00CD0F65"/>
    <w:rsid w:val="00CD121D"/>
    <w:rsid w:val="00CD12EB"/>
    <w:rsid w:val="00CD184C"/>
    <w:rsid w:val="00CD2843"/>
    <w:rsid w:val="00CD292F"/>
    <w:rsid w:val="00CD2F5E"/>
    <w:rsid w:val="00CD3445"/>
    <w:rsid w:val="00CD38EE"/>
    <w:rsid w:val="00CD4918"/>
    <w:rsid w:val="00CD5450"/>
    <w:rsid w:val="00CD54AE"/>
    <w:rsid w:val="00CD56EC"/>
    <w:rsid w:val="00CD5EE2"/>
    <w:rsid w:val="00CD6463"/>
    <w:rsid w:val="00CD68DE"/>
    <w:rsid w:val="00CD698F"/>
    <w:rsid w:val="00CD69A5"/>
    <w:rsid w:val="00CD6E13"/>
    <w:rsid w:val="00CD75B6"/>
    <w:rsid w:val="00CD772F"/>
    <w:rsid w:val="00CE05D7"/>
    <w:rsid w:val="00CE09FF"/>
    <w:rsid w:val="00CE0F8B"/>
    <w:rsid w:val="00CE1855"/>
    <w:rsid w:val="00CE1CA3"/>
    <w:rsid w:val="00CE1EFF"/>
    <w:rsid w:val="00CE351A"/>
    <w:rsid w:val="00CE5FFD"/>
    <w:rsid w:val="00CE67AC"/>
    <w:rsid w:val="00CE68D2"/>
    <w:rsid w:val="00CE6E1A"/>
    <w:rsid w:val="00CE6F0D"/>
    <w:rsid w:val="00CE732E"/>
    <w:rsid w:val="00CF0139"/>
    <w:rsid w:val="00CF02E3"/>
    <w:rsid w:val="00CF068D"/>
    <w:rsid w:val="00CF06B6"/>
    <w:rsid w:val="00CF1541"/>
    <w:rsid w:val="00CF15EE"/>
    <w:rsid w:val="00CF174B"/>
    <w:rsid w:val="00CF1E07"/>
    <w:rsid w:val="00CF2187"/>
    <w:rsid w:val="00CF21AB"/>
    <w:rsid w:val="00CF25F2"/>
    <w:rsid w:val="00CF2C5E"/>
    <w:rsid w:val="00CF2D0B"/>
    <w:rsid w:val="00CF4287"/>
    <w:rsid w:val="00CF47BC"/>
    <w:rsid w:val="00CF4EA3"/>
    <w:rsid w:val="00CF54CF"/>
    <w:rsid w:val="00CF663B"/>
    <w:rsid w:val="00CF6EE8"/>
    <w:rsid w:val="00D00642"/>
    <w:rsid w:val="00D00810"/>
    <w:rsid w:val="00D01118"/>
    <w:rsid w:val="00D01904"/>
    <w:rsid w:val="00D0231A"/>
    <w:rsid w:val="00D024F7"/>
    <w:rsid w:val="00D029A6"/>
    <w:rsid w:val="00D02BB0"/>
    <w:rsid w:val="00D02FC1"/>
    <w:rsid w:val="00D038A1"/>
    <w:rsid w:val="00D039D9"/>
    <w:rsid w:val="00D04579"/>
    <w:rsid w:val="00D04C04"/>
    <w:rsid w:val="00D05830"/>
    <w:rsid w:val="00D05C1E"/>
    <w:rsid w:val="00D069BC"/>
    <w:rsid w:val="00D07042"/>
    <w:rsid w:val="00D07B0A"/>
    <w:rsid w:val="00D105D1"/>
    <w:rsid w:val="00D117F7"/>
    <w:rsid w:val="00D1240C"/>
    <w:rsid w:val="00D1282C"/>
    <w:rsid w:val="00D12BC0"/>
    <w:rsid w:val="00D13344"/>
    <w:rsid w:val="00D13888"/>
    <w:rsid w:val="00D14129"/>
    <w:rsid w:val="00D142B9"/>
    <w:rsid w:val="00D147D3"/>
    <w:rsid w:val="00D14B94"/>
    <w:rsid w:val="00D153C2"/>
    <w:rsid w:val="00D1615A"/>
    <w:rsid w:val="00D16208"/>
    <w:rsid w:val="00D179C5"/>
    <w:rsid w:val="00D211CB"/>
    <w:rsid w:val="00D22570"/>
    <w:rsid w:val="00D226BC"/>
    <w:rsid w:val="00D22A9A"/>
    <w:rsid w:val="00D23479"/>
    <w:rsid w:val="00D23686"/>
    <w:rsid w:val="00D23751"/>
    <w:rsid w:val="00D23853"/>
    <w:rsid w:val="00D242AE"/>
    <w:rsid w:val="00D24A8F"/>
    <w:rsid w:val="00D24E0E"/>
    <w:rsid w:val="00D2516D"/>
    <w:rsid w:val="00D2559F"/>
    <w:rsid w:val="00D2673F"/>
    <w:rsid w:val="00D26BE6"/>
    <w:rsid w:val="00D27216"/>
    <w:rsid w:val="00D301A6"/>
    <w:rsid w:val="00D308F7"/>
    <w:rsid w:val="00D3207A"/>
    <w:rsid w:val="00D3268B"/>
    <w:rsid w:val="00D3279D"/>
    <w:rsid w:val="00D32CFA"/>
    <w:rsid w:val="00D33326"/>
    <w:rsid w:val="00D3348D"/>
    <w:rsid w:val="00D33F6A"/>
    <w:rsid w:val="00D355DB"/>
    <w:rsid w:val="00D35C3C"/>
    <w:rsid w:val="00D36289"/>
    <w:rsid w:val="00D363B5"/>
    <w:rsid w:val="00D36850"/>
    <w:rsid w:val="00D402CD"/>
    <w:rsid w:val="00D406E9"/>
    <w:rsid w:val="00D4170A"/>
    <w:rsid w:val="00D41A75"/>
    <w:rsid w:val="00D42123"/>
    <w:rsid w:val="00D42884"/>
    <w:rsid w:val="00D42F3D"/>
    <w:rsid w:val="00D430A6"/>
    <w:rsid w:val="00D43425"/>
    <w:rsid w:val="00D434DD"/>
    <w:rsid w:val="00D43749"/>
    <w:rsid w:val="00D43828"/>
    <w:rsid w:val="00D4467D"/>
    <w:rsid w:val="00D449F1"/>
    <w:rsid w:val="00D463E6"/>
    <w:rsid w:val="00D4691E"/>
    <w:rsid w:val="00D477CE"/>
    <w:rsid w:val="00D47C4C"/>
    <w:rsid w:val="00D50551"/>
    <w:rsid w:val="00D50BC8"/>
    <w:rsid w:val="00D50DC3"/>
    <w:rsid w:val="00D51A26"/>
    <w:rsid w:val="00D51DB3"/>
    <w:rsid w:val="00D5267C"/>
    <w:rsid w:val="00D5328F"/>
    <w:rsid w:val="00D53858"/>
    <w:rsid w:val="00D53A56"/>
    <w:rsid w:val="00D53D29"/>
    <w:rsid w:val="00D53D6E"/>
    <w:rsid w:val="00D5490B"/>
    <w:rsid w:val="00D54A7F"/>
    <w:rsid w:val="00D555B7"/>
    <w:rsid w:val="00D56A1F"/>
    <w:rsid w:val="00D56A78"/>
    <w:rsid w:val="00D56C10"/>
    <w:rsid w:val="00D5712C"/>
    <w:rsid w:val="00D5745B"/>
    <w:rsid w:val="00D60219"/>
    <w:rsid w:val="00D608F3"/>
    <w:rsid w:val="00D60B63"/>
    <w:rsid w:val="00D612EA"/>
    <w:rsid w:val="00D61AB9"/>
    <w:rsid w:val="00D629A4"/>
    <w:rsid w:val="00D62A14"/>
    <w:rsid w:val="00D62D86"/>
    <w:rsid w:val="00D63F8A"/>
    <w:rsid w:val="00D64199"/>
    <w:rsid w:val="00D641B3"/>
    <w:rsid w:val="00D64752"/>
    <w:rsid w:val="00D64814"/>
    <w:rsid w:val="00D65025"/>
    <w:rsid w:val="00D65175"/>
    <w:rsid w:val="00D6618A"/>
    <w:rsid w:val="00D671F1"/>
    <w:rsid w:val="00D67541"/>
    <w:rsid w:val="00D6796F"/>
    <w:rsid w:val="00D67D52"/>
    <w:rsid w:val="00D71234"/>
    <w:rsid w:val="00D719C9"/>
    <w:rsid w:val="00D72844"/>
    <w:rsid w:val="00D73A89"/>
    <w:rsid w:val="00D73D71"/>
    <w:rsid w:val="00D73EA0"/>
    <w:rsid w:val="00D74EB2"/>
    <w:rsid w:val="00D75AB3"/>
    <w:rsid w:val="00D75BB9"/>
    <w:rsid w:val="00D75CE7"/>
    <w:rsid w:val="00D76AD1"/>
    <w:rsid w:val="00D77305"/>
    <w:rsid w:val="00D77E26"/>
    <w:rsid w:val="00D80F29"/>
    <w:rsid w:val="00D81179"/>
    <w:rsid w:val="00D8140D"/>
    <w:rsid w:val="00D817A6"/>
    <w:rsid w:val="00D81FCE"/>
    <w:rsid w:val="00D8319B"/>
    <w:rsid w:val="00D8399A"/>
    <w:rsid w:val="00D83D46"/>
    <w:rsid w:val="00D84C39"/>
    <w:rsid w:val="00D85422"/>
    <w:rsid w:val="00D85D2E"/>
    <w:rsid w:val="00D861EA"/>
    <w:rsid w:val="00D863CF"/>
    <w:rsid w:val="00D86454"/>
    <w:rsid w:val="00D86851"/>
    <w:rsid w:val="00D877BA"/>
    <w:rsid w:val="00D87F37"/>
    <w:rsid w:val="00D9075C"/>
    <w:rsid w:val="00D9095E"/>
    <w:rsid w:val="00D918F9"/>
    <w:rsid w:val="00D91908"/>
    <w:rsid w:val="00D919CA"/>
    <w:rsid w:val="00D92306"/>
    <w:rsid w:val="00D9230C"/>
    <w:rsid w:val="00D92725"/>
    <w:rsid w:val="00D94451"/>
    <w:rsid w:val="00D95930"/>
    <w:rsid w:val="00D9603A"/>
    <w:rsid w:val="00D967BD"/>
    <w:rsid w:val="00D96A88"/>
    <w:rsid w:val="00D977BF"/>
    <w:rsid w:val="00DA1AF3"/>
    <w:rsid w:val="00DA1D8C"/>
    <w:rsid w:val="00DA326A"/>
    <w:rsid w:val="00DA3D95"/>
    <w:rsid w:val="00DA4A58"/>
    <w:rsid w:val="00DA4C0A"/>
    <w:rsid w:val="00DA5C09"/>
    <w:rsid w:val="00DA5EAA"/>
    <w:rsid w:val="00DA626C"/>
    <w:rsid w:val="00DA64F5"/>
    <w:rsid w:val="00DA6631"/>
    <w:rsid w:val="00DA66D4"/>
    <w:rsid w:val="00DA6A93"/>
    <w:rsid w:val="00DA6DB3"/>
    <w:rsid w:val="00DA707D"/>
    <w:rsid w:val="00DA7F8E"/>
    <w:rsid w:val="00DB069B"/>
    <w:rsid w:val="00DB08B7"/>
    <w:rsid w:val="00DB17DE"/>
    <w:rsid w:val="00DB19F7"/>
    <w:rsid w:val="00DB246B"/>
    <w:rsid w:val="00DB248B"/>
    <w:rsid w:val="00DB2FAB"/>
    <w:rsid w:val="00DB3913"/>
    <w:rsid w:val="00DB3CE2"/>
    <w:rsid w:val="00DB47A4"/>
    <w:rsid w:val="00DB48F5"/>
    <w:rsid w:val="00DB4956"/>
    <w:rsid w:val="00DB49A0"/>
    <w:rsid w:val="00DB5E51"/>
    <w:rsid w:val="00DB5E88"/>
    <w:rsid w:val="00DB6015"/>
    <w:rsid w:val="00DB604B"/>
    <w:rsid w:val="00DB6F5B"/>
    <w:rsid w:val="00DB6FD3"/>
    <w:rsid w:val="00DC0564"/>
    <w:rsid w:val="00DC1517"/>
    <w:rsid w:val="00DC1B49"/>
    <w:rsid w:val="00DC2CBF"/>
    <w:rsid w:val="00DC2E78"/>
    <w:rsid w:val="00DC3D2C"/>
    <w:rsid w:val="00DC4B3E"/>
    <w:rsid w:val="00DC6DA3"/>
    <w:rsid w:val="00DC6E23"/>
    <w:rsid w:val="00DC7174"/>
    <w:rsid w:val="00DD0DDE"/>
    <w:rsid w:val="00DD16C2"/>
    <w:rsid w:val="00DD1F4C"/>
    <w:rsid w:val="00DD1FFF"/>
    <w:rsid w:val="00DD230B"/>
    <w:rsid w:val="00DD2AB5"/>
    <w:rsid w:val="00DD3194"/>
    <w:rsid w:val="00DD3B6A"/>
    <w:rsid w:val="00DD3BEC"/>
    <w:rsid w:val="00DD3F74"/>
    <w:rsid w:val="00DD461C"/>
    <w:rsid w:val="00DD49F6"/>
    <w:rsid w:val="00DD5416"/>
    <w:rsid w:val="00DD56B1"/>
    <w:rsid w:val="00DD5D6F"/>
    <w:rsid w:val="00DD5EE2"/>
    <w:rsid w:val="00DD732B"/>
    <w:rsid w:val="00DE137B"/>
    <w:rsid w:val="00DE13F4"/>
    <w:rsid w:val="00DE1631"/>
    <w:rsid w:val="00DE2989"/>
    <w:rsid w:val="00DE342A"/>
    <w:rsid w:val="00DE54A9"/>
    <w:rsid w:val="00DE5A0C"/>
    <w:rsid w:val="00DE620D"/>
    <w:rsid w:val="00DE6EBD"/>
    <w:rsid w:val="00DE704B"/>
    <w:rsid w:val="00DE7519"/>
    <w:rsid w:val="00DF029D"/>
    <w:rsid w:val="00DF176A"/>
    <w:rsid w:val="00DF1A57"/>
    <w:rsid w:val="00DF2A96"/>
    <w:rsid w:val="00DF31AA"/>
    <w:rsid w:val="00DF32C5"/>
    <w:rsid w:val="00DF33F2"/>
    <w:rsid w:val="00DF373D"/>
    <w:rsid w:val="00DF3D39"/>
    <w:rsid w:val="00DF40BA"/>
    <w:rsid w:val="00DF4768"/>
    <w:rsid w:val="00DF4B39"/>
    <w:rsid w:val="00DF4D95"/>
    <w:rsid w:val="00DF5A62"/>
    <w:rsid w:val="00DF6127"/>
    <w:rsid w:val="00DF62A7"/>
    <w:rsid w:val="00DF70F7"/>
    <w:rsid w:val="00DF72B9"/>
    <w:rsid w:val="00E00021"/>
    <w:rsid w:val="00E001B9"/>
    <w:rsid w:val="00E007CA"/>
    <w:rsid w:val="00E00882"/>
    <w:rsid w:val="00E00A24"/>
    <w:rsid w:val="00E01915"/>
    <w:rsid w:val="00E01C43"/>
    <w:rsid w:val="00E01CD0"/>
    <w:rsid w:val="00E0214C"/>
    <w:rsid w:val="00E0233E"/>
    <w:rsid w:val="00E02898"/>
    <w:rsid w:val="00E034BD"/>
    <w:rsid w:val="00E0454E"/>
    <w:rsid w:val="00E04A6C"/>
    <w:rsid w:val="00E05283"/>
    <w:rsid w:val="00E063B0"/>
    <w:rsid w:val="00E0678D"/>
    <w:rsid w:val="00E10134"/>
    <w:rsid w:val="00E105F0"/>
    <w:rsid w:val="00E10F04"/>
    <w:rsid w:val="00E12CE5"/>
    <w:rsid w:val="00E145DF"/>
    <w:rsid w:val="00E14ADE"/>
    <w:rsid w:val="00E151C1"/>
    <w:rsid w:val="00E1582C"/>
    <w:rsid w:val="00E15ECF"/>
    <w:rsid w:val="00E16961"/>
    <w:rsid w:val="00E16AA7"/>
    <w:rsid w:val="00E20AFE"/>
    <w:rsid w:val="00E20D21"/>
    <w:rsid w:val="00E21551"/>
    <w:rsid w:val="00E215DB"/>
    <w:rsid w:val="00E21EE7"/>
    <w:rsid w:val="00E22A9F"/>
    <w:rsid w:val="00E22AEB"/>
    <w:rsid w:val="00E230F6"/>
    <w:rsid w:val="00E23198"/>
    <w:rsid w:val="00E2531A"/>
    <w:rsid w:val="00E2535A"/>
    <w:rsid w:val="00E254A5"/>
    <w:rsid w:val="00E2593C"/>
    <w:rsid w:val="00E2685C"/>
    <w:rsid w:val="00E26C70"/>
    <w:rsid w:val="00E271DC"/>
    <w:rsid w:val="00E3008F"/>
    <w:rsid w:val="00E30FBC"/>
    <w:rsid w:val="00E31318"/>
    <w:rsid w:val="00E31FDB"/>
    <w:rsid w:val="00E326EE"/>
    <w:rsid w:val="00E329AA"/>
    <w:rsid w:val="00E33794"/>
    <w:rsid w:val="00E34558"/>
    <w:rsid w:val="00E3461B"/>
    <w:rsid w:val="00E349F3"/>
    <w:rsid w:val="00E3521F"/>
    <w:rsid w:val="00E3523C"/>
    <w:rsid w:val="00E35998"/>
    <w:rsid w:val="00E35C33"/>
    <w:rsid w:val="00E36B03"/>
    <w:rsid w:val="00E37374"/>
    <w:rsid w:val="00E374E8"/>
    <w:rsid w:val="00E41E41"/>
    <w:rsid w:val="00E4207E"/>
    <w:rsid w:val="00E42607"/>
    <w:rsid w:val="00E427C0"/>
    <w:rsid w:val="00E42CB6"/>
    <w:rsid w:val="00E42F0C"/>
    <w:rsid w:val="00E43216"/>
    <w:rsid w:val="00E4387F"/>
    <w:rsid w:val="00E444DF"/>
    <w:rsid w:val="00E44842"/>
    <w:rsid w:val="00E47D90"/>
    <w:rsid w:val="00E47FB8"/>
    <w:rsid w:val="00E5037E"/>
    <w:rsid w:val="00E51EB8"/>
    <w:rsid w:val="00E52C2A"/>
    <w:rsid w:val="00E53219"/>
    <w:rsid w:val="00E53462"/>
    <w:rsid w:val="00E5359A"/>
    <w:rsid w:val="00E535BB"/>
    <w:rsid w:val="00E5511B"/>
    <w:rsid w:val="00E5557C"/>
    <w:rsid w:val="00E5576F"/>
    <w:rsid w:val="00E56726"/>
    <w:rsid w:val="00E56E1E"/>
    <w:rsid w:val="00E574D4"/>
    <w:rsid w:val="00E57A19"/>
    <w:rsid w:val="00E607DD"/>
    <w:rsid w:val="00E608A9"/>
    <w:rsid w:val="00E61005"/>
    <w:rsid w:val="00E613BF"/>
    <w:rsid w:val="00E615E5"/>
    <w:rsid w:val="00E620DA"/>
    <w:rsid w:val="00E62AB4"/>
    <w:rsid w:val="00E62DA2"/>
    <w:rsid w:val="00E6455F"/>
    <w:rsid w:val="00E64E5C"/>
    <w:rsid w:val="00E64F48"/>
    <w:rsid w:val="00E64FC7"/>
    <w:rsid w:val="00E65060"/>
    <w:rsid w:val="00E65BB1"/>
    <w:rsid w:val="00E665C1"/>
    <w:rsid w:val="00E70267"/>
    <w:rsid w:val="00E716A6"/>
    <w:rsid w:val="00E716D7"/>
    <w:rsid w:val="00E71A5E"/>
    <w:rsid w:val="00E71CDD"/>
    <w:rsid w:val="00E71E76"/>
    <w:rsid w:val="00E721F2"/>
    <w:rsid w:val="00E725EC"/>
    <w:rsid w:val="00E73667"/>
    <w:rsid w:val="00E73700"/>
    <w:rsid w:val="00E739EB"/>
    <w:rsid w:val="00E75E47"/>
    <w:rsid w:val="00E763D9"/>
    <w:rsid w:val="00E764E8"/>
    <w:rsid w:val="00E76F7A"/>
    <w:rsid w:val="00E77749"/>
    <w:rsid w:val="00E809EF"/>
    <w:rsid w:val="00E80A7D"/>
    <w:rsid w:val="00E81179"/>
    <w:rsid w:val="00E8137A"/>
    <w:rsid w:val="00E81434"/>
    <w:rsid w:val="00E82E6D"/>
    <w:rsid w:val="00E8399F"/>
    <w:rsid w:val="00E83B66"/>
    <w:rsid w:val="00E83C01"/>
    <w:rsid w:val="00E842DF"/>
    <w:rsid w:val="00E845BE"/>
    <w:rsid w:val="00E85247"/>
    <w:rsid w:val="00E85924"/>
    <w:rsid w:val="00E8627A"/>
    <w:rsid w:val="00E878A8"/>
    <w:rsid w:val="00E87FE7"/>
    <w:rsid w:val="00E9043A"/>
    <w:rsid w:val="00E90633"/>
    <w:rsid w:val="00E90A7E"/>
    <w:rsid w:val="00E90FB7"/>
    <w:rsid w:val="00E91AE3"/>
    <w:rsid w:val="00E9313E"/>
    <w:rsid w:val="00E9352D"/>
    <w:rsid w:val="00E9376B"/>
    <w:rsid w:val="00E93B2D"/>
    <w:rsid w:val="00E94ABC"/>
    <w:rsid w:val="00E94B12"/>
    <w:rsid w:val="00E94C12"/>
    <w:rsid w:val="00E95253"/>
    <w:rsid w:val="00E9580F"/>
    <w:rsid w:val="00E965C4"/>
    <w:rsid w:val="00E96DE3"/>
    <w:rsid w:val="00E9778B"/>
    <w:rsid w:val="00EA0078"/>
    <w:rsid w:val="00EA07ED"/>
    <w:rsid w:val="00EA0EB1"/>
    <w:rsid w:val="00EA128E"/>
    <w:rsid w:val="00EA1324"/>
    <w:rsid w:val="00EA15A0"/>
    <w:rsid w:val="00EA18A1"/>
    <w:rsid w:val="00EA2E9A"/>
    <w:rsid w:val="00EA313A"/>
    <w:rsid w:val="00EA3529"/>
    <w:rsid w:val="00EA38A1"/>
    <w:rsid w:val="00EA5807"/>
    <w:rsid w:val="00EA5E14"/>
    <w:rsid w:val="00EA64DF"/>
    <w:rsid w:val="00EA668B"/>
    <w:rsid w:val="00EA6690"/>
    <w:rsid w:val="00EA7359"/>
    <w:rsid w:val="00EA7366"/>
    <w:rsid w:val="00EB254A"/>
    <w:rsid w:val="00EB28F0"/>
    <w:rsid w:val="00EB2BE4"/>
    <w:rsid w:val="00EB3527"/>
    <w:rsid w:val="00EB37EB"/>
    <w:rsid w:val="00EB49A7"/>
    <w:rsid w:val="00EB4E13"/>
    <w:rsid w:val="00EB5B7E"/>
    <w:rsid w:val="00EB60CF"/>
    <w:rsid w:val="00EB653B"/>
    <w:rsid w:val="00EB6DBB"/>
    <w:rsid w:val="00EB6E81"/>
    <w:rsid w:val="00EB72CB"/>
    <w:rsid w:val="00EC0506"/>
    <w:rsid w:val="00EC0DCE"/>
    <w:rsid w:val="00EC0F17"/>
    <w:rsid w:val="00EC1467"/>
    <w:rsid w:val="00EC1527"/>
    <w:rsid w:val="00EC1914"/>
    <w:rsid w:val="00EC2200"/>
    <w:rsid w:val="00EC2278"/>
    <w:rsid w:val="00EC2A16"/>
    <w:rsid w:val="00EC2CF9"/>
    <w:rsid w:val="00EC38EA"/>
    <w:rsid w:val="00EC4483"/>
    <w:rsid w:val="00EC4748"/>
    <w:rsid w:val="00EC5166"/>
    <w:rsid w:val="00EC60ED"/>
    <w:rsid w:val="00EC64B4"/>
    <w:rsid w:val="00EC6984"/>
    <w:rsid w:val="00EC6B17"/>
    <w:rsid w:val="00EC6EBF"/>
    <w:rsid w:val="00EC7498"/>
    <w:rsid w:val="00ED0B1D"/>
    <w:rsid w:val="00ED1F78"/>
    <w:rsid w:val="00ED22B9"/>
    <w:rsid w:val="00ED230B"/>
    <w:rsid w:val="00ED24C5"/>
    <w:rsid w:val="00ED26E7"/>
    <w:rsid w:val="00ED37F0"/>
    <w:rsid w:val="00ED3983"/>
    <w:rsid w:val="00ED3D56"/>
    <w:rsid w:val="00ED4066"/>
    <w:rsid w:val="00ED4275"/>
    <w:rsid w:val="00ED429F"/>
    <w:rsid w:val="00ED4B27"/>
    <w:rsid w:val="00ED4F87"/>
    <w:rsid w:val="00ED515E"/>
    <w:rsid w:val="00ED519D"/>
    <w:rsid w:val="00ED6015"/>
    <w:rsid w:val="00ED74F4"/>
    <w:rsid w:val="00ED7578"/>
    <w:rsid w:val="00EE034B"/>
    <w:rsid w:val="00EE15D9"/>
    <w:rsid w:val="00EE198C"/>
    <w:rsid w:val="00EE2AE6"/>
    <w:rsid w:val="00EE2E35"/>
    <w:rsid w:val="00EE3FB4"/>
    <w:rsid w:val="00EE43AB"/>
    <w:rsid w:val="00EE5687"/>
    <w:rsid w:val="00EE5911"/>
    <w:rsid w:val="00EE59E0"/>
    <w:rsid w:val="00EE5FFD"/>
    <w:rsid w:val="00EE63BB"/>
    <w:rsid w:val="00EE690C"/>
    <w:rsid w:val="00EE69FC"/>
    <w:rsid w:val="00EE6B5B"/>
    <w:rsid w:val="00EE70A1"/>
    <w:rsid w:val="00EF01BD"/>
    <w:rsid w:val="00EF0BE0"/>
    <w:rsid w:val="00EF19D0"/>
    <w:rsid w:val="00EF2784"/>
    <w:rsid w:val="00EF4617"/>
    <w:rsid w:val="00EF46AA"/>
    <w:rsid w:val="00EF4AA4"/>
    <w:rsid w:val="00EF57DF"/>
    <w:rsid w:val="00EF5E48"/>
    <w:rsid w:val="00EF6078"/>
    <w:rsid w:val="00EF724A"/>
    <w:rsid w:val="00EF7A46"/>
    <w:rsid w:val="00F0034E"/>
    <w:rsid w:val="00F00A87"/>
    <w:rsid w:val="00F00E25"/>
    <w:rsid w:val="00F01047"/>
    <w:rsid w:val="00F01088"/>
    <w:rsid w:val="00F017FE"/>
    <w:rsid w:val="00F01CFE"/>
    <w:rsid w:val="00F01E03"/>
    <w:rsid w:val="00F0241E"/>
    <w:rsid w:val="00F02E11"/>
    <w:rsid w:val="00F02FEE"/>
    <w:rsid w:val="00F0352E"/>
    <w:rsid w:val="00F04641"/>
    <w:rsid w:val="00F048C9"/>
    <w:rsid w:val="00F04EA1"/>
    <w:rsid w:val="00F0629E"/>
    <w:rsid w:val="00F06A42"/>
    <w:rsid w:val="00F06BF0"/>
    <w:rsid w:val="00F07074"/>
    <w:rsid w:val="00F11611"/>
    <w:rsid w:val="00F117C3"/>
    <w:rsid w:val="00F11962"/>
    <w:rsid w:val="00F121B8"/>
    <w:rsid w:val="00F12A67"/>
    <w:rsid w:val="00F12D02"/>
    <w:rsid w:val="00F13449"/>
    <w:rsid w:val="00F13584"/>
    <w:rsid w:val="00F136AF"/>
    <w:rsid w:val="00F13C68"/>
    <w:rsid w:val="00F13F1B"/>
    <w:rsid w:val="00F14C8F"/>
    <w:rsid w:val="00F15352"/>
    <w:rsid w:val="00F1557B"/>
    <w:rsid w:val="00F15584"/>
    <w:rsid w:val="00F155D5"/>
    <w:rsid w:val="00F157E0"/>
    <w:rsid w:val="00F15AB6"/>
    <w:rsid w:val="00F15BC1"/>
    <w:rsid w:val="00F15E0D"/>
    <w:rsid w:val="00F16981"/>
    <w:rsid w:val="00F1763A"/>
    <w:rsid w:val="00F17A2C"/>
    <w:rsid w:val="00F17D7F"/>
    <w:rsid w:val="00F20731"/>
    <w:rsid w:val="00F20982"/>
    <w:rsid w:val="00F20FC1"/>
    <w:rsid w:val="00F21FB8"/>
    <w:rsid w:val="00F221EE"/>
    <w:rsid w:val="00F22C89"/>
    <w:rsid w:val="00F24C45"/>
    <w:rsid w:val="00F252B0"/>
    <w:rsid w:val="00F25792"/>
    <w:rsid w:val="00F27883"/>
    <w:rsid w:val="00F27D43"/>
    <w:rsid w:val="00F30A6E"/>
    <w:rsid w:val="00F30D84"/>
    <w:rsid w:val="00F30E4C"/>
    <w:rsid w:val="00F3138A"/>
    <w:rsid w:val="00F31CE5"/>
    <w:rsid w:val="00F31D6E"/>
    <w:rsid w:val="00F32163"/>
    <w:rsid w:val="00F32218"/>
    <w:rsid w:val="00F322EE"/>
    <w:rsid w:val="00F3269F"/>
    <w:rsid w:val="00F32E07"/>
    <w:rsid w:val="00F33F64"/>
    <w:rsid w:val="00F341A4"/>
    <w:rsid w:val="00F34A7B"/>
    <w:rsid w:val="00F354AD"/>
    <w:rsid w:val="00F35593"/>
    <w:rsid w:val="00F36A66"/>
    <w:rsid w:val="00F36C39"/>
    <w:rsid w:val="00F37A5C"/>
    <w:rsid w:val="00F37BE9"/>
    <w:rsid w:val="00F401ED"/>
    <w:rsid w:val="00F40472"/>
    <w:rsid w:val="00F40D38"/>
    <w:rsid w:val="00F415F3"/>
    <w:rsid w:val="00F41DEA"/>
    <w:rsid w:val="00F4271C"/>
    <w:rsid w:val="00F42881"/>
    <w:rsid w:val="00F42BF5"/>
    <w:rsid w:val="00F42FAC"/>
    <w:rsid w:val="00F43829"/>
    <w:rsid w:val="00F43A14"/>
    <w:rsid w:val="00F43BD2"/>
    <w:rsid w:val="00F44075"/>
    <w:rsid w:val="00F4510A"/>
    <w:rsid w:val="00F46F31"/>
    <w:rsid w:val="00F47498"/>
    <w:rsid w:val="00F501CE"/>
    <w:rsid w:val="00F511C2"/>
    <w:rsid w:val="00F51959"/>
    <w:rsid w:val="00F519B4"/>
    <w:rsid w:val="00F51A04"/>
    <w:rsid w:val="00F52B13"/>
    <w:rsid w:val="00F52CBE"/>
    <w:rsid w:val="00F53A8F"/>
    <w:rsid w:val="00F551E6"/>
    <w:rsid w:val="00F5545D"/>
    <w:rsid w:val="00F55A04"/>
    <w:rsid w:val="00F5600E"/>
    <w:rsid w:val="00F56A95"/>
    <w:rsid w:val="00F56DEC"/>
    <w:rsid w:val="00F56EF3"/>
    <w:rsid w:val="00F5725C"/>
    <w:rsid w:val="00F6065C"/>
    <w:rsid w:val="00F606C2"/>
    <w:rsid w:val="00F611AF"/>
    <w:rsid w:val="00F61BD4"/>
    <w:rsid w:val="00F61ECF"/>
    <w:rsid w:val="00F63CCC"/>
    <w:rsid w:val="00F6444F"/>
    <w:rsid w:val="00F66279"/>
    <w:rsid w:val="00F662F7"/>
    <w:rsid w:val="00F66381"/>
    <w:rsid w:val="00F66A5C"/>
    <w:rsid w:val="00F67EE2"/>
    <w:rsid w:val="00F67F42"/>
    <w:rsid w:val="00F70DED"/>
    <w:rsid w:val="00F734D0"/>
    <w:rsid w:val="00F73A7C"/>
    <w:rsid w:val="00F73B76"/>
    <w:rsid w:val="00F73CA6"/>
    <w:rsid w:val="00F740BE"/>
    <w:rsid w:val="00F74556"/>
    <w:rsid w:val="00F74FB3"/>
    <w:rsid w:val="00F7603E"/>
    <w:rsid w:val="00F76CC1"/>
    <w:rsid w:val="00F7734F"/>
    <w:rsid w:val="00F801BB"/>
    <w:rsid w:val="00F80268"/>
    <w:rsid w:val="00F80AEF"/>
    <w:rsid w:val="00F80FE3"/>
    <w:rsid w:val="00F81A50"/>
    <w:rsid w:val="00F81BA6"/>
    <w:rsid w:val="00F81BAE"/>
    <w:rsid w:val="00F81C9D"/>
    <w:rsid w:val="00F82B1F"/>
    <w:rsid w:val="00F82F3C"/>
    <w:rsid w:val="00F835B7"/>
    <w:rsid w:val="00F83E64"/>
    <w:rsid w:val="00F85B04"/>
    <w:rsid w:val="00F8681F"/>
    <w:rsid w:val="00F8701A"/>
    <w:rsid w:val="00F90993"/>
    <w:rsid w:val="00F90F8B"/>
    <w:rsid w:val="00F91585"/>
    <w:rsid w:val="00F91D5A"/>
    <w:rsid w:val="00F92665"/>
    <w:rsid w:val="00F94285"/>
    <w:rsid w:val="00F947BD"/>
    <w:rsid w:val="00F94DBB"/>
    <w:rsid w:val="00F94F47"/>
    <w:rsid w:val="00F96BDA"/>
    <w:rsid w:val="00F96FAA"/>
    <w:rsid w:val="00F9707A"/>
    <w:rsid w:val="00F97F42"/>
    <w:rsid w:val="00FA0597"/>
    <w:rsid w:val="00FA06C6"/>
    <w:rsid w:val="00FA1E5C"/>
    <w:rsid w:val="00FA264D"/>
    <w:rsid w:val="00FA3117"/>
    <w:rsid w:val="00FA41E4"/>
    <w:rsid w:val="00FA4510"/>
    <w:rsid w:val="00FA4957"/>
    <w:rsid w:val="00FA57A9"/>
    <w:rsid w:val="00FA5BE0"/>
    <w:rsid w:val="00FA5CCE"/>
    <w:rsid w:val="00FA65AE"/>
    <w:rsid w:val="00FA6DA6"/>
    <w:rsid w:val="00FA70A3"/>
    <w:rsid w:val="00FB0998"/>
    <w:rsid w:val="00FB177D"/>
    <w:rsid w:val="00FB21D1"/>
    <w:rsid w:val="00FB3A28"/>
    <w:rsid w:val="00FB3E21"/>
    <w:rsid w:val="00FB46E1"/>
    <w:rsid w:val="00FB54CA"/>
    <w:rsid w:val="00FB5723"/>
    <w:rsid w:val="00FB57CC"/>
    <w:rsid w:val="00FB5EF3"/>
    <w:rsid w:val="00FB604E"/>
    <w:rsid w:val="00FB634D"/>
    <w:rsid w:val="00FB77C3"/>
    <w:rsid w:val="00FB7DE0"/>
    <w:rsid w:val="00FC0A8F"/>
    <w:rsid w:val="00FC1671"/>
    <w:rsid w:val="00FC2670"/>
    <w:rsid w:val="00FC27CB"/>
    <w:rsid w:val="00FC3387"/>
    <w:rsid w:val="00FC355E"/>
    <w:rsid w:val="00FC39FD"/>
    <w:rsid w:val="00FC4126"/>
    <w:rsid w:val="00FC46A6"/>
    <w:rsid w:val="00FC48B6"/>
    <w:rsid w:val="00FC5005"/>
    <w:rsid w:val="00FC500F"/>
    <w:rsid w:val="00FC5B8B"/>
    <w:rsid w:val="00FC5FE0"/>
    <w:rsid w:val="00FC635D"/>
    <w:rsid w:val="00FC6A1A"/>
    <w:rsid w:val="00FC7A69"/>
    <w:rsid w:val="00FC7E7C"/>
    <w:rsid w:val="00FD0C41"/>
    <w:rsid w:val="00FD148B"/>
    <w:rsid w:val="00FD170D"/>
    <w:rsid w:val="00FD1756"/>
    <w:rsid w:val="00FD2AF1"/>
    <w:rsid w:val="00FD30D7"/>
    <w:rsid w:val="00FD31A5"/>
    <w:rsid w:val="00FD3996"/>
    <w:rsid w:val="00FD3A3C"/>
    <w:rsid w:val="00FD3E1C"/>
    <w:rsid w:val="00FD425F"/>
    <w:rsid w:val="00FD439D"/>
    <w:rsid w:val="00FD475B"/>
    <w:rsid w:val="00FD4B79"/>
    <w:rsid w:val="00FD5D2B"/>
    <w:rsid w:val="00FD5F3B"/>
    <w:rsid w:val="00FD6C4D"/>
    <w:rsid w:val="00FD6EAA"/>
    <w:rsid w:val="00FD7D0F"/>
    <w:rsid w:val="00FE0161"/>
    <w:rsid w:val="00FE109F"/>
    <w:rsid w:val="00FE1B83"/>
    <w:rsid w:val="00FE1E6D"/>
    <w:rsid w:val="00FE235D"/>
    <w:rsid w:val="00FE4133"/>
    <w:rsid w:val="00FE4745"/>
    <w:rsid w:val="00FE5758"/>
    <w:rsid w:val="00FE57EE"/>
    <w:rsid w:val="00FE6569"/>
    <w:rsid w:val="00FE69CE"/>
    <w:rsid w:val="00FE6A18"/>
    <w:rsid w:val="00FE6C00"/>
    <w:rsid w:val="00FE7279"/>
    <w:rsid w:val="00FF07FA"/>
    <w:rsid w:val="00FF0946"/>
    <w:rsid w:val="00FF10B2"/>
    <w:rsid w:val="00FF1687"/>
    <w:rsid w:val="00FF1FD4"/>
    <w:rsid w:val="00FF21BF"/>
    <w:rsid w:val="00FF234D"/>
    <w:rsid w:val="00FF3E7D"/>
    <w:rsid w:val="00FF425E"/>
    <w:rsid w:val="00FF52D6"/>
    <w:rsid w:val="00FF5F08"/>
    <w:rsid w:val="00FF631F"/>
    <w:rsid w:val="00FF6531"/>
    <w:rsid w:val="00FF6718"/>
    <w:rsid w:val="00FF6C6D"/>
    <w:rsid w:val="00FF71EE"/>
    <w:rsid w:val="00FF751A"/>
    <w:rsid w:val="12AE4DDD"/>
    <w:rsid w:val="1AF4918D"/>
    <w:rsid w:val="20532F7E"/>
    <w:rsid w:val="2C17821D"/>
    <w:rsid w:val="3F1EB211"/>
    <w:rsid w:val="4558EAEE"/>
    <w:rsid w:val="573A1436"/>
    <w:rsid w:val="5EB2F338"/>
    <w:rsid w:val="60F1669D"/>
    <w:rsid w:val="7B4F7EFE"/>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5236"/>
  <w15:chartTrackingRefBased/>
  <w15:docId w15:val="{587D39AB-80A1-4172-A592-6B1EF7F8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8C"/>
    <w:rPr>
      <w:lang w:val="es-ES"/>
    </w:rPr>
  </w:style>
  <w:style w:type="paragraph" w:styleId="Ttulo1">
    <w:name w:val="heading 1"/>
    <w:basedOn w:val="Normal"/>
    <w:next w:val="Normal"/>
    <w:link w:val="Ttulo1Car"/>
    <w:uiPriority w:val="9"/>
    <w:qFormat/>
    <w:rsid w:val="00394DBE"/>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4A22"/>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451EE"/>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2278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304A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304A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B304A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304A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304A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731"/>
    <w:rPr>
      <w:lang w:val="es-ES"/>
    </w:rPr>
  </w:style>
  <w:style w:type="paragraph" w:styleId="Piedepgina">
    <w:name w:val="footer"/>
    <w:basedOn w:val="Normal"/>
    <w:link w:val="PiedepginaCar"/>
    <w:uiPriority w:val="99"/>
    <w:unhideWhenUsed/>
    <w:rsid w:val="002B6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731"/>
    <w:rPr>
      <w:lang w:val="es-ES"/>
    </w:rPr>
  </w:style>
  <w:style w:type="character" w:styleId="Hipervnculo">
    <w:name w:val="Hyperlink"/>
    <w:basedOn w:val="Fuentedeprrafopredeter"/>
    <w:uiPriority w:val="99"/>
    <w:rsid w:val="002B6731"/>
    <w:rPr>
      <w:color w:val="0000FF"/>
      <w:u w:val="single"/>
    </w:rPr>
  </w:style>
  <w:style w:type="paragraph" w:customStyle="1" w:styleId="paragraph">
    <w:name w:val="paragraph"/>
    <w:basedOn w:val="Normal"/>
    <w:rsid w:val="002B6731"/>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2B6731"/>
  </w:style>
  <w:style w:type="character" w:customStyle="1" w:styleId="eop">
    <w:name w:val="eop"/>
    <w:basedOn w:val="Fuentedeprrafopredeter"/>
    <w:rsid w:val="002B6731"/>
  </w:style>
  <w:style w:type="character" w:customStyle="1" w:styleId="Ttulo1Car">
    <w:name w:val="Título 1 Car"/>
    <w:basedOn w:val="Fuentedeprrafopredeter"/>
    <w:link w:val="Ttulo1"/>
    <w:uiPriority w:val="9"/>
    <w:rsid w:val="00394DBE"/>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F27883"/>
    <w:pPr>
      <w:spacing w:line="259" w:lineRule="auto"/>
      <w:outlineLvl w:val="9"/>
    </w:pPr>
    <w:rPr>
      <w:lang w:val="es-CR" w:eastAsia="es-CR"/>
    </w:rPr>
  </w:style>
  <w:style w:type="paragraph" w:styleId="TDC2">
    <w:name w:val="toc 2"/>
    <w:basedOn w:val="Normal"/>
    <w:next w:val="Normal"/>
    <w:autoRedefine/>
    <w:uiPriority w:val="39"/>
    <w:unhideWhenUsed/>
    <w:rsid w:val="00F27883"/>
    <w:pPr>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F27883"/>
    <w:pPr>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F27883"/>
    <w:pPr>
      <w:spacing w:after="100" w:line="259" w:lineRule="auto"/>
      <w:ind w:left="440"/>
    </w:pPr>
    <w:rPr>
      <w:rFonts w:eastAsiaTheme="minorEastAsia" w:cs="Times New Roman"/>
      <w:lang w:val="es-CR" w:eastAsia="es-CR"/>
    </w:rPr>
  </w:style>
  <w:style w:type="paragraph" w:styleId="Textonotapie">
    <w:name w:val="footnote text"/>
    <w:basedOn w:val="Normal"/>
    <w:link w:val="TextonotapieCar"/>
    <w:uiPriority w:val="99"/>
    <w:semiHidden/>
    <w:unhideWhenUsed/>
    <w:rsid w:val="00700711"/>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00711"/>
    <w:rPr>
      <w:rFonts w:ascii="Calibri" w:eastAsia="Calibri" w:hAnsi="Calibri" w:cs="Times New Roman"/>
      <w:sz w:val="20"/>
      <w:szCs w:val="20"/>
      <w:lang w:val="es-ES"/>
    </w:rPr>
  </w:style>
  <w:style w:type="character" w:styleId="Refdenotaalpie">
    <w:name w:val="footnote reference"/>
    <w:uiPriority w:val="99"/>
    <w:semiHidden/>
    <w:unhideWhenUsed/>
    <w:rsid w:val="00700711"/>
    <w:rPr>
      <w:vertAlign w:val="superscript"/>
    </w:rPr>
  </w:style>
  <w:style w:type="table" w:styleId="Tablaconcuadrcula4-nfasis1">
    <w:name w:val="Grid Table 4 Accent 1"/>
    <w:basedOn w:val="Tablanormal"/>
    <w:uiPriority w:val="49"/>
    <w:rsid w:val="0070071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2Car">
    <w:name w:val="Título 2 Car"/>
    <w:basedOn w:val="Fuentedeprrafopredeter"/>
    <w:link w:val="Ttulo2"/>
    <w:uiPriority w:val="9"/>
    <w:rsid w:val="009C4A22"/>
    <w:rPr>
      <w:rFonts w:asciiTheme="majorHAnsi" w:eastAsiaTheme="majorEastAsia" w:hAnsiTheme="majorHAnsi" w:cstheme="majorBidi"/>
      <w:color w:val="365F91" w:themeColor="accent1" w:themeShade="BF"/>
      <w:sz w:val="26"/>
      <w:szCs w:val="26"/>
      <w:lang w:val="es-ES"/>
    </w:rPr>
  </w:style>
  <w:style w:type="paragraph" w:styleId="Prrafodelista">
    <w:name w:val="List Paragraph"/>
    <w:aliases w:val="Informe"/>
    <w:basedOn w:val="Normal"/>
    <w:link w:val="PrrafodelistaCar"/>
    <w:uiPriority w:val="34"/>
    <w:qFormat/>
    <w:rsid w:val="00405190"/>
    <w:pPr>
      <w:ind w:left="720"/>
      <w:contextualSpacing/>
    </w:pPr>
  </w:style>
  <w:style w:type="paragraph" w:styleId="Descripcin">
    <w:name w:val="caption"/>
    <w:basedOn w:val="Normal"/>
    <w:next w:val="Normal"/>
    <w:uiPriority w:val="35"/>
    <w:unhideWhenUsed/>
    <w:qFormat/>
    <w:rsid w:val="00F96FAA"/>
    <w:pPr>
      <w:spacing w:line="240" w:lineRule="auto"/>
    </w:pPr>
    <w:rPr>
      <w:i/>
      <w:iCs/>
      <w:color w:val="1F497D" w:themeColor="text2"/>
      <w:sz w:val="18"/>
      <w:szCs w:val="18"/>
    </w:rPr>
  </w:style>
  <w:style w:type="table" w:styleId="Tablanormal1">
    <w:name w:val="Plain Table 1"/>
    <w:basedOn w:val="Tablanormal"/>
    <w:uiPriority w:val="41"/>
    <w:rsid w:val="00560B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31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447"/>
    <w:rPr>
      <w:rFonts w:ascii="Segoe UI" w:hAnsi="Segoe UI" w:cs="Segoe UI"/>
      <w:sz w:val="18"/>
      <w:szCs w:val="18"/>
      <w:lang w:val="es-ES"/>
    </w:rPr>
  </w:style>
  <w:style w:type="table" w:styleId="Tablaconcuadrcula4-nfasis5">
    <w:name w:val="Grid Table 4 Accent 5"/>
    <w:basedOn w:val="Tablanormal"/>
    <w:uiPriority w:val="49"/>
    <w:rsid w:val="00585CF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59"/>
    <w:rsid w:val="00021969"/>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021969"/>
    <w:rPr>
      <w:lang w:val="es-ES"/>
    </w:rPr>
  </w:style>
  <w:style w:type="character" w:customStyle="1" w:styleId="normaltextrun">
    <w:name w:val="normaltextrun"/>
    <w:basedOn w:val="Fuentedeprrafopredeter"/>
    <w:rsid w:val="00021969"/>
  </w:style>
  <w:style w:type="character" w:customStyle="1" w:styleId="Ttulo3Car">
    <w:name w:val="Título 3 Car"/>
    <w:basedOn w:val="Fuentedeprrafopredeter"/>
    <w:link w:val="Ttulo3"/>
    <w:uiPriority w:val="9"/>
    <w:rsid w:val="00A451EE"/>
    <w:rPr>
      <w:rFonts w:asciiTheme="majorHAnsi" w:eastAsiaTheme="majorEastAsia" w:hAnsiTheme="majorHAnsi" w:cstheme="majorBidi"/>
      <w:color w:val="243F60" w:themeColor="accent1" w:themeShade="7F"/>
      <w:sz w:val="24"/>
      <w:szCs w:val="24"/>
      <w:lang w:val="es-ES"/>
    </w:rPr>
  </w:style>
  <w:style w:type="paragraph" w:styleId="Textocomentario">
    <w:name w:val="annotation text"/>
    <w:basedOn w:val="Normal"/>
    <w:link w:val="TextocomentarioCar"/>
    <w:uiPriority w:val="99"/>
    <w:semiHidden/>
    <w:unhideWhenUsed/>
    <w:rsid w:val="00571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52B"/>
    <w:rPr>
      <w:sz w:val="20"/>
      <w:szCs w:val="20"/>
      <w:lang w:val="es-ES"/>
    </w:rPr>
  </w:style>
  <w:style w:type="character" w:styleId="Refdecomentario">
    <w:name w:val="annotation reference"/>
    <w:basedOn w:val="Fuentedeprrafopredeter"/>
    <w:uiPriority w:val="99"/>
    <w:semiHidden/>
    <w:unhideWhenUsed/>
    <w:rsid w:val="0057152B"/>
    <w:rPr>
      <w:sz w:val="16"/>
      <w:szCs w:val="16"/>
    </w:rPr>
  </w:style>
  <w:style w:type="character" w:customStyle="1" w:styleId="hps">
    <w:name w:val="hps"/>
    <w:basedOn w:val="Fuentedeprrafopredeter"/>
    <w:rsid w:val="008C0B7D"/>
  </w:style>
  <w:style w:type="table" w:styleId="Tablaconcuadrcula5oscura-nfasis1">
    <w:name w:val="Grid Table 5 Dark Accent 1"/>
    <w:basedOn w:val="Tablanormal"/>
    <w:uiPriority w:val="50"/>
    <w:rsid w:val="001D5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E26C7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tulo4Car">
    <w:name w:val="Título 4 Car"/>
    <w:basedOn w:val="Fuentedeprrafopredeter"/>
    <w:link w:val="Ttulo4"/>
    <w:uiPriority w:val="9"/>
    <w:rsid w:val="00622780"/>
    <w:rPr>
      <w:rFonts w:asciiTheme="majorHAnsi" w:eastAsiaTheme="majorEastAsia" w:hAnsiTheme="majorHAnsi" w:cstheme="majorBidi"/>
      <w:i/>
      <w:iCs/>
      <w:color w:val="365F91" w:themeColor="accent1" w:themeShade="BF"/>
      <w:lang w:val="es-ES"/>
    </w:rPr>
  </w:style>
  <w:style w:type="character" w:styleId="Hipervnculovisitado">
    <w:name w:val="FollowedHyperlink"/>
    <w:basedOn w:val="Fuentedeprrafopredeter"/>
    <w:uiPriority w:val="99"/>
    <w:semiHidden/>
    <w:unhideWhenUsed/>
    <w:rsid w:val="007E2AA4"/>
    <w:rPr>
      <w:color w:val="954F72"/>
      <w:u w:val="single"/>
    </w:rPr>
  </w:style>
  <w:style w:type="paragraph" w:customStyle="1" w:styleId="msonormal0">
    <w:name w:val="msonormal"/>
    <w:basedOn w:val="Normal"/>
    <w:rsid w:val="007E2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xl64">
    <w:name w:val="xl64"/>
    <w:basedOn w:val="Normal"/>
    <w:rsid w:val="007E2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5">
    <w:name w:val="xl65"/>
    <w:basedOn w:val="Normal"/>
    <w:rsid w:val="007E2AA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6">
    <w:name w:val="xl66"/>
    <w:basedOn w:val="Normal"/>
    <w:rsid w:val="007E2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7">
    <w:name w:val="xl67"/>
    <w:basedOn w:val="Normal"/>
    <w:rsid w:val="007E2AA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8">
    <w:name w:val="xl68"/>
    <w:basedOn w:val="Normal"/>
    <w:rsid w:val="007E2AA4"/>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9">
    <w:name w:val="xl69"/>
    <w:basedOn w:val="Normal"/>
    <w:rsid w:val="007E2AA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0">
    <w:name w:val="xl70"/>
    <w:basedOn w:val="Normal"/>
    <w:rsid w:val="007E2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1">
    <w:name w:val="xl71"/>
    <w:basedOn w:val="Normal"/>
    <w:rsid w:val="007E2AA4"/>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2">
    <w:name w:val="xl72"/>
    <w:basedOn w:val="Normal"/>
    <w:rsid w:val="007E2A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3">
    <w:name w:val="xl73"/>
    <w:basedOn w:val="Normal"/>
    <w:rsid w:val="007E2AA4"/>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4">
    <w:name w:val="xl74"/>
    <w:basedOn w:val="Normal"/>
    <w:rsid w:val="007E2A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5">
    <w:name w:val="xl75"/>
    <w:basedOn w:val="Normal"/>
    <w:rsid w:val="007E2AA4"/>
    <w:pPr>
      <w:pBdr>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6">
    <w:name w:val="xl76"/>
    <w:basedOn w:val="Normal"/>
    <w:rsid w:val="007E2AA4"/>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7">
    <w:name w:val="xl77"/>
    <w:basedOn w:val="Normal"/>
    <w:rsid w:val="007E2AA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8">
    <w:name w:val="xl78"/>
    <w:basedOn w:val="Normal"/>
    <w:rsid w:val="007E2AA4"/>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9">
    <w:name w:val="xl79"/>
    <w:basedOn w:val="Normal"/>
    <w:rsid w:val="007E2A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0">
    <w:name w:val="xl80"/>
    <w:basedOn w:val="Normal"/>
    <w:rsid w:val="007E2A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1">
    <w:name w:val="xl81"/>
    <w:basedOn w:val="Normal"/>
    <w:rsid w:val="007E2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2">
    <w:name w:val="xl82"/>
    <w:basedOn w:val="Normal"/>
    <w:rsid w:val="007E2A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3">
    <w:name w:val="xl83"/>
    <w:basedOn w:val="Normal"/>
    <w:rsid w:val="007E2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4">
    <w:name w:val="xl84"/>
    <w:basedOn w:val="Normal"/>
    <w:rsid w:val="007E2AA4"/>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5">
    <w:name w:val="xl85"/>
    <w:basedOn w:val="Normal"/>
    <w:rsid w:val="007E2AA4"/>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6">
    <w:name w:val="xl86"/>
    <w:basedOn w:val="Normal"/>
    <w:rsid w:val="007E2AA4"/>
    <w:pPr>
      <w:pBdr>
        <w:top w:val="single" w:sz="4"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7">
    <w:name w:val="xl87"/>
    <w:basedOn w:val="Normal"/>
    <w:rsid w:val="007E2AA4"/>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8">
    <w:name w:val="xl88"/>
    <w:basedOn w:val="Normal"/>
    <w:rsid w:val="007E2A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9">
    <w:name w:val="xl89"/>
    <w:basedOn w:val="Normal"/>
    <w:rsid w:val="007E2AA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0">
    <w:name w:val="xl90"/>
    <w:basedOn w:val="Normal"/>
    <w:rsid w:val="007E2AA4"/>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1">
    <w:name w:val="xl91"/>
    <w:basedOn w:val="Normal"/>
    <w:rsid w:val="007E2AA4"/>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2">
    <w:name w:val="xl92"/>
    <w:basedOn w:val="Normal"/>
    <w:rsid w:val="007E2AA4"/>
    <w:pPr>
      <w:pBdr>
        <w:top w:val="single" w:sz="4" w:space="0" w:color="auto"/>
        <w:left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3">
    <w:name w:val="xl93"/>
    <w:basedOn w:val="Normal"/>
    <w:rsid w:val="007E2AA4"/>
    <w:pPr>
      <w:pBdr>
        <w:top w:val="single" w:sz="4" w:space="0" w:color="auto"/>
        <w:left w:val="single" w:sz="4"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4">
    <w:name w:val="xl94"/>
    <w:basedOn w:val="Normal"/>
    <w:rsid w:val="007E2AA4"/>
    <w:pPr>
      <w:pBdr>
        <w:left w:val="single" w:sz="8"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5">
    <w:name w:val="xl95"/>
    <w:basedOn w:val="Normal"/>
    <w:rsid w:val="007E2AA4"/>
    <w:pPr>
      <w:pBdr>
        <w:bottom w:val="single" w:sz="12"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6">
    <w:name w:val="xl96"/>
    <w:basedOn w:val="Normal"/>
    <w:rsid w:val="007E2AA4"/>
    <w:pPr>
      <w:pBdr>
        <w:bottom w:val="single" w:sz="12"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7">
    <w:name w:val="xl97"/>
    <w:basedOn w:val="Normal"/>
    <w:rsid w:val="007E2AA4"/>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8">
    <w:name w:val="xl98"/>
    <w:basedOn w:val="Normal"/>
    <w:rsid w:val="007E2AA4"/>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9">
    <w:name w:val="xl99"/>
    <w:basedOn w:val="Normal"/>
    <w:rsid w:val="007E2AA4"/>
    <w:pPr>
      <w:pBdr>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0">
    <w:name w:val="xl100"/>
    <w:basedOn w:val="Normal"/>
    <w:rsid w:val="007E2AA4"/>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1">
    <w:name w:val="xl101"/>
    <w:basedOn w:val="Normal"/>
    <w:rsid w:val="007E2AA4"/>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2">
    <w:name w:val="xl102"/>
    <w:basedOn w:val="Normal"/>
    <w:rsid w:val="007E2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3">
    <w:name w:val="xl103"/>
    <w:basedOn w:val="Normal"/>
    <w:rsid w:val="007E2AA4"/>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4">
    <w:name w:val="xl104"/>
    <w:basedOn w:val="Normal"/>
    <w:rsid w:val="007E2AA4"/>
    <w:pPr>
      <w:pBdr>
        <w:top w:val="single" w:sz="12" w:space="0" w:color="auto"/>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5">
    <w:name w:val="xl105"/>
    <w:basedOn w:val="Normal"/>
    <w:rsid w:val="007E2AA4"/>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6">
    <w:name w:val="xl106"/>
    <w:basedOn w:val="Normal"/>
    <w:rsid w:val="007E2AA4"/>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7">
    <w:name w:val="xl107"/>
    <w:basedOn w:val="Normal"/>
    <w:rsid w:val="007E2AA4"/>
    <w:pPr>
      <w:pBdr>
        <w:bottom w:val="single" w:sz="12"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8">
    <w:name w:val="xl108"/>
    <w:basedOn w:val="Normal"/>
    <w:rsid w:val="007E2AA4"/>
    <w:pPr>
      <w:pBdr>
        <w:bottom w:val="single" w:sz="12"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9">
    <w:name w:val="xl109"/>
    <w:basedOn w:val="Normal"/>
    <w:rsid w:val="007E2AA4"/>
    <w:pPr>
      <w:pBdr>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10">
    <w:name w:val="xl110"/>
    <w:basedOn w:val="Normal"/>
    <w:rsid w:val="007E2AA4"/>
    <w:pPr>
      <w:pBdr>
        <w:left w:val="single" w:sz="8" w:space="0" w:color="auto"/>
        <w:bottom w:val="single" w:sz="12"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1">
    <w:name w:val="xl111"/>
    <w:basedOn w:val="Normal"/>
    <w:rsid w:val="007E2AA4"/>
    <w:pPr>
      <w:pBdr>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2">
    <w:name w:val="xl112"/>
    <w:basedOn w:val="Normal"/>
    <w:rsid w:val="007E2AA4"/>
    <w:pPr>
      <w:pBdr>
        <w:top w:val="single" w:sz="12" w:space="0" w:color="auto"/>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3">
    <w:name w:val="xl113"/>
    <w:basedOn w:val="Normal"/>
    <w:rsid w:val="007E2AA4"/>
    <w:pPr>
      <w:pBdr>
        <w:left w:val="single" w:sz="8" w:space="0" w:color="auto"/>
        <w:bottom w:val="single" w:sz="12"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4">
    <w:name w:val="xl114"/>
    <w:basedOn w:val="Normal"/>
    <w:rsid w:val="007E2AA4"/>
    <w:pPr>
      <w:pBdr>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5">
    <w:name w:val="xl115"/>
    <w:basedOn w:val="Normal"/>
    <w:rsid w:val="007E2AA4"/>
    <w:pPr>
      <w:pBdr>
        <w:top w:val="single" w:sz="12" w:space="0" w:color="auto"/>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6">
    <w:name w:val="xl116"/>
    <w:basedOn w:val="Normal"/>
    <w:rsid w:val="007E2AA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7">
    <w:name w:val="xl117"/>
    <w:basedOn w:val="Normal"/>
    <w:rsid w:val="007E2AA4"/>
    <w:pPr>
      <w:pBdr>
        <w:top w:val="single" w:sz="12"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8">
    <w:name w:val="xl118"/>
    <w:basedOn w:val="Normal"/>
    <w:rsid w:val="007E2AA4"/>
    <w:pPr>
      <w:pBdr>
        <w:top w:val="single" w:sz="12"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9">
    <w:name w:val="xl119"/>
    <w:basedOn w:val="Normal"/>
    <w:rsid w:val="007E2AA4"/>
    <w:pPr>
      <w:pBdr>
        <w:top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0">
    <w:name w:val="xl120"/>
    <w:basedOn w:val="Normal"/>
    <w:rsid w:val="007E2AA4"/>
    <w:pPr>
      <w:pBdr>
        <w:top w:val="single" w:sz="12"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1">
    <w:name w:val="xl121"/>
    <w:basedOn w:val="Normal"/>
    <w:rsid w:val="007E2AA4"/>
    <w:pPr>
      <w:pBdr>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2">
    <w:name w:val="xl122"/>
    <w:basedOn w:val="Normal"/>
    <w:rsid w:val="007E2AA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3">
    <w:name w:val="xl123"/>
    <w:basedOn w:val="Normal"/>
    <w:rsid w:val="007E2AA4"/>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4">
    <w:name w:val="xl124"/>
    <w:basedOn w:val="Normal"/>
    <w:rsid w:val="007E2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s-CR" w:eastAsia="es-CR"/>
    </w:rPr>
  </w:style>
  <w:style w:type="paragraph" w:customStyle="1" w:styleId="Default">
    <w:name w:val="Default"/>
    <w:rsid w:val="0005363C"/>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 w:type="character" w:customStyle="1" w:styleId="Ttulo5Car">
    <w:name w:val="Título 5 Car"/>
    <w:basedOn w:val="Fuentedeprrafopredeter"/>
    <w:link w:val="Ttulo5"/>
    <w:uiPriority w:val="9"/>
    <w:rsid w:val="00B304A2"/>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rsid w:val="00B304A2"/>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rsid w:val="00B304A2"/>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semiHidden/>
    <w:rsid w:val="00B304A2"/>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B304A2"/>
    <w:rPr>
      <w:rFonts w:asciiTheme="majorHAnsi" w:eastAsiaTheme="majorEastAsia" w:hAnsiTheme="majorHAnsi" w:cstheme="majorBidi"/>
      <w:i/>
      <w:iCs/>
      <w:color w:val="272727" w:themeColor="text1" w:themeTint="D8"/>
      <w:sz w:val="21"/>
      <w:szCs w:val="21"/>
      <w:lang w:val="es-ES"/>
    </w:rPr>
  </w:style>
  <w:style w:type="paragraph" w:styleId="Asuntodelcomentario">
    <w:name w:val="annotation subject"/>
    <w:basedOn w:val="Textocomentario"/>
    <w:next w:val="Textocomentario"/>
    <w:link w:val="AsuntodelcomentarioCar"/>
    <w:uiPriority w:val="99"/>
    <w:semiHidden/>
    <w:unhideWhenUsed/>
    <w:rsid w:val="003B51B5"/>
    <w:rPr>
      <w:b/>
      <w:bCs/>
    </w:rPr>
  </w:style>
  <w:style w:type="character" w:customStyle="1" w:styleId="AsuntodelcomentarioCar">
    <w:name w:val="Asunto del comentario Car"/>
    <w:basedOn w:val="TextocomentarioCar"/>
    <w:link w:val="Asuntodelcomentario"/>
    <w:uiPriority w:val="99"/>
    <w:semiHidden/>
    <w:rsid w:val="003B51B5"/>
    <w:rPr>
      <w:b/>
      <w:bCs/>
      <w:sz w:val="20"/>
      <w:szCs w:val="20"/>
      <w:lang w:val="es-ES"/>
    </w:rPr>
  </w:style>
  <w:style w:type="character" w:styleId="Mencinsinresolver">
    <w:name w:val="Unresolved Mention"/>
    <w:basedOn w:val="Fuentedeprrafopredeter"/>
    <w:uiPriority w:val="99"/>
    <w:semiHidden/>
    <w:unhideWhenUsed/>
    <w:rsid w:val="00245551"/>
    <w:rPr>
      <w:color w:val="605E5C"/>
      <w:shd w:val="clear" w:color="auto" w:fill="E1DFDD"/>
    </w:rPr>
  </w:style>
  <w:style w:type="paragraph" w:styleId="Sinespaciado">
    <w:name w:val="No Spacing"/>
    <w:link w:val="SinespaciadoCar"/>
    <w:uiPriority w:val="1"/>
    <w:qFormat/>
    <w:rsid w:val="00400A8A"/>
    <w:pPr>
      <w:spacing w:after="0" w:line="240" w:lineRule="auto"/>
    </w:pPr>
    <w:rPr>
      <w:lang w:val="es-ES"/>
    </w:rPr>
  </w:style>
  <w:style w:type="character" w:styleId="nfasisintenso">
    <w:name w:val="Intense Emphasis"/>
    <w:basedOn w:val="Fuentedeprrafopredeter"/>
    <w:uiPriority w:val="21"/>
    <w:qFormat/>
    <w:rsid w:val="00F44075"/>
    <w:rPr>
      <w:i/>
      <w:iCs/>
      <w:color w:val="4F81BD" w:themeColor="accent1"/>
    </w:rPr>
  </w:style>
  <w:style w:type="paragraph" w:styleId="Ttulo">
    <w:name w:val="Title"/>
    <w:basedOn w:val="Normal"/>
    <w:next w:val="Normal"/>
    <w:link w:val="TtuloCar"/>
    <w:uiPriority w:val="10"/>
    <w:qFormat/>
    <w:rsid w:val="00281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107F"/>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28107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8107F"/>
    <w:rPr>
      <w:rFonts w:eastAsiaTheme="minorEastAsia"/>
      <w:color w:val="5A5A5A" w:themeColor="text1" w:themeTint="A5"/>
      <w:spacing w:val="15"/>
      <w:lang w:val="es-ES"/>
    </w:rPr>
  </w:style>
  <w:style w:type="character" w:customStyle="1" w:styleId="SinespaciadoCar">
    <w:name w:val="Sin espaciado Car"/>
    <w:basedOn w:val="Fuentedeprrafopredeter"/>
    <w:link w:val="Sinespaciado"/>
    <w:uiPriority w:val="1"/>
    <w:rsid w:val="00266E8D"/>
    <w:rPr>
      <w:lang w:val="es-ES"/>
    </w:rPr>
  </w:style>
  <w:style w:type="table" w:customStyle="1" w:styleId="Tablaconcuadrcula2">
    <w:name w:val="Tabla con cuadrícula2"/>
    <w:basedOn w:val="Tablanormal"/>
    <w:next w:val="Tablaconcuadrcula"/>
    <w:uiPriority w:val="59"/>
    <w:rsid w:val="0004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848">
      <w:bodyDiv w:val="1"/>
      <w:marLeft w:val="0"/>
      <w:marRight w:val="0"/>
      <w:marTop w:val="0"/>
      <w:marBottom w:val="0"/>
      <w:divBdr>
        <w:top w:val="none" w:sz="0" w:space="0" w:color="auto"/>
        <w:left w:val="none" w:sz="0" w:space="0" w:color="auto"/>
        <w:bottom w:val="none" w:sz="0" w:space="0" w:color="auto"/>
        <w:right w:val="none" w:sz="0" w:space="0" w:color="auto"/>
      </w:divBdr>
    </w:div>
    <w:div w:id="53507726">
      <w:bodyDiv w:val="1"/>
      <w:marLeft w:val="0"/>
      <w:marRight w:val="0"/>
      <w:marTop w:val="0"/>
      <w:marBottom w:val="0"/>
      <w:divBdr>
        <w:top w:val="none" w:sz="0" w:space="0" w:color="auto"/>
        <w:left w:val="none" w:sz="0" w:space="0" w:color="auto"/>
        <w:bottom w:val="none" w:sz="0" w:space="0" w:color="auto"/>
        <w:right w:val="none" w:sz="0" w:space="0" w:color="auto"/>
      </w:divBdr>
      <w:divsChild>
        <w:div w:id="742334244">
          <w:marLeft w:val="0"/>
          <w:marRight w:val="0"/>
          <w:marTop w:val="0"/>
          <w:marBottom w:val="0"/>
          <w:divBdr>
            <w:top w:val="none" w:sz="0" w:space="0" w:color="auto"/>
            <w:left w:val="none" w:sz="0" w:space="0" w:color="auto"/>
            <w:bottom w:val="none" w:sz="0" w:space="0" w:color="auto"/>
            <w:right w:val="none" w:sz="0" w:space="0" w:color="auto"/>
          </w:divBdr>
        </w:div>
      </w:divsChild>
    </w:div>
    <w:div w:id="136267454">
      <w:bodyDiv w:val="1"/>
      <w:marLeft w:val="0"/>
      <w:marRight w:val="0"/>
      <w:marTop w:val="0"/>
      <w:marBottom w:val="0"/>
      <w:divBdr>
        <w:top w:val="none" w:sz="0" w:space="0" w:color="auto"/>
        <w:left w:val="none" w:sz="0" w:space="0" w:color="auto"/>
        <w:bottom w:val="none" w:sz="0" w:space="0" w:color="auto"/>
        <w:right w:val="none" w:sz="0" w:space="0" w:color="auto"/>
      </w:divBdr>
      <w:divsChild>
        <w:div w:id="86049450">
          <w:marLeft w:val="1138"/>
          <w:marRight w:val="0"/>
          <w:marTop w:val="0"/>
          <w:marBottom w:val="720"/>
          <w:divBdr>
            <w:top w:val="none" w:sz="0" w:space="0" w:color="auto"/>
            <w:left w:val="none" w:sz="0" w:space="0" w:color="auto"/>
            <w:bottom w:val="none" w:sz="0" w:space="0" w:color="auto"/>
            <w:right w:val="none" w:sz="0" w:space="0" w:color="auto"/>
          </w:divBdr>
        </w:div>
        <w:div w:id="875696551">
          <w:marLeft w:val="1138"/>
          <w:marRight w:val="0"/>
          <w:marTop w:val="0"/>
          <w:marBottom w:val="720"/>
          <w:divBdr>
            <w:top w:val="none" w:sz="0" w:space="0" w:color="auto"/>
            <w:left w:val="none" w:sz="0" w:space="0" w:color="auto"/>
            <w:bottom w:val="none" w:sz="0" w:space="0" w:color="auto"/>
            <w:right w:val="none" w:sz="0" w:space="0" w:color="auto"/>
          </w:divBdr>
        </w:div>
        <w:div w:id="1515532391">
          <w:marLeft w:val="1138"/>
          <w:marRight w:val="0"/>
          <w:marTop w:val="0"/>
          <w:marBottom w:val="720"/>
          <w:divBdr>
            <w:top w:val="none" w:sz="0" w:space="0" w:color="auto"/>
            <w:left w:val="none" w:sz="0" w:space="0" w:color="auto"/>
            <w:bottom w:val="none" w:sz="0" w:space="0" w:color="auto"/>
            <w:right w:val="none" w:sz="0" w:space="0" w:color="auto"/>
          </w:divBdr>
        </w:div>
        <w:div w:id="1703480855">
          <w:marLeft w:val="1138"/>
          <w:marRight w:val="0"/>
          <w:marTop w:val="0"/>
          <w:marBottom w:val="720"/>
          <w:divBdr>
            <w:top w:val="none" w:sz="0" w:space="0" w:color="auto"/>
            <w:left w:val="none" w:sz="0" w:space="0" w:color="auto"/>
            <w:bottom w:val="none" w:sz="0" w:space="0" w:color="auto"/>
            <w:right w:val="none" w:sz="0" w:space="0" w:color="auto"/>
          </w:divBdr>
        </w:div>
        <w:div w:id="2118017613">
          <w:marLeft w:val="1138"/>
          <w:marRight w:val="0"/>
          <w:marTop w:val="0"/>
          <w:marBottom w:val="720"/>
          <w:divBdr>
            <w:top w:val="none" w:sz="0" w:space="0" w:color="auto"/>
            <w:left w:val="none" w:sz="0" w:space="0" w:color="auto"/>
            <w:bottom w:val="none" w:sz="0" w:space="0" w:color="auto"/>
            <w:right w:val="none" w:sz="0" w:space="0" w:color="auto"/>
          </w:divBdr>
        </w:div>
      </w:divsChild>
    </w:div>
    <w:div w:id="153572454">
      <w:bodyDiv w:val="1"/>
      <w:marLeft w:val="0"/>
      <w:marRight w:val="0"/>
      <w:marTop w:val="0"/>
      <w:marBottom w:val="0"/>
      <w:divBdr>
        <w:top w:val="none" w:sz="0" w:space="0" w:color="auto"/>
        <w:left w:val="none" w:sz="0" w:space="0" w:color="auto"/>
        <w:bottom w:val="none" w:sz="0" w:space="0" w:color="auto"/>
        <w:right w:val="none" w:sz="0" w:space="0" w:color="auto"/>
      </w:divBdr>
    </w:div>
    <w:div w:id="181207937">
      <w:bodyDiv w:val="1"/>
      <w:marLeft w:val="0"/>
      <w:marRight w:val="0"/>
      <w:marTop w:val="0"/>
      <w:marBottom w:val="0"/>
      <w:divBdr>
        <w:top w:val="none" w:sz="0" w:space="0" w:color="auto"/>
        <w:left w:val="none" w:sz="0" w:space="0" w:color="auto"/>
        <w:bottom w:val="none" w:sz="0" w:space="0" w:color="auto"/>
        <w:right w:val="none" w:sz="0" w:space="0" w:color="auto"/>
      </w:divBdr>
    </w:div>
    <w:div w:id="191043176">
      <w:bodyDiv w:val="1"/>
      <w:marLeft w:val="0"/>
      <w:marRight w:val="0"/>
      <w:marTop w:val="0"/>
      <w:marBottom w:val="0"/>
      <w:divBdr>
        <w:top w:val="none" w:sz="0" w:space="0" w:color="auto"/>
        <w:left w:val="none" w:sz="0" w:space="0" w:color="auto"/>
        <w:bottom w:val="none" w:sz="0" w:space="0" w:color="auto"/>
        <w:right w:val="none" w:sz="0" w:space="0" w:color="auto"/>
      </w:divBdr>
      <w:divsChild>
        <w:div w:id="90591348">
          <w:marLeft w:val="547"/>
          <w:marRight w:val="0"/>
          <w:marTop w:val="0"/>
          <w:marBottom w:val="0"/>
          <w:divBdr>
            <w:top w:val="none" w:sz="0" w:space="0" w:color="auto"/>
            <w:left w:val="none" w:sz="0" w:space="0" w:color="auto"/>
            <w:bottom w:val="none" w:sz="0" w:space="0" w:color="auto"/>
            <w:right w:val="none" w:sz="0" w:space="0" w:color="auto"/>
          </w:divBdr>
        </w:div>
      </w:divsChild>
    </w:div>
    <w:div w:id="195899110">
      <w:bodyDiv w:val="1"/>
      <w:marLeft w:val="0"/>
      <w:marRight w:val="0"/>
      <w:marTop w:val="0"/>
      <w:marBottom w:val="0"/>
      <w:divBdr>
        <w:top w:val="none" w:sz="0" w:space="0" w:color="auto"/>
        <w:left w:val="none" w:sz="0" w:space="0" w:color="auto"/>
        <w:bottom w:val="none" w:sz="0" w:space="0" w:color="auto"/>
        <w:right w:val="none" w:sz="0" w:space="0" w:color="auto"/>
      </w:divBdr>
    </w:div>
    <w:div w:id="266617732">
      <w:bodyDiv w:val="1"/>
      <w:marLeft w:val="0"/>
      <w:marRight w:val="0"/>
      <w:marTop w:val="0"/>
      <w:marBottom w:val="0"/>
      <w:divBdr>
        <w:top w:val="none" w:sz="0" w:space="0" w:color="auto"/>
        <w:left w:val="none" w:sz="0" w:space="0" w:color="auto"/>
        <w:bottom w:val="none" w:sz="0" w:space="0" w:color="auto"/>
        <w:right w:val="none" w:sz="0" w:space="0" w:color="auto"/>
      </w:divBdr>
    </w:div>
    <w:div w:id="307243629">
      <w:bodyDiv w:val="1"/>
      <w:marLeft w:val="0"/>
      <w:marRight w:val="0"/>
      <w:marTop w:val="0"/>
      <w:marBottom w:val="0"/>
      <w:divBdr>
        <w:top w:val="none" w:sz="0" w:space="0" w:color="auto"/>
        <w:left w:val="none" w:sz="0" w:space="0" w:color="auto"/>
        <w:bottom w:val="none" w:sz="0" w:space="0" w:color="auto"/>
        <w:right w:val="none" w:sz="0" w:space="0" w:color="auto"/>
      </w:divBdr>
    </w:div>
    <w:div w:id="344945560">
      <w:bodyDiv w:val="1"/>
      <w:marLeft w:val="0"/>
      <w:marRight w:val="0"/>
      <w:marTop w:val="0"/>
      <w:marBottom w:val="0"/>
      <w:divBdr>
        <w:top w:val="none" w:sz="0" w:space="0" w:color="auto"/>
        <w:left w:val="none" w:sz="0" w:space="0" w:color="auto"/>
        <w:bottom w:val="none" w:sz="0" w:space="0" w:color="auto"/>
        <w:right w:val="none" w:sz="0" w:space="0" w:color="auto"/>
      </w:divBdr>
    </w:div>
    <w:div w:id="345713993">
      <w:bodyDiv w:val="1"/>
      <w:marLeft w:val="0"/>
      <w:marRight w:val="0"/>
      <w:marTop w:val="0"/>
      <w:marBottom w:val="0"/>
      <w:divBdr>
        <w:top w:val="none" w:sz="0" w:space="0" w:color="auto"/>
        <w:left w:val="none" w:sz="0" w:space="0" w:color="auto"/>
        <w:bottom w:val="none" w:sz="0" w:space="0" w:color="auto"/>
        <w:right w:val="none" w:sz="0" w:space="0" w:color="auto"/>
      </w:divBdr>
    </w:div>
    <w:div w:id="383985756">
      <w:bodyDiv w:val="1"/>
      <w:marLeft w:val="0"/>
      <w:marRight w:val="0"/>
      <w:marTop w:val="0"/>
      <w:marBottom w:val="0"/>
      <w:divBdr>
        <w:top w:val="none" w:sz="0" w:space="0" w:color="auto"/>
        <w:left w:val="none" w:sz="0" w:space="0" w:color="auto"/>
        <w:bottom w:val="none" w:sz="0" w:space="0" w:color="auto"/>
        <w:right w:val="none" w:sz="0" w:space="0" w:color="auto"/>
      </w:divBdr>
    </w:div>
    <w:div w:id="392049821">
      <w:bodyDiv w:val="1"/>
      <w:marLeft w:val="0"/>
      <w:marRight w:val="0"/>
      <w:marTop w:val="0"/>
      <w:marBottom w:val="0"/>
      <w:divBdr>
        <w:top w:val="none" w:sz="0" w:space="0" w:color="auto"/>
        <w:left w:val="none" w:sz="0" w:space="0" w:color="auto"/>
        <w:bottom w:val="none" w:sz="0" w:space="0" w:color="auto"/>
        <w:right w:val="none" w:sz="0" w:space="0" w:color="auto"/>
      </w:divBdr>
    </w:div>
    <w:div w:id="404688534">
      <w:bodyDiv w:val="1"/>
      <w:marLeft w:val="0"/>
      <w:marRight w:val="0"/>
      <w:marTop w:val="0"/>
      <w:marBottom w:val="0"/>
      <w:divBdr>
        <w:top w:val="none" w:sz="0" w:space="0" w:color="auto"/>
        <w:left w:val="none" w:sz="0" w:space="0" w:color="auto"/>
        <w:bottom w:val="none" w:sz="0" w:space="0" w:color="auto"/>
        <w:right w:val="none" w:sz="0" w:space="0" w:color="auto"/>
      </w:divBdr>
    </w:div>
    <w:div w:id="418138677">
      <w:bodyDiv w:val="1"/>
      <w:marLeft w:val="0"/>
      <w:marRight w:val="0"/>
      <w:marTop w:val="0"/>
      <w:marBottom w:val="0"/>
      <w:divBdr>
        <w:top w:val="none" w:sz="0" w:space="0" w:color="auto"/>
        <w:left w:val="none" w:sz="0" w:space="0" w:color="auto"/>
        <w:bottom w:val="none" w:sz="0" w:space="0" w:color="auto"/>
        <w:right w:val="none" w:sz="0" w:space="0" w:color="auto"/>
      </w:divBdr>
    </w:div>
    <w:div w:id="434135216">
      <w:bodyDiv w:val="1"/>
      <w:marLeft w:val="0"/>
      <w:marRight w:val="0"/>
      <w:marTop w:val="0"/>
      <w:marBottom w:val="0"/>
      <w:divBdr>
        <w:top w:val="none" w:sz="0" w:space="0" w:color="auto"/>
        <w:left w:val="none" w:sz="0" w:space="0" w:color="auto"/>
        <w:bottom w:val="none" w:sz="0" w:space="0" w:color="auto"/>
        <w:right w:val="none" w:sz="0" w:space="0" w:color="auto"/>
      </w:divBdr>
    </w:div>
    <w:div w:id="500437398">
      <w:bodyDiv w:val="1"/>
      <w:marLeft w:val="0"/>
      <w:marRight w:val="0"/>
      <w:marTop w:val="0"/>
      <w:marBottom w:val="0"/>
      <w:divBdr>
        <w:top w:val="none" w:sz="0" w:space="0" w:color="auto"/>
        <w:left w:val="none" w:sz="0" w:space="0" w:color="auto"/>
        <w:bottom w:val="none" w:sz="0" w:space="0" w:color="auto"/>
        <w:right w:val="none" w:sz="0" w:space="0" w:color="auto"/>
      </w:divBdr>
    </w:div>
    <w:div w:id="516695466">
      <w:bodyDiv w:val="1"/>
      <w:marLeft w:val="0"/>
      <w:marRight w:val="0"/>
      <w:marTop w:val="0"/>
      <w:marBottom w:val="0"/>
      <w:divBdr>
        <w:top w:val="none" w:sz="0" w:space="0" w:color="auto"/>
        <w:left w:val="none" w:sz="0" w:space="0" w:color="auto"/>
        <w:bottom w:val="none" w:sz="0" w:space="0" w:color="auto"/>
        <w:right w:val="none" w:sz="0" w:space="0" w:color="auto"/>
      </w:divBdr>
    </w:div>
    <w:div w:id="542594933">
      <w:bodyDiv w:val="1"/>
      <w:marLeft w:val="0"/>
      <w:marRight w:val="0"/>
      <w:marTop w:val="0"/>
      <w:marBottom w:val="0"/>
      <w:divBdr>
        <w:top w:val="none" w:sz="0" w:space="0" w:color="auto"/>
        <w:left w:val="none" w:sz="0" w:space="0" w:color="auto"/>
        <w:bottom w:val="none" w:sz="0" w:space="0" w:color="auto"/>
        <w:right w:val="none" w:sz="0" w:space="0" w:color="auto"/>
      </w:divBdr>
    </w:div>
    <w:div w:id="553203483">
      <w:bodyDiv w:val="1"/>
      <w:marLeft w:val="0"/>
      <w:marRight w:val="0"/>
      <w:marTop w:val="0"/>
      <w:marBottom w:val="0"/>
      <w:divBdr>
        <w:top w:val="none" w:sz="0" w:space="0" w:color="auto"/>
        <w:left w:val="none" w:sz="0" w:space="0" w:color="auto"/>
        <w:bottom w:val="none" w:sz="0" w:space="0" w:color="auto"/>
        <w:right w:val="none" w:sz="0" w:space="0" w:color="auto"/>
      </w:divBdr>
    </w:div>
    <w:div w:id="584532520">
      <w:bodyDiv w:val="1"/>
      <w:marLeft w:val="0"/>
      <w:marRight w:val="0"/>
      <w:marTop w:val="0"/>
      <w:marBottom w:val="0"/>
      <w:divBdr>
        <w:top w:val="none" w:sz="0" w:space="0" w:color="auto"/>
        <w:left w:val="none" w:sz="0" w:space="0" w:color="auto"/>
        <w:bottom w:val="none" w:sz="0" w:space="0" w:color="auto"/>
        <w:right w:val="none" w:sz="0" w:space="0" w:color="auto"/>
      </w:divBdr>
    </w:div>
    <w:div w:id="614603857">
      <w:bodyDiv w:val="1"/>
      <w:marLeft w:val="0"/>
      <w:marRight w:val="0"/>
      <w:marTop w:val="0"/>
      <w:marBottom w:val="0"/>
      <w:divBdr>
        <w:top w:val="none" w:sz="0" w:space="0" w:color="auto"/>
        <w:left w:val="none" w:sz="0" w:space="0" w:color="auto"/>
        <w:bottom w:val="none" w:sz="0" w:space="0" w:color="auto"/>
        <w:right w:val="none" w:sz="0" w:space="0" w:color="auto"/>
      </w:divBdr>
    </w:div>
    <w:div w:id="639771279">
      <w:bodyDiv w:val="1"/>
      <w:marLeft w:val="0"/>
      <w:marRight w:val="0"/>
      <w:marTop w:val="0"/>
      <w:marBottom w:val="0"/>
      <w:divBdr>
        <w:top w:val="none" w:sz="0" w:space="0" w:color="auto"/>
        <w:left w:val="none" w:sz="0" w:space="0" w:color="auto"/>
        <w:bottom w:val="none" w:sz="0" w:space="0" w:color="auto"/>
        <w:right w:val="none" w:sz="0" w:space="0" w:color="auto"/>
      </w:divBdr>
    </w:div>
    <w:div w:id="680739640">
      <w:bodyDiv w:val="1"/>
      <w:marLeft w:val="0"/>
      <w:marRight w:val="0"/>
      <w:marTop w:val="0"/>
      <w:marBottom w:val="0"/>
      <w:divBdr>
        <w:top w:val="none" w:sz="0" w:space="0" w:color="auto"/>
        <w:left w:val="none" w:sz="0" w:space="0" w:color="auto"/>
        <w:bottom w:val="none" w:sz="0" w:space="0" w:color="auto"/>
        <w:right w:val="none" w:sz="0" w:space="0" w:color="auto"/>
      </w:divBdr>
    </w:div>
    <w:div w:id="731389772">
      <w:bodyDiv w:val="1"/>
      <w:marLeft w:val="0"/>
      <w:marRight w:val="0"/>
      <w:marTop w:val="0"/>
      <w:marBottom w:val="0"/>
      <w:divBdr>
        <w:top w:val="none" w:sz="0" w:space="0" w:color="auto"/>
        <w:left w:val="none" w:sz="0" w:space="0" w:color="auto"/>
        <w:bottom w:val="none" w:sz="0" w:space="0" w:color="auto"/>
        <w:right w:val="none" w:sz="0" w:space="0" w:color="auto"/>
      </w:divBdr>
    </w:div>
    <w:div w:id="739333592">
      <w:bodyDiv w:val="1"/>
      <w:marLeft w:val="0"/>
      <w:marRight w:val="0"/>
      <w:marTop w:val="0"/>
      <w:marBottom w:val="0"/>
      <w:divBdr>
        <w:top w:val="none" w:sz="0" w:space="0" w:color="auto"/>
        <w:left w:val="none" w:sz="0" w:space="0" w:color="auto"/>
        <w:bottom w:val="none" w:sz="0" w:space="0" w:color="auto"/>
        <w:right w:val="none" w:sz="0" w:space="0" w:color="auto"/>
      </w:divBdr>
    </w:div>
    <w:div w:id="751588255">
      <w:bodyDiv w:val="1"/>
      <w:marLeft w:val="0"/>
      <w:marRight w:val="0"/>
      <w:marTop w:val="0"/>
      <w:marBottom w:val="0"/>
      <w:divBdr>
        <w:top w:val="none" w:sz="0" w:space="0" w:color="auto"/>
        <w:left w:val="none" w:sz="0" w:space="0" w:color="auto"/>
        <w:bottom w:val="none" w:sz="0" w:space="0" w:color="auto"/>
        <w:right w:val="none" w:sz="0" w:space="0" w:color="auto"/>
      </w:divBdr>
    </w:div>
    <w:div w:id="795412032">
      <w:bodyDiv w:val="1"/>
      <w:marLeft w:val="0"/>
      <w:marRight w:val="0"/>
      <w:marTop w:val="0"/>
      <w:marBottom w:val="0"/>
      <w:divBdr>
        <w:top w:val="none" w:sz="0" w:space="0" w:color="auto"/>
        <w:left w:val="none" w:sz="0" w:space="0" w:color="auto"/>
        <w:bottom w:val="none" w:sz="0" w:space="0" w:color="auto"/>
        <w:right w:val="none" w:sz="0" w:space="0" w:color="auto"/>
      </w:divBdr>
    </w:div>
    <w:div w:id="805202811">
      <w:bodyDiv w:val="1"/>
      <w:marLeft w:val="0"/>
      <w:marRight w:val="0"/>
      <w:marTop w:val="0"/>
      <w:marBottom w:val="0"/>
      <w:divBdr>
        <w:top w:val="none" w:sz="0" w:space="0" w:color="auto"/>
        <w:left w:val="none" w:sz="0" w:space="0" w:color="auto"/>
        <w:bottom w:val="none" w:sz="0" w:space="0" w:color="auto"/>
        <w:right w:val="none" w:sz="0" w:space="0" w:color="auto"/>
      </w:divBdr>
    </w:div>
    <w:div w:id="805968758">
      <w:bodyDiv w:val="1"/>
      <w:marLeft w:val="0"/>
      <w:marRight w:val="0"/>
      <w:marTop w:val="0"/>
      <w:marBottom w:val="0"/>
      <w:divBdr>
        <w:top w:val="none" w:sz="0" w:space="0" w:color="auto"/>
        <w:left w:val="none" w:sz="0" w:space="0" w:color="auto"/>
        <w:bottom w:val="none" w:sz="0" w:space="0" w:color="auto"/>
        <w:right w:val="none" w:sz="0" w:space="0" w:color="auto"/>
      </w:divBdr>
    </w:div>
    <w:div w:id="809440092">
      <w:bodyDiv w:val="1"/>
      <w:marLeft w:val="0"/>
      <w:marRight w:val="0"/>
      <w:marTop w:val="0"/>
      <w:marBottom w:val="0"/>
      <w:divBdr>
        <w:top w:val="none" w:sz="0" w:space="0" w:color="auto"/>
        <w:left w:val="none" w:sz="0" w:space="0" w:color="auto"/>
        <w:bottom w:val="none" w:sz="0" w:space="0" w:color="auto"/>
        <w:right w:val="none" w:sz="0" w:space="0" w:color="auto"/>
      </w:divBdr>
    </w:div>
    <w:div w:id="815728078">
      <w:bodyDiv w:val="1"/>
      <w:marLeft w:val="0"/>
      <w:marRight w:val="0"/>
      <w:marTop w:val="0"/>
      <w:marBottom w:val="0"/>
      <w:divBdr>
        <w:top w:val="none" w:sz="0" w:space="0" w:color="auto"/>
        <w:left w:val="none" w:sz="0" w:space="0" w:color="auto"/>
        <w:bottom w:val="none" w:sz="0" w:space="0" w:color="auto"/>
        <w:right w:val="none" w:sz="0" w:space="0" w:color="auto"/>
      </w:divBdr>
    </w:div>
    <w:div w:id="819542701">
      <w:bodyDiv w:val="1"/>
      <w:marLeft w:val="0"/>
      <w:marRight w:val="0"/>
      <w:marTop w:val="0"/>
      <w:marBottom w:val="0"/>
      <w:divBdr>
        <w:top w:val="none" w:sz="0" w:space="0" w:color="auto"/>
        <w:left w:val="none" w:sz="0" w:space="0" w:color="auto"/>
        <w:bottom w:val="none" w:sz="0" w:space="0" w:color="auto"/>
        <w:right w:val="none" w:sz="0" w:space="0" w:color="auto"/>
      </w:divBdr>
    </w:div>
    <w:div w:id="873611667">
      <w:bodyDiv w:val="1"/>
      <w:marLeft w:val="0"/>
      <w:marRight w:val="0"/>
      <w:marTop w:val="0"/>
      <w:marBottom w:val="0"/>
      <w:divBdr>
        <w:top w:val="none" w:sz="0" w:space="0" w:color="auto"/>
        <w:left w:val="none" w:sz="0" w:space="0" w:color="auto"/>
        <w:bottom w:val="none" w:sz="0" w:space="0" w:color="auto"/>
        <w:right w:val="none" w:sz="0" w:space="0" w:color="auto"/>
      </w:divBdr>
    </w:div>
    <w:div w:id="875704363">
      <w:bodyDiv w:val="1"/>
      <w:marLeft w:val="0"/>
      <w:marRight w:val="0"/>
      <w:marTop w:val="0"/>
      <w:marBottom w:val="0"/>
      <w:divBdr>
        <w:top w:val="none" w:sz="0" w:space="0" w:color="auto"/>
        <w:left w:val="none" w:sz="0" w:space="0" w:color="auto"/>
        <w:bottom w:val="none" w:sz="0" w:space="0" w:color="auto"/>
        <w:right w:val="none" w:sz="0" w:space="0" w:color="auto"/>
      </w:divBdr>
    </w:div>
    <w:div w:id="925725453">
      <w:bodyDiv w:val="1"/>
      <w:marLeft w:val="0"/>
      <w:marRight w:val="0"/>
      <w:marTop w:val="0"/>
      <w:marBottom w:val="0"/>
      <w:divBdr>
        <w:top w:val="none" w:sz="0" w:space="0" w:color="auto"/>
        <w:left w:val="none" w:sz="0" w:space="0" w:color="auto"/>
        <w:bottom w:val="none" w:sz="0" w:space="0" w:color="auto"/>
        <w:right w:val="none" w:sz="0" w:space="0" w:color="auto"/>
      </w:divBdr>
      <w:divsChild>
        <w:div w:id="302196350">
          <w:marLeft w:val="1570"/>
          <w:marRight w:val="0"/>
          <w:marTop w:val="0"/>
          <w:marBottom w:val="120"/>
          <w:divBdr>
            <w:top w:val="none" w:sz="0" w:space="0" w:color="auto"/>
            <w:left w:val="none" w:sz="0" w:space="0" w:color="auto"/>
            <w:bottom w:val="none" w:sz="0" w:space="0" w:color="auto"/>
            <w:right w:val="none" w:sz="0" w:space="0" w:color="auto"/>
          </w:divBdr>
        </w:div>
        <w:div w:id="797721783">
          <w:marLeft w:val="1570"/>
          <w:marRight w:val="0"/>
          <w:marTop w:val="0"/>
          <w:marBottom w:val="120"/>
          <w:divBdr>
            <w:top w:val="none" w:sz="0" w:space="0" w:color="auto"/>
            <w:left w:val="none" w:sz="0" w:space="0" w:color="auto"/>
            <w:bottom w:val="none" w:sz="0" w:space="0" w:color="auto"/>
            <w:right w:val="none" w:sz="0" w:space="0" w:color="auto"/>
          </w:divBdr>
        </w:div>
      </w:divsChild>
    </w:div>
    <w:div w:id="932081448">
      <w:bodyDiv w:val="1"/>
      <w:marLeft w:val="0"/>
      <w:marRight w:val="0"/>
      <w:marTop w:val="0"/>
      <w:marBottom w:val="0"/>
      <w:divBdr>
        <w:top w:val="none" w:sz="0" w:space="0" w:color="auto"/>
        <w:left w:val="none" w:sz="0" w:space="0" w:color="auto"/>
        <w:bottom w:val="none" w:sz="0" w:space="0" w:color="auto"/>
        <w:right w:val="none" w:sz="0" w:space="0" w:color="auto"/>
      </w:divBdr>
    </w:div>
    <w:div w:id="938827582">
      <w:bodyDiv w:val="1"/>
      <w:marLeft w:val="0"/>
      <w:marRight w:val="0"/>
      <w:marTop w:val="0"/>
      <w:marBottom w:val="0"/>
      <w:divBdr>
        <w:top w:val="none" w:sz="0" w:space="0" w:color="auto"/>
        <w:left w:val="none" w:sz="0" w:space="0" w:color="auto"/>
        <w:bottom w:val="none" w:sz="0" w:space="0" w:color="auto"/>
        <w:right w:val="none" w:sz="0" w:space="0" w:color="auto"/>
      </w:divBdr>
    </w:div>
    <w:div w:id="945818632">
      <w:bodyDiv w:val="1"/>
      <w:marLeft w:val="0"/>
      <w:marRight w:val="0"/>
      <w:marTop w:val="0"/>
      <w:marBottom w:val="0"/>
      <w:divBdr>
        <w:top w:val="none" w:sz="0" w:space="0" w:color="auto"/>
        <w:left w:val="none" w:sz="0" w:space="0" w:color="auto"/>
        <w:bottom w:val="none" w:sz="0" w:space="0" w:color="auto"/>
        <w:right w:val="none" w:sz="0" w:space="0" w:color="auto"/>
      </w:divBdr>
    </w:div>
    <w:div w:id="959262861">
      <w:bodyDiv w:val="1"/>
      <w:marLeft w:val="0"/>
      <w:marRight w:val="0"/>
      <w:marTop w:val="0"/>
      <w:marBottom w:val="0"/>
      <w:divBdr>
        <w:top w:val="none" w:sz="0" w:space="0" w:color="auto"/>
        <w:left w:val="none" w:sz="0" w:space="0" w:color="auto"/>
        <w:bottom w:val="none" w:sz="0" w:space="0" w:color="auto"/>
        <w:right w:val="none" w:sz="0" w:space="0" w:color="auto"/>
      </w:divBdr>
    </w:div>
    <w:div w:id="979043317">
      <w:bodyDiv w:val="1"/>
      <w:marLeft w:val="0"/>
      <w:marRight w:val="0"/>
      <w:marTop w:val="0"/>
      <w:marBottom w:val="0"/>
      <w:divBdr>
        <w:top w:val="none" w:sz="0" w:space="0" w:color="auto"/>
        <w:left w:val="none" w:sz="0" w:space="0" w:color="auto"/>
        <w:bottom w:val="none" w:sz="0" w:space="0" w:color="auto"/>
        <w:right w:val="none" w:sz="0" w:space="0" w:color="auto"/>
      </w:divBdr>
    </w:div>
    <w:div w:id="979186977">
      <w:bodyDiv w:val="1"/>
      <w:marLeft w:val="0"/>
      <w:marRight w:val="0"/>
      <w:marTop w:val="0"/>
      <w:marBottom w:val="0"/>
      <w:divBdr>
        <w:top w:val="none" w:sz="0" w:space="0" w:color="auto"/>
        <w:left w:val="none" w:sz="0" w:space="0" w:color="auto"/>
        <w:bottom w:val="none" w:sz="0" w:space="0" w:color="auto"/>
        <w:right w:val="none" w:sz="0" w:space="0" w:color="auto"/>
      </w:divBdr>
    </w:div>
    <w:div w:id="989406442">
      <w:bodyDiv w:val="1"/>
      <w:marLeft w:val="0"/>
      <w:marRight w:val="0"/>
      <w:marTop w:val="0"/>
      <w:marBottom w:val="0"/>
      <w:divBdr>
        <w:top w:val="none" w:sz="0" w:space="0" w:color="auto"/>
        <w:left w:val="none" w:sz="0" w:space="0" w:color="auto"/>
        <w:bottom w:val="none" w:sz="0" w:space="0" w:color="auto"/>
        <w:right w:val="none" w:sz="0" w:space="0" w:color="auto"/>
      </w:divBdr>
    </w:div>
    <w:div w:id="992180815">
      <w:bodyDiv w:val="1"/>
      <w:marLeft w:val="0"/>
      <w:marRight w:val="0"/>
      <w:marTop w:val="0"/>
      <w:marBottom w:val="0"/>
      <w:divBdr>
        <w:top w:val="none" w:sz="0" w:space="0" w:color="auto"/>
        <w:left w:val="none" w:sz="0" w:space="0" w:color="auto"/>
        <w:bottom w:val="none" w:sz="0" w:space="0" w:color="auto"/>
        <w:right w:val="none" w:sz="0" w:space="0" w:color="auto"/>
      </w:divBdr>
      <w:divsChild>
        <w:div w:id="744256893">
          <w:marLeft w:val="1138"/>
          <w:marRight w:val="0"/>
          <w:marTop w:val="0"/>
          <w:marBottom w:val="600"/>
          <w:divBdr>
            <w:top w:val="none" w:sz="0" w:space="0" w:color="auto"/>
            <w:left w:val="none" w:sz="0" w:space="0" w:color="auto"/>
            <w:bottom w:val="none" w:sz="0" w:space="0" w:color="auto"/>
            <w:right w:val="none" w:sz="0" w:space="0" w:color="auto"/>
          </w:divBdr>
        </w:div>
        <w:div w:id="1408527596">
          <w:marLeft w:val="1138"/>
          <w:marRight w:val="0"/>
          <w:marTop w:val="0"/>
          <w:marBottom w:val="600"/>
          <w:divBdr>
            <w:top w:val="none" w:sz="0" w:space="0" w:color="auto"/>
            <w:left w:val="none" w:sz="0" w:space="0" w:color="auto"/>
            <w:bottom w:val="none" w:sz="0" w:space="0" w:color="auto"/>
            <w:right w:val="none" w:sz="0" w:space="0" w:color="auto"/>
          </w:divBdr>
        </w:div>
        <w:div w:id="1544437759">
          <w:marLeft w:val="1138"/>
          <w:marRight w:val="0"/>
          <w:marTop w:val="0"/>
          <w:marBottom w:val="600"/>
          <w:divBdr>
            <w:top w:val="none" w:sz="0" w:space="0" w:color="auto"/>
            <w:left w:val="none" w:sz="0" w:space="0" w:color="auto"/>
            <w:bottom w:val="none" w:sz="0" w:space="0" w:color="auto"/>
            <w:right w:val="none" w:sz="0" w:space="0" w:color="auto"/>
          </w:divBdr>
        </w:div>
        <w:div w:id="2072774945">
          <w:marLeft w:val="1138"/>
          <w:marRight w:val="0"/>
          <w:marTop w:val="0"/>
          <w:marBottom w:val="600"/>
          <w:divBdr>
            <w:top w:val="none" w:sz="0" w:space="0" w:color="auto"/>
            <w:left w:val="none" w:sz="0" w:space="0" w:color="auto"/>
            <w:bottom w:val="none" w:sz="0" w:space="0" w:color="auto"/>
            <w:right w:val="none" w:sz="0" w:space="0" w:color="auto"/>
          </w:divBdr>
        </w:div>
        <w:div w:id="2133672099">
          <w:marLeft w:val="1138"/>
          <w:marRight w:val="0"/>
          <w:marTop w:val="0"/>
          <w:marBottom w:val="600"/>
          <w:divBdr>
            <w:top w:val="none" w:sz="0" w:space="0" w:color="auto"/>
            <w:left w:val="none" w:sz="0" w:space="0" w:color="auto"/>
            <w:bottom w:val="none" w:sz="0" w:space="0" w:color="auto"/>
            <w:right w:val="none" w:sz="0" w:space="0" w:color="auto"/>
          </w:divBdr>
        </w:div>
      </w:divsChild>
    </w:div>
    <w:div w:id="1025398398">
      <w:bodyDiv w:val="1"/>
      <w:marLeft w:val="0"/>
      <w:marRight w:val="0"/>
      <w:marTop w:val="0"/>
      <w:marBottom w:val="0"/>
      <w:divBdr>
        <w:top w:val="none" w:sz="0" w:space="0" w:color="auto"/>
        <w:left w:val="none" w:sz="0" w:space="0" w:color="auto"/>
        <w:bottom w:val="none" w:sz="0" w:space="0" w:color="auto"/>
        <w:right w:val="none" w:sz="0" w:space="0" w:color="auto"/>
      </w:divBdr>
    </w:div>
    <w:div w:id="1100487912">
      <w:bodyDiv w:val="1"/>
      <w:marLeft w:val="0"/>
      <w:marRight w:val="0"/>
      <w:marTop w:val="0"/>
      <w:marBottom w:val="0"/>
      <w:divBdr>
        <w:top w:val="none" w:sz="0" w:space="0" w:color="auto"/>
        <w:left w:val="none" w:sz="0" w:space="0" w:color="auto"/>
        <w:bottom w:val="none" w:sz="0" w:space="0" w:color="auto"/>
        <w:right w:val="none" w:sz="0" w:space="0" w:color="auto"/>
      </w:divBdr>
    </w:div>
    <w:div w:id="1103695502">
      <w:bodyDiv w:val="1"/>
      <w:marLeft w:val="0"/>
      <w:marRight w:val="0"/>
      <w:marTop w:val="0"/>
      <w:marBottom w:val="0"/>
      <w:divBdr>
        <w:top w:val="none" w:sz="0" w:space="0" w:color="auto"/>
        <w:left w:val="none" w:sz="0" w:space="0" w:color="auto"/>
        <w:bottom w:val="none" w:sz="0" w:space="0" w:color="auto"/>
        <w:right w:val="none" w:sz="0" w:space="0" w:color="auto"/>
      </w:divBdr>
    </w:div>
    <w:div w:id="1154878649">
      <w:bodyDiv w:val="1"/>
      <w:marLeft w:val="0"/>
      <w:marRight w:val="0"/>
      <w:marTop w:val="0"/>
      <w:marBottom w:val="0"/>
      <w:divBdr>
        <w:top w:val="none" w:sz="0" w:space="0" w:color="auto"/>
        <w:left w:val="none" w:sz="0" w:space="0" w:color="auto"/>
        <w:bottom w:val="none" w:sz="0" w:space="0" w:color="auto"/>
        <w:right w:val="none" w:sz="0" w:space="0" w:color="auto"/>
      </w:divBdr>
    </w:div>
    <w:div w:id="1156528250">
      <w:bodyDiv w:val="1"/>
      <w:marLeft w:val="0"/>
      <w:marRight w:val="0"/>
      <w:marTop w:val="0"/>
      <w:marBottom w:val="0"/>
      <w:divBdr>
        <w:top w:val="none" w:sz="0" w:space="0" w:color="auto"/>
        <w:left w:val="none" w:sz="0" w:space="0" w:color="auto"/>
        <w:bottom w:val="none" w:sz="0" w:space="0" w:color="auto"/>
        <w:right w:val="none" w:sz="0" w:space="0" w:color="auto"/>
      </w:divBdr>
    </w:div>
    <w:div w:id="1285192915">
      <w:bodyDiv w:val="1"/>
      <w:marLeft w:val="0"/>
      <w:marRight w:val="0"/>
      <w:marTop w:val="0"/>
      <w:marBottom w:val="0"/>
      <w:divBdr>
        <w:top w:val="none" w:sz="0" w:space="0" w:color="auto"/>
        <w:left w:val="none" w:sz="0" w:space="0" w:color="auto"/>
        <w:bottom w:val="none" w:sz="0" w:space="0" w:color="auto"/>
        <w:right w:val="none" w:sz="0" w:space="0" w:color="auto"/>
      </w:divBdr>
    </w:div>
    <w:div w:id="1305700170">
      <w:bodyDiv w:val="1"/>
      <w:marLeft w:val="0"/>
      <w:marRight w:val="0"/>
      <w:marTop w:val="0"/>
      <w:marBottom w:val="0"/>
      <w:divBdr>
        <w:top w:val="none" w:sz="0" w:space="0" w:color="auto"/>
        <w:left w:val="none" w:sz="0" w:space="0" w:color="auto"/>
        <w:bottom w:val="none" w:sz="0" w:space="0" w:color="auto"/>
        <w:right w:val="none" w:sz="0" w:space="0" w:color="auto"/>
      </w:divBdr>
    </w:div>
    <w:div w:id="1306396774">
      <w:bodyDiv w:val="1"/>
      <w:marLeft w:val="0"/>
      <w:marRight w:val="0"/>
      <w:marTop w:val="0"/>
      <w:marBottom w:val="0"/>
      <w:divBdr>
        <w:top w:val="none" w:sz="0" w:space="0" w:color="auto"/>
        <w:left w:val="none" w:sz="0" w:space="0" w:color="auto"/>
        <w:bottom w:val="none" w:sz="0" w:space="0" w:color="auto"/>
        <w:right w:val="none" w:sz="0" w:space="0" w:color="auto"/>
      </w:divBdr>
    </w:div>
    <w:div w:id="1314093654">
      <w:bodyDiv w:val="1"/>
      <w:marLeft w:val="0"/>
      <w:marRight w:val="0"/>
      <w:marTop w:val="0"/>
      <w:marBottom w:val="0"/>
      <w:divBdr>
        <w:top w:val="none" w:sz="0" w:space="0" w:color="auto"/>
        <w:left w:val="none" w:sz="0" w:space="0" w:color="auto"/>
        <w:bottom w:val="none" w:sz="0" w:space="0" w:color="auto"/>
        <w:right w:val="none" w:sz="0" w:space="0" w:color="auto"/>
      </w:divBdr>
      <w:divsChild>
        <w:div w:id="99763100">
          <w:marLeft w:val="0"/>
          <w:marRight w:val="0"/>
          <w:marTop w:val="0"/>
          <w:marBottom w:val="0"/>
          <w:divBdr>
            <w:top w:val="none" w:sz="0" w:space="0" w:color="auto"/>
            <w:left w:val="none" w:sz="0" w:space="0" w:color="auto"/>
            <w:bottom w:val="none" w:sz="0" w:space="0" w:color="auto"/>
            <w:right w:val="none" w:sz="0" w:space="0" w:color="auto"/>
          </w:divBdr>
          <w:divsChild>
            <w:div w:id="960959710">
              <w:marLeft w:val="0"/>
              <w:marRight w:val="0"/>
              <w:marTop w:val="0"/>
              <w:marBottom w:val="0"/>
              <w:divBdr>
                <w:top w:val="none" w:sz="0" w:space="0" w:color="auto"/>
                <w:left w:val="none" w:sz="0" w:space="0" w:color="auto"/>
                <w:bottom w:val="none" w:sz="0" w:space="0" w:color="auto"/>
                <w:right w:val="none" w:sz="0" w:space="0" w:color="auto"/>
              </w:divBdr>
              <w:divsChild>
                <w:div w:id="1952475088">
                  <w:marLeft w:val="0"/>
                  <w:marRight w:val="0"/>
                  <w:marTop w:val="0"/>
                  <w:marBottom w:val="0"/>
                  <w:divBdr>
                    <w:top w:val="none" w:sz="0" w:space="0" w:color="auto"/>
                    <w:left w:val="none" w:sz="0" w:space="0" w:color="auto"/>
                    <w:bottom w:val="none" w:sz="0" w:space="0" w:color="auto"/>
                    <w:right w:val="none" w:sz="0" w:space="0" w:color="auto"/>
                  </w:divBdr>
                </w:div>
              </w:divsChild>
            </w:div>
            <w:div w:id="1183057273">
              <w:marLeft w:val="0"/>
              <w:marRight w:val="0"/>
              <w:marTop w:val="0"/>
              <w:marBottom w:val="0"/>
              <w:divBdr>
                <w:top w:val="none" w:sz="0" w:space="0" w:color="auto"/>
                <w:left w:val="none" w:sz="0" w:space="0" w:color="auto"/>
                <w:bottom w:val="none" w:sz="0" w:space="0" w:color="auto"/>
                <w:right w:val="none" w:sz="0" w:space="0" w:color="auto"/>
              </w:divBdr>
            </w:div>
          </w:divsChild>
        </w:div>
        <w:div w:id="1785684617">
          <w:marLeft w:val="0"/>
          <w:marRight w:val="0"/>
          <w:marTop w:val="0"/>
          <w:marBottom w:val="0"/>
          <w:divBdr>
            <w:top w:val="none" w:sz="0" w:space="0" w:color="auto"/>
            <w:left w:val="none" w:sz="0" w:space="0" w:color="auto"/>
            <w:bottom w:val="none" w:sz="0" w:space="0" w:color="auto"/>
            <w:right w:val="none" w:sz="0" w:space="0" w:color="auto"/>
          </w:divBdr>
          <w:divsChild>
            <w:div w:id="1137188936">
              <w:marLeft w:val="0"/>
              <w:marRight w:val="0"/>
              <w:marTop w:val="375"/>
              <w:marBottom w:val="300"/>
              <w:divBdr>
                <w:top w:val="single" w:sz="6" w:space="0" w:color="CCCCCC"/>
                <w:left w:val="single" w:sz="6" w:space="0" w:color="CCCCCC"/>
                <w:bottom w:val="single" w:sz="6" w:space="0" w:color="CCCCCC"/>
                <w:right w:val="single" w:sz="6" w:space="0" w:color="CCCCCC"/>
              </w:divBdr>
            </w:div>
          </w:divsChild>
        </w:div>
      </w:divsChild>
    </w:div>
    <w:div w:id="1405108906">
      <w:bodyDiv w:val="1"/>
      <w:marLeft w:val="0"/>
      <w:marRight w:val="0"/>
      <w:marTop w:val="0"/>
      <w:marBottom w:val="0"/>
      <w:divBdr>
        <w:top w:val="none" w:sz="0" w:space="0" w:color="auto"/>
        <w:left w:val="none" w:sz="0" w:space="0" w:color="auto"/>
        <w:bottom w:val="none" w:sz="0" w:space="0" w:color="auto"/>
        <w:right w:val="none" w:sz="0" w:space="0" w:color="auto"/>
      </w:divBdr>
      <w:divsChild>
        <w:div w:id="574975222">
          <w:marLeft w:val="1138"/>
          <w:marRight w:val="0"/>
          <w:marTop w:val="0"/>
          <w:marBottom w:val="720"/>
          <w:divBdr>
            <w:top w:val="none" w:sz="0" w:space="0" w:color="auto"/>
            <w:left w:val="none" w:sz="0" w:space="0" w:color="auto"/>
            <w:bottom w:val="none" w:sz="0" w:space="0" w:color="auto"/>
            <w:right w:val="none" w:sz="0" w:space="0" w:color="auto"/>
          </w:divBdr>
        </w:div>
        <w:div w:id="1328249906">
          <w:marLeft w:val="1138"/>
          <w:marRight w:val="0"/>
          <w:marTop w:val="0"/>
          <w:marBottom w:val="720"/>
          <w:divBdr>
            <w:top w:val="none" w:sz="0" w:space="0" w:color="auto"/>
            <w:left w:val="none" w:sz="0" w:space="0" w:color="auto"/>
            <w:bottom w:val="none" w:sz="0" w:space="0" w:color="auto"/>
            <w:right w:val="none" w:sz="0" w:space="0" w:color="auto"/>
          </w:divBdr>
        </w:div>
        <w:div w:id="1532067139">
          <w:marLeft w:val="1138"/>
          <w:marRight w:val="0"/>
          <w:marTop w:val="0"/>
          <w:marBottom w:val="720"/>
          <w:divBdr>
            <w:top w:val="none" w:sz="0" w:space="0" w:color="auto"/>
            <w:left w:val="none" w:sz="0" w:space="0" w:color="auto"/>
            <w:bottom w:val="none" w:sz="0" w:space="0" w:color="auto"/>
            <w:right w:val="none" w:sz="0" w:space="0" w:color="auto"/>
          </w:divBdr>
        </w:div>
        <w:div w:id="1631551286">
          <w:marLeft w:val="1138"/>
          <w:marRight w:val="0"/>
          <w:marTop w:val="0"/>
          <w:marBottom w:val="720"/>
          <w:divBdr>
            <w:top w:val="none" w:sz="0" w:space="0" w:color="auto"/>
            <w:left w:val="none" w:sz="0" w:space="0" w:color="auto"/>
            <w:bottom w:val="none" w:sz="0" w:space="0" w:color="auto"/>
            <w:right w:val="none" w:sz="0" w:space="0" w:color="auto"/>
          </w:divBdr>
        </w:div>
        <w:div w:id="1730877303">
          <w:marLeft w:val="1138"/>
          <w:marRight w:val="0"/>
          <w:marTop w:val="0"/>
          <w:marBottom w:val="720"/>
          <w:divBdr>
            <w:top w:val="none" w:sz="0" w:space="0" w:color="auto"/>
            <w:left w:val="none" w:sz="0" w:space="0" w:color="auto"/>
            <w:bottom w:val="none" w:sz="0" w:space="0" w:color="auto"/>
            <w:right w:val="none" w:sz="0" w:space="0" w:color="auto"/>
          </w:divBdr>
        </w:div>
      </w:divsChild>
    </w:div>
    <w:div w:id="1433278850">
      <w:bodyDiv w:val="1"/>
      <w:marLeft w:val="0"/>
      <w:marRight w:val="0"/>
      <w:marTop w:val="0"/>
      <w:marBottom w:val="0"/>
      <w:divBdr>
        <w:top w:val="none" w:sz="0" w:space="0" w:color="auto"/>
        <w:left w:val="none" w:sz="0" w:space="0" w:color="auto"/>
        <w:bottom w:val="none" w:sz="0" w:space="0" w:color="auto"/>
        <w:right w:val="none" w:sz="0" w:space="0" w:color="auto"/>
      </w:divBdr>
    </w:div>
    <w:div w:id="1457138324">
      <w:bodyDiv w:val="1"/>
      <w:marLeft w:val="0"/>
      <w:marRight w:val="0"/>
      <w:marTop w:val="0"/>
      <w:marBottom w:val="0"/>
      <w:divBdr>
        <w:top w:val="none" w:sz="0" w:space="0" w:color="auto"/>
        <w:left w:val="none" w:sz="0" w:space="0" w:color="auto"/>
        <w:bottom w:val="none" w:sz="0" w:space="0" w:color="auto"/>
        <w:right w:val="none" w:sz="0" w:space="0" w:color="auto"/>
      </w:divBdr>
      <w:divsChild>
        <w:div w:id="1418746218">
          <w:marLeft w:val="547"/>
          <w:marRight w:val="0"/>
          <w:marTop w:val="0"/>
          <w:marBottom w:val="0"/>
          <w:divBdr>
            <w:top w:val="none" w:sz="0" w:space="0" w:color="auto"/>
            <w:left w:val="none" w:sz="0" w:space="0" w:color="auto"/>
            <w:bottom w:val="none" w:sz="0" w:space="0" w:color="auto"/>
            <w:right w:val="none" w:sz="0" w:space="0" w:color="auto"/>
          </w:divBdr>
        </w:div>
      </w:divsChild>
    </w:div>
    <w:div w:id="1466006280">
      <w:bodyDiv w:val="1"/>
      <w:marLeft w:val="0"/>
      <w:marRight w:val="0"/>
      <w:marTop w:val="0"/>
      <w:marBottom w:val="0"/>
      <w:divBdr>
        <w:top w:val="none" w:sz="0" w:space="0" w:color="auto"/>
        <w:left w:val="none" w:sz="0" w:space="0" w:color="auto"/>
        <w:bottom w:val="none" w:sz="0" w:space="0" w:color="auto"/>
        <w:right w:val="none" w:sz="0" w:space="0" w:color="auto"/>
      </w:divBdr>
    </w:div>
    <w:div w:id="1482885494">
      <w:bodyDiv w:val="1"/>
      <w:marLeft w:val="0"/>
      <w:marRight w:val="0"/>
      <w:marTop w:val="0"/>
      <w:marBottom w:val="0"/>
      <w:divBdr>
        <w:top w:val="none" w:sz="0" w:space="0" w:color="auto"/>
        <w:left w:val="none" w:sz="0" w:space="0" w:color="auto"/>
        <w:bottom w:val="none" w:sz="0" w:space="0" w:color="auto"/>
        <w:right w:val="none" w:sz="0" w:space="0" w:color="auto"/>
      </w:divBdr>
      <w:divsChild>
        <w:div w:id="657422978">
          <w:marLeft w:val="1138"/>
          <w:marRight w:val="0"/>
          <w:marTop w:val="0"/>
          <w:marBottom w:val="600"/>
          <w:divBdr>
            <w:top w:val="none" w:sz="0" w:space="0" w:color="auto"/>
            <w:left w:val="none" w:sz="0" w:space="0" w:color="auto"/>
            <w:bottom w:val="none" w:sz="0" w:space="0" w:color="auto"/>
            <w:right w:val="none" w:sz="0" w:space="0" w:color="auto"/>
          </w:divBdr>
        </w:div>
        <w:div w:id="1068531690">
          <w:marLeft w:val="1138"/>
          <w:marRight w:val="0"/>
          <w:marTop w:val="0"/>
          <w:marBottom w:val="600"/>
          <w:divBdr>
            <w:top w:val="none" w:sz="0" w:space="0" w:color="auto"/>
            <w:left w:val="none" w:sz="0" w:space="0" w:color="auto"/>
            <w:bottom w:val="none" w:sz="0" w:space="0" w:color="auto"/>
            <w:right w:val="none" w:sz="0" w:space="0" w:color="auto"/>
          </w:divBdr>
        </w:div>
        <w:div w:id="1333950793">
          <w:marLeft w:val="1138"/>
          <w:marRight w:val="0"/>
          <w:marTop w:val="0"/>
          <w:marBottom w:val="600"/>
          <w:divBdr>
            <w:top w:val="none" w:sz="0" w:space="0" w:color="auto"/>
            <w:left w:val="none" w:sz="0" w:space="0" w:color="auto"/>
            <w:bottom w:val="none" w:sz="0" w:space="0" w:color="auto"/>
            <w:right w:val="none" w:sz="0" w:space="0" w:color="auto"/>
          </w:divBdr>
        </w:div>
        <w:div w:id="1715351267">
          <w:marLeft w:val="1138"/>
          <w:marRight w:val="0"/>
          <w:marTop w:val="0"/>
          <w:marBottom w:val="600"/>
          <w:divBdr>
            <w:top w:val="none" w:sz="0" w:space="0" w:color="auto"/>
            <w:left w:val="none" w:sz="0" w:space="0" w:color="auto"/>
            <w:bottom w:val="none" w:sz="0" w:space="0" w:color="auto"/>
            <w:right w:val="none" w:sz="0" w:space="0" w:color="auto"/>
          </w:divBdr>
        </w:div>
        <w:div w:id="1909339521">
          <w:marLeft w:val="1138"/>
          <w:marRight w:val="0"/>
          <w:marTop w:val="0"/>
          <w:marBottom w:val="600"/>
          <w:divBdr>
            <w:top w:val="none" w:sz="0" w:space="0" w:color="auto"/>
            <w:left w:val="none" w:sz="0" w:space="0" w:color="auto"/>
            <w:bottom w:val="none" w:sz="0" w:space="0" w:color="auto"/>
            <w:right w:val="none" w:sz="0" w:space="0" w:color="auto"/>
          </w:divBdr>
        </w:div>
      </w:divsChild>
    </w:div>
    <w:div w:id="1495686130">
      <w:bodyDiv w:val="1"/>
      <w:marLeft w:val="0"/>
      <w:marRight w:val="0"/>
      <w:marTop w:val="0"/>
      <w:marBottom w:val="0"/>
      <w:divBdr>
        <w:top w:val="none" w:sz="0" w:space="0" w:color="auto"/>
        <w:left w:val="none" w:sz="0" w:space="0" w:color="auto"/>
        <w:bottom w:val="none" w:sz="0" w:space="0" w:color="auto"/>
        <w:right w:val="none" w:sz="0" w:space="0" w:color="auto"/>
      </w:divBdr>
    </w:div>
    <w:div w:id="1495757938">
      <w:bodyDiv w:val="1"/>
      <w:marLeft w:val="0"/>
      <w:marRight w:val="0"/>
      <w:marTop w:val="0"/>
      <w:marBottom w:val="0"/>
      <w:divBdr>
        <w:top w:val="none" w:sz="0" w:space="0" w:color="auto"/>
        <w:left w:val="none" w:sz="0" w:space="0" w:color="auto"/>
        <w:bottom w:val="none" w:sz="0" w:space="0" w:color="auto"/>
        <w:right w:val="none" w:sz="0" w:space="0" w:color="auto"/>
      </w:divBdr>
    </w:div>
    <w:div w:id="1509561571">
      <w:bodyDiv w:val="1"/>
      <w:marLeft w:val="0"/>
      <w:marRight w:val="0"/>
      <w:marTop w:val="0"/>
      <w:marBottom w:val="0"/>
      <w:divBdr>
        <w:top w:val="none" w:sz="0" w:space="0" w:color="auto"/>
        <w:left w:val="none" w:sz="0" w:space="0" w:color="auto"/>
        <w:bottom w:val="none" w:sz="0" w:space="0" w:color="auto"/>
        <w:right w:val="none" w:sz="0" w:space="0" w:color="auto"/>
      </w:divBdr>
    </w:div>
    <w:div w:id="1521822039">
      <w:bodyDiv w:val="1"/>
      <w:marLeft w:val="0"/>
      <w:marRight w:val="0"/>
      <w:marTop w:val="0"/>
      <w:marBottom w:val="0"/>
      <w:divBdr>
        <w:top w:val="none" w:sz="0" w:space="0" w:color="auto"/>
        <w:left w:val="none" w:sz="0" w:space="0" w:color="auto"/>
        <w:bottom w:val="none" w:sz="0" w:space="0" w:color="auto"/>
        <w:right w:val="none" w:sz="0" w:space="0" w:color="auto"/>
      </w:divBdr>
    </w:div>
    <w:div w:id="1523515519">
      <w:bodyDiv w:val="1"/>
      <w:marLeft w:val="0"/>
      <w:marRight w:val="0"/>
      <w:marTop w:val="0"/>
      <w:marBottom w:val="0"/>
      <w:divBdr>
        <w:top w:val="none" w:sz="0" w:space="0" w:color="auto"/>
        <w:left w:val="none" w:sz="0" w:space="0" w:color="auto"/>
        <w:bottom w:val="none" w:sz="0" w:space="0" w:color="auto"/>
        <w:right w:val="none" w:sz="0" w:space="0" w:color="auto"/>
      </w:divBdr>
    </w:div>
    <w:div w:id="1639452482">
      <w:bodyDiv w:val="1"/>
      <w:marLeft w:val="0"/>
      <w:marRight w:val="0"/>
      <w:marTop w:val="0"/>
      <w:marBottom w:val="0"/>
      <w:divBdr>
        <w:top w:val="none" w:sz="0" w:space="0" w:color="auto"/>
        <w:left w:val="none" w:sz="0" w:space="0" w:color="auto"/>
        <w:bottom w:val="none" w:sz="0" w:space="0" w:color="auto"/>
        <w:right w:val="none" w:sz="0" w:space="0" w:color="auto"/>
      </w:divBdr>
    </w:div>
    <w:div w:id="1649820150">
      <w:bodyDiv w:val="1"/>
      <w:marLeft w:val="0"/>
      <w:marRight w:val="0"/>
      <w:marTop w:val="0"/>
      <w:marBottom w:val="0"/>
      <w:divBdr>
        <w:top w:val="none" w:sz="0" w:space="0" w:color="auto"/>
        <w:left w:val="none" w:sz="0" w:space="0" w:color="auto"/>
        <w:bottom w:val="none" w:sz="0" w:space="0" w:color="auto"/>
        <w:right w:val="none" w:sz="0" w:space="0" w:color="auto"/>
      </w:divBdr>
    </w:div>
    <w:div w:id="1653172744">
      <w:bodyDiv w:val="1"/>
      <w:marLeft w:val="0"/>
      <w:marRight w:val="0"/>
      <w:marTop w:val="0"/>
      <w:marBottom w:val="0"/>
      <w:divBdr>
        <w:top w:val="none" w:sz="0" w:space="0" w:color="auto"/>
        <w:left w:val="none" w:sz="0" w:space="0" w:color="auto"/>
        <w:bottom w:val="none" w:sz="0" w:space="0" w:color="auto"/>
        <w:right w:val="none" w:sz="0" w:space="0" w:color="auto"/>
      </w:divBdr>
    </w:div>
    <w:div w:id="1714966616">
      <w:bodyDiv w:val="1"/>
      <w:marLeft w:val="0"/>
      <w:marRight w:val="0"/>
      <w:marTop w:val="0"/>
      <w:marBottom w:val="0"/>
      <w:divBdr>
        <w:top w:val="none" w:sz="0" w:space="0" w:color="auto"/>
        <w:left w:val="none" w:sz="0" w:space="0" w:color="auto"/>
        <w:bottom w:val="none" w:sz="0" w:space="0" w:color="auto"/>
        <w:right w:val="none" w:sz="0" w:space="0" w:color="auto"/>
      </w:divBdr>
    </w:div>
    <w:div w:id="1767115576">
      <w:bodyDiv w:val="1"/>
      <w:marLeft w:val="0"/>
      <w:marRight w:val="0"/>
      <w:marTop w:val="0"/>
      <w:marBottom w:val="0"/>
      <w:divBdr>
        <w:top w:val="none" w:sz="0" w:space="0" w:color="auto"/>
        <w:left w:val="none" w:sz="0" w:space="0" w:color="auto"/>
        <w:bottom w:val="none" w:sz="0" w:space="0" w:color="auto"/>
        <w:right w:val="none" w:sz="0" w:space="0" w:color="auto"/>
      </w:divBdr>
    </w:div>
    <w:div w:id="1784230455">
      <w:bodyDiv w:val="1"/>
      <w:marLeft w:val="0"/>
      <w:marRight w:val="0"/>
      <w:marTop w:val="0"/>
      <w:marBottom w:val="0"/>
      <w:divBdr>
        <w:top w:val="none" w:sz="0" w:space="0" w:color="auto"/>
        <w:left w:val="none" w:sz="0" w:space="0" w:color="auto"/>
        <w:bottom w:val="none" w:sz="0" w:space="0" w:color="auto"/>
        <w:right w:val="none" w:sz="0" w:space="0" w:color="auto"/>
      </w:divBdr>
    </w:div>
    <w:div w:id="1785685973">
      <w:bodyDiv w:val="1"/>
      <w:marLeft w:val="0"/>
      <w:marRight w:val="0"/>
      <w:marTop w:val="0"/>
      <w:marBottom w:val="0"/>
      <w:divBdr>
        <w:top w:val="none" w:sz="0" w:space="0" w:color="auto"/>
        <w:left w:val="none" w:sz="0" w:space="0" w:color="auto"/>
        <w:bottom w:val="none" w:sz="0" w:space="0" w:color="auto"/>
        <w:right w:val="none" w:sz="0" w:space="0" w:color="auto"/>
      </w:divBdr>
    </w:div>
    <w:div w:id="1844204921">
      <w:bodyDiv w:val="1"/>
      <w:marLeft w:val="0"/>
      <w:marRight w:val="0"/>
      <w:marTop w:val="0"/>
      <w:marBottom w:val="0"/>
      <w:divBdr>
        <w:top w:val="none" w:sz="0" w:space="0" w:color="auto"/>
        <w:left w:val="none" w:sz="0" w:space="0" w:color="auto"/>
        <w:bottom w:val="none" w:sz="0" w:space="0" w:color="auto"/>
        <w:right w:val="none" w:sz="0" w:space="0" w:color="auto"/>
      </w:divBdr>
    </w:div>
    <w:div w:id="1859081028">
      <w:bodyDiv w:val="1"/>
      <w:marLeft w:val="0"/>
      <w:marRight w:val="0"/>
      <w:marTop w:val="0"/>
      <w:marBottom w:val="0"/>
      <w:divBdr>
        <w:top w:val="none" w:sz="0" w:space="0" w:color="auto"/>
        <w:left w:val="none" w:sz="0" w:space="0" w:color="auto"/>
        <w:bottom w:val="none" w:sz="0" w:space="0" w:color="auto"/>
        <w:right w:val="none" w:sz="0" w:space="0" w:color="auto"/>
      </w:divBdr>
      <w:divsChild>
        <w:div w:id="7799344">
          <w:marLeft w:val="547"/>
          <w:marRight w:val="0"/>
          <w:marTop w:val="0"/>
          <w:marBottom w:val="0"/>
          <w:divBdr>
            <w:top w:val="none" w:sz="0" w:space="0" w:color="auto"/>
            <w:left w:val="none" w:sz="0" w:space="0" w:color="auto"/>
            <w:bottom w:val="none" w:sz="0" w:space="0" w:color="auto"/>
            <w:right w:val="none" w:sz="0" w:space="0" w:color="auto"/>
          </w:divBdr>
        </w:div>
      </w:divsChild>
    </w:div>
    <w:div w:id="1881551546">
      <w:bodyDiv w:val="1"/>
      <w:marLeft w:val="0"/>
      <w:marRight w:val="0"/>
      <w:marTop w:val="0"/>
      <w:marBottom w:val="0"/>
      <w:divBdr>
        <w:top w:val="none" w:sz="0" w:space="0" w:color="auto"/>
        <w:left w:val="none" w:sz="0" w:space="0" w:color="auto"/>
        <w:bottom w:val="none" w:sz="0" w:space="0" w:color="auto"/>
        <w:right w:val="none" w:sz="0" w:space="0" w:color="auto"/>
      </w:divBdr>
    </w:div>
    <w:div w:id="1900362691">
      <w:bodyDiv w:val="1"/>
      <w:marLeft w:val="0"/>
      <w:marRight w:val="0"/>
      <w:marTop w:val="0"/>
      <w:marBottom w:val="0"/>
      <w:divBdr>
        <w:top w:val="none" w:sz="0" w:space="0" w:color="auto"/>
        <w:left w:val="none" w:sz="0" w:space="0" w:color="auto"/>
        <w:bottom w:val="none" w:sz="0" w:space="0" w:color="auto"/>
        <w:right w:val="none" w:sz="0" w:space="0" w:color="auto"/>
      </w:divBdr>
    </w:div>
    <w:div w:id="1915239028">
      <w:bodyDiv w:val="1"/>
      <w:marLeft w:val="0"/>
      <w:marRight w:val="0"/>
      <w:marTop w:val="0"/>
      <w:marBottom w:val="0"/>
      <w:divBdr>
        <w:top w:val="none" w:sz="0" w:space="0" w:color="auto"/>
        <w:left w:val="none" w:sz="0" w:space="0" w:color="auto"/>
        <w:bottom w:val="none" w:sz="0" w:space="0" w:color="auto"/>
        <w:right w:val="none" w:sz="0" w:space="0" w:color="auto"/>
      </w:divBdr>
    </w:div>
    <w:div w:id="1921211115">
      <w:bodyDiv w:val="1"/>
      <w:marLeft w:val="0"/>
      <w:marRight w:val="0"/>
      <w:marTop w:val="0"/>
      <w:marBottom w:val="0"/>
      <w:divBdr>
        <w:top w:val="none" w:sz="0" w:space="0" w:color="auto"/>
        <w:left w:val="none" w:sz="0" w:space="0" w:color="auto"/>
        <w:bottom w:val="none" w:sz="0" w:space="0" w:color="auto"/>
        <w:right w:val="none" w:sz="0" w:space="0" w:color="auto"/>
      </w:divBdr>
    </w:div>
    <w:div w:id="1924753953">
      <w:bodyDiv w:val="1"/>
      <w:marLeft w:val="0"/>
      <w:marRight w:val="0"/>
      <w:marTop w:val="0"/>
      <w:marBottom w:val="0"/>
      <w:divBdr>
        <w:top w:val="none" w:sz="0" w:space="0" w:color="auto"/>
        <w:left w:val="none" w:sz="0" w:space="0" w:color="auto"/>
        <w:bottom w:val="none" w:sz="0" w:space="0" w:color="auto"/>
        <w:right w:val="none" w:sz="0" w:space="0" w:color="auto"/>
      </w:divBdr>
    </w:div>
    <w:div w:id="1972712708">
      <w:bodyDiv w:val="1"/>
      <w:marLeft w:val="0"/>
      <w:marRight w:val="0"/>
      <w:marTop w:val="0"/>
      <w:marBottom w:val="0"/>
      <w:divBdr>
        <w:top w:val="none" w:sz="0" w:space="0" w:color="auto"/>
        <w:left w:val="none" w:sz="0" w:space="0" w:color="auto"/>
        <w:bottom w:val="none" w:sz="0" w:space="0" w:color="auto"/>
        <w:right w:val="none" w:sz="0" w:space="0" w:color="auto"/>
      </w:divBdr>
    </w:div>
    <w:div w:id="2024621449">
      <w:bodyDiv w:val="1"/>
      <w:marLeft w:val="0"/>
      <w:marRight w:val="0"/>
      <w:marTop w:val="0"/>
      <w:marBottom w:val="0"/>
      <w:divBdr>
        <w:top w:val="none" w:sz="0" w:space="0" w:color="auto"/>
        <w:left w:val="none" w:sz="0" w:space="0" w:color="auto"/>
        <w:bottom w:val="none" w:sz="0" w:space="0" w:color="auto"/>
        <w:right w:val="none" w:sz="0" w:space="0" w:color="auto"/>
      </w:divBdr>
    </w:div>
    <w:div w:id="2029065229">
      <w:bodyDiv w:val="1"/>
      <w:marLeft w:val="0"/>
      <w:marRight w:val="0"/>
      <w:marTop w:val="0"/>
      <w:marBottom w:val="0"/>
      <w:divBdr>
        <w:top w:val="none" w:sz="0" w:space="0" w:color="auto"/>
        <w:left w:val="none" w:sz="0" w:space="0" w:color="auto"/>
        <w:bottom w:val="none" w:sz="0" w:space="0" w:color="auto"/>
        <w:right w:val="none" w:sz="0" w:space="0" w:color="auto"/>
      </w:divBdr>
      <w:divsChild>
        <w:div w:id="41832520">
          <w:marLeft w:val="1138"/>
          <w:marRight w:val="0"/>
          <w:marTop w:val="0"/>
          <w:marBottom w:val="720"/>
          <w:divBdr>
            <w:top w:val="none" w:sz="0" w:space="0" w:color="auto"/>
            <w:left w:val="none" w:sz="0" w:space="0" w:color="auto"/>
            <w:bottom w:val="none" w:sz="0" w:space="0" w:color="auto"/>
            <w:right w:val="none" w:sz="0" w:space="0" w:color="auto"/>
          </w:divBdr>
        </w:div>
        <w:div w:id="1100835191">
          <w:marLeft w:val="1138"/>
          <w:marRight w:val="0"/>
          <w:marTop w:val="0"/>
          <w:marBottom w:val="720"/>
          <w:divBdr>
            <w:top w:val="none" w:sz="0" w:space="0" w:color="auto"/>
            <w:left w:val="none" w:sz="0" w:space="0" w:color="auto"/>
            <w:bottom w:val="none" w:sz="0" w:space="0" w:color="auto"/>
            <w:right w:val="none" w:sz="0" w:space="0" w:color="auto"/>
          </w:divBdr>
        </w:div>
        <w:div w:id="1130980293">
          <w:marLeft w:val="1138"/>
          <w:marRight w:val="0"/>
          <w:marTop w:val="0"/>
          <w:marBottom w:val="720"/>
          <w:divBdr>
            <w:top w:val="none" w:sz="0" w:space="0" w:color="auto"/>
            <w:left w:val="none" w:sz="0" w:space="0" w:color="auto"/>
            <w:bottom w:val="none" w:sz="0" w:space="0" w:color="auto"/>
            <w:right w:val="none" w:sz="0" w:space="0" w:color="auto"/>
          </w:divBdr>
        </w:div>
        <w:div w:id="1150829421">
          <w:marLeft w:val="1138"/>
          <w:marRight w:val="0"/>
          <w:marTop w:val="0"/>
          <w:marBottom w:val="720"/>
          <w:divBdr>
            <w:top w:val="none" w:sz="0" w:space="0" w:color="auto"/>
            <w:left w:val="none" w:sz="0" w:space="0" w:color="auto"/>
            <w:bottom w:val="none" w:sz="0" w:space="0" w:color="auto"/>
            <w:right w:val="none" w:sz="0" w:space="0" w:color="auto"/>
          </w:divBdr>
        </w:div>
      </w:divsChild>
    </w:div>
    <w:div w:id="2035111012">
      <w:bodyDiv w:val="1"/>
      <w:marLeft w:val="0"/>
      <w:marRight w:val="0"/>
      <w:marTop w:val="0"/>
      <w:marBottom w:val="0"/>
      <w:divBdr>
        <w:top w:val="none" w:sz="0" w:space="0" w:color="auto"/>
        <w:left w:val="none" w:sz="0" w:space="0" w:color="auto"/>
        <w:bottom w:val="none" w:sz="0" w:space="0" w:color="auto"/>
        <w:right w:val="none" w:sz="0" w:space="0" w:color="auto"/>
      </w:divBdr>
    </w:div>
    <w:div w:id="2083527182">
      <w:bodyDiv w:val="1"/>
      <w:marLeft w:val="0"/>
      <w:marRight w:val="0"/>
      <w:marTop w:val="0"/>
      <w:marBottom w:val="0"/>
      <w:divBdr>
        <w:top w:val="none" w:sz="0" w:space="0" w:color="auto"/>
        <w:left w:val="none" w:sz="0" w:space="0" w:color="auto"/>
        <w:bottom w:val="none" w:sz="0" w:space="0" w:color="auto"/>
        <w:right w:val="none" w:sz="0" w:space="0" w:color="auto"/>
      </w:divBdr>
    </w:div>
    <w:div w:id="20864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bccr-my.sharepoint.com/personal/cespedesld_supen_fi_cr/Documents/SUPEN/P&amp;N_Planificaci&#243;n&amp;Normativa/InformeConassif/InformeConassifJun2021/Cuadr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os%20Usuarios\carvajalmn\Desktop\T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06244942963908E-2"/>
          <c:y val="6.1173828207564174E-2"/>
          <c:w val="0.80475250658238862"/>
          <c:h val="0.61738532375445254"/>
        </c:manualLayout>
      </c:layout>
      <c:barChart>
        <c:barDir val="col"/>
        <c:grouping val="stacked"/>
        <c:varyColors val="0"/>
        <c:ser>
          <c:idx val="0"/>
          <c:order val="0"/>
          <c:tx>
            <c:strRef>
              <c:f>Activo!$B$17</c:f>
              <c:strCache>
                <c:ptCount val="1"/>
                <c:pt idx="0">
                  <c:v>Fondo de Capitalización Laboral</c:v>
                </c:pt>
              </c:strCache>
            </c:strRef>
          </c:tx>
          <c:spPr>
            <a:solidFill>
              <a:schemeClr val="accent1"/>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Activo!$B$18:$B$29</c:f>
              <c:numCache>
                <c:formatCode>_-* #,##0.0_-;\-* #,##0.0_-;_-* "-"??_-;_-@_-</c:formatCode>
                <c:ptCount val="12"/>
                <c:pt idx="0">
                  <c:v>0.37758497349279002</c:v>
                </c:pt>
                <c:pt idx="1">
                  <c:v>0.30237424868655</c:v>
                </c:pt>
                <c:pt idx="2">
                  <c:v>0.37924599498111999</c:v>
                </c:pt>
                <c:pt idx="3">
                  <c:v>0.46087351818978001</c:v>
                </c:pt>
                <c:pt idx="4">
                  <c:v>0.53172622033729999</c:v>
                </c:pt>
                <c:pt idx="5">
                  <c:v>0.62663351038924997</c:v>
                </c:pt>
                <c:pt idx="6">
                  <c:v>0.49952520989500998</c:v>
                </c:pt>
                <c:pt idx="7">
                  <c:v>0.56977895297609005</c:v>
                </c:pt>
                <c:pt idx="8">
                  <c:v>0.62508713847675001</c:v>
                </c:pt>
                <c:pt idx="9">
                  <c:v>0.72465513350761002</c:v>
                </c:pt>
                <c:pt idx="10">
                  <c:v>0.73302074826222996</c:v>
                </c:pt>
                <c:pt idx="11">
                  <c:v>0.53723487743940002</c:v>
                </c:pt>
              </c:numCache>
            </c:numRef>
          </c:val>
          <c:extLst>
            <c:ext xmlns:c16="http://schemas.microsoft.com/office/drawing/2014/chart" uri="{C3380CC4-5D6E-409C-BE32-E72D297353CC}">
              <c16:uniqueId val="{00000000-880A-47A9-BEC6-7FE4EADF0912}"/>
            </c:ext>
          </c:extLst>
        </c:ser>
        <c:ser>
          <c:idx val="1"/>
          <c:order val="1"/>
          <c:tx>
            <c:strRef>
              <c:f>Activo!$C$17</c:f>
              <c:strCache>
                <c:ptCount val="1"/>
                <c:pt idx="0">
                  <c:v>Planes Voluntarios</c:v>
                </c:pt>
              </c:strCache>
            </c:strRef>
          </c:tx>
          <c:spPr>
            <a:solidFill>
              <a:schemeClr val="accent2"/>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Activo!$C$18:$C$29</c:f>
              <c:numCache>
                <c:formatCode>_-* #,##0.0_-;\-* #,##0.0_-;_-* "-"??_-;_-@_-</c:formatCode>
                <c:ptCount val="12"/>
                <c:pt idx="0">
                  <c:v>0.17195796892910301</c:v>
                </c:pt>
                <c:pt idx="1">
                  <c:v>0.17952226052714099</c:v>
                </c:pt>
                <c:pt idx="2">
                  <c:v>0.184627219173434</c:v>
                </c:pt>
                <c:pt idx="3">
                  <c:v>0.20362797783183001</c:v>
                </c:pt>
                <c:pt idx="4">
                  <c:v>0.21923935125043501</c:v>
                </c:pt>
                <c:pt idx="5">
                  <c:v>0.25086128230229499</c:v>
                </c:pt>
                <c:pt idx="6">
                  <c:v>0.28851913269344498</c:v>
                </c:pt>
                <c:pt idx="7">
                  <c:v>0.318460539294183</c:v>
                </c:pt>
                <c:pt idx="8">
                  <c:v>0.341995056160177</c:v>
                </c:pt>
                <c:pt idx="9">
                  <c:v>0.39361887619519698</c:v>
                </c:pt>
                <c:pt idx="10">
                  <c:v>0.45417075020415998</c:v>
                </c:pt>
                <c:pt idx="11">
                  <c:v>0.52747817331409497</c:v>
                </c:pt>
              </c:numCache>
            </c:numRef>
          </c:val>
          <c:extLst>
            <c:ext xmlns:c16="http://schemas.microsoft.com/office/drawing/2014/chart" uri="{C3380CC4-5D6E-409C-BE32-E72D297353CC}">
              <c16:uniqueId val="{00000001-880A-47A9-BEC6-7FE4EADF0912}"/>
            </c:ext>
          </c:extLst>
        </c:ser>
        <c:ser>
          <c:idx val="2"/>
          <c:order val="2"/>
          <c:tx>
            <c:strRef>
              <c:f>Activo!$D$17</c:f>
              <c:strCache>
                <c:ptCount val="1"/>
                <c:pt idx="0">
                  <c:v>Régimen Obligatorio Complementario</c:v>
                </c:pt>
              </c:strCache>
            </c:strRef>
          </c:tx>
          <c:spPr>
            <a:solidFill>
              <a:schemeClr val="accent3"/>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Activo!$D$18:$D$29</c:f>
              <c:numCache>
                <c:formatCode>_-* #,##0.0_-;\-* #,##0.0_-;_-* "-"??_-;_-@_-</c:formatCode>
                <c:ptCount val="12"/>
                <c:pt idx="0">
                  <c:v>1.4568919565431799</c:v>
                </c:pt>
                <c:pt idx="1">
                  <c:v>1.8055407988371299</c:v>
                </c:pt>
                <c:pt idx="2">
                  <c:v>2.22898511556757</c:v>
                </c:pt>
                <c:pt idx="3">
                  <c:v>2.74334720764808</c:v>
                </c:pt>
                <c:pt idx="4">
                  <c:v>3.21685753199713</c:v>
                </c:pt>
                <c:pt idx="5">
                  <c:v>3.87641127595831</c:v>
                </c:pt>
                <c:pt idx="6">
                  <c:v>4.4579054772766096</c:v>
                </c:pt>
                <c:pt idx="7">
                  <c:v>5.0534913627572404</c:v>
                </c:pt>
                <c:pt idx="8">
                  <c:v>5.6668539109234404</c:v>
                </c:pt>
                <c:pt idx="9">
                  <c:v>6.8508475886768601</c:v>
                </c:pt>
                <c:pt idx="10">
                  <c:v>7.8664910546024496</c:v>
                </c:pt>
                <c:pt idx="11">
                  <c:v>8.8709456619514793</c:v>
                </c:pt>
              </c:numCache>
            </c:numRef>
          </c:val>
          <c:extLst>
            <c:ext xmlns:c16="http://schemas.microsoft.com/office/drawing/2014/chart" uri="{C3380CC4-5D6E-409C-BE32-E72D297353CC}">
              <c16:uniqueId val="{00000002-880A-47A9-BEC6-7FE4EADF0912}"/>
            </c:ext>
          </c:extLst>
        </c:ser>
        <c:ser>
          <c:idx val="3"/>
          <c:order val="3"/>
          <c:tx>
            <c:strRef>
              <c:f>Activo!$E$17</c:f>
              <c:strCache>
                <c:ptCount val="1"/>
                <c:pt idx="0">
                  <c:v>Regímenes Básicos Sustitutos</c:v>
                </c:pt>
              </c:strCache>
            </c:strRef>
          </c:tx>
          <c:spPr>
            <a:solidFill>
              <a:schemeClr val="accent4"/>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Activo!$E$18:$E$29</c:f>
              <c:numCache>
                <c:formatCode>_-* #,##0.0_-;\-* #,##0.0_-;_-* "-"??_-;_-@_-</c:formatCode>
                <c:ptCount val="12"/>
                <c:pt idx="0">
                  <c:v>1.25728892430232</c:v>
                </c:pt>
                <c:pt idx="1">
                  <c:v>1.4677862957298999</c:v>
                </c:pt>
                <c:pt idx="2">
                  <c:v>1.69622205438962</c:v>
                </c:pt>
                <c:pt idx="3">
                  <c:v>1.43910679533172</c:v>
                </c:pt>
                <c:pt idx="4">
                  <c:v>1.6723162251665902</c:v>
                </c:pt>
                <c:pt idx="5">
                  <c:v>2.00195846850034</c:v>
                </c:pt>
                <c:pt idx="6">
                  <c:v>2.3342637255577601</c:v>
                </c:pt>
                <c:pt idx="7">
                  <c:v>2.6547632996576698</c:v>
                </c:pt>
                <c:pt idx="8">
                  <c:v>3.0031769200416898</c:v>
                </c:pt>
                <c:pt idx="9">
                  <c:v>3.6225673215315499</c:v>
                </c:pt>
                <c:pt idx="10">
                  <c:v>4.0674292211651499</c:v>
                </c:pt>
                <c:pt idx="11">
                  <c:v>4.3686924694357003</c:v>
                </c:pt>
              </c:numCache>
            </c:numRef>
          </c:val>
          <c:extLst>
            <c:ext xmlns:c16="http://schemas.microsoft.com/office/drawing/2014/chart" uri="{C3380CC4-5D6E-409C-BE32-E72D297353CC}">
              <c16:uniqueId val="{00000003-880A-47A9-BEC6-7FE4EADF0912}"/>
            </c:ext>
          </c:extLst>
        </c:ser>
        <c:ser>
          <c:idx val="4"/>
          <c:order val="4"/>
          <c:tx>
            <c:strRef>
              <c:f>Activo!$F$17</c:f>
              <c:strCache>
                <c:ptCount val="1"/>
                <c:pt idx="0">
                  <c:v>Regímenes Ocupacionales Complementarios</c:v>
                </c:pt>
              </c:strCache>
            </c:strRef>
          </c:tx>
          <c:spPr>
            <a:solidFill>
              <a:schemeClr val="accent5"/>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Activo!$F$18:$F$29</c:f>
              <c:numCache>
                <c:formatCode>_-* #,##0.0_-;\-* #,##0.0_-;_-* "-"??_-;_-@_-</c:formatCode>
                <c:ptCount val="12"/>
                <c:pt idx="0">
                  <c:v>6.4359717239919997E-2</c:v>
                </c:pt>
                <c:pt idx="1">
                  <c:v>7.5906551435889993E-2</c:v>
                </c:pt>
                <c:pt idx="2">
                  <c:v>9.0065997832899994E-2</c:v>
                </c:pt>
                <c:pt idx="3">
                  <c:v>0.62232204967185001</c:v>
                </c:pt>
                <c:pt idx="4">
                  <c:v>0.67686945057893999</c:v>
                </c:pt>
                <c:pt idx="5">
                  <c:v>0.74383261028804004</c:v>
                </c:pt>
                <c:pt idx="6">
                  <c:v>0.78788628585081999</c:v>
                </c:pt>
                <c:pt idx="7">
                  <c:v>0.79824832826771996</c:v>
                </c:pt>
                <c:pt idx="8">
                  <c:v>0.82641658157191</c:v>
                </c:pt>
                <c:pt idx="9">
                  <c:v>0.90873995754376002</c:v>
                </c:pt>
                <c:pt idx="10">
                  <c:v>0.92572625482253001</c:v>
                </c:pt>
                <c:pt idx="11">
                  <c:v>0.98067688102511996</c:v>
                </c:pt>
              </c:numCache>
            </c:numRef>
          </c:val>
          <c:extLst>
            <c:ext xmlns:c16="http://schemas.microsoft.com/office/drawing/2014/chart" uri="{C3380CC4-5D6E-409C-BE32-E72D297353CC}">
              <c16:uniqueId val="{00000004-880A-47A9-BEC6-7FE4EADF0912}"/>
            </c:ext>
          </c:extLst>
        </c:ser>
        <c:ser>
          <c:idx val="5"/>
          <c:order val="5"/>
          <c:tx>
            <c:strRef>
              <c:f>Activo!$G$17</c:f>
              <c:strCache>
                <c:ptCount val="1"/>
                <c:pt idx="0">
                  <c:v>Régimen Básico</c:v>
                </c:pt>
              </c:strCache>
            </c:strRef>
          </c:tx>
          <c:spPr>
            <a:solidFill>
              <a:schemeClr val="accent6"/>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Activo!$G$18:$G$29</c:f>
              <c:numCache>
                <c:formatCode>_-* #,##0.0_-;\-* #,##0.0_-;_-* "-"??_-;_-@_-</c:formatCode>
                <c:ptCount val="12"/>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3.0622645146567899</c:v>
                </c:pt>
                <c:pt idx="11">
                  <c:v>3.2064366711802599</c:v>
                </c:pt>
              </c:numCache>
            </c:numRef>
          </c:val>
          <c:extLst>
            <c:ext xmlns:c16="http://schemas.microsoft.com/office/drawing/2014/chart" uri="{C3380CC4-5D6E-409C-BE32-E72D297353CC}">
              <c16:uniqueId val="{00000005-880A-47A9-BEC6-7FE4EADF0912}"/>
            </c:ext>
          </c:extLst>
        </c:ser>
        <c:dLbls>
          <c:showLegendKey val="0"/>
          <c:showVal val="0"/>
          <c:showCatName val="0"/>
          <c:showSerName val="0"/>
          <c:showPercent val="0"/>
          <c:showBubbleSize val="0"/>
        </c:dLbls>
        <c:gapWidth val="150"/>
        <c:overlap val="100"/>
        <c:axId val="1953945871"/>
        <c:axId val="1952308191"/>
      </c:barChart>
      <c:lineChart>
        <c:grouping val="stacked"/>
        <c:varyColors val="0"/>
        <c:ser>
          <c:idx val="6"/>
          <c:order val="6"/>
          <c:tx>
            <c:strRef>
              <c:f>Activo!$I$17</c:f>
              <c:strCache>
                <c:ptCount val="1"/>
                <c:pt idx="0">
                  <c:v>% PIB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3.6753439726448948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0A-47A9-BEC6-7FE4EADF0912}"/>
                </c:ext>
              </c:extLst>
            </c:dLbl>
            <c:dLbl>
              <c:idx val="1"/>
              <c:layout>
                <c:manualLayout>
                  <c:x val="-3.0627813636173177E-2"/>
                  <c:y val="-3.7236545551226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0A-47A9-BEC6-7FE4EADF0912}"/>
                </c:ext>
              </c:extLst>
            </c:dLbl>
            <c:dLbl>
              <c:idx val="2"/>
              <c:layout>
                <c:manualLayout>
                  <c:x val="-2.450229315096596E-2"/>
                  <c:y val="-3.188838562850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0A-47A9-BEC6-7FE4EADF0912}"/>
                </c:ext>
              </c:extLst>
            </c:dLbl>
            <c:dLbl>
              <c:idx val="3"/>
              <c:layout>
                <c:manualLayout>
                  <c:x val="-3.2669724201287949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0A-47A9-BEC6-7FE4EADF0912}"/>
                </c:ext>
              </c:extLst>
            </c:dLbl>
            <c:dLbl>
              <c:idx val="4"/>
              <c:layout>
                <c:manualLayout>
                  <c:x val="-3.0627866438707449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0A-47A9-BEC6-7FE4EADF0912}"/>
                </c:ext>
              </c:extLst>
            </c:dLbl>
            <c:dLbl>
              <c:idx val="5"/>
              <c:layout>
                <c:manualLayout>
                  <c:x val="-3.0627866438707525E-2"/>
                  <c:y val="-3.1888385628507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0A-47A9-BEC6-7FE4EADF0912}"/>
                </c:ext>
              </c:extLst>
            </c:dLbl>
            <c:dLbl>
              <c:idx val="6"/>
              <c:layout>
                <c:manualLayout>
                  <c:x val="-3.0627866438707449E-2"/>
                  <c:y val="-3.9860482035634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0A-47A9-BEC6-7FE4EADF0912}"/>
                </c:ext>
              </c:extLst>
            </c:dLbl>
            <c:dLbl>
              <c:idx val="7"/>
              <c:layout>
                <c:manualLayout>
                  <c:x val="-3.0627866438707525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0A-47A9-BEC6-7FE4EADF0912}"/>
                </c:ext>
              </c:extLst>
            </c:dLbl>
            <c:dLbl>
              <c:idx val="8"/>
              <c:layout>
                <c:manualLayout>
                  <c:x val="-3.0627813636173177E-2"/>
                  <c:y val="-3.3250382124366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80A-47A9-BEC6-7FE4EADF0912}"/>
                </c:ext>
              </c:extLst>
            </c:dLbl>
            <c:dLbl>
              <c:idx val="9"/>
              <c:layout>
                <c:manualLayout>
                  <c:x val="-3.6562530812631153E-2"/>
                  <c:y val="-3.4158692300333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80A-47A9-BEC6-7FE4EADF0912}"/>
                </c:ext>
              </c:extLst>
            </c:dLbl>
            <c:dLbl>
              <c:idx val="10"/>
              <c:layout>
                <c:manualLayout>
                  <c:x val="-3.0627866438707449E-2"/>
                  <c:y val="-2.790233742494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80A-47A9-BEC6-7FE4EADF0912}"/>
                </c:ext>
              </c:extLst>
            </c:dLbl>
            <c:dLbl>
              <c:idx val="11"/>
              <c:layout>
                <c:manualLayout>
                  <c:x val="-3.0627866438707449E-2"/>
                  <c:y val="-3.9860482035634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80A-47A9-BEC6-7FE4EADF09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Activo!$I$18:$I$29</c:f>
              <c:numCache>
                <c:formatCode>0%</c:formatCode>
                <c:ptCount val="12"/>
                <c:pt idx="0">
                  <c:v>0.24245427136020203</c:v>
                </c:pt>
                <c:pt idx="1">
                  <c:v>0.25275266490164167</c:v>
                </c:pt>
                <c:pt idx="2">
                  <c:v>0.267228023151313</c:v>
                </c:pt>
                <c:pt idx="3">
                  <c:v>0.28880746766551224</c:v>
                </c:pt>
                <c:pt idx="4">
                  <c:v>0.29665935502777663</c:v>
                </c:pt>
                <c:pt idx="5">
                  <c:v>0.31730602504325323</c:v>
                </c:pt>
                <c:pt idx="6">
                  <c:v>0.33043559795960581</c:v>
                </c:pt>
                <c:pt idx="7">
                  <c:v>0.34389672383448699</c:v>
                </c:pt>
                <c:pt idx="8">
                  <c:v>0.36600794048891971</c:v>
                </c:pt>
                <c:pt idx="9">
                  <c:v>0.41061455033470118</c:v>
                </c:pt>
                <c:pt idx="10">
                  <c:v>0.47416087832462961</c:v>
                </c:pt>
                <c:pt idx="11">
                  <c:v>0.48852348280432512</c:v>
                </c:pt>
              </c:numCache>
            </c:numRef>
          </c:val>
          <c:smooth val="0"/>
          <c:extLst>
            <c:ext xmlns:c16="http://schemas.microsoft.com/office/drawing/2014/chart" uri="{C3380CC4-5D6E-409C-BE32-E72D297353CC}">
              <c16:uniqueId val="{00000012-880A-47A9-BEC6-7FE4EADF0912}"/>
            </c:ext>
          </c:extLst>
        </c:ser>
        <c:dLbls>
          <c:showLegendKey val="0"/>
          <c:showVal val="0"/>
          <c:showCatName val="0"/>
          <c:showSerName val="0"/>
          <c:showPercent val="0"/>
          <c:showBubbleSize val="0"/>
        </c:dLbls>
        <c:marker val="1"/>
        <c:smooth val="0"/>
        <c:axId val="1956588463"/>
        <c:axId val="2051111855"/>
      </c:lineChart>
      <c:catAx>
        <c:axId val="1953945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52308191"/>
        <c:crosses val="autoZero"/>
        <c:auto val="0"/>
        <c:lblAlgn val="ctr"/>
        <c:lblOffset val="100"/>
        <c:noMultiLvlLbl val="0"/>
      </c:catAx>
      <c:valAx>
        <c:axId val="195230819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a:t>
                </a:r>
                <a:r>
                  <a:rPr lang="en-US" baseline="0"/>
                  <a:t> en b</a:t>
                </a:r>
                <a:r>
                  <a:rPr lang="en-US"/>
                  <a:t>illones de colones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53945871"/>
        <c:crosses val="autoZero"/>
        <c:crossBetween val="between"/>
      </c:valAx>
      <c:valAx>
        <c:axId val="205111185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56588463"/>
        <c:crosses val="max"/>
        <c:crossBetween val="between"/>
      </c:valAx>
      <c:catAx>
        <c:axId val="1956588463"/>
        <c:scaling>
          <c:orientation val="minMax"/>
        </c:scaling>
        <c:delete val="1"/>
        <c:axPos val="b"/>
        <c:majorTickMark val="out"/>
        <c:minorTickMark val="none"/>
        <c:tickLblPos val="nextTo"/>
        <c:crossAx val="2051111855"/>
        <c:crosses val="autoZero"/>
        <c:auto val="1"/>
        <c:lblAlgn val="ctr"/>
        <c:lblOffset val="100"/>
        <c:noMultiLvlLbl val="0"/>
      </c:catAx>
      <c:spPr>
        <a:noFill/>
        <a:ln>
          <a:noFill/>
        </a:ln>
        <a:effectLst/>
      </c:spPr>
    </c:plotArea>
    <c:legend>
      <c:legendPos val="b"/>
      <c:layout>
        <c:manualLayout>
          <c:xMode val="edge"/>
          <c:yMode val="edge"/>
          <c:x val="2.7041110153242228E-2"/>
          <c:y val="0.76883588246870094"/>
          <c:w val="0.9556677078984871"/>
          <c:h val="0.228568478268033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Hoja6!$D$14</c:f>
              <c:strCache>
                <c:ptCount val="1"/>
                <c:pt idx="0">
                  <c:v>Monto Total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0E9-4FF2-8CC5-47CF1E0ECD8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0E9-4FF2-8CC5-47CF1E0ECD8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0E9-4FF2-8CC5-47CF1E0ECD8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0E9-4FF2-8CC5-47CF1E0ECD8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0E9-4FF2-8CC5-47CF1E0ECD8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0E9-4FF2-8CC5-47CF1E0ECD8F}"/>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 </a:t>
                    </a:r>
                    <a:fld id="{69729D08-AA03-4609-BBA6-88F539B4BD7A}" type="VALUE">
                      <a:rPr lang="en-US" baseline="0"/>
                      <a:pPr>
                        <a:defRPr/>
                      </a:pPr>
                      <a:t>[VALOR]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0E9-4FF2-8CC5-47CF1E0ECD8F}"/>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DCDEB98-A8D7-4DDA-9D66-8EF17D8245D9}" type="VALUE">
                      <a:rPr lang="en-US" baseline="0"/>
                      <a:pPr>
                        <a:defRPr>
                          <a:solidFill>
                            <a:schemeClr val="accent1"/>
                          </a:solidFill>
                        </a:defRPr>
                      </a:pPr>
                      <a:t>[VALOR]</a:t>
                    </a:fld>
                    <a:endParaRPr lang="es-C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0E9-4FF2-8CC5-47CF1E0ECD8F}"/>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32E5EDF-0507-4953-93A6-F1EC1EEB2D2C}" type="VALUE">
                      <a:rPr lang="en-US" baseline="0"/>
                      <a:pPr>
                        <a:defRPr>
                          <a:solidFill>
                            <a:schemeClr val="accent1"/>
                          </a:solidFill>
                        </a:defRPr>
                      </a:pPr>
                      <a:t>[VALOR]</a:t>
                    </a:fld>
                    <a:endParaRPr lang="es-C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0E9-4FF2-8CC5-47CF1E0ECD8F}"/>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04B7357-FB9E-4F06-9642-43D139133395}" type="VALUE">
                      <a:rPr lang="en-US" baseline="0"/>
                      <a:pPr>
                        <a:defRPr>
                          <a:solidFill>
                            <a:schemeClr val="accent1"/>
                          </a:solidFill>
                        </a:defRPr>
                      </a:pPr>
                      <a:t>[VALOR]</a:t>
                    </a:fld>
                    <a:endParaRPr lang="es-C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0E9-4FF2-8CC5-47CF1E0ECD8F}"/>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 </a:t>
                    </a:r>
                    <a:fld id="{9B58307C-CF78-41AB-B5A4-2071A7B36224}" type="VALUE">
                      <a:rPr lang="en-US" baseline="0"/>
                      <a:pPr>
                        <a:defRPr>
                          <a:solidFill>
                            <a:schemeClr val="accent1"/>
                          </a:solidFill>
                        </a:defRPr>
                      </a:pPr>
                      <a:t>[VALOR]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0E9-4FF2-8CC5-47CF1E0ECD8F}"/>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 </a:t>
                    </a:r>
                    <a:fld id="{A8107A3D-BCEC-4359-B465-66E5C6897530}" type="VALUE">
                      <a:rPr lang="en-US" baseline="0"/>
                      <a:pPr>
                        <a:defRPr>
                          <a:solidFill>
                            <a:schemeClr val="accent1"/>
                          </a:solidFill>
                        </a:defRPr>
                      </a:pPr>
                      <a:t>[VALOR]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R"/>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0E9-4FF2-8CC5-47CF1E0ECD8F}"/>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Hoja6!$C$15:$C$20</c:f>
              <c:strCache>
                <c:ptCount val="6"/>
                <c:pt idx="0">
                  <c:v>Popular Pensiones</c:v>
                </c:pt>
                <c:pt idx="1">
                  <c:v>BN VITAL</c:v>
                </c:pt>
                <c:pt idx="2">
                  <c:v>BAC</c:v>
                </c:pt>
                <c:pt idx="3">
                  <c:v>BCR</c:v>
                </c:pt>
                <c:pt idx="4">
                  <c:v>Vida Plena</c:v>
                </c:pt>
                <c:pt idx="5">
                  <c:v>CCSS</c:v>
                </c:pt>
              </c:strCache>
            </c:strRef>
          </c:cat>
          <c:val>
            <c:numRef>
              <c:f>Hoja6!$D$15:$D$20</c:f>
              <c:numCache>
                <c:formatCode>0%</c:formatCode>
                <c:ptCount val="6"/>
                <c:pt idx="0">
                  <c:v>0.44692310645194955</c:v>
                </c:pt>
                <c:pt idx="1">
                  <c:v>0.16792563614593184</c:v>
                </c:pt>
                <c:pt idx="2">
                  <c:v>0.12581765080383855</c:v>
                </c:pt>
                <c:pt idx="3">
                  <c:v>0.11518583607492851</c:v>
                </c:pt>
                <c:pt idx="4">
                  <c:v>0.10670967632455398</c:v>
                </c:pt>
                <c:pt idx="5">
                  <c:v>3.7438094198797595E-2</c:v>
                </c:pt>
              </c:numCache>
            </c:numRef>
          </c:val>
          <c:extLst>
            <c:ext xmlns:c16="http://schemas.microsoft.com/office/drawing/2014/chart" uri="{C3380CC4-5D6E-409C-BE32-E72D297353CC}">
              <c16:uniqueId val="{0000000C-B0E9-4FF2-8CC5-47CF1E0ECD8F}"/>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6856631F615B3409059BBB0F9B27DCB" ma:contentTypeVersion="15" ma:contentTypeDescription="Crear nuevo documento." ma:contentTypeScope="" ma:versionID="47210b89c82ae1714ee5357ee90d6da2">
  <xsd:schema xmlns:xsd="http://www.w3.org/2001/XMLSchema" xmlns:xs="http://www.w3.org/2001/XMLSchema" xmlns:p="http://schemas.microsoft.com/office/2006/metadata/properties" xmlns:ns2="b18c669d-fb4a-4eb9-a4d1-62cdc1f0ce82" xmlns:ns3="2771f82f-2111-4618-a6ac-913e60384c73" targetNamespace="http://schemas.microsoft.com/office/2006/metadata/properties" ma:root="true" ma:fieldsID="004a81f54fee428c8bd711f989c5dc6b" ns2:_="" ns3:_="">
    <xsd:import namespace="b18c669d-fb4a-4eb9-a4d1-62cdc1f0ce82"/>
    <xsd:import namespace="2771f82f-2111-4618-a6ac-913e60384c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4"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f82f-2111-4618-a6ac-913e60384c7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C606F75-222F-49FD-B732-0F1BC6B76F1D}">
  <ds:schemaRefs>
    <ds:schemaRef ds:uri="http://schemas.openxmlformats.org/officeDocument/2006/bibliography"/>
  </ds:schemaRefs>
</ds:datastoreItem>
</file>

<file path=customXml/itemProps2.xml><?xml version="1.0" encoding="utf-8"?>
<ds:datastoreItem xmlns:ds="http://schemas.openxmlformats.org/officeDocument/2006/customXml" ds:itemID="{F85B4269-2719-4891-AB1A-558B33340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FD857-AC98-4105-8607-99C7896A2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669d-fb4a-4eb9-a4d1-62cdc1f0ce82"/>
    <ds:schemaRef ds:uri="2771f82f-2111-4618-a6ac-913e603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BE201-89C0-40AC-97C9-D2D2326B4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5263</Words>
  <Characters>28949</Characters>
  <Application>Microsoft Office Word</Application>
  <DocSecurity>0</DocSecurity>
  <Lines>241</Lines>
  <Paragraphs>68</Paragraphs>
  <ScaleCrop>false</ScaleCrop>
  <Company/>
  <LinksUpToDate>false</LinksUpToDate>
  <CharactersWithSpaces>34144</CharactersWithSpaces>
  <SharedDoc>false</SharedDoc>
  <HLinks>
    <vt:vector size="138" baseType="variant">
      <vt:variant>
        <vt:i4>1114163</vt:i4>
      </vt:variant>
      <vt:variant>
        <vt:i4>119</vt:i4>
      </vt:variant>
      <vt:variant>
        <vt:i4>0</vt:i4>
      </vt:variant>
      <vt:variant>
        <vt:i4>5</vt:i4>
      </vt:variant>
      <vt:variant>
        <vt:lpwstr/>
      </vt:variant>
      <vt:variant>
        <vt:lpwstr>_Toc80290699</vt:lpwstr>
      </vt:variant>
      <vt:variant>
        <vt:i4>1048627</vt:i4>
      </vt:variant>
      <vt:variant>
        <vt:i4>113</vt:i4>
      </vt:variant>
      <vt:variant>
        <vt:i4>0</vt:i4>
      </vt:variant>
      <vt:variant>
        <vt:i4>5</vt:i4>
      </vt:variant>
      <vt:variant>
        <vt:lpwstr/>
      </vt:variant>
      <vt:variant>
        <vt:lpwstr>_Toc80290698</vt:lpwstr>
      </vt:variant>
      <vt:variant>
        <vt:i4>2031667</vt:i4>
      </vt:variant>
      <vt:variant>
        <vt:i4>107</vt:i4>
      </vt:variant>
      <vt:variant>
        <vt:i4>0</vt:i4>
      </vt:variant>
      <vt:variant>
        <vt:i4>5</vt:i4>
      </vt:variant>
      <vt:variant>
        <vt:lpwstr/>
      </vt:variant>
      <vt:variant>
        <vt:lpwstr>_Toc80290697</vt:lpwstr>
      </vt:variant>
      <vt:variant>
        <vt:i4>1966131</vt:i4>
      </vt:variant>
      <vt:variant>
        <vt:i4>101</vt:i4>
      </vt:variant>
      <vt:variant>
        <vt:i4>0</vt:i4>
      </vt:variant>
      <vt:variant>
        <vt:i4>5</vt:i4>
      </vt:variant>
      <vt:variant>
        <vt:lpwstr/>
      </vt:variant>
      <vt:variant>
        <vt:lpwstr>_Toc80290696</vt:lpwstr>
      </vt:variant>
      <vt:variant>
        <vt:i4>1900595</vt:i4>
      </vt:variant>
      <vt:variant>
        <vt:i4>95</vt:i4>
      </vt:variant>
      <vt:variant>
        <vt:i4>0</vt:i4>
      </vt:variant>
      <vt:variant>
        <vt:i4>5</vt:i4>
      </vt:variant>
      <vt:variant>
        <vt:lpwstr/>
      </vt:variant>
      <vt:variant>
        <vt:lpwstr>_Toc80290695</vt:lpwstr>
      </vt:variant>
      <vt:variant>
        <vt:i4>1835059</vt:i4>
      </vt:variant>
      <vt:variant>
        <vt:i4>89</vt:i4>
      </vt:variant>
      <vt:variant>
        <vt:i4>0</vt:i4>
      </vt:variant>
      <vt:variant>
        <vt:i4>5</vt:i4>
      </vt:variant>
      <vt:variant>
        <vt:lpwstr/>
      </vt:variant>
      <vt:variant>
        <vt:lpwstr>_Toc80290694</vt:lpwstr>
      </vt:variant>
      <vt:variant>
        <vt:i4>1769523</vt:i4>
      </vt:variant>
      <vt:variant>
        <vt:i4>83</vt:i4>
      </vt:variant>
      <vt:variant>
        <vt:i4>0</vt:i4>
      </vt:variant>
      <vt:variant>
        <vt:i4>5</vt:i4>
      </vt:variant>
      <vt:variant>
        <vt:lpwstr/>
      </vt:variant>
      <vt:variant>
        <vt:lpwstr>_Toc80290693</vt:lpwstr>
      </vt:variant>
      <vt:variant>
        <vt:i4>1703987</vt:i4>
      </vt:variant>
      <vt:variant>
        <vt:i4>77</vt:i4>
      </vt:variant>
      <vt:variant>
        <vt:i4>0</vt:i4>
      </vt:variant>
      <vt:variant>
        <vt:i4>5</vt:i4>
      </vt:variant>
      <vt:variant>
        <vt:lpwstr/>
      </vt:variant>
      <vt:variant>
        <vt:lpwstr>_Toc80290692</vt:lpwstr>
      </vt:variant>
      <vt:variant>
        <vt:i4>1638451</vt:i4>
      </vt:variant>
      <vt:variant>
        <vt:i4>71</vt:i4>
      </vt:variant>
      <vt:variant>
        <vt:i4>0</vt:i4>
      </vt:variant>
      <vt:variant>
        <vt:i4>5</vt:i4>
      </vt:variant>
      <vt:variant>
        <vt:lpwstr/>
      </vt:variant>
      <vt:variant>
        <vt:lpwstr>_Toc80290691</vt:lpwstr>
      </vt:variant>
      <vt:variant>
        <vt:i4>1572915</vt:i4>
      </vt:variant>
      <vt:variant>
        <vt:i4>65</vt:i4>
      </vt:variant>
      <vt:variant>
        <vt:i4>0</vt:i4>
      </vt:variant>
      <vt:variant>
        <vt:i4>5</vt:i4>
      </vt:variant>
      <vt:variant>
        <vt:lpwstr/>
      </vt:variant>
      <vt:variant>
        <vt:lpwstr>_Toc80290690</vt:lpwstr>
      </vt:variant>
      <vt:variant>
        <vt:i4>1114162</vt:i4>
      </vt:variant>
      <vt:variant>
        <vt:i4>59</vt:i4>
      </vt:variant>
      <vt:variant>
        <vt:i4>0</vt:i4>
      </vt:variant>
      <vt:variant>
        <vt:i4>5</vt:i4>
      </vt:variant>
      <vt:variant>
        <vt:lpwstr/>
      </vt:variant>
      <vt:variant>
        <vt:lpwstr>_Toc80290689</vt:lpwstr>
      </vt:variant>
      <vt:variant>
        <vt:i4>1048626</vt:i4>
      </vt:variant>
      <vt:variant>
        <vt:i4>53</vt:i4>
      </vt:variant>
      <vt:variant>
        <vt:i4>0</vt:i4>
      </vt:variant>
      <vt:variant>
        <vt:i4>5</vt:i4>
      </vt:variant>
      <vt:variant>
        <vt:lpwstr/>
      </vt:variant>
      <vt:variant>
        <vt:lpwstr>_Toc80290688</vt:lpwstr>
      </vt:variant>
      <vt:variant>
        <vt:i4>2031666</vt:i4>
      </vt:variant>
      <vt:variant>
        <vt:i4>47</vt:i4>
      </vt:variant>
      <vt:variant>
        <vt:i4>0</vt:i4>
      </vt:variant>
      <vt:variant>
        <vt:i4>5</vt:i4>
      </vt:variant>
      <vt:variant>
        <vt:lpwstr/>
      </vt:variant>
      <vt:variant>
        <vt:lpwstr>_Toc80290687</vt:lpwstr>
      </vt:variant>
      <vt:variant>
        <vt:i4>1966130</vt:i4>
      </vt:variant>
      <vt:variant>
        <vt:i4>41</vt:i4>
      </vt:variant>
      <vt:variant>
        <vt:i4>0</vt:i4>
      </vt:variant>
      <vt:variant>
        <vt:i4>5</vt:i4>
      </vt:variant>
      <vt:variant>
        <vt:lpwstr/>
      </vt:variant>
      <vt:variant>
        <vt:lpwstr>_Toc80290686</vt:lpwstr>
      </vt:variant>
      <vt:variant>
        <vt:i4>1900594</vt:i4>
      </vt:variant>
      <vt:variant>
        <vt:i4>35</vt:i4>
      </vt:variant>
      <vt:variant>
        <vt:i4>0</vt:i4>
      </vt:variant>
      <vt:variant>
        <vt:i4>5</vt:i4>
      </vt:variant>
      <vt:variant>
        <vt:lpwstr/>
      </vt:variant>
      <vt:variant>
        <vt:lpwstr>_Toc80290685</vt:lpwstr>
      </vt:variant>
      <vt:variant>
        <vt:i4>1835058</vt:i4>
      </vt:variant>
      <vt:variant>
        <vt:i4>29</vt:i4>
      </vt:variant>
      <vt:variant>
        <vt:i4>0</vt:i4>
      </vt:variant>
      <vt:variant>
        <vt:i4>5</vt:i4>
      </vt:variant>
      <vt:variant>
        <vt:lpwstr/>
      </vt:variant>
      <vt:variant>
        <vt:lpwstr>_Toc80290684</vt:lpwstr>
      </vt:variant>
      <vt:variant>
        <vt:i4>1769522</vt:i4>
      </vt:variant>
      <vt:variant>
        <vt:i4>23</vt:i4>
      </vt:variant>
      <vt:variant>
        <vt:i4>0</vt:i4>
      </vt:variant>
      <vt:variant>
        <vt:i4>5</vt:i4>
      </vt:variant>
      <vt:variant>
        <vt:lpwstr/>
      </vt:variant>
      <vt:variant>
        <vt:lpwstr>_Toc80290683</vt:lpwstr>
      </vt:variant>
      <vt:variant>
        <vt:i4>1703986</vt:i4>
      </vt:variant>
      <vt:variant>
        <vt:i4>17</vt:i4>
      </vt:variant>
      <vt:variant>
        <vt:i4>0</vt:i4>
      </vt:variant>
      <vt:variant>
        <vt:i4>5</vt:i4>
      </vt:variant>
      <vt:variant>
        <vt:lpwstr/>
      </vt:variant>
      <vt:variant>
        <vt:lpwstr>_Toc80290682</vt:lpwstr>
      </vt:variant>
      <vt:variant>
        <vt:i4>1638450</vt:i4>
      </vt:variant>
      <vt:variant>
        <vt:i4>11</vt:i4>
      </vt:variant>
      <vt:variant>
        <vt:i4>0</vt:i4>
      </vt:variant>
      <vt:variant>
        <vt:i4>5</vt:i4>
      </vt:variant>
      <vt:variant>
        <vt:lpwstr/>
      </vt:variant>
      <vt:variant>
        <vt:lpwstr>_Toc80290681</vt:lpwstr>
      </vt:variant>
      <vt:variant>
        <vt:i4>1572914</vt:i4>
      </vt:variant>
      <vt:variant>
        <vt:i4>5</vt:i4>
      </vt:variant>
      <vt:variant>
        <vt:i4>0</vt:i4>
      </vt:variant>
      <vt:variant>
        <vt:i4>5</vt:i4>
      </vt:variant>
      <vt:variant>
        <vt:lpwstr/>
      </vt:variant>
      <vt:variant>
        <vt:lpwstr>_Toc80290680</vt:lpwstr>
      </vt:variant>
      <vt:variant>
        <vt:i4>5767214</vt:i4>
      </vt:variant>
      <vt:variant>
        <vt:i4>0</vt:i4>
      </vt:variant>
      <vt:variant>
        <vt:i4>0</vt:i4>
      </vt:variant>
      <vt:variant>
        <vt:i4>5</vt:i4>
      </vt:variant>
      <vt:variant>
        <vt:lpwstr>mailto:supen@supen.fi.cr</vt:lpwstr>
      </vt:variant>
      <vt:variant>
        <vt:lpwstr/>
      </vt:variant>
      <vt:variant>
        <vt:i4>5767214</vt:i4>
      </vt:variant>
      <vt:variant>
        <vt:i4>3</vt:i4>
      </vt:variant>
      <vt:variant>
        <vt:i4>0</vt:i4>
      </vt:variant>
      <vt:variant>
        <vt:i4>5</vt:i4>
      </vt:variant>
      <vt:variant>
        <vt:lpwstr>mailto:supen@supen.fi.cr</vt:lpwstr>
      </vt:variant>
      <vt:variant>
        <vt:lpwstr/>
      </vt:variant>
      <vt:variant>
        <vt:i4>5767214</vt:i4>
      </vt:variant>
      <vt:variant>
        <vt:i4>0</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InformeCoyunturaJun2021.docx</dc:title>
  <dc:subject/>
  <dc:creator>CESPEDES LOPEZ DAISY</dc:creator>
  <cp:keywords/>
  <dc:description/>
  <cp:lastModifiedBy>ROJAS FAJARDO PORFIRIO</cp:lastModifiedBy>
  <cp:revision>3</cp:revision>
  <dcterms:created xsi:type="dcterms:W3CDTF">2021-08-20T17:17:00Z</dcterms:created>
  <dcterms:modified xsi:type="dcterms:W3CDTF">2021-08-20T17:18:00Z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0x01010016856631F615B3409059BBB0F9B27DCB</vt:lpwstr>
  </property>
</Properties>
</file>