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C1AE" w14:textId="77777777" w:rsidR="00A67A7C" w:rsidRDefault="00A67A7C" w:rsidP="00AD0336">
      <w:pPr>
        <w:pStyle w:val="Ttulo2"/>
      </w:pPr>
    </w:p>
    <w:p w14:paraId="077CD23B" w14:textId="77777777" w:rsidR="00123A40" w:rsidRDefault="005960D3" w:rsidP="00015663">
      <w:pPr>
        <w:pStyle w:val="Sinespaciado"/>
        <w:jc w:val="both"/>
        <w:rPr>
          <w:rFonts w:cstheme="minorHAnsi"/>
          <w:b/>
          <w:bCs/>
          <w:sz w:val="24"/>
          <w:szCs w:val="24"/>
        </w:rPr>
      </w:pPr>
      <w:bookmarkStart w:id="0" w:name="_Hlk8031810"/>
      <w:bookmarkEnd w:id="0"/>
      <w:r w:rsidRPr="005960D3">
        <w:rPr>
          <w:rFonts w:cstheme="minorHAnsi"/>
          <w:b/>
          <w:bCs/>
          <w:noProof/>
          <w:sz w:val="24"/>
          <w:szCs w:val="24"/>
        </w:rPr>
        <mc:AlternateContent>
          <mc:Choice Requires="wps">
            <w:drawing>
              <wp:anchor distT="0" distB="0" distL="457200" distR="118745" simplePos="0" relativeHeight="251658241" behindDoc="0" locked="0" layoutInCell="0" allowOverlap="1" wp14:anchorId="408CDCF6" wp14:editId="77058E4C">
                <wp:simplePos x="0" y="0"/>
                <wp:positionH relativeFrom="margin">
                  <wp:posOffset>1482090</wp:posOffset>
                </wp:positionH>
                <wp:positionV relativeFrom="paragraph">
                  <wp:posOffset>23495</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32917A7"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bookmarkStart w:id="1" w:name="_Hlk63666386"/>
                            <w:bookmarkEnd w:id="1"/>
                          </w:p>
                          <w:p w14:paraId="0A7D5656" w14:textId="77777777" w:rsidR="00F721B1"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0565CDAE" w14:textId="77777777" w:rsidR="00F721B1"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2D9034AC"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104187A0"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3CFCB022" w14:textId="77777777" w:rsidR="00F721B1" w:rsidRPr="00007611" w:rsidRDefault="00F721B1" w:rsidP="005960D3">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4FDEC3B"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32"/>
                                <w:szCs w:val="40"/>
                              </w:rPr>
                            </w:pPr>
                          </w:p>
                          <w:p w14:paraId="5C5C7224" w14:textId="77777777" w:rsidR="00F721B1" w:rsidRPr="00C26828" w:rsidRDefault="00F721B1" w:rsidP="005960D3">
                            <w:pPr>
                              <w:pBdr>
                                <w:left w:val="single" w:sz="4" w:space="9" w:color="4F81BD" w:themeColor="accent1"/>
                              </w:pBdr>
                              <w:rPr>
                                <w:rFonts w:asciiTheme="majorHAnsi" w:eastAsiaTheme="majorEastAsia" w:hAnsiTheme="majorHAnsi" w:cstheme="majorBidi"/>
                                <w:sz w:val="32"/>
                                <w:szCs w:val="40"/>
                              </w:rPr>
                            </w:pPr>
                          </w:p>
                          <w:p w14:paraId="6193BFB2" w14:textId="77777777" w:rsidR="00F721B1" w:rsidRDefault="00F721B1"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del sistema de pensiones </w:t>
                            </w:r>
                          </w:p>
                          <w:p w14:paraId="7C2DE9B9" w14:textId="77777777" w:rsidR="00F721B1" w:rsidRDefault="00F721B1"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086C6B27"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 w:val="32"/>
                                <w:szCs w:val="40"/>
                              </w:rPr>
                            </w:pPr>
                          </w:p>
                          <w:p w14:paraId="42575DE8"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 t</w:t>
                            </w:r>
                            <w:r w:rsidRPr="00AC2538">
                              <w:rPr>
                                <w:rFonts w:asciiTheme="majorHAnsi" w:eastAsiaTheme="majorEastAsia" w:hAnsiTheme="majorHAnsi" w:cstheme="majorBidi"/>
                                <w:sz w:val="32"/>
                                <w:szCs w:val="40"/>
                              </w:rPr>
                              <w:t>rimestre</w:t>
                            </w:r>
                          </w:p>
                          <w:p w14:paraId="2CBA639A" w14:textId="77777777" w:rsidR="00F721B1" w:rsidRPr="00AC2538" w:rsidRDefault="00F721B1" w:rsidP="005960D3">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058BC804"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CDCF6" id="Autoforma 14" o:spid="_x0000_s1026" style="position:absolute;left:0;text-align:left;margin-left:116.7pt;margin-top:1.85pt;width:378.75pt;height:600.4pt;z-index:251658241;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" o:allowincell="f" filled="f" stroked="f" strokeweight="1.25pt">
                <v:textbox inset=",7.2pt,,7.2pt">
                  <w:txbxContent>
                    <w:p w14:paraId="732917A7"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bookmarkStart w:id="2" w:name="_Hlk63666386"/>
                      <w:bookmarkEnd w:id="2"/>
                    </w:p>
                    <w:p w14:paraId="0A7D5656" w14:textId="77777777" w:rsidR="00F721B1"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0565CDAE" w14:textId="77777777" w:rsidR="00F721B1"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2D9034AC"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104187A0"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40"/>
                          <w:szCs w:val="40"/>
                        </w:rPr>
                      </w:pPr>
                    </w:p>
                    <w:p w14:paraId="3CFCB022" w14:textId="77777777" w:rsidR="00F721B1" w:rsidRPr="00007611" w:rsidRDefault="00F721B1" w:rsidP="005960D3">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4FDEC3B" w14:textId="77777777" w:rsidR="00F721B1" w:rsidRPr="00C26828" w:rsidRDefault="00F721B1" w:rsidP="005960D3">
                      <w:pPr>
                        <w:pBdr>
                          <w:left w:val="single" w:sz="4" w:space="9" w:color="4F81BD" w:themeColor="accent1"/>
                        </w:pBdr>
                        <w:jc w:val="center"/>
                        <w:rPr>
                          <w:rFonts w:asciiTheme="majorHAnsi" w:eastAsiaTheme="majorEastAsia" w:hAnsiTheme="majorHAnsi" w:cstheme="majorBidi"/>
                          <w:sz w:val="32"/>
                          <w:szCs w:val="40"/>
                        </w:rPr>
                      </w:pPr>
                    </w:p>
                    <w:p w14:paraId="5C5C7224" w14:textId="77777777" w:rsidR="00F721B1" w:rsidRPr="00C26828" w:rsidRDefault="00F721B1" w:rsidP="005960D3">
                      <w:pPr>
                        <w:pBdr>
                          <w:left w:val="single" w:sz="4" w:space="9" w:color="4F81BD" w:themeColor="accent1"/>
                        </w:pBdr>
                        <w:rPr>
                          <w:rFonts w:asciiTheme="majorHAnsi" w:eastAsiaTheme="majorEastAsia" w:hAnsiTheme="majorHAnsi" w:cstheme="majorBidi"/>
                          <w:sz w:val="32"/>
                          <w:szCs w:val="40"/>
                        </w:rPr>
                      </w:pPr>
                    </w:p>
                    <w:p w14:paraId="6193BFB2" w14:textId="77777777" w:rsidR="00F721B1" w:rsidRDefault="00F721B1"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del sistema de pensiones </w:t>
                      </w:r>
                    </w:p>
                    <w:p w14:paraId="7C2DE9B9" w14:textId="77777777" w:rsidR="00F721B1" w:rsidRDefault="00F721B1" w:rsidP="005960D3">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086C6B27"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 w:val="32"/>
                          <w:szCs w:val="40"/>
                        </w:rPr>
                      </w:pPr>
                    </w:p>
                    <w:p w14:paraId="42575DE8"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 t</w:t>
                      </w:r>
                      <w:r w:rsidRPr="00AC2538">
                        <w:rPr>
                          <w:rFonts w:asciiTheme="majorHAnsi" w:eastAsiaTheme="majorEastAsia" w:hAnsiTheme="majorHAnsi" w:cstheme="majorBidi"/>
                          <w:sz w:val="32"/>
                          <w:szCs w:val="40"/>
                        </w:rPr>
                        <w:t>rimestre</w:t>
                      </w:r>
                    </w:p>
                    <w:p w14:paraId="2CBA639A" w14:textId="77777777" w:rsidR="00F721B1" w:rsidRPr="00AC2538" w:rsidRDefault="00F721B1" w:rsidP="005960D3">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21</w:t>
                      </w:r>
                    </w:p>
                    <w:p w14:paraId="058BC804" w14:textId="77777777" w:rsidR="00F721B1" w:rsidRPr="00AC2538" w:rsidRDefault="00F721B1" w:rsidP="005960D3">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5E84F65A" w14:textId="77777777" w:rsidR="00123A40" w:rsidRDefault="00123A40" w:rsidP="00015663">
      <w:pPr>
        <w:pStyle w:val="Sinespaciado"/>
        <w:jc w:val="both"/>
        <w:rPr>
          <w:rFonts w:cstheme="minorHAnsi"/>
          <w:b/>
          <w:bCs/>
          <w:sz w:val="24"/>
          <w:szCs w:val="24"/>
        </w:rPr>
      </w:pPr>
    </w:p>
    <w:p w14:paraId="2DEBBDAD" w14:textId="77777777" w:rsidR="00123A40" w:rsidRDefault="00123A40" w:rsidP="00015663">
      <w:pPr>
        <w:pStyle w:val="Sinespaciado"/>
        <w:jc w:val="both"/>
        <w:rPr>
          <w:rFonts w:cstheme="minorHAnsi"/>
          <w:b/>
          <w:bCs/>
          <w:sz w:val="24"/>
          <w:szCs w:val="24"/>
        </w:rPr>
      </w:pPr>
    </w:p>
    <w:p w14:paraId="47D86DAA" w14:textId="77777777" w:rsidR="00123A40" w:rsidRDefault="00123A40" w:rsidP="00015663">
      <w:pPr>
        <w:pStyle w:val="Sinespaciado"/>
        <w:jc w:val="both"/>
        <w:rPr>
          <w:rFonts w:cstheme="minorHAnsi"/>
          <w:b/>
          <w:bCs/>
          <w:sz w:val="24"/>
          <w:szCs w:val="24"/>
        </w:rPr>
      </w:pPr>
    </w:p>
    <w:p w14:paraId="54F3E81A" w14:textId="77777777" w:rsidR="00123A40" w:rsidRDefault="00123A40" w:rsidP="00015663">
      <w:pPr>
        <w:pStyle w:val="Sinespaciado"/>
        <w:jc w:val="both"/>
        <w:rPr>
          <w:rFonts w:cstheme="minorHAnsi"/>
          <w:b/>
          <w:bCs/>
          <w:sz w:val="24"/>
          <w:szCs w:val="24"/>
        </w:rPr>
      </w:pPr>
    </w:p>
    <w:p w14:paraId="2C1C0304" w14:textId="77777777" w:rsidR="00123A40" w:rsidRDefault="00123A40" w:rsidP="00015663">
      <w:pPr>
        <w:pStyle w:val="Sinespaciado"/>
        <w:jc w:val="both"/>
        <w:rPr>
          <w:rFonts w:cstheme="minorHAnsi"/>
          <w:b/>
          <w:bCs/>
          <w:sz w:val="24"/>
          <w:szCs w:val="24"/>
        </w:rPr>
      </w:pPr>
    </w:p>
    <w:p w14:paraId="49AC7490" w14:textId="77777777" w:rsidR="00123A40" w:rsidRDefault="00123A40" w:rsidP="00015663">
      <w:pPr>
        <w:pStyle w:val="Sinespaciado"/>
        <w:jc w:val="both"/>
        <w:rPr>
          <w:rFonts w:cstheme="minorHAnsi"/>
          <w:b/>
          <w:bCs/>
          <w:sz w:val="24"/>
          <w:szCs w:val="24"/>
        </w:rPr>
      </w:pPr>
    </w:p>
    <w:p w14:paraId="7800966B" w14:textId="77777777" w:rsidR="00123A40" w:rsidRDefault="00123A40" w:rsidP="00015663">
      <w:pPr>
        <w:pStyle w:val="Sinespaciado"/>
        <w:jc w:val="both"/>
        <w:rPr>
          <w:rFonts w:cstheme="minorHAnsi"/>
          <w:b/>
          <w:bCs/>
          <w:sz w:val="24"/>
          <w:szCs w:val="24"/>
        </w:rPr>
      </w:pPr>
    </w:p>
    <w:p w14:paraId="49978C78" w14:textId="77777777" w:rsidR="00123A40" w:rsidRDefault="00123A40" w:rsidP="00015663">
      <w:pPr>
        <w:pStyle w:val="Sinespaciado"/>
        <w:jc w:val="both"/>
        <w:rPr>
          <w:rFonts w:cstheme="minorHAnsi"/>
          <w:b/>
          <w:bCs/>
          <w:sz w:val="24"/>
          <w:szCs w:val="24"/>
        </w:rPr>
      </w:pPr>
    </w:p>
    <w:p w14:paraId="55F4AC56" w14:textId="77777777" w:rsidR="00123A40" w:rsidRDefault="005960D3" w:rsidP="00015663">
      <w:pPr>
        <w:pStyle w:val="Sinespaciado"/>
        <w:jc w:val="both"/>
        <w:rPr>
          <w:rFonts w:cstheme="minorHAnsi"/>
          <w:b/>
          <w:bCs/>
          <w:sz w:val="24"/>
          <w:szCs w:val="24"/>
        </w:rPr>
      </w:pPr>
      <w:r w:rsidRPr="005960D3">
        <w:rPr>
          <w:rFonts w:cstheme="minorHAnsi"/>
          <w:b/>
          <w:bCs/>
          <w:noProof/>
          <w:sz w:val="24"/>
          <w:szCs w:val="24"/>
        </w:rPr>
        <w:drawing>
          <wp:anchor distT="0" distB="0" distL="114300" distR="114300" simplePos="0" relativeHeight="251658240" behindDoc="1" locked="0" layoutInCell="1" allowOverlap="1" wp14:anchorId="2B30FE02" wp14:editId="118D6B12">
            <wp:simplePos x="0" y="0"/>
            <wp:positionH relativeFrom="page">
              <wp:posOffset>310465</wp:posOffset>
            </wp:positionH>
            <wp:positionV relativeFrom="page">
              <wp:posOffset>3119120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268449CB" w14:textId="77777777" w:rsidR="00123A40" w:rsidRDefault="00123A40" w:rsidP="00015663">
      <w:pPr>
        <w:pStyle w:val="Sinespaciado"/>
        <w:jc w:val="both"/>
        <w:rPr>
          <w:rFonts w:cstheme="minorHAnsi"/>
          <w:b/>
          <w:bCs/>
          <w:sz w:val="24"/>
          <w:szCs w:val="24"/>
        </w:rPr>
      </w:pPr>
    </w:p>
    <w:p w14:paraId="3C0FAF76" w14:textId="77777777" w:rsidR="00123A40" w:rsidRDefault="00123A40" w:rsidP="00015663">
      <w:pPr>
        <w:pStyle w:val="Sinespaciado"/>
        <w:jc w:val="both"/>
        <w:rPr>
          <w:rFonts w:cstheme="minorHAnsi"/>
          <w:b/>
          <w:bCs/>
          <w:sz w:val="24"/>
          <w:szCs w:val="24"/>
        </w:rPr>
      </w:pPr>
    </w:p>
    <w:p w14:paraId="40CB1CFB" w14:textId="77777777" w:rsidR="00123A40" w:rsidRDefault="00123A40" w:rsidP="00015663">
      <w:pPr>
        <w:pStyle w:val="Sinespaciado"/>
        <w:jc w:val="both"/>
        <w:rPr>
          <w:rFonts w:cstheme="minorHAnsi"/>
          <w:b/>
          <w:bCs/>
          <w:sz w:val="24"/>
          <w:szCs w:val="24"/>
        </w:rPr>
      </w:pPr>
    </w:p>
    <w:p w14:paraId="4B239E3A" w14:textId="77777777" w:rsidR="00123A40" w:rsidRDefault="00123A40" w:rsidP="00015663">
      <w:pPr>
        <w:pStyle w:val="Sinespaciado"/>
        <w:jc w:val="both"/>
        <w:rPr>
          <w:rFonts w:cstheme="minorHAnsi"/>
          <w:b/>
          <w:bCs/>
          <w:sz w:val="24"/>
          <w:szCs w:val="24"/>
        </w:rPr>
      </w:pPr>
    </w:p>
    <w:p w14:paraId="3079F721" w14:textId="77777777" w:rsidR="00123A40" w:rsidRDefault="00123A40" w:rsidP="00015663">
      <w:pPr>
        <w:pStyle w:val="Sinespaciado"/>
        <w:jc w:val="both"/>
        <w:rPr>
          <w:rFonts w:cstheme="minorHAnsi"/>
          <w:b/>
          <w:bCs/>
          <w:sz w:val="24"/>
          <w:szCs w:val="24"/>
        </w:rPr>
      </w:pPr>
    </w:p>
    <w:p w14:paraId="520A8195" w14:textId="77777777" w:rsidR="00123A40" w:rsidRDefault="00123A40" w:rsidP="00015663">
      <w:pPr>
        <w:pStyle w:val="Sinespaciado"/>
        <w:jc w:val="both"/>
        <w:rPr>
          <w:rFonts w:cstheme="minorHAnsi"/>
          <w:b/>
          <w:bCs/>
          <w:sz w:val="24"/>
          <w:szCs w:val="24"/>
        </w:rPr>
      </w:pPr>
    </w:p>
    <w:p w14:paraId="781A0DBD" w14:textId="77777777" w:rsidR="00123A40" w:rsidRDefault="00123A40" w:rsidP="00015663">
      <w:pPr>
        <w:pStyle w:val="Sinespaciado"/>
        <w:jc w:val="both"/>
        <w:rPr>
          <w:rFonts w:cstheme="minorHAnsi"/>
          <w:b/>
          <w:bCs/>
          <w:sz w:val="24"/>
          <w:szCs w:val="24"/>
        </w:rPr>
      </w:pPr>
    </w:p>
    <w:p w14:paraId="1A8DF8FC" w14:textId="77777777" w:rsidR="00123A40" w:rsidRDefault="00123A40" w:rsidP="00015663">
      <w:pPr>
        <w:pStyle w:val="Sinespaciado"/>
        <w:jc w:val="both"/>
        <w:rPr>
          <w:rFonts w:cstheme="minorHAnsi"/>
          <w:b/>
          <w:bCs/>
          <w:sz w:val="24"/>
          <w:szCs w:val="24"/>
        </w:rPr>
      </w:pPr>
    </w:p>
    <w:p w14:paraId="53958F9F" w14:textId="77777777" w:rsidR="00123A40" w:rsidRDefault="00123A40" w:rsidP="00015663">
      <w:pPr>
        <w:pStyle w:val="Sinespaciado"/>
        <w:jc w:val="both"/>
        <w:rPr>
          <w:rFonts w:cstheme="minorHAnsi"/>
          <w:b/>
          <w:bCs/>
          <w:sz w:val="24"/>
          <w:szCs w:val="24"/>
        </w:rPr>
      </w:pPr>
    </w:p>
    <w:p w14:paraId="2BB3A9D2" w14:textId="77777777" w:rsidR="00123A40" w:rsidRDefault="00123A40" w:rsidP="00015663">
      <w:pPr>
        <w:pStyle w:val="Sinespaciado"/>
        <w:jc w:val="both"/>
        <w:rPr>
          <w:rFonts w:cstheme="minorHAnsi"/>
          <w:b/>
          <w:bCs/>
          <w:sz w:val="24"/>
          <w:szCs w:val="24"/>
        </w:rPr>
      </w:pPr>
    </w:p>
    <w:p w14:paraId="268695B6" w14:textId="77777777" w:rsidR="00123A40" w:rsidRDefault="00123A40" w:rsidP="00015663">
      <w:pPr>
        <w:pStyle w:val="Sinespaciado"/>
        <w:jc w:val="both"/>
        <w:rPr>
          <w:rFonts w:cstheme="minorHAnsi"/>
          <w:b/>
          <w:bCs/>
          <w:sz w:val="24"/>
          <w:szCs w:val="24"/>
        </w:rPr>
      </w:pPr>
    </w:p>
    <w:p w14:paraId="142A3858" w14:textId="77777777" w:rsidR="00123A40" w:rsidRDefault="00123A40" w:rsidP="00015663">
      <w:pPr>
        <w:pStyle w:val="Sinespaciado"/>
        <w:jc w:val="both"/>
        <w:rPr>
          <w:rFonts w:cstheme="minorHAnsi"/>
          <w:b/>
          <w:bCs/>
          <w:sz w:val="24"/>
          <w:szCs w:val="24"/>
        </w:rPr>
      </w:pPr>
    </w:p>
    <w:p w14:paraId="32C0378D" w14:textId="77777777" w:rsidR="00123A40" w:rsidRDefault="00123A40" w:rsidP="00015663">
      <w:pPr>
        <w:pStyle w:val="Sinespaciado"/>
        <w:jc w:val="both"/>
        <w:rPr>
          <w:rFonts w:cstheme="minorHAnsi"/>
          <w:b/>
          <w:bCs/>
          <w:sz w:val="24"/>
          <w:szCs w:val="24"/>
        </w:rPr>
      </w:pPr>
    </w:p>
    <w:p w14:paraId="131FDCD0" w14:textId="77777777" w:rsidR="00123A40" w:rsidRDefault="00123A40" w:rsidP="00015663">
      <w:pPr>
        <w:pStyle w:val="Sinespaciado"/>
        <w:jc w:val="both"/>
        <w:rPr>
          <w:rFonts w:cstheme="minorHAnsi"/>
          <w:b/>
          <w:bCs/>
          <w:sz w:val="24"/>
          <w:szCs w:val="24"/>
        </w:rPr>
      </w:pPr>
    </w:p>
    <w:p w14:paraId="4866E111" w14:textId="77777777" w:rsidR="00123A40" w:rsidRDefault="00123A40" w:rsidP="00015663">
      <w:pPr>
        <w:pStyle w:val="Sinespaciado"/>
        <w:jc w:val="both"/>
        <w:rPr>
          <w:rFonts w:cstheme="minorHAnsi"/>
          <w:b/>
          <w:bCs/>
          <w:sz w:val="24"/>
          <w:szCs w:val="24"/>
        </w:rPr>
      </w:pPr>
    </w:p>
    <w:p w14:paraId="2DD52A49" w14:textId="77777777" w:rsidR="00123A40" w:rsidRDefault="00123A40" w:rsidP="00015663">
      <w:pPr>
        <w:pStyle w:val="Sinespaciado"/>
        <w:jc w:val="both"/>
        <w:rPr>
          <w:rFonts w:cstheme="minorHAnsi"/>
          <w:b/>
          <w:bCs/>
          <w:sz w:val="24"/>
          <w:szCs w:val="24"/>
        </w:rPr>
      </w:pPr>
    </w:p>
    <w:p w14:paraId="65C3F594" w14:textId="77777777" w:rsidR="00123A40" w:rsidRDefault="00123A40" w:rsidP="00015663">
      <w:pPr>
        <w:pStyle w:val="Sinespaciado"/>
        <w:jc w:val="both"/>
        <w:rPr>
          <w:rFonts w:cstheme="minorHAnsi"/>
          <w:b/>
          <w:bCs/>
          <w:sz w:val="24"/>
          <w:szCs w:val="24"/>
        </w:rPr>
      </w:pPr>
    </w:p>
    <w:p w14:paraId="29B11E69" w14:textId="77777777" w:rsidR="00123A40" w:rsidRDefault="00123A40" w:rsidP="00015663">
      <w:pPr>
        <w:pStyle w:val="Sinespaciado"/>
        <w:jc w:val="both"/>
        <w:rPr>
          <w:rFonts w:cstheme="minorHAnsi"/>
          <w:b/>
          <w:bCs/>
          <w:sz w:val="24"/>
          <w:szCs w:val="24"/>
        </w:rPr>
      </w:pPr>
    </w:p>
    <w:p w14:paraId="0AE86E5A" w14:textId="77777777" w:rsidR="00123A40" w:rsidRDefault="00123A40" w:rsidP="00015663">
      <w:pPr>
        <w:pStyle w:val="Sinespaciado"/>
        <w:jc w:val="both"/>
        <w:rPr>
          <w:rFonts w:cstheme="minorHAnsi"/>
          <w:b/>
          <w:bCs/>
          <w:sz w:val="24"/>
          <w:szCs w:val="24"/>
        </w:rPr>
      </w:pPr>
    </w:p>
    <w:p w14:paraId="11DE1BC2" w14:textId="77777777" w:rsidR="00123A40" w:rsidRDefault="00123A40" w:rsidP="00015663">
      <w:pPr>
        <w:pStyle w:val="Sinespaciado"/>
        <w:jc w:val="both"/>
        <w:rPr>
          <w:rFonts w:cstheme="minorHAnsi"/>
          <w:b/>
          <w:bCs/>
          <w:sz w:val="24"/>
          <w:szCs w:val="24"/>
        </w:rPr>
      </w:pPr>
    </w:p>
    <w:p w14:paraId="10DBA9A3" w14:textId="77777777" w:rsidR="00123A40" w:rsidRDefault="00123A40" w:rsidP="00015663">
      <w:pPr>
        <w:pStyle w:val="Sinespaciado"/>
        <w:jc w:val="both"/>
        <w:rPr>
          <w:rFonts w:cstheme="minorHAnsi"/>
          <w:b/>
          <w:bCs/>
          <w:sz w:val="24"/>
          <w:szCs w:val="24"/>
        </w:rPr>
      </w:pPr>
    </w:p>
    <w:p w14:paraId="5607829E" w14:textId="77777777" w:rsidR="00123A40" w:rsidRDefault="00123A40" w:rsidP="00015663">
      <w:pPr>
        <w:pStyle w:val="Sinespaciado"/>
        <w:jc w:val="both"/>
        <w:rPr>
          <w:rFonts w:cstheme="minorHAnsi"/>
          <w:b/>
          <w:bCs/>
          <w:sz w:val="24"/>
          <w:szCs w:val="24"/>
        </w:rPr>
      </w:pPr>
    </w:p>
    <w:p w14:paraId="792ACE46" w14:textId="77777777" w:rsidR="00123A40" w:rsidRDefault="00123A40" w:rsidP="00015663">
      <w:pPr>
        <w:pStyle w:val="Sinespaciado"/>
        <w:jc w:val="both"/>
        <w:rPr>
          <w:rFonts w:cstheme="minorHAnsi"/>
          <w:b/>
          <w:bCs/>
          <w:sz w:val="24"/>
          <w:szCs w:val="24"/>
        </w:rPr>
      </w:pPr>
    </w:p>
    <w:p w14:paraId="7A383C53" w14:textId="77777777" w:rsidR="00123A40" w:rsidRDefault="00123A40" w:rsidP="00015663">
      <w:pPr>
        <w:pStyle w:val="Sinespaciado"/>
        <w:jc w:val="both"/>
        <w:rPr>
          <w:rFonts w:cstheme="minorHAnsi"/>
          <w:b/>
          <w:bCs/>
          <w:sz w:val="24"/>
          <w:szCs w:val="24"/>
        </w:rPr>
      </w:pPr>
    </w:p>
    <w:p w14:paraId="5A6F47BE" w14:textId="77777777" w:rsidR="00123A40" w:rsidRDefault="00123A40" w:rsidP="00015663">
      <w:pPr>
        <w:pStyle w:val="Sinespaciado"/>
        <w:jc w:val="both"/>
        <w:rPr>
          <w:rFonts w:cstheme="minorHAnsi"/>
          <w:b/>
          <w:bCs/>
          <w:sz w:val="24"/>
          <w:szCs w:val="24"/>
        </w:rPr>
      </w:pPr>
    </w:p>
    <w:p w14:paraId="7A202D25" w14:textId="77777777" w:rsidR="00123A40" w:rsidRDefault="00123A40" w:rsidP="00015663">
      <w:pPr>
        <w:pStyle w:val="Sinespaciado"/>
        <w:jc w:val="both"/>
        <w:rPr>
          <w:rFonts w:cstheme="minorHAnsi"/>
          <w:b/>
          <w:bCs/>
          <w:sz w:val="24"/>
          <w:szCs w:val="24"/>
        </w:rPr>
      </w:pPr>
    </w:p>
    <w:p w14:paraId="052EDED7" w14:textId="77777777" w:rsidR="00123A40" w:rsidRDefault="00123A40" w:rsidP="00015663">
      <w:pPr>
        <w:pStyle w:val="Sinespaciado"/>
        <w:jc w:val="both"/>
        <w:rPr>
          <w:rFonts w:cstheme="minorHAnsi"/>
          <w:b/>
          <w:bCs/>
          <w:sz w:val="24"/>
          <w:szCs w:val="24"/>
        </w:rPr>
        <w:sectPr w:rsidR="00123A40">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pPr>
    </w:p>
    <w:p w14:paraId="7227946D" w14:textId="77777777" w:rsidR="00664025" w:rsidRPr="00D70332" w:rsidRDefault="00664025" w:rsidP="00664025">
      <w:pPr>
        <w:jc w:val="center"/>
        <w:rPr>
          <w:rFonts w:ascii="Segoe UI" w:hAnsi="Segoe UI" w:cs="Segoe UI"/>
        </w:rPr>
      </w:pPr>
    </w:p>
    <w:tbl>
      <w:tblPr>
        <w:tblStyle w:val="Tablaconcuadrcula"/>
        <w:tblW w:w="0" w:type="auto"/>
        <w:shd w:val="clear" w:color="auto" w:fill="B8CCE4" w:themeFill="accent1" w:themeFillTint="66"/>
        <w:tblLook w:val="04A0" w:firstRow="1" w:lastRow="0" w:firstColumn="1" w:lastColumn="0" w:noHBand="0" w:noVBand="1"/>
      </w:tblPr>
      <w:tblGrid>
        <w:gridCol w:w="9629"/>
      </w:tblGrid>
      <w:tr w:rsidR="00B9644E" w:rsidRPr="00B11EC1" w14:paraId="2F37F43C" w14:textId="77777777" w:rsidTr="00B11EC1">
        <w:tc>
          <w:tcPr>
            <w:tcW w:w="9629" w:type="dxa"/>
            <w:tcBorders>
              <w:top w:val="nil"/>
              <w:left w:val="nil"/>
              <w:bottom w:val="nil"/>
              <w:right w:val="nil"/>
            </w:tcBorders>
            <w:shd w:val="clear" w:color="auto" w:fill="B8CCE4" w:themeFill="accent1" w:themeFillTint="66"/>
          </w:tcPr>
          <w:p w14:paraId="73760DE2" w14:textId="77777777" w:rsidR="00B11EC1" w:rsidRDefault="00B11EC1" w:rsidP="00B11EC1">
            <w:pPr>
              <w:spacing w:after="200" w:line="276" w:lineRule="auto"/>
              <w:jc w:val="both"/>
              <w:rPr>
                <w:rFonts w:cstheme="minorHAnsi"/>
                <w:sz w:val="24"/>
                <w:szCs w:val="24"/>
              </w:rPr>
            </w:pPr>
          </w:p>
          <w:p w14:paraId="12FF93B6" w14:textId="2CB6C7AD" w:rsidR="00B9644E" w:rsidRDefault="00B11EC1" w:rsidP="00833F10">
            <w:pPr>
              <w:tabs>
                <w:tab w:val="left" w:pos="9256"/>
              </w:tabs>
              <w:spacing w:after="200" w:line="276" w:lineRule="auto"/>
              <w:ind w:left="326" w:right="172"/>
              <w:jc w:val="both"/>
              <w:rPr>
                <w:rFonts w:cstheme="minorHAnsi"/>
                <w:sz w:val="24"/>
                <w:szCs w:val="24"/>
              </w:rPr>
            </w:pPr>
            <w:r w:rsidRPr="00B11EC1">
              <w:rPr>
                <w:rFonts w:cstheme="minorHAnsi"/>
                <w:sz w:val="24"/>
                <w:szCs w:val="24"/>
              </w:rPr>
              <w:t>La información contenida en este documento es propiedad intelectual de la Superintendencia de Pensiones (SUPEN)</w:t>
            </w:r>
            <w:r w:rsidR="00090427">
              <w:rPr>
                <w:rFonts w:cstheme="minorHAnsi"/>
                <w:sz w:val="24"/>
                <w:szCs w:val="24"/>
              </w:rPr>
              <w:t xml:space="preserve">. </w:t>
            </w:r>
            <w:r w:rsidRPr="00B11EC1">
              <w:rPr>
                <w:rFonts w:cstheme="minorHAnsi"/>
                <w:sz w:val="24"/>
                <w:szCs w:val="24"/>
              </w:rPr>
              <w:t xml:space="preserve">Cualquier duda o consulta sobre este documento debe ser canalizarla a la dirección de correo </w:t>
            </w:r>
            <w:hyperlink r:id="rId18" w:history="1">
              <w:r w:rsidRPr="00DE2139">
                <w:rPr>
                  <w:rStyle w:val="Hipervnculo"/>
                  <w:rFonts w:cstheme="minorHAnsi"/>
                  <w:sz w:val="24"/>
                  <w:szCs w:val="24"/>
                </w:rPr>
                <w:t>SUPEN@SUPEN.fi.cr</w:t>
              </w:r>
            </w:hyperlink>
            <w:r w:rsidRPr="00B11EC1">
              <w:rPr>
                <w:rFonts w:cstheme="minorHAnsi"/>
                <w:sz w:val="24"/>
                <w:szCs w:val="24"/>
              </w:rPr>
              <w:t>.</w:t>
            </w:r>
          </w:p>
          <w:p w14:paraId="71D2634A" w14:textId="77777777" w:rsidR="00B11EC1" w:rsidRPr="00B11EC1" w:rsidRDefault="00B11EC1" w:rsidP="00B11EC1">
            <w:pPr>
              <w:spacing w:after="200" w:line="276" w:lineRule="auto"/>
              <w:jc w:val="both"/>
              <w:rPr>
                <w:rFonts w:cstheme="minorHAnsi"/>
                <w:sz w:val="24"/>
                <w:szCs w:val="24"/>
              </w:rPr>
            </w:pPr>
          </w:p>
        </w:tc>
      </w:tr>
    </w:tbl>
    <w:p w14:paraId="10A1806F" w14:textId="77777777" w:rsidR="00541248" w:rsidRDefault="00541248">
      <w:pPr>
        <w:spacing w:after="200" w:line="276" w:lineRule="auto"/>
        <w:rPr>
          <w:rFonts w:cstheme="minorHAnsi"/>
          <w:b/>
          <w:bCs/>
          <w:sz w:val="24"/>
          <w:szCs w:val="24"/>
        </w:rPr>
      </w:pPr>
      <w:r>
        <w:rPr>
          <w:rFonts w:cstheme="minorHAnsi"/>
          <w:b/>
          <w:bCs/>
          <w:sz w:val="24"/>
          <w:szCs w:val="24"/>
        </w:rPr>
        <w:br w:type="page"/>
      </w:r>
    </w:p>
    <w:sdt>
      <w:sdtPr>
        <w:rPr>
          <w:rFonts w:asciiTheme="minorHAnsi" w:eastAsiaTheme="minorHAnsi" w:hAnsiTheme="minorHAnsi" w:cstheme="minorBidi"/>
          <w:color w:val="auto"/>
          <w:sz w:val="22"/>
          <w:szCs w:val="22"/>
          <w:lang w:val="es-ES" w:eastAsia="en-US"/>
        </w:rPr>
        <w:id w:val="-2022850974"/>
        <w:docPartObj>
          <w:docPartGallery w:val="Table of Contents"/>
          <w:docPartUnique/>
        </w:docPartObj>
      </w:sdtPr>
      <w:sdtEndPr>
        <w:rPr>
          <w:b/>
          <w:bCs/>
        </w:rPr>
      </w:sdtEndPr>
      <w:sdtContent>
        <w:p w14:paraId="1EC8E59D" w14:textId="77777777" w:rsidR="00C7675B" w:rsidRDefault="00C7675B">
          <w:pPr>
            <w:pStyle w:val="TtuloTDC"/>
          </w:pPr>
          <w:r w:rsidRPr="00325C3A">
            <w:rPr>
              <w:lang w:val="es-ES"/>
            </w:rPr>
            <w:t>Contenido</w:t>
          </w:r>
        </w:p>
        <w:p w14:paraId="0F273747" w14:textId="202DC41C" w:rsidR="00F57FC8" w:rsidRDefault="00C7675B">
          <w:pPr>
            <w:pStyle w:val="TDC1"/>
            <w:tabs>
              <w:tab w:val="right" w:leader="dot" w:pos="9629"/>
            </w:tabs>
            <w:rPr>
              <w:rFonts w:eastAsiaTheme="minorEastAsia"/>
              <w:noProof/>
              <w:lang w:val="es-CR" w:eastAsia="es-CR"/>
            </w:rPr>
          </w:pPr>
          <w:r>
            <w:fldChar w:fldCharType="begin"/>
          </w:r>
          <w:r>
            <w:instrText xml:space="preserve"> TOC \o "1-3" \h \z \u </w:instrText>
          </w:r>
          <w:r>
            <w:fldChar w:fldCharType="separate"/>
          </w:r>
          <w:hyperlink w:anchor="_Toc96614853" w:history="1">
            <w:r w:rsidR="00F57FC8" w:rsidRPr="00046ED4">
              <w:rPr>
                <w:rStyle w:val="Hipervnculo"/>
                <w:noProof/>
              </w:rPr>
              <w:t>SECCIÓN I ESTADÍSTICAS: AFILIADOS, PENSIONADOS Y PENSIÓN PROMEDIO</w:t>
            </w:r>
            <w:r w:rsidR="00F57FC8">
              <w:rPr>
                <w:noProof/>
                <w:webHidden/>
              </w:rPr>
              <w:tab/>
            </w:r>
            <w:r w:rsidR="00F57FC8">
              <w:rPr>
                <w:noProof/>
                <w:webHidden/>
              </w:rPr>
              <w:fldChar w:fldCharType="begin"/>
            </w:r>
            <w:r w:rsidR="00F57FC8">
              <w:rPr>
                <w:noProof/>
                <w:webHidden/>
              </w:rPr>
              <w:instrText xml:space="preserve"> PAGEREF _Toc96614853 \h </w:instrText>
            </w:r>
            <w:r w:rsidR="00F57FC8">
              <w:rPr>
                <w:noProof/>
                <w:webHidden/>
              </w:rPr>
            </w:r>
            <w:r w:rsidR="00F57FC8">
              <w:rPr>
                <w:noProof/>
                <w:webHidden/>
              </w:rPr>
              <w:fldChar w:fldCharType="separate"/>
            </w:r>
            <w:r w:rsidR="00F57FC8">
              <w:rPr>
                <w:noProof/>
                <w:webHidden/>
              </w:rPr>
              <w:t>4</w:t>
            </w:r>
            <w:r w:rsidR="00F57FC8">
              <w:rPr>
                <w:noProof/>
                <w:webHidden/>
              </w:rPr>
              <w:fldChar w:fldCharType="end"/>
            </w:r>
          </w:hyperlink>
        </w:p>
        <w:p w14:paraId="6E805749" w14:textId="603E9947" w:rsidR="00F57FC8" w:rsidRDefault="009B470B">
          <w:pPr>
            <w:pStyle w:val="TDC1"/>
            <w:tabs>
              <w:tab w:val="right" w:leader="dot" w:pos="9629"/>
            </w:tabs>
            <w:rPr>
              <w:rFonts w:eastAsiaTheme="minorEastAsia"/>
              <w:noProof/>
              <w:lang w:val="es-CR" w:eastAsia="es-CR"/>
            </w:rPr>
          </w:pPr>
          <w:hyperlink w:anchor="_Toc96614854" w:history="1">
            <w:r w:rsidR="00F57FC8" w:rsidRPr="00046ED4">
              <w:rPr>
                <w:rStyle w:val="Hipervnculo"/>
                <w:noProof/>
              </w:rPr>
              <w:t>SECCIÓN II  HECHOS RELEVANTES DEL TRIMESTRE</w:t>
            </w:r>
            <w:r w:rsidR="00F57FC8">
              <w:rPr>
                <w:noProof/>
                <w:webHidden/>
              </w:rPr>
              <w:tab/>
            </w:r>
            <w:r w:rsidR="00F57FC8">
              <w:rPr>
                <w:noProof/>
                <w:webHidden/>
              </w:rPr>
              <w:fldChar w:fldCharType="begin"/>
            </w:r>
            <w:r w:rsidR="00F57FC8">
              <w:rPr>
                <w:noProof/>
                <w:webHidden/>
              </w:rPr>
              <w:instrText xml:space="preserve"> PAGEREF _Toc96614854 \h </w:instrText>
            </w:r>
            <w:r w:rsidR="00F57FC8">
              <w:rPr>
                <w:noProof/>
                <w:webHidden/>
              </w:rPr>
            </w:r>
            <w:r w:rsidR="00F57FC8">
              <w:rPr>
                <w:noProof/>
                <w:webHidden/>
              </w:rPr>
              <w:fldChar w:fldCharType="separate"/>
            </w:r>
            <w:r w:rsidR="00F57FC8">
              <w:rPr>
                <w:noProof/>
                <w:webHidden/>
              </w:rPr>
              <w:t>6</w:t>
            </w:r>
            <w:r w:rsidR="00F57FC8">
              <w:rPr>
                <w:noProof/>
                <w:webHidden/>
              </w:rPr>
              <w:fldChar w:fldCharType="end"/>
            </w:r>
          </w:hyperlink>
        </w:p>
        <w:p w14:paraId="4CA18A13" w14:textId="33DA05B3" w:rsidR="00F57FC8" w:rsidRDefault="009B470B">
          <w:pPr>
            <w:pStyle w:val="TDC2"/>
            <w:tabs>
              <w:tab w:val="left" w:pos="880"/>
              <w:tab w:val="right" w:leader="dot" w:pos="9629"/>
            </w:tabs>
            <w:rPr>
              <w:rFonts w:eastAsiaTheme="minorEastAsia"/>
              <w:noProof/>
              <w:lang w:val="es-CR" w:eastAsia="es-CR"/>
            </w:rPr>
          </w:pPr>
          <w:hyperlink w:anchor="_Toc96614855" w:history="1">
            <w:r w:rsidR="00F57FC8" w:rsidRPr="00046ED4">
              <w:rPr>
                <w:rStyle w:val="Hipervnculo"/>
                <w:noProof/>
              </w:rPr>
              <w:t>2.1.</w:t>
            </w:r>
            <w:r w:rsidR="00F57FC8">
              <w:rPr>
                <w:rFonts w:eastAsiaTheme="minorEastAsia"/>
                <w:noProof/>
                <w:lang w:val="es-CR" w:eastAsia="es-CR"/>
              </w:rPr>
              <w:tab/>
            </w:r>
            <w:r w:rsidR="00F57FC8" w:rsidRPr="00046ED4">
              <w:rPr>
                <w:rStyle w:val="Hipervnculo"/>
                <w:noProof/>
              </w:rPr>
              <w:t>Modificación al Reglamento del Régimen de Invalidez, Vejez y Muerte de la Caja Costarricense de Seguro Social.</w:t>
            </w:r>
            <w:r w:rsidR="00F57FC8">
              <w:rPr>
                <w:noProof/>
                <w:webHidden/>
              </w:rPr>
              <w:tab/>
            </w:r>
            <w:r w:rsidR="00F57FC8">
              <w:rPr>
                <w:noProof/>
                <w:webHidden/>
              </w:rPr>
              <w:fldChar w:fldCharType="begin"/>
            </w:r>
            <w:r w:rsidR="00F57FC8">
              <w:rPr>
                <w:noProof/>
                <w:webHidden/>
              </w:rPr>
              <w:instrText xml:space="preserve"> PAGEREF _Toc96614855 \h </w:instrText>
            </w:r>
            <w:r w:rsidR="00F57FC8">
              <w:rPr>
                <w:noProof/>
                <w:webHidden/>
              </w:rPr>
            </w:r>
            <w:r w:rsidR="00F57FC8">
              <w:rPr>
                <w:noProof/>
                <w:webHidden/>
              </w:rPr>
              <w:fldChar w:fldCharType="separate"/>
            </w:r>
            <w:r w:rsidR="00F57FC8">
              <w:rPr>
                <w:noProof/>
                <w:webHidden/>
              </w:rPr>
              <w:t>6</w:t>
            </w:r>
            <w:r w:rsidR="00F57FC8">
              <w:rPr>
                <w:noProof/>
                <w:webHidden/>
              </w:rPr>
              <w:fldChar w:fldCharType="end"/>
            </w:r>
          </w:hyperlink>
        </w:p>
        <w:p w14:paraId="6C3ACCCC" w14:textId="7460F087" w:rsidR="00F57FC8" w:rsidRDefault="009B470B">
          <w:pPr>
            <w:pStyle w:val="TDC2"/>
            <w:tabs>
              <w:tab w:val="left" w:pos="880"/>
              <w:tab w:val="right" w:leader="dot" w:pos="9629"/>
            </w:tabs>
            <w:rPr>
              <w:rFonts w:eastAsiaTheme="minorEastAsia"/>
              <w:noProof/>
              <w:lang w:val="es-CR" w:eastAsia="es-CR"/>
            </w:rPr>
          </w:pPr>
          <w:hyperlink w:anchor="_Toc96614856" w:history="1">
            <w:r w:rsidR="00F57FC8" w:rsidRPr="00046ED4">
              <w:rPr>
                <w:rStyle w:val="Hipervnculo"/>
                <w:noProof/>
              </w:rPr>
              <w:t>2.2.</w:t>
            </w:r>
            <w:r w:rsidR="00F57FC8">
              <w:rPr>
                <w:rFonts w:eastAsiaTheme="minorEastAsia"/>
                <w:noProof/>
                <w:lang w:val="es-CR" w:eastAsia="es-CR"/>
              </w:rPr>
              <w:tab/>
            </w:r>
            <w:r w:rsidR="00F57FC8" w:rsidRPr="00046ED4">
              <w:rPr>
                <w:rStyle w:val="Hipervnculo"/>
                <w:noProof/>
              </w:rPr>
              <w:t>Traslado de recursos al RNC</w:t>
            </w:r>
            <w:r w:rsidR="00F57FC8">
              <w:rPr>
                <w:noProof/>
                <w:webHidden/>
              </w:rPr>
              <w:tab/>
            </w:r>
            <w:r w:rsidR="00F57FC8">
              <w:rPr>
                <w:noProof/>
                <w:webHidden/>
              </w:rPr>
              <w:fldChar w:fldCharType="begin"/>
            </w:r>
            <w:r w:rsidR="00F57FC8">
              <w:rPr>
                <w:noProof/>
                <w:webHidden/>
              </w:rPr>
              <w:instrText xml:space="preserve"> PAGEREF _Toc96614856 \h </w:instrText>
            </w:r>
            <w:r w:rsidR="00F57FC8">
              <w:rPr>
                <w:noProof/>
                <w:webHidden/>
              </w:rPr>
            </w:r>
            <w:r w:rsidR="00F57FC8">
              <w:rPr>
                <w:noProof/>
                <w:webHidden/>
              </w:rPr>
              <w:fldChar w:fldCharType="separate"/>
            </w:r>
            <w:r w:rsidR="00F57FC8">
              <w:rPr>
                <w:noProof/>
                <w:webHidden/>
              </w:rPr>
              <w:t>6</w:t>
            </w:r>
            <w:r w:rsidR="00F57FC8">
              <w:rPr>
                <w:noProof/>
                <w:webHidden/>
              </w:rPr>
              <w:fldChar w:fldCharType="end"/>
            </w:r>
          </w:hyperlink>
        </w:p>
        <w:p w14:paraId="26CF9C68" w14:textId="266751BD" w:rsidR="00F57FC8" w:rsidRDefault="009B470B">
          <w:pPr>
            <w:pStyle w:val="TDC2"/>
            <w:tabs>
              <w:tab w:val="left" w:pos="880"/>
              <w:tab w:val="right" w:leader="dot" w:pos="9629"/>
            </w:tabs>
            <w:rPr>
              <w:rFonts w:eastAsiaTheme="minorEastAsia"/>
              <w:noProof/>
              <w:lang w:val="es-CR" w:eastAsia="es-CR"/>
            </w:rPr>
          </w:pPr>
          <w:hyperlink w:anchor="_Toc96614857" w:history="1">
            <w:r w:rsidR="00F57FC8" w:rsidRPr="00046ED4">
              <w:rPr>
                <w:rStyle w:val="Hipervnculo"/>
                <w:noProof/>
              </w:rPr>
              <w:t>2.3.</w:t>
            </w:r>
            <w:r w:rsidR="00F57FC8">
              <w:rPr>
                <w:rFonts w:eastAsiaTheme="minorEastAsia"/>
                <w:noProof/>
                <w:lang w:val="es-CR" w:eastAsia="es-CR"/>
              </w:rPr>
              <w:tab/>
            </w:r>
            <w:r w:rsidR="00F57FC8" w:rsidRPr="00046ED4">
              <w:rPr>
                <w:rStyle w:val="Hipervnculo"/>
                <w:noProof/>
              </w:rPr>
              <w:t>Nuevo estado de cuenta en el Régimen Obligatorio del Pensiones Complementarias, el Fondo de Capitalización Laboral y el Régimen Voluntario de Pensiones Complementarias</w:t>
            </w:r>
            <w:r w:rsidR="00F57FC8">
              <w:rPr>
                <w:noProof/>
                <w:webHidden/>
              </w:rPr>
              <w:tab/>
            </w:r>
            <w:r w:rsidR="00F57FC8">
              <w:rPr>
                <w:noProof/>
                <w:webHidden/>
              </w:rPr>
              <w:fldChar w:fldCharType="begin"/>
            </w:r>
            <w:r w:rsidR="00F57FC8">
              <w:rPr>
                <w:noProof/>
                <w:webHidden/>
              </w:rPr>
              <w:instrText xml:space="preserve"> PAGEREF _Toc96614857 \h </w:instrText>
            </w:r>
            <w:r w:rsidR="00F57FC8">
              <w:rPr>
                <w:noProof/>
                <w:webHidden/>
              </w:rPr>
            </w:r>
            <w:r w:rsidR="00F57FC8">
              <w:rPr>
                <w:noProof/>
                <w:webHidden/>
              </w:rPr>
              <w:fldChar w:fldCharType="separate"/>
            </w:r>
            <w:r w:rsidR="00F57FC8">
              <w:rPr>
                <w:noProof/>
                <w:webHidden/>
              </w:rPr>
              <w:t>7</w:t>
            </w:r>
            <w:r w:rsidR="00F57FC8">
              <w:rPr>
                <w:noProof/>
                <w:webHidden/>
              </w:rPr>
              <w:fldChar w:fldCharType="end"/>
            </w:r>
          </w:hyperlink>
        </w:p>
        <w:p w14:paraId="05B003A6" w14:textId="223933C2" w:rsidR="00F57FC8" w:rsidRDefault="009B470B">
          <w:pPr>
            <w:pStyle w:val="TDC2"/>
            <w:tabs>
              <w:tab w:val="left" w:pos="880"/>
              <w:tab w:val="right" w:leader="dot" w:pos="9629"/>
            </w:tabs>
            <w:rPr>
              <w:rFonts w:eastAsiaTheme="minorEastAsia"/>
              <w:noProof/>
              <w:lang w:val="es-CR" w:eastAsia="es-CR"/>
            </w:rPr>
          </w:pPr>
          <w:hyperlink w:anchor="_Toc96614858" w:history="1">
            <w:r w:rsidR="00F57FC8" w:rsidRPr="00046ED4">
              <w:rPr>
                <w:rStyle w:val="Hipervnculo"/>
                <w:noProof/>
              </w:rPr>
              <w:t>2.4.</w:t>
            </w:r>
            <w:r w:rsidR="00F57FC8">
              <w:rPr>
                <w:rFonts w:eastAsiaTheme="minorEastAsia"/>
                <w:noProof/>
                <w:lang w:val="es-CR" w:eastAsia="es-CR"/>
              </w:rPr>
              <w:tab/>
            </w:r>
            <w:r w:rsidR="00F57FC8" w:rsidRPr="00046ED4">
              <w:rPr>
                <w:rStyle w:val="Hipervnculo"/>
                <w:noProof/>
              </w:rPr>
              <w:t>Activos administrados</w:t>
            </w:r>
            <w:r w:rsidR="00F57FC8">
              <w:rPr>
                <w:noProof/>
                <w:webHidden/>
              </w:rPr>
              <w:tab/>
            </w:r>
            <w:r w:rsidR="00F57FC8">
              <w:rPr>
                <w:noProof/>
                <w:webHidden/>
              </w:rPr>
              <w:fldChar w:fldCharType="begin"/>
            </w:r>
            <w:r w:rsidR="00F57FC8">
              <w:rPr>
                <w:noProof/>
                <w:webHidden/>
              </w:rPr>
              <w:instrText xml:space="preserve"> PAGEREF _Toc96614858 \h </w:instrText>
            </w:r>
            <w:r w:rsidR="00F57FC8">
              <w:rPr>
                <w:noProof/>
                <w:webHidden/>
              </w:rPr>
            </w:r>
            <w:r w:rsidR="00F57FC8">
              <w:rPr>
                <w:noProof/>
                <w:webHidden/>
              </w:rPr>
              <w:fldChar w:fldCharType="separate"/>
            </w:r>
            <w:r w:rsidR="00F57FC8">
              <w:rPr>
                <w:noProof/>
                <w:webHidden/>
              </w:rPr>
              <w:t>7</w:t>
            </w:r>
            <w:r w:rsidR="00F57FC8">
              <w:rPr>
                <w:noProof/>
                <w:webHidden/>
              </w:rPr>
              <w:fldChar w:fldCharType="end"/>
            </w:r>
          </w:hyperlink>
        </w:p>
        <w:p w14:paraId="4C889DD1" w14:textId="6EB9AFDB" w:rsidR="00F57FC8" w:rsidRDefault="009B470B">
          <w:pPr>
            <w:pStyle w:val="TDC3"/>
            <w:tabs>
              <w:tab w:val="left" w:pos="1320"/>
              <w:tab w:val="right" w:leader="dot" w:pos="9629"/>
            </w:tabs>
            <w:rPr>
              <w:rFonts w:eastAsiaTheme="minorEastAsia"/>
              <w:noProof/>
              <w:lang w:val="es-CR" w:eastAsia="es-CR"/>
            </w:rPr>
          </w:pPr>
          <w:hyperlink w:anchor="_Toc96614859" w:history="1">
            <w:r w:rsidR="00F57FC8" w:rsidRPr="00046ED4">
              <w:rPr>
                <w:rStyle w:val="Hipervnculo"/>
                <w:noProof/>
              </w:rPr>
              <w:t>2.4.1.</w:t>
            </w:r>
            <w:r w:rsidR="00F57FC8">
              <w:rPr>
                <w:rFonts w:eastAsiaTheme="minorEastAsia"/>
                <w:noProof/>
                <w:lang w:val="es-CR" w:eastAsia="es-CR"/>
              </w:rPr>
              <w:tab/>
            </w:r>
            <w:r w:rsidR="00F57FC8" w:rsidRPr="00046ED4">
              <w:rPr>
                <w:rStyle w:val="Hipervnculo"/>
                <w:noProof/>
              </w:rPr>
              <w:t>Crecimiento de los activos administrados</w:t>
            </w:r>
            <w:r w:rsidR="00F57FC8">
              <w:rPr>
                <w:noProof/>
                <w:webHidden/>
              </w:rPr>
              <w:tab/>
            </w:r>
            <w:r w:rsidR="00F57FC8">
              <w:rPr>
                <w:noProof/>
                <w:webHidden/>
              </w:rPr>
              <w:fldChar w:fldCharType="begin"/>
            </w:r>
            <w:r w:rsidR="00F57FC8">
              <w:rPr>
                <w:noProof/>
                <w:webHidden/>
              </w:rPr>
              <w:instrText xml:space="preserve"> PAGEREF _Toc96614859 \h </w:instrText>
            </w:r>
            <w:r w:rsidR="00F57FC8">
              <w:rPr>
                <w:noProof/>
                <w:webHidden/>
              </w:rPr>
            </w:r>
            <w:r w:rsidR="00F57FC8">
              <w:rPr>
                <w:noProof/>
                <w:webHidden/>
              </w:rPr>
              <w:fldChar w:fldCharType="separate"/>
            </w:r>
            <w:r w:rsidR="00F57FC8">
              <w:rPr>
                <w:noProof/>
                <w:webHidden/>
              </w:rPr>
              <w:t>7</w:t>
            </w:r>
            <w:r w:rsidR="00F57FC8">
              <w:rPr>
                <w:noProof/>
                <w:webHidden/>
              </w:rPr>
              <w:fldChar w:fldCharType="end"/>
            </w:r>
          </w:hyperlink>
        </w:p>
        <w:p w14:paraId="301B42B4" w14:textId="3801C0CA" w:rsidR="00F57FC8" w:rsidRDefault="009B470B">
          <w:pPr>
            <w:pStyle w:val="TDC3"/>
            <w:tabs>
              <w:tab w:val="left" w:pos="1320"/>
              <w:tab w:val="right" w:leader="dot" w:pos="9629"/>
            </w:tabs>
            <w:rPr>
              <w:rFonts w:eastAsiaTheme="minorEastAsia"/>
              <w:noProof/>
              <w:lang w:val="es-CR" w:eastAsia="es-CR"/>
            </w:rPr>
          </w:pPr>
          <w:hyperlink w:anchor="_Toc96614860" w:history="1">
            <w:r w:rsidR="00F57FC8" w:rsidRPr="00046ED4">
              <w:rPr>
                <w:rStyle w:val="Hipervnculo"/>
                <w:noProof/>
              </w:rPr>
              <w:t>2.4.2.</w:t>
            </w:r>
            <w:r w:rsidR="00F57FC8">
              <w:rPr>
                <w:rFonts w:eastAsiaTheme="minorEastAsia"/>
                <w:noProof/>
                <w:lang w:val="es-CR" w:eastAsia="es-CR"/>
              </w:rPr>
              <w:tab/>
            </w:r>
            <w:r w:rsidR="00F57FC8" w:rsidRPr="00046ED4">
              <w:rPr>
                <w:rStyle w:val="Hipervnculo"/>
                <w:noProof/>
              </w:rPr>
              <w:t>Participación de mercado</w:t>
            </w:r>
            <w:r w:rsidR="00F57FC8">
              <w:rPr>
                <w:noProof/>
                <w:webHidden/>
              </w:rPr>
              <w:tab/>
            </w:r>
            <w:r w:rsidR="00F57FC8">
              <w:rPr>
                <w:noProof/>
                <w:webHidden/>
              </w:rPr>
              <w:fldChar w:fldCharType="begin"/>
            </w:r>
            <w:r w:rsidR="00F57FC8">
              <w:rPr>
                <w:noProof/>
                <w:webHidden/>
              </w:rPr>
              <w:instrText xml:space="preserve"> PAGEREF _Toc96614860 \h </w:instrText>
            </w:r>
            <w:r w:rsidR="00F57FC8">
              <w:rPr>
                <w:noProof/>
                <w:webHidden/>
              </w:rPr>
            </w:r>
            <w:r w:rsidR="00F57FC8">
              <w:rPr>
                <w:noProof/>
                <w:webHidden/>
              </w:rPr>
              <w:fldChar w:fldCharType="separate"/>
            </w:r>
            <w:r w:rsidR="00F57FC8">
              <w:rPr>
                <w:noProof/>
                <w:webHidden/>
              </w:rPr>
              <w:t>9</w:t>
            </w:r>
            <w:r w:rsidR="00F57FC8">
              <w:rPr>
                <w:noProof/>
                <w:webHidden/>
              </w:rPr>
              <w:fldChar w:fldCharType="end"/>
            </w:r>
          </w:hyperlink>
        </w:p>
        <w:p w14:paraId="20DABCD3" w14:textId="7AE33270" w:rsidR="00F57FC8" w:rsidRDefault="009B470B">
          <w:pPr>
            <w:pStyle w:val="TDC3"/>
            <w:tabs>
              <w:tab w:val="left" w:pos="1320"/>
              <w:tab w:val="right" w:leader="dot" w:pos="9629"/>
            </w:tabs>
            <w:rPr>
              <w:rFonts w:eastAsiaTheme="minorEastAsia"/>
              <w:noProof/>
              <w:lang w:val="es-CR" w:eastAsia="es-CR"/>
            </w:rPr>
          </w:pPr>
          <w:hyperlink w:anchor="_Toc96614861" w:history="1">
            <w:r w:rsidR="00F57FC8" w:rsidRPr="00046ED4">
              <w:rPr>
                <w:rStyle w:val="Hipervnculo"/>
                <w:noProof/>
              </w:rPr>
              <w:t>2.4.3.</w:t>
            </w:r>
            <w:r w:rsidR="00F57FC8">
              <w:rPr>
                <w:rFonts w:eastAsiaTheme="minorEastAsia"/>
                <w:noProof/>
                <w:lang w:val="es-CR" w:eastAsia="es-CR"/>
              </w:rPr>
              <w:tab/>
            </w:r>
            <w:r w:rsidR="00F57FC8" w:rsidRPr="00046ED4">
              <w:rPr>
                <w:rStyle w:val="Hipervnculo"/>
                <w:noProof/>
              </w:rPr>
              <w:t>Libre transferencia</w:t>
            </w:r>
            <w:r w:rsidR="00F57FC8">
              <w:rPr>
                <w:noProof/>
                <w:webHidden/>
              </w:rPr>
              <w:tab/>
            </w:r>
            <w:r w:rsidR="00F57FC8">
              <w:rPr>
                <w:noProof/>
                <w:webHidden/>
              </w:rPr>
              <w:fldChar w:fldCharType="begin"/>
            </w:r>
            <w:r w:rsidR="00F57FC8">
              <w:rPr>
                <w:noProof/>
                <w:webHidden/>
              </w:rPr>
              <w:instrText xml:space="preserve"> PAGEREF _Toc96614861 \h </w:instrText>
            </w:r>
            <w:r w:rsidR="00F57FC8">
              <w:rPr>
                <w:noProof/>
                <w:webHidden/>
              </w:rPr>
            </w:r>
            <w:r w:rsidR="00F57FC8">
              <w:rPr>
                <w:noProof/>
                <w:webHidden/>
              </w:rPr>
              <w:fldChar w:fldCharType="separate"/>
            </w:r>
            <w:r w:rsidR="00F57FC8">
              <w:rPr>
                <w:noProof/>
                <w:webHidden/>
              </w:rPr>
              <w:t>10</w:t>
            </w:r>
            <w:r w:rsidR="00F57FC8">
              <w:rPr>
                <w:noProof/>
                <w:webHidden/>
              </w:rPr>
              <w:fldChar w:fldCharType="end"/>
            </w:r>
          </w:hyperlink>
        </w:p>
        <w:p w14:paraId="028A9E6F" w14:textId="2B6D7856" w:rsidR="00F57FC8" w:rsidRDefault="009B470B">
          <w:pPr>
            <w:pStyle w:val="TDC3"/>
            <w:tabs>
              <w:tab w:val="left" w:pos="1320"/>
              <w:tab w:val="right" w:leader="dot" w:pos="9629"/>
            </w:tabs>
            <w:rPr>
              <w:rFonts w:eastAsiaTheme="minorEastAsia"/>
              <w:noProof/>
              <w:lang w:val="es-CR" w:eastAsia="es-CR"/>
            </w:rPr>
          </w:pPr>
          <w:hyperlink w:anchor="_Toc96614862" w:history="1">
            <w:r w:rsidR="00F57FC8" w:rsidRPr="00046ED4">
              <w:rPr>
                <w:rStyle w:val="Hipervnculo"/>
                <w:noProof/>
              </w:rPr>
              <w:t>2.4.4.</w:t>
            </w:r>
            <w:r w:rsidR="00F57FC8">
              <w:rPr>
                <w:rFonts w:eastAsiaTheme="minorEastAsia"/>
                <w:noProof/>
                <w:lang w:val="es-CR" w:eastAsia="es-CR"/>
              </w:rPr>
              <w:tab/>
            </w:r>
            <w:r w:rsidR="00F57FC8" w:rsidRPr="00046ED4">
              <w:rPr>
                <w:rStyle w:val="Hipervnculo"/>
                <w:noProof/>
              </w:rPr>
              <w:t>Inversiones</w:t>
            </w:r>
            <w:r w:rsidR="00F57FC8">
              <w:rPr>
                <w:noProof/>
                <w:webHidden/>
              </w:rPr>
              <w:tab/>
            </w:r>
            <w:r w:rsidR="00F57FC8">
              <w:rPr>
                <w:noProof/>
                <w:webHidden/>
              </w:rPr>
              <w:fldChar w:fldCharType="begin"/>
            </w:r>
            <w:r w:rsidR="00F57FC8">
              <w:rPr>
                <w:noProof/>
                <w:webHidden/>
              </w:rPr>
              <w:instrText xml:space="preserve"> PAGEREF _Toc96614862 \h </w:instrText>
            </w:r>
            <w:r w:rsidR="00F57FC8">
              <w:rPr>
                <w:noProof/>
                <w:webHidden/>
              </w:rPr>
            </w:r>
            <w:r w:rsidR="00F57FC8">
              <w:rPr>
                <w:noProof/>
                <w:webHidden/>
              </w:rPr>
              <w:fldChar w:fldCharType="separate"/>
            </w:r>
            <w:r w:rsidR="00F57FC8">
              <w:rPr>
                <w:noProof/>
                <w:webHidden/>
              </w:rPr>
              <w:t>11</w:t>
            </w:r>
            <w:r w:rsidR="00F57FC8">
              <w:rPr>
                <w:noProof/>
                <w:webHidden/>
              </w:rPr>
              <w:fldChar w:fldCharType="end"/>
            </w:r>
          </w:hyperlink>
        </w:p>
        <w:p w14:paraId="1AECA925" w14:textId="359BB57B" w:rsidR="00F57FC8" w:rsidRDefault="009B470B">
          <w:pPr>
            <w:pStyle w:val="TDC3"/>
            <w:tabs>
              <w:tab w:val="left" w:pos="1320"/>
              <w:tab w:val="right" w:leader="dot" w:pos="9629"/>
            </w:tabs>
            <w:rPr>
              <w:rFonts w:eastAsiaTheme="minorEastAsia"/>
              <w:noProof/>
              <w:lang w:val="es-CR" w:eastAsia="es-CR"/>
            </w:rPr>
          </w:pPr>
          <w:hyperlink w:anchor="_Toc96614863" w:history="1">
            <w:r w:rsidR="00F57FC8" w:rsidRPr="00046ED4">
              <w:rPr>
                <w:rStyle w:val="Hipervnculo"/>
                <w:noProof/>
              </w:rPr>
              <w:t>2.4.5.</w:t>
            </w:r>
            <w:r w:rsidR="00F57FC8">
              <w:rPr>
                <w:rFonts w:eastAsiaTheme="minorEastAsia"/>
                <w:noProof/>
                <w:lang w:val="es-CR" w:eastAsia="es-CR"/>
              </w:rPr>
              <w:tab/>
            </w:r>
            <w:r w:rsidR="00F57FC8" w:rsidRPr="00046ED4">
              <w:rPr>
                <w:rStyle w:val="Hipervnculo"/>
                <w:noProof/>
              </w:rPr>
              <w:t>Rentabilidad, inversiones en mercados internacionales y dolarización de los portafolios</w:t>
            </w:r>
            <w:r w:rsidR="00F57FC8">
              <w:rPr>
                <w:noProof/>
                <w:webHidden/>
              </w:rPr>
              <w:tab/>
            </w:r>
            <w:r w:rsidR="00F57FC8">
              <w:rPr>
                <w:noProof/>
                <w:webHidden/>
              </w:rPr>
              <w:fldChar w:fldCharType="begin"/>
            </w:r>
            <w:r w:rsidR="00F57FC8">
              <w:rPr>
                <w:noProof/>
                <w:webHidden/>
              </w:rPr>
              <w:instrText xml:space="preserve"> PAGEREF _Toc96614863 \h </w:instrText>
            </w:r>
            <w:r w:rsidR="00F57FC8">
              <w:rPr>
                <w:noProof/>
                <w:webHidden/>
              </w:rPr>
            </w:r>
            <w:r w:rsidR="00F57FC8">
              <w:rPr>
                <w:noProof/>
                <w:webHidden/>
              </w:rPr>
              <w:fldChar w:fldCharType="separate"/>
            </w:r>
            <w:r w:rsidR="00F57FC8">
              <w:rPr>
                <w:noProof/>
                <w:webHidden/>
              </w:rPr>
              <w:t>12</w:t>
            </w:r>
            <w:r w:rsidR="00F57FC8">
              <w:rPr>
                <w:noProof/>
                <w:webHidden/>
              </w:rPr>
              <w:fldChar w:fldCharType="end"/>
            </w:r>
          </w:hyperlink>
        </w:p>
        <w:p w14:paraId="0421B95A" w14:textId="5F6E7385" w:rsidR="00F57FC8" w:rsidRDefault="009B470B">
          <w:pPr>
            <w:pStyle w:val="TDC2"/>
            <w:tabs>
              <w:tab w:val="left" w:pos="880"/>
              <w:tab w:val="right" w:leader="dot" w:pos="9629"/>
            </w:tabs>
            <w:rPr>
              <w:rFonts w:eastAsiaTheme="minorEastAsia"/>
              <w:noProof/>
              <w:lang w:val="es-CR" w:eastAsia="es-CR"/>
            </w:rPr>
          </w:pPr>
          <w:hyperlink w:anchor="_Toc96614864" w:history="1">
            <w:r w:rsidR="00F57FC8" w:rsidRPr="00046ED4">
              <w:rPr>
                <w:rStyle w:val="Hipervnculo"/>
                <w:noProof/>
              </w:rPr>
              <w:t>2.5.</w:t>
            </w:r>
            <w:r w:rsidR="00F57FC8">
              <w:rPr>
                <w:rFonts w:eastAsiaTheme="minorEastAsia"/>
                <w:noProof/>
                <w:lang w:val="es-CR" w:eastAsia="es-CR"/>
              </w:rPr>
              <w:tab/>
            </w:r>
            <w:r w:rsidR="00F57FC8" w:rsidRPr="00046ED4">
              <w:rPr>
                <w:rStyle w:val="Hipervnculo"/>
                <w:noProof/>
              </w:rPr>
              <w:t>Desempeño de los gestores: resultado financiero</w:t>
            </w:r>
            <w:r w:rsidR="00F57FC8">
              <w:rPr>
                <w:noProof/>
                <w:webHidden/>
              </w:rPr>
              <w:tab/>
            </w:r>
            <w:r w:rsidR="00F57FC8">
              <w:rPr>
                <w:noProof/>
                <w:webHidden/>
              </w:rPr>
              <w:fldChar w:fldCharType="begin"/>
            </w:r>
            <w:r w:rsidR="00F57FC8">
              <w:rPr>
                <w:noProof/>
                <w:webHidden/>
              </w:rPr>
              <w:instrText xml:space="preserve"> PAGEREF _Toc96614864 \h </w:instrText>
            </w:r>
            <w:r w:rsidR="00F57FC8">
              <w:rPr>
                <w:noProof/>
                <w:webHidden/>
              </w:rPr>
            </w:r>
            <w:r w:rsidR="00F57FC8">
              <w:rPr>
                <w:noProof/>
                <w:webHidden/>
              </w:rPr>
              <w:fldChar w:fldCharType="separate"/>
            </w:r>
            <w:r w:rsidR="00F57FC8">
              <w:rPr>
                <w:noProof/>
                <w:webHidden/>
              </w:rPr>
              <w:t>14</w:t>
            </w:r>
            <w:r w:rsidR="00F57FC8">
              <w:rPr>
                <w:noProof/>
                <w:webHidden/>
              </w:rPr>
              <w:fldChar w:fldCharType="end"/>
            </w:r>
          </w:hyperlink>
        </w:p>
        <w:p w14:paraId="1CD07210" w14:textId="64936701" w:rsidR="00F57FC8" w:rsidRDefault="009B470B">
          <w:pPr>
            <w:pStyle w:val="TDC1"/>
            <w:tabs>
              <w:tab w:val="right" w:leader="dot" w:pos="9629"/>
            </w:tabs>
            <w:rPr>
              <w:rFonts w:eastAsiaTheme="minorEastAsia"/>
              <w:noProof/>
              <w:lang w:val="es-CR" w:eastAsia="es-CR"/>
            </w:rPr>
          </w:pPr>
          <w:hyperlink w:anchor="_Toc96614865" w:history="1">
            <w:r w:rsidR="00F57FC8" w:rsidRPr="00046ED4">
              <w:rPr>
                <w:rStyle w:val="Hipervnculo"/>
                <w:noProof/>
                <w:lang w:val="es-CR"/>
              </w:rPr>
              <w:t>Abreviaturas</w:t>
            </w:r>
            <w:r w:rsidR="00F57FC8">
              <w:rPr>
                <w:noProof/>
                <w:webHidden/>
              </w:rPr>
              <w:tab/>
            </w:r>
            <w:r w:rsidR="00F57FC8">
              <w:rPr>
                <w:noProof/>
                <w:webHidden/>
              </w:rPr>
              <w:fldChar w:fldCharType="begin"/>
            </w:r>
            <w:r w:rsidR="00F57FC8">
              <w:rPr>
                <w:noProof/>
                <w:webHidden/>
              </w:rPr>
              <w:instrText xml:space="preserve"> PAGEREF _Toc96614865 \h </w:instrText>
            </w:r>
            <w:r w:rsidR="00F57FC8">
              <w:rPr>
                <w:noProof/>
                <w:webHidden/>
              </w:rPr>
            </w:r>
            <w:r w:rsidR="00F57FC8">
              <w:rPr>
                <w:noProof/>
                <w:webHidden/>
              </w:rPr>
              <w:fldChar w:fldCharType="separate"/>
            </w:r>
            <w:r w:rsidR="00F57FC8">
              <w:rPr>
                <w:noProof/>
                <w:webHidden/>
              </w:rPr>
              <w:t>16</w:t>
            </w:r>
            <w:r w:rsidR="00F57FC8">
              <w:rPr>
                <w:noProof/>
                <w:webHidden/>
              </w:rPr>
              <w:fldChar w:fldCharType="end"/>
            </w:r>
          </w:hyperlink>
        </w:p>
        <w:p w14:paraId="0157DFC2" w14:textId="03B4846B" w:rsidR="00C7675B" w:rsidRDefault="00C7675B">
          <w:r>
            <w:rPr>
              <w:b/>
              <w:bCs/>
            </w:rPr>
            <w:fldChar w:fldCharType="end"/>
          </w:r>
        </w:p>
      </w:sdtContent>
    </w:sdt>
    <w:p w14:paraId="232FC55C" w14:textId="77777777" w:rsidR="00930EC2" w:rsidRDefault="00930EC2">
      <w:pPr>
        <w:spacing w:after="200" w:line="276" w:lineRule="auto"/>
        <w:rPr>
          <w:rFonts w:asciiTheme="majorHAnsi" w:eastAsiaTheme="majorEastAsia" w:hAnsiTheme="majorHAnsi" w:cstheme="majorBidi"/>
          <w:color w:val="365F91" w:themeColor="accent1" w:themeShade="BF"/>
          <w:sz w:val="36"/>
          <w:szCs w:val="36"/>
        </w:rPr>
      </w:pPr>
      <w:r>
        <w:br w:type="page"/>
      </w:r>
    </w:p>
    <w:p w14:paraId="7EEA449F" w14:textId="77777777" w:rsidR="00D45EF1" w:rsidRPr="00FD032B" w:rsidRDefault="00780F6D">
      <w:pPr>
        <w:pStyle w:val="Ttulo1"/>
      </w:pPr>
      <w:bookmarkStart w:id="3" w:name="_Toc96614853"/>
      <w:r w:rsidRPr="00FD032B">
        <w:lastRenderedPageBreak/>
        <w:t>SECCIÓN I</w:t>
      </w:r>
      <w:r w:rsidR="004E684C">
        <w:br/>
      </w:r>
      <w:r w:rsidR="00D06E3F">
        <w:t>ESTADÍ</w:t>
      </w:r>
      <w:r w:rsidR="00FE47C0">
        <w:t>STICA</w:t>
      </w:r>
      <w:r w:rsidR="009E6130">
        <w:t>S</w:t>
      </w:r>
      <w:r w:rsidR="00A36F35">
        <w:t>: AFILIADOS, PENSIONADOS Y PENSIÓN PROMEDIO</w:t>
      </w:r>
      <w:bookmarkEnd w:id="3"/>
    </w:p>
    <w:p w14:paraId="7C577740" w14:textId="77777777" w:rsidR="00A36F35" w:rsidRDefault="00A36F35" w:rsidP="00F51AA9">
      <w:pPr>
        <w:spacing w:after="200" w:line="276" w:lineRule="auto"/>
        <w:jc w:val="both"/>
        <w:rPr>
          <w:rFonts w:cstheme="minorHAnsi"/>
        </w:rPr>
      </w:pPr>
    </w:p>
    <w:p w14:paraId="4286DD3E" w14:textId="77777777" w:rsidR="0085271B" w:rsidRDefault="00556864" w:rsidP="008B00BB">
      <w:pPr>
        <w:jc w:val="both"/>
        <w:rPr>
          <w:rFonts w:cstheme="minorHAnsi"/>
        </w:rPr>
      </w:pPr>
      <w:r w:rsidRPr="000C7F04">
        <w:rPr>
          <w:rFonts w:cstheme="minorHAnsi"/>
        </w:rPr>
        <w:t xml:space="preserve">El Sistema Nacional de Pensiones </w:t>
      </w:r>
      <w:r w:rsidR="009E6130">
        <w:rPr>
          <w:rFonts w:cstheme="minorHAnsi"/>
        </w:rPr>
        <w:t xml:space="preserve">(SNP) </w:t>
      </w:r>
      <w:r w:rsidR="0050273C">
        <w:rPr>
          <w:rFonts w:cstheme="minorHAnsi"/>
        </w:rPr>
        <w:t>está compuesto por 4 regímenes de capitalización colectiva</w:t>
      </w:r>
      <w:r w:rsidR="00E9545E">
        <w:rPr>
          <w:rFonts w:cstheme="minorHAnsi"/>
        </w:rPr>
        <w:t xml:space="preserve">, 6 regímenes complementarios de carácter ocupacional y </w:t>
      </w:r>
      <w:r w:rsidR="00096E7B">
        <w:rPr>
          <w:rFonts w:cstheme="minorHAnsi"/>
        </w:rPr>
        <w:t xml:space="preserve">2 regímenes complementarios (uno voluntario </w:t>
      </w:r>
      <w:r w:rsidR="002A0E1F">
        <w:rPr>
          <w:rFonts w:cstheme="minorHAnsi"/>
        </w:rPr>
        <w:t>y</w:t>
      </w:r>
      <w:r w:rsidR="00096E7B">
        <w:rPr>
          <w:rFonts w:cstheme="minorHAnsi"/>
        </w:rPr>
        <w:t xml:space="preserve"> otro obligatorio), los </w:t>
      </w:r>
      <w:r w:rsidR="00BB09CB">
        <w:rPr>
          <w:rFonts w:cstheme="minorHAnsi"/>
        </w:rPr>
        <w:t>que,</w:t>
      </w:r>
      <w:r w:rsidR="00096E7B">
        <w:rPr>
          <w:rFonts w:cstheme="minorHAnsi"/>
        </w:rPr>
        <w:t xml:space="preserve"> en conjunto, otorgan pensión a </w:t>
      </w:r>
      <w:r w:rsidR="007F260C" w:rsidRPr="000C7F04">
        <w:rPr>
          <w:rFonts w:cstheme="minorHAnsi"/>
        </w:rPr>
        <w:t xml:space="preserve">cerca de 500 mil </w:t>
      </w:r>
      <w:r w:rsidR="00096E7B">
        <w:rPr>
          <w:rFonts w:cstheme="minorHAnsi"/>
        </w:rPr>
        <w:t>personas</w:t>
      </w:r>
      <w:r w:rsidR="00E050E7">
        <w:rPr>
          <w:rFonts w:cstheme="minorHAnsi"/>
        </w:rPr>
        <w:t>.</w:t>
      </w:r>
      <w:r w:rsidR="00460934">
        <w:rPr>
          <w:rFonts w:cstheme="minorHAnsi"/>
        </w:rPr>
        <w:t xml:space="preserve"> El cuadro </w:t>
      </w:r>
      <w:r w:rsidR="005B472A">
        <w:rPr>
          <w:rFonts w:cstheme="minorHAnsi"/>
        </w:rPr>
        <w:t xml:space="preserve">1 </w:t>
      </w:r>
      <w:r w:rsidR="00460934">
        <w:rPr>
          <w:rFonts w:cstheme="minorHAnsi"/>
        </w:rPr>
        <w:t>resume</w:t>
      </w:r>
      <w:r w:rsidR="005B472A">
        <w:rPr>
          <w:rFonts w:cstheme="minorHAnsi"/>
        </w:rPr>
        <w:t xml:space="preserve"> los</w:t>
      </w:r>
      <w:r w:rsidR="00460934">
        <w:rPr>
          <w:rFonts w:cstheme="minorHAnsi"/>
        </w:rPr>
        <w:t xml:space="preserve"> principales </w:t>
      </w:r>
      <w:r w:rsidR="00905D4C">
        <w:rPr>
          <w:rFonts w:cstheme="minorHAnsi"/>
        </w:rPr>
        <w:t>indicadores de estos regímenes.</w:t>
      </w:r>
    </w:p>
    <w:p w14:paraId="4AE26B44" w14:textId="77777777" w:rsidR="008B00BB" w:rsidRDefault="008B00BB" w:rsidP="008B00BB">
      <w:pPr>
        <w:jc w:val="both"/>
        <w:rPr>
          <w:rFonts w:cstheme="minorHAnsi"/>
        </w:rPr>
      </w:pPr>
    </w:p>
    <w:p w14:paraId="6B39DE13" w14:textId="77777777" w:rsidR="00380037" w:rsidRPr="00B66AF7" w:rsidRDefault="00380037" w:rsidP="00B674EA">
      <w:pPr>
        <w:jc w:val="both"/>
        <w:rPr>
          <w:rFonts w:cstheme="minorHAnsi"/>
          <w:b/>
          <w:bCs/>
        </w:rPr>
      </w:pPr>
      <w:r w:rsidRPr="00B66AF7">
        <w:rPr>
          <w:rFonts w:cstheme="minorHAnsi"/>
          <w:b/>
          <w:bCs/>
        </w:rPr>
        <w:t xml:space="preserve">Cuadro 1. </w:t>
      </w:r>
    </w:p>
    <w:p w14:paraId="26097EF5" w14:textId="77777777" w:rsidR="00380037" w:rsidRDefault="00380037">
      <w:pPr>
        <w:jc w:val="both"/>
        <w:rPr>
          <w:rFonts w:cstheme="minorHAnsi"/>
        </w:rPr>
      </w:pPr>
      <w:r w:rsidRPr="00DC65F3">
        <w:rPr>
          <w:rFonts w:cstheme="minorHAnsi"/>
          <w:b/>
        </w:rPr>
        <w:t xml:space="preserve">Sistema Nacional de Pensiones: afiliados, pensionados, contribuciones y pensión promedio según fondo, </w:t>
      </w:r>
      <w:r w:rsidR="00656589">
        <w:rPr>
          <w:rFonts w:cstheme="minorHAnsi"/>
          <w:b/>
        </w:rPr>
        <w:t>diciembre</w:t>
      </w:r>
      <w:r w:rsidRPr="00DC65F3">
        <w:rPr>
          <w:rFonts w:cstheme="minorHAnsi"/>
          <w:b/>
        </w:rPr>
        <w:t xml:space="preserve"> 2021</w:t>
      </w:r>
    </w:p>
    <w:tbl>
      <w:tblPr>
        <w:tblW w:w="10000" w:type="dxa"/>
        <w:tblInd w:w="-10" w:type="dxa"/>
        <w:shd w:val="clear" w:color="auto" w:fill="FFFFFF" w:themeFill="background1"/>
        <w:tblCellMar>
          <w:left w:w="70" w:type="dxa"/>
          <w:right w:w="70" w:type="dxa"/>
        </w:tblCellMar>
        <w:tblLook w:val="04A0" w:firstRow="1" w:lastRow="0" w:firstColumn="1" w:lastColumn="0" w:noHBand="0" w:noVBand="1"/>
      </w:tblPr>
      <w:tblGrid>
        <w:gridCol w:w="2845"/>
        <w:gridCol w:w="1144"/>
        <w:gridCol w:w="1266"/>
        <w:gridCol w:w="1343"/>
        <w:gridCol w:w="1134"/>
        <w:gridCol w:w="993"/>
        <w:gridCol w:w="1275"/>
      </w:tblGrid>
      <w:tr w:rsidR="00404D46" w:rsidRPr="003478E0" w14:paraId="794FE44B" w14:textId="77777777" w:rsidTr="00CC4FE3">
        <w:trPr>
          <w:trHeight w:val="315"/>
        </w:trPr>
        <w:tc>
          <w:tcPr>
            <w:tcW w:w="2845" w:type="dxa"/>
            <w:vMerge w:val="restart"/>
            <w:tcBorders>
              <w:top w:val="single" w:sz="4" w:space="0" w:color="auto"/>
            </w:tcBorders>
            <w:shd w:val="clear" w:color="auto" w:fill="FFFFFF" w:themeFill="background1"/>
            <w:noWrap/>
            <w:vAlign w:val="center"/>
          </w:tcPr>
          <w:p w14:paraId="555840D0" w14:textId="77777777" w:rsidR="00404D46" w:rsidRPr="00B674EA" w:rsidRDefault="00404D46"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 fondo</w:t>
            </w:r>
          </w:p>
        </w:tc>
        <w:tc>
          <w:tcPr>
            <w:tcW w:w="1144" w:type="dxa"/>
            <w:vMerge w:val="restart"/>
            <w:tcBorders>
              <w:top w:val="single" w:sz="4" w:space="0" w:color="auto"/>
            </w:tcBorders>
            <w:shd w:val="clear" w:color="auto" w:fill="FFFFFF" w:themeFill="background1"/>
            <w:vAlign w:val="center"/>
          </w:tcPr>
          <w:p w14:paraId="35BB542A" w14:textId="77777777" w:rsidR="00404D46" w:rsidRPr="00B674EA" w:rsidRDefault="00404D46" w:rsidP="008B00BB">
            <w:pPr>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Afiliados</w:t>
            </w:r>
          </w:p>
        </w:tc>
        <w:tc>
          <w:tcPr>
            <w:tcW w:w="1266" w:type="dxa"/>
            <w:vMerge w:val="restart"/>
            <w:tcBorders>
              <w:top w:val="single" w:sz="4" w:space="0" w:color="auto"/>
            </w:tcBorders>
            <w:shd w:val="clear" w:color="auto" w:fill="auto"/>
            <w:vAlign w:val="center"/>
          </w:tcPr>
          <w:p w14:paraId="6E98989C" w14:textId="77777777" w:rsidR="00404D46" w:rsidRPr="00B674EA" w:rsidRDefault="00404D46" w:rsidP="008B00BB">
            <w:pPr>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Pensionados</w:t>
            </w:r>
          </w:p>
        </w:tc>
        <w:tc>
          <w:tcPr>
            <w:tcW w:w="3470" w:type="dxa"/>
            <w:gridSpan w:val="3"/>
            <w:tcBorders>
              <w:top w:val="single" w:sz="4" w:space="0" w:color="auto"/>
            </w:tcBorders>
            <w:shd w:val="clear" w:color="auto" w:fill="FFFFFF" w:themeFill="background1"/>
            <w:noWrap/>
            <w:vAlign w:val="center"/>
          </w:tcPr>
          <w:p w14:paraId="6F239234" w14:textId="77777777" w:rsidR="00404D46" w:rsidRPr="00B674EA" w:rsidRDefault="00404D46" w:rsidP="00AC14E2">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Contribuciones</w:t>
            </w:r>
          </w:p>
        </w:tc>
        <w:tc>
          <w:tcPr>
            <w:tcW w:w="1275" w:type="dxa"/>
            <w:vMerge w:val="restart"/>
            <w:tcBorders>
              <w:top w:val="single" w:sz="4" w:space="0" w:color="auto"/>
            </w:tcBorders>
            <w:shd w:val="clear" w:color="auto" w:fill="FFFFFF" w:themeFill="background1"/>
            <w:noWrap/>
            <w:vAlign w:val="center"/>
          </w:tcPr>
          <w:p w14:paraId="42ACC6B5" w14:textId="77777777" w:rsidR="00404D46" w:rsidRPr="00B674EA" w:rsidRDefault="00404D46" w:rsidP="008B00BB">
            <w:pPr>
              <w:jc w:val="right"/>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Pensión Promedio</w:t>
            </w:r>
          </w:p>
        </w:tc>
      </w:tr>
      <w:tr w:rsidR="00404D46" w:rsidRPr="003478E0" w14:paraId="56C08C18" w14:textId="77777777" w:rsidTr="00CC4FE3">
        <w:trPr>
          <w:trHeight w:val="315"/>
        </w:trPr>
        <w:tc>
          <w:tcPr>
            <w:tcW w:w="2845" w:type="dxa"/>
            <w:vMerge/>
            <w:shd w:val="clear" w:color="auto" w:fill="FFFFFF" w:themeFill="background1"/>
            <w:noWrap/>
            <w:vAlign w:val="center"/>
          </w:tcPr>
          <w:p w14:paraId="08F60996" w14:textId="77777777" w:rsidR="00404D46" w:rsidRPr="00B674EA" w:rsidRDefault="00404D46" w:rsidP="008B00BB">
            <w:pPr>
              <w:rPr>
                <w:rFonts w:ascii="Calibri" w:eastAsia="Times New Roman" w:hAnsi="Calibri" w:cs="Calibri"/>
                <w:b/>
                <w:bCs/>
                <w:sz w:val="20"/>
                <w:szCs w:val="20"/>
                <w:lang w:val="es-CR" w:eastAsia="es-CR"/>
              </w:rPr>
            </w:pPr>
          </w:p>
        </w:tc>
        <w:tc>
          <w:tcPr>
            <w:tcW w:w="1144" w:type="dxa"/>
            <w:vMerge/>
            <w:shd w:val="clear" w:color="auto" w:fill="FFFFFF" w:themeFill="background1"/>
            <w:vAlign w:val="center"/>
          </w:tcPr>
          <w:p w14:paraId="61DA682D" w14:textId="77777777" w:rsidR="00404D46" w:rsidRPr="00B674EA" w:rsidRDefault="00404D46" w:rsidP="008B00BB">
            <w:pPr>
              <w:jc w:val="right"/>
              <w:rPr>
                <w:rFonts w:ascii="Calibri" w:eastAsia="Times New Roman" w:hAnsi="Calibri" w:cs="Calibri"/>
                <w:sz w:val="20"/>
                <w:szCs w:val="20"/>
                <w:lang w:val="es-CR" w:eastAsia="es-CR"/>
              </w:rPr>
            </w:pPr>
          </w:p>
        </w:tc>
        <w:tc>
          <w:tcPr>
            <w:tcW w:w="1266" w:type="dxa"/>
            <w:vMerge/>
            <w:shd w:val="clear" w:color="auto" w:fill="auto"/>
            <w:vAlign w:val="center"/>
          </w:tcPr>
          <w:p w14:paraId="12DB7864" w14:textId="77777777" w:rsidR="00404D46" w:rsidRPr="00B674EA" w:rsidRDefault="00404D46" w:rsidP="008B00BB">
            <w:pPr>
              <w:jc w:val="right"/>
              <w:rPr>
                <w:rFonts w:ascii="Calibri" w:eastAsia="Times New Roman" w:hAnsi="Calibri" w:cs="Calibri"/>
                <w:sz w:val="20"/>
                <w:szCs w:val="20"/>
                <w:lang w:val="es-CR" w:eastAsia="es-CR"/>
              </w:rPr>
            </w:pPr>
          </w:p>
        </w:tc>
        <w:tc>
          <w:tcPr>
            <w:tcW w:w="1343" w:type="dxa"/>
            <w:tcBorders>
              <w:top w:val="single" w:sz="4" w:space="0" w:color="auto"/>
            </w:tcBorders>
            <w:shd w:val="clear" w:color="auto" w:fill="FFFFFF" w:themeFill="background1"/>
            <w:noWrap/>
            <w:vAlign w:val="center"/>
          </w:tcPr>
          <w:p w14:paraId="08A65957" w14:textId="77777777"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Trabajador</w:t>
            </w:r>
          </w:p>
        </w:tc>
        <w:tc>
          <w:tcPr>
            <w:tcW w:w="1134" w:type="dxa"/>
            <w:tcBorders>
              <w:top w:val="single" w:sz="4" w:space="0" w:color="auto"/>
            </w:tcBorders>
            <w:shd w:val="clear" w:color="auto" w:fill="FFFFFF" w:themeFill="background1"/>
            <w:noWrap/>
            <w:vAlign w:val="center"/>
          </w:tcPr>
          <w:p w14:paraId="70BE1D3E" w14:textId="77777777"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Patrono</w:t>
            </w:r>
          </w:p>
        </w:tc>
        <w:tc>
          <w:tcPr>
            <w:tcW w:w="993" w:type="dxa"/>
            <w:tcBorders>
              <w:top w:val="single" w:sz="4" w:space="0" w:color="auto"/>
            </w:tcBorders>
            <w:shd w:val="clear" w:color="auto" w:fill="FFFFFF" w:themeFill="background1"/>
            <w:noWrap/>
            <w:vAlign w:val="center"/>
          </w:tcPr>
          <w:p w14:paraId="4874CE08" w14:textId="77777777" w:rsidR="00404D46" w:rsidRPr="00B674EA" w:rsidRDefault="00404D46" w:rsidP="00823B68">
            <w:pPr>
              <w:jc w:val="cente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Estado</w:t>
            </w:r>
          </w:p>
        </w:tc>
        <w:tc>
          <w:tcPr>
            <w:tcW w:w="1275" w:type="dxa"/>
            <w:vMerge/>
            <w:shd w:val="clear" w:color="auto" w:fill="FFFFFF" w:themeFill="background1"/>
            <w:noWrap/>
            <w:vAlign w:val="center"/>
          </w:tcPr>
          <w:p w14:paraId="4410E225" w14:textId="77777777" w:rsidR="00404D46" w:rsidRPr="00B674EA" w:rsidRDefault="00404D46" w:rsidP="008B00BB">
            <w:pPr>
              <w:jc w:val="right"/>
              <w:rPr>
                <w:rFonts w:ascii="Calibri" w:eastAsia="Times New Roman" w:hAnsi="Calibri" w:cs="Calibri"/>
                <w:sz w:val="20"/>
                <w:szCs w:val="20"/>
                <w:lang w:val="es-CR" w:eastAsia="es-CR"/>
              </w:rPr>
            </w:pPr>
          </w:p>
        </w:tc>
      </w:tr>
      <w:tr w:rsidR="008031C3" w:rsidRPr="003478E0" w14:paraId="26951023" w14:textId="77777777" w:rsidTr="00CC4FE3">
        <w:trPr>
          <w:trHeight w:val="315"/>
        </w:trPr>
        <w:tc>
          <w:tcPr>
            <w:tcW w:w="2845" w:type="dxa"/>
            <w:tcBorders>
              <w:top w:val="single" w:sz="4" w:space="0" w:color="auto"/>
            </w:tcBorders>
            <w:shd w:val="clear" w:color="auto" w:fill="FFFFFF" w:themeFill="background1"/>
            <w:noWrap/>
            <w:vAlign w:val="center"/>
            <w:hideMark/>
          </w:tcPr>
          <w:p w14:paraId="33CB48B7"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básico (IVM)</w:t>
            </w:r>
            <w:r w:rsidRPr="00B674EA">
              <w:rPr>
                <w:rFonts w:ascii="Calibri" w:eastAsia="Times New Roman" w:hAnsi="Calibri" w:cs="Calibri"/>
                <w:b/>
                <w:bCs/>
                <w:sz w:val="20"/>
                <w:szCs w:val="20"/>
                <w:vertAlign w:val="superscript"/>
                <w:lang w:val="es-CR" w:eastAsia="es-CR"/>
              </w:rPr>
              <w:t>1/</w:t>
            </w:r>
          </w:p>
        </w:tc>
        <w:tc>
          <w:tcPr>
            <w:tcW w:w="1144" w:type="dxa"/>
            <w:tcBorders>
              <w:top w:val="single" w:sz="4" w:space="0" w:color="auto"/>
            </w:tcBorders>
            <w:shd w:val="clear" w:color="auto" w:fill="FFFFFF" w:themeFill="background1"/>
            <w:vAlign w:val="center"/>
            <w:hideMark/>
          </w:tcPr>
          <w:p w14:paraId="18B15FB6" w14:textId="77777777" w:rsidR="00004F14" w:rsidRPr="00330AD8" w:rsidRDefault="00F82F1A"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w:t>
            </w:r>
            <w:r w:rsidR="00330AD8" w:rsidRPr="00330AD8">
              <w:rPr>
                <w:rFonts w:ascii="Calibri" w:eastAsia="Times New Roman" w:hAnsi="Calibri" w:cs="Calibri"/>
                <w:sz w:val="20"/>
                <w:szCs w:val="20"/>
                <w:lang w:val="es-CR" w:eastAsia="es-CR"/>
              </w:rPr>
              <w:t> </w:t>
            </w:r>
            <w:r w:rsidRPr="00330AD8">
              <w:rPr>
                <w:rFonts w:ascii="Calibri" w:eastAsia="Times New Roman" w:hAnsi="Calibri" w:cs="Calibri"/>
                <w:sz w:val="20"/>
                <w:szCs w:val="20"/>
                <w:lang w:val="es-CR" w:eastAsia="es-CR"/>
              </w:rPr>
              <w:t>381</w:t>
            </w:r>
            <w:r w:rsidR="00330AD8" w:rsidRPr="00330AD8">
              <w:rPr>
                <w:rFonts w:ascii="Calibri" w:eastAsia="Times New Roman" w:hAnsi="Calibri" w:cs="Calibri"/>
                <w:sz w:val="20"/>
                <w:szCs w:val="20"/>
                <w:lang w:val="es-CR" w:eastAsia="es-CR"/>
              </w:rPr>
              <w:t xml:space="preserve"> </w:t>
            </w:r>
            <w:r w:rsidRPr="00330AD8">
              <w:rPr>
                <w:rFonts w:ascii="Calibri" w:eastAsia="Times New Roman" w:hAnsi="Calibri" w:cs="Calibri"/>
                <w:sz w:val="20"/>
                <w:szCs w:val="20"/>
                <w:lang w:val="es-CR" w:eastAsia="es-CR"/>
              </w:rPr>
              <w:t>973</w:t>
            </w:r>
          </w:p>
        </w:tc>
        <w:tc>
          <w:tcPr>
            <w:tcW w:w="1266" w:type="dxa"/>
            <w:tcBorders>
              <w:top w:val="single" w:sz="4" w:space="0" w:color="auto"/>
            </w:tcBorders>
            <w:shd w:val="clear" w:color="auto" w:fill="auto"/>
            <w:vAlign w:val="center"/>
            <w:hideMark/>
          </w:tcPr>
          <w:p w14:paraId="67B18AAD" w14:textId="77777777" w:rsidR="00004F14" w:rsidRPr="00B674EA" w:rsidRDefault="008059B6"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31</w:t>
            </w:r>
            <w:r w:rsidR="00687B97">
              <w:rPr>
                <w:rFonts w:ascii="Calibri" w:eastAsia="Times New Roman" w:hAnsi="Calibri" w:cs="Calibri"/>
                <w:sz w:val="20"/>
                <w:szCs w:val="20"/>
                <w:lang w:val="es-CR" w:eastAsia="es-CR"/>
              </w:rPr>
              <w:t>5 537</w:t>
            </w:r>
          </w:p>
        </w:tc>
        <w:tc>
          <w:tcPr>
            <w:tcW w:w="1343" w:type="dxa"/>
            <w:tcBorders>
              <w:top w:val="single" w:sz="4" w:space="0" w:color="auto"/>
            </w:tcBorders>
            <w:shd w:val="clear" w:color="auto" w:fill="FFFFFF" w:themeFill="background1"/>
            <w:noWrap/>
            <w:vAlign w:val="center"/>
            <w:hideMark/>
          </w:tcPr>
          <w:p w14:paraId="21220C94"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w:t>
            </w:r>
          </w:p>
        </w:tc>
        <w:tc>
          <w:tcPr>
            <w:tcW w:w="1134" w:type="dxa"/>
            <w:tcBorders>
              <w:top w:val="single" w:sz="4" w:space="0" w:color="auto"/>
            </w:tcBorders>
            <w:shd w:val="clear" w:color="auto" w:fill="FFFFFF" w:themeFill="background1"/>
            <w:noWrap/>
            <w:vAlign w:val="center"/>
            <w:hideMark/>
          </w:tcPr>
          <w:p w14:paraId="32495BAA"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5,25%</w:t>
            </w:r>
          </w:p>
        </w:tc>
        <w:tc>
          <w:tcPr>
            <w:tcW w:w="993" w:type="dxa"/>
            <w:tcBorders>
              <w:top w:val="single" w:sz="4" w:space="0" w:color="auto"/>
            </w:tcBorders>
            <w:shd w:val="clear" w:color="auto" w:fill="FFFFFF" w:themeFill="background1"/>
            <w:noWrap/>
            <w:vAlign w:val="center"/>
            <w:hideMark/>
          </w:tcPr>
          <w:p w14:paraId="434E50B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single" w:sz="4" w:space="0" w:color="auto"/>
            </w:tcBorders>
            <w:shd w:val="clear" w:color="auto" w:fill="FFFFFF" w:themeFill="background1"/>
            <w:noWrap/>
            <w:vAlign w:val="center"/>
            <w:hideMark/>
          </w:tcPr>
          <w:p w14:paraId="2E7A582A" w14:textId="77777777" w:rsidR="00004F14" w:rsidRPr="005568C4" w:rsidRDefault="00176609" w:rsidP="00176609">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286 153</w:t>
            </w:r>
          </w:p>
        </w:tc>
      </w:tr>
      <w:tr w:rsidR="00265AC6" w:rsidRPr="003478E0" w14:paraId="6EB9DAB4" w14:textId="77777777" w:rsidTr="00CC4FE3">
        <w:trPr>
          <w:trHeight w:val="315"/>
        </w:trPr>
        <w:tc>
          <w:tcPr>
            <w:tcW w:w="2845" w:type="dxa"/>
            <w:tcBorders>
              <w:top w:val="nil"/>
              <w:right w:val="nil"/>
            </w:tcBorders>
            <w:shd w:val="clear" w:color="auto" w:fill="FFFFFF" w:themeFill="background1"/>
            <w:noWrap/>
            <w:vAlign w:val="center"/>
            <w:hideMark/>
          </w:tcPr>
          <w:p w14:paraId="3F98D021"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Regímenes básicos sustitutos</w:t>
            </w:r>
          </w:p>
        </w:tc>
        <w:tc>
          <w:tcPr>
            <w:tcW w:w="1144" w:type="dxa"/>
            <w:tcBorders>
              <w:top w:val="nil"/>
              <w:left w:val="nil"/>
              <w:right w:val="nil"/>
            </w:tcBorders>
            <w:shd w:val="clear" w:color="auto" w:fill="FFFFFF" w:themeFill="background1"/>
            <w:noWrap/>
            <w:vAlign w:val="center"/>
            <w:hideMark/>
          </w:tcPr>
          <w:p w14:paraId="64754B6B" w14:textId="77777777" w:rsidR="00004F14" w:rsidRPr="00330AD8" w:rsidRDefault="00004F14" w:rsidP="008B00BB">
            <w:pPr>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 </w:t>
            </w:r>
          </w:p>
        </w:tc>
        <w:tc>
          <w:tcPr>
            <w:tcW w:w="1266" w:type="dxa"/>
            <w:tcBorders>
              <w:top w:val="nil"/>
              <w:left w:val="nil"/>
              <w:right w:val="nil"/>
            </w:tcBorders>
            <w:shd w:val="clear" w:color="auto" w:fill="FFFFFF" w:themeFill="background1"/>
            <w:noWrap/>
            <w:vAlign w:val="center"/>
            <w:hideMark/>
          </w:tcPr>
          <w:p w14:paraId="02DB2204"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343" w:type="dxa"/>
            <w:tcBorders>
              <w:top w:val="nil"/>
              <w:left w:val="nil"/>
              <w:right w:val="nil"/>
            </w:tcBorders>
            <w:shd w:val="clear" w:color="auto" w:fill="FFFFFF" w:themeFill="background1"/>
            <w:noWrap/>
            <w:vAlign w:val="center"/>
            <w:hideMark/>
          </w:tcPr>
          <w:p w14:paraId="2BB49446"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134" w:type="dxa"/>
            <w:tcBorders>
              <w:top w:val="nil"/>
              <w:left w:val="nil"/>
              <w:right w:val="nil"/>
            </w:tcBorders>
            <w:shd w:val="clear" w:color="auto" w:fill="FFFFFF" w:themeFill="background1"/>
            <w:noWrap/>
            <w:vAlign w:val="center"/>
            <w:hideMark/>
          </w:tcPr>
          <w:p w14:paraId="49A90A56"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993" w:type="dxa"/>
            <w:tcBorders>
              <w:top w:val="nil"/>
              <w:left w:val="nil"/>
              <w:right w:val="nil"/>
            </w:tcBorders>
            <w:shd w:val="clear" w:color="auto" w:fill="FFFFFF" w:themeFill="background1"/>
            <w:noWrap/>
            <w:vAlign w:val="center"/>
            <w:hideMark/>
          </w:tcPr>
          <w:p w14:paraId="74FE6BF7"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275" w:type="dxa"/>
            <w:tcBorders>
              <w:top w:val="nil"/>
              <w:left w:val="nil"/>
            </w:tcBorders>
            <w:shd w:val="clear" w:color="auto" w:fill="FFFFFF" w:themeFill="background1"/>
            <w:noWrap/>
            <w:vAlign w:val="center"/>
            <w:hideMark/>
          </w:tcPr>
          <w:p w14:paraId="5F80E40E" w14:textId="77777777" w:rsidR="00004F14" w:rsidRPr="005568C4" w:rsidRDefault="00004F14" w:rsidP="005568C4">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 </w:t>
            </w:r>
          </w:p>
        </w:tc>
      </w:tr>
      <w:tr w:rsidR="00265AC6" w:rsidRPr="003478E0" w14:paraId="0A7A9552" w14:textId="77777777" w:rsidTr="00CC4FE3">
        <w:trPr>
          <w:trHeight w:val="315"/>
        </w:trPr>
        <w:tc>
          <w:tcPr>
            <w:tcW w:w="2845" w:type="dxa"/>
            <w:tcBorders>
              <w:top w:val="nil"/>
            </w:tcBorders>
            <w:shd w:val="clear" w:color="auto" w:fill="FFFFFF" w:themeFill="background1"/>
            <w:noWrap/>
            <w:vAlign w:val="center"/>
            <w:hideMark/>
          </w:tcPr>
          <w:p w14:paraId="6B0821A0"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RCCMN</w:t>
            </w:r>
          </w:p>
        </w:tc>
        <w:tc>
          <w:tcPr>
            <w:tcW w:w="1144" w:type="dxa"/>
            <w:tcBorders>
              <w:top w:val="nil"/>
            </w:tcBorders>
            <w:shd w:val="clear" w:color="auto" w:fill="FFFFFF" w:themeFill="background1"/>
            <w:vAlign w:val="center"/>
            <w:hideMark/>
          </w:tcPr>
          <w:p w14:paraId="31FEE93E" w14:textId="77777777" w:rsidR="00004F14" w:rsidRPr="00330AD8" w:rsidRDefault="005B4B31"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100</w:t>
            </w:r>
            <w:r w:rsidR="00330AD8" w:rsidRPr="00330AD8">
              <w:rPr>
                <w:rFonts w:ascii="Calibri" w:eastAsia="Times New Roman" w:hAnsi="Calibri" w:cs="Calibri"/>
                <w:sz w:val="20"/>
                <w:szCs w:val="20"/>
                <w:lang w:val="es-CR" w:eastAsia="es-CR"/>
              </w:rPr>
              <w:t xml:space="preserve"> </w:t>
            </w:r>
            <w:r w:rsidRPr="00330AD8">
              <w:rPr>
                <w:rFonts w:ascii="Calibri" w:eastAsia="Times New Roman" w:hAnsi="Calibri" w:cs="Calibri"/>
                <w:sz w:val="20"/>
                <w:szCs w:val="20"/>
                <w:lang w:val="es-CR" w:eastAsia="es-CR"/>
              </w:rPr>
              <w:t>024</w:t>
            </w:r>
          </w:p>
        </w:tc>
        <w:tc>
          <w:tcPr>
            <w:tcW w:w="1266" w:type="dxa"/>
            <w:tcBorders>
              <w:top w:val="nil"/>
            </w:tcBorders>
            <w:shd w:val="clear" w:color="auto" w:fill="FFFFFF" w:themeFill="background1"/>
            <w:vAlign w:val="center"/>
            <w:hideMark/>
          </w:tcPr>
          <w:p w14:paraId="1B46BB94" w14:textId="77777777" w:rsidR="003A7DFF" w:rsidRPr="00B674EA" w:rsidRDefault="00004F14" w:rsidP="003A7DFF">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w:t>
            </w:r>
            <w:r w:rsidR="003A7DFF">
              <w:rPr>
                <w:rFonts w:ascii="Calibri" w:eastAsia="Times New Roman" w:hAnsi="Calibri" w:cs="Calibri"/>
                <w:sz w:val="20"/>
                <w:szCs w:val="20"/>
                <w:lang w:val="es-CR" w:eastAsia="es-CR"/>
              </w:rPr>
              <w:t> 538</w:t>
            </w:r>
          </w:p>
        </w:tc>
        <w:tc>
          <w:tcPr>
            <w:tcW w:w="1343" w:type="dxa"/>
            <w:tcBorders>
              <w:top w:val="nil"/>
            </w:tcBorders>
            <w:shd w:val="clear" w:color="auto" w:fill="FFFFFF" w:themeFill="background1"/>
            <w:noWrap/>
            <w:vAlign w:val="center"/>
            <w:hideMark/>
          </w:tcPr>
          <w:p w14:paraId="0396DE4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8%</w:t>
            </w:r>
          </w:p>
        </w:tc>
        <w:tc>
          <w:tcPr>
            <w:tcW w:w="1134" w:type="dxa"/>
            <w:tcBorders>
              <w:top w:val="nil"/>
            </w:tcBorders>
            <w:shd w:val="clear" w:color="auto" w:fill="FFFFFF" w:themeFill="background1"/>
            <w:noWrap/>
            <w:vAlign w:val="center"/>
            <w:hideMark/>
          </w:tcPr>
          <w:p w14:paraId="4DD93403"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6,75%</w:t>
            </w:r>
          </w:p>
        </w:tc>
        <w:tc>
          <w:tcPr>
            <w:tcW w:w="993" w:type="dxa"/>
            <w:tcBorders>
              <w:top w:val="nil"/>
            </w:tcBorders>
            <w:shd w:val="clear" w:color="auto" w:fill="FFFFFF" w:themeFill="background1"/>
            <w:noWrap/>
            <w:vAlign w:val="center"/>
            <w:hideMark/>
          </w:tcPr>
          <w:p w14:paraId="20AD2D1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nil"/>
            </w:tcBorders>
            <w:shd w:val="clear" w:color="auto" w:fill="FFFFFF" w:themeFill="background1"/>
            <w:noWrap/>
            <w:vAlign w:val="center"/>
            <w:hideMark/>
          </w:tcPr>
          <w:p w14:paraId="2EA852BB" w14:textId="77777777" w:rsidR="00004F14" w:rsidRPr="005568C4" w:rsidRDefault="000F39B7" w:rsidP="000F39B7">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401 777</w:t>
            </w:r>
          </w:p>
        </w:tc>
      </w:tr>
      <w:tr w:rsidR="00265AC6" w:rsidRPr="003478E0" w14:paraId="09338B25" w14:textId="77777777" w:rsidTr="00CC4FE3">
        <w:trPr>
          <w:trHeight w:val="315"/>
        </w:trPr>
        <w:tc>
          <w:tcPr>
            <w:tcW w:w="2845" w:type="dxa"/>
            <w:tcBorders>
              <w:top w:val="nil"/>
            </w:tcBorders>
            <w:shd w:val="clear" w:color="auto" w:fill="FFFFFF" w:themeFill="background1"/>
            <w:noWrap/>
            <w:vAlign w:val="center"/>
            <w:hideMark/>
          </w:tcPr>
          <w:p w14:paraId="1BBF25E9"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FPJ</w:t>
            </w:r>
          </w:p>
        </w:tc>
        <w:tc>
          <w:tcPr>
            <w:tcW w:w="1144" w:type="dxa"/>
            <w:tcBorders>
              <w:top w:val="nil"/>
            </w:tcBorders>
            <w:shd w:val="clear" w:color="auto" w:fill="FFFFFF" w:themeFill="background1"/>
            <w:vAlign w:val="center"/>
            <w:hideMark/>
          </w:tcPr>
          <w:p w14:paraId="0F1E1B30" w14:textId="77777777" w:rsidR="00004F14" w:rsidRPr="00330AD8" w:rsidRDefault="0094414B"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13 730</w:t>
            </w:r>
          </w:p>
        </w:tc>
        <w:tc>
          <w:tcPr>
            <w:tcW w:w="1266" w:type="dxa"/>
            <w:tcBorders>
              <w:top w:val="nil"/>
            </w:tcBorders>
            <w:shd w:val="clear" w:color="auto" w:fill="FFFFFF" w:themeFill="background1"/>
            <w:vAlign w:val="center"/>
            <w:hideMark/>
          </w:tcPr>
          <w:p w14:paraId="1105B51E"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4 2</w:t>
            </w:r>
            <w:r w:rsidR="003A7DFF">
              <w:rPr>
                <w:rFonts w:ascii="Calibri" w:eastAsia="Times New Roman" w:hAnsi="Calibri" w:cs="Calibri"/>
                <w:sz w:val="20"/>
                <w:szCs w:val="20"/>
                <w:lang w:val="es-CR" w:eastAsia="es-CR"/>
              </w:rPr>
              <w:t>19</w:t>
            </w:r>
          </w:p>
        </w:tc>
        <w:tc>
          <w:tcPr>
            <w:tcW w:w="1343" w:type="dxa"/>
            <w:tcBorders>
              <w:top w:val="nil"/>
            </w:tcBorders>
            <w:shd w:val="clear" w:color="auto" w:fill="FFFFFF" w:themeFill="background1"/>
            <w:noWrap/>
            <w:vAlign w:val="center"/>
            <w:hideMark/>
          </w:tcPr>
          <w:p w14:paraId="2301E79D"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13%</w:t>
            </w:r>
            <w:r w:rsidRPr="00B674EA">
              <w:rPr>
                <w:rFonts w:ascii="Calibri" w:eastAsia="Times New Roman" w:hAnsi="Calibri" w:cs="Calibri"/>
                <w:sz w:val="20"/>
                <w:szCs w:val="20"/>
                <w:vertAlign w:val="superscript"/>
                <w:lang w:val="es-CR" w:eastAsia="es-CR"/>
              </w:rPr>
              <w:t>2/</w:t>
            </w:r>
          </w:p>
        </w:tc>
        <w:tc>
          <w:tcPr>
            <w:tcW w:w="1134" w:type="dxa"/>
            <w:tcBorders>
              <w:top w:val="nil"/>
            </w:tcBorders>
            <w:shd w:val="clear" w:color="auto" w:fill="FFFFFF" w:themeFill="background1"/>
            <w:noWrap/>
            <w:vAlign w:val="center"/>
            <w:hideMark/>
          </w:tcPr>
          <w:p w14:paraId="1B1F2FDB"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14,36%</w:t>
            </w:r>
          </w:p>
        </w:tc>
        <w:tc>
          <w:tcPr>
            <w:tcW w:w="993" w:type="dxa"/>
            <w:tcBorders>
              <w:top w:val="nil"/>
            </w:tcBorders>
            <w:shd w:val="clear" w:color="auto" w:fill="FFFFFF" w:themeFill="background1"/>
            <w:noWrap/>
            <w:vAlign w:val="center"/>
            <w:hideMark/>
          </w:tcPr>
          <w:p w14:paraId="167B926B"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1,41%</w:t>
            </w:r>
          </w:p>
        </w:tc>
        <w:tc>
          <w:tcPr>
            <w:tcW w:w="1275" w:type="dxa"/>
            <w:tcBorders>
              <w:top w:val="nil"/>
            </w:tcBorders>
            <w:shd w:val="clear" w:color="auto" w:fill="FFFFFF" w:themeFill="background1"/>
            <w:noWrap/>
            <w:vAlign w:val="center"/>
            <w:hideMark/>
          </w:tcPr>
          <w:p w14:paraId="1DACCCA5" w14:textId="77777777" w:rsidR="00004F14" w:rsidRPr="005568C4" w:rsidRDefault="00DB74F8" w:rsidP="00DB74F8">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1 834 591</w:t>
            </w:r>
          </w:p>
        </w:tc>
      </w:tr>
      <w:tr w:rsidR="00265AC6" w:rsidRPr="003478E0" w14:paraId="1EF21E12" w14:textId="77777777" w:rsidTr="00CC4FE3">
        <w:trPr>
          <w:trHeight w:val="315"/>
        </w:trPr>
        <w:tc>
          <w:tcPr>
            <w:tcW w:w="2845" w:type="dxa"/>
            <w:tcBorders>
              <w:top w:val="nil"/>
            </w:tcBorders>
            <w:shd w:val="clear" w:color="auto" w:fill="FFFFFF" w:themeFill="background1"/>
            <w:noWrap/>
            <w:vAlign w:val="center"/>
            <w:hideMark/>
          </w:tcPr>
          <w:p w14:paraId="196DBC92"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FBOMBEROS</w:t>
            </w:r>
          </w:p>
        </w:tc>
        <w:tc>
          <w:tcPr>
            <w:tcW w:w="1144" w:type="dxa"/>
            <w:tcBorders>
              <w:top w:val="nil"/>
            </w:tcBorders>
            <w:shd w:val="clear" w:color="auto" w:fill="FFFFFF" w:themeFill="background1"/>
            <w:vAlign w:val="center"/>
            <w:hideMark/>
          </w:tcPr>
          <w:p w14:paraId="21E7F45F" w14:textId="77777777" w:rsidR="00004F14" w:rsidRPr="00330AD8" w:rsidRDefault="00004F14" w:rsidP="00E90E00">
            <w:pPr>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 xml:space="preserve">                   </w:t>
            </w:r>
            <w:r w:rsidR="0094414B" w:rsidRPr="00330AD8">
              <w:rPr>
                <w:rFonts w:ascii="Calibri" w:eastAsia="Times New Roman" w:hAnsi="Calibri" w:cs="Calibri"/>
                <w:sz w:val="20"/>
                <w:szCs w:val="20"/>
                <w:lang w:val="es-CR" w:eastAsia="es-CR"/>
              </w:rPr>
              <w:t>1</w:t>
            </w:r>
            <w:r w:rsidRPr="00330AD8">
              <w:rPr>
                <w:rFonts w:ascii="Calibri" w:eastAsia="Times New Roman" w:hAnsi="Calibri" w:cs="Calibri"/>
                <w:sz w:val="20"/>
                <w:szCs w:val="20"/>
                <w:lang w:val="es-CR" w:eastAsia="es-CR"/>
              </w:rPr>
              <w:t xml:space="preserve"> </w:t>
            </w:r>
          </w:p>
        </w:tc>
        <w:tc>
          <w:tcPr>
            <w:tcW w:w="1266" w:type="dxa"/>
            <w:tcBorders>
              <w:top w:val="nil"/>
            </w:tcBorders>
            <w:shd w:val="clear" w:color="auto" w:fill="FFFFFF" w:themeFill="background1"/>
            <w:vAlign w:val="center"/>
            <w:hideMark/>
          </w:tcPr>
          <w:p w14:paraId="5A96B75A"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22</w:t>
            </w:r>
            <w:r w:rsidR="00C123AC">
              <w:rPr>
                <w:rFonts w:ascii="Calibri" w:eastAsia="Times New Roman" w:hAnsi="Calibri" w:cs="Calibri"/>
                <w:sz w:val="20"/>
                <w:szCs w:val="20"/>
                <w:lang w:val="es-CR" w:eastAsia="es-CR"/>
              </w:rPr>
              <w:t>2</w:t>
            </w:r>
          </w:p>
        </w:tc>
        <w:tc>
          <w:tcPr>
            <w:tcW w:w="1343" w:type="dxa"/>
            <w:tcBorders>
              <w:top w:val="nil"/>
            </w:tcBorders>
            <w:shd w:val="clear" w:color="auto" w:fill="FFFFFF" w:themeFill="background1"/>
            <w:noWrap/>
            <w:vAlign w:val="center"/>
            <w:hideMark/>
          </w:tcPr>
          <w:p w14:paraId="6304E58A"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12,50%</w:t>
            </w:r>
          </w:p>
        </w:tc>
        <w:tc>
          <w:tcPr>
            <w:tcW w:w="1134" w:type="dxa"/>
            <w:tcBorders>
              <w:top w:val="nil"/>
            </w:tcBorders>
            <w:shd w:val="clear" w:color="auto" w:fill="FFFFFF" w:themeFill="background1"/>
            <w:noWrap/>
            <w:vAlign w:val="center"/>
            <w:hideMark/>
          </w:tcPr>
          <w:p w14:paraId="4DE6C3E9"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37,50%</w:t>
            </w:r>
          </w:p>
        </w:tc>
        <w:tc>
          <w:tcPr>
            <w:tcW w:w="993" w:type="dxa"/>
            <w:tcBorders>
              <w:top w:val="nil"/>
            </w:tcBorders>
            <w:shd w:val="clear" w:color="auto" w:fill="FFFFFF" w:themeFill="background1"/>
            <w:noWrap/>
            <w:vAlign w:val="center"/>
            <w:hideMark/>
          </w:tcPr>
          <w:p w14:paraId="28F6A74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197B016B" w14:textId="77777777" w:rsidR="00004F14" w:rsidRPr="005568C4" w:rsidRDefault="00D33784" w:rsidP="00D33784">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937 182</w:t>
            </w:r>
          </w:p>
        </w:tc>
      </w:tr>
      <w:tr w:rsidR="00265AC6" w:rsidRPr="003478E0" w14:paraId="5C871ACB" w14:textId="77777777" w:rsidTr="00CC4FE3">
        <w:trPr>
          <w:trHeight w:val="344"/>
        </w:trPr>
        <w:tc>
          <w:tcPr>
            <w:tcW w:w="3989" w:type="dxa"/>
            <w:gridSpan w:val="2"/>
            <w:tcBorders>
              <w:top w:val="nil"/>
              <w:right w:val="nil"/>
            </w:tcBorders>
            <w:shd w:val="clear" w:color="auto" w:fill="FFFFFF" w:themeFill="background1"/>
            <w:noWrap/>
            <w:vAlign w:val="center"/>
            <w:hideMark/>
          </w:tcPr>
          <w:p w14:paraId="497854DB" w14:textId="77777777" w:rsidR="00004F14" w:rsidRPr="00330AD8" w:rsidRDefault="00004F14" w:rsidP="008B00BB">
            <w:pPr>
              <w:rPr>
                <w:rFonts w:ascii="Calibri" w:eastAsia="Times New Roman" w:hAnsi="Calibri" w:cs="Calibri"/>
                <w:b/>
                <w:bCs/>
                <w:sz w:val="20"/>
                <w:szCs w:val="20"/>
                <w:lang w:val="es-CR" w:eastAsia="es-CR"/>
              </w:rPr>
            </w:pPr>
            <w:r w:rsidRPr="00330AD8">
              <w:rPr>
                <w:rFonts w:ascii="Calibri" w:eastAsia="Times New Roman" w:hAnsi="Calibri" w:cs="Calibri"/>
                <w:b/>
                <w:bCs/>
                <w:sz w:val="20"/>
                <w:szCs w:val="20"/>
                <w:lang w:val="es-CR" w:eastAsia="es-CR"/>
              </w:rPr>
              <w:t>Regímenes ocupacionales complementarios </w:t>
            </w:r>
          </w:p>
        </w:tc>
        <w:tc>
          <w:tcPr>
            <w:tcW w:w="1266" w:type="dxa"/>
            <w:tcBorders>
              <w:top w:val="nil"/>
              <w:left w:val="nil"/>
              <w:right w:val="nil"/>
            </w:tcBorders>
            <w:shd w:val="clear" w:color="auto" w:fill="FFFFFF" w:themeFill="background1"/>
            <w:noWrap/>
            <w:vAlign w:val="center"/>
            <w:hideMark/>
          </w:tcPr>
          <w:p w14:paraId="285C37DE"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343" w:type="dxa"/>
            <w:tcBorders>
              <w:top w:val="nil"/>
              <w:left w:val="nil"/>
              <w:right w:val="nil"/>
            </w:tcBorders>
            <w:shd w:val="clear" w:color="auto" w:fill="FFFFFF" w:themeFill="background1"/>
            <w:noWrap/>
            <w:vAlign w:val="center"/>
            <w:hideMark/>
          </w:tcPr>
          <w:p w14:paraId="74D7FF1C"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134" w:type="dxa"/>
            <w:tcBorders>
              <w:top w:val="nil"/>
              <w:left w:val="nil"/>
              <w:right w:val="nil"/>
            </w:tcBorders>
            <w:shd w:val="clear" w:color="auto" w:fill="FFFFFF" w:themeFill="background1"/>
            <w:noWrap/>
            <w:vAlign w:val="center"/>
            <w:hideMark/>
          </w:tcPr>
          <w:p w14:paraId="1D62CF9B"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993" w:type="dxa"/>
            <w:tcBorders>
              <w:top w:val="nil"/>
              <w:left w:val="nil"/>
              <w:right w:val="nil"/>
            </w:tcBorders>
            <w:shd w:val="clear" w:color="auto" w:fill="FFFFFF" w:themeFill="background1"/>
            <w:noWrap/>
            <w:vAlign w:val="center"/>
            <w:hideMark/>
          </w:tcPr>
          <w:p w14:paraId="72C33FA7"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c>
          <w:tcPr>
            <w:tcW w:w="1275" w:type="dxa"/>
            <w:tcBorders>
              <w:top w:val="nil"/>
              <w:left w:val="nil"/>
            </w:tcBorders>
            <w:shd w:val="clear" w:color="auto" w:fill="FFFFFF" w:themeFill="background1"/>
            <w:noWrap/>
            <w:vAlign w:val="center"/>
            <w:hideMark/>
          </w:tcPr>
          <w:p w14:paraId="476DDB69" w14:textId="77777777" w:rsidR="00004F14" w:rsidRPr="005568C4" w:rsidRDefault="00004F14" w:rsidP="005568C4">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 </w:t>
            </w:r>
          </w:p>
        </w:tc>
      </w:tr>
      <w:tr w:rsidR="00265AC6" w:rsidRPr="003478E0" w14:paraId="14827247" w14:textId="77777777" w:rsidTr="00CC4FE3">
        <w:trPr>
          <w:trHeight w:val="315"/>
        </w:trPr>
        <w:tc>
          <w:tcPr>
            <w:tcW w:w="2845" w:type="dxa"/>
            <w:tcBorders>
              <w:top w:val="nil"/>
            </w:tcBorders>
            <w:shd w:val="clear" w:color="auto" w:fill="FFFFFF" w:themeFill="background1"/>
            <w:noWrap/>
            <w:vAlign w:val="center"/>
            <w:hideMark/>
          </w:tcPr>
          <w:p w14:paraId="461BBACF"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FBNCR </w:t>
            </w:r>
          </w:p>
        </w:tc>
        <w:tc>
          <w:tcPr>
            <w:tcW w:w="1144" w:type="dxa"/>
            <w:tcBorders>
              <w:top w:val="nil"/>
            </w:tcBorders>
            <w:shd w:val="clear" w:color="auto" w:fill="FFFFFF" w:themeFill="background1"/>
            <w:vAlign w:val="center"/>
            <w:hideMark/>
          </w:tcPr>
          <w:p w14:paraId="30DA619B" w14:textId="77777777" w:rsidR="00004F14" w:rsidRPr="00330AD8" w:rsidRDefault="008F0A4A"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5 178</w:t>
            </w:r>
          </w:p>
        </w:tc>
        <w:tc>
          <w:tcPr>
            <w:tcW w:w="1266" w:type="dxa"/>
            <w:tcBorders>
              <w:top w:val="nil"/>
            </w:tcBorders>
            <w:shd w:val="clear" w:color="auto" w:fill="FFFFFF" w:themeFill="background1"/>
            <w:vAlign w:val="center"/>
            <w:hideMark/>
          </w:tcPr>
          <w:p w14:paraId="44DF38F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1 5</w:t>
            </w:r>
            <w:r w:rsidR="003F146F" w:rsidRPr="00B674EA">
              <w:rPr>
                <w:rFonts w:ascii="Calibri" w:eastAsia="Times New Roman" w:hAnsi="Calibri" w:cs="Calibri"/>
                <w:sz w:val="20"/>
                <w:szCs w:val="20"/>
                <w:lang w:val="es-CR" w:eastAsia="es-CR"/>
              </w:rPr>
              <w:t>8</w:t>
            </w:r>
            <w:r w:rsidR="009813C5">
              <w:rPr>
                <w:rFonts w:ascii="Calibri" w:eastAsia="Times New Roman" w:hAnsi="Calibri" w:cs="Calibri"/>
                <w:sz w:val="20"/>
                <w:szCs w:val="20"/>
                <w:lang w:val="es-CR" w:eastAsia="es-CR"/>
              </w:rPr>
              <w:t>2</w:t>
            </w:r>
          </w:p>
        </w:tc>
        <w:tc>
          <w:tcPr>
            <w:tcW w:w="1343" w:type="dxa"/>
            <w:tcBorders>
              <w:top w:val="nil"/>
            </w:tcBorders>
            <w:shd w:val="clear" w:color="auto" w:fill="FFFFFF" w:themeFill="background1"/>
            <w:noWrap/>
            <w:vAlign w:val="center"/>
            <w:hideMark/>
          </w:tcPr>
          <w:p w14:paraId="42987A4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5,50%</w:t>
            </w:r>
          </w:p>
        </w:tc>
        <w:tc>
          <w:tcPr>
            <w:tcW w:w="1134" w:type="dxa"/>
            <w:tcBorders>
              <w:top w:val="nil"/>
            </w:tcBorders>
            <w:shd w:val="clear" w:color="auto" w:fill="FFFFFF" w:themeFill="background1"/>
            <w:noWrap/>
            <w:vAlign w:val="center"/>
            <w:hideMark/>
          </w:tcPr>
          <w:p w14:paraId="6E96B706"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10%</w:t>
            </w:r>
          </w:p>
        </w:tc>
        <w:tc>
          <w:tcPr>
            <w:tcW w:w="993" w:type="dxa"/>
            <w:tcBorders>
              <w:top w:val="nil"/>
            </w:tcBorders>
            <w:shd w:val="clear" w:color="auto" w:fill="FFFFFF" w:themeFill="background1"/>
            <w:noWrap/>
            <w:vAlign w:val="center"/>
            <w:hideMark/>
          </w:tcPr>
          <w:p w14:paraId="26F84FDA"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1F1C1C9D" w14:textId="77777777" w:rsidR="00004F14" w:rsidRPr="005568C4" w:rsidRDefault="002A07FA" w:rsidP="002A07FA">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770 977</w:t>
            </w:r>
          </w:p>
        </w:tc>
      </w:tr>
      <w:tr w:rsidR="00265AC6" w:rsidRPr="003478E0" w14:paraId="5CDC38E2" w14:textId="77777777" w:rsidTr="00CC4FE3">
        <w:trPr>
          <w:trHeight w:val="315"/>
        </w:trPr>
        <w:tc>
          <w:tcPr>
            <w:tcW w:w="2845" w:type="dxa"/>
            <w:tcBorders>
              <w:top w:val="nil"/>
            </w:tcBorders>
            <w:shd w:val="clear" w:color="auto" w:fill="FFFFFF" w:themeFill="background1"/>
            <w:noWrap/>
            <w:vAlign w:val="center"/>
            <w:hideMark/>
          </w:tcPr>
          <w:p w14:paraId="6B66CCF5"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FICE</w:t>
            </w:r>
          </w:p>
        </w:tc>
        <w:tc>
          <w:tcPr>
            <w:tcW w:w="1144" w:type="dxa"/>
            <w:tcBorders>
              <w:top w:val="nil"/>
            </w:tcBorders>
            <w:shd w:val="clear" w:color="auto" w:fill="FFFFFF" w:themeFill="background1"/>
            <w:vAlign w:val="center"/>
            <w:hideMark/>
          </w:tcPr>
          <w:p w14:paraId="61D1B190" w14:textId="77777777" w:rsidR="00004F14" w:rsidRPr="00330AD8" w:rsidRDefault="008F0A4A" w:rsidP="008F0A4A">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11 537</w:t>
            </w:r>
          </w:p>
        </w:tc>
        <w:tc>
          <w:tcPr>
            <w:tcW w:w="1266" w:type="dxa"/>
            <w:tcBorders>
              <w:top w:val="nil"/>
            </w:tcBorders>
            <w:shd w:val="clear" w:color="auto" w:fill="FFFFFF" w:themeFill="background1"/>
            <w:vAlign w:val="center"/>
            <w:hideMark/>
          </w:tcPr>
          <w:p w14:paraId="4495C425"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4 48</w:t>
            </w:r>
            <w:r w:rsidR="009813C5">
              <w:rPr>
                <w:rFonts w:ascii="Calibri" w:eastAsia="Times New Roman" w:hAnsi="Calibri" w:cs="Calibri"/>
                <w:sz w:val="20"/>
                <w:szCs w:val="20"/>
                <w:lang w:val="es-CR" w:eastAsia="es-CR"/>
              </w:rPr>
              <w:t>3</w:t>
            </w:r>
          </w:p>
        </w:tc>
        <w:tc>
          <w:tcPr>
            <w:tcW w:w="1343" w:type="dxa"/>
            <w:tcBorders>
              <w:top w:val="nil"/>
            </w:tcBorders>
            <w:shd w:val="clear" w:color="auto" w:fill="FFFFFF" w:themeFill="background1"/>
            <w:noWrap/>
            <w:vAlign w:val="center"/>
            <w:hideMark/>
          </w:tcPr>
          <w:p w14:paraId="4092895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p>
        </w:tc>
        <w:tc>
          <w:tcPr>
            <w:tcW w:w="1134" w:type="dxa"/>
            <w:tcBorders>
              <w:top w:val="nil"/>
            </w:tcBorders>
            <w:shd w:val="clear" w:color="auto" w:fill="FFFFFF" w:themeFill="background1"/>
            <w:noWrap/>
            <w:vAlign w:val="center"/>
            <w:hideMark/>
          </w:tcPr>
          <w:p w14:paraId="50AAEC60"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4,50%</w:t>
            </w:r>
          </w:p>
        </w:tc>
        <w:tc>
          <w:tcPr>
            <w:tcW w:w="993" w:type="dxa"/>
            <w:tcBorders>
              <w:top w:val="nil"/>
            </w:tcBorders>
            <w:shd w:val="clear" w:color="auto" w:fill="FFFFFF" w:themeFill="background1"/>
            <w:noWrap/>
            <w:vAlign w:val="center"/>
            <w:hideMark/>
          </w:tcPr>
          <w:p w14:paraId="483AF3B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18A3BED2" w14:textId="77777777" w:rsidR="00004F14" w:rsidRPr="005568C4" w:rsidRDefault="00F81866" w:rsidP="00F81866">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287 826</w:t>
            </w:r>
          </w:p>
        </w:tc>
      </w:tr>
      <w:tr w:rsidR="00265AC6" w:rsidRPr="003478E0" w14:paraId="206A013F" w14:textId="77777777" w:rsidTr="00CC4FE3">
        <w:trPr>
          <w:trHeight w:val="315"/>
        </w:trPr>
        <w:tc>
          <w:tcPr>
            <w:tcW w:w="2845" w:type="dxa"/>
            <w:tcBorders>
              <w:top w:val="nil"/>
            </w:tcBorders>
            <w:shd w:val="clear" w:color="auto" w:fill="FFFFFF" w:themeFill="background1"/>
            <w:noWrap/>
            <w:vAlign w:val="center"/>
            <w:hideMark/>
          </w:tcPr>
          <w:p w14:paraId="077F1198"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FRE</w:t>
            </w:r>
          </w:p>
        </w:tc>
        <w:tc>
          <w:tcPr>
            <w:tcW w:w="1144" w:type="dxa"/>
            <w:tcBorders>
              <w:top w:val="nil"/>
            </w:tcBorders>
            <w:shd w:val="clear" w:color="auto" w:fill="FFFFFF" w:themeFill="background1"/>
            <w:vAlign w:val="center"/>
            <w:hideMark/>
          </w:tcPr>
          <w:p w14:paraId="30D29F61" w14:textId="77777777" w:rsidR="00004F14" w:rsidRPr="00330AD8" w:rsidRDefault="00FD26B3"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63 619</w:t>
            </w:r>
          </w:p>
        </w:tc>
        <w:tc>
          <w:tcPr>
            <w:tcW w:w="1266" w:type="dxa"/>
            <w:tcBorders>
              <w:top w:val="nil"/>
            </w:tcBorders>
            <w:shd w:val="clear" w:color="auto" w:fill="FFFFFF" w:themeFill="background1"/>
            <w:vAlign w:val="center"/>
            <w:hideMark/>
          </w:tcPr>
          <w:p w14:paraId="1B3917B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18 </w:t>
            </w:r>
            <w:r w:rsidR="009813C5">
              <w:rPr>
                <w:rFonts w:ascii="Calibri" w:eastAsia="Times New Roman" w:hAnsi="Calibri" w:cs="Calibri"/>
                <w:sz w:val="20"/>
                <w:szCs w:val="20"/>
                <w:lang w:val="es-CR" w:eastAsia="es-CR"/>
              </w:rPr>
              <w:t>782</w:t>
            </w:r>
          </w:p>
        </w:tc>
        <w:tc>
          <w:tcPr>
            <w:tcW w:w="1343" w:type="dxa"/>
            <w:tcBorders>
              <w:top w:val="nil"/>
            </w:tcBorders>
            <w:shd w:val="clear" w:color="auto" w:fill="FFFFFF" w:themeFill="background1"/>
            <w:noWrap/>
            <w:vAlign w:val="center"/>
            <w:hideMark/>
          </w:tcPr>
          <w:p w14:paraId="784EB7C4"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134" w:type="dxa"/>
            <w:tcBorders>
              <w:top w:val="nil"/>
            </w:tcBorders>
            <w:shd w:val="clear" w:color="auto" w:fill="FFFFFF" w:themeFill="background1"/>
            <w:noWrap/>
            <w:vAlign w:val="center"/>
            <w:hideMark/>
          </w:tcPr>
          <w:p w14:paraId="7EECCB91"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w:t>
            </w:r>
          </w:p>
        </w:tc>
        <w:tc>
          <w:tcPr>
            <w:tcW w:w="993" w:type="dxa"/>
            <w:tcBorders>
              <w:top w:val="nil"/>
            </w:tcBorders>
            <w:shd w:val="clear" w:color="auto" w:fill="FFFFFF" w:themeFill="background1"/>
            <w:noWrap/>
            <w:vAlign w:val="center"/>
            <w:hideMark/>
          </w:tcPr>
          <w:p w14:paraId="5D4A7322"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0C2FCA21" w14:textId="77777777" w:rsidR="00004F14" w:rsidRPr="005568C4" w:rsidRDefault="00DE0E03" w:rsidP="00DE0E03">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134 694</w:t>
            </w:r>
          </w:p>
        </w:tc>
      </w:tr>
      <w:tr w:rsidR="00265AC6" w:rsidRPr="003478E0" w14:paraId="508CC6EF" w14:textId="77777777" w:rsidTr="00CC4FE3">
        <w:trPr>
          <w:trHeight w:val="420"/>
        </w:trPr>
        <w:tc>
          <w:tcPr>
            <w:tcW w:w="2845" w:type="dxa"/>
            <w:tcBorders>
              <w:top w:val="nil"/>
            </w:tcBorders>
            <w:shd w:val="clear" w:color="auto" w:fill="FFFFFF" w:themeFill="background1"/>
            <w:noWrap/>
            <w:vAlign w:val="center"/>
            <w:hideMark/>
          </w:tcPr>
          <w:p w14:paraId="1DBE9CA4" w14:textId="77777777" w:rsidR="00004F14" w:rsidRPr="00B674EA" w:rsidRDefault="00004F14" w:rsidP="008B00BB">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FVENTLOT</w:t>
            </w:r>
          </w:p>
        </w:tc>
        <w:tc>
          <w:tcPr>
            <w:tcW w:w="1144" w:type="dxa"/>
            <w:tcBorders>
              <w:top w:val="nil"/>
            </w:tcBorders>
            <w:shd w:val="clear" w:color="auto" w:fill="FFFFFF" w:themeFill="background1"/>
            <w:vAlign w:val="center"/>
            <w:hideMark/>
          </w:tcPr>
          <w:p w14:paraId="348BEF62" w14:textId="77777777" w:rsidR="00004F14" w:rsidRPr="00330AD8" w:rsidRDefault="00004F14" w:rsidP="008B00BB">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1 5</w:t>
            </w:r>
            <w:r w:rsidR="00FD26B3" w:rsidRPr="00330AD8">
              <w:rPr>
                <w:rFonts w:ascii="Calibri" w:eastAsia="Times New Roman" w:hAnsi="Calibri" w:cs="Calibri"/>
                <w:sz w:val="20"/>
                <w:szCs w:val="20"/>
                <w:lang w:val="es-CR" w:eastAsia="es-CR"/>
              </w:rPr>
              <w:t>89</w:t>
            </w:r>
          </w:p>
        </w:tc>
        <w:tc>
          <w:tcPr>
            <w:tcW w:w="1266" w:type="dxa"/>
            <w:tcBorders>
              <w:top w:val="nil"/>
            </w:tcBorders>
            <w:shd w:val="clear" w:color="auto" w:fill="FFFFFF" w:themeFill="background1"/>
            <w:vAlign w:val="center"/>
            <w:hideMark/>
          </w:tcPr>
          <w:p w14:paraId="776B5817"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w:t>
            </w:r>
            <w:r w:rsidR="00ED0476">
              <w:rPr>
                <w:rFonts w:ascii="Calibri" w:eastAsia="Times New Roman" w:hAnsi="Calibri" w:cs="Calibri"/>
                <w:sz w:val="20"/>
                <w:szCs w:val="20"/>
                <w:lang w:val="es-CR" w:eastAsia="es-CR"/>
              </w:rPr>
              <w:t>38</w:t>
            </w:r>
          </w:p>
        </w:tc>
        <w:tc>
          <w:tcPr>
            <w:tcW w:w="1343" w:type="dxa"/>
            <w:tcBorders>
              <w:top w:val="nil"/>
            </w:tcBorders>
            <w:shd w:val="clear" w:color="auto" w:fill="FFFFFF" w:themeFill="background1"/>
            <w:vAlign w:val="center"/>
            <w:hideMark/>
          </w:tcPr>
          <w:p w14:paraId="6C1F7439"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0,25%</w:t>
            </w:r>
            <w:r w:rsidRPr="00B674EA">
              <w:rPr>
                <w:rFonts w:ascii="Calibri" w:eastAsia="Times New Roman" w:hAnsi="Calibri" w:cs="Calibri"/>
                <w:sz w:val="20"/>
                <w:szCs w:val="20"/>
                <w:vertAlign w:val="superscript"/>
                <w:lang w:val="es-CR" w:eastAsia="es-CR"/>
              </w:rPr>
              <w:t>3/</w:t>
            </w:r>
          </w:p>
        </w:tc>
        <w:tc>
          <w:tcPr>
            <w:tcW w:w="1134" w:type="dxa"/>
            <w:tcBorders>
              <w:top w:val="nil"/>
            </w:tcBorders>
            <w:shd w:val="clear" w:color="auto" w:fill="FFFFFF" w:themeFill="background1"/>
            <w:vAlign w:val="center"/>
            <w:hideMark/>
          </w:tcPr>
          <w:p w14:paraId="0DBA90F1"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w:t>
            </w:r>
            <w:r w:rsidRPr="00B674EA">
              <w:rPr>
                <w:rFonts w:ascii="Calibri" w:eastAsia="Times New Roman" w:hAnsi="Calibri" w:cs="Calibri"/>
                <w:sz w:val="20"/>
                <w:szCs w:val="20"/>
                <w:vertAlign w:val="superscript"/>
                <w:lang w:val="es-CR" w:eastAsia="es-CR"/>
              </w:rPr>
              <w:t>4/</w:t>
            </w:r>
          </w:p>
        </w:tc>
        <w:tc>
          <w:tcPr>
            <w:tcW w:w="993" w:type="dxa"/>
            <w:tcBorders>
              <w:top w:val="nil"/>
            </w:tcBorders>
            <w:shd w:val="clear" w:color="auto" w:fill="FFFFFF" w:themeFill="background1"/>
            <w:noWrap/>
            <w:vAlign w:val="center"/>
            <w:hideMark/>
          </w:tcPr>
          <w:p w14:paraId="4957261F"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2F5E526C" w14:textId="77777777" w:rsidR="00004F14" w:rsidRPr="005568C4" w:rsidRDefault="000C09B8" w:rsidP="000C09B8">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147 100</w:t>
            </w:r>
          </w:p>
        </w:tc>
      </w:tr>
      <w:tr w:rsidR="00DC6361" w:rsidRPr="003478E0" w14:paraId="2C852020" w14:textId="77777777" w:rsidTr="00CC4FE3">
        <w:trPr>
          <w:trHeight w:val="315"/>
        </w:trPr>
        <w:tc>
          <w:tcPr>
            <w:tcW w:w="2845" w:type="dxa"/>
            <w:tcBorders>
              <w:top w:val="nil"/>
            </w:tcBorders>
            <w:shd w:val="clear" w:color="auto" w:fill="FFFFFF" w:themeFill="background1"/>
            <w:noWrap/>
            <w:vAlign w:val="center"/>
            <w:hideMark/>
          </w:tcPr>
          <w:p w14:paraId="43B8A686" w14:textId="77777777" w:rsidR="00DC6361" w:rsidRPr="00B674EA" w:rsidRDefault="00DC6361" w:rsidP="00DC6361">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FBCR</w:t>
            </w:r>
          </w:p>
        </w:tc>
        <w:tc>
          <w:tcPr>
            <w:tcW w:w="1144" w:type="dxa"/>
            <w:tcBorders>
              <w:top w:val="nil"/>
            </w:tcBorders>
            <w:shd w:val="clear" w:color="auto" w:fill="FFFFFF" w:themeFill="background1"/>
            <w:vAlign w:val="center"/>
            <w:hideMark/>
          </w:tcPr>
          <w:p w14:paraId="1DD94B82" w14:textId="77777777" w:rsidR="00DC6361" w:rsidRPr="00330AD8" w:rsidRDefault="00DC6361" w:rsidP="00DC6361">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3 949</w:t>
            </w:r>
          </w:p>
        </w:tc>
        <w:tc>
          <w:tcPr>
            <w:tcW w:w="1266" w:type="dxa"/>
            <w:tcBorders>
              <w:top w:val="nil"/>
            </w:tcBorders>
            <w:shd w:val="clear" w:color="auto" w:fill="FFFFFF" w:themeFill="background1"/>
            <w:vAlign w:val="center"/>
            <w:hideMark/>
          </w:tcPr>
          <w:p w14:paraId="34327220" w14:textId="77777777" w:rsidR="00DC6361" w:rsidRPr="00B674EA" w:rsidRDefault="00433142" w:rsidP="00DC6361">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30</w:t>
            </w:r>
          </w:p>
        </w:tc>
        <w:tc>
          <w:tcPr>
            <w:tcW w:w="1343" w:type="dxa"/>
            <w:tcBorders>
              <w:top w:val="nil"/>
            </w:tcBorders>
            <w:shd w:val="clear" w:color="auto" w:fill="FFFFFF" w:themeFill="background1"/>
            <w:noWrap/>
            <w:vAlign w:val="center"/>
            <w:hideMark/>
          </w:tcPr>
          <w:p w14:paraId="0E50FC70"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0,50%</w:t>
            </w:r>
          </w:p>
        </w:tc>
        <w:tc>
          <w:tcPr>
            <w:tcW w:w="1134" w:type="dxa"/>
            <w:tcBorders>
              <w:top w:val="nil"/>
            </w:tcBorders>
            <w:shd w:val="clear" w:color="auto" w:fill="FFFFFF" w:themeFill="background1"/>
            <w:noWrap/>
            <w:vAlign w:val="center"/>
            <w:hideMark/>
          </w:tcPr>
          <w:p w14:paraId="53F0FAC0"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10%</w:t>
            </w:r>
          </w:p>
        </w:tc>
        <w:tc>
          <w:tcPr>
            <w:tcW w:w="993" w:type="dxa"/>
            <w:tcBorders>
              <w:top w:val="nil"/>
            </w:tcBorders>
            <w:shd w:val="clear" w:color="auto" w:fill="FFFFFF" w:themeFill="background1"/>
            <w:noWrap/>
            <w:vAlign w:val="center"/>
            <w:hideMark/>
          </w:tcPr>
          <w:p w14:paraId="5ED07C14"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7F34ED6B" w14:textId="77777777" w:rsidR="00DC6361" w:rsidRPr="005568C4" w:rsidRDefault="00CA43CA" w:rsidP="00CA43CA">
            <w:pPr>
              <w:jc w:val="right"/>
              <w:rPr>
                <w:rFonts w:ascii="Calibri" w:eastAsia="Times New Roman" w:hAnsi="Calibri" w:cs="Calibri"/>
                <w:sz w:val="20"/>
                <w:szCs w:val="20"/>
                <w:lang w:val="es-CR" w:eastAsia="es-CR"/>
              </w:rPr>
            </w:pPr>
            <w:r w:rsidRPr="005568C4">
              <w:rPr>
                <w:rFonts w:ascii="Calibri" w:eastAsia="Times New Roman" w:hAnsi="Calibri" w:cs="Calibri"/>
                <w:sz w:val="20"/>
                <w:szCs w:val="20"/>
                <w:lang w:val="es-CR" w:eastAsia="es-CR"/>
              </w:rPr>
              <w:t xml:space="preserve">                               91 899</w:t>
            </w:r>
          </w:p>
        </w:tc>
      </w:tr>
      <w:tr w:rsidR="00DC6361" w:rsidRPr="003478E0" w14:paraId="28071173" w14:textId="77777777" w:rsidTr="00CC4FE3">
        <w:trPr>
          <w:trHeight w:val="315"/>
        </w:trPr>
        <w:tc>
          <w:tcPr>
            <w:tcW w:w="2845" w:type="dxa"/>
            <w:tcBorders>
              <w:top w:val="nil"/>
            </w:tcBorders>
            <w:shd w:val="clear" w:color="auto" w:fill="FFFFFF" w:themeFill="background1"/>
            <w:noWrap/>
            <w:vAlign w:val="center"/>
            <w:hideMark/>
          </w:tcPr>
          <w:p w14:paraId="0A2E4804" w14:textId="77777777" w:rsidR="00DC6361" w:rsidRPr="00B674EA" w:rsidRDefault="00DC6361" w:rsidP="00DC6361">
            <w:pPr>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FICT</w:t>
            </w:r>
          </w:p>
        </w:tc>
        <w:tc>
          <w:tcPr>
            <w:tcW w:w="1144" w:type="dxa"/>
            <w:tcBorders>
              <w:top w:val="nil"/>
            </w:tcBorders>
            <w:shd w:val="clear" w:color="auto" w:fill="FFFFFF" w:themeFill="background1"/>
            <w:vAlign w:val="center"/>
            <w:hideMark/>
          </w:tcPr>
          <w:p w14:paraId="2C8D7382" w14:textId="77777777" w:rsidR="00DC6361" w:rsidRPr="00330AD8" w:rsidRDefault="00DC6361" w:rsidP="00DC6361">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280</w:t>
            </w:r>
          </w:p>
        </w:tc>
        <w:tc>
          <w:tcPr>
            <w:tcW w:w="1266" w:type="dxa"/>
            <w:tcBorders>
              <w:top w:val="nil"/>
            </w:tcBorders>
            <w:shd w:val="clear" w:color="auto" w:fill="FFFFFF" w:themeFill="background1"/>
            <w:vAlign w:val="center"/>
            <w:hideMark/>
          </w:tcPr>
          <w:p w14:paraId="49950297"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343" w:type="dxa"/>
            <w:tcBorders>
              <w:top w:val="nil"/>
            </w:tcBorders>
            <w:shd w:val="clear" w:color="auto" w:fill="FFFFFF" w:themeFill="background1"/>
            <w:noWrap/>
            <w:vAlign w:val="center"/>
            <w:hideMark/>
          </w:tcPr>
          <w:p w14:paraId="749135D1"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134" w:type="dxa"/>
            <w:tcBorders>
              <w:top w:val="nil"/>
            </w:tcBorders>
            <w:shd w:val="clear" w:color="auto" w:fill="FFFFFF" w:themeFill="background1"/>
            <w:noWrap/>
            <w:vAlign w:val="center"/>
            <w:hideMark/>
          </w:tcPr>
          <w:p w14:paraId="01CA8066"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5%</w:t>
            </w:r>
          </w:p>
        </w:tc>
        <w:tc>
          <w:tcPr>
            <w:tcW w:w="993" w:type="dxa"/>
            <w:tcBorders>
              <w:top w:val="nil"/>
            </w:tcBorders>
            <w:shd w:val="clear" w:color="auto" w:fill="FFFFFF" w:themeFill="background1"/>
            <w:noWrap/>
            <w:vAlign w:val="center"/>
            <w:hideMark/>
          </w:tcPr>
          <w:p w14:paraId="50AC8B11"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vAlign w:val="center"/>
            <w:hideMark/>
          </w:tcPr>
          <w:p w14:paraId="065FE5FF" w14:textId="77777777" w:rsidR="00DC6361" w:rsidRPr="00B674EA" w:rsidRDefault="00DC6361" w:rsidP="00DC6361">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r>
      <w:tr w:rsidR="00265AC6" w:rsidRPr="003478E0" w14:paraId="30F1C781" w14:textId="77777777" w:rsidTr="00CC4FE3">
        <w:trPr>
          <w:trHeight w:val="315"/>
        </w:trPr>
        <w:tc>
          <w:tcPr>
            <w:tcW w:w="2845" w:type="dxa"/>
            <w:tcBorders>
              <w:top w:val="nil"/>
            </w:tcBorders>
            <w:shd w:val="clear" w:color="auto" w:fill="FFFFFF" w:themeFill="background1"/>
            <w:noWrap/>
            <w:vAlign w:val="center"/>
            <w:hideMark/>
          </w:tcPr>
          <w:p w14:paraId="323529E4" w14:textId="77777777" w:rsidR="00904447" w:rsidRPr="00B674EA" w:rsidRDefault="00904447" w:rsidP="00904447">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Obligatorio Comp. (ROP)</w:t>
            </w:r>
          </w:p>
        </w:tc>
        <w:tc>
          <w:tcPr>
            <w:tcW w:w="1144" w:type="dxa"/>
            <w:tcBorders>
              <w:top w:val="nil"/>
            </w:tcBorders>
            <w:shd w:val="clear" w:color="auto" w:fill="FFFFFF" w:themeFill="background1"/>
            <w:hideMark/>
          </w:tcPr>
          <w:p w14:paraId="3C94E3C0" w14:textId="77777777" w:rsidR="00904447" w:rsidRPr="00330AD8" w:rsidRDefault="009E28EB" w:rsidP="003E7814">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2 875</w:t>
            </w:r>
            <w:r w:rsidR="00C42132">
              <w:rPr>
                <w:rFonts w:ascii="Calibri" w:eastAsia="Times New Roman" w:hAnsi="Calibri" w:cs="Calibri"/>
                <w:sz w:val="20"/>
                <w:szCs w:val="20"/>
                <w:lang w:val="es-CR" w:eastAsia="es-CR"/>
              </w:rPr>
              <w:t> </w:t>
            </w:r>
            <w:r w:rsidRPr="00330AD8">
              <w:rPr>
                <w:rFonts w:ascii="Calibri" w:eastAsia="Times New Roman" w:hAnsi="Calibri" w:cs="Calibri"/>
                <w:sz w:val="20"/>
                <w:szCs w:val="20"/>
                <w:lang w:val="es-CR" w:eastAsia="es-CR"/>
              </w:rPr>
              <w:t>722</w:t>
            </w:r>
          </w:p>
        </w:tc>
        <w:tc>
          <w:tcPr>
            <w:tcW w:w="1266" w:type="dxa"/>
            <w:tcBorders>
              <w:top w:val="nil"/>
            </w:tcBorders>
            <w:shd w:val="clear" w:color="auto" w:fill="FFFFFF" w:themeFill="background1"/>
            <w:hideMark/>
          </w:tcPr>
          <w:p w14:paraId="36F20103" w14:textId="77777777" w:rsidR="00904447" w:rsidRPr="00CC4FE3" w:rsidRDefault="005F039B" w:rsidP="003E7814">
            <w:pPr>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36 231</w:t>
            </w:r>
            <w:r w:rsidR="00E05EBB" w:rsidRPr="00CC4FE3">
              <w:rPr>
                <w:rFonts w:ascii="Calibri" w:eastAsia="Times New Roman" w:hAnsi="Calibri" w:cs="Calibri"/>
                <w:sz w:val="20"/>
                <w:szCs w:val="20"/>
                <w:vertAlign w:val="superscript"/>
                <w:lang w:val="es-CR" w:eastAsia="es-CR"/>
              </w:rPr>
              <w:t>5/</w:t>
            </w:r>
          </w:p>
        </w:tc>
        <w:tc>
          <w:tcPr>
            <w:tcW w:w="1343" w:type="dxa"/>
            <w:tcBorders>
              <w:top w:val="nil"/>
            </w:tcBorders>
            <w:shd w:val="clear" w:color="auto" w:fill="FFFFFF" w:themeFill="background1"/>
            <w:noWrap/>
            <w:hideMark/>
          </w:tcPr>
          <w:p w14:paraId="7D1D95C5" w14:textId="77777777" w:rsidR="00904447" w:rsidRPr="00CC4FE3" w:rsidRDefault="00904447" w:rsidP="003E7814">
            <w:pPr>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1%</w:t>
            </w:r>
          </w:p>
        </w:tc>
        <w:tc>
          <w:tcPr>
            <w:tcW w:w="1134" w:type="dxa"/>
            <w:tcBorders>
              <w:top w:val="nil"/>
            </w:tcBorders>
            <w:shd w:val="clear" w:color="auto" w:fill="FFFFFF" w:themeFill="background1"/>
            <w:noWrap/>
            <w:hideMark/>
          </w:tcPr>
          <w:p w14:paraId="7307A3EB" w14:textId="77777777" w:rsidR="00904447" w:rsidRPr="00CC4FE3" w:rsidRDefault="00904447" w:rsidP="003E7814">
            <w:pPr>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3,25%</w:t>
            </w:r>
          </w:p>
        </w:tc>
        <w:tc>
          <w:tcPr>
            <w:tcW w:w="993" w:type="dxa"/>
            <w:tcBorders>
              <w:top w:val="nil"/>
            </w:tcBorders>
            <w:shd w:val="clear" w:color="auto" w:fill="FFFFFF" w:themeFill="background1"/>
            <w:noWrap/>
            <w:hideMark/>
          </w:tcPr>
          <w:p w14:paraId="07286A3B" w14:textId="77777777" w:rsidR="00904447" w:rsidRPr="00CC4FE3" w:rsidRDefault="00904447" w:rsidP="003E7814">
            <w:pPr>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hideMark/>
          </w:tcPr>
          <w:p w14:paraId="348016A7" w14:textId="77777777" w:rsidR="00904447" w:rsidRPr="00CC4FE3" w:rsidRDefault="00904447" w:rsidP="003E7814">
            <w:pPr>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1</w:t>
            </w:r>
            <w:r w:rsidR="00267520" w:rsidRPr="00CC4FE3">
              <w:rPr>
                <w:rFonts w:ascii="Calibri" w:eastAsia="Times New Roman" w:hAnsi="Calibri" w:cs="Calibri"/>
                <w:sz w:val="20"/>
                <w:szCs w:val="20"/>
                <w:lang w:val="es-CR" w:eastAsia="es-CR"/>
              </w:rPr>
              <w:t xml:space="preserve">46 </w:t>
            </w:r>
            <w:r w:rsidR="00663BE6" w:rsidRPr="00CC4FE3">
              <w:rPr>
                <w:rFonts w:ascii="Calibri" w:eastAsia="Times New Roman" w:hAnsi="Calibri" w:cs="Calibri"/>
                <w:sz w:val="20"/>
                <w:szCs w:val="20"/>
                <w:lang w:val="es-CR" w:eastAsia="es-CR"/>
              </w:rPr>
              <w:t>671</w:t>
            </w:r>
          </w:p>
        </w:tc>
      </w:tr>
      <w:tr w:rsidR="00265AC6" w:rsidRPr="003478E0" w14:paraId="2BAFD040" w14:textId="77777777" w:rsidTr="00CC4FE3">
        <w:trPr>
          <w:trHeight w:val="315"/>
        </w:trPr>
        <w:tc>
          <w:tcPr>
            <w:tcW w:w="2845" w:type="dxa"/>
            <w:tcBorders>
              <w:top w:val="nil"/>
            </w:tcBorders>
            <w:shd w:val="clear" w:color="auto" w:fill="FFFFFF" w:themeFill="background1"/>
            <w:noWrap/>
            <w:vAlign w:val="center"/>
            <w:hideMark/>
          </w:tcPr>
          <w:p w14:paraId="467F7A9A" w14:textId="77777777" w:rsidR="00904447" w:rsidRPr="00B674EA" w:rsidRDefault="00904447" w:rsidP="00904447">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Planes Voluntarios</w:t>
            </w:r>
          </w:p>
        </w:tc>
        <w:tc>
          <w:tcPr>
            <w:tcW w:w="1144" w:type="dxa"/>
            <w:tcBorders>
              <w:top w:val="nil"/>
            </w:tcBorders>
            <w:shd w:val="clear" w:color="auto" w:fill="FFFFFF" w:themeFill="background1"/>
            <w:hideMark/>
          </w:tcPr>
          <w:p w14:paraId="238F3E83" w14:textId="77777777" w:rsidR="00904447" w:rsidRPr="00425290" w:rsidRDefault="00904447"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164 9</w:t>
            </w:r>
            <w:r w:rsidR="00F86AC4" w:rsidRPr="00425290">
              <w:rPr>
                <w:rFonts w:ascii="Calibri" w:eastAsia="Times New Roman" w:hAnsi="Calibri" w:cs="Calibri"/>
                <w:sz w:val="20"/>
                <w:szCs w:val="20"/>
                <w:lang w:val="es-CR" w:eastAsia="es-CR"/>
              </w:rPr>
              <w:t>2</w:t>
            </w:r>
            <w:r w:rsidRPr="00425290">
              <w:rPr>
                <w:rFonts w:ascii="Calibri" w:eastAsia="Times New Roman" w:hAnsi="Calibri" w:cs="Calibri"/>
                <w:sz w:val="20"/>
                <w:szCs w:val="20"/>
                <w:lang w:val="es-CR" w:eastAsia="es-CR"/>
              </w:rPr>
              <w:t>7</w:t>
            </w:r>
          </w:p>
        </w:tc>
        <w:tc>
          <w:tcPr>
            <w:tcW w:w="1266" w:type="dxa"/>
            <w:tcBorders>
              <w:top w:val="nil"/>
            </w:tcBorders>
            <w:shd w:val="clear" w:color="auto" w:fill="FFFFFF" w:themeFill="background1"/>
            <w:vAlign w:val="center"/>
            <w:hideMark/>
          </w:tcPr>
          <w:p w14:paraId="495DF5E4" w14:textId="77777777" w:rsidR="00904447" w:rsidRPr="00425290" w:rsidRDefault="00904447"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1</w:t>
            </w:r>
            <w:r w:rsidR="002D72E4" w:rsidRPr="00425290">
              <w:rPr>
                <w:rFonts w:ascii="Calibri" w:eastAsia="Times New Roman" w:hAnsi="Calibri" w:cs="Calibri"/>
                <w:sz w:val="20"/>
                <w:szCs w:val="20"/>
                <w:lang w:val="es-CR" w:eastAsia="es-CR"/>
              </w:rPr>
              <w:t>2</w:t>
            </w:r>
          </w:p>
        </w:tc>
        <w:tc>
          <w:tcPr>
            <w:tcW w:w="1343" w:type="dxa"/>
            <w:tcBorders>
              <w:top w:val="nil"/>
            </w:tcBorders>
            <w:shd w:val="clear" w:color="auto" w:fill="FFFFFF" w:themeFill="background1"/>
            <w:vAlign w:val="center"/>
            <w:hideMark/>
          </w:tcPr>
          <w:p w14:paraId="34AEFE8D" w14:textId="77777777" w:rsidR="00904447" w:rsidRPr="00425290" w:rsidRDefault="00904447"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Libre</w:t>
            </w:r>
          </w:p>
        </w:tc>
        <w:tc>
          <w:tcPr>
            <w:tcW w:w="1134" w:type="dxa"/>
            <w:tcBorders>
              <w:top w:val="nil"/>
            </w:tcBorders>
            <w:shd w:val="clear" w:color="auto" w:fill="FFFFFF" w:themeFill="background1"/>
            <w:noWrap/>
            <w:vAlign w:val="center"/>
            <w:hideMark/>
          </w:tcPr>
          <w:p w14:paraId="38682F14" w14:textId="77777777" w:rsidR="00904447" w:rsidRPr="00425290" w:rsidRDefault="00904447"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0%</w:t>
            </w:r>
          </w:p>
        </w:tc>
        <w:tc>
          <w:tcPr>
            <w:tcW w:w="993" w:type="dxa"/>
            <w:tcBorders>
              <w:top w:val="nil"/>
            </w:tcBorders>
            <w:shd w:val="clear" w:color="auto" w:fill="FFFFFF" w:themeFill="background1"/>
            <w:noWrap/>
            <w:vAlign w:val="center"/>
            <w:hideMark/>
          </w:tcPr>
          <w:p w14:paraId="0FE2F387" w14:textId="77777777" w:rsidR="00904447" w:rsidRPr="00425290" w:rsidRDefault="00904447"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0%</w:t>
            </w:r>
          </w:p>
        </w:tc>
        <w:tc>
          <w:tcPr>
            <w:tcW w:w="1275" w:type="dxa"/>
            <w:tcBorders>
              <w:top w:val="nil"/>
            </w:tcBorders>
            <w:shd w:val="clear" w:color="auto" w:fill="FFFFFF" w:themeFill="background1"/>
            <w:noWrap/>
            <w:hideMark/>
          </w:tcPr>
          <w:p w14:paraId="10A52CAE" w14:textId="77777777" w:rsidR="00904447" w:rsidRPr="00425290" w:rsidRDefault="001776AC" w:rsidP="00904447">
            <w:pPr>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201 8</w:t>
            </w:r>
            <w:r w:rsidR="00425290" w:rsidRPr="00425290">
              <w:rPr>
                <w:rFonts w:ascii="Calibri" w:eastAsia="Times New Roman" w:hAnsi="Calibri" w:cs="Calibri"/>
                <w:sz w:val="20"/>
                <w:szCs w:val="20"/>
                <w:lang w:val="es-CR" w:eastAsia="es-CR"/>
              </w:rPr>
              <w:t>18</w:t>
            </w:r>
          </w:p>
        </w:tc>
      </w:tr>
      <w:tr w:rsidR="00265AC6" w:rsidRPr="003478E0" w14:paraId="6CB72E84" w14:textId="77777777" w:rsidTr="00CC4FE3">
        <w:trPr>
          <w:trHeight w:val="315"/>
        </w:trPr>
        <w:tc>
          <w:tcPr>
            <w:tcW w:w="2845" w:type="dxa"/>
            <w:tcBorders>
              <w:bottom w:val="single" w:sz="4" w:space="0" w:color="auto"/>
            </w:tcBorders>
            <w:shd w:val="clear" w:color="auto" w:fill="FFFFFF" w:themeFill="background1"/>
            <w:noWrap/>
            <w:vAlign w:val="center"/>
            <w:hideMark/>
          </w:tcPr>
          <w:p w14:paraId="12D4F434" w14:textId="77777777" w:rsidR="00004F14" w:rsidRPr="00B674EA" w:rsidRDefault="00004F14" w:rsidP="008B00BB">
            <w:pPr>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Fondo de Capitalización Laboral (FCL)</w:t>
            </w:r>
          </w:p>
        </w:tc>
        <w:tc>
          <w:tcPr>
            <w:tcW w:w="1144" w:type="dxa"/>
            <w:tcBorders>
              <w:bottom w:val="single" w:sz="4" w:space="0" w:color="auto"/>
            </w:tcBorders>
            <w:shd w:val="clear" w:color="auto" w:fill="FFFFFF" w:themeFill="background1"/>
            <w:vAlign w:val="center"/>
            <w:hideMark/>
          </w:tcPr>
          <w:p w14:paraId="0EA93746" w14:textId="77777777" w:rsidR="00004F14" w:rsidRPr="00330AD8" w:rsidRDefault="00B7637A" w:rsidP="00B7637A">
            <w:pPr>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 xml:space="preserve">                           2 601 235</w:t>
            </w:r>
            <w:r w:rsidR="00004F14" w:rsidRPr="00330AD8">
              <w:rPr>
                <w:rFonts w:ascii="Calibri" w:eastAsia="Times New Roman" w:hAnsi="Calibri" w:cs="Calibri"/>
                <w:sz w:val="20"/>
                <w:szCs w:val="20"/>
                <w:lang w:val="es-CR" w:eastAsia="es-CR"/>
              </w:rPr>
              <w:t> </w:t>
            </w:r>
          </w:p>
        </w:tc>
        <w:tc>
          <w:tcPr>
            <w:tcW w:w="1266" w:type="dxa"/>
            <w:tcBorders>
              <w:bottom w:val="single" w:sz="4" w:space="0" w:color="auto"/>
            </w:tcBorders>
            <w:shd w:val="clear" w:color="auto" w:fill="FFFFFF" w:themeFill="background1"/>
            <w:noWrap/>
            <w:vAlign w:val="center"/>
            <w:hideMark/>
          </w:tcPr>
          <w:p w14:paraId="0CBA3DBE"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NA</w:t>
            </w:r>
          </w:p>
        </w:tc>
        <w:tc>
          <w:tcPr>
            <w:tcW w:w="1343" w:type="dxa"/>
            <w:tcBorders>
              <w:bottom w:val="single" w:sz="4" w:space="0" w:color="auto"/>
            </w:tcBorders>
            <w:shd w:val="clear" w:color="auto" w:fill="FFFFFF" w:themeFill="background1"/>
            <w:noWrap/>
            <w:vAlign w:val="center"/>
            <w:hideMark/>
          </w:tcPr>
          <w:p w14:paraId="5FDF562C"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1,50%</w:t>
            </w:r>
          </w:p>
        </w:tc>
        <w:tc>
          <w:tcPr>
            <w:tcW w:w="1134" w:type="dxa"/>
            <w:tcBorders>
              <w:bottom w:val="single" w:sz="4" w:space="0" w:color="auto"/>
            </w:tcBorders>
            <w:shd w:val="clear" w:color="auto" w:fill="FFFFFF" w:themeFill="background1"/>
            <w:noWrap/>
            <w:vAlign w:val="center"/>
            <w:hideMark/>
          </w:tcPr>
          <w:p w14:paraId="15F9C003"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993" w:type="dxa"/>
            <w:tcBorders>
              <w:bottom w:val="single" w:sz="4" w:space="0" w:color="auto"/>
            </w:tcBorders>
            <w:shd w:val="clear" w:color="auto" w:fill="FFFFFF" w:themeFill="background1"/>
            <w:noWrap/>
            <w:vAlign w:val="center"/>
            <w:hideMark/>
          </w:tcPr>
          <w:p w14:paraId="2947E764"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c>
          <w:tcPr>
            <w:tcW w:w="1275" w:type="dxa"/>
            <w:tcBorders>
              <w:bottom w:val="single" w:sz="4" w:space="0" w:color="auto"/>
            </w:tcBorders>
            <w:shd w:val="clear" w:color="auto" w:fill="FFFFFF" w:themeFill="background1"/>
            <w:noWrap/>
            <w:vAlign w:val="center"/>
            <w:hideMark/>
          </w:tcPr>
          <w:p w14:paraId="4684B8ED" w14:textId="77777777" w:rsidR="00004F14" w:rsidRPr="00B674EA" w:rsidRDefault="00004F14" w:rsidP="008B00BB">
            <w:pPr>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NA</w:t>
            </w:r>
          </w:p>
        </w:tc>
      </w:tr>
    </w:tbl>
    <w:p w14:paraId="4A8076AA"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1/ Datos a </w:t>
      </w:r>
      <w:r w:rsidR="0048412A">
        <w:rPr>
          <w:rFonts w:ascii="Calibri" w:eastAsia="Times New Roman" w:hAnsi="Calibri" w:cs="Calibri"/>
          <w:b/>
          <w:bCs/>
          <w:sz w:val="18"/>
          <w:szCs w:val="18"/>
          <w:lang w:val="es-CR" w:eastAsia="es-CR"/>
        </w:rPr>
        <w:t>octubre</w:t>
      </w:r>
      <w:r w:rsidRPr="00524623">
        <w:rPr>
          <w:rFonts w:ascii="Calibri" w:eastAsia="Times New Roman" w:hAnsi="Calibri" w:cs="Calibri"/>
          <w:b/>
          <w:bCs/>
          <w:sz w:val="18"/>
          <w:szCs w:val="18"/>
          <w:lang w:val="es-CR" w:eastAsia="es-CR"/>
        </w:rPr>
        <w:t xml:space="preserve"> de 2021.</w:t>
      </w:r>
    </w:p>
    <w:p w14:paraId="3D552336"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2/ </w:t>
      </w:r>
      <w:r>
        <w:rPr>
          <w:rFonts w:ascii="Calibri" w:eastAsia="Times New Roman" w:hAnsi="Calibri" w:cs="Calibri"/>
          <w:b/>
          <w:bCs/>
          <w:sz w:val="18"/>
          <w:szCs w:val="18"/>
          <w:lang w:val="es-CR" w:eastAsia="es-CR"/>
        </w:rPr>
        <w:t>De conformidad con el artículo 236 de la Ley Orgánica del Poder Judicial, l</w:t>
      </w:r>
      <w:r w:rsidRPr="00524623">
        <w:rPr>
          <w:rFonts w:ascii="Calibri" w:eastAsia="Times New Roman" w:hAnsi="Calibri" w:cs="Calibri"/>
          <w:b/>
          <w:bCs/>
          <w:sz w:val="18"/>
          <w:szCs w:val="18"/>
          <w:lang w:val="es-CR" w:eastAsia="es-CR"/>
        </w:rPr>
        <w:t>os pensionados también aportan al fondo.</w:t>
      </w:r>
    </w:p>
    <w:p w14:paraId="0634A517" w14:textId="77777777" w:rsidR="00380037" w:rsidRPr="00524623"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 xml:space="preserve">3/ </w:t>
      </w:r>
      <w:r>
        <w:rPr>
          <w:rFonts w:ascii="Calibri" w:eastAsia="Times New Roman" w:hAnsi="Calibri" w:cs="Calibri"/>
          <w:b/>
          <w:bCs/>
          <w:sz w:val="18"/>
          <w:szCs w:val="18"/>
          <w:lang w:val="es-CR" w:eastAsia="es-CR"/>
        </w:rPr>
        <w:t>De conformidad con el artículo 26 de la Ley de Loterías, este porcentaje corresponde al</w:t>
      </w:r>
      <w:r w:rsidRPr="007144FE">
        <w:rPr>
          <w:rFonts w:ascii="Calibri" w:eastAsia="Times New Roman" w:hAnsi="Calibri" w:cs="Calibri"/>
          <w:b/>
          <w:bCs/>
          <w:sz w:val="18"/>
          <w:szCs w:val="18"/>
          <w:lang w:val="es-CR" w:eastAsia="es-CR"/>
        </w:rPr>
        <w:t xml:space="preserve"> descuento sobre la venta de lotería</w:t>
      </w:r>
      <w:r w:rsidRPr="00524623">
        <w:rPr>
          <w:rFonts w:ascii="Calibri" w:eastAsia="Times New Roman" w:hAnsi="Calibri" w:cs="Calibri"/>
          <w:b/>
          <w:bCs/>
          <w:sz w:val="18"/>
          <w:szCs w:val="18"/>
          <w:lang w:val="es-CR" w:eastAsia="es-CR"/>
        </w:rPr>
        <w:t>.</w:t>
      </w:r>
    </w:p>
    <w:p w14:paraId="2CAE07FF" w14:textId="77777777" w:rsidR="00380037" w:rsidRDefault="00380037" w:rsidP="00380037">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4/ De las ventas de lotería.</w:t>
      </w:r>
    </w:p>
    <w:p w14:paraId="2B7594A9" w14:textId="77777777" w:rsidR="00380037" w:rsidRPr="00524623" w:rsidRDefault="00380037" w:rsidP="00380037">
      <w:pPr>
        <w:rPr>
          <w:rFonts w:ascii="Calibri" w:eastAsia="Times New Roman" w:hAnsi="Calibri" w:cs="Calibri"/>
          <w:b/>
          <w:bCs/>
          <w:sz w:val="18"/>
          <w:szCs w:val="18"/>
          <w:lang w:val="es-CR" w:eastAsia="es-CR"/>
        </w:rPr>
      </w:pPr>
      <w:r>
        <w:rPr>
          <w:rFonts w:ascii="Calibri" w:eastAsia="Times New Roman" w:hAnsi="Calibri" w:cs="Calibri"/>
          <w:b/>
          <w:bCs/>
          <w:sz w:val="18"/>
          <w:szCs w:val="18"/>
          <w:lang w:val="es-CR" w:eastAsia="es-CR"/>
        </w:rPr>
        <w:t>5/ La baja cifra relativa a las pensiones del IVM obedece a que el ROP no ha llegado a su periodo de madurez, con poblaciones promedio menores a 45 años.</w:t>
      </w:r>
    </w:p>
    <w:p w14:paraId="58D4D4C2" w14:textId="77777777" w:rsidR="00380037" w:rsidRDefault="00380037" w:rsidP="00290851">
      <w:pPr>
        <w:rPr>
          <w:rFonts w:ascii="Calibri" w:eastAsia="Times New Roman" w:hAnsi="Calibri" w:cs="Calibri"/>
          <w:b/>
          <w:bCs/>
          <w:sz w:val="18"/>
          <w:szCs w:val="18"/>
          <w:lang w:val="es-CR" w:eastAsia="es-CR"/>
        </w:rPr>
      </w:pPr>
      <w:r w:rsidRPr="00524623">
        <w:rPr>
          <w:rFonts w:ascii="Calibri" w:eastAsia="Times New Roman" w:hAnsi="Calibri" w:cs="Calibri"/>
          <w:b/>
          <w:bCs/>
          <w:sz w:val="18"/>
          <w:szCs w:val="18"/>
          <w:lang w:val="es-CR" w:eastAsia="es-CR"/>
        </w:rPr>
        <w:t>Fuente: elaboración propia con datos suministrados por las entidades.</w:t>
      </w:r>
    </w:p>
    <w:p w14:paraId="77F30D9C" w14:textId="77777777" w:rsidR="00290851" w:rsidRDefault="00290851" w:rsidP="00290851">
      <w:pPr>
        <w:rPr>
          <w:rFonts w:ascii="Calibri" w:eastAsia="Times New Roman" w:hAnsi="Calibri" w:cs="Calibri"/>
          <w:b/>
          <w:bCs/>
          <w:sz w:val="18"/>
          <w:szCs w:val="18"/>
          <w:lang w:val="es-CR" w:eastAsia="es-CR"/>
        </w:rPr>
      </w:pPr>
    </w:p>
    <w:p w14:paraId="425E1288" w14:textId="77777777" w:rsidR="00290851" w:rsidRPr="00290851" w:rsidRDefault="00290851" w:rsidP="00290851">
      <w:pPr>
        <w:rPr>
          <w:rFonts w:ascii="Calibri" w:eastAsia="Times New Roman" w:hAnsi="Calibri" w:cs="Calibri"/>
          <w:b/>
          <w:bCs/>
          <w:sz w:val="18"/>
          <w:szCs w:val="18"/>
          <w:lang w:val="es-CR" w:eastAsia="es-CR"/>
        </w:rPr>
      </w:pPr>
    </w:p>
    <w:p w14:paraId="2DF9C4CC" w14:textId="77777777" w:rsidR="003C326B" w:rsidRDefault="00512C60" w:rsidP="002A4B5C">
      <w:pPr>
        <w:spacing w:after="200" w:line="276" w:lineRule="auto"/>
        <w:jc w:val="both"/>
        <w:rPr>
          <w:rFonts w:cstheme="minorHAnsi"/>
        </w:rPr>
      </w:pPr>
      <w:r>
        <w:rPr>
          <w:rFonts w:cstheme="minorHAnsi"/>
        </w:rPr>
        <w:lastRenderedPageBreak/>
        <w:t>En conjunto,</w:t>
      </w:r>
      <w:r w:rsidR="00352626">
        <w:rPr>
          <w:rFonts w:cstheme="minorHAnsi"/>
        </w:rPr>
        <w:t xml:space="preserve"> los regímenes básicos (IVM y sustitutos) </w:t>
      </w:r>
      <w:r w:rsidR="00F71D0B">
        <w:rPr>
          <w:rFonts w:cstheme="minorHAnsi"/>
        </w:rPr>
        <w:t>presenta</w:t>
      </w:r>
      <w:r w:rsidR="00201F6A">
        <w:rPr>
          <w:rFonts w:cstheme="minorHAnsi"/>
        </w:rPr>
        <w:t>n</w:t>
      </w:r>
      <w:r w:rsidR="00F71D0B">
        <w:rPr>
          <w:rFonts w:cstheme="minorHAnsi"/>
        </w:rPr>
        <w:t xml:space="preserve"> un incremento de </w:t>
      </w:r>
      <w:r w:rsidR="00BE0B38">
        <w:rPr>
          <w:rFonts w:cstheme="minorHAnsi"/>
        </w:rPr>
        <w:t>44</w:t>
      </w:r>
      <w:r w:rsidR="000A08BA">
        <w:rPr>
          <w:rFonts w:cstheme="minorHAnsi"/>
        </w:rPr>
        <w:t xml:space="preserve"> </w:t>
      </w:r>
      <w:r w:rsidR="00BE0B38">
        <w:rPr>
          <w:rFonts w:cstheme="minorHAnsi"/>
        </w:rPr>
        <w:t xml:space="preserve">240 cotizantes, lo que </w:t>
      </w:r>
      <w:r>
        <w:rPr>
          <w:rFonts w:cstheme="minorHAnsi"/>
        </w:rPr>
        <w:t>significa</w:t>
      </w:r>
      <w:r w:rsidR="00BE0B38">
        <w:rPr>
          <w:rFonts w:cstheme="minorHAnsi"/>
        </w:rPr>
        <w:t xml:space="preserve"> un crecimiento de 3,05% con respecto a diciembre de 202</w:t>
      </w:r>
      <w:r w:rsidR="002C068A">
        <w:rPr>
          <w:rFonts w:cstheme="minorHAnsi"/>
        </w:rPr>
        <w:t>0</w:t>
      </w:r>
      <w:r w:rsidR="002B2F50">
        <w:rPr>
          <w:rFonts w:cstheme="minorHAnsi"/>
        </w:rPr>
        <w:t xml:space="preserve">, </w:t>
      </w:r>
      <w:r w:rsidR="003C326B">
        <w:rPr>
          <w:rFonts w:cstheme="minorHAnsi"/>
        </w:rPr>
        <w:t>incremento</w:t>
      </w:r>
      <w:r w:rsidR="00E724AC">
        <w:rPr>
          <w:rFonts w:cstheme="minorHAnsi"/>
        </w:rPr>
        <w:t xml:space="preserve"> </w:t>
      </w:r>
      <w:r w:rsidR="002B2F50">
        <w:rPr>
          <w:rFonts w:cstheme="minorHAnsi"/>
        </w:rPr>
        <w:t>congruente</w:t>
      </w:r>
      <w:r w:rsidR="003C326B">
        <w:rPr>
          <w:rFonts w:cstheme="minorHAnsi"/>
        </w:rPr>
        <w:t xml:space="preserve"> con</w:t>
      </w:r>
      <w:r w:rsidR="002B2F50">
        <w:rPr>
          <w:rFonts w:cstheme="minorHAnsi"/>
        </w:rPr>
        <w:t xml:space="preserve"> </w:t>
      </w:r>
      <w:r w:rsidR="00F021A8">
        <w:rPr>
          <w:rFonts w:cstheme="minorHAnsi"/>
        </w:rPr>
        <w:t>la mejora de la</w:t>
      </w:r>
      <w:r w:rsidR="002B2F50">
        <w:rPr>
          <w:rFonts w:cstheme="minorHAnsi"/>
        </w:rPr>
        <w:t xml:space="preserve"> tasa de ocupación </w:t>
      </w:r>
      <w:r w:rsidR="009160DE">
        <w:rPr>
          <w:rFonts w:cstheme="minorHAnsi"/>
        </w:rPr>
        <w:t>indicada por el Instituto Costarricense de Estadística y Censo</w:t>
      </w:r>
      <w:r w:rsidR="005D57EC">
        <w:rPr>
          <w:rStyle w:val="Refdenotaalpie"/>
          <w:rFonts w:cstheme="minorHAnsi"/>
        </w:rPr>
        <w:footnoteReference w:id="2"/>
      </w:r>
      <w:r w:rsidR="007D7F16">
        <w:rPr>
          <w:rFonts w:cstheme="minorHAnsi"/>
        </w:rPr>
        <w:t>.</w:t>
      </w:r>
    </w:p>
    <w:p w14:paraId="514A6C9D" w14:textId="77777777" w:rsidR="002A4B5C" w:rsidRDefault="009C56E5" w:rsidP="002A4B5C">
      <w:pPr>
        <w:spacing w:after="200" w:line="276" w:lineRule="auto"/>
        <w:jc w:val="both"/>
        <w:rPr>
          <w:rFonts w:cstheme="minorHAnsi"/>
        </w:rPr>
      </w:pPr>
      <w:r>
        <w:rPr>
          <w:rFonts w:cstheme="minorHAnsi"/>
        </w:rPr>
        <w:t>E</w:t>
      </w:r>
      <w:r w:rsidR="003C326B">
        <w:rPr>
          <w:rFonts w:cstheme="minorHAnsi"/>
        </w:rPr>
        <w:t>l ROP</w:t>
      </w:r>
      <w:r w:rsidR="007E4AAE" w:rsidRPr="00EF7527">
        <w:rPr>
          <w:rFonts w:cstheme="minorHAnsi"/>
        </w:rPr>
        <w:t xml:space="preserve"> contabiliza </w:t>
      </w:r>
      <w:r w:rsidR="00C45B7C" w:rsidRPr="00EF7527">
        <w:rPr>
          <w:rFonts w:cstheme="minorHAnsi"/>
        </w:rPr>
        <w:t>36 231</w:t>
      </w:r>
      <w:r w:rsidR="00D76E2A" w:rsidRPr="00EF7527">
        <w:rPr>
          <w:rFonts w:cstheme="minorHAnsi"/>
        </w:rPr>
        <w:t xml:space="preserve"> </w:t>
      </w:r>
      <w:r w:rsidR="002A4B5C" w:rsidRPr="00EF7527">
        <w:rPr>
          <w:rFonts w:cstheme="minorHAnsi"/>
        </w:rPr>
        <w:t>personas</w:t>
      </w:r>
      <w:r w:rsidR="00C45B7C" w:rsidRPr="00EF7527">
        <w:rPr>
          <w:rFonts w:cstheme="minorHAnsi"/>
        </w:rPr>
        <w:t xml:space="preserve"> que reciben una pensión </w:t>
      </w:r>
      <w:r w:rsidR="005F233C" w:rsidRPr="00EF7527">
        <w:rPr>
          <w:rFonts w:cstheme="minorHAnsi"/>
        </w:rPr>
        <w:t xml:space="preserve">de este régimen. </w:t>
      </w:r>
      <w:r w:rsidR="007A5E60" w:rsidRPr="00EF7527">
        <w:rPr>
          <w:rFonts w:cstheme="minorHAnsi"/>
        </w:rPr>
        <w:t>A</w:t>
      </w:r>
      <w:r w:rsidR="007A5E60">
        <w:rPr>
          <w:rFonts w:cstheme="minorHAnsi"/>
        </w:rPr>
        <w:t xml:space="preserve"> partir de octubre de 2020, </w:t>
      </w:r>
      <w:r w:rsidR="00374BC1">
        <w:rPr>
          <w:rFonts w:cstheme="minorHAnsi"/>
        </w:rPr>
        <w:t xml:space="preserve">el régimen ha visto incrementado el número de pensionados, dada la </w:t>
      </w:r>
      <w:r w:rsidR="000B6BDA">
        <w:rPr>
          <w:rFonts w:cstheme="minorHAnsi"/>
        </w:rPr>
        <w:t>entrada en vigor</w:t>
      </w:r>
      <w:r w:rsidR="00374BC1">
        <w:rPr>
          <w:rFonts w:cstheme="minorHAnsi"/>
        </w:rPr>
        <w:t xml:space="preserve"> de las modificaciones a la Ley de Protección al Trabajador</w:t>
      </w:r>
      <w:r w:rsidR="00C935C1">
        <w:rPr>
          <w:rFonts w:cstheme="minorHAnsi"/>
        </w:rPr>
        <w:t xml:space="preserve"> (ley 9909 del 5 de octubre de 2020),</w:t>
      </w:r>
      <w:r w:rsidR="00374BC1">
        <w:rPr>
          <w:rFonts w:cstheme="minorHAnsi"/>
        </w:rPr>
        <w:t xml:space="preserve"> la cual, entre otr</w:t>
      </w:r>
      <w:r w:rsidR="00A73499">
        <w:rPr>
          <w:rFonts w:cstheme="minorHAnsi"/>
        </w:rPr>
        <w:t>os cambios, eliminó el retiro total en un solo tracto, y pasó al otorgamiento de prestaciones en plazos menore</w:t>
      </w:r>
      <w:r w:rsidR="005136D0">
        <w:rPr>
          <w:rFonts w:cstheme="minorHAnsi"/>
        </w:rPr>
        <w:t>s a los establecidos regulatoriamente para los retiros programados</w:t>
      </w:r>
      <w:r w:rsidR="005323CE">
        <w:rPr>
          <w:rStyle w:val="Refdenotaalpie"/>
          <w:rFonts w:cstheme="minorHAnsi"/>
        </w:rPr>
        <w:footnoteReference w:id="3"/>
      </w:r>
      <w:r w:rsidR="005136D0">
        <w:rPr>
          <w:rFonts w:cstheme="minorHAnsi"/>
        </w:rPr>
        <w:t>.</w:t>
      </w:r>
    </w:p>
    <w:p w14:paraId="37DE42E4" w14:textId="77777777" w:rsidR="002A4B5C" w:rsidRDefault="002A4B5C">
      <w:pPr>
        <w:spacing w:after="200" w:line="276" w:lineRule="auto"/>
        <w:rPr>
          <w:rFonts w:asciiTheme="majorHAnsi" w:eastAsiaTheme="majorEastAsia" w:hAnsiTheme="majorHAnsi" w:cstheme="majorBidi"/>
          <w:color w:val="365F91" w:themeColor="accent1" w:themeShade="BF"/>
          <w:sz w:val="36"/>
          <w:szCs w:val="36"/>
        </w:rPr>
      </w:pPr>
      <w:r>
        <w:br w:type="page"/>
      </w:r>
    </w:p>
    <w:p w14:paraId="64B8FA78" w14:textId="77777777" w:rsidR="00FE47C0" w:rsidRDefault="00FE47C0" w:rsidP="00FE47C0">
      <w:pPr>
        <w:pStyle w:val="Ttulo1"/>
      </w:pPr>
      <w:bookmarkStart w:id="4" w:name="_Toc96614854"/>
      <w:r>
        <w:lastRenderedPageBreak/>
        <w:t xml:space="preserve">SECCIÓN II </w:t>
      </w:r>
      <w:r>
        <w:br/>
        <w:t>HECHOS RELEVANTES</w:t>
      </w:r>
      <w:r w:rsidR="00965DA6">
        <w:t xml:space="preserve"> DEL TRIMESTRE</w:t>
      </w:r>
      <w:bookmarkEnd w:id="4"/>
    </w:p>
    <w:p w14:paraId="276DBF09" w14:textId="77777777" w:rsidR="00201F6A" w:rsidRPr="009D13CA" w:rsidRDefault="00201F6A" w:rsidP="009D13CA"/>
    <w:p w14:paraId="38469642" w14:textId="77777777" w:rsidR="0025548A" w:rsidRDefault="00F365C4" w:rsidP="009D13CA">
      <w:pPr>
        <w:pStyle w:val="Ttulo2"/>
        <w:numPr>
          <w:ilvl w:val="1"/>
          <w:numId w:val="18"/>
        </w:numPr>
      </w:pPr>
      <w:bookmarkStart w:id="5" w:name="_Toc96614855"/>
      <w:r>
        <w:t>M</w:t>
      </w:r>
      <w:r w:rsidR="0025548A">
        <w:t>odificación al Reglamento del R</w:t>
      </w:r>
      <w:r w:rsidR="00B130E3">
        <w:t>égimen de Invalidez, Vejez y Muerte de la Caja Costarricense de Seguro Social.</w:t>
      </w:r>
      <w:bookmarkEnd w:id="5"/>
    </w:p>
    <w:p w14:paraId="06FF4197" w14:textId="77777777" w:rsidR="00B130E3" w:rsidRDefault="00B130E3" w:rsidP="00B130E3"/>
    <w:p w14:paraId="0983E8A5" w14:textId="77777777" w:rsidR="00D876C3" w:rsidRPr="00D876C3" w:rsidRDefault="00D876C3" w:rsidP="00D876C3">
      <w:pPr>
        <w:jc w:val="both"/>
      </w:pPr>
      <w:r>
        <w:t xml:space="preserve">El </w:t>
      </w:r>
      <w:r w:rsidR="00EE4489">
        <w:t xml:space="preserve">14 de diciembre, la junta directiva de la Caja Costarricense de Seguro Social, aprobó </w:t>
      </w:r>
      <w:r w:rsidR="000905BF" w:rsidRPr="000905BF">
        <w:t>la modificación</w:t>
      </w:r>
      <w:r w:rsidR="00AE0B9C">
        <w:rPr>
          <w:rStyle w:val="Refdenotaalpie"/>
        </w:rPr>
        <w:footnoteReference w:id="4"/>
      </w:r>
      <w:r w:rsidR="000905BF" w:rsidRPr="000905BF">
        <w:t xml:space="preserve"> </w:t>
      </w:r>
      <w:r w:rsidR="00416C9C">
        <w:t xml:space="preserve">al </w:t>
      </w:r>
      <w:r w:rsidR="00416C9C" w:rsidRPr="00D876C3">
        <w:t xml:space="preserve">perfil de requisitos y beneficios </w:t>
      </w:r>
      <w:r w:rsidR="00416C9C">
        <w:t xml:space="preserve">para obtener una pensión en el </w:t>
      </w:r>
      <w:r w:rsidR="000905BF" w:rsidRPr="000905BF">
        <w:t>Régimen de Invalidez, Vejez y Muerte</w:t>
      </w:r>
      <w:r w:rsidR="00416C9C">
        <w:t>.</w:t>
      </w:r>
    </w:p>
    <w:p w14:paraId="771BCE4B" w14:textId="77777777" w:rsidR="00D876C3" w:rsidRPr="00D876C3" w:rsidRDefault="00D876C3" w:rsidP="00D876C3">
      <w:pPr>
        <w:jc w:val="both"/>
      </w:pPr>
    </w:p>
    <w:p w14:paraId="00C602BE" w14:textId="77777777" w:rsidR="00D876C3" w:rsidRPr="00D876C3" w:rsidRDefault="00D876C3" w:rsidP="00D876C3">
      <w:pPr>
        <w:jc w:val="both"/>
      </w:pPr>
      <w:r w:rsidRPr="00D876C3">
        <w:t>Los aspectos más relevantes de esta reforma son:</w:t>
      </w:r>
    </w:p>
    <w:p w14:paraId="4763F14A" w14:textId="77777777" w:rsidR="00D876C3" w:rsidRPr="00D876C3" w:rsidRDefault="00D876C3" w:rsidP="00D876C3">
      <w:pPr>
        <w:jc w:val="both"/>
      </w:pPr>
      <w:r w:rsidRPr="00D876C3">
        <w:t xml:space="preserve"> </w:t>
      </w:r>
    </w:p>
    <w:p w14:paraId="602C7B8C" w14:textId="77777777" w:rsidR="00D876C3" w:rsidRPr="00D876C3" w:rsidRDefault="00D876C3" w:rsidP="00D876C3">
      <w:pPr>
        <w:jc w:val="both"/>
      </w:pPr>
      <w:r w:rsidRPr="00D876C3">
        <w:t>•</w:t>
      </w:r>
      <w:r w:rsidRPr="00D876C3">
        <w:tab/>
      </w:r>
      <w:r w:rsidR="009A09D7">
        <w:t>La j</w:t>
      </w:r>
      <w:r w:rsidRPr="00D876C3">
        <w:t xml:space="preserve">ubilación por vejez para </w:t>
      </w:r>
      <w:r w:rsidR="009A09D7">
        <w:t>h</w:t>
      </w:r>
      <w:r w:rsidRPr="00D876C3">
        <w:t xml:space="preserve">ombres y mujeres </w:t>
      </w:r>
      <w:r w:rsidR="009A09D7">
        <w:t>será a</w:t>
      </w:r>
      <w:r w:rsidRPr="00D876C3">
        <w:t xml:space="preserve"> partir de los 65 años con 300 cuotas. Para las mujeres se mantiene una pensión anticipada con 63 años y 405 cuotas</w:t>
      </w:r>
      <w:r w:rsidR="009A09D7">
        <w:t xml:space="preserve">, </w:t>
      </w:r>
      <w:r w:rsidR="00C75AD9">
        <w:t xml:space="preserve">y </w:t>
      </w:r>
      <w:r w:rsidR="009A09D7">
        <w:t>se elimin</w:t>
      </w:r>
      <w:r w:rsidR="00ED497F">
        <w:t>ó</w:t>
      </w:r>
      <w:r w:rsidR="009A09D7">
        <w:t xml:space="preserve"> </w:t>
      </w:r>
      <w:r w:rsidR="00D04D24">
        <w:t xml:space="preserve">la posibilidad de </w:t>
      </w:r>
      <w:r w:rsidR="009A09D7">
        <w:t xml:space="preserve">adelantamiento </w:t>
      </w:r>
      <w:r w:rsidR="00EA3798">
        <w:t>de pensión</w:t>
      </w:r>
      <w:r w:rsidR="009A09D7">
        <w:t xml:space="preserve"> entre los 51 años y 11 meses hasta los </w:t>
      </w:r>
      <w:r w:rsidR="00FB7922">
        <w:t>62 años y 11 meses.</w:t>
      </w:r>
      <w:r w:rsidRPr="00D876C3">
        <w:t xml:space="preserve"> </w:t>
      </w:r>
    </w:p>
    <w:p w14:paraId="258CA318" w14:textId="77777777" w:rsidR="00D876C3" w:rsidRPr="00D876C3" w:rsidRDefault="00D876C3" w:rsidP="00D876C3">
      <w:pPr>
        <w:jc w:val="both"/>
      </w:pPr>
    </w:p>
    <w:p w14:paraId="1F59A584" w14:textId="77777777" w:rsidR="00D876C3" w:rsidRPr="00D876C3" w:rsidRDefault="00D876C3" w:rsidP="00D876C3">
      <w:pPr>
        <w:jc w:val="both"/>
      </w:pPr>
      <w:r w:rsidRPr="00D876C3">
        <w:t>•</w:t>
      </w:r>
      <w:r w:rsidRPr="00D876C3">
        <w:tab/>
        <w:t xml:space="preserve">El </w:t>
      </w:r>
      <w:r w:rsidR="00FB7922">
        <w:t>s</w:t>
      </w:r>
      <w:r w:rsidRPr="00D876C3">
        <w:t xml:space="preserve">alario de </w:t>
      </w:r>
      <w:r w:rsidR="00FB7922">
        <w:t>r</w:t>
      </w:r>
      <w:r w:rsidRPr="00D876C3">
        <w:t>eferencia correspond</w:t>
      </w:r>
      <w:r w:rsidR="001620E5">
        <w:t>erá</w:t>
      </w:r>
      <w:r w:rsidRPr="00D876C3">
        <w:t xml:space="preserve"> a los mejores 300 salarios registrados traídos a valor presente. </w:t>
      </w:r>
      <w:r w:rsidR="00D762C3">
        <w:t>E</w:t>
      </w:r>
      <w:r w:rsidRPr="00D876C3">
        <w:t>ste mismo salario de referencia</w:t>
      </w:r>
      <w:r w:rsidR="00D762C3">
        <w:t xml:space="preserve"> será utilizado</w:t>
      </w:r>
      <w:r w:rsidRPr="00D876C3">
        <w:t xml:space="preserve"> para determinar el porcentaje de cuantía básica</w:t>
      </w:r>
      <w:r w:rsidR="00D762C3">
        <w:t xml:space="preserve"> (que va de un 4</w:t>
      </w:r>
      <w:r w:rsidR="006825AF">
        <w:t>3</w:t>
      </w:r>
      <w:r w:rsidR="00D762C3">
        <w:t>% a un 52</w:t>
      </w:r>
      <w:r w:rsidR="006825AF">
        <w:t>,5</w:t>
      </w:r>
      <w:r w:rsidR="00D762C3">
        <w:t xml:space="preserve">% según </w:t>
      </w:r>
      <w:r w:rsidR="006825AF">
        <w:t xml:space="preserve">la relación </w:t>
      </w:r>
      <w:r w:rsidR="00913A25">
        <w:t>salario de referencia – salario mínimo)</w:t>
      </w:r>
      <w:r w:rsidRPr="00D876C3">
        <w:t>.</w:t>
      </w:r>
    </w:p>
    <w:p w14:paraId="4D2F6B9B" w14:textId="77777777" w:rsidR="00D876C3" w:rsidRPr="00D876C3" w:rsidRDefault="00D876C3" w:rsidP="00D876C3">
      <w:pPr>
        <w:jc w:val="both"/>
      </w:pPr>
    </w:p>
    <w:p w14:paraId="2F3FEB0F" w14:textId="77777777" w:rsidR="00D876C3" w:rsidRDefault="00D876C3" w:rsidP="00D876C3">
      <w:pPr>
        <w:jc w:val="both"/>
      </w:pPr>
      <w:r w:rsidRPr="00D876C3">
        <w:t>•</w:t>
      </w:r>
      <w:r w:rsidRPr="00D876C3">
        <w:tab/>
        <w:t>La cuantía adicional pas</w:t>
      </w:r>
      <w:r w:rsidR="00BC3769">
        <w:t>ó</w:t>
      </w:r>
      <w:r w:rsidRPr="00D876C3">
        <w:t xml:space="preserve"> a contabilizarse a partir de las 300 cuotas (25 años cotizados). El porcentaje de la cuantía adicional no sufr</w:t>
      </w:r>
      <w:r w:rsidR="00E46013">
        <w:t>ió</w:t>
      </w:r>
      <w:r w:rsidRPr="00D876C3">
        <w:t xml:space="preserve"> modificación (0,0833% por cada mes adicional de contribución).</w:t>
      </w:r>
    </w:p>
    <w:p w14:paraId="42295872" w14:textId="77777777" w:rsidR="00D876C3" w:rsidRDefault="00D876C3" w:rsidP="00B130E3"/>
    <w:p w14:paraId="4732D785" w14:textId="77777777" w:rsidR="006B75EA" w:rsidRPr="00D876C3" w:rsidRDefault="006B75EA" w:rsidP="006B75EA">
      <w:pPr>
        <w:jc w:val="both"/>
      </w:pPr>
      <w:r>
        <w:t>Esta modificación e</w:t>
      </w:r>
      <w:r w:rsidRPr="00D876C3">
        <w:t xml:space="preserve">ntrará a regir el 11 de enero de 2024 (dos años después de la fecha de su publicación). </w:t>
      </w:r>
      <w:r w:rsidR="001D79AF">
        <w:t>Las personas que</w:t>
      </w:r>
      <w:r w:rsidRPr="00D876C3">
        <w:t xml:space="preserve"> cumplan los requisitos hasta el 10 de enero 2024, inclusive, mantendrán las condiciones </w:t>
      </w:r>
      <w:r w:rsidR="00055814">
        <w:t>previas a esta reforma</w:t>
      </w:r>
      <w:r w:rsidRPr="00D876C3">
        <w:t xml:space="preserve">. </w:t>
      </w:r>
    </w:p>
    <w:p w14:paraId="0482D573" w14:textId="77777777" w:rsidR="00B130E3" w:rsidRDefault="00B130E3" w:rsidP="00B130E3"/>
    <w:p w14:paraId="2A433EDF" w14:textId="77777777" w:rsidR="00B130E3" w:rsidRPr="00B130E3" w:rsidRDefault="00B130E3" w:rsidP="00B130E3"/>
    <w:p w14:paraId="70CFBD49" w14:textId="77777777" w:rsidR="00C467CF" w:rsidRDefault="00C467CF" w:rsidP="009D13CA">
      <w:pPr>
        <w:pStyle w:val="Ttulo2"/>
        <w:numPr>
          <w:ilvl w:val="1"/>
          <w:numId w:val="18"/>
        </w:numPr>
      </w:pPr>
      <w:bookmarkStart w:id="6" w:name="_Toc96614856"/>
      <w:r>
        <w:t>Traslado de recursos al RNC</w:t>
      </w:r>
      <w:bookmarkEnd w:id="6"/>
    </w:p>
    <w:p w14:paraId="6C9D9646" w14:textId="77777777" w:rsidR="00A1100C" w:rsidRDefault="00A1100C" w:rsidP="00A1100C"/>
    <w:p w14:paraId="749AE5E6" w14:textId="77777777" w:rsidR="00A1100C" w:rsidRDefault="00A1100C" w:rsidP="00A1100C">
      <w:pPr>
        <w:spacing w:after="100" w:afterAutospacing="1"/>
        <w:contextualSpacing/>
        <w:jc w:val="both"/>
      </w:pPr>
      <w:r>
        <w:t xml:space="preserve">En seguimiento a lo comunicado en el Informe de Coyuntura del tercer trimestre, </w:t>
      </w:r>
      <w:r w:rsidR="00B77FF3">
        <w:t xml:space="preserve">actualmente se está en la etapa de coordinación de </w:t>
      </w:r>
      <w:r>
        <w:t xml:space="preserve">los detalles técnicos de la normativa para regular el traslado de recursos desde los fondos de pensiones hacia el Régimen No Contributivo (plazos, medios de pago etc.). Al tercer trimestre, los recursos del primer traslado al RNC ascendían a </w:t>
      </w:r>
      <w:r w:rsidRPr="005E13F8">
        <w:t>¢29 410 millones</w:t>
      </w:r>
      <w:r>
        <w:t>, monto acumulado desde la creación del Régimen de Capitalización Individual. Los subsiguientes traslados serán de los nuevos aportes que no hayan sido retirados en el plazo de 10 años desde el fallecimiento del titular, de conformidad con el artículo 77 de la Ley de Protección al Trabajador.</w:t>
      </w:r>
    </w:p>
    <w:p w14:paraId="7572AD1A" w14:textId="77777777" w:rsidR="00A1100C" w:rsidRPr="00A1100C" w:rsidRDefault="00A1100C" w:rsidP="00BD60C2"/>
    <w:p w14:paraId="4B67A4B9" w14:textId="77777777" w:rsidR="00A936DE" w:rsidRPr="00A936DE" w:rsidRDefault="00A936DE" w:rsidP="00BD60C2">
      <w:pPr>
        <w:pStyle w:val="Ttulo2"/>
        <w:numPr>
          <w:ilvl w:val="1"/>
          <w:numId w:val="18"/>
        </w:numPr>
        <w:jc w:val="both"/>
      </w:pPr>
      <w:bookmarkStart w:id="7" w:name="_Toc96614857"/>
      <w:r>
        <w:lastRenderedPageBreak/>
        <w:t>Nuevo estado de cuenta en el Régimen Obligatorio del Pensiones Complementarias</w:t>
      </w:r>
      <w:r w:rsidR="00861307">
        <w:t>,</w:t>
      </w:r>
      <w:r>
        <w:t xml:space="preserve"> el Fondo de Capitalización </w:t>
      </w:r>
      <w:r w:rsidR="00A1100C">
        <w:t>Laboral</w:t>
      </w:r>
      <w:r w:rsidR="00861307">
        <w:t xml:space="preserve"> y el Régimen Voluntario de Pensiones Complementarias</w:t>
      </w:r>
      <w:bookmarkEnd w:id="7"/>
    </w:p>
    <w:p w14:paraId="622724CC" w14:textId="77777777" w:rsidR="00320111" w:rsidRDefault="00320111" w:rsidP="000A787A">
      <w:pPr>
        <w:spacing w:after="100" w:afterAutospacing="1"/>
        <w:contextualSpacing/>
        <w:jc w:val="both"/>
      </w:pPr>
    </w:p>
    <w:p w14:paraId="12BB8CEA" w14:textId="77777777" w:rsidR="00DE1A27" w:rsidRDefault="007E37DA" w:rsidP="004D3CFB">
      <w:pPr>
        <w:spacing w:after="100" w:afterAutospacing="1"/>
        <w:contextualSpacing/>
        <w:jc w:val="both"/>
      </w:pPr>
      <w:r>
        <w:t xml:space="preserve">El </w:t>
      </w:r>
      <w:r w:rsidR="00CA55A7">
        <w:t xml:space="preserve">18 de mayo del 2021, </w:t>
      </w:r>
      <w:r w:rsidR="00070E62">
        <w:t>la Superintendencia de Pensiones emitió</w:t>
      </w:r>
      <w:r w:rsidR="000F6671">
        <w:t xml:space="preserve">, mediante el </w:t>
      </w:r>
      <w:r w:rsidR="00E26893">
        <w:t xml:space="preserve">acuerdo </w:t>
      </w:r>
      <w:r w:rsidR="00E26893" w:rsidRPr="00E26893">
        <w:t>SP-A-243-2021</w:t>
      </w:r>
      <w:r w:rsidR="00E26893">
        <w:t>,</w:t>
      </w:r>
      <w:r w:rsidR="00070E62">
        <w:t xml:space="preserve"> </w:t>
      </w:r>
      <w:r w:rsidR="004D3CFB">
        <w:t xml:space="preserve">las </w:t>
      </w:r>
      <w:r w:rsidR="004D3CFB" w:rsidRPr="00BD60C2">
        <w:rPr>
          <w:i/>
          <w:iCs/>
        </w:rPr>
        <w:t>Disposiciones sobre el envío de estados de cuenta y su contenido mínimo</w:t>
      </w:r>
      <w:r w:rsidR="00E26893">
        <w:rPr>
          <w:i/>
          <w:iCs/>
        </w:rPr>
        <w:t xml:space="preserve">. </w:t>
      </w:r>
      <w:r w:rsidR="00AD6DC3">
        <w:t>Esta no</w:t>
      </w:r>
      <w:r w:rsidR="00E6534C">
        <w:t xml:space="preserve">rma procura </w:t>
      </w:r>
      <w:r w:rsidR="00967EBC">
        <w:t>mejorar la información que las Operadoras de Pensiones remiten a sus afiliados</w:t>
      </w:r>
      <w:r w:rsidR="007926B7">
        <w:t xml:space="preserve">, de tal manera que el usuario tenga un </w:t>
      </w:r>
      <w:r w:rsidR="000949E2">
        <w:t xml:space="preserve">mejor </w:t>
      </w:r>
      <w:r w:rsidR="007926B7">
        <w:t xml:space="preserve">entendimiento </w:t>
      </w:r>
      <w:r w:rsidR="000831A2">
        <w:t xml:space="preserve">de los productos de pensión </w:t>
      </w:r>
      <w:r w:rsidR="003D4CF2">
        <w:t xml:space="preserve">y no solo de la acumulación de recursos. Además, pretende guiar al afiliado en la toma de </w:t>
      </w:r>
      <w:r w:rsidR="00911CD7">
        <w:t>decisiones, mostrándole indicadores de rentabilidad de mediano plazo</w:t>
      </w:r>
      <w:r w:rsidR="00DE1A27">
        <w:t>.</w:t>
      </w:r>
    </w:p>
    <w:p w14:paraId="4019A893" w14:textId="77777777" w:rsidR="00DE1A27" w:rsidRDefault="00DE1A27" w:rsidP="00DE1A27">
      <w:pPr>
        <w:spacing w:after="100" w:afterAutospacing="1"/>
        <w:contextualSpacing/>
        <w:jc w:val="both"/>
      </w:pPr>
    </w:p>
    <w:p w14:paraId="3364F8C1" w14:textId="77777777" w:rsidR="00DE1A27" w:rsidRDefault="00DE1A27" w:rsidP="00DE1A27">
      <w:pPr>
        <w:spacing w:after="100" w:afterAutospacing="1"/>
        <w:contextualSpacing/>
        <w:jc w:val="both"/>
      </w:pPr>
      <w:r>
        <w:t>Los primeros estados de cuenta bajo est</w:t>
      </w:r>
      <w:r w:rsidR="006D5048">
        <w:t>as disposiciones corresponden a</w:t>
      </w:r>
      <w:r w:rsidR="00F8684C">
        <w:t xml:space="preserve"> </w:t>
      </w:r>
      <w:r w:rsidR="006D5048">
        <w:t>l</w:t>
      </w:r>
      <w:r w:rsidR="00F8684C">
        <w:t xml:space="preserve">os movimientos </w:t>
      </w:r>
      <w:r w:rsidR="00F606FD">
        <w:t xml:space="preserve">de la cuenta individual </w:t>
      </w:r>
      <w:r w:rsidR="00F8684C">
        <w:t>del</w:t>
      </w:r>
      <w:r w:rsidR="006D5048">
        <w:t xml:space="preserve"> segundo semestre de 2021 (y que fueron distribuidos por las Operadoras de Pensiones en enero de 2022).</w:t>
      </w:r>
    </w:p>
    <w:p w14:paraId="43A7C66D" w14:textId="77777777" w:rsidR="00753FB0" w:rsidRDefault="00753FB0" w:rsidP="00DE1A27">
      <w:pPr>
        <w:spacing w:after="100" w:afterAutospacing="1"/>
        <w:contextualSpacing/>
        <w:jc w:val="both"/>
      </w:pPr>
    </w:p>
    <w:p w14:paraId="167413EC" w14:textId="77777777" w:rsidR="00753FB0" w:rsidRDefault="001841E3" w:rsidP="00DE1A27">
      <w:pPr>
        <w:spacing w:after="100" w:afterAutospacing="1"/>
        <w:contextualSpacing/>
        <w:jc w:val="both"/>
      </w:pPr>
      <w:r>
        <w:t xml:space="preserve">En los nuevos estados de cuenta, los afiliados </w:t>
      </w:r>
      <w:r w:rsidR="00040BEE">
        <w:t xml:space="preserve">recibieron el resultado de la rentabilidad </w:t>
      </w:r>
      <w:r w:rsidR="005B118C">
        <w:t xml:space="preserve">y comisiones del último semestre. Esto es particularmente útil para </w:t>
      </w:r>
      <w:r w:rsidR="009D65F5">
        <w:t>analizar el desempeño financiero del fondo a largo plazo, y no las variaciones de un mes a otro</w:t>
      </w:r>
      <w:r w:rsidR="00961C89">
        <w:t xml:space="preserve">, que podrían presentar más volatilidad. </w:t>
      </w:r>
    </w:p>
    <w:p w14:paraId="7E2D13C8" w14:textId="77777777" w:rsidR="00407A93" w:rsidRDefault="00407A93" w:rsidP="00DE1A27">
      <w:pPr>
        <w:spacing w:after="100" w:afterAutospacing="1"/>
        <w:contextualSpacing/>
        <w:jc w:val="both"/>
      </w:pPr>
    </w:p>
    <w:p w14:paraId="225CD1B3" w14:textId="77777777" w:rsidR="00407A93" w:rsidRDefault="000C1F2F" w:rsidP="00ED6DF0">
      <w:pPr>
        <w:spacing w:after="100" w:afterAutospacing="1"/>
        <w:contextualSpacing/>
        <w:jc w:val="both"/>
      </w:pPr>
      <w:r>
        <w:t>Lo</w:t>
      </w:r>
      <w:r w:rsidR="00407A93">
        <w:t xml:space="preserve"> más novedoso en el estado de cuenta, es la inclusión de una proyección de la pensión </w:t>
      </w:r>
      <w:r w:rsidR="00364397">
        <w:t>que el afiliado recibirá en el futuro</w:t>
      </w:r>
      <w:r w:rsidR="006F4CFE">
        <w:t xml:space="preserve">. El objetivo de la proyección es </w:t>
      </w:r>
      <w:r w:rsidR="002E51F6">
        <w:t>vincula</w:t>
      </w:r>
      <w:r w:rsidR="0030675A">
        <w:t>r</w:t>
      </w:r>
      <w:r w:rsidR="002E51F6">
        <w:t xml:space="preserve"> </w:t>
      </w:r>
      <w:r w:rsidR="006D380A">
        <w:t>el ahorro y la pensión</w:t>
      </w:r>
      <w:r w:rsidR="00005551">
        <w:t>, variables di</w:t>
      </w:r>
      <w:r w:rsidR="00D06E26">
        <w:t>sociadas hasta este momento</w:t>
      </w:r>
      <w:r w:rsidR="00364397">
        <w:t xml:space="preserve">. </w:t>
      </w:r>
      <w:r w:rsidR="00ED6DF0">
        <w:t>Esta proyección se presenta en tres escenarios: pesimista,</w:t>
      </w:r>
      <w:r w:rsidR="004E7D89">
        <w:t xml:space="preserve"> </w:t>
      </w:r>
      <w:r w:rsidR="00ED6DF0">
        <w:t>esperado y optimista</w:t>
      </w:r>
      <w:r w:rsidR="004E7D89">
        <w:t xml:space="preserve">; calculados a partir de </w:t>
      </w:r>
      <w:r w:rsidR="00ED6DF0">
        <w:t>supuestos razonables,</w:t>
      </w:r>
      <w:r w:rsidR="004E7D89">
        <w:t xml:space="preserve"> técnicamente </w:t>
      </w:r>
      <w:r w:rsidR="00ED6DF0">
        <w:t>sustentados,</w:t>
      </w:r>
      <w:r w:rsidR="001D3E84">
        <w:t xml:space="preserve"> y </w:t>
      </w:r>
      <w:r w:rsidR="00ED6DF0">
        <w:t>declarados</w:t>
      </w:r>
      <w:r w:rsidR="001D3E84">
        <w:t xml:space="preserve"> por la entidad; además toma en cuenta,</w:t>
      </w:r>
      <w:r w:rsidR="00ED6DF0">
        <w:t xml:space="preserve"> como mínimo, la densidad de cotización, la tasa de </w:t>
      </w:r>
      <w:r w:rsidR="00F4654C">
        <w:t xml:space="preserve">rentabilidad </w:t>
      </w:r>
      <w:r w:rsidR="00ED6DF0">
        <w:t>y aportes</w:t>
      </w:r>
      <w:r w:rsidR="001D3E84">
        <w:t xml:space="preserve"> </w:t>
      </w:r>
      <w:r w:rsidR="00ED6DF0">
        <w:t>adicionales.</w:t>
      </w:r>
      <w:r w:rsidR="00355ACE">
        <w:t xml:space="preserve"> </w:t>
      </w:r>
    </w:p>
    <w:p w14:paraId="5DE5852F" w14:textId="77777777" w:rsidR="00F27244" w:rsidRDefault="00F27244" w:rsidP="00DE1A27">
      <w:pPr>
        <w:spacing w:after="100" w:afterAutospacing="1"/>
        <w:contextualSpacing/>
        <w:jc w:val="both"/>
      </w:pPr>
    </w:p>
    <w:p w14:paraId="49334F04" w14:textId="77777777" w:rsidR="00873009" w:rsidRDefault="00873009" w:rsidP="009D13CA">
      <w:pPr>
        <w:pStyle w:val="Ttulo2"/>
        <w:numPr>
          <w:ilvl w:val="1"/>
          <w:numId w:val="18"/>
        </w:numPr>
      </w:pPr>
      <w:bookmarkStart w:id="8" w:name="_Toc96614858"/>
      <w:r>
        <w:t>Activos administrados</w:t>
      </w:r>
      <w:bookmarkEnd w:id="8"/>
    </w:p>
    <w:p w14:paraId="506B185B" w14:textId="77777777" w:rsidR="00873009" w:rsidRDefault="00873009" w:rsidP="00873009"/>
    <w:p w14:paraId="379234F9" w14:textId="77777777" w:rsidR="00873009" w:rsidRDefault="00381F24" w:rsidP="009D13CA">
      <w:pPr>
        <w:pStyle w:val="Ttulo3"/>
        <w:numPr>
          <w:ilvl w:val="2"/>
          <w:numId w:val="18"/>
        </w:numPr>
      </w:pPr>
      <w:bookmarkStart w:id="9" w:name="_Toc96614859"/>
      <w:r>
        <w:t>C</w:t>
      </w:r>
      <w:r w:rsidR="00DE4396">
        <w:t>recimiento de los activos</w:t>
      </w:r>
      <w:r w:rsidR="000B6FFF">
        <w:t xml:space="preserve"> administrados</w:t>
      </w:r>
      <w:bookmarkEnd w:id="9"/>
    </w:p>
    <w:p w14:paraId="7F070D18" w14:textId="77777777" w:rsidR="00873009" w:rsidRDefault="00873009" w:rsidP="00873009">
      <w:pPr>
        <w:jc w:val="both"/>
      </w:pPr>
    </w:p>
    <w:p w14:paraId="4C8E4D5A" w14:textId="77777777" w:rsidR="00873009" w:rsidRDefault="00873009" w:rsidP="00873009">
      <w:pPr>
        <w:jc w:val="both"/>
      </w:pPr>
      <w:r>
        <w:t xml:space="preserve">A </w:t>
      </w:r>
      <w:r w:rsidR="00ED02A6">
        <w:t>diciembre</w:t>
      </w:r>
      <w:r>
        <w:t xml:space="preserve"> del 2021 los activos administrados por el SNP y el FCL totalizan ₡</w:t>
      </w:r>
      <w:r w:rsidR="00ED02A6">
        <w:t>19</w:t>
      </w:r>
      <w:r>
        <w:t>,</w:t>
      </w:r>
      <w:r w:rsidR="00ED02A6">
        <w:t>7</w:t>
      </w:r>
      <w:r>
        <w:t xml:space="preserve"> billones</w:t>
      </w:r>
      <w:r w:rsidR="0036238B" w:rsidDel="0036238B">
        <w:t xml:space="preserve"> </w:t>
      </w:r>
      <w:r>
        <w:t>(gráfico 1)</w:t>
      </w:r>
      <w:r w:rsidR="00E064AE">
        <w:rPr>
          <w:rStyle w:val="Refdenotaalpie"/>
        </w:rPr>
        <w:footnoteReference w:id="5"/>
      </w:r>
      <w:r>
        <w:t>. El crecimiento durante el año ha sido de 1</w:t>
      </w:r>
      <w:r w:rsidR="00ED02A6">
        <w:t>5</w:t>
      </w:r>
      <w:r>
        <w:t>% con respecto a los activos administrados a diciembre de 2020.</w:t>
      </w:r>
      <w:r w:rsidR="00D26228">
        <w:t xml:space="preserve"> </w:t>
      </w:r>
      <w:r w:rsidR="004307B5">
        <w:t xml:space="preserve">Destaca el rendimiento de los portafolios en </w:t>
      </w:r>
      <w:r w:rsidR="00A22C69">
        <w:t>dólares y en los mercados internacionales (</w:t>
      </w:r>
      <w:r w:rsidR="00A22C69" w:rsidRPr="00DA44C9">
        <w:t>ver detalles en la sección correspondiente)</w:t>
      </w:r>
      <w:r w:rsidRPr="00EA5087">
        <w:t>, en especial el ROP,</w:t>
      </w:r>
      <w:r w:rsidR="00A22C69" w:rsidRPr="00EA5087">
        <w:t xml:space="preserve"> lo que</w:t>
      </w:r>
      <w:r w:rsidRPr="00EA5087">
        <w:t xml:space="preserve"> </w:t>
      </w:r>
      <w:r>
        <w:t xml:space="preserve">explica </w:t>
      </w:r>
      <w:r w:rsidR="005F325B">
        <w:t>en buena medida</w:t>
      </w:r>
      <w:r>
        <w:t xml:space="preserve"> este crecimiento</w:t>
      </w:r>
      <w:r w:rsidR="009C7EC1">
        <w:t>.</w:t>
      </w:r>
    </w:p>
    <w:p w14:paraId="78609F94" w14:textId="77777777" w:rsidR="00396391" w:rsidRDefault="00396391" w:rsidP="00873009">
      <w:pPr>
        <w:jc w:val="both"/>
      </w:pPr>
    </w:p>
    <w:p w14:paraId="2DD6ECA0" w14:textId="77777777" w:rsidR="00AF5BB2" w:rsidRDefault="00AF5BB2" w:rsidP="00396391">
      <w:pPr>
        <w:jc w:val="both"/>
        <w:rPr>
          <w:b/>
          <w:bCs/>
        </w:rPr>
      </w:pPr>
    </w:p>
    <w:p w14:paraId="29407358" w14:textId="77777777" w:rsidR="00AF5BB2" w:rsidRDefault="00AF5BB2" w:rsidP="00396391">
      <w:pPr>
        <w:jc w:val="both"/>
        <w:rPr>
          <w:b/>
          <w:bCs/>
        </w:rPr>
      </w:pPr>
    </w:p>
    <w:p w14:paraId="2895B9CE" w14:textId="77777777" w:rsidR="00AF5BB2" w:rsidRDefault="00AF5BB2" w:rsidP="00396391">
      <w:pPr>
        <w:jc w:val="both"/>
        <w:rPr>
          <w:b/>
          <w:bCs/>
        </w:rPr>
      </w:pPr>
    </w:p>
    <w:p w14:paraId="1305EE94" w14:textId="77777777" w:rsidR="00396391" w:rsidRPr="00396391" w:rsidRDefault="00396391" w:rsidP="00396391">
      <w:pPr>
        <w:jc w:val="both"/>
        <w:rPr>
          <w:lang w:val="es-CR"/>
        </w:rPr>
      </w:pPr>
      <w:r w:rsidRPr="00396391">
        <w:rPr>
          <w:b/>
          <w:bCs/>
        </w:rPr>
        <w:lastRenderedPageBreak/>
        <w:t xml:space="preserve">Gráfico 1. </w:t>
      </w:r>
    </w:p>
    <w:p w14:paraId="659E55F7" w14:textId="77777777" w:rsidR="00396391" w:rsidRPr="00396391" w:rsidRDefault="00396391" w:rsidP="00396391">
      <w:pPr>
        <w:jc w:val="both"/>
        <w:rPr>
          <w:lang w:val="es-CR"/>
        </w:rPr>
      </w:pPr>
      <w:r w:rsidRPr="00396391">
        <w:rPr>
          <w:b/>
          <w:bCs/>
        </w:rPr>
        <w:t>Sistema Nacional de Pensiones: activos administrados por año y comparación respecto al PIB, 2010-2021</w:t>
      </w:r>
    </w:p>
    <w:p w14:paraId="0654D966" w14:textId="77777777" w:rsidR="00396391" w:rsidRPr="00DC65F3" w:rsidRDefault="00D71842" w:rsidP="00396391">
      <w:pPr>
        <w:jc w:val="both"/>
        <w:rPr>
          <w:sz w:val="18"/>
          <w:szCs w:val="18"/>
          <w:lang w:val="es-CR"/>
        </w:rPr>
      </w:pPr>
      <w:r w:rsidRPr="00D71842">
        <w:rPr>
          <w:noProof/>
        </w:rPr>
        <w:t xml:space="preserve"> </w:t>
      </w:r>
      <w:r>
        <w:rPr>
          <w:noProof/>
        </w:rPr>
        <w:drawing>
          <wp:inline distT="0" distB="0" distL="0" distR="0" wp14:anchorId="79514AEE" wp14:editId="3EB491E9">
            <wp:extent cx="6120765" cy="3449955"/>
            <wp:effectExtent l="0" t="0" r="0" b="0"/>
            <wp:docPr id="3" name="Gráfico 3">
              <a:extLst xmlns:a="http://schemas.openxmlformats.org/drawingml/2006/main">
                <a:ext uri="{FF2B5EF4-FFF2-40B4-BE49-F238E27FC236}">
                  <a16:creationId xmlns:a16="http://schemas.microsoft.com/office/drawing/2014/main" id="{9ACDBC83-E4C5-432A-8574-E326A76BB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C65F3">
        <w:rPr>
          <w:b/>
          <w:sz w:val="18"/>
          <w:szCs w:val="18"/>
        </w:rPr>
        <w:t xml:space="preserve"> </w:t>
      </w:r>
      <w:r w:rsidR="00396391" w:rsidRPr="00DC65F3">
        <w:rPr>
          <w:b/>
          <w:sz w:val="18"/>
          <w:szCs w:val="18"/>
        </w:rPr>
        <w:t>Nota: todos los datos para el 2021 son con corte al 3</w:t>
      </w:r>
      <w:r w:rsidR="00037C9B">
        <w:rPr>
          <w:b/>
          <w:sz w:val="18"/>
          <w:szCs w:val="18"/>
        </w:rPr>
        <w:t>1</w:t>
      </w:r>
      <w:r w:rsidR="00396391" w:rsidRPr="00DC65F3">
        <w:rPr>
          <w:b/>
          <w:sz w:val="18"/>
          <w:szCs w:val="18"/>
        </w:rPr>
        <w:t xml:space="preserve"> de </w:t>
      </w:r>
      <w:r w:rsidR="00037C9B">
        <w:rPr>
          <w:b/>
          <w:sz w:val="18"/>
          <w:szCs w:val="18"/>
        </w:rPr>
        <w:t>diciembre</w:t>
      </w:r>
      <w:r w:rsidR="00396391" w:rsidRPr="00DC65F3">
        <w:rPr>
          <w:b/>
          <w:sz w:val="18"/>
          <w:szCs w:val="18"/>
        </w:rPr>
        <w:t xml:space="preserve">, excepto para RIVM (al 31 de </w:t>
      </w:r>
      <w:r w:rsidR="00037C9B">
        <w:rPr>
          <w:b/>
          <w:sz w:val="18"/>
          <w:szCs w:val="18"/>
        </w:rPr>
        <w:t>octubre</w:t>
      </w:r>
      <w:r w:rsidR="00396391" w:rsidRPr="00DC65F3">
        <w:rPr>
          <w:b/>
          <w:sz w:val="18"/>
          <w:szCs w:val="18"/>
        </w:rPr>
        <w:t xml:space="preserve"> del 2021, último dato disponible).</w:t>
      </w:r>
      <w:r w:rsidR="004D1DD1">
        <w:rPr>
          <w:b/>
          <w:sz w:val="18"/>
          <w:szCs w:val="18"/>
        </w:rPr>
        <w:t xml:space="preserve"> Además, todos los años son con corte a diciembre, excepto </w:t>
      </w:r>
      <w:r w:rsidR="00CA5275">
        <w:rPr>
          <w:b/>
          <w:sz w:val="18"/>
          <w:szCs w:val="18"/>
        </w:rPr>
        <w:t>el 2021.</w:t>
      </w:r>
    </w:p>
    <w:p w14:paraId="0024CA6B" w14:textId="77777777" w:rsidR="00396391" w:rsidRPr="00DC65F3" w:rsidRDefault="00396391" w:rsidP="00396391">
      <w:pPr>
        <w:jc w:val="both"/>
        <w:rPr>
          <w:sz w:val="18"/>
          <w:szCs w:val="18"/>
          <w:lang w:val="es-CR"/>
        </w:rPr>
      </w:pPr>
      <w:r w:rsidRPr="00DC65F3">
        <w:rPr>
          <w:b/>
          <w:sz w:val="18"/>
          <w:szCs w:val="18"/>
        </w:rPr>
        <w:t xml:space="preserve">PIB consultado el </w:t>
      </w:r>
      <w:r w:rsidR="00F11B87">
        <w:rPr>
          <w:b/>
          <w:sz w:val="18"/>
          <w:szCs w:val="18"/>
        </w:rPr>
        <w:t>17 de enero de 2022</w:t>
      </w:r>
      <w:r w:rsidRPr="00DC65F3">
        <w:rPr>
          <w:b/>
          <w:sz w:val="18"/>
          <w:szCs w:val="18"/>
        </w:rPr>
        <w:t xml:space="preserve"> en www.bccr.fi.cr.</w:t>
      </w:r>
    </w:p>
    <w:p w14:paraId="1E760C5E" w14:textId="77777777" w:rsidR="00396391" w:rsidRPr="00DC65F3" w:rsidRDefault="00396391" w:rsidP="00396391">
      <w:pPr>
        <w:jc w:val="both"/>
        <w:rPr>
          <w:sz w:val="18"/>
          <w:szCs w:val="18"/>
          <w:lang w:val="es-CR"/>
        </w:rPr>
      </w:pPr>
      <w:r w:rsidRPr="00DC65F3">
        <w:rPr>
          <w:b/>
          <w:sz w:val="18"/>
          <w:szCs w:val="18"/>
        </w:rPr>
        <w:t>Fuente: Elaboración propia.</w:t>
      </w:r>
    </w:p>
    <w:p w14:paraId="31C52D0B" w14:textId="77777777" w:rsidR="00396391" w:rsidRDefault="00396391" w:rsidP="00CC2C96">
      <w:pPr>
        <w:jc w:val="both"/>
        <w:rPr>
          <w:rFonts w:cstheme="minorHAnsi"/>
        </w:rPr>
      </w:pPr>
    </w:p>
    <w:p w14:paraId="745DDE60" w14:textId="77777777" w:rsidR="00307DC7" w:rsidRDefault="00E5537E" w:rsidP="005957E5">
      <w:pPr>
        <w:jc w:val="both"/>
        <w:rPr>
          <w:rFonts w:cstheme="minorHAnsi"/>
        </w:rPr>
      </w:pPr>
      <w:r>
        <w:rPr>
          <w:rFonts w:cstheme="minorHAnsi"/>
        </w:rPr>
        <w:t xml:space="preserve">El Régimen Voluntario de Pensiones Complementarias continuó </w:t>
      </w:r>
      <w:r w:rsidR="00F53073">
        <w:rPr>
          <w:rFonts w:cstheme="minorHAnsi"/>
        </w:rPr>
        <w:t xml:space="preserve">con el crecimiento indicado en el informe anterior, para cerrar el 2021 con </w:t>
      </w:r>
      <w:r w:rsidR="009F1967">
        <w:rPr>
          <w:rFonts w:cstheme="minorHAnsi"/>
        </w:rPr>
        <w:t xml:space="preserve">30% de aumento en sus activos, </w:t>
      </w:r>
      <w:r w:rsidR="003D0C37">
        <w:rPr>
          <w:rFonts w:cstheme="minorHAnsi"/>
        </w:rPr>
        <w:t xml:space="preserve">por las mismas razones apuntadas: </w:t>
      </w:r>
      <w:r w:rsidR="00F351B6">
        <w:rPr>
          <w:rFonts w:cstheme="minorHAnsi"/>
        </w:rPr>
        <w:t>aumento en los aportes de los afiliados</w:t>
      </w:r>
      <w:r w:rsidR="00F9042B">
        <w:rPr>
          <w:rFonts w:cstheme="minorHAnsi"/>
        </w:rPr>
        <w:t>, apertura de nuevos fondos y la rentabilidad de los portafolios.</w:t>
      </w:r>
      <w:r w:rsidR="009904D9">
        <w:rPr>
          <w:rFonts w:cstheme="minorHAnsi"/>
        </w:rPr>
        <w:t xml:space="preserve"> </w:t>
      </w:r>
      <w:r w:rsidR="002723B7">
        <w:rPr>
          <w:rFonts w:cstheme="minorHAnsi"/>
        </w:rPr>
        <w:t xml:space="preserve">Sobre este último </w:t>
      </w:r>
      <w:r w:rsidR="00CA2275">
        <w:rPr>
          <w:rFonts w:cstheme="minorHAnsi"/>
        </w:rPr>
        <w:t xml:space="preserve">elemento, los fondos de pensiones de carácter voluntario tuvieron rentabilidades que estuvieron en entre </w:t>
      </w:r>
      <w:r w:rsidR="001D6EA8">
        <w:rPr>
          <w:rFonts w:cstheme="minorHAnsi"/>
        </w:rPr>
        <w:t xml:space="preserve">3,54% a 12,56% para los fondos A en dólares y </w:t>
      </w:r>
      <w:r w:rsidR="00C6788F">
        <w:rPr>
          <w:rFonts w:cstheme="minorHAnsi"/>
        </w:rPr>
        <w:t xml:space="preserve">entre 7,61% y 17,28% para los A en colones. </w:t>
      </w:r>
      <w:r w:rsidR="003F2D23">
        <w:rPr>
          <w:rFonts w:cstheme="minorHAnsi"/>
        </w:rPr>
        <w:t xml:space="preserve">En cuanto a los fondos B, </w:t>
      </w:r>
      <w:r w:rsidR="006E3A55">
        <w:rPr>
          <w:rFonts w:cstheme="minorHAnsi"/>
        </w:rPr>
        <w:t xml:space="preserve">la rentabilidad </w:t>
      </w:r>
      <w:r w:rsidR="00427CA4">
        <w:rPr>
          <w:rFonts w:cstheme="minorHAnsi"/>
        </w:rPr>
        <w:t xml:space="preserve">en dólares </w:t>
      </w:r>
      <w:r w:rsidR="006E3A55">
        <w:rPr>
          <w:rFonts w:cstheme="minorHAnsi"/>
        </w:rPr>
        <w:t>estuvo entre</w:t>
      </w:r>
      <w:r w:rsidR="00427CA4">
        <w:rPr>
          <w:rFonts w:cstheme="minorHAnsi"/>
        </w:rPr>
        <w:t xml:space="preserve"> 5,38% </w:t>
      </w:r>
      <w:r w:rsidR="006E3A55">
        <w:rPr>
          <w:rFonts w:cstheme="minorHAnsi"/>
        </w:rPr>
        <w:t>y</w:t>
      </w:r>
      <w:r w:rsidR="00427CA4">
        <w:rPr>
          <w:rFonts w:cstheme="minorHAnsi"/>
        </w:rPr>
        <w:t xml:space="preserve"> 13,56% y de </w:t>
      </w:r>
      <w:r w:rsidR="00903BDA">
        <w:rPr>
          <w:rFonts w:cstheme="minorHAnsi"/>
        </w:rPr>
        <w:t xml:space="preserve">8,81% a 19,80% en colones. Cabe recordar que los fondos A son aquellos que admiten retiros, </w:t>
      </w:r>
      <w:r w:rsidR="00520EC9">
        <w:rPr>
          <w:rFonts w:cstheme="minorHAnsi"/>
        </w:rPr>
        <w:t xml:space="preserve">a diferencia de los B, en los que no se puede </w:t>
      </w:r>
      <w:r w:rsidR="00FE5764">
        <w:rPr>
          <w:rFonts w:cstheme="minorHAnsi"/>
        </w:rPr>
        <w:t>acceder a los recursos en forma anticipada</w:t>
      </w:r>
      <w:r w:rsidR="00520EC9">
        <w:rPr>
          <w:rFonts w:cstheme="minorHAnsi"/>
        </w:rPr>
        <w:t>.</w:t>
      </w:r>
      <w:r w:rsidR="009904D9">
        <w:rPr>
          <w:rFonts w:cstheme="minorHAnsi"/>
        </w:rPr>
        <w:t xml:space="preserve"> </w:t>
      </w:r>
      <w:r w:rsidR="0039252D">
        <w:rPr>
          <w:rFonts w:cstheme="minorHAnsi"/>
        </w:rPr>
        <w:t xml:space="preserve">La cantidad de afiliados aumentó en </w:t>
      </w:r>
      <w:r w:rsidR="00913179">
        <w:rPr>
          <w:rFonts w:cstheme="minorHAnsi"/>
        </w:rPr>
        <w:t>3 022</w:t>
      </w:r>
      <w:r w:rsidR="0039252D">
        <w:rPr>
          <w:rFonts w:cstheme="minorHAnsi"/>
        </w:rPr>
        <w:t xml:space="preserve"> personas</w:t>
      </w:r>
      <w:r w:rsidR="00913179">
        <w:rPr>
          <w:rFonts w:cstheme="minorHAnsi"/>
        </w:rPr>
        <w:t xml:space="preserve"> desde diciembre de 2020</w:t>
      </w:r>
      <w:r w:rsidR="00307DC7">
        <w:rPr>
          <w:rFonts w:cstheme="minorHAnsi"/>
        </w:rPr>
        <w:t xml:space="preserve">. </w:t>
      </w:r>
      <w:r w:rsidR="009E4257">
        <w:rPr>
          <w:rFonts w:cstheme="minorHAnsi"/>
        </w:rPr>
        <w:t>Tanto el crecimiento de los aportes como la cantidad de nuevos afiliados responden al esfuerzo comercial de las Operadoras de Pensiones.</w:t>
      </w:r>
    </w:p>
    <w:p w14:paraId="502911D8" w14:textId="77777777" w:rsidR="00307DC7" w:rsidRDefault="00307DC7" w:rsidP="005957E5">
      <w:pPr>
        <w:jc w:val="both"/>
        <w:rPr>
          <w:rFonts w:cstheme="minorHAnsi"/>
        </w:rPr>
      </w:pPr>
    </w:p>
    <w:p w14:paraId="529E66CE" w14:textId="77777777" w:rsidR="00175C79" w:rsidRDefault="002B42CC" w:rsidP="00FC11BC">
      <w:pPr>
        <w:jc w:val="both"/>
      </w:pPr>
      <w:r>
        <w:t>E</w:t>
      </w:r>
      <w:r w:rsidR="00FF6B6D">
        <w:t>l ROP</w:t>
      </w:r>
      <w:r>
        <w:t xml:space="preserve"> cerró el año con un </w:t>
      </w:r>
      <w:r w:rsidR="00FF6B6D">
        <w:t xml:space="preserve">crecimiento </w:t>
      </w:r>
      <w:r w:rsidR="00200006">
        <w:t xml:space="preserve">del </w:t>
      </w:r>
      <w:r w:rsidR="003B2C13">
        <w:t>22,67</w:t>
      </w:r>
      <w:r w:rsidR="00FF6B6D">
        <w:t>% con respecto a 2020, mientras que el promedio anual de los años anteriores ha sido del 18%.</w:t>
      </w:r>
      <w:r w:rsidR="0030524B">
        <w:t xml:space="preserve"> </w:t>
      </w:r>
      <w:r w:rsidR="002D7900">
        <w:t>Como se indicó en el informe anterior, el</w:t>
      </w:r>
      <w:r w:rsidR="0030524B">
        <w:t xml:space="preserve"> aumento en el saldo administrad</w:t>
      </w:r>
      <w:r w:rsidR="00AE71A1">
        <w:t xml:space="preserve">o se explica, entre otras razones, por </w:t>
      </w:r>
      <w:r w:rsidR="0030524B">
        <w:t xml:space="preserve">las modificaciones legales introducidas </w:t>
      </w:r>
      <w:r w:rsidR="00C90E42">
        <w:t xml:space="preserve">por la </w:t>
      </w:r>
      <w:r w:rsidR="00C90E42" w:rsidRPr="00BA6C1C">
        <w:rPr>
          <w:i/>
          <w:iCs/>
        </w:rPr>
        <w:t xml:space="preserve">Ley para </w:t>
      </w:r>
      <w:r w:rsidR="00C90E42" w:rsidRPr="00AD6D3B">
        <w:rPr>
          <w:i/>
          <w:iCs/>
        </w:rPr>
        <w:t xml:space="preserve">Resguardar el Derecho de los Trabajadores a Retirar los Recursos de la Pensión Complementaria </w:t>
      </w:r>
      <w:r w:rsidR="00C90E42" w:rsidRPr="00AD6D3B">
        <w:t xml:space="preserve">(ley 9906) del </w:t>
      </w:r>
      <w:r w:rsidR="00705E20" w:rsidRPr="00AD6D3B">
        <w:t>5 de octubre de 2020</w:t>
      </w:r>
      <w:r w:rsidR="00AE71A1">
        <w:t xml:space="preserve">: </w:t>
      </w:r>
      <w:r w:rsidR="00324EE0">
        <w:t xml:space="preserve">esta reforma </w:t>
      </w:r>
      <w:r w:rsidR="00FA3DE4" w:rsidRPr="00AD6D3B">
        <w:t>elimin</w:t>
      </w:r>
      <w:r w:rsidR="00324EE0">
        <w:t>a</w:t>
      </w:r>
      <w:r w:rsidR="00FA3DE4" w:rsidRPr="00AD6D3B">
        <w:t xml:space="preserve"> el </w:t>
      </w:r>
      <w:r w:rsidR="00AA210B" w:rsidRPr="00AD6D3B">
        <w:t>traslado del 50% de los aportes del FCL al ROP</w:t>
      </w:r>
      <w:r w:rsidR="002A4CF0" w:rsidRPr="00AD6D3B">
        <w:t xml:space="preserve">, permitiendo que esos recursos pasen directamente a la cuenta individual </w:t>
      </w:r>
      <w:r w:rsidR="00BA7250" w:rsidRPr="00AD6D3B">
        <w:t>del afiliado en su fondo de pensión obligatorio.</w:t>
      </w:r>
      <w:r w:rsidR="002773C6">
        <w:t xml:space="preserve"> </w:t>
      </w:r>
      <w:r w:rsidR="00D54DE0">
        <w:t xml:space="preserve">Por otra parte, en 2021 la rentabilidad del régimen se ha mantenido a niveles </w:t>
      </w:r>
      <w:r w:rsidR="002773C6">
        <w:t xml:space="preserve">que rondan el 10% a 10 años. </w:t>
      </w:r>
    </w:p>
    <w:p w14:paraId="21DAD6C9" w14:textId="77777777" w:rsidR="00036862" w:rsidRPr="00FC11BC" w:rsidRDefault="00036862" w:rsidP="00FC11BC">
      <w:pPr>
        <w:jc w:val="both"/>
      </w:pPr>
    </w:p>
    <w:p w14:paraId="636EB0B6" w14:textId="77777777" w:rsidR="00344B57" w:rsidRDefault="00344B57" w:rsidP="009D13CA">
      <w:pPr>
        <w:pStyle w:val="Ttulo3"/>
        <w:numPr>
          <w:ilvl w:val="2"/>
          <w:numId w:val="18"/>
        </w:numPr>
      </w:pPr>
      <w:bookmarkStart w:id="10" w:name="_Toc96614860"/>
      <w:r>
        <w:t>Participación de mercado</w:t>
      </w:r>
      <w:bookmarkEnd w:id="10"/>
    </w:p>
    <w:p w14:paraId="287E3233" w14:textId="77777777" w:rsidR="00344B57" w:rsidRDefault="00344B57" w:rsidP="00E264F0">
      <w:pPr>
        <w:spacing w:after="100" w:afterAutospacing="1" w:line="360" w:lineRule="auto"/>
        <w:contextualSpacing/>
        <w:jc w:val="both"/>
        <w:rPr>
          <w:rFonts w:cstheme="minorHAnsi"/>
        </w:rPr>
      </w:pPr>
    </w:p>
    <w:p w14:paraId="0C58A094" w14:textId="77777777" w:rsidR="00C106B1" w:rsidRDefault="005A523D" w:rsidP="007E2CD3">
      <w:pPr>
        <w:contextualSpacing/>
        <w:jc w:val="both"/>
        <w:rPr>
          <w:rFonts w:cstheme="minorHAnsi"/>
        </w:rPr>
      </w:pPr>
      <w:r>
        <w:rPr>
          <w:rFonts w:cstheme="minorHAnsi"/>
        </w:rPr>
        <w:t>E</w:t>
      </w:r>
      <w:r w:rsidR="00FF6B6D">
        <w:rPr>
          <w:rFonts w:cstheme="minorHAnsi"/>
        </w:rPr>
        <w:t>l ROP</w:t>
      </w:r>
      <w:r>
        <w:rPr>
          <w:rFonts w:cstheme="minorHAnsi"/>
        </w:rPr>
        <w:t xml:space="preserve"> continúa </w:t>
      </w:r>
      <w:r w:rsidR="007D1279">
        <w:rPr>
          <w:rFonts w:cstheme="minorHAnsi"/>
        </w:rPr>
        <w:t>aumentando su</w:t>
      </w:r>
      <w:r>
        <w:rPr>
          <w:rFonts w:cstheme="minorHAnsi"/>
        </w:rPr>
        <w:t xml:space="preserve"> participación</w:t>
      </w:r>
      <w:r w:rsidR="00A108DB">
        <w:rPr>
          <w:rFonts w:cstheme="minorHAnsi"/>
        </w:rPr>
        <w:t>, cerrando del 2021 con 49% del activo</w:t>
      </w:r>
      <w:r w:rsidR="007D1279">
        <w:rPr>
          <w:rFonts w:cstheme="minorHAnsi"/>
        </w:rPr>
        <w:t xml:space="preserve"> </w:t>
      </w:r>
      <w:r w:rsidR="0058021C">
        <w:rPr>
          <w:rFonts w:cstheme="minorHAnsi"/>
        </w:rPr>
        <w:t xml:space="preserve">total </w:t>
      </w:r>
      <w:r w:rsidR="007D1279">
        <w:rPr>
          <w:rFonts w:cstheme="minorHAnsi"/>
        </w:rPr>
        <w:t>del Sistema Nacional de Pensione</w:t>
      </w:r>
      <w:r w:rsidR="008B206D">
        <w:rPr>
          <w:rFonts w:cstheme="minorHAnsi"/>
        </w:rPr>
        <w:t>s;</w:t>
      </w:r>
      <w:r w:rsidR="00E266F5">
        <w:rPr>
          <w:rFonts w:cstheme="minorHAnsi"/>
        </w:rPr>
        <w:t xml:space="preserve"> </w:t>
      </w:r>
      <w:r w:rsidR="008B206D">
        <w:rPr>
          <w:rFonts w:cstheme="minorHAnsi"/>
        </w:rPr>
        <w:t>l</w:t>
      </w:r>
      <w:r w:rsidR="00FF6B6D">
        <w:rPr>
          <w:rFonts w:cstheme="minorHAnsi"/>
        </w:rPr>
        <w:t xml:space="preserve">os regímenes </w:t>
      </w:r>
      <w:r w:rsidR="007D0A11">
        <w:rPr>
          <w:rFonts w:cstheme="minorHAnsi"/>
        </w:rPr>
        <w:t>básicos sustitutos</w:t>
      </w:r>
      <w:r w:rsidR="00FF6B6D">
        <w:rPr>
          <w:rFonts w:cstheme="minorHAnsi"/>
        </w:rPr>
        <w:t xml:space="preserve"> 2</w:t>
      </w:r>
      <w:r w:rsidR="00732E91">
        <w:rPr>
          <w:rFonts w:cstheme="minorHAnsi"/>
        </w:rPr>
        <w:t>3</w:t>
      </w:r>
      <w:r w:rsidR="00FF6B6D">
        <w:rPr>
          <w:rFonts w:cstheme="minorHAnsi"/>
        </w:rPr>
        <w:t>%</w:t>
      </w:r>
      <w:r w:rsidR="00732E91">
        <w:rPr>
          <w:rFonts w:cstheme="minorHAnsi"/>
        </w:rPr>
        <w:t xml:space="preserve">, lo que representa una disminución de 3 puntos porcentuales con respecto </w:t>
      </w:r>
      <w:r w:rsidR="0019154C">
        <w:rPr>
          <w:rFonts w:cstheme="minorHAnsi"/>
        </w:rPr>
        <w:t>a los activos del SNP</w:t>
      </w:r>
      <w:r w:rsidR="000D2A2A">
        <w:rPr>
          <w:rFonts w:cstheme="minorHAnsi"/>
        </w:rPr>
        <w:t xml:space="preserve"> en 2020</w:t>
      </w:r>
      <w:r w:rsidR="000E55CD">
        <w:rPr>
          <w:rFonts w:cstheme="minorHAnsi"/>
        </w:rPr>
        <w:t xml:space="preserve">; </w:t>
      </w:r>
      <w:r w:rsidR="005A3BBC">
        <w:rPr>
          <w:rFonts w:cstheme="minorHAnsi"/>
        </w:rPr>
        <w:t xml:space="preserve">esta disminución </w:t>
      </w:r>
      <w:r w:rsidR="00C02D50">
        <w:rPr>
          <w:rFonts w:cstheme="minorHAnsi"/>
        </w:rPr>
        <w:t>solo se refleja en la comparación del activo con respecto al valor total de SNP</w:t>
      </w:r>
      <w:r w:rsidR="0003714F">
        <w:rPr>
          <w:rFonts w:cstheme="minorHAnsi"/>
        </w:rPr>
        <w:t>,</w:t>
      </w:r>
      <w:r w:rsidR="005A3BBC">
        <w:rPr>
          <w:rFonts w:cstheme="minorHAnsi"/>
        </w:rPr>
        <w:t xml:space="preserve"> ya que </w:t>
      </w:r>
      <w:r w:rsidR="00C02D50">
        <w:rPr>
          <w:rFonts w:cstheme="minorHAnsi"/>
        </w:rPr>
        <w:t>los regímenes básicos sustitutos</w:t>
      </w:r>
      <w:r w:rsidR="00BA36C0">
        <w:rPr>
          <w:rFonts w:cstheme="minorHAnsi"/>
        </w:rPr>
        <w:t xml:space="preserve"> tuvieron</w:t>
      </w:r>
      <w:r w:rsidR="005A3BBC">
        <w:rPr>
          <w:rFonts w:cstheme="minorHAnsi"/>
        </w:rPr>
        <w:t xml:space="preserve"> un crecimiento </w:t>
      </w:r>
      <w:r w:rsidR="00BA36C0">
        <w:rPr>
          <w:rFonts w:cstheme="minorHAnsi"/>
        </w:rPr>
        <w:t>13,25</w:t>
      </w:r>
      <w:r w:rsidR="008F5CBC">
        <w:rPr>
          <w:rFonts w:cstheme="minorHAnsi"/>
        </w:rPr>
        <w:t xml:space="preserve">% </w:t>
      </w:r>
      <w:r w:rsidR="000D2A2A">
        <w:rPr>
          <w:rFonts w:cstheme="minorHAnsi"/>
        </w:rPr>
        <w:t>de un año a otro</w:t>
      </w:r>
      <w:r w:rsidR="00EB2AF2">
        <w:rPr>
          <w:rFonts w:cstheme="minorHAnsi"/>
        </w:rPr>
        <w:t>.</w:t>
      </w:r>
      <w:r w:rsidR="00572A54">
        <w:rPr>
          <w:rFonts w:cstheme="minorHAnsi"/>
        </w:rPr>
        <w:t xml:space="preserve"> </w:t>
      </w:r>
      <w:r w:rsidR="00EB2AF2">
        <w:rPr>
          <w:rFonts w:cstheme="minorHAnsi"/>
        </w:rPr>
        <w:t>E</w:t>
      </w:r>
      <w:r w:rsidR="00572A54">
        <w:rPr>
          <w:rFonts w:cstheme="minorHAnsi"/>
        </w:rPr>
        <w:t>l</w:t>
      </w:r>
      <w:r w:rsidR="00FF6B6D">
        <w:rPr>
          <w:rFonts w:cstheme="minorHAnsi"/>
        </w:rPr>
        <w:t xml:space="preserve"> </w:t>
      </w:r>
      <w:r w:rsidR="00C9492F">
        <w:rPr>
          <w:rFonts w:cstheme="minorHAnsi"/>
        </w:rPr>
        <w:t>IV</w:t>
      </w:r>
      <w:r w:rsidR="00572A54">
        <w:rPr>
          <w:rFonts w:cstheme="minorHAnsi"/>
        </w:rPr>
        <w:t>M</w:t>
      </w:r>
      <w:r w:rsidR="00C9492F">
        <w:rPr>
          <w:rFonts w:cstheme="minorHAnsi"/>
        </w:rPr>
        <w:t xml:space="preserve"> </w:t>
      </w:r>
      <w:r w:rsidR="00572A54">
        <w:rPr>
          <w:rFonts w:cstheme="minorHAnsi"/>
        </w:rPr>
        <w:t>cierra en 17%</w:t>
      </w:r>
      <w:r w:rsidR="00EB2AF2">
        <w:rPr>
          <w:rFonts w:cstheme="minorHAnsi"/>
        </w:rPr>
        <w:t xml:space="preserve"> </w:t>
      </w:r>
      <w:r w:rsidR="002727F7">
        <w:rPr>
          <w:rFonts w:cstheme="minorHAnsi"/>
        </w:rPr>
        <w:t xml:space="preserve">del activo total del SNP, con un crecimiento </w:t>
      </w:r>
      <w:r w:rsidR="00CC5B08">
        <w:rPr>
          <w:rFonts w:cstheme="minorHAnsi"/>
        </w:rPr>
        <w:t xml:space="preserve">en activos de </w:t>
      </w:r>
      <w:r w:rsidR="002A14CC">
        <w:rPr>
          <w:rFonts w:cstheme="minorHAnsi"/>
        </w:rPr>
        <w:t>2,10</w:t>
      </w:r>
      <w:r w:rsidR="00CC5B08">
        <w:rPr>
          <w:rFonts w:cstheme="minorHAnsi"/>
        </w:rPr>
        <w:t>% desde 2020</w:t>
      </w:r>
      <w:r w:rsidR="003B547D">
        <w:rPr>
          <w:rFonts w:cstheme="minorHAnsi"/>
        </w:rPr>
        <w:t>, producto de</w:t>
      </w:r>
      <w:r w:rsidR="00EB2AF2">
        <w:rPr>
          <w:rFonts w:cstheme="minorHAnsi"/>
        </w:rPr>
        <w:t xml:space="preserve">l aumento de </w:t>
      </w:r>
      <w:r w:rsidR="005955CC">
        <w:rPr>
          <w:rFonts w:cstheme="minorHAnsi"/>
        </w:rPr>
        <w:t>aportaciones, dadas</w:t>
      </w:r>
      <w:r w:rsidR="003B547D">
        <w:rPr>
          <w:rFonts w:cstheme="minorHAnsi"/>
        </w:rPr>
        <w:t xml:space="preserve"> las mejoras en materia de empleo apuntadas en párrafos anteriores. </w:t>
      </w:r>
      <w:r w:rsidR="0045162B">
        <w:rPr>
          <w:rFonts w:cstheme="minorHAnsi"/>
        </w:rPr>
        <w:t>Por su parte,</w:t>
      </w:r>
      <w:r w:rsidR="00780234">
        <w:rPr>
          <w:rFonts w:cstheme="minorHAnsi"/>
        </w:rPr>
        <w:t xml:space="preserve"> </w:t>
      </w:r>
      <w:r w:rsidR="00B87840">
        <w:rPr>
          <w:rFonts w:cstheme="minorHAnsi"/>
        </w:rPr>
        <w:t xml:space="preserve">el FCCMN </w:t>
      </w:r>
      <w:r w:rsidR="0045162B">
        <w:rPr>
          <w:rFonts w:cstheme="minorHAnsi"/>
        </w:rPr>
        <w:t xml:space="preserve">aumentó su activo </w:t>
      </w:r>
      <w:r w:rsidR="001C7DB1">
        <w:rPr>
          <w:rFonts w:cstheme="minorHAnsi"/>
        </w:rPr>
        <w:t>10,76</w:t>
      </w:r>
      <w:r w:rsidR="00F33A35">
        <w:rPr>
          <w:rFonts w:cstheme="minorHAnsi"/>
        </w:rPr>
        <w:t xml:space="preserve">% con respecto </w:t>
      </w:r>
      <w:r w:rsidR="001C7DB1">
        <w:rPr>
          <w:rFonts w:cstheme="minorHAnsi"/>
        </w:rPr>
        <w:t>a 2020</w:t>
      </w:r>
      <w:r w:rsidR="00280C5A">
        <w:rPr>
          <w:rFonts w:cstheme="minorHAnsi"/>
        </w:rPr>
        <w:t xml:space="preserve"> (</w:t>
      </w:r>
      <w:r w:rsidR="00504EB0">
        <w:rPr>
          <w:rFonts w:cstheme="minorHAnsi"/>
        </w:rPr>
        <w:t>363</w:t>
      </w:r>
      <w:r w:rsidR="00280C5A">
        <w:rPr>
          <w:rFonts w:cstheme="minorHAnsi"/>
        </w:rPr>
        <w:t xml:space="preserve"> mil millones de colones)</w:t>
      </w:r>
      <w:r w:rsidR="00A06553">
        <w:rPr>
          <w:rFonts w:cstheme="minorHAnsi"/>
        </w:rPr>
        <w:t>;</w:t>
      </w:r>
      <w:r w:rsidR="00F33A35">
        <w:rPr>
          <w:rFonts w:cstheme="minorHAnsi"/>
        </w:rPr>
        <w:t xml:space="preserve"> el </w:t>
      </w:r>
      <w:r w:rsidR="00B87840">
        <w:rPr>
          <w:rFonts w:cstheme="minorHAnsi"/>
        </w:rPr>
        <w:t>Poder Judicial</w:t>
      </w:r>
      <w:r w:rsidR="00F33A35">
        <w:rPr>
          <w:rFonts w:cstheme="minorHAnsi"/>
        </w:rPr>
        <w:t xml:space="preserve"> lo hizo en </w:t>
      </w:r>
      <w:r w:rsidR="00B6131C">
        <w:rPr>
          <w:rFonts w:cstheme="minorHAnsi"/>
        </w:rPr>
        <w:t>15,08</w:t>
      </w:r>
      <w:r w:rsidR="00F33A35">
        <w:rPr>
          <w:rFonts w:cstheme="minorHAnsi"/>
        </w:rPr>
        <w:t>%</w:t>
      </w:r>
      <w:r w:rsidR="00B931F5">
        <w:rPr>
          <w:rFonts w:cstheme="minorHAnsi"/>
        </w:rPr>
        <w:t xml:space="preserve"> </w:t>
      </w:r>
      <w:r w:rsidR="00B87840">
        <w:rPr>
          <w:rFonts w:cstheme="minorHAnsi"/>
        </w:rPr>
        <w:t>(</w:t>
      </w:r>
      <w:r w:rsidR="00B6131C">
        <w:rPr>
          <w:rFonts w:cstheme="minorHAnsi"/>
        </w:rPr>
        <w:t>96,5 mil</w:t>
      </w:r>
      <w:r w:rsidR="006E40F0">
        <w:rPr>
          <w:rFonts w:cstheme="minorHAnsi"/>
        </w:rPr>
        <w:t xml:space="preserve"> millones de colones</w:t>
      </w:r>
      <w:r w:rsidR="00B87840">
        <w:rPr>
          <w:rFonts w:cstheme="minorHAnsi"/>
        </w:rPr>
        <w:t>)</w:t>
      </w:r>
      <w:r w:rsidR="00F05125">
        <w:rPr>
          <w:rFonts w:cstheme="minorHAnsi"/>
        </w:rPr>
        <w:t>.</w:t>
      </w:r>
    </w:p>
    <w:p w14:paraId="3F14FD45" w14:textId="77777777" w:rsidR="007E2CD3" w:rsidRDefault="007E2CD3" w:rsidP="007E2CD3">
      <w:pPr>
        <w:contextualSpacing/>
        <w:jc w:val="both"/>
        <w:rPr>
          <w:rFonts w:cstheme="minorHAnsi"/>
        </w:rPr>
      </w:pPr>
    </w:p>
    <w:p w14:paraId="2345200D" w14:textId="77777777" w:rsidR="00C106B1" w:rsidRDefault="00C106B1" w:rsidP="00C106B1">
      <w:pPr>
        <w:contextualSpacing/>
        <w:jc w:val="both"/>
        <w:rPr>
          <w:rFonts w:cstheme="minorHAnsi"/>
          <w:lang w:val="es-CR"/>
        </w:rPr>
      </w:pPr>
      <w:r w:rsidRPr="00C106B1">
        <w:rPr>
          <w:rFonts w:cstheme="minorHAnsi"/>
          <w:b/>
          <w:bCs/>
          <w:lang w:val="es-CR"/>
        </w:rPr>
        <w:t>Gráfico 2</w:t>
      </w:r>
      <w:r>
        <w:rPr>
          <w:rFonts w:cstheme="minorHAnsi"/>
          <w:b/>
          <w:bCs/>
          <w:lang w:val="es-CR"/>
        </w:rPr>
        <w:t>.</w:t>
      </w:r>
      <w:r w:rsidRPr="00C106B1">
        <w:rPr>
          <w:rFonts w:cstheme="minorHAnsi"/>
          <w:b/>
          <w:bCs/>
          <w:lang w:val="es-CR"/>
        </w:rPr>
        <w:t xml:space="preserve"> </w:t>
      </w:r>
    </w:p>
    <w:p w14:paraId="2DEB605A" w14:textId="77777777" w:rsidR="00C106B1" w:rsidRDefault="00C106B1" w:rsidP="00C106B1">
      <w:pPr>
        <w:contextualSpacing/>
        <w:jc w:val="both"/>
        <w:rPr>
          <w:rFonts w:cstheme="minorHAnsi"/>
          <w:b/>
          <w:bCs/>
          <w:lang w:val="es-CR"/>
        </w:rPr>
      </w:pPr>
      <w:r w:rsidRPr="00C106B1">
        <w:rPr>
          <w:rFonts w:cstheme="minorHAnsi"/>
          <w:b/>
          <w:bCs/>
          <w:lang w:val="es-CR"/>
        </w:rPr>
        <w:t xml:space="preserve">Principales fondos de primer pilar: </w:t>
      </w:r>
      <w:r w:rsidR="00CB40CF">
        <w:rPr>
          <w:rFonts w:cstheme="minorHAnsi"/>
          <w:b/>
          <w:bCs/>
          <w:lang w:val="es-CR"/>
        </w:rPr>
        <w:t>activo administrado</w:t>
      </w:r>
      <w:r w:rsidR="00D94785">
        <w:rPr>
          <w:rFonts w:cstheme="minorHAnsi"/>
          <w:b/>
          <w:bCs/>
          <w:lang w:val="es-CR"/>
        </w:rPr>
        <w:t xml:space="preserve"> en </w:t>
      </w:r>
      <w:r w:rsidR="00B962F7">
        <w:rPr>
          <w:rFonts w:cstheme="minorHAnsi"/>
          <w:b/>
          <w:bCs/>
          <w:lang w:val="es-CR"/>
        </w:rPr>
        <w:t>b</w:t>
      </w:r>
      <w:r w:rsidR="00D94785">
        <w:rPr>
          <w:rFonts w:cstheme="minorHAnsi"/>
          <w:b/>
          <w:bCs/>
          <w:lang w:val="es-CR"/>
        </w:rPr>
        <w:t>illones de colones, 2020-2021</w:t>
      </w:r>
    </w:p>
    <w:p w14:paraId="39DC1711" w14:textId="77777777" w:rsidR="000357D8" w:rsidRPr="00C106B1" w:rsidRDefault="00751AE9" w:rsidP="00D94785">
      <w:pPr>
        <w:contextualSpacing/>
        <w:jc w:val="center"/>
        <w:rPr>
          <w:rFonts w:cstheme="minorHAnsi"/>
          <w:lang w:val="es-CR"/>
        </w:rPr>
      </w:pPr>
      <w:r>
        <w:rPr>
          <w:noProof/>
        </w:rPr>
        <w:drawing>
          <wp:inline distT="0" distB="0" distL="0" distR="0" wp14:anchorId="304E5E74" wp14:editId="498A5491">
            <wp:extent cx="4343400" cy="2181225"/>
            <wp:effectExtent l="0" t="0" r="0" b="0"/>
            <wp:docPr id="8" name="Gráfico 8">
              <a:extLst xmlns:a="http://schemas.openxmlformats.org/drawingml/2006/main">
                <a:ext uri="{FF2B5EF4-FFF2-40B4-BE49-F238E27FC236}">
                  <a16:creationId xmlns:a16="http://schemas.microsoft.com/office/drawing/2014/main" id="{243D342B-D86B-4C8A-A418-A322F5F63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6DADC2" w14:textId="77777777" w:rsidR="00141152" w:rsidRDefault="00141152" w:rsidP="00141152">
      <w:pPr>
        <w:jc w:val="center"/>
        <w:rPr>
          <w:highlight w:val="yellow"/>
        </w:rPr>
      </w:pPr>
    </w:p>
    <w:p w14:paraId="49AFC95D" w14:textId="77777777" w:rsidR="00C106B1" w:rsidRPr="00C106B1" w:rsidRDefault="00C106B1" w:rsidP="00C106B1">
      <w:pPr>
        <w:jc w:val="both"/>
        <w:rPr>
          <w:b/>
          <w:bCs/>
          <w:sz w:val="18"/>
          <w:szCs w:val="18"/>
          <w:lang w:val="es-CR"/>
        </w:rPr>
      </w:pPr>
      <w:r w:rsidRPr="00C106B1">
        <w:rPr>
          <w:b/>
          <w:bCs/>
          <w:sz w:val="18"/>
          <w:szCs w:val="18"/>
        </w:rPr>
        <w:t>Fuente: Elaboración propia.</w:t>
      </w:r>
    </w:p>
    <w:p w14:paraId="77CCBF1C" w14:textId="77777777" w:rsidR="00C106B1" w:rsidRDefault="00C106B1" w:rsidP="008F0657">
      <w:pPr>
        <w:jc w:val="both"/>
      </w:pPr>
    </w:p>
    <w:p w14:paraId="04CC9C92" w14:textId="77777777" w:rsidR="008F4070" w:rsidRDefault="007E4926" w:rsidP="008F0657">
      <w:pPr>
        <w:jc w:val="both"/>
      </w:pPr>
      <w:r>
        <w:t xml:space="preserve">La participación de mercado de los fondos que componen el Régimen Obligatorio de Pensiones Complementarias no ha tenido variaciones significativas con respecto a los reportes de trimestres anteriores. </w:t>
      </w:r>
      <w:r w:rsidR="002D2A30">
        <w:t>Caso contrario sucede en el Régimen Voluntario de Pensiones Complementarias, en los que la participación por activo administrado</w:t>
      </w:r>
      <w:r w:rsidR="002A4E29">
        <w:t xml:space="preserve"> </w:t>
      </w:r>
      <w:r w:rsidR="00083684">
        <w:t>de los f</w:t>
      </w:r>
      <w:r w:rsidR="002124C9">
        <w:t xml:space="preserve">ondos administrados por BN Vital desplazaron a </w:t>
      </w:r>
      <w:r w:rsidR="00782EB7">
        <w:t>los administrados por Popular Pensiones</w:t>
      </w:r>
      <w:r w:rsidR="007B6DB4">
        <w:t xml:space="preserve"> (cuadro </w:t>
      </w:r>
      <w:r w:rsidR="00912497">
        <w:t>2</w:t>
      </w:r>
      <w:r w:rsidR="007B6DB4">
        <w:t>)</w:t>
      </w:r>
      <w:r w:rsidR="00782EB7">
        <w:t>.</w:t>
      </w:r>
      <w:r w:rsidR="00C25210">
        <w:t xml:space="preserve"> </w:t>
      </w:r>
      <w:r w:rsidR="00B24D89">
        <w:t>Este desplazamiento obedece</w:t>
      </w:r>
      <w:r w:rsidR="0085234C">
        <w:t xml:space="preserve"> </w:t>
      </w:r>
      <w:r w:rsidR="00B24D89">
        <w:t>a</w:t>
      </w:r>
      <w:r w:rsidR="0085234C">
        <w:t>l crecimiento del fondo por</w:t>
      </w:r>
      <w:r w:rsidR="00C25210">
        <w:t xml:space="preserve"> rentabilidad </w:t>
      </w:r>
      <w:r w:rsidR="00404D78">
        <w:t>(</w:t>
      </w:r>
      <w:r w:rsidR="00223D4B">
        <w:t xml:space="preserve">BN Vital logró </w:t>
      </w:r>
      <w:r w:rsidR="00404D78">
        <w:t>rendimientos</w:t>
      </w:r>
      <w:r w:rsidR="00223D4B">
        <w:t xml:space="preserve"> de</w:t>
      </w:r>
      <w:r w:rsidR="00404D78">
        <w:t xml:space="preserve"> alrededor de 13% en dólares</w:t>
      </w:r>
      <w:r w:rsidR="001158A6">
        <w:t xml:space="preserve"> y 18% en colones durante el 2021).</w:t>
      </w:r>
      <w:r w:rsidR="00153460">
        <w:t xml:space="preserve"> </w:t>
      </w:r>
    </w:p>
    <w:p w14:paraId="389F4935" w14:textId="77777777" w:rsidR="000B0D7B" w:rsidRDefault="000B0D7B" w:rsidP="008F0657">
      <w:pPr>
        <w:jc w:val="both"/>
      </w:pPr>
    </w:p>
    <w:p w14:paraId="51C84A9F" w14:textId="77777777" w:rsidR="00AF5BB2" w:rsidRDefault="00AF5BB2">
      <w:pPr>
        <w:jc w:val="both"/>
        <w:rPr>
          <w:rFonts w:eastAsia="Times New Roman" w:cstheme="minorHAnsi"/>
          <w:b/>
          <w:bCs/>
          <w:color w:val="000000"/>
          <w:lang w:val="es-CR" w:eastAsia="es-CR"/>
        </w:rPr>
      </w:pPr>
    </w:p>
    <w:p w14:paraId="0BE3A3D6" w14:textId="77777777" w:rsidR="00AF5BB2" w:rsidRDefault="00AF5BB2">
      <w:pPr>
        <w:jc w:val="both"/>
        <w:rPr>
          <w:rFonts w:eastAsia="Times New Roman" w:cstheme="minorHAnsi"/>
          <w:b/>
          <w:bCs/>
          <w:color w:val="000000"/>
          <w:lang w:val="es-CR" w:eastAsia="es-CR"/>
        </w:rPr>
      </w:pPr>
    </w:p>
    <w:p w14:paraId="3710F5B3" w14:textId="77777777" w:rsidR="00AF5BB2" w:rsidRDefault="00AF5BB2">
      <w:pPr>
        <w:jc w:val="both"/>
        <w:rPr>
          <w:rFonts w:eastAsia="Times New Roman" w:cstheme="minorHAnsi"/>
          <w:b/>
          <w:bCs/>
          <w:color w:val="000000"/>
          <w:lang w:val="es-CR" w:eastAsia="es-CR"/>
        </w:rPr>
      </w:pPr>
    </w:p>
    <w:p w14:paraId="20AEAD45" w14:textId="77777777" w:rsidR="00AF5BB2" w:rsidRDefault="00AF5BB2">
      <w:pPr>
        <w:jc w:val="both"/>
        <w:rPr>
          <w:rFonts w:eastAsia="Times New Roman" w:cstheme="minorHAnsi"/>
          <w:b/>
          <w:bCs/>
          <w:color w:val="000000"/>
          <w:lang w:val="es-CR" w:eastAsia="es-CR"/>
        </w:rPr>
      </w:pPr>
    </w:p>
    <w:p w14:paraId="6839F05A" w14:textId="77777777" w:rsidR="00AF5BB2" w:rsidRDefault="00AF5BB2">
      <w:pPr>
        <w:jc w:val="both"/>
        <w:rPr>
          <w:rFonts w:eastAsia="Times New Roman" w:cstheme="minorHAnsi"/>
          <w:b/>
          <w:bCs/>
          <w:color w:val="000000"/>
          <w:lang w:val="es-CR" w:eastAsia="es-CR"/>
        </w:rPr>
      </w:pPr>
    </w:p>
    <w:p w14:paraId="11C6A70E" w14:textId="77777777" w:rsidR="00AF5BB2" w:rsidRDefault="00AF5BB2">
      <w:pPr>
        <w:jc w:val="both"/>
        <w:rPr>
          <w:rFonts w:eastAsia="Times New Roman" w:cstheme="minorHAnsi"/>
          <w:b/>
          <w:bCs/>
          <w:color w:val="000000"/>
          <w:lang w:val="es-CR" w:eastAsia="es-CR"/>
        </w:rPr>
      </w:pPr>
    </w:p>
    <w:p w14:paraId="0D038F51" w14:textId="77777777" w:rsidR="00AF5BB2" w:rsidRDefault="00AF5BB2">
      <w:pPr>
        <w:jc w:val="both"/>
        <w:rPr>
          <w:rFonts w:eastAsia="Times New Roman" w:cstheme="minorHAnsi"/>
          <w:b/>
          <w:bCs/>
          <w:color w:val="000000"/>
          <w:lang w:val="es-CR" w:eastAsia="es-CR"/>
        </w:rPr>
      </w:pPr>
    </w:p>
    <w:p w14:paraId="5C9DD7FD" w14:textId="77777777" w:rsidR="00AF5BB2" w:rsidRDefault="00AF5BB2">
      <w:pPr>
        <w:jc w:val="both"/>
        <w:rPr>
          <w:rFonts w:eastAsia="Times New Roman" w:cstheme="minorHAnsi"/>
          <w:b/>
          <w:bCs/>
          <w:color w:val="000000"/>
          <w:lang w:val="es-CR" w:eastAsia="es-CR"/>
        </w:rPr>
      </w:pPr>
    </w:p>
    <w:p w14:paraId="2E73DC47" w14:textId="77777777" w:rsidR="00AF5BB2" w:rsidRDefault="00AF5BB2">
      <w:pPr>
        <w:jc w:val="both"/>
        <w:rPr>
          <w:rFonts w:eastAsia="Times New Roman" w:cstheme="minorHAnsi"/>
          <w:b/>
          <w:bCs/>
          <w:color w:val="000000"/>
          <w:lang w:val="es-CR" w:eastAsia="es-CR"/>
        </w:rPr>
      </w:pPr>
    </w:p>
    <w:p w14:paraId="2DD661B1" w14:textId="77777777" w:rsidR="00AF5BB2" w:rsidRDefault="00AF5BB2">
      <w:pPr>
        <w:jc w:val="both"/>
        <w:rPr>
          <w:rFonts w:eastAsia="Times New Roman" w:cstheme="minorHAnsi"/>
          <w:b/>
          <w:bCs/>
          <w:color w:val="000000"/>
          <w:lang w:val="es-CR" w:eastAsia="es-CR"/>
        </w:rPr>
      </w:pPr>
    </w:p>
    <w:p w14:paraId="146E8B3C" w14:textId="77777777" w:rsidR="00CA3162" w:rsidRPr="00CB5F11" w:rsidRDefault="00CA3162">
      <w:pPr>
        <w:jc w:val="both"/>
        <w:rPr>
          <w:rFonts w:eastAsia="Times New Roman" w:cstheme="minorHAnsi"/>
          <w:b/>
          <w:bCs/>
          <w:color w:val="000000"/>
          <w:lang w:val="es-CR" w:eastAsia="es-CR"/>
        </w:rPr>
      </w:pPr>
      <w:r w:rsidRPr="00CB5F11">
        <w:rPr>
          <w:rFonts w:eastAsia="Times New Roman" w:cstheme="minorHAnsi"/>
          <w:b/>
          <w:bCs/>
          <w:color w:val="000000"/>
          <w:lang w:val="es-CR" w:eastAsia="es-CR"/>
        </w:rPr>
        <w:t xml:space="preserve">Cuadro </w:t>
      </w:r>
      <w:r w:rsidR="00912497">
        <w:rPr>
          <w:rFonts w:eastAsia="Times New Roman" w:cstheme="minorHAnsi"/>
          <w:b/>
          <w:bCs/>
          <w:color w:val="000000"/>
          <w:lang w:val="es-CR" w:eastAsia="es-CR"/>
        </w:rPr>
        <w:t>2</w:t>
      </w:r>
      <w:r w:rsidRPr="00CB5F11">
        <w:rPr>
          <w:rFonts w:eastAsia="Times New Roman" w:cstheme="minorHAnsi"/>
          <w:b/>
          <w:bCs/>
          <w:color w:val="000000"/>
          <w:lang w:val="es-CR" w:eastAsia="es-CR"/>
        </w:rPr>
        <w:t>.</w:t>
      </w:r>
    </w:p>
    <w:p w14:paraId="6FE03EA8" w14:textId="77777777" w:rsidR="00903E89" w:rsidRPr="00CA3162" w:rsidRDefault="007B6DB4">
      <w:pPr>
        <w:jc w:val="both"/>
      </w:pPr>
      <w:r>
        <w:rPr>
          <w:rFonts w:eastAsia="Times New Roman" w:cstheme="minorHAnsi"/>
          <w:b/>
          <w:bCs/>
          <w:color w:val="000000"/>
          <w:lang w:val="es-CR" w:eastAsia="es-CR"/>
        </w:rPr>
        <w:t>Fondo</w:t>
      </w:r>
      <w:r w:rsidR="006246AC">
        <w:rPr>
          <w:rFonts w:eastAsia="Times New Roman" w:cstheme="minorHAnsi"/>
          <w:b/>
          <w:bCs/>
          <w:color w:val="000000"/>
          <w:lang w:val="es-CR" w:eastAsia="es-CR"/>
        </w:rPr>
        <w:t>s</w:t>
      </w:r>
      <w:r>
        <w:rPr>
          <w:rFonts w:eastAsia="Times New Roman" w:cstheme="minorHAnsi"/>
          <w:b/>
          <w:bCs/>
          <w:color w:val="000000"/>
          <w:lang w:val="es-CR" w:eastAsia="es-CR"/>
        </w:rPr>
        <w:t xml:space="preserve"> voluntarios</w:t>
      </w:r>
      <w:r w:rsidR="00C220BB">
        <w:rPr>
          <w:rFonts w:eastAsia="Times New Roman" w:cstheme="minorHAnsi"/>
          <w:b/>
          <w:bCs/>
          <w:color w:val="000000"/>
          <w:lang w:val="es-CR" w:eastAsia="es-CR"/>
        </w:rPr>
        <w:t>:</w:t>
      </w:r>
      <w:r w:rsidR="00CA3162" w:rsidRPr="00CB5F11">
        <w:rPr>
          <w:rFonts w:eastAsia="Times New Roman" w:cstheme="minorHAnsi"/>
          <w:b/>
          <w:bCs/>
          <w:color w:val="000000"/>
          <w:lang w:val="es-CR" w:eastAsia="es-CR"/>
        </w:rPr>
        <w:t xml:space="preserve"> </w:t>
      </w:r>
      <w:r w:rsidR="00E45DA4">
        <w:rPr>
          <w:rFonts w:eastAsia="Times New Roman" w:cstheme="minorHAnsi"/>
          <w:b/>
          <w:bCs/>
          <w:color w:val="000000"/>
          <w:lang w:val="es-CR" w:eastAsia="es-CR"/>
        </w:rPr>
        <w:t>activo administrado</w:t>
      </w:r>
      <w:r w:rsidR="00CA3162" w:rsidRPr="00CB5F11">
        <w:rPr>
          <w:rFonts w:eastAsia="Times New Roman" w:cstheme="minorHAnsi"/>
          <w:b/>
          <w:bCs/>
          <w:color w:val="000000"/>
          <w:vertAlign w:val="superscript"/>
          <w:lang w:val="es-CR" w:eastAsia="es-CR"/>
        </w:rPr>
        <w:t>1/</w:t>
      </w:r>
      <w:r w:rsidR="0017521C">
        <w:rPr>
          <w:rFonts w:eastAsia="Times New Roman" w:cstheme="minorHAnsi"/>
          <w:b/>
          <w:bCs/>
          <w:color w:val="000000"/>
          <w:vertAlign w:val="superscript"/>
          <w:lang w:val="es-CR" w:eastAsia="es-CR"/>
        </w:rPr>
        <w:t xml:space="preserve"> </w:t>
      </w:r>
      <w:r w:rsidR="0017521C">
        <w:rPr>
          <w:rFonts w:eastAsia="Times New Roman" w:cstheme="minorHAnsi"/>
          <w:b/>
          <w:bCs/>
          <w:color w:val="000000"/>
          <w:lang w:val="es-CR" w:eastAsia="es-CR"/>
        </w:rPr>
        <w:t xml:space="preserve">por </w:t>
      </w:r>
      <w:r w:rsidR="00933AC7">
        <w:rPr>
          <w:rFonts w:eastAsia="Times New Roman" w:cstheme="minorHAnsi"/>
          <w:b/>
          <w:bCs/>
          <w:color w:val="000000"/>
          <w:lang w:val="es-CR" w:eastAsia="es-CR"/>
        </w:rPr>
        <w:t>entidad</w:t>
      </w:r>
      <w:r w:rsidR="0017521C">
        <w:rPr>
          <w:rFonts w:eastAsia="Times New Roman" w:cstheme="minorHAnsi"/>
          <w:b/>
          <w:bCs/>
          <w:color w:val="000000"/>
          <w:lang w:val="es-CR" w:eastAsia="es-CR"/>
        </w:rPr>
        <w:t xml:space="preserve"> según año</w:t>
      </w:r>
      <w:r w:rsidR="007952F9">
        <w:rPr>
          <w:rFonts w:eastAsia="Times New Roman" w:cstheme="minorHAnsi"/>
          <w:b/>
          <w:bCs/>
          <w:color w:val="000000"/>
          <w:lang w:val="es-CR" w:eastAsia="es-CR"/>
        </w:rPr>
        <w:t xml:space="preserve"> y moneda del fondo</w:t>
      </w:r>
    </w:p>
    <w:tbl>
      <w:tblPr>
        <w:tblW w:w="8661" w:type="dxa"/>
        <w:jc w:val="center"/>
        <w:tblCellMar>
          <w:left w:w="70" w:type="dxa"/>
          <w:right w:w="70" w:type="dxa"/>
        </w:tblCellMar>
        <w:tblLook w:val="04A0" w:firstRow="1" w:lastRow="0" w:firstColumn="1" w:lastColumn="0" w:noHBand="0" w:noVBand="1"/>
      </w:tblPr>
      <w:tblGrid>
        <w:gridCol w:w="1843"/>
        <w:gridCol w:w="1234"/>
        <w:gridCol w:w="1321"/>
        <w:gridCol w:w="1148"/>
        <w:gridCol w:w="35"/>
        <w:gridCol w:w="1112"/>
        <w:gridCol w:w="958"/>
        <w:gridCol w:w="7"/>
        <w:gridCol w:w="1141"/>
        <w:gridCol w:w="7"/>
      </w:tblGrid>
      <w:tr w:rsidR="009E79A8" w:rsidRPr="005623BA" w14:paraId="7C3ADC40" w14:textId="77777777" w:rsidTr="00DC36DA">
        <w:trPr>
          <w:gridAfter w:val="1"/>
          <w:wAfter w:w="7" w:type="dxa"/>
          <w:trHeight w:val="382"/>
          <w:tblHeader/>
          <w:jc w:val="center"/>
        </w:trPr>
        <w:tc>
          <w:tcPr>
            <w:tcW w:w="1843" w:type="dxa"/>
            <w:vMerge w:val="restart"/>
            <w:tcBorders>
              <w:top w:val="single" w:sz="4" w:space="0" w:color="auto"/>
            </w:tcBorders>
            <w:shd w:val="clear" w:color="auto" w:fill="auto"/>
            <w:noWrap/>
            <w:vAlign w:val="center"/>
          </w:tcPr>
          <w:p w14:paraId="08D0A646" w14:textId="77777777" w:rsidR="009E79A8" w:rsidRDefault="009E79A8" w:rsidP="002B0029">
            <w:pP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Entidad</w:t>
            </w:r>
          </w:p>
        </w:tc>
        <w:tc>
          <w:tcPr>
            <w:tcW w:w="3593" w:type="dxa"/>
            <w:gridSpan w:val="4"/>
            <w:tcBorders>
              <w:top w:val="single" w:sz="4" w:space="0" w:color="auto"/>
              <w:bottom w:val="single" w:sz="4" w:space="0" w:color="auto"/>
              <w:right w:val="single" w:sz="18" w:space="0" w:color="FFFFFF" w:themeColor="background1"/>
            </w:tcBorders>
            <w:shd w:val="clear" w:color="auto" w:fill="auto"/>
            <w:noWrap/>
            <w:vAlign w:val="center"/>
          </w:tcPr>
          <w:p w14:paraId="47878CFE" w14:textId="77777777" w:rsidR="009E79A8" w:rsidRDefault="009E79A8" w:rsidP="009B2832">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Colones</w:t>
            </w:r>
          </w:p>
        </w:tc>
        <w:tc>
          <w:tcPr>
            <w:tcW w:w="2070" w:type="dxa"/>
            <w:gridSpan w:val="2"/>
            <w:tcBorders>
              <w:top w:val="single" w:sz="4" w:space="0" w:color="auto"/>
              <w:left w:val="single" w:sz="18" w:space="0" w:color="FFFFFF" w:themeColor="background1"/>
              <w:bottom w:val="single" w:sz="4" w:space="0" w:color="auto"/>
            </w:tcBorders>
            <w:shd w:val="clear" w:color="auto" w:fill="auto"/>
            <w:noWrap/>
            <w:vAlign w:val="center"/>
          </w:tcPr>
          <w:p w14:paraId="3638C3A4" w14:textId="77777777" w:rsidR="009E79A8" w:rsidRPr="00A70B59" w:rsidRDefault="009E79A8" w:rsidP="009B2832">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Dólares</w:t>
            </w:r>
          </w:p>
        </w:tc>
        <w:tc>
          <w:tcPr>
            <w:tcW w:w="1148" w:type="dxa"/>
            <w:gridSpan w:val="2"/>
            <w:tcBorders>
              <w:top w:val="single" w:sz="4" w:space="0" w:color="auto"/>
              <w:left w:val="single" w:sz="18" w:space="0" w:color="FFFFFF" w:themeColor="background1"/>
              <w:bottom w:val="single" w:sz="4" w:space="0" w:color="auto"/>
            </w:tcBorders>
          </w:tcPr>
          <w:p w14:paraId="3AB63C7A" w14:textId="77777777" w:rsidR="009E79A8" w:rsidRDefault="009E79A8" w:rsidP="009B2832">
            <w:pPr>
              <w:jc w:val="center"/>
              <w:rPr>
                <w:rFonts w:eastAsia="Times New Roman" w:cstheme="minorHAnsi"/>
                <w:b/>
                <w:bCs/>
                <w:color w:val="000000"/>
                <w:sz w:val="20"/>
                <w:szCs w:val="20"/>
                <w:lang w:val="es-CR" w:eastAsia="es-CR"/>
              </w:rPr>
            </w:pPr>
          </w:p>
        </w:tc>
      </w:tr>
      <w:tr w:rsidR="00796F85" w:rsidRPr="005623BA" w14:paraId="19FBC52A" w14:textId="77777777" w:rsidTr="00DA5F2B">
        <w:trPr>
          <w:trHeight w:val="300"/>
          <w:tblHeader/>
          <w:jc w:val="center"/>
        </w:trPr>
        <w:tc>
          <w:tcPr>
            <w:tcW w:w="1843" w:type="dxa"/>
            <w:vMerge/>
            <w:tcBorders>
              <w:bottom w:val="single" w:sz="4" w:space="0" w:color="auto"/>
            </w:tcBorders>
            <w:shd w:val="clear" w:color="auto" w:fill="auto"/>
            <w:noWrap/>
            <w:vAlign w:val="center"/>
            <w:hideMark/>
          </w:tcPr>
          <w:p w14:paraId="79206B79" w14:textId="77777777" w:rsidR="00E42CD7" w:rsidRPr="00A70B59" w:rsidRDefault="00E42CD7" w:rsidP="002B0029">
            <w:pPr>
              <w:rPr>
                <w:rFonts w:eastAsia="Times New Roman" w:cstheme="minorHAnsi"/>
                <w:b/>
                <w:bCs/>
                <w:color w:val="000000"/>
                <w:sz w:val="20"/>
                <w:szCs w:val="20"/>
                <w:lang w:val="es-CR" w:eastAsia="es-CR"/>
              </w:rPr>
            </w:pPr>
          </w:p>
        </w:tc>
        <w:tc>
          <w:tcPr>
            <w:tcW w:w="1234" w:type="dxa"/>
            <w:tcBorders>
              <w:top w:val="single" w:sz="4" w:space="0" w:color="auto"/>
              <w:bottom w:val="single" w:sz="4" w:space="0" w:color="auto"/>
            </w:tcBorders>
            <w:shd w:val="clear" w:color="auto" w:fill="auto"/>
            <w:noWrap/>
            <w:vAlign w:val="center"/>
            <w:hideMark/>
          </w:tcPr>
          <w:p w14:paraId="6BC7F445" w14:textId="77777777" w:rsidR="00E42CD7" w:rsidRPr="00A70B59" w:rsidRDefault="00E42CD7" w:rsidP="00DA5F2B">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2020</w:t>
            </w:r>
          </w:p>
        </w:tc>
        <w:tc>
          <w:tcPr>
            <w:tcW w:w="1176" w:type="dxa"/>
            <w:tcBorders>
              <w:top w:val="single" w:sz="4" w:space="0" w:color="auto"/>
              <w:bottom w:val="single" w:sz="4" w:space="0" w:color="auto"/>
            </w:tcBorders>
            <w:shd w:val="clear" w:color="auto" w:fill="auto"/>
            <w:noWrap/>
            <w:vAlign w:val="center"/>
            <w:hideMark/>
          </w:tcPr>
          <w:p w14:paraId="70F2E9E2" w14:textId="77777777" w:rsidR="00E42CD7" w:rsidRPr="00A70B59" w:rsidRDefault="00E42CD7" w:rsidP="003C28E9">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2021</w:t>
            </w:r>
          </w:p>
        </w:tc>
        <w:tc>
          <w:tcPr>
            <w:tcW w:w="1148" w:type="dxa"/>
            <w:tcBorders>
              <w:top w:val="single" w:sz="4" w:space="0" w:color="auto"/>
              <w:bottom w:val="single" w:sz="4" w:space="0" w:color="auto"/>
              <w:right w:val="single" w:sz="18" w:space="0" w:color="FFFFFF" w:themeColor="background1"/>
            </w:tcBorders>
          </w:tcPr>
          <w:p w14:paraId="320375D1" w14:textId="77777777" w:rsidR="00E42CD7" w:rsidRDefault="00E42CD7" w:rsidP="00DC36DA">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Crecimiento</w:t>
            </w:r>
          </w:p>
        </w:tc>
        <w:tc>
          <w:tcPr>
            <w:tcW w:w="1147" w:type="dxa"/>
            <w:gridSpan w:val="2"/>
            <w:tcBorders>
              <w:top w:val="single" w:sz="4" w:space="0" w:color="auto"/>
              <w:left w:val="single" w:sz="18" w:space="0" w:color="FFFFFF" w:themeColor="background1"/>
              <w:bottom w:val="single" w:sz="4" w:space="0" w:color="auto"/>
            </w:tcBorders>
            <w:shd w:val="clear" w:color="auto" w:fill="auto"/>
            <w:noWrap/>
            <w:vAlign w:val="center"/>
            <w:hideMark/>
          </w:tcPr>
          <w:p w14:paraId="49CBB05C" w14:textId="77777777" w:rsidR="00E42CD7" w:rsidRPr="00A70B59" w:rsidRDefault="00E42CD7" w:rsidP="00DC36DA">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2020</w:t>
            </w:r>
          </w:p>
        </w:tc>
        <w:tc>
          <w:tcPr>
            <w:tcW w:w="965" w:type="dxa"/>
            <w:gridSpan w:val="2"/>
            <w:tcBorders>
              <w:top w:val="single" w:sz="4" w:space="0" w:color="auto"/>
              <w:bottom w:val="single" w:sz="4" w:space="0" w:color="auto"/>
            </w:tcBorders>
            <w:shd w:val="clear" w:color="auto" w:fill="auto"/>
            <w:noWrap/>
            <w:vAlign w:val="center"/>
            <w:hideMark/>
          </w:tcPr>
          <w:p w14:paraId="2639A6AB" w14:textId="77777777" w:rsidR="00E42CD7" w:rsidRPr="00A70B59" w:rsidRDefault="00E42CD7" w:rsidP="00DC36DA">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2021</w:t>
            </w:r>
          </w:p>
        </w:tc>
        <w:tc>
          <w:tcPr>
            <w:tcW w:w="1148" w:type="dxa"/>
            <w:gridSpan w:val="2"/>
            <w:tcBorders>
              <w:top w:val="single" w:sz="4" w:space="0" w:color="auto"/>
              <w:bottom w:val="single" w:sz="4" w:space="0" w:color="auto"/>
            </w:tcBorders>
          </w:tcPr>
          <w:p w14:paraId="0CBBC185" w14:textId="77777777" w:rsidR="00E42CD7" w:rsidRDefault="00E42CD7" w:rsidP="00DC36DA">
            <w:pPr>
              <w:jc w:val="center"/>
              <w:rPr>
                <w:rFonts w:eastAsia="Times New Roman" w:cstheme="minorHAnsi"/>
                <w:b/>
                <w:bCs/>
                <w:color w:val="000000"/>
                <w:sz w:val="20"/>
                <w:szCs w:val="20"/>
                <w:lang w:val="es-CR" w:eastAsia="es-CR"/>
              </w:rPr>
            </w:pPr>
            <w:r>
              <w:rPr>
                <w:rFonts w:eastAsia="Times New Roman" w:cstheme="minorHAnsi"/>
                <w:b/>
                <w:bCs/>
                <w:color w:val="000000"/>
                <w:sz w:val="20"/>
                <w:szCs w:val="20"/>
                <w:lang w:val="es-CR" w:eastAsia="es-CR"/>
              </w:rPr>
              <w:t>Crecimiento</w:t>
            </w:r>
          </w:p>
        </w:tc>
      </w:tr>
      <w:tr w:rsidR="00DC36DA" w:rsidRPr="005623BA" w14:paraId="3F90DCB9" w14:textId="77777777" w:rsidTr="00DC36DA">
        <w:trPr>
          <w:trHeight w:val="334"/>
          <w:jc w:val="center"/>
        </w:trPr>
        <w:tc>
          <w:tcPr>
            <w:tcW w:w="1843" w:type="dxa"/>
            <w:tcBorders>
              <w:top w:val="single" w:sz="4" w:space="0" w:color="auto"/>
            </w:tcBorders>
            <w:shd w:val="clear" w:color="auto" w:fill="auto"/>
            <w:noWrap/>
            <w:vAlign w:val="bottom"/>
            <w:hideMark/>
          </w:tcPr>
          <w:p w14:paraId="6AC7986C" w14:textId="77777777" w:rsidR="00F35C59" w:rsidRPr="005623BA" w:rsidRDefault="00F35C59" w:rsidP="00F35C59">
            <w:pPr>
              <w:rPr>
                <w:rFonts w:eastAsia="Times New Roman" w:cstheme="minorHAnsi"/>
                <w:color w:val="000000"/>
                <w:sz w:val="20"/>
                <w:szCs w:val="20"/>
                <w:lang w:val="es-CR" w:eastAsia="es-CR"/>
              </w:rPr>
            </w:pPr>
            <w:r>
              <w:rPr>
                <w:rFonts w:ascii="Calibri" w:hAnsi="Calibri" w:cs="Calibri"/>
                <w:color w:val="000000"/>
              </w:rPr>
              <w:t>BCR-PENSION</w:t>
            </w:r>
          </w:p>
        </w:tc>
        <w:tc>
          <w:tcPr>
            <w:tcW w:w="1234" w:type="dxa"/>
            <w:tcBorders>
              <w:top w:val="single" w:sz="4" w:space="0" w:color="auto"/>
            </w:tcBorders>
            <w:shd w:val="clear" w:color="auto" w:fill="auto"/>
            <w:noWrap/>
            <w:hideMark/>
          </w:tcPr>
          <w:p w14:paraId="062F61F9" w14:textId="77777777" w:rsidR="00F35C59" w:rsidRPr="00DA5F2B" w:rsidRDefault="00F35C59" w:rsidP="00DC36DA">
            <w:pPr>
              <w:ind w:right="181"/>
              <w:jc w:val="center"/>
              <w:rPr>
                <w:rFonts w:ascii="Calibri" w:hAnsi="Calibri" w:cs="Calibri"/>
                <w:color w:val="000000"/>
                <w:sz w:val="20"/>
                <w:szCs w:val="20"/>
              </w:rPr>
            </w:pPr>
            <w:r w:rsidRPr="00DA5F2B">
              <w:rPr>
                <w:rFonts w:ascii="Calibri" w:hAnsi="Calibri" w:cs="Calibri"/>
                <w:color w:val="000000"/>
                <w:sz w:val="20"/>
                <w:szCs w:val="20"/>
              </w:rPr>
              <w:t>22304</w:t>
            </w:r>
            <w:r w:rsidR="00DC0C91">
              <w:rPr>
                <w:rFonts w:ascii="Calibri" w:hAnsi="Calibri" w:cs="Calibri"/>
                <w:color w:val="000000"/>
                <w:sz w:val="20"/>
                <w:szCs w:val="20"/>
              </w:rPr>
              <w:t>,49</w:t>
            </w:r>
          </w:p>
        </w:tc>
        <w:tc>
          <w:tcPr>
            <w:tcW w:w="1176" w:type="dxa"/>
            <w:tcBorders>
              <w:top w:val="single" w:sz="4" w:space="0" w:color="auto"/>
              <w:right w:val="single" w:sz="18" w:space="0" w:color="FFFFFF" w:themeColor="background1"/>
            </w:tcBorders>
            <w:shd w:val="clear" w:color="auto" w:fill="auto"/>
            <w:noWrap/>
            <w:hideMark/>
          </w:tcPr>
          <w:p w14:paraId="62CE2EF3" w14:textId="77777777" w:rsidR="00F35C59" w:rsidRPr="00DA5F2B" w:rsidRDefault="00F35C59" w:rsidP="00DC36DA">
            <w:pPr>
              <w:tabs>
                <w:tab w:val="left" w:pos="1311"/>
              </w:tabs>
              <w:ind w:right="320"/>
              <w:jc w:val="center"/>
              <w:rPr>
                <w:rFonts w:ascii="Calibri" w:hAnsi="Calibri" w:cs="Calibri"/>
                <w:color w:val="000000"/>
                <w:sz w:val="20"/>
                <w:szCs w:val="20"/>
              </w:rPr>
            </w:pPr>
            <w:r w:rsidRPr="00DA5F2B">
              <w:rPr>
                <w:rFonts w:ascii="Calibri" w:hAnsi="Calibri" w:cs="Calibri"/>
                <w:color w:val="000000"/>
                <w:sz w:val="20"/>
                <w:szCs w:val="20"/>
              </w:rPr>
              <w:t>30838</w:t>
            </w:r>
            <w:r w:rsidR="003C28E9">
              <w:rPr>
                <w:rFonts w:ascii="Calibri" w:hAnsi="Calibri" w:cs="Calibri"/>
                <w:color w:val="000000"/>
                <w:sz w:val="20"/>
                <w:szCs w:val="20"/>
              </w:rPr>
              <w:t>,00</w:t>
            </w:r>
          </w:p>
        </w:tc>
        <w:tc>
          <w:tcPr>
            <w:tcW w:w="1148" w:type="dxa"/>
            <w:tcBorders>
              <w:top w:val="single" w:sz="4" w:space="0" w:color="auto"/>
              <w:right w:val="single" w:sz="18" w:space="0" w:color="FFFFFF" w:themeColor="background1"/>
            </w:tcBorders>
          </w:tcPr>
          <w:p w14:paraId="1AEC0189" w14:textId="77777777" w:rsidR="00F35C59" w:rsidRPr="00DE5862"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38,26%</w:t>
            </w:r>
          </w:p>
        </w:tc>
        <w:tc>
          <w:tcPr>
            <w:tcW w:w="1147" w:type="dxa"/>
            <w:gridSpan w:val="2"/>
            <w:tcBorders>
              <w:top w:val="single" w:sz="4" w:space="0" w:color="auto"/>
              <w:left w:val="single" w:sz="18" w:space="0" w:color="FFFFFF" w:themeColor="background1"/>
            </w:tcBorders>
            <w:shd w:val="clear" w:color="auto" w:fill="auto"/>
            <w:noWrap/>
            <w:hideMark/>
          </w:tcPr>
          <w:p w14:paraId="6B03B5C4"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9,72</w:t>
            </w:r>
          </w:p>
        </w:tc>
        <w:tc>
          <w:tcPr>
            <w:tcW w:w="965" w:type="dxa"/>
            <w:gridSpan w:val="2"/>
            <w:tcBorders>
              <w:top w:val="single" w:sz="4" w:space="0" w:color="auto"/>
            </w:tcBorders>
            <w:shd w:val="clear" w:color="auto" w:fill="auto"/>
            <w:noWrap/>
            <w:hideMark/>
          </w:tcPr>
          <w:p w14:paraId="0861079C"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11,56</w:t>
            </w:r>
          </w:p>
        </w:tc>
        <w:tc>
          <w:tcPr>
            <w:tcW w:w="1148" w:type="dxa"/>
            <w:gridSpan w:val="2"/>
            <w:tcBorders>
              <w:top w:val="single" w:sz="4" w:space="0" w:color="auto"/>
            </w:tcBorders>
          </w:tcPr>
          <w:p w14:paraId="0D6D9243" w14:textId="77777777" w:rsidR="00F35C59" w:rsidRPr="007B6FB0"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18,93%</w:t>
            </w:r>
          </w:p>
        </w:tc>
      </w:tr>
      <w:tr w:rsidR="00DC36DA" w:rsidRPr="005623BA" w14:paraId="47C5E3C3" w14:textId="77777777" w:rsidTr="00DC36DA">
        <w:trPr>
          <w:trHeight w:val="300"/>
          <w:jc w:val="center"/>
        </w:trPr>
        <w:tc>
          <w:tcPr>
            <w:tcW w:w="1843" w:type="dxa"/>
            <w:shd w:val="clear" w:color="auto" w:fill="auto"/>
            <w:noWrap/>
            <w:vAlign w:val="bottom"/>
            <w:hideMark/>
          </w:tcPr>
          <w:p w14:paraId="33706A84" w14:textId="77777777" w:rsidR="00F35C59" w:rsidRPr="005623BA" w:rsidRDefault="00F35C59" w:rsidP="00F35C59">
            <w:pPr>
              <w:rPr>
                <w:rFonts w:eastAsia="Times New Roman" w:cstheme="minorHAnsi"/>
                <w:color w:val="000000"/>
                <w:sz w:val="20"/>
                <w:szCs w:val="20"/>
                <w:lang w:val="es-CR" w:eastAsia="es-CR"/>
              </w:rPr>
            </w:pPr>
            <w:r>
              <w:rPr>
                <w:rFonts w:ascii="Calibri" w:hAnsi="Calibri" w:cs="Calibri"/>
                <w:color w:val="000000"/>
              </w:rPr>
              <w:t>BN-VITAL</w:t>
            </w:r>
          </w:p>
        </w:tc>
        <w:tc>
          <w:tcPr>
            <w:tcW w:w="1234" w:type="dxa"/>
            <w:shd w:val="clear" w:color="auto" w:fill="auto"/>
            <w:noWrap/>
            <w:hideMark/>
          </w:tcPr>
          <w:p w14:paraId="7AB32477" w14:textId="77777777" w:rsidR="00F35C59" w:rsidRPr="00DA5F2B" w:rsidRDefault="00F35C59" w:rsidP="00DC36DA">
            <w:pPr>
              <w:ind w:right="181"/>
              <w:jc w:val="center"/>
              <w:rPr>
                <w:rFonts w:ascii="Calibri" w:hAnsi="Calibri" w:cs="Calibri"/>
                <w:color w:val="000000"/>
                <w:sz w:val="20"/>
                <w:szCs w:val="20"/>
              </w:rPr>
            </w:pPr>
            <w:r w:rsidRPr="00DA5F2B">
              <w:rPr>
                <w:rFonts w:ascii="Calibri" w:hAnsi="Calibri" w:cs="Calibri"/>
                <w:color w:val="000000"/>
                <w:sz w:val="20"/>
                <w:szCs w:val="20"/>
              </w:rPr>
              <w:t>1307</w:t>
            </w:r>
            <w:r w:rsidR="00DC36DA">
              <w:rPr>
                <w:rFonts w:ascii="Calibri" w:hAnsi="Calibri" w:cs="Calibri"/>
                <w:color w:val="000000"/>
                <w:sz w:val="20"/>
                <w:szCs w:val="20"/>
              </w:rPr>
              <w:t>69</w:t>
            </w:r>
            <w:r w:rsidR="003C28E9">
              <w:rPr>
                <w:rFonts w:ascii="Calibri" w:hAnsi="Calibri" w:cs="Calibri"/>
                <w:color w:val="000000"/>
                <w:sz w:val="20"/>
                <w:szCs w:val="20"/>
              </w:rPr>
              <w:t>,81</w:t>
            </w:r>
          </w:p>
        </w:tc>
        <w:tc>
          <w:tcPr>
            <w:tcW w:w="1176" w:type="dxa"/>
            <w:tcBorders>
              <w:right w:val="single" w:sz="18" w:space="0" w:color="FFFFFF" w:themeColor="background1"/>
            </w:tcBorders>
            <w:shd w:val="clear" w:color="auto" w:fill="auto"/>
            <w:noWrap/>
            <w:hideMark/>
          </w:tcPr>
          <w:p w14:paraId="458AD341" w14:textId="77777777" w:rsidR="00F35C59" w:rsidRPr="00DA5F2B" w:rsidRDefault="00F35C59" w:rsidP="00DC36DA">
            <w:pPr>
              <w:ind w:right="320"/>
              <w:jc w:val="center"/>
              <w:rPr>
                <w:rFonts w:ascii="Calibri" w:hAnsi="Calibri" w:cs="Calibri"/>
                <w:color w:val="000000"/>
                <w:sz w:val="20"/>
                <w:szCs w:val="20"/>
              </w:rPr>
            </w:pPr>
            <w:r w:rsidRPr="00DA5F2B">
              <w:rPr>
                <w:rFonts w:ascii="Calibri" w:hAnsi="Calibri" w:cs="Calibri"/>
                <w:color w:val="000000"/>
                <w:sz w:val="20"/>
                <w:szCs w:val="20"/>
              </w:rPr>
              <w:t>194562</w:t>
            </w:r>
            <w:r w:rsidR="003C28E9">
              <w:rPr>
                <w:rFonts w:ascii="Calibri" w:hAnsi="Calibri" w:cs="Calibri"/>
                <w:color w:val="000000"/>
                <w:sz w:val="20"/>
                <w:szCs w:val="20"/>
              </w:rPr>
              <w:t>,</w:t>
            </w:r>
            <w:r w:rsidR="00796F85">
              <w:rPr>
                <w:rFonts w:ascii="Calibri" w:hAnsi="Calibri" w:cs="Calibri"/>
                <w:color w:val="000000"/>
                <w:sz w:val="20"/>
                <w:szCs w:val="20"/>
              </w:rPr>
              <w:t>96</w:t>
            </w:r>
          </w:p>
        </w:tc>
        <w:tc>
          <w:tcPr>
            <w:tcW w:w="1148" w:type="dxa"/>
            <w:tcBorders>
              <w:right w:val="single" w:sz="18" w:space="0" w:color="FFFFFF" w:themeColor="background1"/>
            </w:tcBorders>
          </w:tcPr>
          <w:p w14:paraId="79D73F59" w14:textId="77777777" w:rsidR="00F35C59" w:rsidRPr="00DE5862"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48,78%</w:t>
            </w:r>
          </w:p>
        </w:tc>
        <w:tc>
          <w:tcPr>
            <w:tcW w:w="1147" w:type="dxa"/>
            <w:gridSpan w:val="2"/>
            <w:tcBorders>
              <w:left w:val="single" w:sz="18" w:space="0" w:color="FFFFFF" w:themeColor="background1"/>
            </w:tcBorders>
            <w:shd w:val="clear" w:color="auto" w:fill="auto"/>
            <w:noWrap/>
            <w:hideMark/>
          </w:tcPr>
          <w:p w14:paraId="51A63843"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45,49</w:t>
            </w:r>
          </w:p>
        </w:tc>
        <w:tc>
          <w:tcPr>
            <w:tcW w:w="965" w:type="dxa"/>
            <w:gridSpan w:val="2"/>
            <w:shd w:val="clear" w:color="auto" w:fill="auto"/>
            <w:noWrap/>
            <w:hideMark/>
          </w:tcPr>
          <w:p w14:paraId="70C930CA"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74,87</w:t>
            </w:r>
          </w:p>
        </w:tc>
        <w:tc>
          <w:tcPr>
            <w:tcW w:w="1148" w:type="dxa"/>
            <w:gridSpan w:val="2"/>
          </w:tcPr>
          <w:p w14:paraId="7161960A" w14:textId="77777777" w:rsidR="00F35C59" w:rsidRPr="007B6FB0"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64,59%</w:t>
            </w:r>
          </w:p>
        </w:tc>
      </w:tr>
      <w:tr w:rsidR="00DC36DA" w:rsidRPr="005623BA" w14:paraId="75E9435C" w14:textId="77777777" w:rsidTr="00DC36DA">
        <w:trPr>
          <w:trHeight w:val="300"/>
          <w:jc w:val="center"/>
        </w:trPr>
        <w:tc>
          <w:tcPr>
            <w:tcW w:w="1843" w:type="dxa"/>
            <w:shd w:val="clear" w:color="auto" w:fill="auto"/>
            <w:noWrap/>
            <w:vAlign w:val="bottom"/>
            <w:hideMark/>
          </w:tcPr>
          <w:p w14:paraId="0DBF797F" w14:textId="77777777" w:rsidR="00F35C59" w:rsidRPr="005623BA" w:rsidRDefault="00F35C59" w:rsidP="00F35C59">
            <w:pPr>
              <w:rPr>
                <w:rFonts w:eastAsia="Times New Roman" w:cstheme="minorHAnsi"/>
                <w:color w:val="000000"/>
                <w:sz w:val="20"/>
                <w:szCs w:val="20"/>
                <w:lang w:val="es-CR" w:eastAsia="es-CR"/>
              </w:rPr>
            </w:pPr>
            <w:r>
              <w:rPr>
                <w:rFonts w:ascii="Calibri" w:hAnsi="Calibri" w:cs="Calibri"/>
                <w:color w:val="000000"/>
              </w:rPr>
              <w:t>POPULAR</w:t>
            </w:r>
          </w:p>
        </w:tc>
        <w:tc>
          <w:tcPr>
            <w:tcW w:w="1234" w:type="dxa"/>
            <w:shd w:val="clear" w:color="auto" w:fill="auto"/>
            <w:noWrap/>
            <w:hideMark/>
          </w:tcPr>
          <w:p w14:paraId="05A4C5D2" w14:textId="77777777" w:rsidR="00F35C59" w:rsidRPr="00DA5F2B" w:rsidRDefault="00F35C59" w:rsidP="00DC36DA">
            <w:pPr>
              <w:ind w:right="181"/>
              <w:jc w:val="center"/>
              <w:rPr>
                <w:rFonts w:ascii="Calibri" w:hAnsi="Calibri" w:cs="Calibri"/>
                <w:color w:val="000000"/>
                <w:sz w:val="20"/>
                <w:szCs w:val="20"/>
              </w:rPr>
            </w:pPr>
            <w:r w:rsidRPr="00DA5F2B">
              <w:rPr>
                <w:rFonts w:ascii="Calibri" w:hAnsi="Calibri" w:cs="Calibri"/>
                <w:color w:val="000000"/>
                <w:sz w:val="20"/>
                <w:szCs w:val="20"/>
              </w:rPr>
              <w:t>162043</w:t>
            </w:r>
            <w:r w:rsidR="003C28E9">
              <w:rPr>
                <w:rFonts w:ascii="Calibri" w:hAnsi="Calibri" w:cs="Calibri"/>
                <w:color w:val="000000"/>
                <w:sz w:val="20"/>
                <w:szCs w:val="20"/>
              </w:rPr>
              <w:t>,17</w:t>
            </w:r>
          </w:p>
        </w:tc>
        <w:tc>
          <w:tcPr>
            <w:tcW w:w="1176" w:type="dxa"/>
            <w:tcBorders>
              <w:right w:val="single" w:sz="4" w:space="0" w:color="FFFFFF" w:themeColor="background1"/>
            </w:tcBorders>
            <w:shd w:val="clear" w:color="auto" w:fill="auto"/>
            <w:noWrap/>
            <w:hideMark/>
          </w:tcPr>
          <w:p w14:paraId="1D45C41C" w14:textId="77777777" w:rsidR="00F35C59" w:rsidRPr="00DA5F2B" w:rsidRDefault="00F35C59" w:rsidP="00DC36DA">
            <w:pPr>
              <w:ind w:right="320"/>
              <w:jc w:val="center"/>
              <w:rPr>
                <w:rFonts w:ascii="Calibri" w:hAnsi="Calibri" w:cs="Calibri"/>
                <w:color w:val="000000"/>
                <w:sz w:val="20"/>
                <w:szCs w:val="20"/>
              </w:rPr>
            </w:pPr>
            <w:r w:rsidRPr="00DA5F2B">
              <w:rPr>
                <w:rFonts w:ascii="Calibri" w:hAnsi="Calibri" w:cs="Calibri"/>
                <w:color w:val="000000"/>
                <w:sz w:val="20"/>
                <w:szCs w:val="20"/>
              </w:rPr>
              <w:t>183510</w:t>
            </w:r>
            <w:r w:rsidR="00796F85">
              <w:rPr>
                <w:rFonts w:ascii="Calibri" w:hAnsi="Calibri" w:cs="Calibri"/>
                <w:color w:val="000000"/>
                <w:sz w:val="20"/>
                <w:szCs w:val="20"/>
              </w:rPr>
              <w:t>,25</w:t>
            </w:r>
          </w:p>
        </w:tc>
        <w:tc>
          <w:tcPr>
            <w:tcW w:w="1148" w:type="dxa"/>
            <w:tcBorders>
              <w:right w:val="single" w:sz="4" w:space="0" w:color="FFFFFF" w:themeColor="background1"/>
            </w:tcBorders>
          </w:tcPr>
          <w:p w14:paraId="18813034" w14:textId="77777777" w:rsidR="00F35C59" w:rsidRPr="00DE5862"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13,25%</w:t>
            </w:r>
          </w:p>
        </w:tc>
        <w:tc>
          <w:tcPr>
            <w:tcW w:w="1147" w:type="dxa"/>
            <w:gridSpan w:val="2"/>
            <w:tcBorders>
              <w:left w:val="single" w:sz="4" w:space="0" w:color="FFFFFF" w:themeColor="background1"/>
            </w:tcBorders>
            <w:shd w:val="clear" w:color="auto" w:fill="auto"/>
            <w:noWrap/>
            <w:hideMark/>
          </w:tcPr>
          <w:p w14:paraId="2F23000D"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52,52</w:t>
            </w:r>
          </w:p>
        </w:tc>
        <w:tc>
          <w:tcPr>
            <w:tcW w:w="965" w:type="dxa"/>
            <w:gridSpan w:val="2"/>
            <w:shd w:val="clear" w:color="auto" w:fill="auto"/>
            <w:noWrap/>
            <w:hideMark/>
          </w:tcPr>
          <w:p w14:paraId="6CC5BF4C"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58,19</w:t>
            </w:r>
          </w:p>
        </w:tc>
        <w:tc>
          <w:tcPr>
            <w:tcW w:w="1148" w:type="dxa"/>
            <w:gridSpan w:val="2"/>
          </w:tcPr>
          <w:p w14:paraId="7948B8DF" w14:textId="77777777" w:rsidR="00F35C59" w:rsidRPr="007B6FB0"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10,80%</w:t>
            </w:r>
          </w:p>
        </w:tc>
      </w:tr>
      <w:tr w:rsidR="00DC36DA" w:rsidRPr="005623BA" w14:paraId="6471AAAF" w14:textId="77777777" w:rsidTr="00DC36DA">
        <w:trPr>
          <w:trHeight w:val="300"/>
          <w:jc w:val="center"/>
        </w:trPr>
        <w:tc>
          <w:tcPr>
            <w:tcW w:w="1843" w:type="dxa"/>
            <w:shd w:val="clear" w:color="auto" w:fill="auto"/>
            <w:noWrap/>
            <w:vAlign w:val="bottom"/>
            <w:hideMark/>
          </w:tcPr>
          <w:p w14:paraId="10CA2679" w14:textId="77777777" w:rsidR="00F35C59" w:rsidRPr="005623BA" w:rsidRDefault="00F35C59" w:rsidP="00F35C59">
            <w:pPr>
              <w:rPr>
                <w:rFonts w:eastAsia="Times New Roman" w:cstheme="minorHAnsi"/>
                <w:color w:val="000000"/>
                <w:sz w:val="20"/>
                <w:szCs w:val="20"/>
                <w:lang w:val="es-CR" w:eastAsia="es-CR"/>
              </w:rPr>
            </w:pPr>
            <w:r>
              <w:rPr>
                <w:rFonts w:ascii="Calibri" w:hAnsi="Calibri" w:cs="Calibri"/>
                <w:color w:val="000000"/>
              </w:rPr>
              <w:t>SJ-PENSIONES</w:t>
            </w:r>
          </w:p>
        </w:tc>
        <w:tc>
          <w:tcPr>
            <w:tcW w:w="1234" w:type="dxa"/>
            <w:shd w:val="clear" w:color="auto" w:fill="auto"/>
            <w:noWrap/>
            <w:hideMark/>
          </w:tcPr>
          <w:p w14:paraId="3632A1C9" w14:textId="77777777" w:rsidR="00F35C59" w:rsidRPr="00DA5F2B" w:rsidRDefault="00F35C59" w:rsidP="00DC36DA">
            <w:pPr>
              <w:ind w:right="181"/>
              <w:jc w:val="center"/>
              <w:rPr>
                <w:rFonts w:ascii="Calibri" w:hAnsi="Calibri" w:cs="Calibri"/>
                <w:color w:val="000000"/>
                <w:sz w:val="20"/>
                <w:szCs w:val="20"/>
              </w:rPr>
            </w:pPr>
            <w:r w:rsidRPr="00DA5F2B">
              <w:rPr>
                <w:rFonts w:ascii="Calibri" w:hAnsi="Calibri" w:cs="Calibri"/>
                <w:color w:val="000000"/>
                <w:sz w:val="20"/>
                <w:szCs w:val="20"/>
              </w:rPr>
              <w:t>3322</w:t>
            </w:r>
            <w:r w:rsidR="00DC36DA">
              <w:rPr>
                <w:rFonts w:ascii="Calibri" w:hAnsi="Calibri" w:cs="Calibri"/>
                <w:color w:val="000000"/>
                <w:sz w:val="20"/>
                <w:szCs w:val="20"/>
              </w:rPr>
              <w:t>5</w:t>
            </w:r>
            <w:r w:rsidR="003C28E9">
              <w:rPr>
                <w:rFonts w:ascii="Calibri" w:hAnsi="Calibri" w:cs="Calibri"/>
                <w:color w:val="000000"/>
                <w:sz w:val="20"/>
                <w:szCs w:val="20"/>
              </w:rPr>
              <w:t>,63</w:t>
            </w:r>
          </w:p>
        </w:tc>
        <w:tc>
          <w:tcPr>
            <w:tcW w:w="1176" w:type="dxa"/>
            <w:tcBorders>
              <w:right w:val="single" w:sz="4" w:space="0" w:color="FFFFFF" w:themeColor="background1"/>
            </w:tcBorders>
            <w:shd w:val="clear" w:color="auto" w:fill="auto"/>
            <w:noWrap/>
            <w:hideMark/>
          </w:tcPr>
          <w:p w14:paraId="4F756DD7" w14:textId="77777777" w:rsidR="00F35C59" w:rsidRPr="00DA5F2B" w:rsidRDefault="00F35C59" w:rsidP="00DC36DA">
            <w:pPr>
              <w:ind w:right="320"/>
              <w:jc w:val="center"/>
              <w:rPr>
                <w:rFonts w:ascii="Calibri" w:hAnsi="Calibri" w:cs="Calibri"/>
                <w:color w:val="000000"/>
                <w:sz w:val="20"/>
                <w:szCs w:val="20"/>
              </w:rPr>
            </w:pPr>
            <w:r w:rsidRPr="00DA5F2B">
              <w:rPr>
                <w:rFonts w:ascii="Calibri" w:hAnsi="Calibri" w:cs="Calibri"/>
                <w:color w:val="000000"/>
                <w:sz w:val="20"/>
                <w:szCs w:val="20"/>
              </w:rPr>
              <w:t>385</w:t>
            </w:r>
            <w:r w:rsidR="00796F85">
              <w:rPr>
                <w:rFonts w:ascii="Calibri" w:hAnsi="Calibri" w:cs="Calibri"/>
                <w:color w:val="000000"/>
                <w:sz w:val="20"/>
                <w:szCs w:val="20"/>
              </w:rPr>
              <w:t>49,69</w:t>
            </w:r>
          </w:p>
        </w:tc>
        <w:tc>
          <w:tcPr>
            <w:tcW w:w="1148" w:type="dxa"/>
            <w:tcBorders>
              <w:right w:val="single" w:sz="4" w:space="0" w:color="FFFFFF" w:themeColor="background1"/>
            </w:tcBorders>
          </w:tcPr>
          <w:p w14:paraId="6703B86E" w14:textId="77777777" w:rsidR="00F35C59" w:rsidRPr="007B6FB0"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16,02%</w:t>
            </w:r>
          </w:p>
        </w:tc>
        <w:tc>
          <w:tcPr>
            <w:tcW w:w="1147" w:type="dxa"/>
            <w:gridSpan w:val="2"/>
            <w:tcBorders>
              <w:left w:val="single" w:sz="4" w:space="0" w:color="FFFFFF" w:themeColor="background1"/>
            </w:tcBorders>
            <w:shd w:val="clear" w:color="auto" w:fill="auto"/>
            <w:noWrap/>
            <w:hideMark/>
          </w:tcPr>
          <w:p w14:paraId="14C7404F"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38,61</w:t>
            </w:r>
          </w:p>
        </w:tc>
        <w:tc>
          <w:tcPr>
            <w:tcW w:w="965" w:type="dxa"/>
            <w:gridSpan w:val="2"/>
            <w:shd w:val="clear" w:color="auto" w:fill="auto"/>
            <w:noWrap/>
            <w:hideMark/>
          </w:tcPr>
          <w:p w14:paraId="3AFAE334" w14:textId="77777777" w:rsidR="00F35C59" w:rsidRPr="00DA5F2B"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43,28</w:t>
            </w:r>
          </w:p>
        </w:tc>
        <w:tc>
          <w:tcPr>
            <w:tcW w:w="1148" w:type="dxa"/>
            <w:gridSpan w:val="2"/>
          </w:tcPr>
          <w:p w14:paraId="45EB06D3" w14:textId="77777777" w:rsidR="00F35C59" w:rsidRPr="007B6FB0" w:rsidRDefault="00F35C59" w:rsidP="00DC36DA">
            <w:pPr>
              <w:jc w:val="center"/>
              <w:rPr>
                <w:rFonts w:ascii="Calibri" w:hAnsi="Calibri" w:cs="Calibri"/>
                <w:color w:val="000000"/>
                <w:sz w:val="20"/>
                <w:szCs w:val="20"/>
              </w:rPr>
            </w:pPr>
            <w:r w:rsidRPr="00DA5F2B">
              <w:rPr>
                <w:rFonts w:ascii="Calibri" w:hAnsi="Calibri" w:cs="Calibri"/>
                <w:color w:val="000000"/>
                <w:sz w:val="20"/>
                <w:szCs w:val="20"/>
              </w:rPr>
              <w:t>12,10%</w:t>
            </w:r>
          </w:p>
        </w:tc>
      </w:tr>
      <w:tr w:rsidR="00EF5A07" w:rsidRPr="005623BA" w14:paraId="08B262CF" w14:textId="77777777" w:rsidTr="00DC36DA">
        <w:trPr>
          <w:gridAfter w:val="1"/>
          <w:wAfter w:w="7" w:type="dxa"/>
          <w:trHeight w:val="300"/>
          <w:jc w:val="center"/>
        </w:trPr>
        <w:tc>
          <w:tcPr>
            <w:tcW w:w="1843" w:type="dxa"/>
            <w:tcBorders>
              <w:bottom w:val="single" w:sz="4" w:space="0" w:color="auto"/>
            </w:tcBorders>
            <w:shd w:val="clear" w:color="auto" w:fill="auto"/>
            <w:noWrap/>
            <w:vAlign w:val="bottom"/>
            <w:hideMark/>
          </w:tcPr>
          <w:p w14:paraId="77ADFA33" w14:textId="77777777" w:rsidR="00EF5A07" w:rsidRPr="005623BA" w:rsidRDefault="00EF5A07" w:rsidP="00EF5A07">
            <w:pPr>
              <w:rPr>
                <w:rFonts w:eastAsia="Times New Roman" w:cstheme="minorHAnsi"/>
                <w:color w:val="000000"/>
                <w:sz w:val="20"/>
                <w:szCs w:val="20"/>
                <w:lang w:val="es-CR" w:eastAsia="es-CR"/>
              </w:rPr>
            </w:pPr>
            <w:r>
              <w:rPr>
                <w:rFonts w:ascii="Calibri" w:hAnsi="Calibri" w:cs="Calibri"/>
                <w:color w:val="000000"/>
              </w:rPr>
              <w:t>VIDA PLENA</w:t>
            </w:r>
          </w:p>
        </w:tc>
        <w:tc>
          <w:tcPr>
            <w:tcW w:w="1234" w:type="dxa"/>
            <w:tcBorders>
              <w:bottom w:val="single" w:sz="4" w:space="0" w:color="auto"/>
            </w:tcBorders>
            <w:shd w:val="clear" w:color="auto" w:fill="auto"/>
            <w:noWrap/>
            <w:hideMark/>
          </w:tcPr>
          <w:p w14:paraId="686475AE" w14:textId="77777777" w:rsidR="00EF5A07" w:rsidRPr="00DA5F2B" w:rsidRDefault="00EF5A07" w:rsidP="00DC36DA">
            <w:pPr>
              <w:ind w:right="181"/>
              <w:jc w:val="center"/>
              <w:rPr>
                <w:rFonts w:ascii="Calibri" w:hAnsi="Calibri" w:cs="Calibri"/>
                <w:color w:val="000000"/>
                <w:sz w:val="20"/>
                <w:szCs w:val="20"/>
              </w:rPr>
            </w:pPr>
            <w:r w:rsidRPr="00DA5F2B">
              <w:rPr>
                <w:rFonts w:ascii="Calibri" w:hAnsi="Calibri" w:cs="Calibri"/>
                <w:color w:val="000000"/>
                <w:sz w:val="20"/>
                <w:szCs w:val="20"/>
              </w:rPr>
              <w:t>1635</w:t>
            </w:r>
            <w:r w:rsidR="00DC36DA">
              <w:rPr>
                <w:rFonts w:ascii="Calibri" w:hAnsi="Calibri" w:cs="Calibri"/>
                <w:color w:val="000000"/>
                <w:sz w:val="20"/>
                <w:szCs w:val="20"/>
              </w:rPr>
              <w:t>0</w:t>
            </w:r>
            <w:r w:rsidR="003C28E9">
              <w:rPr>
                <w:rFonts w:ascii="Calibri" w:hAnsi="Calibri" w:cs="Calibri"/>
                <w:color w:val="000000"/>
                <w:sz w:val="20"/>
                <w:szCs w:val="20"/>
              </w:rPr>
              <w:t>,6</w:t>
            </w:r>
            <w:r w:rsidR="00DC36DA">
              <w:rPr>
                <w:rFonts w:ascii="Calibri" w:hAnsi="Calibri" w:cs="Calibri"/>
                <w:color w:val="000000"/>
                <w:sz w:val="20"/>
                <w:szCs w:val="20"/>
              </w:rPr>
              <w:t>4</w:t>
            </w:r>
          </w:p>
        </w:tc>
        <w:tc>
          <w:tcPr>
            <w:tcW w:w="1176" w:type="dxa"/>
            <w:tcBorders>
              <w:bottom w:val="single" w:sz="4" w:space="0" w:color="auto"/>
              <w:right w:val="single" w:sz="4" w:space="0" w:color="FFFFFF" w:themeColor="background1"/>
            </w:tcBorders>
            <w:shd w:val="clear" w:color="auto" w:fill="auto"/>
            <w:noWrap/>
            <w:hideMark/>
          </w:tcPr>
          <w:p w14:paraId="7103777D" w14:textId="77777777" w:rsidR="00EF5A07" w:rsidRPr="00DA5F2B" w:rsidRDefault="00EF5A07" w:rsidP="00DC36DA">
            <w:pPr>
              <w:ind w:right="320"/>
              <w:jc w:val="center"/>
              <w:rPr>
                <w:rFonts w:ascii="Calibri" w:hAnsi="Calibri" w:cs="Calibri"/>
                <w:color w:val="000000"/>
                <w:sz w:val="20"/>
                <w:szCs w:val="20"/>
              </w:rPr>
            </w:pPr>
            <w:r w:rsidRPr="00DA5F2B">
              <w:rPr>
                <w:rFonts w:ascii="Calibri" w:hAnsi="Calibri" w:cs="Calibri"/>
                <w:color w:val="000000"/>
                <w:sz w:val="20"/>
                <w:szCs w:val="20"/>
              </w:rPr>
              <w:t>1923</w:t>
            </w:r>
            <w:r w:rsidR="00796F85">
              <w:rPr>
                <w:rFonts w:ascii="Calibri" w:hAnsi="Calibri" w:cs="Calibri"/>
                <w:color w:val="000000"/>
                <w:sz w:val="20"/>
                <w:szCs w:val="20"/>
              </w:rPr>
              <w:t>0,74</w:t>
            </w:r>
          </w:p>
        </w:tc>
        <w:tc>
          <w:tcPr>
            <w:tcW w:w="1148" w:type="dxa"/>
            <w:tcBorders>
              <w:bottom w:val="single" w:sz="4" w:space="0" w:color="auto"/>
              <w:right w:val="single" w:sz="4" w:space="0" w:color="FFFFFF" w:themeColor="background1"/>
            </w:tcBorders>
          </w:tcPr>
          <w:p w14:paraId="2D0BEA1A" w14:textId="77777777" w:rsidR="00EF5A07" w:rsidRPr="00DA5F2B" w:rsidRDefault="00EF5A07" w:rsidP="00DC36DA">
            <w:pPr>
              <w:jc w:val="center"/>
              <w:rPr>
                <w:rFonts w:ascii="Calibri" w:hAnsi="Calibri" w:cs="Calibri"/>
                <w:color w:val="000000"/>
                <w:sz w:val="20"/>
                <w:szCs w:val="20"/>
              </w:rPr>
            </w:pPr>
            <w:r w:rsidRPr="00DA5F2B">
              <w:rPr>
                <w:rFonts w:ascii="Calibri" w:hAnsi="Calibri" w:cs="Calibri"/>
                <w:color w:val="000000"/>
                <w:sz w:val="20"/>
                <w:szCs w:val="20"/>
              </w:rPr>
              <w:t>17,61%</w:t>
            </w:r>
          </w:p>
        </w:tc>
        <w:tc>
          <w:tcPr>
            <w:tcW w:w="2105" w:type="dxa"/>
            <w:gridSpan w:val="3"/>
            <w:tcBorders>
              <w:left w:val="single" w:sz="4" w:space="0" w:color="FFFFFF" w:themeColor="background1"/>
              <w:bottom w:val="single" w:sz="4" w:space="0" w:color="auto"/>
            </w:tcBorders>
            <w:shd w:val="clear" w:color="auto" w:fill="auto"/>
            <w:noWrap/>
            <w:vAlign w:val="bottom"/>
          </w:tcPr>
          <w:p w14:paraId="3D20AC4E" w14:textId="77777777" w:rsidR="00EF5A07" w:rsidRPr="007B6FB0" w:rsidRDefault="00EF5A07" w:rsidP="00DA5F2B">
            <w:pPr>
              <w:jc w:val="center"/>
              <w:rPr>
                <w:rFonts w:eastAsia="Times New Roman" w:cstheme="minorHAnsi"/>
                <w:color w:val="000000"/>
                <w:sz w:val="20"/>
                <w:szCs w:val="20"/>
                <w:lang w:val="es-CR" w:eastAsia="es-CR"/>
              </w:rPr>
            </w:pPr>
            <w:r w:rsidRPr="007B6FB0">
              <w:rPr>
                <w:rFonts w:eastAsia="Times New Roman" w:cstheme="minorHAnsi"/>
                <w:color w:val="000000"/>
                <w:sz w:val="20"/>
                <w:szCs w:val="20"/>
                <w:lang w:val="es-CR" w:eastAsia="es-CR"/>
              </w:rPr>
              <w:t>No aplica</w:t>
            </w:r>
          </w:p>
        </w:tc>
        <w:tc>
          <w:tcPr>
            <w:tcW w:w="1148" w:type="dxa"/>
            <w:gridSpan w:val="2"/>
            <w:tcBorders>
              <w:left w:val="single" w:sz="4" w:space="0" w:color="FFFFFF" w:themeColor="background1"/>
              <w:bottom w:val="single" w:sz="4" w:space="0" w:color="auto"/>
            </w:tcBorders>
          </w:tcPr>
          <w:p w14:paraId="297F0368" w14:textId="77777777" w:rsidR="00EF5A07" w:rsidRPr="007B6FB0" w:rsidRDefault="00EF5A07" w:rsidP="00DC36DA">
            <w:pPr>
              <w:jc w:val="center"/>
              <w:rPr>
                <w:rFonts w:eastAsia="Times New Roman" w:cstheme="minorHAnsi"/>
                <w:color w:val="000000"/>
                <w:sz w:val="20"/>
                <w:szCs w:val="20"/>
                <w:lang w:val="es-CR" w:eastAsia="es-CR"/>
              </w:rPr>
            </w:pPr>
          </w:p>
        </w:tc>
      </w:tr>
    </w:tbl>
    <w:p w14:paraId="3E855140" w14:textId="77777777" w:rsidR="00584743" w:rsidRPr="00CB5F11" w:rsidRDefault="00584743">
      <w:pPr>
        <w:tabs>
          <w:tab w:val="left" w:pos="1056"/>
        </w:tabs>
        <w:rPr>
          <w:rFonts w:cstheme="minorHAnsi"/>
          <w:b/>
          <w:bCs/>
          <w:iCs/>
          <w:sz w:val="20"/>
          <w:szCs w:val="20"/>
        </w:rPr>
      </w:pPr>
      <w:r w:rsidRPr="00CB5F11">
        <w:rPr>
          <w:rFonts w:cstheme="minorHAnsi"/>
          <w:b/>
          <w:bCs/>
          <w:iCs/>
          <w:sz w:val="20"/>
          <w:szCs w:val="20"/>
        </w:rPr>
        <w:t>1/</w:t>
      </w:r>
      <w:r w:rsidR="0047395C">
        <w:rPr>
          <w:rFonts w:cstheme="minorHAnsi"/>
          <w:b/>
          <w:bCs/>
          <w:iCs/>
          <w:sz w:val="20"/>
          <w:szCs w:val="20"/>
        </w:rPr>
        <w:t xml:space="preserve"> Valores en</w:t>
      </w:r>
      <w:r w:rsidR="00C045AE">
        <w:rPr>
          <w:rFonts w:cstheme="minorHAnsi"/>
          <w:b/>
          <w:bCs/>
          <w:iCs/>
          <w:sz w:val="20"/>
          <w:szCs w:val="20"/>
        </w:rPr>
        <w:t xml:space="preserve"> millones y en</w:t>
      </w:r>
      <w:r w:rsidR="0047395C">
        <w:rPr>
          <w:rFonts w:cstheme="minorHAnsi"/>
          <w:b/>
          <w:bCs/>
          <w:iCs/>
          <w:sz w:val="20"/>
          <w:szCs w:val="20"/>
        </w:rPr>
        <w:t xml:space="preserve"> la moneda del fondo</w:t>
      </w:r>
      <w:r>
        <w:rPr>
          <w:rFonts w:cstheme="minorHAnsi"/>
          <w:b/>
          <w:bCs/>
          <w:iCs/>
          <w:sz w:val="20"/>
          <w:szCs w:val="20"/>
        </w:rPr>
        <w:t>.</w:t>
      </w:r>
    </w:p>
    <w:p w14:paraId="1B8AEAFB" w14:textId="77777777" w:rsidR="00673436" w:rsidRDefault="00584743" w:rsidP="00C846BA">
      <w:pPr>
        <w:jc w:val="both"/>
        <w:rPr>
          <w:rFonts w:ascii="Times New Roman" w:hAnsi="Times New Roman" w:cs="Times New Roman"/>
          <w:b/>
          <w:bCs/>
          <w:iCs/>
          <w:sz w:val="20"/>
          <w:szCs w:val="20"/>
        </w:rPr>
      </w:pPr>
      <w:r w:rsidRPr="00CB5F11">
        <w:rPr>
          <w:rFonts w:cstheme="minorHAnsi"/>
          <w:b/>
          <w:bCs/>
          <w:iCs/>
          <w:sz w:val="20"/>
          <w:szCs w:val="20"/>
        </w:rPr>
        <w:t>Fuente: Elaboración propia</w:t>
      </w:r>
      <w:r w:rsidRPr="00CB5F11">
        <w:rPr>
          <w:rFonts w:ascii="Times New Roman" w:hAnsi="Times New Roman" w:cs="Times New Roman"/>
          <w:b/>
          <w:bCs/>
          <w:iCs/>
          <w:sz w:val="20"/>
          <w:szCs w:val="20"/>
        </w:rPr>
        <w:t>.</w:t>
      </w:r>
    </w:p>
    <w:p w14:paraId="3B6553C9" w14:textId="77777777" w:rsidR="003D0BEA" w:rsidRDefault="003D0BEA">
      <w:pPr>
        <w:jc w:val="both"/>
      </w:pPr>
    </w:p>
    <w:p w14:paraId="394C0D21" w14:textId="77777777" w:rsidR="00344B57" w:rsidRDefault="00344B57" w:rsidP="009D13CA">
      <w:pPr>
        <w:pStyle w:val="Ttulo3"/>
        <w:numPr>
          <w:ilvl w:val="2"/>
          <w:numId w:val="18"/>
        </w:numPr>
      </w:pPr>
      <w:bookmarkStart w:id="11" w:name="_Toc96614861"/>
      <w:r>
        <w:t>Libre transferencia</w:t>
      </w:r>
      <w:bookmarkEnd w:id="11"/>
    </w:p>
    <w:p w14:paraId="35A06CED" w14:textId="77777777" w:rsidR="00344B57" w:rsidRDefault="00344B57" w:rsidP="00F40CD9">
      <w:pPr>
        <w:jc w:val="both"/>
      </w:pPr>
    </w:p>
    <w:p w14:paraId="667F93F1" w14:textId="77777777" w:rsidR="003D44DB" w:rsidRDefault="004B3A84" w:rsidP="00F40CD9">
      <w:pPr>
        <w:jc w:val="both"/>
      </w:pPr>
      <w:r>
        <w:t xml:space="preserve">La </w:t>
      </w:r>
      <w:r w:rsidR="00AF06C6">
        <w:t>tendencia alcista de los movimientos por libre transferencia se mantuvo en el cuarto trimestre de 2021</w:t>
      </w:r>
      <w:r w:rsidR="00C9410D">
        <w:t>, finalizando el año con el</w:t>
      </w:r>
      <w:r w:rsidR="00E16C0E">
        <w:t xml:space="preserve"> mayor </w:t>
      </w:r>
      <w:r w:rsidR="00C9410D">
        <w:t xml:space="preserve">volumen de traslados </w:t>
      </w:r>
      <w:r w:rsidR="00E16C0E">
        <w:t>desde 2013 (gráfico 3)</w:t>
      </w:r>
    </w:p>
    <w:p w14:paraId="475B6835" w14:textId="77777777" w:rsidR="00493871" w:rsidRDefault="00493871" w:rsidP="00F40CD9">
      <w:pPr>
        <w:jc w:val="both"/>
      </w:pPr>
    </w:p>
    <w:p w14:paraId="18B98310" w14:textId="77777777" w:rsidR="00C4127C" w:rsidRPr="00C4127C" w:rsidRDefault="00C4127C" w:rsidP="00C4127C">
      <w:pPr>
        <w:jc w:val="both"/>
        <w:rPr>
          <w:b/>
          <w:bCs/>
        </w:rPr>
      </w:pPr>
      <w:r w:rsidRPr="00C4127C">
        <w:rPr>
          <w:b/>
          <w:bCs/>
        </w:rPr>
        <w:t>Gráfico 3.</w:t>
      </w:r>
    </w:p>
    <w:p w14:paraId="1FE5AD12" w14:textId="77777777" w:rsidR="00C4127C" w:rsidRDefault="00C4127C" w:rsidP="00C4127C">
      <w:pPr>
        <w:jc w:val="both"/>
        <w:rPr>
          <w:b/>
          <w:bCs/>
        </w:rPr>
      </w:pPr>
      <w:r w:rsidRPr="00C4127C">
        <w:rPr>
          <w:b/>
          <w:bCs/>
        </w:rPr>
        <w:t xml:space="preserve">Libre transferencia: cantidad de traslados </w:t>
      </w:r>
      <w:r w:rsidR="00E16C0E">
        <w:rPr>
          <w:b/>
          <w:bCs/>
        </w:rPr>
        <w:t>por año</w:t>
      </w:r>
      <w:r w:rsidRPr="00C4127C">
        <w:rPr>
          <w:b/>
          <w:bCs/>
        </w:rPr>
        <w:t>, 201</w:t>
      </w:r>
      <w:r w:rsidR="00E16C0E">
        <w:rPr>
          <w:b/>
          <w:bCs/>
        </w:rPr>
        <w:t>0</w:t>
      </w:r>
      <w:r>
        <w:rPr>
          <w:b/>
          <w:bCs/>
        </w:rPr>
        <w:t>-</w:t>
      </w:r>
      <w:r w:rsidRPr="00C4127C">
        <w:rPr>
          <w:b/>
          <w:bCs/>
        </w:rPr>
        <w:t>2021.</w:t>
      </w:r>
    </w:p>
    <w:p w14:paraId="492D3E1E" w14:textId="77777777" w:rsidR="00C4127C" w:rsidRPr="00C4127C" w:rsidRDefault="002D3D74" w:rsidP="002D3D74">
      <w:pPr>
        <w:jc w:val="center"/>
        <w:rPr>
          <w:b/>
          <w:bCs/>
        </w:rPr>
      </w:pPr>
      <w:r>
        <w:rPr>
          <w:noProof/>
        </w:rPr>
        <w:drawing>
          <wp:inline distT="0" distB="0" distL="0" distR="0" wp14:anchorId="5ADB2301" wp14:editId="23DABF85">
            <wp:extent cx="5158740" cy="2381250"/>
            <wp:effectExtent l="0" t="0" r="0" b="0"/>
            <wp:docPr id="4" name="Gráfico 4">
              <a:extLst xmlns:a="http://schemas.openxmlformats.org/drawingml/2006/main">
                <a:ext uri="{FF2B5EF4-FFF2-40B4-BE49-F238E27FC236}">
                  <a16:creationId xmlns:a16="http://schemas.microsoft.com/office/drawing/2014/main" id="{BF679296-63C3-485A-BF60-B58B8AFB7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B4CFAD" w14:textId="77777777" w:rsidR="00C10365" w:rsidRDefault="00C10365" w:rsidP="008101C5">
      <w:pPr>
        <w:jc w:val="center"/>
      </w:pPr>
    </w:p>
    <w:p w14:paraId="1E900454" w14:textId="77777777" w:rsidR="00C4127C" w:rsidRPr="00C106B1" w:rsidRDefault="00C4127C" w:rsidP="00C4127C">
      <w:pPr>
        <w:jc w:val="both"/>
        <w:rPr>
          <w:b/>
          <w:bCs/>
          <w:sz w:val="18"/>
          <w:szCs w:val="18"/>
          <w:lang w:val="es-CR"/>
        </w:rPr>
      </w:pPr>
      <w:r w:rsidRPr="00C106B1">
        <w:rPr>
          <w:b/>
          <w:bCs/>
          <w:sz w:val="18"/>
          <w:szCs w:val="18"/>
        </w:rPr>
        <w:t>Fuente: Elaboración propia.</w:t>
      </w:r>
    </w:p>
    <w:p w14:paraId="1602D43F" w14:textId="77777777" w:rsidR="00C4127C" w:rsidRDefault="00C4127C" w:rsidP="00F40CD9">
      <w:pPr>
        <w:jc w:val="both"/>
      </w:pPr>
    </w:p>
    <w:p w14:paraId="0595448A" w14:textId="77777777" w:rsidR="00493871" w:rsidRDefault="00286972" w:rsidP="00F40CD9">
      <w:pPr>
        <w:jc w:val="both"/>
      </w:pPr>
      <w:r>
        <w:t xml:space="preserve">Las razones apuntadas en el Informe de Coyuntura del tercer trimestre se mantuvieron </w:t>
      </w:r>
      <w:r w:rsidR="007415C4">
        <w:t xml:space="preserve">invariables: 1) </w:t>
      </w:r>
      <w:r w:rsidR="009C2C8E">
        <w:t>un esquema de afiliación en entidad origen y destino, a</w:t>
      </w:r>
      <w:r w:rsidR="00375EB8">
        <w:t xml:space="preserve"> partir de </w:t>
      </w:r>
      <w:r w:rsidR="00614DE2">
        <w:t>2020</w:t>
      </w:r>
      <w:r w:rsidR="00223DA2">
        <w:t xml:space="preserve"> y </w:t>
      </w:r>
      <w:r w:rsidR="00614DE2">
        <w:t xml:space="preserve">2) </w:t>
      </w:r>
      <w:r w:rsidR="00C80E13">
        <w:t xml:space="preserve">la reactivación de la </w:t>
      </w:r>
      <w:r w:rsidR="009F7163">
        <w:t>actividad económica</w:t>
      </w:r>
      <w:r w:rsidR="0041160C">
        <w:t xml:space="preserve"> y </w:t>
      </w:r>
      <w:r w:rsidR="00C80E13">
        <w:t>el relajamiento de las</w:t>
      </w:r>
      <w:r w:rsidR="00CC006E">
        <w:t xml:space="preserve"> restricciones a la movilidad</w:t>
      </w:r>
      <w:r w:rsidR="0065777A">
        <w:t>.</w:t>
      </w:r>
      <w:r w:rsidR="003055DB" w:rsidDel="003055DB">
        <w:t xml:space="preserve"> </w:t>
      </w:r>
    </w:p>
    <w:p w14:paraId="4A7318D5" w14:textId="77777777" w:rsidR="00EE4B28" w:rsidRDefault="00EE4B28" w:rsidP="00F40CD9">
      <w:pPr>
        <w:jc w:val="both"/>
      </w:pPr>
    </w:p>
    <w:p w14:paraId="3C8C6DC9" w14:textId="77777777" w:rsidR="00EE4B28" w:rsidRDefault="00EE4B28" w:rsidP="00F40CD9">
      <w:pPr>
        <w:jc w:val="both"/>
      </w:pPr>
      <w:r>
        <w:t xml:space="preserve">El primer </w:t>
      </w:r>
      <w:r w:rsidR="00C07955">
        <w:t>aspecto (el esquema de afiliación) es el que repercute en mayor medida sobre el</w:t>
      </w:r>
      <w:r w:rsidR="00804448">
        <w:t xml:space="preserve"> volumen de libre transferencia. </w:t>
      </w:r>
      <w:r w:rsidR="00C74ACC">
        <w:t>E</w:t>
      </w:r>
      <w:r w:rsidR="00B6491E">
        <w:t xml:space="preserve">l periodo 2010 – 2012 correspondía al esquema de afiliación basado en entidad destino, esto es, el afiliado solicitaba el traslado en la entidad a la que quería trasladarse. </w:t>
      </w:r>
      <w:r w:rsidR="00712D2D">
        <w:t xml:space="preserve">A partir de 2013 hasta 2020, el esquema utilizado era el de entidad origen, con lo cual, el afiliado debía solicitar a la entidad a la que estaba </w:t>
      </w:r>
      <w:r w:rsidR="00712D2D">
        <w:lastRenderedPageBreak/>
        <w:t xml:space="preserve">afiliado el traslado hacia otra administradora. </w:t>
      </w:r>
      <w:r w:rsidR="0088524A">
        <w:t xml:space="preserve">Este periodo se caracterizó por el volumen más bajo de solicitudes de traslados. </w:t>
      </w:r>
      <w:r w:rsidR="00637E88">
        <w:t>A partir de 2020, el esquema es mixto (entidad origen o entidad destino)</w:t>
      </w:r>
      <w:r w:rsidR="00111658">
        <w:t>, periodo que evidencia un aumento de la libre transferencia.</w:t>
      </w:r>
    </w:p>
    <w:p w14:paraId="725C79A7" w14:textId="77777777" w:rsidR="00B23679" w:rsidRDefault="00B23679" w:rsidP="00907667"/>
    <w:p w14:paraId="60B4005D" w14:textId="77777777" w:rsidR="002E03D0" w:rsidRDefault="009574AD" w:rsidP="009D13CA">
      <w:pPr>
        <w:pStyle w:val="Ttulo3"/>
        <w:numPr>
          <w:ilvl w:val="2"/>
          <w:numId w:val="18"/>
        </w:numPr>
      </w:pPr>
      <w:bookmarkStart w:id="12" w:name="_Toc96614862"/>
      <w:r>
        <w:t>Inversiones</w:t>
      </w:r>
      <w:bookmarkEnd w:id="12"/>
    </w:p>
    <w:p w14:paraId="747EE3FF" w14:textId="77777777" w:rsidR="00930EC2" w:rsidRDefault="00930EC2" w:rsidP="009B481B">
      <w:pPr>
        <w:tabs>
          <w:tab w:val="left" w:pos="1560"/>
        </w:tabs>
        <w:jc w:val="both"/>
      </w:pPr>
    </w:p>
    <w:p w14:paraId="42FDA346" w14:textId="77777777" w:rsidR="009B481B" w:rsidRPr="007919F2" w:rsidRDefault="005063DB" w:rsidP="009B481B">
      <w:pPr>
        <w:tabs>
          <w:tab w:val="left" w:pos="1560"/>
        </w:tabs>
        <w:jc w:val="both"/>
        <w:rPr>
          <w:color w:val="FF0000"/>
          <w:highlight w:val="yellow"/>
        </w:rPr>
      </w:pPr>
      <w:r>
        <w:t xml:space="preserve">Al cierre del 2021, </w:t>
      </w:r>
      <w:r w:rsidR="009B481B" w:rsidRPr="005C413A">
        <w:t>las inversiones</w:t>
      </w:r>
      <w:r w:rsidR="00502240">
        <w:rPr>
          <w:rStyle w:val="Refdenotaalpie"/>
        </w:rPr>
        <w:footnoteReference w:id="6"/>
      </w:r>
      <w:r w:rsidR="009B481B" w:rsidRPr="005C413A">
        <w:t xml:space="preserve"> del SNP y el FCL </w:t>
      </w:r>
      <w:r w:rsidR="00E34262">
        <w:t>suman</w:t>
      </w:r>
      <w:r w:rsidR="009B481B" w:rsidRPr="005C413A">
        <w:t xml:space="preserve"> ₡1</w:t>
      </w:r>
      <w:r w:rsidR="009F288E" w:rsidRPr="005C413A">
        <w:t>7</w:t>
      </w:r>
      <w:r w:rsidR="009B481B" w:rsidRPr="005C413A">
        <w:t>,</w:t>
      </w:r>
      <w:r w:rsidR="00930836">
        <w:t>6</w:t>
      </w:r>
      <w:r w:rsidR="009B481B" w:rsidRPr="005C413A">
        <w:t xml:space="preserve"> billones</w:t>
      </w:r>
      <w:r w:rsidR="001757BE">
        <w:t>, 2,56% más con respecto a</w:t>
      </w:r>
      <w:r w:rsidR="00380E24">
        <w:t>l</w:t>
      </w:r>
      <w:r w:rsidR="001757BE">
        <w:t xml:space="preserve"> tercer trimestre del año.</w:t>
      </w:r>
      <w:r w:rsidR="009B481B" w:rsidRPr="005C413A">
        <w:t xml:space="preserve"> </w:t>
      </w:r>
      <w:r w:rsidR="001757BE">
        <w:t xml:space="preserve">El cuadro </w:t>
      </w:r>
      <w:r w:rsidR="00D15B1D">
        <w:t>3</w:t>
      </w:r>
      <w:r w:rsidR="001757BE">
        <w:t xml:space="preserve"> presenta la distribución por sector.</w:t>
      </w:r>
    </w:p>
    <w:p w14:paraId="620032D7" w14:textId="77777777" w:rsidR="009B481B" w:rsidRPr="007919F2" w:rsidRDefault="009B481B" w:rsidP="009B481B">
      <w:pPr>
        <w:jc w:val="both"/>
        <w:rPr>
          <w:color w:val="FF0000"/>
          <w:highlight w:val="yellow"/>
        </w:rPr>
      </w:pPr>
    </w:p>
    <w:p w14:paraId="3CAB3FFE" w14:textId="77777777" w:rsidR="00584743" w:rsidRPr="00A06D77" w:rsidRDefault="00584743">
      <w:pPr>
        <w:rPr>
          <w:rFonts w:ascii="Calibri" w:eastAsia="Times New Roman" w:hAnsi="Calibri" w:cs="Calibri"/>
          <w:b/>
          <w:bCs/>
          <w:lang w:val="es-CR" w:eastAsia="es-CR"/>
        </w:rPr>
      </w:pPr>
      <w:r w:rsidRPr="00A06D77">
        <w:rPr>
          <w:rFonts w:ascii="Calibri" w:eastAsia="Times New Roman" w:hAnsi="Calibri" w:cs="Calibri"/>
          <w:b/>
          <w:bCs/>
          <w:lang w:val="es-CR" w:eastAsia="es-CR"/>
        </w:rPr>
        <w:t xml:space="preserve">Cuadro </w:t>
      </w:r>
      <w:r w:rsidR="00D15B1D">
        <w:rPr>
          <w:rFonts w:ascii="Calibri" w:eastAsia="Times New Roman" w:hAnsi="Calibri" w:cs="Calibri"/>
          <w:b/>
          <w:bCs/>
          <w:lang w:val="es-CR" w:eastAsia="es-CR"/>
        </w:rPr>
        <w:t>3</w:t>
      </w:r>
      <w:r w:rsidRPr="00A06D77">
        <w:rPr>
          <w:rFonts w:ascii="Calibri" w:eastAsia="Times New Roman" w:hAnsi="Calibri" w:cs="Calibri"/>
          <w:b/>
          <w:bCs/>
          <w:lang w:val="es-CR" w:eastAsia="es-CR"/>
        </w:rPr>
        <w:t xml:space="preserve">. </w:t>
      </w:r>
    </w:p>
    <w:p w14:paraId="10C2BD9B" w14:textId="77777777" w:rsidR="00361A1F" w:rsidRPr="007919F2" w:rsidRDefault="00584743">
      <w:pPr>
        <w:jc w:val="both"/>
        <w:rPr>
          <w:color w:val="FF0000"/>
        </w:rPr>
      </w:pPr>
      <w:r w:rsidRPr="00A06D77">
        <w:rPr>
          <w:rFonts w:ascii="Calibri" w:eastAsia="Times New Roman" w:hAnsi="Calibri" w:cs="Calibri"/>
          <w:b/>
          <w:bCs/>
          <w:lang w:val="es-CR" w:eastAsia="es-CR"/>
        </w:rPr>
        <w:t xml:space="preserve">Sistema Nacional de Pensiones: </w:t>
      </w:r>
      <w:r>
        <w:rPr>
          <w:rFonts w:ascii="Calibri" w:eastAsia="Times New Roman" w:hAnsi="Calibri" w:cs="Calibri"/>
          <w:b/>
          <w:bCs/>
          <w:lang w:val="es-CR" w:eastAsia="es-CR"/>
        </w:rPr>
        <w:t>monto</w:t>
      </w:r>
      <w:r w:rsidRPr="00EB008C">
        <w:rPr>
          <w:rFonts w:ascii="Calibri" w:eastAsia="Times New Roman" w:hAnsi="Calibri" w:cs="Calibri"/>
          <w:b/>
          <w:bCs/>
          <w:vertAlign w:val="superscript"/>
          <w:lang w:val="es-CR" w:eastAsia="es-CR"/>
        </w:rPr>
        <w:t>1/</w:t>
      </w:r>
      <w:r>
        <w:rPr>
          <w:rFonts w:ascii="Calibri" w:eastAsia="Times New Roman" w:hAnsi="Calibri" w:cs="Calibri"/>
          <w:b/>
          <w:bCs/>
          <w:lang w:val="es-CR" w:eastAsia="es-CR"/>
        </w:rPr>
        <w:t xml:space="preserve"> de las </w:t>
      </w:r>
      <w:r w:rsidRPr="00A06D77">
        <w:rPr>
          <w:rFonts w:ascii="Calibri" w:eastAsia="Times New Roman" w:hAnsi="Calibri" w:cs="Calibri"/>
          <w:b/>
          <w:bCs/>
          <w:lang w:val="es-CR" w:eastAsia="es-CR"/>
        </w:rPr>
        <w:t>inversiones</w:t>
      </w:r>
      <w:r>
        <w:rPr>
          <w:rFonts w:ascii="Calibri" w:eastAsia="Times New Roman" w:hAnsi="Calibri" w:cs="Calibri"/>
          <w:b/>
          <w:bCs/>
          <w:lang w:val="es-CR" w:eastAsia="es-CR"/>
        </w:rPr>
        <w:t xml:space="preserve"> </w:t>
      </w:r>
      <w:r w:rsidRPr="00A06D77">
        <w:rPr>
          <w:rFonts w:ascii="Calibri" w:eastAsia="Times New Roman" w:hAnsi="Calibri" w:cs="Calibri"/>
          <w:b/>
          <w:bCs/>
          <w:lang w:val="es-CR" w:eastAsia="es-CR"/>
        </w:rPr>
        <w:t xml:space="preserve">por régimen según sector, </w:t>
      </w:r>
      <w:r w:rsidR="00A87E44">
        <w:rPr>
          <w:rFonts w:ascii="Calibri" w:eastAsia="Times New Roman" w:hAnsi="Calibri" w:cs="Calibri"/>
          <w:b/>
          <w:bCs/>
          <w:lang w:val="es-CR" w:eastAsia="es-CR"/>
        </w:rPr>
        <w:t>diciembre</w:t>
      </w:r>
      <w:r w:rsidRPr="00A06D77">
        <w:rPr>
          <w:rFonts w:ascii="Calibri" w:eastAsia="Times New Roman" w:hAnsi="Calibri" w:cs="Calibri"/>
          <w:b/>
          <w:bCs/>
          <w:lang w:val="es-CR" w:eastAsia="es-CR"/>
        </w:rPr>
        <w:t xml:space="preserve"> 2021</w:t>
      </w:r>
    </w:p>
    <w:tbl>
      <w:tblPr>
        <w:tblW w:w="8812" w:type="dxa"/>
        <w:jc w:val="center"/>
        <w:tblCellMar>
          <w:left w:w="70" w:type="dxa"/>
          <w:right w:w="70" w:type="dxa"/>
        </w:tblCellMar>
        <w:tblLook w:val="04A0" w:firstRow="1" w:lastRow="0" w:firstColumn="1" w:lastColumn="0" w:noHBand="0" w:noVBand="1"/>
      </w:tblPr>
      <w:tblGrid>
        <w:gridCol w:w="1843"/>
        <w:gridCol w:w="992"/>
        <w:gridCol w:w="851"/>
        <w:gridCol w:w="1130"/>
        <w:gridCol w:w="850"/>
        <w:gridCol w:w="1134"/>
        <w:gridCol w:w="743"/>
        <w:gridCol w:w="1269"/>
      </w:tblGrid>
      <w:tr w:rsidR="008A13C6" w:rsidRPr="00A918AB" w14:paraId="3BCA401B" w14:textId="77777777" w:rsidTr="004D7577">
        <w:trPr>
          <w:trHeight w:val="315"/>
          <w:jc w:val="center"/>
        </w:trPr>
        <w:tc>
          <w:tcPr>
            <w:tcW w:w="1843" w:type="dxa"/>
            <w:vMerge w:val="restart"/>
            <w:tcBorders>
              <w:top w:val="single" w:sz="4" w:space="0" w:color="auto"/>
            </w:tcBorders>
            <w:shd w:val="clear" w:color="auto" w:fill="auto"/>
            <w:noWrap/>
            <w:vAlign w:val="center"/>
            <w:hideMark/>
          </w:tcPr>
          <w:p w14:paraId="19F09DFB" w14:textId="77777777" w:rsidR="00851B9B" w:rsidRPr="00A918AB" w:rsidRDefault="00A930F2" w:rsidP="00A918AB">
            <w:pPr>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Régimen</w:t>
            </w:r>
          </w:p>
        </w:tc>
        <w:tc>
          <w:tcPr>
            <w:tcW w:w="1843" w:type="dxa"/>
            <w:gridSpan w:val="2"/>
            <w:tcBorders>
              <w:top w:val="single" w:sz="4" w:space="0" w:color="auto"/>
              <w:bottom w:val="single" w:sz="4" w:space="0" w:color="auto"/>
              <w:right w:val="single" w:sz="18" w:space="0" w:color="FFFFFF" w:themeColor="background1"/>
            </w:tcBorders>
            <w:shd w:val="clear" w:color="auto" w:fill="auto"/>
            <w:noWrap/>
            <w:vAlign w:val="center"/>
            <w:hideMark/>
          </w:tcPr>
          <w:p w14:paraId="3EE96247"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Extranjero</w:t>
            </w:r>
          </w:p>
        </w:tc>
        <w:tc>
          <w:tcPr>
            <w:tcW w:w="1980"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noWrap/>
            <w:vAlign w:val="center"/>
            <w:hideMark/>
          </w:tcPr>
          <w:p w14:paraId="1A6C0B32"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   Privado</w:t>
            </w:r>
          </w:p>
        </w:tc>
        <w:tc>
          <w:tcPr>
            <w:tcW w:w="1877" w:type="dxa"/>
            <w:gridSpan w:val="2"/>
            <w:tcBorders>
              <w:top w:val="single" w:sz="4" w:space="0" w:color="auto"/>
              <w:left w:val="single" w:sz="18" w:space="0" w:color="FFFFFF" w:themeColor="background1"/>
              <w:bottom w:val="single" w:sz="4" w:space="0" w:color="auto"/>
            </w:tcBorders>
            <w:shd w:val="clear" w:color="auto" w:fill="auto"/>
            <w:vAlign w:val="center"/>
            <w:hideMark/>
          </w:tcPr>
          <w:p w14:paraId="3DF648FE"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Público</w:t>
            </w:r>
          </w:p>
        </w:tc>
        <w:tc>
          <w:tcPr>
            <w:tcW w:w="1242" w:type="dxa"/>
            <w:vMerge w:val="restart"/>
            <w:tcBorders>
              <w:top w:val="single" w:sz="4" w:space="0" w:color="auto"/>
            </w:tcBorders>
            <w:shd w:val="clear" w:color="auto" w:fill="auto"/>
            <w:noWrap/>
            <w:vAlign w:val="center"/>
            <w:hideMark/>
          </w:tcPr>
          <w:p w14:paraId="2C5B0B38"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Total</w:t>
            </w:r>
          </w:p>
        </w:tc>
      </w:tr>
      <w:tr w:rsidR="008A13C6" w:rsidRPr="00A918AB" w14:paraId="34F2267B" w14:textId="77777777" w:rsidTr="004D7577">
        <w:trPr>
          <w:trHeight w:val="315"/>
          <w:jc w:val="center"/>
        </w:trPr>
        <w:tc>
          <w:tcPr>
            <w:tcW w:w="1843" w:type="dxa"/>
            <w:vMerge/>
            <w:tcBorders>
              <w:bottom w:val="single" w:sz="4" w:space="0" w:color="auto"/>
            </w:tcBorders>
            <w:shd w:val="clear" w:color="auto" w:fill="auto"/>
            <w:vAlign w:val="center"/>
            <w:hideMark/>
          </w:tcPr>
          <w:p w14:paraId="590A20B3" w14:textId="77777777" w:rsidR="00851B9B" w:rsidRPr="00A918AB" w:rsidRDefault="00851B9B" w:rsidP="00A918AB">
            <w:pPr>
              <w:rPr>
                <w:rFonts w:ascii="Calibri" w:eastAsia="Times New Roman" w:hAnsi="Calibri" w:cs="Calibri"/>
                <w:b/>
                <w:bCs/>
                <w:sz w:val="20"/>
                <w:szCs w:val="20"/>
                <w:lang w:val="es-CR" w:eastAsia="es-CR"/>
              </w:rPr>
            </w:pPr>
          </w:p>
        </w:tc>
        <w:tc>
          <w:tcPr>
            <w:tcW w:w="992" w:type="dxa"/>
            <w:tcBorders>
              <w:top w:val="single" w:sz="4" w:space="0" w:color="auto"/>
              <w:bottom w:val="single" w:sz="4" w:space="0" w:color="auto"/>
            </w:tcBorders>
            <w:shd w:val="clear" w:color="auto" w:fill="auto"/>
            <w:noWrap/>
            <w:vAlign w:val="center"/>
            <w:hideMark/>
          </w:tcPr>
          <w:p w14:paraId="74956B82"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851" w:type="dxa"/>
            <w:tcBorders>
              <w:top w:val="single" w:sz="4" w:space="0" w:color="auto"/>
              <w:bottom w:val="single" w:sz="4" w:space="0" w:color="auto"/>
              <w:right w:val="single" w:sz="18" w:space="0" w:color="FFFFFF" w:themeColor="background1"/>
            </w:tcBorders>
            <w:shd w:val="clear" w:color="auto" w:fill="auto"/>
            <w:noWrap/>
            <w:vAlign w:val="center"/>
            <w:hideMark/>
          </w:tcPr>
          <w:p w14:paraId="234A5D6E"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130" w:type="dxa"/>
            <w:tcBorders>
              <w:top w:val="single" w:sz="4" w:space="0" w:color="auto"/>
              <w:left w:val="single" w:sz="18" w:space="0" w:color="FFFFFF" w:themeColor="background1"/>
              <w:bottom w:val="single" w:sz="4" w:space="0" w:color="auto"/>
            </w:tcBorders>
            <w:shd w:val="clear" w:color="auto" w:fill="auto"/>
            <w:noWrap/>
            <w:vAlign w:val="center"/>
            <w:hideMark/>
          </w:tcPr>
          <w:p w14:paraId="76EEFA88"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850" w:type="dxa"/>
            <w:tcBorders>
              <w:top w:val="single" w:sz="4" w:space="0" w:color="auto"/>
              <w:bottom w:val="single" w:sz="4" w:space="0" w:color="auto"/>
              <w:right w:val="single" w:sz="18" w:space="0" w:color="FFFFFF" w:themeColor="background1"/>
            </w:tcBorders>
            <w:shd w:val="clear" w:color="auto" w:fill="auto"/>
            <w:noWrap/>
            <w:vAlign w:val="center"/>
            <w:hideMark/>
          </w:tcPr>
          <w:p w14:paraId="490E2EBD"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134" w:type="dxa"/>
            <w:tcBorders>
              <w:top w:val="single" w:sz="4" w:space="0" w:color="auto"/>
              <w:left w:val="single" w:sz="18" w:space="0" w:color="FFFFFF" w:themeColor="background1"/>
              <w:bottom w:val="single" w:sz="4" w:space="0" w:color="auto"/>
            </w:tcBorders>
            <w:shd w:val="clear" w:color="auto" w:fill="auto"/>
            <w:noWrap/>
            <w:vAlign w:val="center"/>
            <w:hideMark/>
          </w:tcPr>
          <w:p w14:paraId="4023E1E6"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Monto</w:t>
            </w:r>
          </w:p>
        </w:tc>
        <w:tc>
          <w:tcPr>
            <w:tcW w:w="743" w:type="dxa"/>
            <w:tcBorders>
              <w:top w:val="single" w:sz="4" w:space="0" w:color="auto"/>
              <w:bottom w:val="single" w:sz="4" w:space="0" w:color="auto"/>
            </w:tcBorders>
            <w:shd w:val="clear" w:color="auto" w:fill="auto"/>
            <w:noWrap/>
            <w:vAlign w:val="center"/>
            <w:hideMark/>
          </w:tcPr>
          <w:p w14:paraId="3B9E1B35" w14:textId="77777777" w:rsidR="00851B9B" w:rsidRPr="00A918AB" w:rsidRDefault="00851B9B" w:rsidP="00A918AB">
            <w:pPr>
              <w:jc w:val="cente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w:t>
            </w:r>
          </w:p>
        </w:tc>
        <w:tc>
          <w:tcPr>
            <w:tcW w:w="1242" w:type="dxa"/>
            <w:vMerge/>
            <w:tcBorders>
              <w:bottom w:val="single" w:sz="4" w:space="0" w:color="auto"/>
            </w:tcBorders>
            <w:shd w:val="clear" w:color="auto" w:fill="auto"/>
            <w:noWrap/>
            <w:vAlign w:val="center"/>
            <w:hideMark/>
          </w:tcPr>
          <w:p w14:paraId="3B869440" w14:textId="77777777" w:rsidR="00851B9B" w:rsidRPr="00A918AB" w:rsidRDefault="00851B9B" w:rsidP="00A918AB">
            <w:pPr>
              <w:jc w:val="center"/>
              <w:rPr>
                <w:rFonts w:ascii="Calibri" w:eastAsia="Times New Roman" w:hAnsi="Calibri" w:cs="Calibri"/>
                <w:b/>
                <w:bCs/>
                <w:sz w:val="20"/>
                <w:szCs w:val="20"/>
                <w:lang w:val="es-CR" w:eastAsia="es-CR"/>
              </w:rPr>
            </w:pPr>
          </w:p>
        </w:tc>
      </w:tr>
      <w:tr w:rsidR="008A13C6" w:rsidRPr="00A918AB" w14:paraId="3FB82834" w14:textId="77777777" w:rsidTr="004D7577">
        <w:trPr>
          <w:trHeight w:val="315"/>
          <w:jc w:val="center"/>
        </w:trPr>
        <w:tc>
          <w:tcPr>
            <w:tcW w:w="1843" w:type="dxa"/>
            <w:tcBorders>
              <w:top w:val="single" w:sz="4" w:space="0" w:color="auto"/>
            </w:tcBorders>
            <w:shd w:val="clear" w:color="auto" w:fill="auto"/>
            <w:noWrap/>
            <w:vAlign w:val="center"/>
            <w:hideMark/>
          </w:tcPr>
          <w:p w14:paraId="48BAFE3F"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IVM</w:t>
            </w:r>
          </w:p>
        </w:tc>
        <w:tc>
          <w:tcPr>
            <w:tcW w:w="992" w:type="dxa"/>
            <w:tcBorders>
              <w:top w:val="single" w:sz="4" w:space="0" w:color="auto"/>
            </w:tcBorders>
            <w:shd w:val="clear" w:color="auto" w:fill="auto"/>
            <w:noWrap/>
            <w:vAlign w:val="center"/>
            <w:hideMark/>
          </w:tcPr>
          <w:p w14:paraId="48B88E4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tcBorders>
              <w:top w:val="single" w:sz="4" w:space="0" w:color="auto"/>
            </w:tcBorders>
            <w:shd w:val="clear" w:color="auto" w:fill="auto"/>
            <w:noWrap/>
            <w:vAlign w:val="center"/>
            <w:hideMark/>
          </w:tcPr>
          <w:p w14:paraId="6B362582"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1130" w:type="dxa"/>
            <w:tcBorders>
              <w:top w:val="single" w:sz="4" w:space="0" w:color="auto"/>
            </w:tcBorders>
            <w:shd w:val="clear" w:color="auto" w:fill="auto"/>
            <w:noWrap/>
            <w:vAlign w:val="center"/>
            <w:hideMark/>
          </w:tcPr>
          <w:p w14:paraId="1749DA86" w14:textId="77777777" w:rsidR="00A918AB" w:rsidRPr="00A918AB" w:rsidRDefault="001B407E" w:rsidP="00A918AB">
            <w:pPr>
              <w:jc w:val="right"/>
              <w:rPr>
                <w:rFonts w:ascii="Calibri" w:eastAsia="Times New Roman" w:hAnsi="Calibri" w:cs="Calibri"/>
                <w:sz w:val="20"/>
                <w:szCs w:val="20"/>
                <w:lang w:val="es-CR" w:eastAsia="es-CR"/>
              </w:rPr>
            </w:pPr>
            <w:r w:rsidRPr="001B407E">
              <w:rPr>
                <w:rFonts w:ascii="Calibri" w:eastAsia="Times New Roman" w:hAnsi="Calibri" w:cs="Calibri"/>
                <w:sz w:val="20"/>
                <w:szCs w:val="20"/>
                <w:lang w:val="es-CR" w:eastAsia="es-CR"/>
              </w:rPr>
              <w:t>87</w:t>
            </w:r>
            <w:r w:rsidR="000B2B50">
              <w:rPr>
                <w:rFonts w:ascii="Calibri" w:eastAsia="Times New Roman" w:hAnsi="Calibri" w:cs="Calibri"/>
                <w:sz w:val="20"/>
                <w:szCs w:val="20"/>
                <w:lang w:val="es-CR" w:eastAsia="es-CR"/>
              </w:rPr>
              <w:t> </w:t>
            </w:r>
            <w:r w:rsidRPr="001B407E">
              <w:rPr>
                <w:rFonts w:ascii="Calibri" w:eastAsia="Times New Roman" w:hAnsi="Calibri" w:cs="Calibri"/>
                <w:sz w:val="20"/>
                <w:szCs w:val="20"/>
                <w:lang w:val="es-CR" w:eastAsia="es-CR"/>
              </w:rPr>
              <w:t>622</w:t>
            </w:r>
          </w:p>
        </w:tc>
        <w:tc>
          <w:tcPr>
            <w:tcW w:w="850" w:type="dxa"/>
            <w:tcBorders>
              <w:top w:val="single" w:sz="4" w:space="0" w:color="auto"/>
            </w:tcBorders>
            <w:shd w:val="clear" w:color="auto" w:fill="auto"/>
            <w:noWrap/>
            <w:vAlign w:val="center"/>
            <w:hideMark/>
          </w:tcPr>
          <w:p w14:paraId="0751088C"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3,</w:t>
            </w:r>
            <w:r w:rsidR="006A6F3A">
              <w:rPr>
                <w:rFonts w:ascii="Calibri" w:eastAsia="Times New Roman" w:hAnsi="Calibri" w:cs="Calibri"/>
                <w:sz w:val="20"/>
                <w:szCs w:val="20"/>
                <w:lang w:val="es-CR" w:eastAsia="es-CR"/>
              </w:rPr>
              <w:t>39</w:t>
            </w:r>
            <w:r w:rsidRPr="00A918AB">
              <w:rPr>
                <w:rFonts w:ascii="Calibri" w:eastAsia="Times New Roman" w:hAnsi="Calibri" w:cs="Calibri"/>
                <w:sz w:val="20"/>
                <w:szCs w:val="20"/>
                <w:lang w:val="es-CR" w:eastAsia="es-CR"/>
              </w:rPr>
              <w:t>%</w:t>
            </w:r>
          </w:p>
        </w:tc>
        <w:tc>
          <w:tcPr>
            <w:tcW w:w="1134" w:type="dxa"/>
            <w:tcBorders>
              <w:top w:val="single" w:sz="4" w:space="0" w:color="auto"/>
            </w:tcBorders>
            <w:shd w:val="clear" w:color="auto" w:fill="auto"/>
            <w:noWrap/>
            <w:vAlign w:val="center"/>
            <w:hideMark/>
          </w:tcPr>
          <w:p w14:paraId="4AC1895F" w14:textId="77777777" w:rsidR="00A918AB" w:rsidRPr="00A918AB" w:rsidRDefault="002A4AA8" w:rsidP="00A918AB">
            <w:pPr>
              <w:jc w:val="right"/>
              <w:rPr>
                <w:rFonts w:ascii="Calibri" w:eastAsia="Times New Roman" w:hAnsi="Calibri" w:cs="Calibri"/>
                <w:sz w:val="20"/>
                <w:szCs w:val="20"/>
                <w:lang w:val="es-CR" w:eastAsia="es-CR"/>
              </w:rPr>
            </w:pPr>
            <w:r w:rsidRPr="002A4AA8">
              <w:rPr>
                <w:rFonts w:ascii="Calibri" w:eastAsia="Times New Roman" w:hAnsi="Calibri" w:cs="Calibri"/>
                <w:sz w:val="20"/>
                <w:szCs w:val="20"/>
                <w:lang w:val="es-CR" w:eastAsia="es-CR"/>
              </w:rPr>
              <w:t>2</w:t>
            </w:r>
            <w:r>
              <w:rPr>
                <w:rFonts w:ascii="Calibri" w:eastAsia="Times New Roman" w:hAnsi="Calibri" w:cs="Calibri"/>
                <w:sz w:val="20"/>
                <w:szCs w:val="20"/>
                <w:lang w:val="es-CR" w:eastAsia="es-CR"/>
              </w:rPr>
              <w:t xml:space="preserve"> </w:t>
            </w:r>
            <w:r w:rsidRPr="002A4AA8">
              <w:rPr>
                <w:rFonts w:ascii="Calibri" w:eastAsia="Times New Roman" w:hAnsi="Calibri" w:cs="Calibri"/>
                <w:sz w:val="20"/>
                <w:szCs w:val="20"/>
                <w:lang w:val="es-CR" w:eastAsia="es-CR"/>
              </w:rPr>
              <w:t>499</w:t>
            </w:r>
            <w:r w:rsidR="00D82BF9">
              <w:rPr>
                <w:rFonts w:ascii="Calibri" w:eastAsia="Times New Roman" w:hAnsi="Calibri" w:cs="Calibri"/>
                <w:sz w:val="20"/>
                <w:szCs w:val="20"/>
                <w:lang w:val="es-CR" w:eastAsia="es-CR"/>
              </w:rPr>
              <w:t> </w:t>
            </w:r>
            <w:r w:rsidRPr="002A4AA8">
              <w:rPr>
                <w:rFonts w:ascii="Calibri" w:eastAsia="Times New Roman" w:hAnsi="Calibri" w:cs="Calibri"/>
                <w:sz w:val="20"/>
                <w:szCs w:val="20"/>
                <w:lang w:val="es-CR" w:eastAsia="es-CR"/>
              </w:rPr>
              <w:t>301</w:t>
            </w:r>
          </w:p>
        </w:tc>
        <w:tc>
          <w:tcPr>
            <w:tcW w:w="743" w:type="dxa"/>
            <w:tcBorders>
              <w:top w:val="single" w:sz="4" w:space="0" w:color="auto"/>
            </w:tcBorders>
            <w:shd w:val="clear" w:color="auto" w:fill="auto"/>
            <w:noWrap/>
            <w:vAlign w:val="center"/>
            <w:hideMark/>
          </w:tcPr>
          <w:p w14:paraId="7DBFE949"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96,61</w:t>
            </w:r>
            <w:r w:rsidR="00A918AB" w:rsidRPr="00A918AB">
              <w:rPr>
                <w:rFonts w:ascii="Calibri" w:eastAsia="Times New Roman" w:hAnsi="Calibri" w:cs="Calibri"/>
                <w:sz w:val="20"/>
                <w:szCs w:val="20"/>
                <w:lang w:val="es-CR" w:eastAsia="es-CR"/>
              </w:rPr>
              <w:t>%</w:t>
            </w:r>
          </w:p>
        </w:tc>
        <w:tc>
          <w:tcPr>
            <w:tcW w:w="1242" w:type="dxa"/>
            <w:tcBorders>
              <w:top w:val="single" w:sz="4" w:space="0" w:color="auto"/>
            </w:tcBorders>
            <w:shd w:val="clear" w:color="auto" w:fill="auto"/>
            <w:noWrap/>
            <w:vAlign w:val="center"/>
            <w:hideMark/>
          </w:tcPr>
          <w:p w14:paraId="46658550" w14:textId="77777777" w:rsidR="00A918AB" w:rsidRPr="00A918AB" w:rsidRDefault="00B44B8D" w:rsidP="00A918AB">
            <w:pPr>
              <w:jc w:val="right"/>
              <w:rPr>
                <w:rFonts w:ascii="Calibri" w:eastAsia="Times New Roman" w:hAnsi="Calibri" w:cs="Calibri"/>
                <w:sz w:val="20"/>
                <w:szCs w:val="20"/>
                <w:lang w:val="es-CR" w:eastAsia="es-CR"/>
              </w:rPr>
            </w:pPr>
            <w:r w:rsidRPr="00B44B8D">
              <w:rPr>
                <w:rFonts w:ascii="Calibri" w:eastAsia="Times New Roman" w:hAnsi="Calibri" w:cs="Calibri"/>
                <w:sz w:val="20"/>
                <w:szCs w:val="20"/>
                <w:lang w:val="es-CR" w:eastAsia="es-CR"/>
              </w:rPr>
              <w:t>2</w:t>
            </w:r>
            <w:r>
              <w:rPr>
                <w:rFonts w:ascii="Calibri" w:eastAsia="Times New Roman" w:hAnsi="Calibri" w:cs="Calibri"/>
                <w:sz w:val="20"/>
                <w:szCs w:val="20"/>
                <w:lang w:val="es-CR" w:eastAsia="es-CR"/>
              </w:rPr>
              <w:t xml:space="preserve"> </w:t>
            </w:r>
            <w:r w:rsidRPr="00B44B8D">
              <w:rPr>
                <w:rFonts w:ascii="Calibri" w:eastAsia="Times New Roman" w:hAnsi="Calibri" w:cs="Calibri"/>
                <w:sz w:val="20"/>
                <w:szCs w:val="20"/>
                <w:lang w:val="es-CR" w:eastAsia="es-CR"/>
              </w:rPr>
              <w:t>586</w:t>
            </w:r>
            <w:r>
              <w:rPr>
                <w:rFonts w:ascii="Calibri" w:eastAsia="Times New Roman" w:hAnsi="Calibri" w:cs="Calibri"/>
                <w:sz w:val="20"/>
                <w:szCs w:val="20"/>
                <w:lang w:val="es-CR" w:eastAsia="es-CR"/>
              </w:rPr>
              <w:t xml:space="preserve"> </w:t>
            </w:r>
            <w:r w:rsidRPr="00B44B8D">
              <w:rPr>
                <w:rFonts w:ascii="Calibri" w:eastAsia="Times New Roman" w:hAnsi="Calibri" w:cs="Calibri"/>
                <w:sz w:val="20"/>
                <w:szCs w:val="20"/>
                <w:lang w:val="es-CR" w:eastAsia="es-CR"/>
              </w:rPr>
              <w:t>923</w:t>
            </w:r>
          </w:p>
        </w:tc>
      </w:tr>
      <w:tr w:rsidR="0073533A" w:rsidRPr="00A918AB" w14:paraId="545413CF" w14:textId="77777777" w:rsidTr="004D7577">
        <w:trPr>
          <w:trHeight w:val="315"/>
          <w:jc w:val="center"/>
        </w:trPr>
        <w:tc>
          <w:tcPr>
            <w:tcW w:w="8812" w:type="dxa"/>
            <w:gridSpan w:val="8"/>
            <w:shd w:val="clear" w:color="auto" w:fill="auto"/>
            <w:noWrap/>
            <w:vAlign w:val="center"/>
            <w:hideMark/>
          </w:tcPr>
          <w:p w14:paraId="16EB1A13"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Básicos Sustitutos</w:t>
            </w:r>
          </w:p>
        </w:tc>
      </w:tr>
      <w:tr w:rsidR="008A13C6" w:rsidRPr="00A918AB" w14:paraId="3114CF0F" w14:textId="77777777" w:rsidTr="004D7577">
        <w:trPr>
          <w:trHeight w:val="315"/>
          <w:jc w:val="center"/>
        </w:trPr>
        <w:tc>
          <w:tcPr>
            <w:tcW w:w="1843" w:type="dxa"/>
            <w:shd w:val="clear" w:color="auto" w:fill="auto"/>
            <w:noWrap/>
            <w:vAlign w:val="center"/>
            <w:hideMark/>
          </w:tcPr>
          <w:p w14:paraId="3888BBEC"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RCCMN</w:t>
            </w:r>
          </w:p>
        </w:tc>
        <w:tc>
          <w:tcPr>
            <w:tcW w:w="992" w:type="dxa"/>
            <w:shd w:val="clear" w:color="auto" w:fill="auto"/>
            <w:noWrap/>
            <w:vAlign w:val="center"/>
            <w:hideMark/>
          </w:tcPr>
          <w:p w14:paraId="709E30C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shd w:val="clear" w:color="auto" w:fill="auto"/>
            <w:noWrap/>
            <w:vAlign w:val="center"/>
            <w:hideMark/>
          </w:tcPr>
          <w:p w14:paraId="7FC1957B"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0,00%</w:t>
            </w:r>
          </w:p>
        </w:tc>
        <w:tc>
          <w:tcPr>
            <w:tcW w:w="1130" w:type="dxa"/>
            <w:shd w:val="clear" w:color="auto" w:fill="auto"/>
            <w:noWrap/>
            <w:vAlign w:val="center"/>
            <w:hideMark/>
          </w:tcPr>
          <w:p w14:paraId="40909E92" w14:textId="77777777" w:rsidR="001A01F9" w:rsidRPr="00A918AB" w:rsidRDefault="001A01F9" w:rsidP="00A918AB">
            <w:pPr>
              <w:jc w:val="right"/>
              <w:rPr>
                <w:rFonts w:ascii="Calibri" w:eastAsia="Times New Roman" w:hAnsi="Calibri" w:cs="Calibri"/>
                <w:sz w:val="20"/>
                <w:szCs w:val="20"/>
                <w:lang w:val="es-CR" w:eastAsia="es-CR"/>
              </w:rPr>
            </w:pPr>
            <w:r w:rsidRPr="001A01F9">
              <w:rPr>
                <w:rFonts w:ascii="Calibri" w:eastAsia="Times New Roman" w:hAnsi="Calibri" w:cs="Calibri"/>
                <w:sz w:val="20"/>
                <w:szCs w:val="20"/>
                <w:lang w:val="es-CR" w:eastAsia="es-CR"/>
              </w:rPr>
              <w:t>454</w:t>
            </w:r>
            <w:r w:rsidR="000B2B50">
              <w:rPr>
                <w:rFonts w:ascii="Calibri" w:eastAsia="Times New Roman" w:hAnsi="Calibri" w:cs="Calibri"/>
                <w:sz w:val="20"/>
                <w:szCs w:val="20"/>
                <w:lang w:val="es-CR" w:eastAsia="es-CR"/>
              </w:rPr>
              <w:t> </w:t>
            </w:r>
            <w:r w:rsidRPr="001A01F9">
              <w:rPr>
                <w:rFonts w:ascii="Calibri" w:eastAsia="Times New Roman" w:hAnsi="Calibri" w:cs="Calibri"/>
                <w:sz w:val="20"/>
                <w:szCs w:val="20"/>
                <w:lang w:val="es-CR" w:eastAsia="es-CR"/>
              </w:rPr>
              <w:t>92</w:t>
            </w:r>
            <w:r w:rsidR="004E1ED2">
              <w:rPr>
                <w:rFonts w:ascii="Calibri" w:eastAsia="Times New Roman" w:hAnsi="Calibri" w:cs="Calibri"/>
                <w:sz w:val="20"/>
                <w:szCs w:val="20"/>
                <w:lang w:val="es-CR" w:eastAsia="es-CR"/>
              </w:rPr>
              <w:t>7</w:t>
            </w:r>
          </w:p>
        </w:tc>
        <w:tc>
          <w:tcPr>
            <w:tcW w:w="850" w:type="dxa"/>
            <w:shd w:val="clear" w:color="auto" w:fill="auto"/>
            <w:noWrap/>
            <w:vAlign w:val="center"/>
            <w:hideMark/>
          </w:tcPr>
          <w:p w14:paraId="07202FDE" w14:textId="77777777" w:rsidR="00A918AB" w:rsidRPr="00A918AB" w:rsidRDefault="006A6F3A" w:rsidP="006A6F3A">
            <w:pPr>
              <w:jc w:val="center"/>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13,14</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78D90F8B" w14:textId="77777777" w:rsidR="004E1ED2" w:rsidRPr="00A918AB" w:rsidRDefault="004E1ED2" w:rsidP="00A918AB">
            <w:pPr>
              <w:jc w:val="right"/>
              <w:rPr>
                <w:rFonts w:ascii="Calibri" w:eastAsia="Times New Roman" w:hAnsi="Calibri" w:cs="Calibri"/>
                <w:sz w:val="20"/>
                <w:szCs w:val="20"/>
                <w:lang w:val="es-CR" w:eastAsia="es-CR"/>
              </w:rPr>
            </w:pPr>
            <w:r w:rsidRPr="004E1ED2">
              <w:rPr>
                <w:rFonts w:ascii="Calibri" w:eastAsia="Times New Roman" w:hAnsi="Calibri" w:cs="Calibri"/>
                <w:sz w:val="20"/>
                <w:szCs w:val="20"/>
                <w:lang w:val="es-CR" w:eastAsia="es-CR"/>
              </w:rPr>
              <w:t>3</w:t>
            </w:r>
            <w:r w:rsidR="00140BEC">
              <w:rPr>
                <w:rFonts w:ascii="Calibri" w:eastAsia="Times New Roman" w:hAnsi="Calibri" w:cs="Calibri"/>
                <w:sz w:val="20"/>
                <w:szCs w:val="20"/>
                <w:lang w:val="es-CR" w:eastAsia="es-CR"/>
              </w:rPr>
              <w:t xml:space="preserve"> </w:t>
            </w:r>
            <w:r w:rsidRPr="004E1ED2">
              <w:rPr>
                <w:rFonts w:ascii="Calibri" w:eastAsia="Times New Roman" w:hAnsi="Calibri" w:cs="Calibri"/>
                <w:sz w:val="20"/>
                <w:szCs w:val="20"/>
                <w:lang w:val="es-CR" w:eastAsia="es-CR"/>
              </w:rPr>
              <w:t>006</w:t>
            </w:r>
            <w:r w:rsidR="000B2B50">
              <w:rPr>
                <w:rFonts w:ascii="Calibri" w:eastAsia="Times New Roman" w:hAnsi="Calibri" w:cs="Calibri"/>
                <w:sz w:val="20"/>
                <w:szCs w:val="20"/>
                <w:lang w:val="es-CR" w:eastAsia="es-CR"/>
              </w:rPr>
              <w:t> </w:t>
            </w:r>
            <w:r w:rsidRPr="004E1ED2">
              <w:rPr>
                <w:rFonts w:ascii="Calibri" w:eastAsia="Times New Roman" w:hAnsi="Calibri" w:cs="Calibri"/>
                <w:sz w:val="20"/>
                <w:szCs w:val="20"/>
                <w:lang w:val="es-CR" w:eastAsia="es-CR"/>
              </w:rPr>
              <w:t>26</w:t>
            </w:r>
            <w:r>
              <w:rPr>
                <w:rFonts w:ascii="Calibri" w:eastAsia="Times New Roman" w:hAnsi="Calibri" w:cs="Calibri"/>
                <w:sz w:val="20"/>
                <w:szCs w:val="20"/>
                <w:lang w:val="es-CR" w:eastAsia="es-CR"/>
              </w:rPr>
              <w:t>9</w:t>
            </w:r>
          </w:p>
        </w:tc>
        <w:tc>
          <w:tcPr>
            <w:tcW w:w="743" w:type="dxa"/>
            <w:shd w:val="clear" w:color="auto" w:fill="auto"/>
            <w:noWrap/>
            <w:vAlign w:val="center"/>
            <w:hideMark/>
          </w:tcPr>
          <w:p w14:paraId="3A3634AB"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86,86</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4C8F509F" w14:textId="77777777" w:rsidR="00A918AB" w:rsidRPr="00A918AB" w:rsidRDefault="0045353A" w:rsidP="00A918AB">
            <w:pPr>
              <w:jc w:val="right"/>
              <w:rPr>
                <w:rFonts w:ascii="Calibri" w:eastAsia="Times New Roman" w:hAnsi="Calibri" w:cs="Calibri"/>
                <w:sz w:val="20"/>
                <w:szCs w:val="20"/>
                <w:lang w:val="es-CR" w:eastAsia="es-CR"/>
              </w:rPr>
            </w:pPr>
            <w:r w:rsidRPr="0045353A">
              <w:rPr>
                <w:rFonts w:ascii="Calibri" w:eastAsia="Times New Roman" w:hAnsi="Calibri" w:cs="Calibri"/>
                <w:sz w:val="20"/>
                <w:szCs w:val="20"/>
                <w:lang w:val="es-CR" w:eastAsia="es-CR"/>
              </w:rPr>
              <w:t>3</w:t>
            </w:r>
            <w:r>
              <w:rPr>
                <w:rFonts w:ascii="Calibri" w:eastAsia="Times New Roman" w:hAnsi="Calibri" w:cs="Calibri"/>
                <w:sz w:val="20"/>
                <w:szCs w:val="20"/>
                <w:lang w:val="es-CR" w:eastAsia="es-CR"/>
              </w:rPr>
              <w:t xml:space="preserve"> </w:t>
            </w:r>
            <w:r w:rsidRPr="0045353A">
              <w:rPr>
                <w:rFonts w:ascii="Calibri" w:eastAsia="Times New Roman" w:hAnsi="Calibri" w:cs="Calibri"/>
                <w:sz w:val="20"/>
                <w:szCs w:val="20"/>
                <w:lang w:val="es-CR" w:eastAsia="es-CR"/>
              </w:rPr>
              <w:t>461</w:t>
            </w:r>
            <w:r>
              <w:rPr>
                <w:rFonts w:ascii="Calibri" w:eastAsia="Times New Roman" w:hAnsi="Calibri" w:cs="Calibri"/>
                <w:sz w:val="20"/>
                <w:szCs w:val="20"/>
                <w:lang w:val="es-CR" w:eastAsia="es-CR"/>
              </w:rPr>
              <w:t xml:space="preserve"> </w:t>
            </w:r>
            <w:r w:rsidRPr="0045353A">
              <w:rPr>
                <w:rFonts w:ascii="Calibri" w:eastAsia="Times New Roman" w:hAnsi="Calibri" w:cs="Calibri"/>
                <w:sz w:val="20"/>
                <w:szCs w:val="20"/>
                <w:lang w:val="es-CR" w:eastAsia="es-CR"/>
              </w:rPr>
              <w:t>196</w:t>
            </w:r>
          </w:p>
        </w:tc>
      </w:tr>
      <w:tr w:rsidR="008A13C6" w:rsidRPr="00A918AB" w14:paraId="7A6E7012" w14:textId="77777777" w:rsidTr="004D7577">
        <w:trPr>
          <w:trHeight w:val="315"/>
          <w:jc w:val="center"/>
        </w:trPr>
        <w:tc>
          <w:tcPr>
            <w:tcW w:w="1843" w:type="dxa"/>
            <w:shd w:val="clear" w:color="auto" w:fill="auto"/>
            <w:noWrap/>
            <w:vAlign w:val="center"/>
            <w:hideMark/>
          </w:tcPr>
          <w:p w14:paraId="0658507D"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FPJ</w:t>
            </w:r>
          </w:p>
        </w:tc>
        <w:tc>
          <w:tcPr>
            <w:tcW w:w="992" w:type="dxa"/>
            <w:shd w:val="clear" w:color="auto" w:fill="auto"/>
            <w:noWrap/>
            <w:vAlign w:val="center"/>
            <w:hideMark/>
          </w:tcPr>
          <w:p w14:paraId="05147D51" w14:textId="77777777" w:rsidR="00A918AB" w:rsidRPr="00A918AB" w:rsidRDefault="00140BEC" w:rsidP="00A918AB">
            <w:pPr>
              <w:jc w:val="right"/>
              <w:rPr>
                <w:rFonts w:ascii="Calibri" w:eastAsia="Times New Roman" w:hAnsi="Calibri" w:cs="Calibri"/>
                <w:sz w:val="20"/>
                <w:szCs w:val="20"/>
                <w:lang w:val="es-CR" w:eastAsia="es-CR"/>
              </w:rPr>
            </w:pPr>
            <w:r w:rsidRPr="00140BEC">
              <w:rPr>
                <w:rFonts w:ascii="Calibri" w:eastAsia="Times New Roman" w:hAnsi="Calibri" w:cs="Calibri"/>
                <w:sz w:val="20"/>
                <w:szCs w:val="20"/>
                <w:lang w:val="es-CR" w:eastAsia="es-CR"/>
              </w:rPr>
              <w:t>14</w:t>
            </w:r>
            <w:r w:rsidR="000B2B50">
              <w:rPr>
                <w:rFonts w:ascii="Calibri" w:eastAsia="Times New Roman" w:hAnsi="Calibri" w:cs="Calibri"/>
                <w:sz w:val="20"/>
                <w:szCs w:val="20"/>
                <w:lang w:val="es-CR" w:eastAsia="es-CR"/>
              </w:rPr>
              <w:t> </w:t>
            </w:r>
            <w:r w:rsidRPr="00140BEC">
              <w:rPr>
                <w:rFonts w:ascii="Calibri" w:eastAsia="Times New Roman" w:hAnsi="Calibri" w:cs="Calibri"/>
                <w:sz w:val="20"/>
                <w:szCs w:val="20"/>
                <w:lang w:val="es-CR" w:eastAsia="es-CR"/>
              </w:rPr>
              <w:t>258</w:t>
            </w:r>
          </w:p>
        </w:tc>
        <w:tc>
          <w:tcPr>
            <w:tcW w:w="851" w:type="dxa"/>
            <w:shd w:val="clear" w:color="auto" w:fill="auto"/>
            <w:noWrap/>
            <w:vAlign w:val="center"/>
            <w:hideMark/>
          </w:tcPr>
          <w:p w14:paraId="7E183ED9" w14:textId="77777777" w:rsidR="00A918AB" w:rsidRPr="00A918AB" w:rsidRDefault="0065622C"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2,04</w:t>
            </w:r>
            <w:r w:rsidR="00A918AB" w:rsidRPr="00A918AB">
              <w:rPr>
                <w:rFonts w:ascii="Calibri" w:eastAsia="Times New Roman" w:hAnsi="Calibri" w:cs="Calibri"/>
                <w:sz w:val="20"/>
                <w:szCs w:val="20"/>
                <w:lang w:val="es-CR" w:eastAsia="es-CR"/>
              </w:rPr>
              <w:t>%</w:t>
            </w:r>
          </w:p>
        </w:tc>
        <w:tc>
          <w:tcPr>
            <w:tcW w:w="1130" w:type="dxa"/>
            <w:shd w:val="clear" w:color="auto" w:fill="auto"/>
            <w:noWrap/>
            <w:vAlign w:val="center"/>
            <w:hideMark/>
          </w:tcPr>
          <w:p w14:paraId="03301468" w14:textId="77777777" w:rsidR="00D4773D" w:rsidRPr="00A918AB" w:rsidRDefault="00D4773D" w:rsidP="00A918AB">
            <w:pPr>
              <w:jc w:val="right"/>
              <w:rPr>
                <w:rFonts w:ascii="Calibri" w:eastAsia="Times New Roman" w:hAnsi="Calibri" w:cs="Calibri"/>
                <w:sz w:val="20"/>
                <w:szCs w:val="20"/>
                <w:lang w:val="es-CR" w:eastAsia="es-CR"/>
              </w:rPr>
            </w:pPr>
            <w:r w:rsidRPr="00D4773D">
              <w:rPr>
                <w:rFonts w:ascii="Calibri" w:eastAsia="Times New Roman" w:hAnsi="Calibri" w:cs="Calibri"/>
                <w:sz w:val="20"/>
                <w:szCs w:val="20"/>
                <w:lang w:val="es-CR" w:eastAsia="es-CR"/>
              </w:rPr>
              <w:t>133</w:t>
            </w:r>
            <w:r w:rsidR="000B2B50">
              <w:rPr>
                <w:rFonts w:ascii="Calibri" w:eastAsia="Times New Roman" w:hAnsi="Calibri" w:cs="Calibri"/>
                <w:sz w:val="20"/>
                <w:szCs w:val="20"/>
                <w:lang w:val="es-CR" w:eastAsia="es-CR"/>
              </w:rPr>
              <w:t> </w:t>
            </w:r>
            <w:r w:rsidRPr="00D4773D">
              <w:rPr>
                <w:rFonts w:ascii="Calibri" w:eastAsia="Times New Roman" w:hAnsi="Calibri" w:cs="Calibri"/>
                <w:sz w:val="20"/>
                <w:szCs w:val="20"/>
                <w:lang w:val="es-CR" w:eastAsia="es-CR"/>
              </w:rPr>
              <w:t>99</w:t>
            </w:r>
            <w:r>
              <w:rPr>
                <w:rFonts w:ascii="Calibri" w:eastAsia="Times New Roman" w:hAnsi="Calibri" w:cs="Calibri"/>
                <w:sz w:val="20"/>
                <w:szCs w:val="20"/>
                <w:lang w:val="es-CR" w:eastAsia="es-CR"/>
              </w:rPr>
              <w:t>3</w:t>
            </w:r>
          </w:p>
        </w:tc>
        <w:tc>
          <w:tcPr>
            <w:tcW w:w="850" w:type="dxa"/>
            <w:shd w:val="clear" w:color="auto" w:fill="auto"/>
            <w:noWrap/>
            <w:vAlign w:val="center"/>
            <w:hideMark/>
          </w:tcPr>
          <w:p w14:paraId="668B79C6" w14:textId="77777777" w:rsidR="00A918AB" w:rsidRPr="00A918AB" w:rsidRDefault="006A6F3A"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19,21</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0FCB9047" w14:textId="77777777" w:rsidR="001E0F70" w:rsidRPr="00A918AB" w:rsidRDefault="001E0F70" w:rsidP="00A918AB">
            <w:pPr>
              <w:jc w:val="right"/>
              <w:rPr>
                <w:rFonts w:ascii="Calibri" w:eastAsia="Times New Roman" w:hAnsi="Calibri" w:cs="Calibri"/>
                <w:sz w:val="20"/>
                <w:szCs w:val="20"/>
                <w:lang w:val="es-CR" w:eastAsia="es-CR"/>
              </w:rPr>
            </w:pPr>
            <w:r w:rsidRPr="001E0F70">
              <w:rPr>
                <w:rFonts w:ascii="Calibri" w:eastAsia="Times New Roman" w:hAnsi="Calibri" w:cs="Calibri"/>
                <w:sz w:val="20"/>
                <w:szCs w:val="20"/>
                <w:lang w:val="es-CR" w:eastAsia="es-CR"/>
              </w:rPr>
              <w:t>549</w:t>
            </w:r>
            <w:r w:rsidR="000B2B50">
              <w:rPr>
                <w:rFonts w:ascii="Calibri" w:eastAsia="Times New Roman" w:hAnsi="Calibri" w:cs="Calibri"/>
                <w:sz w:val="20"/>
                <w:szCs w:val="20"/>
                <w:lang w:val="es-CR" w:eastAsia="es-CR"/>
              </w:rPr>
              <w:t> </w:t>
            </w:r>
            <w:r w:rsidRPr="001E0F70">
              <w:rPr>
                <w:rFonts w:ascii="Calibri" w:eastAsia="Times New Roman" w:hAnsi="Calibri" w:cs="Calibri"/>
                <w:sz w:val="20"/>
                <w:szCs w:val="20"/>
                <w:lang w:val="es-CR" w:eastAsia="es-CR"/>
              </w:rPr>
              <w:t>422</w:t>
            </w:r>
          </w:p>
        </w:tc>
        <w:tc>
          <w:tcPr>
            <w:tcW w:w="743" w:type="dxa"/>
            <w:shd w:val="clear" w:color="auto" w:fill="auto"/>
            <w:noWrap/>
            <w:vAlign w:val="center"/>
            <w:hideMark/>
          </w:tcPr>
          <w:p w14:paraId="0F6ABB21"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78,75</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0C999178" w14:textId="77777777" w:rsidR="00A918AB" w:rsidRPr="00A918AB" w:rsidRDefault="0045353A" w:rsidP="0045353A">
            <w:pPr>
              <w:jc w:val="right"/>
              <w:rPr>
                <w:rFonts w:ascii="Calibri" w:eastAsia="Times New Roman" w:hAnsi="Calibri" w:cs="Calibri"/>
                <w:sz w:val="20"/>
                <w:szCs w:val="20"/>
                <w:lang w:val="es-CR" w:eastAsia="es-CR"/>
              </w:rPr>
            </w:pPr>
            <w:r w:rsidRPr="0045353A">
              <w:rPr>
                <w:rFonts w:ascii="Calibri" w:eastAsia="Times New Roman" w:hAnsi="Calibri" w:cs="Calibri"/>
                <w:sz w:val="20"/>
                <w:szCs w:val="20"/>
                <w:lang w:val="es-CR" w:eastAsia="es-CR"/>
              </w:rPr>
              <w:t>697</w:t>
            </w:r>
            <w:r>
              <w:rPr>
                <w:rFonts w:ascii="Calibri" w:eastAsia="Times New Roman" w:hAnsi="Calibri" w:cs="Calibri"/>
                <w:sz w:val="20"/>
                <w:szCs w:val="20"/>
                <w:lang w:val="es-CR" w:eastAsia="es-CR"/>
              </w:rPr>
              <w:t xml:space="preserve"> </w:t>
            </w:r>
            <w:r w:rsidRPr="0045353A">
              <w:rPr>
                <w:rFonts w:ascii="Calibri" w:eastAsia="Times New Roman" w:hAnsi="Calibri" w:cs="Calibri"/>
                <w:sz w:val="20"/>
                <w:szCs w:val="20"/>
                <w:lang w:val="es-CR" w:eastAsia="es-CR"/>
              </w:rPr>
              <w:t>673</w:t>
            </w:r>
          </w:p>
        </w:tc>
      </w:tr>
      <w:tr w:rsidR="008A13C6" w:rsidRPr="00A918AB" w14:paraId="75BAEC75" w14:textId="77777777" w:rsidTr="004D7577">
        <w:trPr>
          <w:trHeight w:val="315"/>
          <w:jc w:val="center"/>
        </w:trPr>
        <w:tc>
          <w:tcPr>
            <w:tcW w:w="1843" w:type="dxa"/>
            <w:shd w:val="clear" w:color="auto" w:fill="auto"/>
            <w:noWrap/>
            <w:vAlign w:val="center"/>
            <w:hideMark/>
          </w:tcPr>
          <w:p w14:paraId="79CE6DAD" w14:textId="77777777" w:rsidR="00A918AB" w:rsidRPr="00A918AB" w:rsidRDefault="00A918AB" w:rsidP="00A918AB">
            <w:pPr>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     FBOMBEROS</w:t>
            </w:r>
          </w:p>
        </w:tc>
        <w:tc>
          <w:tcPr>
            <w:tcW w:w="992" w:type="dxa"/>
            <w:shd w:val="clear" w:color="auto" w:fill="auto"/>
            <w:noWrap/>
            <w:vAlign w:val="center"/>
            <w:hideMark/>
          </w:tcPr>
          <w:p w14:paraId="7F5291E3"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p>
        </w:tc>
        <w:tc>
          <w:tcPr>
            <w:tcW w:w="851" w:type="dxa"/>
            <w:shd w:val="clear" w:color="auto" w:fill="auto"/>
            <w:noWrap/>
            <w:vAlign w:val="center"/>
            <w:hideMark/>
          </w:tcPr>
          <w:p w14:paraId="1DB39E0A"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0,00%</w:t>
            </w:r>
          </w:p>
        </w:tc>
        <w:tc>
          <w:tcPr>
            <w:tcW w:w="1130" w:type="dxa"/>
            <w:shd w:val="clear" w:color="auto" w:fill="auto"/>
            <w:noWrap/>
            <w:vAlign w:val="center"/>
            <w:hideMark/>
          </w:tcPr>
          <w:p w14:paraId="0EC2A0C1" w14:textId="77777777" w:rsidR="00D70A04" w:rsidRPr="00A918AB" w:rsidRDefault="00D70A04" w:rsidP="00A918AB">
            <w:pPr>
              <w:jc w:val="right"/>
              <w:rPr>
                <w:rFonts w:ascii="Calibri" w:eastAsia="Times New Roman" w:hAnsi="Calibri" w:cs="Calibri"/>
                <w:sz w:val="20"/>
                <w:szCs w:val="20"/>
                <w:lang w:val="es-CR" w:eastAsia="es-CR"/>
              </w:rPr>
            </w:pPr>
            <w:r w:rsidRPr="00D70A04">
              <w:rPr>
                <w:rFonts w:ascii="Calibri" w:eastAsia="Times New Roman" w:hAnsi="Calibri" w:cs="Calibri"/>
                <w:sz w:val="20"/>
                <w:szCs w:val="20"/>
                <w:lang w:val="es-CR" w:eastAsia="es-CR"/>
              </w:rPr>
              <w:t>18</w:t>
            </w:r>
            <w:r w:rsidR="000B2B50">
              <w:rPr>
                <w:rFonts w:ascii="Calibri" w:eastAsia="Times New Roman" w:hAnsi="Calibri" w:cs="Calibri"/>
                <w:sz w:val="20"/>
                <w:szCs w:val="20"/>
                <w:lang w:val="es-CR" w:eastAsia="es-CR"/>
              </w:rPr>
              <w:t> </w:t>
            </w:r>
            <w:r w:rsidRPr="00D70A04">
              <w:rPr>
                <w:rFonts w:ascii="Calibri" w:eastAsia="Times New Roman" w:hAnsi="Calibri" w:cs="Calibri"/>
                <w:sz w:val="20"/>
                <w:szCs w:val="20"/>
                <w:lang w:val="es-CR" w:eastAsia="es-CR"/>
              </w:rPr>
              <w:t>49</w:t>
            </w:r>
            <w:r>
              <w:rPr>
                <w:rFonts w:ascii="Calibri" w:eastAsia="Times New Roman" w:hAnsi="Calibri" w:cs="Calibri"/>
                <w:sz w:val="20"/>
                <w:szCs w:val="20"/>
                <w:lang w:val="es-CR" w:eastAsia="es-CR"/>
              </w:rPr>
              <w:t>7</w:t>
            </w:r>
          </w:p>
        </w:tc>
        <w:tc>
          <w:tcPr>
            <w:tcW w:w="850" w:type="dxa"/>
            <w:shd w:val="clear" w:color="auto" w:fill="auto"/>
            <w:noWrap/>
            <w:vAlign w:val="center"/>
            <w:hideMark/>
          </w:tcPr>
          <w:p w14:paraId="5B9DCBA7" w14:textId="77777777" w:rsidR="00A918AB" w:rsidRPr="00A918AB" w:rsidRDefault="006A6F3A"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37,71</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4F9AA0B5" w14:textId="77777777" w:rsidR="005860E2" w:rsidRPr="00A918AB" w:rsidRDefault="005860E2" w:rsidP="005860E2">
            <w:pPr>
              <w:jc w:val="right"/>
              <w:rPr>
                <w:rFonts w:ascii="Calibri" w:eastAsia="Times New Roman" w:hAnsi="Calibri" w:cs="Calibri"/>
                <w:sz w:val="20"/>
                <w:szCs w:val="20"/>
                <w:lang w:val="es-CR" w:eastAsia="es-CR"/>
              </w:rPr>
            </w:pPr>
            <w:r w:rsidRPr="005860E2">
              <w:rPr>
                <w:rFonts w:ascii="Calibri" w:eastAsia="Times New Roman" w:hAnsi="Calibri" w:cs="Calibri"/>
                <w:sz w:val="20"/>
                <w:szCs w:val="20"/>
                <w:lang w:val="es-CR" w:eastAsia="es-CR"/>
              </w:rPr>
              <w:t>30</w:t>
            </w:r>
            <w:r w:rsidR="000B2B50">
              <w:rPr>
                <w:rFonts w:ascii="Calibri" w:eastAsia="Times New Roman" w:hAnsi="Calibri" w:cs="Calibri"/>
                <w:sz w:val="20"/>
                <w:szCs w:val="20"/>
                <w:lang w:val="es-CR" w:eastAsia="es-CR"/>
              </w:rPr>
              <w:t> </w:t>
            </w:r>
            <w:r w:rsidRPr="005860E2">
              <w:rPr>
                <w:rFonts w:ascii="Calibri" w:eastAsia="Times New Roman" w:hAnsi="Calibri" w:cs="Calibri"/>
                <w:sz w:val="20"/>
                <w:szCs w:val="20"/>
                <w:lang w:val="es-CR" w:eastAsia="es-CR"/>
              </w:rPr>
              <w:t>55</w:t>
            </w:r>
            <w:r>
              <w:rPr>
                <w:rFonts w:ascii="Calibri" w:eastAsia="Times New Roman" w:hAnsi="Calibri" w:cs="Calibri"/>
                <w:sz w:val="20"/>
                <w:szCs w:val="20"/>
                <w:lang w:val="es-CR" w:eastAsia="es-CR"/>
              </w:rPr>
              <w:t>9</w:t>
            </w:r>
          </w:p>
        </w:tc>
        <w:tc>
          <w:tcPr>
            <w:tcW w:w="743" w:type="dxa"/>
            <w:shd w:val="clear" w:color="auto" w:fill="auto"/>
            <w:noWrap/>
            <w:vAlign w:val="center"/>
            <w:hideMark/>
          </w:tcPr>
          <w:p w14:paraId="7A140DD3"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62,29</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6E636231" w14:textId="77777777" w:rsidR="00A918AB" w:rsidRPr="00A918AB" w:rsidRDefault="0045353A" w:rsidP="00A918AB">
            <w:pPr>
              <w:jc w:val="right"/>
              <w:rPr>
                <w:rFonts w:ascii="Calibri" w:eastAsia="Times New Roman" w:hAnsi="Calibri" w:cs="Calibri"/>
                <w:sz w:val="20"/>
                <w:szCs w:val="20"/>
                <w:lang w:val="es-CR" w:eastAsia="es-CR"/>
              </w:rPr>
            </w:pPr>
            <w:r w:rsidRPr="0045353A">
              <w:rPr>
                <w:rFonts w:ascii="Calibri" w:eastAsia="Times New Roman" w:hAnsi="Calibri" w:cs="Calibri"/>
                <w:sz w:val="20"/>
                <w:szCs w:val="20"/>
                <w:lang w:val="es-CR" w:eastAsia="es-CR"/>
              </w:rPr>
              <w:t>49</w:t>
            </w:r>
            <w:r>
              <w:rPr>
                <w:rFonts w:ascii="Calibri" w:eastAsia="Times New Roman" w:hAnsi="Calibri" w:cs="Calibri"/>
                <w:sz w:val="20"/>
                <w:szCs w:val="20"/>
                <w:lang w:val="es-CR" w:eastAsia="es-CR"/>
              </w:rPr>
              <w:t xml:space="preserve"> </w:t>
            </w:r>
            <w:r w:rsidRPr="0045353A">
              <w:rPr>
                <w:rFonts w:ascii="Calibri" w:eastAsia="Times New Roman" w:hAnsi="Calibri" w:cs="Calibri"/>
                <w:sz w:val="20"/>
                <w:szCs w:val="20"/>
                <w:lang w:val="es-CR" w:eastAsia="es-CR"/>
              </w:rPr>
              <w:t>056</w:t>
            </w:r>
          </w:p>
        </w:tc>
      </w:tr>
      <w:tr w:rsidR="008A13C6" w:rsidRPr="00A918AB" w14:paraId="3E0BF899" w14:textId="77777777" w:rsidTr="004D7577">
        <w:trPr>
          <w:trHeight w:val="315"/>
          <w:jc w:val="center"/>
        </w:trPr>
        <w:tc>
          <w:tcPr>
            <w:tcW w:w="1843" w:type="dxa"/>
            <w:shd w:val="clear" w:color="auto" w:fill="auto"/>
            <w:noWrap/>
            <w:vAlign w:val="center"/>
            <w:hideMark/>
          </w:tcPr>
          <w:p w14:paraId="1F0E2BAF"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Ocupacionales</w:t>
            </w:r>
          </w:p>
        </w:tc>
        <w:tc>
          <w:tcPr>
            <w:tcW w:w="992" w:type="dxa"/>
            <w:shd w:val="clear" w:color="auto" w:fill="auto"/>
            <w:noWrap/>
            <w:vAlign w:val="center"/>
            <w:hideMark/>
          </w:tcPr>
          <w:p w14:paraId="7DAE90B1" w14:textId="77777777" w:rsidR="0007328F" w:rsidRPr="00A918AB" w:rsidRDefault="0007328F" w:rsidP="00A918AB">
            <w:pPr>
              <w:jc w:val="right"/>
              <w:rPr>
                <w:rFonts w:ascii="Calibri" w:eastAsia="Times New Roman" w:hAnsi="Calibri" w:cs="Calibri"/>
                <w:sz w:val="20"/>
                <w:szCs w:val="20"/>
                <w:lang w:val="es-CR" w:eastAsia="es-CR"/>
              </w:rPr>
            </w:pPr>
            <w:r w:rsidRPr="0007328F">
              <w:rPr>
                <w:rFonts w:ascii="Calibri" w:eastAsia="Times New Roman" w:hAnsi="Calibri" w:cs="Calibri"/>
                <w:sz w:val="20"/>
                <w:szCs w:val="20"/>
                <w:lang w:val="es-CR" w:eastAsia="es-CR"/>
              </w:rPr>
              <w:t>7</w:t>
            </w:r>
            <w:r w:rsidR="000B2B50">
              <w:rPr>
                <w:rFonts w:ascii="Calibri" w:eastAsia="Times New Roman" w:hAnsi="Calibri" w:cs="Calibri"/>
                <w:sz w:val="20"/>
                <w:szCs w:val="20"/>
                <w:lang w:val="es-CR" w:eastAsia="es-CR"/>
              </w:rPr>
              <w:t> </w:t>
            </w:r>
            <w:r w:rsidRPr="0007328F">
              <w:rPr>
                <w:rFonts w:ascii="Calibri" w:eastAsia="Times New Roman" w:hAnsi="Calibri" w:cs="Calibri"/>
                <w:sz w:val="20"/>
                <w:szCs w:val="20"/>
                <w:lang w:val="es-CR" w:eastAsia="es-CR"/>
              </w:rPr>
              <w:t>365</w:t>
            </w:r>
          </w:p>
        </w:tc>
        <w:tc>
          <w:tcPr>
            <w:tcW w:w="851" w:type="dxa"/>
            <w:shd w:val="clear" w:color="auto" w:fill="auto"/>
            <w:noWrap/>
            <w:vAlign w:val="center"/>
            <w:hideMark/>
          </w:tcPr>
          <w:p w14:paraId="2CF1D861"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0,</w:t>
            </w:r>
            <w:r w:rsidR="00D31137">
              <w:rPr>
                <w:rFonts w:ascii="Calibri" w:eastAsia="Times New Roman" w:hAnsi="Calibri" w:cs="Calibri"/>
                <w:sz w:val="20"/>
                <w:szCs w:val="20"/>
                <w:lang w:val="es-CR" w:eastAsia="es-CR"/>
              </w:rPr>
              <w:t>74</w:t>
            </w:r>
            <w:r w:rsidRPr="00A918AB">
              <w:rPr>
                <w:rFonts w:ascii="Calibri" w:eastAsia="Times New Roman" w:hAnsi="Calibri" w:cs="Calibri"/>
                <w:sz w:val="20"/>
                <w:szCs w:val="20"/>
                <w:lang w:val="es-CR" w:eastAsia="es-CR"/>
              </w:rPr>
              <w:t>%</w:t>
            </w:r>
          </w:p>
        </w:tc>
        <w:tc>
          <w:tcPr>
            <w:tcW w:w="1130" w:type="dxa"/>
            <w:shd w:val="clear" w:color="auto" w:fill="auto"/>
            <w:noWrap/>
            <w:vAlign w:val="center"/>
            <w:hideMark/>
          </w:tcPr>
          <w:p w14:paraId="5506C14D" w14:textId="77777777" w:rsidR="003D526A" w:rsidRPr="00A918AB" w:rsidRDefault="003D526A" w:rsidP="003D526A">
            <w:pPr>
              <w:jc w:val="right"/>
              <w:rPr>
                <w:rFonts w:ascii="Calibri" w:eastAsia="Times New Roman" w:hAnsi="Calibri" w:cs="Calibri"/>
                <w:sz w:val="20"/>
                <w:szCs w:val="20"/>
                <w:lang w:val="es-CR" w:eastAsia="es-CR"/>
              </w:rPr>
            </w:pPr>
            <w:r w:rsidRPr="003D526A">
              <w:rPr>
                <w:rFonts w:ascii="Calibri" w:eastAsia="Times New Roman" w:hAnsi="Calibri" w:cs="Calibri"/>
                <w:sz w:val="20"/>
                <w:szCs w:val="20"/>
                <w:lang w:val="es-CR" w:eastAsia="es-CR"/>
              </w:rPr>
              <w:t>200</w:t>
            </w:r>
            <w:r>
              <w:rPr>
                <w:rFonts w:ascii="Calibri" w:eastAsia="Times New Roman" w:hAnsi="Calibri" w:cs="Calibri"/>
                <w:sz w:val="20"/>
                <w:szCs w:val="20"/>
                <w:lang w:val="es-CR" w:eastAsia="es-CR"/>
              </w:rPr>
              <w:t> </w:t>
            </w:r>
            <w:r w:rsidRPr="003D526A">
              <w:rPr>
                <w:rFonts w:ascii="Calibri" w:eastAsia="Times New Roman" w:hAnsi="Calibri" w:cs="Calibri"/>
                <w:sz w:val="20"/>
                <w:szCs w:val="20"/>
                <w:lang w:val="es-CR" w:eastAsia="es-CR"/>
              </w:rPr>
              <w:t>13</w:t>
            </w:r>
            <w:r>
              <w:rPr>
                <w:rFonts w:ascii="Calibri" w:eastAsia="Times New Roman" w:hAnsi="Calibri" w:cs="Calibri"/>
                <w:sz w:val="20"/>
                <w:szCs w:val="20"/>
                <w:lang w:val="es-CR" w:eastAsia="es-CR"/>
              </w:rPr>
              <w:t>5</w:t>
            </w:r>
          </w:p>
        </w:tc>
        <w:tc>
          <w:tcPr>
            <w:tcW w:w="850" w:type="dxa"/>
            <w:shd w:val="clear" w:color="auto" w:fill="auto"/>
            <w:noWrap/>
            <w:vAlign w:val="center"/>
            <w:hideMark/>
          </w:tcPr>
          <w:p w14:paraId="7F328C6C" w14:textId="77777777" w:rsidR="00A918AB" w:rsidRPr="00A918AB" w:rsidRDefault="0081780B"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20,21</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51420930" w14:textId="77777777" w:rsidR="0041117A" w:rsidRPr="00A918AB" w:rsidRDefault="0041117A" w:rsidP="0041117A">
            <w:pPr>
              <w:jc w:val="right"/>
              <w:rPr>
                <w:rFonts w:ascii="Calibri" w:eastAsia="Times New Roman" w:hAnsi="Calibri" w:cs="Calibri"/>
                <w:sz w:val="20"/>
                <w:szCs w:val="20"/>
                <w:lang w:val="es-CR" w:eastAsia="es-CR"/>
              </w:rPr>
            </w:pPr>
            <w:r w:rsidRPr="0041117A">
              <w:rPr>
                <w:rFonts w:ascii="Calibri" w:eastAsia="Times New Roman" w:hAnsi="Calibri" w:cs="Calibri"/>
                <w:sz w:val="20"/>
                <w:szCs w:val="20"/>
                <w:lang w:val="es-CR" w:eastAsia="es-CR"/>
              </w:rPr>
              <w:t>782</w:t>
            </w:r>
            <w:r w:rsidR="00F6103D">
              <w:rPr>
                <w:rFonts w:ascii="Calibri" w:eastAsia="Times New Roman" w:hAnsi="Calibri" w:cs="Calibri"/>
                <w:sz w:val="20"/>
                <w:szCs w:val="20"/>
                <w:lang w:val="es-CR" w:eastAsia="es-CR"/>
              </w:rPr>
              <w:t> </w:t>
            </w:r>
            <w:r w:rsidRPr="0041117A">
              <w:rPr>
                <w:rFonts w:ascii="Calibri" w:eastAsia="Times New Roman" w:hAnsi="Calibri" w:cs="Calibri"/>
                <w:sz w:val="20"/>
                <w:szCs w:val="20"/>
                <w:lang w:val="es-CR" w:eastAsia="es-CR"/>
              </w:rPr>
              <w:t>817</w:t>
            </w:r>
          </w:p>
        </w:tc>
        <w:tc>
          <w:tcPr>
            <w:tcW w:w="743" w:type="dxa"/>
            <w:shd w:val="clear" w:color="auto" w:fill="auto"/>
            <w:noWrap/>
            <w:vAlign w:val="center"/>
            <w:hideMark/>
          </w:tcPr>
          <w:p w14:paraId="6D675D50"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79,05</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3173AEF7" w14:textId="77777777" w:rsidR="00A918AB" w:rsidRPr="00A918AB" w:rsidRDefault="00E36A74" w:rsidP="00A918AB">
            <w:pPr>
              <w:jc w:val="right"/>
              <w:rPr>
                <w:rFonts w:ascii="Calibri" w:eastAsia="Times New Roman" w:hAnsi="Calibri" w:cs="Calibri"/>
                <w:sz w:val="20"/>
                <w:szCs w:val="20"/>
                <w:lang w:val="es-CR" w:eastAsia="es-CR"/>
              </w:rPr>
            </w:pPr>
            <w:r w:rsidRPr="00E36A74">
              <w:rPr>
                <w:rFonts w:ascii="Calibri" w:eastAsia="Times New Roman" w:hAnsi="Calibri" w:cs="Calibri"/>
                <w:sz w:val="20"/>
                <w:szCs w:val="20"/>
                <w:lang w:val="es-CR" w:eastAsia="es-CR"/>
              </w:rPr>
              <w:t>990</w:t>
            </w:r>
            <w:r>
              <w:rPr>
                <w:rFonts w:ascii="Calibri" w:eastAsia="Times New Roman" w:hAnsi="Calibri" w:cs="Calibri"/>
                <w:sz w:val="20"/>
                <w:szCs w:val="20"/>
                <w:lang w:val="es-CR" w:eastAsia="es-CR"/>
              </w:rPr>
              <w:t xml:space="preserve"> </w:t>
            </w:r>
            <w:r w:rsidRPr="00E36A74">
              <w:rPr>
                <w:rFonts w:ascii="Calibri" w:eastAsia="Times New Roman" w:hAnsi="Calibri" w:cs="Calibri"/>
                <w:sz w:val="20"/>
                <w:szCs w:val="20"/>
                <w:lang w:val="es-CR" w:eastAsia="es-CR"/>
              </w:rPr>
              <w:t>317</w:t>
            </w:r>
          </w:p>
        </w:tc>
      </w:tr>
      <w:tr w:rsidR="008A13C6" w:rsidRPr="00A918AB" w14:paraId="3A68A7D8" w14:textId="77777777" w:rsidTr="004D7577">
        <w:trPr>
          <w:trHeight w:val="315"/>
          <w:jc w:val="center"/>
        </w:trPr>
        <w:tc>
          <w:tcPr>
            <w:tcW w:w="1843" w:type="dxa"/>
            <w:shd w:val="clear" w:color="auto" w:fill="auto"/>
            <w:noWrap/>
            <w:vAlign w:val="center"/>
            <w:hideMark/>
          </w:tcPr>
          <w:p w14:paraId="6C4CC844"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R</w:t>
            </w:r>
            <w:r w:rsidR="00880D6D">
              <w:rPr>
                <w:rFonts w:ascii="Calibri" w:eastAsia="Times New Roman" w:hAnsi="Calibri" w:cs="Calibri"/>
                <w:b/>
                <w:bCs/>
                <w:sz w:val="20"/>
                <w:szCs w:val="20"/>
                <w:lang w:val="es-CR" w:eastAsia="es-CR"/>
              </w:rPr>
              <w:t>OP</w:t>
            </w:r>
          </w:p>
        </w:tc>
        <w:tc>
          <w:tcPr>
            <w:tcW w:w="992" w:type="dxa"/>
            <w:shd w:val="clear" w:color="auto" w:fill="auto"/>
            <w:noWrap/>
            <w:vAlign w:val="center"/>
            <w:hideMark/>
          </w:tcPr>
          <w:p w14:paraId="58ABCBDE" w14:textId="77777777" w:rsidR="0041117A" w:rsidRPr="00A918AB" w:rsidRDefault="0041117A" w:rsidP="00A918AB">
            <w:pPr>
              <w:jc w:val="right"/>
              <w:rPr>
                <w:rFonts w:ascii="Calibri" w:eastAsia="Times New Roman" w:hAnsi="Calibri" w:cs="Calibri"/>
                <w:sz w:val="20"/>
                <w:szCs w:val="20"/>
                <w:lang w:val="es-CR" w:eastAsia="es-CR"/>
              </w:rPr>
            </w:pPr>
            <w:r w:rsidRPr="0041117A">
              <w:rPr>
                <w:rFonts w:ascii="Calibri" w:eastAsia="Times New Roman" w:hAnsi="Calibri" w:cs="Calibri"/>
                <w:sz w:val="20"/>
                <w:szCs w:val="20"/>
                <w:lang w:val="es-CR" w:eastAsia="es-CR"/>
              </w:rPr>
              <w:t>2</w:t>
            </w:r>
            <w:r>
              <w:rPr>
                <w:rFonts w:ascii="Calibri" w:eastAsia="Times New Roman" w:hAnsi="Calibri" w:cs="Calibri"/>
                <w:sz w:val="20"/>
                <w:szCs w:val="20"/>
                <w:lang w:val="es-CR" w:eastAsia="es-CR"/>
              </w:rPr>
              <w:t xml:space="preserve"> </w:t>
            </w:r>
            <w:r w:rsidRPr="0041117A">
              <w:rPr>
                <w:rFonts w:ascii="Calibri" w:eastAsia="Times New Roman" w:hAnsi="Calibri" w:cs="Calibri"/>
                <w:sz w:val="20"/>
                <w:szCs w:val="20"/>
                <w:lang w:val="es-CR" w:eastAsia="es-CR"/>
              </w:rPr>
              <w:t>783</w:t>
            </w:r>
            <w:r w:rsidR="00F6103D">
              <w:rPr>
                <w:rFonts w:ascii="Calibri" w:eastAsia="Times New Roman" w:hAnsi="Calibri" w:cs="Calibri"/>
                <w:sz w:val="20"/>
                <w:szCs w:val="20"/>
                <w:lang w:val="es-CR" w:eastAsia="es-CR"/>
              </w:rPr>
              <w:t> </w:t>
            </w:r>
            <w:r w:rsidRPr="0041117A">
              <w:rPr>
                <w:rFonts w:ascii="Calibri" w:eastAsia="Times New Roman" w:hAnsi="Calibri" w:cs="Calibri"/>
                <w:sz w:val="20"/>
                <w:szCs w:val="20"/>
                <w:lang w:val="es-CR" w:eastAsia="es-CR"/>
              </w:rPr>
              <w:t>7</w:t>
            </w:r>
            <w:r>
              <w:rPr>
                <w:rFonts w:ascii="Calibri" w:eastAsia="Times New Roman" w:hAnsi="Calibri" w:cs="Calibri"/>
                <w:sz w:val="20"/>
                <w:szCs w:val="20"/>
                <w:lang w:val="es-CR" w:eastAsia="es-CR"/>
              </w:rPr>
              <w:t>10</w:t>
            </w:r>
          </w:p>
        </w:tc>
        <w:tc>
          <w:tcPr>
            <w:tcW w:w="851" w:type="dxa"/>
            <w:shd w:val="clear" w:color="auto" w:fill="auto"/>
            <w:noWrap/>
            <w:vAlign w:val="center"/>
            <w:hideMark/>
          </w:tcPr>
          <w:p w14:paraId="51B8E488" w14:textId="77777777" w:rsidR="00A918AB" w:rsidRPr="00A918AB" w:rsidRDefault="00D31137"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31,34</w:t>
            </w:r>
            <w:r w:rsidR="00A918AB" w:rsidRPr="00A918AB">
              <w:rPr>
                <w:rFonts w:ascii="Calibri" w:eastAsia="Times New Roman" w:hAnsi="Calibri" w:cs="Calibri"/>
                <w:sz w:val="20"/>
                <w:szCs w:val="20"/>
                <w:lang w:val="es-CR" w:eastAsia="es-CR"/>
              </w:rPr>
              <w:t>%</w:t>
            </w:r>
          </w:p>
        </w:tc>
        <w:tc>
          <w:tcPr>
            <w:tcW w:w="1130" w:type="dxa"/>
            <w:shd w:val="clear" w:color="auto" w:fill="auto"/>
            <w:noWrap/>
            <w:vAlign w:val="center"/>
            <w:hideMark/>
          </w:tcPr>
          <w:p w14:paraId="3D2409ED" w14:textId="77777777" w:rsidR="0073533A" w:rsidRPr="00A918AB" w:rsidRDefault="0073533A" w:rsidP="0073533A">
            <w:pPr>
              <w:jc w:val="right"/>
              <w:rPr>
                <w:rFonts w:ascii="Calibri" w:eastAsia="Times New Roman" w:hAnsi="Calibri" w:cs="Calibri"/>
                <w:sz w:val="20"/>
                <w:szCs w:val="20"/>
                <w:lang w:val="es-CR" w:eastAsia="es-CR"/>
              </w:rPr>
            </w:pPr>
            <w:r w:rsidRPr="0073533A">
              <w:rPr>
                <w:rFonts w:ascii="Calibri" w:eastAsia="Times New Roman" w:hAnsi="Calibri" w:cs="Calibri"/>
                <w:sz w:val="20"/>
                <w:szCs w:val="20"/>
                <w:lang w:val="es-CR" w:eastAsia="es-CR"/>
              </w:rPr>
              <w:t>731</w:t>
            </w:r>
            <w:r w:rsidR="00F6103D">
              <w:rPr>
                <w:rFonts w:ascii="Calibri" w:eastAsia="Times New Roman" w:hAnsi="Calibri" w:cs="Calibri"/>
                <w:sz w:val="20"/>
                <w:szCs w:val="20"/>
                <w:lang w:val="es-CR" w:eastAsia="es-CR"/>
              </w:rPr>
              <w:t> </w:t>
            </w:r>
            <w:r w:rsidRPr="0073533A">
              <w:rPr>
                <w:rFonts w:ascii="Calibri" w:eastAsia="Times New Roman" w:hAnsi="Calibri" w:cs="Calibri"/>
                <w:sz w:val="20"/>
                <w:szCs w:val="20"/>
                <w:lang w:val="es-CR" w:eastAsia="es-CR"/>
              </w:rPr>
              <w:t>29</w:t>
            </w:r>
            <w:r>
              <w:rPr>
                <w:rFonts w:ascii="Calibri" w:eastAsia="Times New Roman" w:hAnsi="Calibri" w:cs="Calibri"/>
                <w:sz w:val="20"/>
                <w:szCs w:val="20"/>
                <w:lang w:val="es-CR" w:eastAsia="es-CR"/>
              </w:rPr>
              <w:t>7</w:t>
            </w:r>
          </w:p>
        </w:tc>
        <w:tc>
          <w:tcPr>
            <w:tcW w:w="850" w:type="dxa"/>
            <w:shd w:val="clear" w:color="auto" w:fill="auto"/>
            <w:noWrap/>
            <w:vAlign w:val="center"/>
            <w:hideMark/>
          </w:tcPr>
          <w:p w14:paraId="2A9D9EBE" w14:textId="77777777" w:rsidR="00A918AB" w:rsidRPr="00A918AB" w:rsidRDefault="0081780B"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8,23</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7BDFAA19" w14:textId="77777777" w:rsidR="00EB3F75" w:rsidRPr="00A918AB" w:rsidRDefault="00EB3F75" w:rsidP="00A918AB">
            <w:pPr>
              <w:jc w:val="right"/>
              <w:rPr>
                <w:rFonts w:ascii="Calibri" w:eastAsia="Times New Roman" w:hAnsi="Calibri" w:cs="Calibri"/>
                <w:sz w:val="20"/>
                <w:szCs w:val="20"/>
                <w:lang w:val="es-CR" w:eastAsia="es-CR"/>
              </w:rPr>
            </w:pPr>
            <w:r w:rsidRPr="00EB3F75">
              <w:rPr>
                <w:rFonts w:ascii="Calibri" w:eastAsia="Times New Roman" w:hAnsi="Calibri" w:cs="Calibri"/>
                <w:sz w:val="20"/>
                <w:szCs w:val="20"/>
                <w:lang w:val="es-CR" w:eastAsia="es-CR"/>
              </w:rPr>
              <w:t>5</w:t>
            </w:r>
            <w:r>
              <w:rPr>
                <w:rFonts w:ascii="Calibri" w:eastAsia="Times New Roman" w:hAnsi="Calibri" w:cs="Calibri"/>
                <w:sz w:val="20"/>
                <w:szCs w:val="20"/>
                <w:lang w:val="es-CR" w:eastAsia="es-CR"/>
              </w:rPr>
              <w:t xml:space="preserve"> </w:t>
            </w:r>
            <w:r w:rsidRPr="00EB3F75">
              <w:rPr>
                <w:rFonts w:ascii="Calibri" w:eastAsia="Times New Roman" w:hAnsi="Calibri" w:cs="Calibri"/>
                <w:sz w:val="20"/>
                <w:szCs w:val="20"/>
                <w:lang w:val="es-CR" w:eastAsia="es-CR"/>
              </w:rPr>
              <w:t>367</w:t>
            </w:r>
            <w:r w:rsidR="00F6103D">
              <w:rPr>
                <w:rFonts w:ascii="Calibri" w:eastAsia="Times New Roman" w:hAnsi="Calibri" w:cs="Calibri"/>
                <w:sz w:val="20"/>
                <w:szCs w:val="20"/>
                <w:lang w:val="es-CR" w:eastAsia="es-CR"/>
              </w:rPr>
              <w:t> </w:t>
            </w:r>
            <w:r w:rsidRPr="00EB3F75">
              <w:rPr>
                <w:rFonts w:ascii="Calibri" w:eastAsia="Times New Roman" w:hAnsi="Calibri" w:cs="Calibri"/>
                <w:sz w:val="20"/>
                <w:szCs w:val="20"/>
                <w:lang w:val="es-CR" w:eastAsia="es-CR"/>
              </w:rPr>
              <w:t>301</w:t>
            </w:r>
          </w:p>
        </w:tc>
        <w:tc>
          <w:tcPr>
            <w:tcW w:w="743" w:type="dxa"/>
            <w:shd w:val="clear" w:color="auto" w:fill="auto"/>
            <w:noWrap/>
            <w:vAlign w:val="center"/>
            <w:hideMark/>
          </w:tcPr>
          <w:p w14:paraId="4E8D816F"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60,43</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25AB5F02" w14:textId="77777777" w:rsidR="00A918AB" w:rsidRPr="00A918AB" w:rsidRDefault="00E36A74" w:rsidP="00A918AB">
            <w:pPr>
              <w:jc w:val="right"/>
              <w:rPr>
                <w:rFonts w:ascii="Calibri" w:eastAsia="Times New Roman" w:hAnsi="Calibri" w:cs="Calibri"/>
                <w:sz w:val="20"/>
                <w:szCs w:val="20"/>
                <w:lang w:val="es-CR" w:eastAsia="es-CR"/>
              </w:rPr>
            </w:pPr>
            <w:r w:rsidRPr="00E36A74">
              <w:rPr>
                <w:rFonts w:ascii="Calibri" w:eastAsia="Times New Roman" w:hAnsi="Calibri" w:cs="Calibri"/>
                <w:sz w:val="20"/>
                <w:szCs w:val="20"/>
                <w:lang w:val="es-CR" w:eastAsia="es-CR"/>
              </w:rPr>
              <w:t>8</w:t>
            </w:r>
            <w:r>
              <w:rPr>
                <w:rFonts w:ascii="Calibri" w:eastAsia="Times New Roman" w:hAnsi="Calibri" w:cs="Calibri"/>
                <w:sz w:val="20"/>
                <w:szCs w:val="20"/>
                <w:lang w:val="es-CR" w:eastAsia="es-CR"/>
              </w:rPr>
              <w:t xml:space="preserve"> </w:t>
            </w:r>
            <w:r w:rsidRPr="00E36A74">
              <w:rPr>
                <w:rFonts w:ascii="Calibri" w:eastAsia="Times New Roman" w:hAnsi="Calibri" w:cs="Calibri"/>
                <w:sz w:val="20"/>
                <w:szCs w:val="20"/>
                <w:lang w:val="es-CR" w:eastAsia="es-CR"/>
              </w:rPr>
              <w:t>882</w:t>
            </w:r>
            <w:r>
              <w:rPr>
                <w:rFonts w:ascii="Calibri" w:eastAsia="Times New Roman" w:hAnsi="Calibri" w:cs="Calibri"/>
                <w:sz w:val="20"/>
                <w:szCs w:val="20"/>
                <w:lang w:val="es-CR" w:eastAsia="es-CR"/>
              </w:rPr>
              <w:t xml:space="preserve"> </w:t>
            </w:r>
            <w:r w:rsidRPr="00E36A74">
              <w:rPr>
                <w:rFonts w:ascii="Calibri" w:eastAsia="Times New Roman" w:hAnsi="Calibri" w:cs="Calibri"/>
                <w:sz w:val="20"/>
                <w:szCs w:val="20"/>
                <w:lang w:val="es-CR" w:eastAsia="es-CR"/>
              </w:rPr>
              <w:t>308</w:t>
            </w:r>
          </w:p>
        </w:tc>
      </w:tr>
      <w:tr w:rsidR="008A13C6" w:rsidRPr="00A918AB" w14:paraId="56C4884E" w14:textId="77777777" w:rsidTr="004D7577">
        <w:trPr>
          <w:trHeight w:val="315"/>
          <w:jc w:val="center"/>
        </w:trPr>
        <w:tc>
          <w:tcPr>
            <w:tcW w:w="1843" w:type="dxa"/>
            <w:shd w:val="clear" w:color="auto" w:fill="auto"/>
            <w:noWrap/>
            <w:vAlign w:val="center"/>
            <w:hideMark/>
          </w:tcPr>
          <w:p w14:paraId="5BFBD452"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Voluntario</w:t>
            </w:r>
          </w:p>
        </w:tc>
        <w:tc>
          <w:tcPr>
            <w:tcW w:w="992" w:type="dxa"/>
            <w:shd w:val="clear" w:color="auto" w:fill="auto"/>
            <w:noWrap/>
            <w:vAlign w:val="center"/>
            <w:hideMark/>
          </w:tcPr>
          <w:p w14:paraId="670D393C" w14:textId="77777777" w:rsidR="00A918AB" w:rsidRPr="00A918AB" w:rsidRDefault="0062748C" w:rsidP="00A918AB">
            <w:pPr>
              <w:jc w:val="right"/>
              <w:rPr>
                <w:rFonts w:ascii="Calibri" w:eastAsia="Times New Roman" w:hAnsi="Calibri" w:cs="Calibri"/>
                <w:sz w:val="20"/>
                <w:szCs w:val="20"/>
                <w:lang w:val="es-CR" w:eastAsia="es-CR"/>
              </w:rPr>
            </w:pPr>
            <w:r w:rsidRPr="0062748C">
              <w:rPr>
                <w:rFonts w:ascii="Calibri" w:eastAsia="Times New Roman" w:hAnsi="Calibri" w:cs="Calibri"/>
                <w:sz w:val="20"/>
                <w:szCs w:val="20"/>
                <w:lang w:val="es-CR" w:eastAsia="es-CR"/>
              </w:rPr>
              <w:t>99</w:t>
            </w:r>
            <w:r w:rsidR="00CF1A8E">
              <w:rPr>
                <w:rFonts w:ascii="Calibri" w:eastAsia="Times New Roman" w:hAnsi="Calibri" w:cs="Calibri"/>
                <w:sz w:val="20"/>
                <w:szCs w:val="20"/>
                <w:lang w:val="es-CR" w:eastAsia="es-CR"/>
              </w:rPr>
              <w:t> </w:t>
            </w:r>
            <w:r w:rsidRPr="0062748C">
              <w:rPr>
                <w:rFonts w:ascii="Calibri" w:eastAsia="Times New Roman" w:hAnsi="Calibri" w:cs="Calibri"/>
                <w:sz w:val="20"/>
                <w:szCs w:val="20"/>
                <w:lang w:val="es-CR" w:eastAsia="es-CR"/>
              </w:rPr>
              <w:t>24</w:t>
            </w:r>
            <w:r>
              <w:rPr>
                <w:rFonts w:ascii="Calibri" w:eastAsia="Times New Roman" w:hAnsi="Calibri" w:cs="Calibri"/>
                <w:sz w:val="20"/>
                <w:szCs w:val="20"/>
                <w:lang w:val="es-CR" w:eastAsia="es-CR"/>
              </w:rPr>
              <w:t>5</w:t>
            </w:r>
          </w:p>
        </w:tc>
        <w:tc>
          <w:tcPr>
            <w:tcW w:w="851" w:type="dxa"/>
            <w:shd w:val="clear" w:color="auto" w:fill="auto"/>
            <w:noWrap/>
            <w:vAlign w:val="center"/>
            <w:hideMark/>
          </w:tcPr>
          <w:p w14:paraId="01599EC6" w14:textId="77777777" w:rsidR="00A918AB" w:rsidRPr="00A918AB" w:rsidRDefault="00D31137"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19,96</w:t>
            </w:r>
            <w:r w:rsidR="00A918AB" w:rsidRPr="00A918AB">
              <w:rPr>
                <w:rFonts w:ascii="Calibri" w:eastAsia="Times New Roman" w:hAnsi="Calibri" w:cs="Calibri"/>
                <w:sz w:val="20"/>
                <w:szCs w:val="20"/>
                <w:lang w:val="es-CR" w:eastAsia="es-CR"/>
              </w:rPr>
              <w:t>%</w:t>
            </w:r>
          </w:p>
        </w:tc>
        <w:tc>
          <w:tcPr>
            <w:tcW w:w="1130" w:type="dxa"/>
            <w:shd w:val="clear" w:color="auto" w:fill="auto"/>
            <w:noWrap/>
            <w:vAlign w:val="center"/>
            <w:hideMark/>
          </w:tcPr>
          <w:p w14:paraId="662CBB96" w14:textId="77777777" w:rsidR="00EF649D" w:rsidRPr="00A918AB" w:rsidRDefault="00EF649D" w:rsidP="00EF649D">
            <w:pPr>
              <w:jc w:val="right"/>
              <w:rPr>
                <w:rFonts w:ascii="Calibri" w:eastAsia="Times New Roman" w:hAnsi="Calibri" w:cs="Calibri"/>
                <w:sz w:val="20"/>
                <w:szCs w:val="20"/>
                <w:lang w:val="es-CR" w:eastAsia="es-CR"/>
              </w:rPr>
            </w:pPr>
            <w:r w:rsidRPr="00EF649D">
              <w:rPr>
                <w:rFonts w:ascii="Calibri" w:eastAsia="Times New Roman" w:hAnsi="Calibri" w:cs="Calibri"/>
                <w:sz w:val="20"/>
                <w:szCs w:val="20"/>
                <w:lang w:val="es-CR" w:eastAsia="es-CR"/>
              </w:rPr>
              <w:t>90</w:t>
            </w:r>
            <w:r w:rsidR="00CF1A8E">
              <w:rPr>
                <w:rFonts w:ascii="Calibri" w:eastAsia="Times New Roman" w:hAnsi="Calibri" w:cs="Calibri"/>
                <w:sz w:val="20"/>
                <w:szCs w:val="20"/>
                <w:lang w:val="es-CR" w:eastAsia="es-CR"/>
              </w:rPr>
              <w:t> </w:t>
            </w:r>
            <w:r w:rsidRPr="00EF649D">
              <w:rPr>
                <w:rFonts w:ascii="Calibri" w:eastAsia="Times New Roman" w:hAnsi="Calibri" w:cs="Calibri"/>
                <w:sz w:val="20"/>
                <w:szCs w:val="20"/>
                <w:lang w:val="es-CR" w:eastAsia="es-CR"/>
              </w:rPr>
              <w:t>542</w:t>
            </w:r>
          </w:p>
        </w:tc>
        <w:tc>
          <w:tcPr>
            <w:tcW w:w="850" w:type="dxa"/>
            <w:shd w:val="clear" w:color="auto" w:fill="auto"/>
            <w:noWrap/>
            <w:vAlign w:val="center"/>
            <w:hideMark/>
          </w:tcPr>
          <w:p w14:paraId="5D256965" w14:textId="77777777" w:rsidR="00A918AB" w:rsidRPr="00A918AB" w:rsidRDefault="0081780B" w:rsidP="0081780B">
            <w:pPr>
              <w:jc w:val="center"/>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18,21</w:t>
            </w:r>
            <w:r w:rsidR="00A918AB" w:rsidRPr="00A918AB">
              <w:rPr>
                <w:rFonts w:ascii="Calibri" w:eastAsia="Times New Roman" w:hAnsi="Calibri" w:cs="Calibri"/>
                <w:sz w:val="20"/>
                <w:szCs w:val="20"/>
                <w:lang w:val="es-CR" w:eastAsia="es-CR"/>
              </w:rPr>
              <w:t>%</w:t>
            </w:r>
          </w:p>
        </w:tc>
        <w:tc>
          <w:tcPr>
            <w:tcW w:w="1134" w:type="dxa"/>
            <w:shd w:val="clear" w:color="auto" w:fill="auto"/>
            <w:noWrap/>
            <w:vAlign w:val="center"/>
            <w:hideMark/>
          </w:tcPr>
          <w:p w14:paraId="7F492F50" w14:textId="77777777" w:rsidR="008A13C6" w:rsidRPr="00A918AB" w:rsidRDefault="008A13C6" w:rsidP="00A918AB">
            <w:pPr>
              <w:jc w:val="right"/>
              <w:rPr>
                <w:rFonts w:ascii="Calibri" w:eastAsia="Times New Roman" w:hAnsi="Calibri" w:cs="Calibri"/>
                <w:sz w:val="20"/>
                <w:szCs w:val="20"/>
                <w:lang w:val="es-CR" w:eastAsia="es-CR"/>
              </w:rPr>
            </w:pPr>
            <w:r w:rsidRPr="008A13C6">
              <w:rPr>
                <w:rFonts w:ascii="Calibri" w:eastAsia="Times New Roman" w:hAnsi="Calibri" w:cs="Calibri"/>
                <w:sz w:val="20"/>
                <w:szCs w:val="20"/>
                <w:lang w:val="es-CR" w:eastAsia="es-CR"/>
              </w:rPr>
              <w:t>307</w:t>
            </w:r>
            <w:r w:rsidR="00CF1A8E">
              <w:rPr>
                <w:rFonts w:ascii="Calibri" w:eastAsia="Times New Roman" w:hAnsi="Calibri" w:cs="Calibri"/>
                <w:sz w:val="20"/>
                <w:szCs w:val="20"/>
                <w:lang w:val="es-CR" w:eastAsia="es-CR"/>
              </w:rPr>
              <w:t> </w:t>
            </w:r>
            <w:r w:rsidRPr="008A13C6">
              <w:rPr>
                <w:rFonts w:ascii="Calibri" w:eastAsia="Times New Roman" w:hAnsi="Calibri" w:cs="Calibri"/>
                <w:sz w:val="20"/>
                <w:szCs w:val="20"/>
                <w:lang w:val="es-CR" w:eastAsia="es-CR"/>
              </w:rPr>
              <w:t>49</w:t>
            </w:r>
            <w:r>
              <w:rPr>
                <w:rFonts w:ascii="Calibri" w:eastAsia="Times New Roman" w:hAnsi="Calibri" w:cs="Calibri"/>
                <w:sz w:val="20"/>
                <w:szCs w:val="20"/>
                <w:lang w:val="es-CR" w:eastAsia="es-CR"/>
              </w:rPr>
              <w:t>8</w:t>
            </w:r>
          </w:p>
        </w:tc>
        <w:tc>
          <w:tcPr>
            <w:tcW w:w="743" w:type="dxa"/>
            <w:shd w:val="clear" w:color="auto" w:fill="auto"/>
            <w:noWrap/>
            <w:vAlign w:val="center"/>
            <w:hideMark/>
          </w:tcPr>
          <w:p w14:paraId="35A91848" w14:textId="77777777" w:rsidR="00A918AB" w:rsidRPr="00A918AB" w:rsidRDefault="001D61CE"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61,84</w:t>
            </w:r>
            <w:r w:rsidR="00A918AB" w:rsidRPr="00A918AB">
              <w:rPr>
                <w:rFonts w:ascii="Calibri" w:eastAsia="Times New Roman" w:hAnsi="Calibri" w:cs="Calibri"/>
                <w:sz w:val="20"/>
                <w:szCs w:val="20"/>
                <w:lang w:val="es-CR" w:eastAsia="es-CR"/>
              </w:rPr>
              <w:t>%</w:t>
            </w:r>
          </w:p>
        </w:tc>
        <w:tc>
          <w:tcPr>
            <w:tcW w:w="1242" w:type="dxa"/>
            <w:shd w:val="clear" w:color="auto" w:fill="auto"/>
            <w:noWrap/>
            <w:vAlign w:val="center"/>
            <w:hideMark/>
          </w:tcPr>
          <w:p w14:paraId="331564B0" w14:textId="77777777" w:rsidR="00A918AB" w:rsidRPr="00A918AB" w:rsidRDefault="00E36A74" w:rsidP="00A918AB">
            <w:pPr>
              <w:jc w:val="right"/>
              <w:rPr>
                <w:rFonts w:ascii="Calibri" w:eastAsia="Times New Roman" w:hAnsi="Calibri" w:cs="Calibri"/>
                <w:sz w:val="20"/>
                <w:szCs w:val="20"/>
                <w:lang w:val="es-CR" w:eastAsia="es-CR"/>
              </w:rPr>
            </w:pPr>
            <w:r w:rsidRPr="00E36A74">
              <w:rPr>
                <w:rFonts w:ascii="Calibri" w:eastAsia="Times New Roman" w:hAnsi="Calibri" w:cs="Calibri"/>
                <w:sz w:val="20"/>
                <w:szCs w:val="20"/>
                <w:lang w:val="es-CR" w:eastAsia="es-CR"/>
              </w:rPr>
              <w:t>497</w:t>
            </w:r>
            <w:r>
              <w:rPr>
                <w:rFonts w:ascii="Calibri" w:eastAsia="Times New Roman" w:hAnsi="Calibri" w:cs="Calibri"/>
                <w:sz w:val="20"/>
                <w:szCs w:val="20"/>
                <w:lang w:val="es-CR" w:eastAsia="es-CR"/>
              </w:rPr>
              <w:t xml:space="preserve"> </w:t>
            </w:r>
            <w:r w:rsidRPr="00E36A74">
              <w:rPr>
                <w:rFonts w:ascii="Calibri" w:eastAsia="Times New Roman" w:hAnsi="Calibri" w:cs="Calibri"/>
                <w:sz w:val="20"/>
                <w:szCs w:val="20"/>
                <w:lang w:val="es-CR" w:eastAsia="es-CR"/>
              </w:rPr>
              <w:t>285</w:t>
            </w:r>
          </w:p>
        </w:tc>
      </w:tr>
      <w:tr w:rsidR="008A13C6" w:rsidRPr="00A918AB" w14:paraId="45B1B86B" w14:textId="77777777" w:rsidTr="004D7577">
        <w:trPr>
          <w:trHeight w:val="315"/>
          <w:jc w:val="center"/>
        </w:trPr>
        <w:tc>
          <w:tcPr>
            <w:tcW w:w="1843" w:type="dxa"/>
            <w:tcBorders>
              <w:bottom w:val="single" w:sz="4" w:space="0" w:color="auto"/>
            </w:tcBorders>
            <w:shd w:val="clear" w:color="auto" w:fill="auto"/>
            <w:noWrap/>
            <w:vAlign w:val="center"/>
            <w:hideMark/>
          </w:tcPr>
          <w:p w14:paraId="4CAE0668"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F</w:t>
            </w:r>
            <w:r w:rsidR="00880D6D">
              <w:rPr>
                <w:rFonts w:ascii="Calibri" w:eastAsia="Times New Roman" w:hAnsi="Calibri" w:cs="Calibri"/>
                <w:b/>
                <w:bCs/>
                <w:sz w:val="20"/>
                <w:szCs w:val="20"/>
                <w:lang w:val="es-CR" w:eastAsia="es-CR"/>
              </w:rPr>
              <w:t>CL</w:t>
            </w:r>
          </w:p>
        </w:tc>
        <w:tc>
          <w:tcPr>
            <w:tcW w:w="992" w:type="dxa"/>
            <w:tcBorders>
              <w:bottom w:val="single" w:sz="4" w:space="0" w:color="auto"/>
            </w:tcBorders>
            <w:shd w:val="clear" w:color="auto" w:fill="auto"/>
            <w:noWrap/>
            <w:vAlign w:val="center"/>
            <w:hideMark/>
          </w:tcPr>
          <w:p w14:paraId="4B38971A" w14:textId="77777777" w:rsidR="008A13C6" w:rsidRPr="00A918AB" w:rsidRDefault="008A13C6" w:rsidP="00A918AB">
            <w:pPr>
              <w:jc w:val="right"/>
              <w:rPr>
                <w:rFonts w:ascii="Calibri" w:eastAsia="Times New Roman" w:hAnsi="Calibri" w:cs="Calibri"/>
                <w:sz w:val="20"/>
                <w:szCs w:val="20"/>
                <w:lang w:val="es-CR" w:eastAsia="es-CR"/>
              </w:rPr>
            </w:pPr>
            <w:r w:rsidRPr="008A13C6">
              <w:rPr>
                <w:rFonts w:ascii="Calibri" w:eastAsia="Times New Roman" w:hAnsi="Calibri" w:cs="Calibri"/>
                <w:sz w:val="20"/>
                <w:szCs w:val="20"/>
                <w:lang w:val="es-CR" w:eastAsia="es-CR"/>
              </w:rPr>
              <w:t>92</w:t>
            </w:r>
            <w:r w:rsidR="00066E36">
              <w:rPr>
                <w:rFonts w:ascii="Calibri" w:eastAsia="Times New Roman" w:hAnsi="Calibri" w:cs="Calibri"/>
                <w:sz w:val="20"/>
                <w:szCs w:val="20"/>
                <w:lang w:val="es-CR" w:eastAsia="es-CR"/>
              </w:rPr>
              <w:t> </w:t>
            </w:r>
            <w:r w:rsidRPr="008A13C6">
              <w:rPr>
                <w:rFonts w:ascii="Calibri" w:eastAsia="Times New Roman" w:hAnsi="Calibri" w:cs="Calibri"/>
                <w:sz w:val="20"/>
                <w:szCs w:val="20"/>
                <w:lang w:val="es-CR" w:eastAsia="es-CR"/>
              </w:rPr>
              <w:t>468</w:t>
            </w:r>
          </w:p>
        </w:tc>
        <w:tc>
          <w:tcPr>
            <w:tcW w:w="851" w:type="dxa"/>
            <w:tcBorders>
              <w:bottom w:val="single" w:sz="4" w:space="0" w:color="auto"/>
            </w:tcBorders>
            <w:shd w:val="clear" w:color="auto" w:fill="auto"/>
            <w:noWrap/>
            <w:vAlign w:val="center"/>
            <w:hideMark/>
          </w:tcPr>
          <w:p w14:paraId="550999AF" w14:textId="77777777" w:rsidR="00A918AB" w:rsidRPr="00A918AB" w:rsidRDefault="00A918AB" w:rsidP="00A918AB">
            <w:pPr>
              <w:jc w:val="right"/>
              <w:rPr>
                <w:rFonts w:ascii="Calibri" w:eastAsia="Times New Roman" w:hAnsi="Calibri" w:cs="Calibri"/>
                <w:sz w:val="20"/>
                <w:szCs w:val="20"/>
                <w:lang w:val="es-CR" w:eastAsia="es-CR"/>
              </w:rPr>
            </w:pPr>
            <w:r w:rsidRPr="00A918AB">
              <w:rPr>
                <w:rFonts w:ascii="Calibri" w:eastAsia="Times New Roman" w:hAnsi="Calibri" w:cs="Calibri"/>
                <w:sz w:val="20"/>
                <w:szCs w:val="20"/>
                <w:lang w:val="es-CR" w:eastAsia="es-CR"/>
              </w:rPr>
              <w:t>1</w:t>
            </w:r>
            <w:r w:rsidR="00D31137">
              <w:rPr>
                <w:rFonts w:ascii="Calibri" w:eastAsia="Times New Roman" w:hAnsi="Calibri" w:cs="Calibri"/>
                <w:sz w:val="20"/>
                <w:szCs w:val="20"/>
                <w:lang w:val="es-CR" w:eastAsia="es-CR"/>
              </w:rPr>
              <w:t>7,98</w:t>
            </w:r>
            <w:r w:rsidRPr="00A918AB">
              <w:rPr>
                <w:rFonts w:ascii="Calibri" w:eastAsia="Times New Roman" w:hAnsi="Calibri" w:cs="Calibri"/>
                <w:sz w:val="20"/>
                <w:szCs w:val="20"/>
                <w:lang w:val="es-CR" w:eastAsia="es-CR"/>
              </w:rPr>
              <w:t>%</w:t>
            </w:r>
          </w:p>
        </w:tc>
        <w:tc>
          <w:tcPr>
            <w:tcW w:w="1130" w:type="dxa"/>
            <w:tcBorders>
              <w:bottom w:val="single" w:sz="4" w:space="0" w:color="auto"/>
            </w:tcBorders>
            <w:shd w:val="clear" w:color="auto" w:fill="auto"/>
            <w:noWrap/>
            <w:vAlign w:val="center"/>
            <w:hideMark/>
          </w:tcPr>
          <w:p w14:paraId="6C59B539" w14:textId="77777777" w:rsidR="00D05EF8" w:rsidRPr="00A918AB" w:rsidRDefault="00D05EF8" w:rsidP="00D05EF8">
            <w:pPr>
              <w:jc w:val="right"/>
              <w:rPr>
                <w:rFonts w:ascii="Calibri" w:eastAsia="Times New Roman" w:hAnsi="Calibri" w:cs="Calibri"/>
                <w:sz w:val="20"/>
                <w:szCs w:val="20"/>
                <w:lang w:val="es-CR" w:eastAsia="es-CR"/>
              </w:rPr>
            </w:pPr>
            <w:r w:rsidRPr="00D05EF8">
              <w:rPr>
                <w:rFonts w:ascii="Calibri" w:eastAsia="Times New Roman" w:hAnsi="Calibri" w:cs="Calibri"/>
                <w:sz w:val="20"/>
                <w:szCs w:val="20"/>
                <w:lang w:val="es-CR" w:eastAsia="es-CR"/>
              </w:rPr>
              <w:t>81</w:t>
            </w:r>
            <w:r w:rsidR="00066E36">
              <w:rPr>
                <w:rFonts w:ascii="Calibri" w:eastAsia="Times New Roman" w:hAnsi="Calibri" w:cs="Calibri"/>
                <w:sz w:val="20"/>
                <w:szCs w:val="20"/>
                <w:lang w:val="es-CR" w:eastAsia="es-CR"/>
              </w:rPr>
              <w:t> </w:t>
            </w:r>
            <w:r w:rsidRPr="00D05EF8">
              <w:rPr>
                <w:rFonts w:ascii="Calibri" w:eastAsia="Times New Roman" w:hAnsi="Calibri" w:cs="Calibri"/>
                <w:sz w:val="20"/>
                <w:szCs w:val="20"/>
                <w:lang w:val="es-CR" w:eastAsia="es-CR"/>
              </w:rPr>
              <w:t>48</w:t>
            </w:r>
            <w:r>
              <w:rPr>
                <w:rFonts w:ascii="Calibri" w:eastAsia="Times New Roman" w:hAnsi="Calibri" w:cs="Calibri"/>
                <w:sz w:val="20"/>
                <w:szCs w:val="20"/>
                <w:lang w:val="es-CR" w:eastAsia="es-CR"/>
              </w:rPr>
              <w:t>8</w:t>
            </w:r>
          </w:p>
        </w:tc>
        <w:tc>
          <w:tcPr>
            <w:tcW w:w="850" w:type="dxa"/>
            <w:tcBorders>
              <w:bottom w:val="single" w:sz="4" w:space="0" w:color="auto"/>
            </w:tcBorders>
            <w:shd w:val="clear" w:color="auto" w:fill="auto"/>
            <w:noWrap/>
            <w:vAlign w:val="center"/>
            <w:hideMark/>
          </w:tcPr>
          <w:p w14:paraId="488A4611" w14:textId="77777777" w:rsidR="00A918AB" w:rsidRPr="00A918AB" w:rsidRDefault="0081780B"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15,85</w:t>
            </w:r>
            <w:r w:rsidR="00A918AB" w:rsidRPr="00A918AB">
              <w:rPr>
                <w:rFonts w:ascii="Calibri" w:eastAsia="Times New Roman" w:hAnsi="Calibri" w:cs="Calibri"/>
                <w:sz w:val="20"/>
                <w:szCs w:val="20"/>
                <w:lang w:val="es-CR" w:eastAsia="es-CR"/>
              </w:rPr>
              <w:t>%</w:t>
            </w:r>
          </w:p>
        </w:tc>
        <w:tc>
          <w:tcPr>
            <w:tcW w:w="1134" w:type="dxa"/>
            <w:tcBorders>
              <w:bottom w:val="single" w:sz="4" w:space="0" w:color="auto"/>
            </w:tcBorders>
            <w:shd w:val="clear" w:color="auto" w:fill="auto"/>
            <w:noWrap/>
            <w:vAlign w:val="center"/>
            <w:hideMark/>
          </w:tcPr>
          <w:p w14:paraId="7BAEC57A" w14:textId="77777777" w:rsidR="00D05EF8" w:rsidRPr="00A918AB" w:rsidRDefault="00D05EF8" w:rsidP="00D05EF8">
            <w:pPr>
              <w:jc w:val="right"/>
              <w:rPr>
                <w:rFonts w:ascii="Calibri" w:eastAsia="Times New Roman" w:hAnsi="Calibri" w:cs="Calibri"/>
                <w:sz w:val="20"/>
                <w:szCs w:val="20"/>
                <w:lang w:val="es-CR" w:eastAsia="es-CR"/>
              </w:rPr>
            </w:pPr>
            <w:r w:rsidRPr="00D05EF8">
              <w:rPr>
                <w:rFonts w:ascii="Calibri" w:eastAsia="Times New Roman" w:hAnsi="Calibri" w:cs="Calibri"/>
                <w:sz w:val="20"/>
                <w:szCs w:val="20"/>
                <w:lang w:val="es-CR" w:eastAsia="es-CR"/>
              </w:rPr>
              <w:t>340</w:t>
            </w:r>
            <w:r w:rsidR="00066E36">
              <w:rPr>
                <w:rFonts w:ascii="Calibri" w:eastAsia="Times New Roman" w:hAnsi="Calibri" w:cs="Calibri"/>
                <w:sz w:val="20"/>
                <w:szCs w:val="20"/>
                <w:lang w:val="es-CR" w:eastAsia="es-CR"/>
              </w:rPr>
              <w:t> </w:t>
            </w:r>
            <w:r w:rsidRPr="00D05EF8">
              <w:rPr>
                <w:rFonts w:ascii="Calibri" w:eastAsia="Times New Roman" w:hAnsi="Calibri" w:cs="Calibri"/>
                <w:sz w:val="20"/>
                <w:szCs w:val="20"/>
                <w:lang w:val="es-CR" w:eastAsia="es-CR"/>
              </w:rPr>
              <w:t>316</w:t>
            </w:r>
          </w:p>
        </w:tc>
        <w:tc>
          <w:tcPr>
            <w:tcW w:w="743" w:type="dxa"/>
            <w:tcBorders>
              <w:bottom w:val="single" w:sz="4" w:space="0" w:color="auto"/>
            </w:tcBorders>
            <w:shd w:val="clear" w:color="auto" w:fill="auto"/>
            <w:noWrap/>
            <w:vAlign w:val="center"/>
            <w:hideMark/>
          </w:tcPr>
          <w:p w14:paraId="7ADAC836" w14:textId="77777777" w:rsidR="00A918AB" w:rsidRPr="00A918AB" w:rsidRDefault="00FE4473" w:rsidP="00A918AB">
            <w:pPr>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66,17</w:t>
            </w:r>
            <w:r w:rsidR="00A918AB" w:rsidRPr="00A918AB">
              <w:rPr>
                <w:rFonts w:ascii="Calibri" w:eastAsia="Times New Roman" w:hAnsi="Calibri" w:cs="Calibri"/>
                <w:sz w:val="20"/>
                <w:szCs w:val="20"/>
                <w:lang w:val="es-CR" w:eastAsia="es-CR"/>
              </w:rPr>
              <w:t>%</w:t>
            </w:r>
          </w:p>
        </w:tc>
        <w:tc>
          <w:tcPr>
            <w:tcW w:w="1242" w:type="dxa"/>
            <w:tcBorders>
              <w:bottom w:val="single" w:sz="4" w:space="0" w:color="auto"/>
            </w:tcBorders>
            <w:shd w:val="clear" w:color="auto" w:fill="auto"/>
            <w:noWrap/>
            <w:vAlign w:val="center"/>
            <w:hideMark/>
          </w:tcPr>
          <w:p w14:paraId="363FB93A" w14:textId="77777777" w:rsidR="00A918AB" w:rsidRPr="00A918AB" w:rsidRDefault="00E36A74" w:rsidP="00A918AB">
            <w:pPr>
              <w:jc w:val="right"/>
              <w:rPr>
                <w:rFonts w:ascii="Calibri" w:eastAsia="Times New Roman" w:hAnsi="Calibri" w:cs="Calibri"/>
                <w:sz w:val="20"/>
                <w:szCs w:val="20"/>
                <w:lang w:val="es-CR" w:eastAsia="es-CR"/>
              </w:rPr>
            </w:pPr>
            <w:r w:rsidRPr="00E36A74">
              <w:rPr>
                <w:rFonts w:ascii="Calibri" w:eastAsia="Times New Roman" w:hAnsi="Calibri" w:cs="Calibri"/>
                <w:sz w:val="20"/>
                <w:szCs w:val="20"/>
                <w:lang w:val="es-CR" w:eastAsia="es-CR"/>
              </w:rPr>
              <w:t>514</w:t>
            </w:r>
            <w:r>
              <w:rPr>
                <w:rFonts w:ascii="Calibri" w:eastAsia="Times New Roman" w:hAnsi="Calibri" w:cs="Calibri"/>
                <w:sz w:val="20"/>
                <w:szCs w:val="20"/>
                <w:lang w:val="es-CR" w:eastAsia="es-CR"/>
              </w:rPr>
              <w:t xml:space="preserve"> </w:t>
            </w:r>
            <w:r w:rsidRPr="00E36A74">
              <w:rPr>
                <w:rFonts w:ascii="Calibri" w:eastAsia="Times New Roman" w:hAnsi="Calibri" w:cs="Calibri"/>
                <w:sz w:val="20"/>
                <w:szCs w:val="20"/>
                <w:lang w:val="es-CR" w:eastAsia="es-CR"/>
              </w:rPr>
              <w:t>272</w:t>
            </w:r>
          </w:p>
        </w:tc>
      </w:tr>
      <w:tr w:rsidR="008A13C6" w:rsidRPr="00A918AB" w14:paraId="4CC281E7" w14:textId="77777777" w:rsidTr="004D7577">
        <w:trPr>
          <w:trHeight w:val="330"/>
          <w:jc w:val="center"/>
        </w:trPr>
        <w:tc>
          <w:tcPr>
            <w:tcW w:w="1843" w:type="dxa"/>
            <w:tcBorders>
              <w:top w:val="single" w:sz="4" w:space="0" w:color="auto"/>
              <w:bottom w:val="single" w:sz="4" w:space="0" w:color="auto"/>
            </w:tcBorders>
            <w:shd w:val="clear" w:color="auto" w:fill="auto"/>
            <w:noWrap/>
            <w:vAlign w:val="center"/>
            <w:hideMark/>
          </w:tcPr>
          <w:p w14:paraId="4DFCAC40" w14:textId="77777777" w:rsidR="00A918AB" w:rsidRPr="00A918AB" w:rsidRDefault="00A918AB" w:rsidP="00A918AB">
            <w:pPr>
              <w:rPr>
                <w:rFonts w:ascii="Calibri" w:eastAsia="Times New Roman" w:hAnsi="Calibri" w:cs="Calibri"/>
                <w:b/>
                <w:bCs/>
                <w:sz w:val="20"/>
                <w:szCs w:val="20"/>
                <w:lang w:val="es-CR" w:eastAsia="es-CR"/>
              </w:rPr>
            </w:pPr>
            <w:r w:rsidRPr="00A918AB">
              <w:rPr>
                <w:rFonts w:ascii="Calibri" w:eastAsia="Times New Roman" w:hAnsi="Calibri" w:cs="Calibri"/>
                <w:b/>
                <w:bCs/>
                <w:sz w:val="20"/>
                <w:szCs w:val="20"/>
                <w:lang w:val="es-CR" w:eastAsia="es-CR"/>
              </w:rPr>
              <w:t>Total</w:t>
            </w:r>
          </w:p>
        </w:tc>
        <w:tc>
          <w:tcPr>
            <w:tcW w:w="992" w:type="dxa"/>
            <w:tcBorders>
              <w:top w:val="single" w:sz="4" w:space="0" w:color="auto"/>
              <w:bottom w:val="single" w:sz="4" w:space="0" w:color="auto"/>
            </w:tcBorders>
            <w:shd w:val="clear" w:color="auto" w:fill="auto"/>
            <w:noWrap/>
            <w:vAlign w:val="center"/>
            <w:hideMark/>
          </w:tcPr>
          <w:p w14:paraId="7168E2BF" w14:textId="77777777" w:rsidR="00A918AB" w:rsidRPr="00A918AB" w:rsidRDefault="004C5AE5" w:rsidP="00A918AB">
            <w:pPr>
              <w:jc w:val="right"/>
              <w:rPr>
                <w:rFonts w:ascii="Calibri" w:eastAsia="Times New Roman" w:hAnsi="Calibri" w:cs="Calibri"/>
                <w:b/>
                <w:bCs/>
                <w:sz w:val="20"/>
                <w:szCs w:val="20"/>
                <w:lang w:val="es-CR" w:eastAsia="es-CR"/>
              </w:rPr>
            </w:pPr>
            <w:r w:rsidRPr="004C5AE5">
              <w:rPr>
                <w:rFonts w:ascii="Calibri" w:eastAsia="Times New Roman" w:hAnsi="Calibri" w:cs="Calibri"/>
                <w:b/>
                <w:bCs/>
                <w:sz w:val="20"/>
                <w:szCs w:val="20"/>
                <w:lang w:val="es-CR" w:eastAsia="es-CR"/>
              </w:rPr>
              <w:t>2</w:t>
            </w:r>
            <w:r>
              <w:rPr>
                <w:rFonts w:ascii="Calibri" w:eastAsia="Times New Roman" w:hAnsi="Calibri" w:cs="Calibri"/>
                <w:b/>
                <w:bCs/>
                <w:sz w:val="20"/>
                <w:szCs w:val="20"/>
                <w:lang w:val="es-CR" w:eastAsia="es-CR"/>
              </w:rPr>
              <w:t xml:space="preserve"> </w:t>
            </w:r>
            <w:r w:rsidRPr="004C5AE5">
              <w:rPr>
                <w:rFonts w:ascii="Calibri" w:eastAsia="Times New Roman" w:hAnsi="Calibri" w:cs="Calibri"/>
                <w:b/>
                <w:bCs/>
                <w:sz w:val="20"/>
                <w:szCs w:val="20"/>
                <w:lang w:val="es-CR" w:eastAsia="es-CR"/>
              </w:rPr>
              <w:t>997</w:t>
            </w:r>
            <w:r>
              <w:rPr>
                <w:rFonts w:ascii="Calibri" w:eastAsia="Times New Roman" w:hAnsi="Calibri" w:cs="Calibri"/>
                <w:b/>
                <w:bCs/>
                <w:sz w:val="20"/>
                <w:szCs w:val="20"/>
                <w:lang w:val="es-CR" w:eastAsia="es-CR"/>
              </w:rPr>
              <w:t xml:space="preserve"> </w:t>
            </w:r>
            <w:r w:rsidRPr="004C5AE5">
              <w:rPr>
                <w:rFonts w:ascii="Calibri" w:eastAsia="Times New Roman" w:hAnsi="Calibri" w:cs="Calibri"/>
                <w:b/>
                <w:bCs/>
                <w:sz w:val="20"/>
                <w:szCs w:val="20"/>
                <w:lang w:val="es-CR" w:eastAsia="es-CR"/>
              </w:rPr>
              <w:t>046</w:t>
            </w:r>
          </w:p>
        </w:tc>
        <w:tc>
          <w:tcPr>
            <w:tcW w:w="851" w:type="dxa"/>
            <w:tcBorders>
              <w:top w:val="single" w:sz="4" w:space="0" w:color="auto"/>
              <w:bottom w:val="single" w:sz="4" w:space="0" w:color="auto"/>
            </w:tcBorders>
            <w:shd w:val="clear" w:color="auto" w:fill="auto"/>
            <w:noWrap/>
            <w:vAlign w:val="center"/>
            <w:hideMark/>
          </w:tcPr>
          <w:p w14:paraId="5FCFAEDF" w14:textId="77777777" w:rsidR="00A918AB" w:rsidRPr="00A918AB" w:rsidRDefault="00FE4473" w:rsidP="00A918AB">
            <w:pPr>
              <w:jc w:val="right"/>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16,95</w:t>
            </w:r>
            <w:r w:rsidR="00A918AB" w:rsidRPr="00A918AB">
              <w:rPr>
                <w:rFonts w:ascii="Calibri" w:eastAsia="Times New Roman" w:hAnsi="Calibri" w:cs="Calibri"/>
                <w:b/>
                <w:bCs/>
                <w:sz w:val="20"/>
                <w:szCs w:val="20"/>
                <w:lang w:val="es-CR" w:eastAsia="es-CR"/>
              </w:rPr>
              <w:t>%</w:t>
            </w:r>
          </w:p>
        </w:tc>
        <w:tc>
          <w:tcPr>
            <w:tcW w:w="1130" w:type="dxa"/>
            <w:tcBorders>
              <w:top w:val="single" w:sz="4" w:space="0" w:color="auto"/>
              <w:bottom w:val="single" w:sz="4" w:space="0" w:color="auto"/>
            </w:tcBorders>
            <w:shd w:val="clear" w:color="auto" w:fill="auto"/>
            <w:noWrap/>
            <w:vAlign w:val="center"/>
            <w:hideMark/>
          </w:tcPr>
          <w:p w14:paraId="3D749A05" w14:textId="77777777" w:rsidR="00A918AB" w:rsidRPr="00A918AB" w:rsidRDefault="004C5AE5" w:rsidP="00A918AB">
            <w:pPr>
              <w:jc w:val="right"/>
              <w:rPr>
                <w:rFonts w:ascii="Calibri" w:eastAsia="Times New Roman" w:hAnsi="Calibri" w:cs="Calibri"/>
                <w:b/>
                <w:bCs/>
                <w:sz w:val="20"/>
                <w:szCs w:val="20"/>
                <w:lang w:val="es-CR" w:eastAsia="es-CR"/>
              </w:rPr>
            </w:pPr>
            <w:r w:rsidRPr="004C5AE5">
              <w:rPr>
                <w:rFonts w:ascii="Calibri" w:eastAsia="Times New Roman" w:hAnsi="Calibri" w:cs="Calibri"/>
                <w:b/>
                <w:bCs/>
                <w:sz w:val="20"/>
                <w:szCs w:val="20"/>
                <w:lang w:val="es-CR" w:eastAsia="es-CR"/>
              </w:rPr>
              <w:t>1</w:t>
            </w:r>
            <w:r>
              <w:rPr>
                <w:rFonts w:ascii="Calibri" w:eastAsia="Times New Roman" w:hAnsi="Calibri" w:cs="Calibri"/>
                <w:b/>
                <w:bCs/>
                <w:sz w:val="20"/>
                <w:szCs w:val="20"/>
                <w:lang w:val="es-CR" w:eastAsia="es-CR"/>
              </w:rPr>
              <w:t xml:space="preserve"> </w:t>
            </w:r>
            <w:r w:rsidRPr="004C5AE5">
              <w:rPr>
                <w:rFonts w:ascii="Calibri" w:eastAsia="Times New Roman" w:hAnsi="Calibri" w:cs="Calibri"/>
                <w:b/>
                <w:bCs/>
                <w:sz w:val="20"/>
                <w:szCs w:val="20"/>
                <w:lang w:val="es-CR" w:eastAsia="es-CR"/>
              </w:rPr>
              <w:t>798</w:t>
            </w:r>
            <w:r>
              <w:rPr>
                <w:rFonts w:ascii="Calibri" w:eastAsia="Times New Roman" w:hAnsi="Calibri" w:cs="Calibri"/>
                <w:b/>
                <w:bCs/>
                <w:sz w:val="20"/>
                <w:szCs w:val="20"/>
                <w:lang w:val="es-CR" w:eastAsia="es-CR"/>
              </w:rPr>
              <w:t xml:space="preserve"> </w:t>
            </w:r>
            <w:r w:rsidRPr="004C5AE5">
              <w:rPr>
                <w:rFonts w:ascii="Calibri" w:eastAsia="Times New Roman" w:hAnsi="Calibri" w:cs="Calibri"/>
                <w:b/>
                <w:bCs/>
                <w:sz w:val="20"/>
                <w:szCs w:val="20"/>
                <w:lang w:val="es-CR" w:eastAsia="es-CR"/>
              </w:rPr>
              <w:t>501</w:t>
            </w:r>
          </w:p>
        </w:tc>
        <w:tc>
          <w:tcPr>
            <w:tcW w:w="850" w:type="dxa"/>
            <w:tcBorders>
              <w:top w:val="single" w:sz="4" w:space="0" w:color="auto"/>
              <w:bottom w:val="single" w:sz="4" w:space="0" w:color="auto"/>
            </w:tcBorders>
            <w:shd w:val="clear" w:color="auto" w:fill="auto"/>
            <w:noWrap/>
            <w:vAlign w:val="center"/>
            <w:hideMark/>
          </w:tcPr>
          <w:p w14:paraId="3D459911" w14:textId="77777777" w:rsidR="00A918AB" w:rsidRPr="00A918AB" w:rsidRDefault="00FE4473" w:rsidP="00A918AB">
            <w:pPr>
              <w:jc w:val="right"/>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10,17</w:t>
            </w:r>
            <w:r w:rsidR="00A918AB" w:rsidRPr="00A918AB">
              <w:rPr>
                <w:rFonts w:ascii="Calibri" w:eastAsia="Times New Roman" w:hAnsi="Calibri" w:cs="Calibri"/>
                <w:b/>
                <w:bCs/>
                <w:sz w:val="20"/>
                <w:szCs w:val="20"/>
                <w:lang w:val="es-CR" w:eastAsia="es-CR"/>
              </w:rPr>
              <w:t>%</w:t>
            </w:r>
          </w:p>
        </w:tc>
        <w:tc>
          <w:tcPr>
            <w:tcW w:w="1134" w:type="dxa"/>
            <w:tcBorders>
              <w:top w:val="single" w:sz="4" w:space="0" w:color="auto"/>
              <w:bottom w:val="single" w:sz="4" w:space="0" w:color="auto"/>
            </w:tcBorders>
            <w:shd w:val="clear" w:color="auto" w:fill="auto"/>
            <w:noWrap/>
            <w:vAlign w:val="center"/>
            <w:hideMark/>
          </w:tcPr>
          <w:p w14:paraId="320E068E" w14:textId="77777777" w:rsidR="00A918AB" w:rsidRPr="00A918AB" w:rsidRDefault="00C44F60" w:rsidP="00A918AB">
            <w:pPr>
              <w:jc w:val="right"/>
              <w:rPr>
                <w:rFonts w:ascii="Calibri" w:eastAsia="Times New Roman" w:hAnsi="Calibri" w:cs="Calibri"/>
                <w:b/>
                <w:bCs/>
                <w:sz w:val="20"/>
                <w:szCs w:val="20"/>
                <w:lang w:val="es-CR" w:eastAsia="es-CR"/>
              </w:rPr>
            </w:pPr>
            <w:r w:rsidRPr="00C44F60">
              <w:rPr>
                <w:rFonts w:ascii="Calibri" w:eastAsia="Times New Roman" w:hAnsi="Calibri" w:cs="Calibri"/>
                <w:b/>
                <w:bCs/>
                <w:sz w:val="20"/>
                <w:szCs w:val="20"/>
                <w:lang w:val="es-CR" w:eastAsia="es-CR"/>
              </w:rPr>
              <w:t>12</w:t>
            </w:r>
            <w:r>
              <w:rPr>
                <w:rFonts w:ascii="Calibri" w:eastAsia="Times New Roman" w:hAnsi="Calibri" w:cs="Calibri"/>
                <w:b/>
                <w:bCs/>
                <w:sz w:val="20"/>
                <w:szCs w:val="20"/>
                <w:lang w:val="es-CR" w:eastAsia="es-CR"/>
              </w:rPr>
              <w:t xml:space="preserve"> </w:t>
            </w:r>
            <w:r w:rsidRPr="00C44F60">
              <w:rPr>
                <w:rFonts w:ascii="Calibri" w:eastAsia="Times New Roman" w:hAnsi="Calibri" w:cs="Calibri"/>
                <w:b/>
                <w:bCs/>
                <w:sz w:val="20"/>
                <w:szCs w:val="20"/>
                <w:lang w:val="es-CR" w:eastAsia="es-CR"/>
              </w:rPr>
              <w:t>883</w:t>
            </w:r>
            <w:r>
              <w:rPr>
                <w:rFonts w:ascii="Calibri" w:eastAsia="Times New Roman" w:hAnsi="Calibri" w:cs="Calibri"/>
                <w:b/>
                <w:bCs/>
                <w:sz w:val="20"/>
                <w:szCs w:val="20"/>
                <w:lang w:val="es-CR" w:eastAsia="es-CR"/>
              </w:rPr>
              <w:t xml:space="preserve"> </w:t>
            </w:r>
            <w:r w:rsidRPr="00C44F60">
              <w:rPr>
                <w:rFonts w:ascii="Calibri" w:eastAsia="Times New Roman" w:hAnsi="Calibri" w:cs="Calibri"/>
                <w:b/>
                <w:bCs/>
                <w:sz w:val="20"/>
                <w:szCs w:val="20"/>
                <w:lang w:val="es-CR" w:eastAsia="es-CR"/>
              </w:rPr>
              <w:t>483</w:t>
            </w:r>
          </w:p>
        </w:tc>
        <w:tc>
          <w:tcPr>
            <w:tcW w:w="743" w:type="dxa"/>
            <w:tcBorders>
              <w:top w:val="single" w:sz="4" w:space="0" w:color="auto"/>
              <w:bottom w:val="single" w:sz="4" w:space="0" w:color="auto"/>
            </w:tcBorders>
            <w:shd w:val="clear" w:color="auto" w:fill="auto"/>
            <w:noWrap/>
            <w:vAlign w:val="center"/>
            <w:hideMark/>
          </w:tcPr>
          <w:p w14:paraId="5F1E4635" w14:textId="77777777" w:rsidR="00A918AB" w:rsidRPr="00A918AB" w:rsidRDefault="00FE4473" w:rsidP="00A918AB">
            <w:pPr>
              <w:jc w:val="right"/>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72,87</w:t>
            </w:r>
            <w:r w:rsidR="00A918AB" w:rsidRPr="00A918AB">
              <w:rPr>
                <w:rFonts w:ascii="Calibri" w:eastAsia="Times New Roman" w:hAnsi="Calibri" w:cs="Calibri"/>
                <w:b/>
                <w:bCs/>
                <w:sz w:val="20"/>
                <w:szCs w:val="20"/>
                <w:lang w:val="es-CR" w:eastAsia="es-CR"/>
              </w:rPr>
              <w:t>%</w:t>
            </w:r>
          </w:p>
        </w:tc>
        <w:tc>
          <w:tcPr>
            <w:tcW w:w="1242" w:type="dxa"/>
            <w:tcBorders>
              <w:top w:val="single" w:sz="4" w:space="0" w:color="auto"/>
              <w:bottom w:val="single" w:sz="4" w:space="0" w:color="auto"/>
            </w:tcBorders>
            <w:shd w:val="clear" w:color="auto" w:fill="auto"/>
            <w:noWrap/>
            <w:vAlign w:val="center"/>
            <w:hideMark/>
          </w:tcPr>
          <w:p w14:paraId="27784A2E" w14:textId="77777777" w:rsidR="00A918AB" w:rsidRPr="00A918AB" w:rsidRDefault="00C44F60" w:rsidP="00A918AB">
            <w:pPr>
              <w:jc w:val="right"/>
              <w:rPr>
                <w:rFonts w:ascii="Calibri" w:eastAsia="Times New Roman" w:hAnsi="Calibri" w:cs="Calibri"/>
                <w:b/>
                <w:bCs/>
                <w:sz w:val="20"/>
                <w:szCs w:val="20"/>
                <w:lang w:val="es-CR" w:eastAsia="es-CR"/>
              </w:rPr>
            </w:pPr>
            <w:r w:rsidRPr="00C44F60">
              <w:rPr>
                <w:rFonts w:ascii="Calibri" w:eastAsia="Times New Roman" w:hAnsi="Calibri" w:cs="Calibri"/>
                <w:b/>
                <w:bCs/>
                <w:sz w:val="20"/>
                <w:szCs w:val="20"/>
                <w:lang w:val="es-CR" w:eastAsia="es-CR"/>
              </w:rPr>
              <w:t>17</w:t>
            </w:r>
            <w:r>
              <w:rPr>
                <w:rFonts w:ascii="Calibri" w:eastAsia="Times New Roman" w:hAnsi="Calibri" w:cs="Calibri"/>
                <w:b/>
                <w:bCs/>
                <w:sz w:val="20"/>
                <w:szCs w:val="20"/>
                <w:lang w:val="es-CR" w:eastAsia="es-CR"/>
              </w:rPr>
              <w:t xml:space="preserve"> </w:t>
            </w:r>
            <w:r w:rsidRPr="00C44F60">
              <w:rPr>
                <w:rFonts w:ascii="Calibri" w:eastAsia="Times New Roman" w:hAnsi="Calibri" w:cs="Calibri"/>
                <w:b/>
                <w:bCs/>
                <w:sz w:val="20"/>
                <w:szCs w:val="20"/>
                <w:lang w:val="es-CR" w:eastAsia="es-CR"/>
              </w:rPr>
              <w:t>679</w:t>
            </w:r>
            <w:r>
              <w:rPr>
                <w:rFonts w:ascii="Calibri" w:eastAsia="Times New Roman" w:hAnsi="Calibri" w:cs="Calibri"/>
                <w:b/>
                <w:bCs/>
                <w:sz w:val="20"/>
                <w:szCs w:val="20"/>
                <w:lang w:val="es-CR" w:eastAsia="es-CR"/>
              </w:rPr>
              <w:t xml:space="preserve"> </w:t>
            </w:r>
            <w:r w:rsidRPr="00C44F60">
              <w:rPr>
                <w:rFonts w:ascii="Calibri" w:eastAsia="Times New Roman" w:hAnsi="Calibri" w:cs="Calibri"/>
                <w:b/>
                <w:bCs/>
                <w:sz w:val="20"/>
                <w:szCs w:val="20"/>
                <w:lang w:val="es-CR" w:eastAsia="es-CR"/>
              </w:rPr>
              <w:t>030</w:t>
            </w:r>
          </w:p>
        </w:tc>
      </w:tr>
    </w:tbl>
    <w:p w14:paraId="5CFE67CA" w14:textId="77777777" w:rsidR="00584743" w:rsidRDefault="00584743">
      <w:pPr>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Fuente: elaboración propia.</w:t>
      </w:r>
    </w:p>
    <w:p w14:paraId="26E0874D" w14:textId="77777777" w:rsidR="003C66BC" w:rsidRDefault="00584743">
      <w:pPr>
        <w:jc w:val="both"/>
        <w:rPr>
          <w:rFonts w:ascii="Calibri" w:eastAsia="Times New Roman" w:hAnsi="Calibri" w:cs="Calibri"/>
          <w:b/>
          <w:bCs/>
          <w:sz w:val="20"/>
          <w:szCs w:val="20"/>
          <w:lang w:val="es-CR" w:eastAsia="es-CR"/>
        </w:rPr>
      </w:pPr>
      <w:r>
        <w:rPr>
          <w:rFonts w:ascii="Calibri" w:eastAsia="Times New Roman" w:hAnsi="Calibri" w:cs="Calibri"/>
          <w:b/>
          <w:bCs/>
          <w:sz w:val="20"/>
          <w:szCs w:val="20"/>
          <w:lang w:val="es-CR" w:eastAsia="es-CR"/>
        </w:rPr>
        <w:t>1/ En millones de colones.</w:t>
      </w:r>
    </w:p>
    <w:p w14:paraId="0EB3636D" w14:textId="77777777" w:rsidR="003C5D9E" w:rsidRDefault="003C5D9E">
      <w:pPr>
        <w:jc w:val="both"/>
        <w:rPr>
          <w:rFonts w:ascii="Calibri" w:eastAsia="Times New Roman" w:hAnsi="Calibri" w:cs="Calibri"/>
          <w:b/>
          <w:bCs/>
          <w:sz w:val="20"/>
          <w:szCs w:val="20"/>
          <w:lang w:val="es-CR" w:eastAsia="es-CR"/>
        </w:rPr>
      </w:pPr>
    </w:p>
    <w:p w14:paraId="12FA06E5" w14:textId="77777777" w:rsidR="00D82067" w:rsidRDefault="006F5C1A" w:rsidP="00F40CD9">
      <w:pPr>
        <w:jc w:val="both"/>
      </w:pPr>
      <w:r>
        <w:t xml:space="preserve">Destaca </w:t>
      </w:r>
      <w:r w:rsidR="00375CA5">
        <w:t xml:space="preserve">en </w:t>
      </w:r>
      <w:r>
        <w:t>este trimestre</w:t>
      </w:r>
      <w:r w:rsidR="00375CA5">
        <w:t>,</w:t>
      </w:r>
      <w:r>
        <w:t xml:space="preserve"> la primera incursión del fondo administrado por el Poder Judicial</w:t>
      </w:r>
      <w:r w:rsidR="001E3E97">
        <w:t xml:space="preserve"> en mercados internacionales, cuyo monto al cierre del 2021 era de 14 258 </w:t>
      </w:r>
      <w:r w:rsidR="00840A5F">
        <w:t xml:space="preserve">millones de colones (2, 04% de </w:t>
      </w:r>
      <w:r w:rsidR="00502960">
        <w:t xml:space="preserve">su </w:t>
      </w:r>
      <w:r w:rsidR="00840A5F">
        <w:t>cartera de inversiones</w:t>
      </w:r>
      <w:r w:rsidR="00264FFD">
        <w:t>)</w:t>
      </w:r>
      <w:r w:rsidR="00840A5F">
        <w:t>.</w:t>
      </w:r>
      <w:r w:rsidR="00E428E5">
        <w:t xml:space="preserve"> Esta asignación en el mercado internacional </w:t>
      </w:r>
      <w:r w:rsidR="002C6488">
        <w:t>le permite al fondo disminuir su concentración en el sector público</w:t>
      </w:r>
      <w:r w:rsidR="005960E3">
        <w:t xml:space="preserve"> (</w:t>
      </w:r>
      <w:r w:rsidR="00837E27">
        <w:t xml:space="preserve">81% en </w:t>
      </w:r>
      <w:r w:rsidR="00D6140E">
        <w:t>2020)</w:t>
      </w:r>
      <w:r w:rsidR="000F16B6">
        <w:t>, y aprovechar las oportunidades de diversificación.</w:t>
      </w:r>
      <w:r w:rsidR="001248B8">
        <w:t xml:space="preserve"> </w:t>
      </w:r>
      <w:r w:rsidR="005704BE">
        <w:t xml:space="preserve">Por otra parte, el </w:t>
      </w:r>
      <w:r w:rsidR="00DC38B3">
        <w:t>FRCCMN</w:t>
      </w:r>
      <w:r w:rsidR="005704BE">
        <w:t>, que cuenta con la</w:t>
      </w:r>
      <w:r w:rsidR="0034392B">
        <w:t xml:space="preserve"> posibilidad de invertir</w:t>
      </w:r>
      <w:r w:rsidR="00DC38B3">
        <w:t xml:space="preserve"> en mercados internacionales, de con</w:t>
      </w:r>
      <w:r w:rsidR="008628EF">
        <w:t>formidad con la</w:t>
      </w:r>
      <w:r w:rsidR="00FC25C9">
        <w:t xml:space="preserve"> reciente modificación a la</w:t>
      </w:r>
      <w:r w:rsidR="00405A9D">
        <w:t xml:space="preserve"> </w:t>
      </w:r>
      <w:r w:rsidR="006F5904" w:rsidRPr="006F5904">
        <w:t>Ley de Pensiones y Jubilaciones del Magisterio Nacional</w:t>
      </w:r>
      <w:r w:rsidR="006F5904">
        <w:t xml:space="preserve"> (</w:t>
      </w:r>
      <w:r w:rsidR="00264F10">
        <w:t>L</w:t>
      </w:r>
      <w:r w:rsidR="00405A9D">
        <w:t>ey</w:t>
      </w:r>
      <w:r w:rsidR="00A1682C">
        <w:t xml:space="preserve"> 2248</w:t>
      </w:r>
      <w:r w:rsidR="006F5904">
        <w:t>)</w:t>
      </w:r>
      <w:r w:rsidR="00FC25C9">
        <w:t>;</w:t>
      </w:r>
      <w:r w:rsidR="00EB30D2">
        <w:t xml:space="preserve"> sin </w:t>
      </w:r>
      <w:r w:rsidR="00564CB8">
        <w:t>embargo, no</w:t>
      </w:r>
      <w:r w:rsidR="00EF145F">
        <w:t xml:space="preserve"> ha realizado inversiones foráneas.</w:t>
      </w:r>
      <w:r w:rsidR="00A63A38">
        <w:t xml:space="preserve"> </w:t>
      </w:r>
    </w:p>
    <w:p w14:paraId="1CE73ECF" w14:textId="77777777" w:rsidR="006F5904" w:rsidRDefault="006F5904" w:rsidP="00F40CD9">
      <w:pPr>
        <w:jc w:val="both"/>
      </w:pPr>
    </w:p>
    <w:p w14:paraId="6E6146D7" w14:textId="5A856560" w:rsidR="00F53832" w:rsidRDefault="002E1288" w:rsidP="00F40CD9">
      <w:pPr>
        <w:jc w:val="both"/>
      </w:pPr>
      <w:r>
        <w:t>En el caso de las</w:t>
      </w:r>
      <w:r w:rsidR="00F26920">
        <w:t xml:space="preserve"> Operadoras de Pensiones</w:t>
      </w:r>
      <w:r>
        <w:t>, estas</w:t>
      </w:r>
      <w:r w:rsidR="00F26920">
        <w:t xml:space="preserve"> han seguido estrategia</w:t>
      </w:r>
      <w:r w:rsidR="00F81836">
        <w:t>s</w:t>
      </w:r>
      <w:r w:rsidR="00F26920">
        <w:t xml:space="preserve"> de</w:t>
      </w:r>
      <w:r>
        <w:t xml:space="preserve"> aumento en la</w:t>
      </w:r>
      <w:r w:rsidR="00F26920">
        <w:t xml:space="preserve"> asignaci</w:t>
      </w:r>
      <w:r w:rsidR="00744BDB">
        <w:t xml:space="preserve">ón de inversiones en mercados internacionales, </w:t>
      </w:r>
      <w:r w:rsidR="00F81836">
        <w:t xml:space="preserve">lo que produce </w:t>
      </w:r>
      <w:r w:rsidR="00190BF6">
        <w:t xml:space="preserve">mayores </w:t>
      </w:r>
      <w:r w:rsidR="002E0024">
        <w:t>posiciones en</w:t>
      </w:r>
      <w:r w:rsidR="00422431">
        <w:t xml:space="preserve"> dólares </w:t>
      </w:r>
      <w:r w:rsidR="002E0024">
        <w:t>con respecto a los activos totales del fondo</w:t>
      </w:r>
      <w:r w:rsidR="00BA29E1">
        <w:t>, en aprovech</w:t>
      </w:r>
      <w:r w:rsidR="003135B3">
        <w:t xml:space="preserve">ando </w:t>
      </w:r>
      <w:r w:rsidR="00503334">
        <w:t>d</w:t>
      </w:r>
      <w:r w:rsidR="00AC6C40">
        <w:t>el rendimiento ob</w:t>
      </w:r>
      <w:r w:rsidR="00503334">
        <w:t xml:space="preserve">servado en esa plaza y </w:t>
      </w:r>
      <w:r w:rsidR="00FA738C">
        <w:t>las oportunidades de diversificación del portafolio</w:t>
      </w:r>
      <w:r w:rsidR="007A064B">
        <w:t>.</w:t>
      </w:r>
    </w:p>
    <w:p w14:paraId="24E7966D" w14:textId="77777777" w:rsidR="00BF5F43" w:rsidRDefault="00BF5F43">
      <w:pPr>
        <w:rPr>
          <w:rFonts w:ascii="Calibri" w:eastAsia="Times New Roman" w:hAnsi="Calibri" w:cs="Calibri"/>
          <w:b/>
          <w:lang w:val="es-CR" w:eastAsia="es-CR"/>
        </w:rPr>
      </w:pPr>
    </w:p>
    <w:p w14:paraId="638291DC" w14:textId="77777777" w:rsidR="00AF5BB2" w:rsidRDefault="00AF5BB2">
      <w:pPr>
        <w:rPr>
          <w:rFonts w:ascii="Calibri" w:eastAsia="Times New Roman" w:hAnsi="Calibri" w:cs="Calibri"/>
          <w:b/>
          <w:lang w:val="es-CR" w:eastAsia="es-CR"/>
        </w:rPr>
      </w:pPr>
    </w:p>
    <w:p w14:paraId="2322A2F4" w14:textId="77777777" w:rsidR="00AF5BB2" w:rsidRDefault="00AF5BB2">
      <w:pPr>
        <w:rPr>
          <w:rFonts w:ascii="Calibri" w:eastAsia="Times New Roman" w:hAnsi="Calibri" w:cs="Calibri"/>
          <w:b/>
          <w:lang w:val="es-CR" w:eastAsia="es-CR"/>
        </w:rPr>
      </w:pPr>
    </w:p>
    <w:p w14:paraId="02D878B7" w14:textId="77777777" w:rsidR="001C0301" w:rsidRDefault="001C0301" w:rsidP="006A170E">
      <w:pPr>
        <w:ind w:left="142"/>
        <w:jc w:val="both"/>
      </w:pPr>
    </w:p>
    <w:p w14:paraId="459BACDE" w14:textId="77777777" w:rsidR="0035730F" w:rsidRDefault="00183C41" w:rsidP="009D13CA">
      <w:pPr>
        <w:pStyle w:val="Ttulo3"/>
        <w:numPr>
          <w:ilvl w:val="2"/>
          <w:numId w:val="18"/>
        </w:numPr>
      </w:pPr>
      <w:bookmarkStart w:id="13" w:name="_Toc96614863"/>
      <w:r>
        <w:t>Rentabilidad, i</w:t>
      </w:r>
      <w:r w:rsidR="0035730F">
        <w:t>nversiones en mercados internacionales</w:t>
      </w:r>
      <w:r w:rsidR="00CF5ED7">
        <w:t xml:space="preserve"> y</w:t>
      </w:r>
      <w:r w:rsidR="00C53469">
        <w:t xml:space="preserve"> </w:t>
      </w:r>
      <w:r w:rsidR="0035730F">
        <w:t>dolarización de los portafolio</w:t>
      </w:r>
      <w:r w:rsidR="005D3843">
        <w:t>s</w:t>
      </w:r>
      <w:bookmarkEnd w:id="13"/>
    </w:p>
    <w:p w14:paraId="004396D3" w14:textId="77777777" w:rsidR="0035730F" w:rsidRDefault="0035730F" w:rsidP="0035730F">
      <w:pPr>
        <w:tabs>
          <w:tab w:val="left" w:pos="1056"/>
        </w:tabs>
        <w:jc w:val="both"/>
        <w:rPr>
          <w:rFonts w:cstheme="minorHAnsi"/>
        </w:rPr>
      </w:pPr>
    </w:p>
    <w:p w14:paraId="3BFDBC6C" w14:textId="77777777" w:rsidR="005B472A" w:rsidRDefault="00183C41" w:rsidP="00183C41">
      <w:pPr>
        <w:jc w:val="both"/>
      </w:pPr>
      <w:r>
        <w:t xml:space="preserve">A finales de setiembre, en el informe de coyuntura correspondiente al tercer trimestre, el mercado financiero en las principales plazas foráneas mostraba un desempeño hacia la baja. No obstante, el tercer trimestre, los índices bursátiles tuvieron desempeños mixtos, con </w:t>
      </w:r>
      <w:r w:rsidR="00F869E0">
        <w:t xml:space="preserve">dos </w:t>
      </w:r>
      <w:r>
        <w:t>meses positivos (octubre</w:t>
      </w:r>
      <w:r w:rsidR="00547FBF">
        <w:t xml:space="preserve"> y diciembre</w:t>
      </w:r>
      <w:r>
        <w:t>)</w:t>
      </w:r>
      <w:r w:rsidR="00F84D79">
        <w:t xml:space="preserve"> y</w:t>
      </w:r>
      <w:r>
        <w:t xml:space="preserve"> </w:t>
      </w:r>
      <w:r w:rsidR="00282624">
        <w:t>uno negativo</w:t>
      </w:r>
      <w:r>
        <w:t xml:space="preserve"> (noviembre). </w:t>
      </w:r>
      <w:r w:rsidR="00585409">
        <w:t>L</w:t>
      </w:r>
      <w:r>
        <w:t>a actividad económica continuó su recuperación, sin embargo, la aparición de la nueva variante del COVID 19 volvió a encender las alarmar</w:t>
      </w:r>
      <w:r w:rsidR="00585409">
        <w:t xml:space="preserve"> </w:t>
      </w:r>
      <w:r w:rsidR="00821906">
        <w:t>en las autoridades sanitarias</w:t>
      </w:r>
      <w:r>
        <w:t xml:space="preserve">, provocando nuevas restricciones a la movilidad, sobre todo en Europa, dada la alta transmisibilidad de </w:t>
      </w:r>
      <w:r w:rsidR="00282624">
        <w:t>Ómicron</w:t>
      </w:r>
      <w:r w:rsidR="00A81E70">
        <w:t>, lo que podr</w:t>
      </w:r>
      <w:r w:rsidR="0068733A">
        <w:t>ía provocar nuevas contracciones a la actividad económica</w:t>
      </w:r>
      <w:r w:rsidR="001A71DE">
        <w:t xml:space="preserve"> relacionadas al consumo</w:t>
      </w:r>
      <w:r>
        <w:t>.</w:t>
      </w:r>
    </w:p>
    <w:p w14:paraId="103255AD" w14:textId="77777777" w:rsidR="00DC01F1" w:rsidRDefault="00DC01F1" w:rsidP="00183C41">
      <w:pPr>
        <w:jc w:val="both"/>
      </w:pPr>
    </w:p>
    <w:p w14:paraId="760D98EC" w14:textId="77777777" w:rsidR="00183C41" w:rsidRDefault="00183C41" w:rsidP="00183C41">
      <w:pPr>
        <w:jc w:val="both"/>
      </w:pPr>
      <w:r w:rsidRPr="00EB5F86">
        <w:t>En el mercado local, desde finales de junio hasta el cierre de setiembre se presentaron desplazamientos hacia abajo en todos los plazos de las curvas en colones</w:t>
      </w:r>
      <w:r w:rsidRPr="00EB5F86">
        <w:rPr>
          <w:rStyle w:val="Refdenotaalpie"/>
        </w:rPr>
        <w:footnoteReference w:id="7"/>
      </w:r>
      <w:r w:rsidRPr="00EB5F86">
        <w:t>, afectando de manera positiva el valor de las inversiones locales de los portafolios de pensiones.</w:t>
      </w:r>
    </w:p>
    <w:p w14:paraId="4B7AA9AD" w14:textId="77777777" w:rsidR="00640BB6" w:rsidRDefault="00640BB6" w:rsidP="00183C41">
      <w:pPr>
        <w:jc w:val="both"/>
      </w:pPr>
    </w:p>
    <w:p w14:paraId="3BCC29F7" w14:textId="77777777" w:rsidR="00183C41" w:rsidRDefault="00183C41" w:rsidP="00183C41">
      <w:pPr>
        <w:jc w:val="both"/>
      </w:pPr>
      <w:r>
        <w:t>En el ROP, la curva de rendimiento a 10 años sigue su camino alcista, aunque en el tercer trimestre es evidente la desaceleración del crecimiento vía rendimiento, por las razones anotadas en párrafos anteriores.</w:t>
      </w:r>
    </w:p>
    <w:p w14:paraId="2272CA97" w14:textId="77777777" w:rsidR="00183C41" w:rsidRDefault="00183C41" w:rsidP="00183C41">
      <w:pPr>
        <w:jc w:val="both"/>
      </w:pPr>
    </w:p>
    <w:p w14:paraId="28D2BEE0" w14:textId="77777777" w:rsidR="00183C41" w:rsidRDefault="00183C41" w:rsidP="00183C41">
      <w:pPr>
        <w:contextualSpacing/>
        <w:jc w:val="both"/>
        <w:rPr>
          <w:b/>
          <w:bCs/>
          <w:lang w:val="es-CR"/>
        </w:rPr>
      </w:pPr>
      <w:r w:rsidRPr="009D33F8">
        <w:rPr>
          <w:b/>
          <w:bCs/>
          <w:lang w:val="es-CR"/>
        </w:rPr>
        <w:t xml:space="preserve">Gráfico </w:t>
      </w:r>
      <w:r w:rsidR="003014A1">
        <w:rPr>
          <w:b/>
          <w:bCs/>
          <w:lang w:val="es-CR"/>
        </w:rPr>
        <w:t>4</w:t>
      </w:r>
      <w:r w:rsidRPr="009D33F8">
        <w:rPr>
          <w:b/>
          <w:bCs/>
          <w:lang w:val="es-CR"/>
        </w:rPr>
        <w:t>.</w:t>
      </w:r>
    </w:p>
    <w:p w14:paraId="37F15DCF" w14:textId="77777777" w:rsidR="00183C41" w:rsidRPr="009D33F8" w:rsidRDefault="00183C41" w:rsidP="00183C41">
      <w:pPr>
        <w:contextualSpacing/>
        <w:jc w:val="both"/>
        <w:rPr>
          <w:b/>
          <w:bCs/>
          <w:lang w:val="es-CR"/>
        </w:rPr>
      </w:pPr>
      <w:r w:rsidRPr="009D33F8">
        <w:rPr>
          <w:b/>
          <w:bCs/>
          <w:lang w:val="es-CR"/>
        </w:rPr>
        <w:t>ROP: rendimiento a 10 años por OPC, octubre 2020 a setiembre 2021</w:t>
      </w:r>
    </w:p>
    <w:p w14:paraId="41A89E26" w14:textId="77777777" w:rsidR="00183C41" w:rsidRDefault="00183C41" w:rsidP="00183C41">
      <w:pPr>
        <w:contextualSpacing/>
        <w:jc w:val="center"/>
        <w:rPr>
          <w:b/>
          <w:bCs/>
          <w:lang w:val="es-CR"/>
        </w:rPr>
      </w:pPr>
      <w:r>
        <w:rPr>
          <w:noProof/>
        </w:rPr>
        <w:drawing>
          <wp:inline distT="0" distB="0" distL="0" distR="0" wp14:anchorId="19F22936" wp14:editId="7A23B290">
            <wp:extent cx="5241290" cy="2775097"/>
            <wp:effectExtent l="0" t="0" r="0" b="0"/>
            <wp:docPr id="10" name="Gráfico 10">
              <a:extLst xmlns:a="http://schemas.openxmlformats.org/drawingml/2006/main">
                <a:ext uri="{FF2B5EF4-FFF2-40B4-BE49-F238E27FC236}">
                  <a16:creationId xmlns:a16="http://schemas.microsoft.com/office/drawing/2014/main" id="{DE4F1C14-3B5E-43C4-B4DE-A787B41A0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C7EA5F" w14:textId="77777777" w:rsidR="00183C41" w:rsidRPr="00E12EFC" w:rsidRDefault="00183C41" w:rsidP="00183C41">
      <w:pPr>
        <w:rPr>
          <w:b/>
          <w:bCs/>
          <w:sz w:val="18"/>
          <w:szCs w:val="18"/>
        </w:rPr>
      </w:pPr>
      <w:r w:rsidRPr="00E12EFC">
        <w:rPr>
          <w:b/>
          <w:bCs/>
          <w:sz w:val="18"/>
          <w:szCs w:val="18"/>
        </w:rPr>
        <w:t>Fuente: elaboración propia.</w:t>
      </w:r>
    </w:p>
    <w:p w14:paraId="1C774529" w14:textId="77777777" w:rsidR="000A420E" w:rsidRDefault="000A420E" w:rsidP="0035730F">
      <w:pPr>
        <w:tabs>
          <w:tab w:val="left" w:pos="1056"/>
        </w:tabs>
        <w:jc w:val="both"/>
        <w:rPr>
          <w:rFonts w:cstheme="minorHAnsi"/>
        </w:rPr>
      </w:pPr>
    </w:p>
    <w:p w14:paraId="26A4F91B" w14:textId="77777777" w:rsidR="0035730F" w:rsidRDefault="00084174" w:rsidP="00F14B16">
      <w:pPr>
        <w:tabs>
          <w:tab w:val="left" w:pos="1056"/>
        </w:tabs>
        <w:jc w:val="both"/>
        <w:rPr>
          <w:rFonts w:cstheme="minorHAnsi"/>
        </w:rPr>
      </w:pPr>
      <w:r>
        <w:rPr>
          <w:rFonts w:cstheme="minorHAnsi"/>
        </w:rPr>
        <w:t>Con respecto al mercado internacional, l</w:t>
      </w:r>
      <w:r w:rsidR="0080687E">
        <w:rPr>
          <w:rFonts w:cstheme="minorHAnsi"/>
        </w:rPr>
        <w:t>as entidades administradoras de</w:t>
      </w:r>
      <w:r w:rsidR="00F60564">
        <w:rPr>
          <w:rFonts w:cstheme="minorHAnsi"/>
        </w:rPr>
        <w:t xml:space="preserve"> los</w:t>
      </w:r>
      <w:r w:rsidR="0080687E">
        <w:rPr>
          <w:rFonts w:cstheme="minorHAnsi"/>
        </w:rPr>
        <w:t xml:space="preserve"> fondos de pensiones aumentaron su participación. </w:t>
      </w:r>
      <w:r w:rsidR="006103BE">
        <w:rPr>
          <w:rFonts w:cstheme="minorHAnsi"/>
        </w:rPr>
        <w:t xml:space="preserve">El aumento </w:t>
      </w:r>
      <w:r w:rsidR="00C11D67">
        <w:rPr>
          <w:rFonts w:cstheme="minorHAnsi"/>
        </w:rPr>
        <w:t xml:space="preserve">se justifica </w:t>
      </w:r>
      <w:r w:rsidR="009B5D20">
        <w:rPr>
          <w:rFonts w:cstheme="minorHAnsi"/>
        </w:rPr>
        <w:t xml:space="preserve">por tres factores (2 de ellos inerciales): </w:t>
      </w:r>
      <w:r w:rsidR="008F6853">
        <w:rPr>
          <w:rFonts w:cstheme="minorHAnsi"/>
        </w:rPr>
        <w:t>la adquisición de nuevas inversiones</w:t>
      </w:r>
      <w:r w:rsidR="007A3D38">
        <w:rPr>
          <w:rFonts w:cstheme="minorHAnsi"/>
        </w:rPr>
        <w:t>;</w:t>
      </w:r>
      <w:r w:rsidR="008F6853">
        <w:rPr>
          <w:rFonts w:cstheme="minorHAnsi"/>
        </w:rPr>
        <w:t xml:space="preserve"> el aumento del valor de mercado de los instrumentos foráneos</w:t>
      </w:r>
      <w:r w:rsidR="007A3D38">
        <w:rPr>
          <w:rFonts w:cstheme="minorHAnsi"/>
        </w:rPr>
        <w:t>, es decir, rentabilidad;</w:t>
      </w:r>
      <w:r w:rsidR="008F6853">
        <w:rPr>
          <w:rFonts w:cstheme="minorHAnsi"/>
        </w:rPr>
        <w:t xml:space="preserve"> </w:t>
      </w:r>
      <w:r w:rsidR="008F6853">
        <w:rPr>
          <w:rFonts w:cstheme="minorHAnsi"/>
        </w:rPr>
        <w:lastRenderedPageBreak/>
        <w:t xml:space="preserve">y </w:t>
      </w:r>
      <w:r w:rsidR="00E85ED4">
        <w:rPr>
          <w:rFonts w:cstheme="minorHAnsi"/>
        </w:rPr>
        <w:t>la traducción de esas inversiones a colones</w:t>
      </w:r>
      <w:r w:rsidR="005B052F">
        <w:rPr>
          <w:rFonts w:cstheme="minorHAnsi"/>
        </w:rPr>
        <w:t xml:space="preserve"> (h</w:t>
      </w:r>
      <w:r w:rsidR="00E85ED4">
        <w:rPr>
          <w:rFonts w:cstheme="minorHAnsi"/>
        </w:rPr>
        <w:t>ay que recordar, que el tipo de cambio tuvo un incremento con respecto a 2020 de 4</w:t>
      </w:r>
      <w:r w:rsidR="006B7161">
        <w:rPr>
          <w:rFonts w:cstheme="minorHAnsi"/>
        </w:rPr>
        <w:t>%</w:t>
      </w:r>
      <w:r w:rsidR="005B052F">
        <w:rPr>
          <w:rFonts w:cstheme="minorHAnsi"/>
        </w:rPr>
        <w:t>)</w:t>
      </w:r>
      <w:r w:rsidR="006B7161">
        <w:rPr>
          <w:rFonts w:cstheme="minorHAnsi"/>
        </w:rPr>
        <w:t>.</w:t>
      </w:r>
      <w:r w:rsidR="00F14B16">
        <w:rPr>
          <w:rFonts w:cstheme="minorHAnsi"/>
        </w:rPr>
        <w:t xml:space="preserve"> Este sector</w:t>
      </w:r>
      <w:r w:rsidR="00BF7D69">
        <w:rPr>
          <w:rFonts w:cstheme="minorHAnsi"/>
        </w:rPr>
        <w:t xml:space="preserve"> ha tenido un mejor desempeño que </w:t>
      </w:r>
      <w:r w:rsidR="003C3AB6">
        <w:rPr>
          <w:rFonts w:cstheme="minorHAnsi"/>
        </w:rPr>
        <w:t>el local</w:t>
      </w:r>
      <w:r w:rsidR="00DB5DB4">
        <w:rPr>
          <w:rFonts w:cstheme="minorHAnsi"/>
        </w:rPr>
        <w:t>;</w:t>
      </w:r>
      <w:r w:rsidR="00F14B16">
        <w:rPr>
          <w:rFonts w:cstheme="minorHAnsi"/>
        </w:rPr>
        <w:t xml:space="preserve"> l</w:t>
      </w:r>
      <w:r w:rsidR="001D7C6C">
        <w:rPr>
          <w:rFonts w:cstheme="minorHAnsi"/>
        </w:rPr>
        <w:t xml:space="preserve">o anterior, justifica en buena medida la dolarización de los portafolios y </w:t>
      </w:r>
      <w:r w:rsidR="00AE02F0">
        <w:rPr>
          <w:rFonts w:cstheme="minorHAnsi"/>
        </w:rPr>
        <w:t>su internacionalización.</w:t>
      </w:r>
    </w:p>
    <w:p w14:paraId="21F55807" w14:textId="77777777" w:rsidR="0035293F" w:rsidRDefault="0035293F" w:rsidP="0035730F">
      <w:pPr>
        <w:tabs>
          <w:tab w:val="left" w:pos="1056"/>
        </w:tabs>
        <w:jc w:val="both"/>
        <w:rPr>
          <w:rFonts w:cstheme="minorHAnsi"/>
        </w:rPr>
      </w:pPr>
    </w:p>
    <w:p w14:paraId="5C3EC880" w14:textId="77777777" w:rsidR="00AE02F0" w:rsidRDefault="00D900EE" w:rsidP="0035730F">
      <w:pPr>
        <w:tabs>
          <w:tab w:val="left" w:pos="1056"/>
        </w:tabs>
        <w:jc w:val="both"/>
        <w:rPr>
          <w:rFonts w:cstheme="minorHAnsi"/>
        </w:rPr>
      </w:pPr>
      <w:r>
        <w:rPr>
          <w:rFonts w:cstheme="minorHAnsi"/>
        </w:rPr>
        <w:t>E</w:t>
      </w:r>
      <w:r w:rsidR="005D06C3">
        <w:rPr>
          <w:rFonts w:cstheme="minorHAnsi"/>
        </w:rPr>
        <w:t>l sector</w:t>
      </w:r>
      <w:r>
        <w:rPr>
          <w:rFonts w:cstheme="minorHAnsi"/>
        </w:rPr>
        <w:t xml:space="preserve"> local</w:t>
      </w:r>
      <w:r w:rsidR="005D06C3">
        <w:rPr>
          <w:rFonts w:cstheme="minorHAnsi"/>
        </w:rPr>
        <w:t xml:space="preserve"> privado en dólares</w:t>
      </w:r>
      <w:r w:rsidR="00310292">
        <w:rPr>
          <w:rFonts w:cstheme="minorHAnsi"/>
        </w:rPr>
        <w:t xml:space="preserve"> </w:t>
      </w:r>
      <w:r w:rsidR="005D06C3">
        <w:rPr>
          <w:rFonts w:cstheme="minorHAnsi"/>
        </w:rPr>
        <w:t xml:space="preserve">no ha tenido un desempeño favorable en 2021. </w:t>
      </w:r>
      <w:r w:rsidR="00782C1A">
        <w:rPr>
          <w:rFonts w:cstheme="minorHAnsi"/>
        </w:rPr>
        <w:t xml:space="preserve">En esta clasificación se incluye principalmente, fondos de inversión inmobiliario, </w:t>
      </w:r>
      <w:r w:rsidR="006330D2">
        <w:rPr>
          <w:rFonts w:cstheme="minorHAnsi"/>
        </w:rPr>
        <w:t xml:space="preserve">compuestos por edificios de oficina o locales comerciales, los cuales, desde la pandemia han mantenido altas tasas de desocupación. </w:t>
      </w:r>
    </w:p>
    <w:p w14:paraId="6F9ECD09" w14:textId="7E8E37C4" w:rsidR="009D4A83" w:rsidRDefault="009D4A83">
      <w:pPr>
        <w:spacing w:after="200" w:line="276" w:lineRule="auto"/>
        <w:rPr>
          <w:rFonts w:cstheme="minorHAnsi"/>
          <w:b/>
          <w:bCs/>
        </w:rPr>
      </w:pPr>
    </w:p>
    <w:p w14:paraId="3A2CB9BF" w14:textId="77777777" w:rsidR="003F1CCD" w:rsidRDefault="003F1CCD" w:rsidP="001B5250">
      <w:pPr>
        <w:tabs>
          <w:tab w:val="left" w:pos="1056"/>
        </w:tabs>
        <w:jc w:val="both"/>
        <w:rPr>
          <w:rFonts w:cstheme="minorHAnsi"/>
          <w:b/>
          <w:bCs/>
        </w:rPr>
      </w:pPr>
    </w:p>
    <w:p w14:paraId="60DEA861" w14:textId="77777777" w:rsidR="001B5250" w:rsidRPr="001B5250" w:rsidRDefault="001B5250" w:rsidP="001B5250">
      <w:pPr>
        <w:tabs>
          <w:tab w:val="left" w:pos="1056"/>
        </w:tabs>
        <w:jc w:val="both"/>
        <w:rPr>
          <w:rFonts w:cstheme="minorHAnsi"/>
          <w:b/>
          <w:bCs/>
        </w:rPr>
      </w:pPr>
      <w:r w:rsidRPr="001B5250">
        <w:rPr>
          <w:rFonts w:cstheme="minorHAnsi"/>
          <w:b/>
          <w:bCs/>
        </w:rPr>
        <w:t xml:space="preserve">Gráfico </w:t>
      </w:r>
      <w:r w:rsidR="009D4A83">
        <w:rPr>
          <w:rFonts w:cstheme="minorHAnsi"/>
          <w:b/>
          <w:bCs/>
        </w:rPr>
        <w:t>5</w:t>
      </w:r>
      <w:r w:rsidRPr="001B5250">
        <w:rPr>
          <w:rFonts w:cstheme="minorHAnsi"/>
          <w:b/>
          <w:bCs/>
        </w:rPr>
        <w:t>.</w:t>
      </w:r>
    </w:p>
    <w:p w14:paraId="58EE82D4" w14:textId="77777777" w:rsidR="001B5250" w:rsidRPr="001B5250" w:rsidRDefault="009A530A" w:rsidP="001B5250">
      <w:pPr>
        <w:tabs>
          <w:tab w:val="left" w:pos="1056"/>
        </w:tabs>
        <w:jc w:val="both"/>
        <w:rPr>
          <w:rFonts w:cstheme="minorHAnsi"/>
          <w:b/>
          <w:bCs/>
        </w:rPr>
      </w:pPr>
      <w:r>
        <w:rPr>
          <w:rFonts w:cstheme="minorHAnsi"/>
          <w:b/>
          <w:bCs/>
        </w:rPr>
        <w:t xml:space="preserve">ROP: </w:t>
      </w:r>
      <w:r w:rsidR="001B5250" w:rsidRPr="001B5250">
        <w:rPr>
          <w:rFonts w:cstheme="minorHAnsi"/>
          <w:b/>
          <w:bCs/>
        </w:rPr>
        <w:t>porcentaje</w:t>
      </w:r>
      <w:r>
        <w:rPr>
          <w:rFonts w:cstheme="minorHAnsi"/>
          <w:b/>
          <w:bCs/>
        </w:rPr>
        <w:t xml:space="preserve"> del activo invertido según sector y moneda, 2021</w:t>
      </w:r>
    </w:p>
    <w:p w14:paraId="511DE6F1" w14:textId="77777777" w:rsidR="0035730F" w:rsidRDefault="008F16FF" w:rsidP="0035730F">
      <w:pPr>
        <w:tabs>
          <w:tab w:val="left" w:pos="1056"/>
        </w:tabs>
        <w:jc w:val="center"/>
        <w:rPr>
          <w:rFonts w:cstheme="minorHAnsi"/>
        </w:rPr>
      </w:pPr>
      <w:r>
        <w:rPr>
          <w:noProof/>
        </w:rPr>
        <w:drawing>
          <wp:inline distT="0" distB="0" distL="0" distR="0" wp14:anchorId="4B13A2A1" wp14:editId="4B52E75C">
            <wp:extent cx="4572000" cy="2743200"/>
            <wp:effectExtent l="0" t="0" r="0" b="0"/>
            <wp:docPr id="1" name="Gráfico 1">
              <a:extLst xmlns:a="http://schemas.openxmlformats.org/drawingml/2006/main">
                <a:ext uri="{FF2B5EF4-FFF2-40B4-BE49-F238E27FC236}">
                  <a16:creationId xmlns:a16="http://schemas.microsoft.com/office/drawing/2014/main" id="{75D8ECEE-69FA-46E8-968B-650DB01E30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3182EC" w14:textId="77777777" w:rsidR="00597946" w:rsidRDefault="00597946" w:rsidP="001B5250">
      <w:pPr>
        <w:tabs>
          <w:tab w:val="left" w:pos="1056"/>
        </w:tabs>
        <w:jc w:val="both"/>
        <w:rPr>
          <w:rFonts w:cstheme="minorHAnsi"/>
        </w:rPr>
      </w:pPr>
    </w:p>
    <w:p w14:paraId="1D784345" w14:textId="77777777" w:rsidR="001B5250" w:rsidRPr="001B5250" w:rsidRDefault="001B5250" w:rsidP="001B5250">
      <w:pPr>
        <w:tabs>
          <w:tab w:val="left" w:pos="1056"/>
        </w:tabs>
        <w:jc w:val="both"/>
        <w:rPr>
          <w:rFonts w:cstheme="minorHAnsi"/>
          <w:b/>
          <w:bCs/>
          <w:sz w:val="18"/>
          <w:szCs w:val="18"/>
        </w:rPr>
      </w:pPr>
      <w:r w:rsidRPr="001B5250">
        <w:rPr>
          <w:rFonts w:cstheme="minorHAnsi"/>
          <w:b/>
          <w:bCs/>
          <w:sz w:val="18"/>
          <w:szCs w:val="18"/>
        </w:rPr>
        <w:t xml:space="preserve">Nota: </w:t>
      </w:r>
      <w:r w:rsidR="005408DA">
        <w:rPr>
          <w:rFonts w:cstheme="minorHAnsi"/>
          <w:b/>
          <w:bCs/>
          <w:sz w:val="18"/>
          <w:szCs w:val="18"/>
        </w:rPr>
        <w:t>las tramas corresponden a inversiones en dólares</w:t>
      </w:r>
      <w:r w:rsidRPr="001B5250">
        <w:rPr>
          <w:rFonts w:cstheme="minorHAnsi"/>
          <w:b/>
          <w:bCs/>
          <w:sz w:val="18"/>
          <w:szCs w:val="18"/>
        </w:rPr>
        <w:t>.</w:t>
      </w:r>
    </w:p>
    <w:p w14:paraId="29B97600" w14:textId="77777777" w:rsidR="001B5250" w:rsidRPr="001B5250" w:rsidRDefault="001B5250" w:rsidP="001B5250">
      <w:pPr>
        <w:tabs>
          <w:tab w:val="left" w:pos="1056"/>
        </w:tabs>
        <w:jc w:val="both"/>
        <w:rPr>
          <w:rFonts w:cstheme="minorHAnsi"/>
          <w:b/>
          <w:bCs/>
          <w:sz w:val="18"/>
          <w:szCs w:val="18"/>
        </w:rPr>
      </w:pPr>
      <w:r w:rsidRPr="001B5250">
        <w:rPr>
          <w:rFonts w:cstheme="minorHAnsi"/>
          <w:b/>
          <w:bCs/>
          <w:sz w:val="18"/>
          <w:szCs w:val="18"/>
        </w:rPr>
        <w:t>Fuente: Elaboración propia.</w:t>
      </w:r>
    </w:p>
    <w:p w14:paraId="0FA42676" w14:textId="77777777" w:rsidR="00067C90" w:rsidRDefault="00067C90" w:rsidP="0035730F"/>
    <w:p w14:paraId="534DA593" w14:textId="77777777" w:rsidR="00AE0513" w:rsidRDefault="00AE0513" w:rsidP="00F40CD9">
      <w:pPr>
        <w:jc w:val="both"/>
      </w:pPr>
    </w:p>
    <w:p w14:paraId="64D5DDA1" w14:textId="77777777" w:rsidR="00F338A7" w:rsidRDefault="006245BE" w:rsidP="00841903">
      <w:pPr>
        <w:pStyle w:val="Ttulo2"/>
        <w:numPr>
          <w:ilvl w:val="1"/>
          <w:numId w:val="18"/>
        </w:numPr>
        <w:ind w:left="709" w:hanging="709"/>
      </w:pPr>
      <w:bookmarkStart w:id="14" w:name="_Toc96614864"/>
      <w:r>
        <w:t>Desempeño de los gestores</w:t>
      </w:r>
      <w:r w:rsidR="007D6EDC">
        <w:t>: resultado financiero</w:t>
      </w:r>
      <w:bookmarkEnd w:id="14"/>
    </w:p>
    <w:p w14:paraId="7BA45289" w14:textId="77777777" w:rsidR="009D13CA" w:rsidRDefault="009D13CA" w:rsidP="009D13CA">
      <w:pPr>
        <w:pStyle w:val="Ttulo2"/>
        <w:ind w:left="709"/>
      </w:pPr>
    </w:p>
    <w:p w14:paraId="69FF44EF" w14:textId="77777777" w:rsidR="00757E6E" w:rsidRDefault="009D0BC1" w:rsidP="004B2733">
      <w:pPr>
        <w:jc w:val="both"/>
        <w:rPr>
          <w:rFonts w:cstheme="minorHAnsi"/>
        </w:rPr>
      </w:pPr>
      <w:r>
        <w:rPr>
          <w:rFonts w:cstheme="minorHAnsi"/>
        </w:rPr>
        <w:t>L</w:t>
      </w:r>
      <w:r w:rsidR="00E86441">
        <w:rPr>
          <w:rFonts w:cstheme="minorHAnsi"/>
        </w:rPr>
        <w:t xml:space="preserve">as operadoras de pensiones complementarias </w:t>
      </w:r>
      <w:r w:rsidR="001C0E22">
        <w:rPr>
          <w:rFonts w:cstheme="minorHAnsi"/>
        </w:rPr>
        <w:t xml:space="preserve">incrementaron sus ingresos operativos </w:t>
      </w:r>
      <w:r w:rsidR="00F5755D">
        <w:rPr>
          <w:rFonts w:cstheme="minorHAnsi"/>
        </w:rPr>
        <w:t xml:space="preserve">en 14,7% con respecto al 2020, </w:t>
      </w:r>
      <w:r w:rsidR="00F22BCC">
        <w:rPr>
          <w:rFonts w:cstheme="minorHAnsi"/>
        </w:rPr>
        <w:t xml:space="preserve">a pesar </w:t>
      </w:r>
      <w:r w:rsidR="00E86441">
        <w:rPr>
          <w:rFonts w:cstheme="minorHAnsi"/>
        </w:rPr>
        <w:t>de la disminución de</w:t>
      </w:r>
      <w:r w:rsidR="00F22BCC">
        <w:rPr>
          <w:rFonts w:cstheme="minorHAnsi"/>
        </w:rPr>
        <w:t xml:space="preserve">l porcentaje </w:t>
      </w:r>
      <w:r w:rsidR="00E7062E">
        <w:rPr>
          <w:rFonts w:cstheme="minorHAnsi"/>
        </w:rPr>
        <w:t xml:space="preserve">de comisión </w:t>
      </w:r>
      <w:r w:rsidR="00E86441">
        <w:rPr>
          <w:rFonts w:cstheme="minorHAnsi"/>
        </w:rPr>
        <w:t>por administración</w:t>
      </w:r>
      <w:r w:rsidR="00B31C5C">
        <w:rPr>
          <w:rFonts w:cstheme="minorHAnsi"/>
        </w:rPr>
        <w:t xml:space="preserve"> </w:t>
      </w:r>
      <w:r w:rsidR="00E7062E">
        <w:rPr>
          <w:rFonts w:cstheme="minorHAnsi"/>
        </w:rPr>
        <w:t>(</w:t>
      </w:r>
      <w:r w:rsidR="00B31C5C">
        <w:rPr>
          <w:rFonts w:cstheme="minorHAnsi"/>
        </w:rPr>
        <w:t>de 0</w:t>
      </w:r>
      <w:r w:rsidR="00167070">
        <w:rPr>
          <w:rFonts w:cstheme="minorHAnsi"/>
        </w:rPr>
        <w:t>,</w:t>
      </w:r>
      <w:r w:rsidR="00B31C5C">
        <w:rPr>
          <w:rFonts w:cstheme="minorHAnsi"/>
        </w:rPr>
        <w:t>5% a 0,35% en enero de 2020</w:t>
      </w:r>
      <w:r w:rsidR="00E86441">
        <w:rPr>
          <w:rFonts w:cstheme="minorHAnsi"/>
        </w:rPr>
        <w:t>)</w:t>
      </w:r>
      <w:r w:rsidR="00BD2E52">
        <w:rPr>
          <w:rFonts w:cstheme="minorHAnsi"/>
        </w:rPr>
        <w:t>.</w:t>
      </w:r>
      <w:r w:rsidR="00D861F6">
        <w:rPr>
          <w:rFonts w:cstheme="minorHAnsi"/>
        </w:rPr>
        <w:t xml:space="preserve"> </w:t>
      </w:r>
      <w:r w:rsidR="00660A90">
        <w:rPr>
          <w:rFonts w:cstheme="minorHAnsi"/>
        </w:rPr>
        <w:t xml:space="preserve">Este resultado tiene su explicación dado el crecimiento logrado </w:t>
      </w:r>
      <w:r w:rsidR="009D517F">
        <w:rPr>
          <w:rFonts w:cstheme="minorHAnsi"/>
        </w:rPr>
        <w:t xml:space="preserve">por </w:t>
      </w:r>
      <w:r w:rsidR="00660A90">
        <w:rPr>
          <w:rFonts w:cstheme="minorHAnsi"/>
        </w:rPr>
        <w:t>los fondos; por ejemplo, en el ROP, el activo neto (diferencia del activo total y</w:t>
      </w:r>
      <w:r w:rsidR="00DC6B3B">
        <w:rPr>
          <w:rFonts w:cstheme="minorHAnsi"/>
        </w:rPr>
        <w:t xml:space="preserve"> el pasivo) creció </w:t>
      </w:r>
      <w:r w:rsidR="00EF3655">
        <w:rPr>
          <w:rFonts w:cstheme="minorHAnsi"/>
        </w:rPr>
        <w:t xml:space="preserve">en 2021 </w:t>
      </w:r>
      <w:r w:rsidR="00DC6B3B">
        <w:rPr>
          <w:rFonts w:cstheme="minorHAnsi"/>
        </w:rPr>
        <w:t xml:space="preserve">en </w:t>
      </w:r>
      <w:r w:rsidR="007B79D4">
        <w:rPr>
          <w:rFonts w:cstheme="minorHAnsi"/>
        </w:rPr>
        <w:t>promedio 22% con respecto al periodo anterior</w:t>
      </w:r>
      <w:r w:rsidR="00506929">
        <w:rPr>
          <w:rFonts w:cstheme="minorHAnsi"/>
        </w:rPr>
        <w:t xml:space="preserve">, y a su vez, </w:t>
      </w:r>
      <w:r w:rsidR="00F6069A">
        <w:rPr>
          <w:rFonts w:cstheme="minorHAnsi"/>
        </w:rPr>
        <w:t>este crecimiento se explica por l</w:t>
      </w:r>
      <w:r w:rsidR="002174DD">
        <w:rPr>
          <w:rFonts w:cstheme="minorHAnsi"/>
        </w:rPr>
        <w:t xml:space="preserve">os resultados financieros de los portafolios y las nuevas aportaciones. </w:t>
      </w:r>
      <w:r w:rsidR="00757E6E">
        <w:rPr>
          <w:rFonts w:cstheme="minorHAnsi"/>
        </w:rPr>
        <w:t>D</w:t>
      </w:r>
      <w:r w:rsidR="004E5C0A">
        <w:rPr>
          <w:rFonts w:cstheme="minorHAnsi"/>
        </w:rPr>
        <w:t xml:space="preserve">icho en otras palabras, el crecimiento del saldo acumulado desde enero de 2020 a diciembre 2021 alcanzó un crecimiento </w:t>
      </w:r>
      <w:r w:rsidR="00700F7B">
        <w:rPr>
          <w:rFonts w:cstheme="minorHAnsi"/>
        </w:rPr>
        <w:t>capaz de compensar la diferencia en el porcentaje de cobr</w:t>
      </w:r>
      <w:r w:rsidR="00CD2E23">
        <w:rPr>
          <w:rFonts w:cstheme="minorHAnsi"/>
        </w:rPr>
        <w:t>o</w:t>
      </w:r>
      <w:r w:rsidR="00700F7B">
        <w:rPr>
          <w:rFonts w:cstheme="minorHAnsi"/>
        </w:rPr>
        <w:t xml:space="preserve"> de comisión.</w:t>
      </w:r>
    </w:p>
    <w:p w14:paraId="010465B6" w14:textId="77777777" w:rsidR="009457E1" w:rsidRDefault="009457E1" w:rsidP="004B2733">
      <w:pPr>
        <w:jc w:val="both"/>
        <w:rPr>
          <w:rFonts w:cstheme="minorHAnsi"/>
        </w:rPr>
      </w:pPr>
    </w:p>
    <w:p w14:paraId="2755FE7C" w14:textId="77777777" w:rsidR="00B17957" w:rsidRDefault="00B17957" w:rsidP="00270676">
      <w:pPr>
        <w:contextualSpacing/>
        <w:jc w:val="both"/>
        <w:rPr>
          <w:rFonts w:cstheme="minorHAnsi"/>
          <w:b/>
          <w:bCs/>
        </w:rPr>
      </w:pPr>
    </w:p>
    <w:p w14:paraId="20BEA546" w14:textId="0106997F" w:rsidR="00270676" w:rsidRPr="00B02633" w:rsidRDefault="00270676" w:rsidP="00270676">
      <w:pPr>
        <w:contextualSpacing/>
        <w:jc w:val="both"/>
        <w:rPr>
          <w:rFonts w:cstheme="minorHAnsi"/>
          <w:b/>
          <w:bCs/>
        </w:rPr>
      </w:pPr>
      <w:r w:rsidRPr="00B02633">
        <w:rPr>
          <w:rFonts w:cstheme="minorHAnsi"/>
          <w:b/>
          <w:bCs/>
        </w:rPr>
        <w:lastRenderedPageBreak/>
        <w:t xml:space="preserve">Cuadro </w:t>
      </w:r>
      <w:r w:rsidR="00B17957">
        <w:rPr>
          <w:rFonts w:cstheme="minorHAnsi"/>
          <w:b/>
          <w:bCs/>
        </w:rPr>
        <w:t>4</w:t>
      </w:r>
      <w:r w:rsidRPr="00B02633">
        <w:rPr>
          <w:rFonts w:cstheme="minorHAnsi"/>
          <w:b/>
          <w:bCs/>
        </w:rPr>
        <w:t xml:space="preserve">. </w:t>
      </w:r>
    </w:p>
    <w:p w14:paraId="4CD74413" w14:textId="77777777" w:rsidR="006245BE" w:rsidRPr="00B02633" w:rsidRDefault="00270676" w:rsidP="00270676">
      <w:pPr>
        <w:rPr>
          <w:b/>
          <w:bCs/>
        </w:rPr>
      </w:pPr>
      <w:r w:rsidRPr="00B02633">
        <w:rPr>
          <w:rFonts w:cstheme="minorHAnsi"/>
          <w:b/>
          <w:bCs/>
        </w:rPr>
        <w:t>Operadoras de pensiones: resultado financiero</w:t>
      </w:r>
      <w:r w:rsidR="00381EA9" w:rsidRPr="00B02633">
        <w:rPr>
          <w:rFonts w:cstheme="minorHAnsi"/>
          <w:b/>
          <w:bCs/>
          <w:vertAlign w:val="superscript"/>
        </w:rPr>
        <w:t>1/</w:t>
      </w:r>
      <w:r w:rsidRPr="00B02633">
        <w:rPr>
          <w:rFonts w:cstheme="minorHAnsi"/>
          <w:b/>
          <w:bCs/>
        </w:rPr>
        <w:t>, 2016-2021</w:t>
      </w:r>
    </w:p>
    <w:tbl>
      <w:tblPr>
        <w:tblStyle w:val="Tablaconcuadrcula4-nfasis1"/>
        <w:tblW w:w="8197" w:type="dxa"/>
        <w:jc w:val="center"/>
        <w:tblLook w:val="04A0" w:firstRow="1" w:lastRow="0" w:firstColumn="1" w:lastColumn="0" w:noHBand="0" w:noVBand="1"/>
      </w:tblPr>
      <w:tblGrid>
        <w:gridCol w:w="1694"/>
        <w:gridCol w:w="1500"/>
        <w:gridCol w:w="1275"/>
        <w:gridCol w:w="1134"/>
        <w:gridCol w:w="1134"/>
        <w:gridCol w:w="1460"/>
      </w:tblGrid>
      <w:tr w:rsidR="007D5AE5" w:rsidRPr="00E3523C" w14:paraId="03B6A8A2" w14:textId="77777777" w:rsidTr="00803CD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left w:val="nil"/>
              <w:bottom w:val="single" w:sz="4" w:space="0" w:color="auto"/>
            </w:tcBorders>
            <w:shd w:val="clear" w:color="auto" w:fill="auto"/>
            <w:noWrap/>
            <w:vAlign w:val="center"/>
            <w:hideMark/>
          </w:tcPr>
          <w:p w14:paraId="795B637B" w14:textId="77777777" w:rsidR="007D5AE5" w:rsidRPr="009B6A5E" w:rsidRDefault="007D5AE5" w:rsidP="00A46A72">
            <w:pPr>
              <w:rPr>
                <w:rFonts w:eastAsia="Times New Roman" w:cs="Calibri"/>
                <w:b w:val="0"/>
                <w:bCs w:val="0"/>
                <w:color w:val="auto"/>
                <w:lang w:val="es-CR"/>
              </w:rPr>
            </w:pPr>
            <w:r w:rsidRPr="009B6A5E">
              <w:rPr>
                <w:rFonts w:eastAsia="Times New Roman" w:cs="Calibri"/>
                <w:color w:val="auto"/>
                <w:lang w:val="es-CR"/>
              </w:rPr>
              <w:t>Año</w:t>
            </w:r>
          </w:p>
        </w:tc>
        <w:tc>
          <w:tcPr>
            <w:tcW w:w="1500" w:type="dxa"/>
            <w:tcBorders>
              <w:top w:val="single" w:sz="4" w:space="0" w:color="auto"/>
              <w:bottom w:val="single" w:sz="4" w:space="0" w:color="auto"/>
            </w:tcBorders>
            <w:shd w:val="clear" w:color="auto" w:fill="auto"/>
            <w:noWrap/>
            <w:vAlign w:val="center"/>
            <w:hideMark/>
          </w:tcPr>
          <w:p w14:paraId="42044E49"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Ingresos Operativos</w:t>
            </w:r>
          </w:p>
        </w:tc>
        <w:tc>
          <w:tcPr>
            <w:tcW w:w="1275" w:type="dxa"/>
            <w:tcBorders>
              <w:top w:val="single" w:sz="4" w:space="0" w:color="auto"/>
              <w:bottom w:val="single" w:sz="4" w:space="0" w:color="auto"/>
            </w:tcBorders>
            <w:shd w:val="clear" w:color="auto" w:fill="auto"/>
            <w:noWrap/>
            <w:vAlign w:val="center"/>
            <w:hideMark/>
          </w:tcPr>
          <w:p w14:paraId="3A3C0FE0"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Gastos Operativos</w:t>
            </w:r>
          </w:p>
        </w:tc>
        <w:tc>
          <w:tcPr>
            <w:tcW w:w="1134" w:type="dxa"/>
            <w:tcBorders>
              <w:top w:val="single" w:sz="4" w:space="0" w:color="auto"/>
              <w:bottom w:val="single" w:sz="4" w:space="0" w:color="auto"/>
            </w:tcBorders>
            <w:shd w:val="clear" w:color="auto" w:fill="auto"/>
            <w:noWrap/>
            <w:vAlign w:val="center"/>
            <w:hideMark/>
          </w:tcPr>
          <w:p w14:paraId="2D39D78C"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Operativo</w:t>
            </w:r>
          </w:p>
        </w:tc>
        <w:tc>
          <w:tcPr>
            <w:tcW w:w="1134" w:type="dxa"/>
            <w:tcBorders>
              <w:top w:val="single" w:sz="4" w:space="0" w:color="auto"/>
              <w:bottom w:val="single" w:sz="4" w:space="0" w:color="auto"/>
            </w:tcBorders>
            <w:shd w:val="clear" w:color="auto" w:fill="auto"/>
            <w:noWrap/>
            <w:vAlign w:val="center"/>
            <w:hideMark/>
          </w:tcPr>
          <w:p w14:paraId="1F0EE12A"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Neto</w:t>
            </w:r>
          </w:p>
        </w:tc>
        <w:tc>
          <w:tcPr>
            <w:tcW w:w="1460" w:type="dxa"/>
            <w:tcBorders>
              <w:top w:val="single" w:sz="4" w:space="0" w:color="auto"/>
              <w:bottom w:val="single" w:sz="4" w:space="0" w:color="auto"/>
              <w:right w:val="nil"/>
            </w:tcBorders>
            <w:shd w:val="clear" w:color="auto" w:fill="auto"/>
            <w:noWrap/>
            <w:vAlign w:val="center"/>
            <w:hideMark/>
          </w:tcPr>
          <w:p w14:paraId="18E0D0CB" w14:textId="77777777" w:rsidR="007D5AE5" w:rsidRPr="009B6A5E" w:rsidRDefault="007D5AE5" w:rsidP="00A46A7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lang w:val="es-CR"/>
              </w:rPr>
            </w:pPr>
            <w:r w:rsidRPr="009B6A5E">
              <w:rPr>
                <w:rFonts w:eastAsia="Times New Roman" w:cs="Calibri"/>
                <w:color w:val="auto"/>
                <w:lang w:val="es-CR"/>
              </w:rPr>
              <w:t>Resultado Neto</w:t>
            </w:r>
            <w:r w:rsidR="00EE3AA9" w:rsidRPr="009B6A5E">
              <w:rPr>
                <w:rFonts w:eastAsia="Times New Roman" w:cs="Calibri"/>
                <w:color w:val="auto"/>
                <w:vertAlign w:val="superscript"/>
                <w:lang w:val="es-CR"/>
              </w:rPr>
              <w:t>2/</w:t>
            </w:r>
          </w:p>
        </w:tc>
      </w:tr>
      <w:tr w:rsidR="007D5AE5" w:rsidRPr="00E3523C" w14:paraId="781BB2D8" w14:textId="77777777" w:rsidTr="00803C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left w:val="nil"/>
              <w:bottom w:val="nil"/>
              <w:right w:val="nil"/>
            </w:tcBorders>
            <w:shd w:val="clear" w:color="auto" w:fill="auto"/>
            <w:noWrap/>
          </w:tcPr>
          <w:p w14:paraId="116FFAC3" w14:textId="77777777" w:rsidR="007D5AE5" w:rsidRPr="00E3523C" w:rsidRDefault="007D5AE5" w:rsidP="00A46A72">
            <w:pPr>
              <w:jc w:val="center"/>
              <w:rPr>
                <w:rFonts w:eastAsia="Times New Roman" w:cs="Calibri"/>
                <w:color w:val="000000"/>
                <w:lang w:val="es-CR"/>
              </w:rPr>
            </w:pPr>
            <w:r w:rsidRPr="00E3523C">
              <w:t>2016</w:t>
            </w:r>
          </w:p>
        </w:tc>
        <w:tc>
          <w:tcPr>
            <w:tcW w:w="1500" w:type="dxa"/>
            <w:tcBorders>
              <w:top w:val="single" w:sz="4" w:space="0" w:color="auto"/>
              <w:left w:val="nil"/>
              <w:bottom w:val="nil"/>
              <w:right w:val="nil"/>
            </w:tcBorders>
            <w:shd w:val="clear" w:color="auto" w:fill="auto"/>
            <w:noWrap/>
          </w:tcPr>
          <w:p w14:paraId="0FF3CF41"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42 700</w:t>
            </w:r>
          </w:p>
        </w:tc>
        <w:tc>
          <w:tcPr>
            <w:tcW w:w="1275" w:type="dxa"/>
            <w:tcBorders>
              <w:top w:val="single" w:sz="4" w:space="0" w:color="auto"/>
              <w:left w:val="nil"/>
              <w:bottom w:val="nil"/>
              <w:right w:val="nil"/>
            </w:tcBorders>
            <w:shd w:val="clear" w:color="auto" w:fill="auto"/>
            <w:noWrap/>
          </w:tcPr>
          <w:p w14:paraId="17629DDF"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30 542</w:t>
            </w:r>
          </w:p>
        </w:tc>
        <w:tc>
          <w:tcPr>
            <w:tcW w:w="1134" w:type="dxa"/>
            <w:tcBorders>
              <w:top w:val="single" w:sz="4" w:space="0" w:color="auto"/>
              <w:left w:val="nil"/>
              <w:bottom w:val="nil"/>
              <w:right w:val="nil"/>
            </w:tcBorders>
            <w:shd w:val="clear" w:color="auto" w:fill="auto"/>
            <w:noWrap/>
          </w:tcPr>
          <w:p w14:paraId="3D4F42C3"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12 157</w:t>
            </w:r>
          </w:p>
        </w:tc>
        <w:tc>
          <w:tcPr>
            <w:tcW w:w="1134" w:type="dxa"/>
            <w:tcBorders>
              <w:top w:val="single" w:sz="4" w:space="0" w:color="auto"/>
              <w:left w:val="nil"/>
              <w:bottom w:val="nil"/>
              <w:right w:val="nil"/>
            </w:tcBorders>
            <w:shd w:val="clear" w:color="auto" w:fill="auto"/>
            <w:noWrap/>
          </w:tcPr>
          <w:p w14:paraId="24C10902"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8A119E">
              <w:t>6 612</w:t>
            </w:r>
          </w:p>
        </w:tc>
        <w:tc>
          <w:tcPr>
            <w:tcW w:w="1460" w:type="dxa"/>
            <w:tcBorders>
              <w:top w:val="single" w:sz="4" w:space="0" w:color="auto"/>
              <w:left w:val="nil"/>
              <w:bottom w:val="nil"/>
              <w:right w:val="nil"/>
            </w:tcBorders>
            <w:shd w:val="clear" w:color="auto" w:fill="auto"/>
            <w:noWrap/>
          </w:tcPr>
          <w:p w14:paraId="1C836739"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pPr>
            <w:r w:rsidRPr="00E3523C">
              <w:t>15 214</w:t>
            </w:r>
          </w:p>
        </w:tc>
      </w:tr>
      <w:tr w:rsidR="007D5AE5" w:rsidRPr="00E3523C" w14:paraId="7736F53F" w14:textId="77777777" w:rsidTr="005D5F24">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tcPr>
          <w:p w14:paraId="59A91110" w14:textId="77777777" w:rsidR="007D5AE5" w:rsidRPr="00E3523C" w:rsidRDefault="007D5AE5" w:rsidP="00A46A72">
            <w:pPr>
              <w:jc w:val="center"/>
              <w:rPr>
                <w:rFonts w:eastAsia="Times New Roman" w:cs="Calibri"/>
                <w:color w:val="000000"/>
                <w:lang w:val="es-CR"/>
              </w:rPr>
            </w:pPr>
            <w:r w:rsidRPr="00E3523C">
              <w:t>2017</w:t>
            </w:r>
          </w:p>
        </w:tc>
        <w:tc>
          <w:tcPr>
            <w:tcW w:w="1500" w:type="dxa"/>
            <w:tcBorders>
              <w:top w:val="nil"/>
              <w:left w:val="nil"/>
              <w:bottom w:val="nil"/>
              <w:right w:val="nil"/>
            </w:tcBorders>
            <w:shd w:val="clear" w:color="auto" w:fill="auto"/>
            <w:noWrap/>
          </w:tcPr>
          <w:p w14:paraId="460071BF"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37 791</w:t>
            </w:r>
          </w:p>
        </w:tc>
        <w:tc>
          <w:tcPr>
            <w:tcW w:w="1275" w:type="dxa"/>
            <w:tcBorders>
              <w:top w:val="nil"/>
              <w:left w:val="nil"/>
              <w:bottom w:val="nil"/>
              <w:right w:val="nil"/>
            </w:tcBorders>
            <w:shd w:val="clear" w:color="auto" w:fill="auto"/>
            <w:noWrap/>
          </w:tcPr>
          <w:p w14:paraId="1A188B8C"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30 184</w:t>
            </w:r>
          </w:p>
        </w:tc>
        <w:tc>
          <w:tcPr>
            <w:tcW w:w="1134" w:type="dxa"/>
            <w:tcBorders>
              <w:top w:val="nil"/>
              <w:left w:val="nil"/>
              <w:bottom w:val="nil"/>
              <w:right w:val="nil"/>
            </w:tcBorders>
            <w:shd w:val="clear" w:color="auto" w:fill="auto"/>
            <w:noWrap/>
          </w:tcPr>
          <w:p w14:paraId="3AAE4790"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7 606</w:t>
            </w:r>
          </w:p>
        </w:tc>
        <w:tc>
          <w:tcPr>
            <w:tcW w:w="1134" w:type="dxa"/>
            <w:tcBorders>
              <w:top w:val="nil"/>
              <w:left w:val="nil"/>
              <w:bottom w:val="nil"/>
              <w:right w:val="nil"/>
            </w:tcBorders>
            <w:shd w:val="clear" w:color="auto" w:fill="auto"/>
            <w:noWrap/>
          </w:tcPr>
          <w:p w14:paraId="4AFC20A6"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8A119E">
              <w:t>4 521</w:t>
            </w:r>
          </w:p>
        </w:tc>
        <w:tc>
          <w:tcPr>
            <w:tcW w:w="1460" w:type="dxa"/>
            <w:tcBorders>
              <w:top w:val="nil"/>
              <w:left w:val="nil"/>
              <w:bottom w:val="nil"/>
              <w:right w:val="nil"/>
            </w:tcBorders>
            <w:shd w:val="clear" w:color="auto" w:fill="auto"/>
            <w:noWrap/>
          </w:tcPr>
          <w:p w14:paraId="457D6921" w14:textId="77777777" w:rsidR="007D5AE5" w:rsidRPr="00E3523C" w:rsidRDefault="007D5AE5" w:rsidP="00A46A72">
            <w:pPr>
              <w:jc w:val="right"/>
              <w:cnfStyle w:val="000000000000" w:firstRow="0" w:lastRow="0" w:firstColumn="0" w:lastColumn="0" w:oddVBand="0" w:evenVBand="0" w:oddHBand="0" w:evenHBand="0" w:firstRowFirstColumn="0" w:firstRowLastColumn="0" w:lastRowFirstColumn="0" w:lastRowLastColumn="0"/>
            </w:pPr>
            <w:r w:rsidRPr="00E3523C">
              <w:t>10 430</w:t>
            </w:r>
          </w:p>
        </w:tc>
      </w:tr>
      <w:tr w:rsidR="007D5AE5" w:rsidRPr="00E3523C" w14:paraId="08C6782B" w14:textId="77777777" w:rsidTr="005D5F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126B5F0F" w14:textId="77777777" w:rsidR="007D5AE5" w:rsidRPr="00E3523C" w:rsidRDefault="007D5AE5" w:rsidP="00A46A72">
            <w:pPr>
              <w:jc w:val="center"/>
              <w:rPr>
                <w:rFonts w:eastAsia="Times New Roman" w:cs="Calibri"/>
                <w:color w:val="000000"/>
                <w:lang w:val="es-CR"/>
              </w:rPr>
            </w:pPr>
            <w:r w:rsidRPr="00E3523C">
              <w:t>2018</w:t>
            </w:r>
          </w:p>
        </w:tc>
        <w:tc>
          <w:tcPr>
            <w:tcW w:w="1500" w:type="dxa"/>
            <w:tcBorders>
              <w:top w:val="nil"/>
              <w:left w:val="nil"/>
              <w:bottom w:val="nil"/>
              <w:right w:val="nil"/>
            </w:tcBorders>
            <w:shd w:val="clear" w:color="auto" w:fill="auto"/>
            <w:noWrap/>
            <w:hideMark/>
          </w:tcPr>
          <w:p w14:paraId="3C2A8EF4"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42 730</w:t>
            </w:r>
          </w:p>
        </w:tc>
        <w:tc>
          <w:tcPr>
            <w:tcW w:w="1275" w:type="dxa"/>
            <w:tcBorders>
              <w:top w:val="nil"/>
              <w:left w:val="nil"/>
              <w:bottom w:val="nil"/>
              <w:right w:val="nil"/>
            </w:tcBorders>
            <w:shd w:val="clear" w:color="auto" w:fill="auto"/>
            <w:noWrap/>
            <w:hideMark/>
          </w:tcPr>
          <w:p w14:paraId="47BAEB93"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31 963</w:t>
            </w:r>
          </w:p>
        </w:tc>
        <w:tc>
          <w:tcPr>
            <w:tcW w:w="1134" w:type="dxa"/>
            <w:tcBorders>
              <w:top w:val="nil"/>
              <w:left w:val="nil"/>
              <w:bottom w:val="nil"/>
              <w:right w:val="nil"/>
            </w:tcBorders>
            <w:shd w:val="clear" w:color="auto" w:fill="auto"/>
            <w:noWrap/>
            <w:hideMark/>
          </w:tcPr>
          <w:p w14:paraId="68EC446F"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10 767</w:t>
            </w:r>
          </w:p>
        </w:tc>
        <w:tc>
          <w:tcPr>
            <w:tcW w:w="1134" w:type="dxa"/>
            <w:tcBorders>
              <w:top w:val="nil"/>
              <w:left w:val="nil"/>
              <w:bottom w:val="nil"/>
              <w:right w:val="nil"/>
            </w:tcBorders>
            <w:shd w:val="clear" w:color="auto" w:fill="auto"/>
            <w:noWrap/>
            <w:hideMark/>
          </w:tcPr>
          <w:p w14:paraId="4B0A54F4"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6 548</w:t>
            </w:r>
          </w:p>
        </w:tc>
        <w:tc>
          <w:tcPr>
            <w:tcW w:w="1460" w:type="dxa"/>
            <w:tcBorders>
              <w:top w:val="nil"/>
              <w:left w:val="nil"/>
              <w:bottom w:val="nil"/>
              <w:right w:val="nil"/>
            </w:tcBorders>
            <w:shd w:val="clear" w:color="auto" w:fill="auto"/>
            <w:noWrap/>
            <w:hideMark/>
          </w:tcPr>
          <w:p w14:paraId="6669ED6E"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15 094</w:t>
            </w:r>
          </w:p>
        </w:tc>
      </w:tr>
      <w:tr w:rsidR="007D5AE5" w:rsidRPr="00E3523C" w14:paraId="308FF6C3" w14:textId="77777777" w:rsidTr="005D5F24">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40FCCFFB" w14:textId="77777777" w:rsidR="007D5AE5" w:rsidRPr="00E3523C" w:rsidRDefault="007D5AE5" w:rsidP="00A46A72">
            <w:pPr>
              <w:jc w:val="center"/>
              <w:rPr>
                <w:rFonts w:eastAsia="Times New Roman" w:cs="Calibri"/>
                <w:color w:val="000000"/>
                <w:lang w:val="es-CR"/>
              </w:rPr>
            </w:pPr>
            <w:r w:rsidRPr="00E3523C">
              <w:t>2019</w:t>
            </w:r>
          </w:p>
        </w:tc>
        <w:tc>
          <w:tcPr>
            <w:tcW w:w="1500" w:type="dxa"/>
            <w:tcBorders>
              <w:top w:val="nil"/>
              <w:left w:val="nil"/>
              <w:bottom w:val="nil"/>
              <w:right w:val="nil"/>
            </w:tcBorders>
            <w:shd w:val="clear" w:color="auto" w:fill="auto"/>
            <w:noWrap/>
            <w:hideMark/>
          </w:tcPr>
          <w:p w14:paraId="3DC3992A"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49 847</w:t>
            </w:r>
          </w:p>
        </w:tc>
        <w:tc>
          <w:tcPr>
            <w:tcW w:w="1275" w:type="dxa"/>
            <w:tcBorders>
              <w:top w:val="nil"/>
              <w:left w:val="nil"/>
              <w:bottom w:val="nil"/>
              <w:right w:val="nil"/>
            </w:tcBorders>
            <w:shd w:val="clear" w:color="auto" w:fill="auto"/>
            <w:noWrap/>
            <w:hideMark/>
          </w:tcPr>
          <w:p w14:paraId="13D7B6F4"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34 584</w:t>
            </w:r>
          </w:p>
        </w:tc>
        <w:tc>
          <w:tcPr>
            <w:tcW w:w="1134" w:type="dxa"/>
            <w:tcBorders>
              <w:top w:val="nil"/>
              <w:left w:val="nil"/>
              <w:bottom w:val="nil"/>
              <w:right w:val="nil"/>
            </w:tcBorders>
            <w:shd w:val="clear" w:color="auto" w:fill="auto"/>
            <w:noWrap/>
            <w:hideMark/>
          </w:tcPr>
          <w:p w14:paraId="5592682F"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15 263</w:t>
            </w:r>
          </w:p>
        </w:tc>
        <w:tc>
          <w:tcPr>
            <w:tcW w:w="1134" w:type="dxa"/>
            <w:tcBorders>
              <w:top w:val="nil"/>
              <w:left w:val="nil"/>
              <w:bottom w:val="nil"/>
              <w:right w:val="nil"/>
            </w:tcBorders>
            <w:shd w:val="clear" w:color="auto" w:fill="auto"/>
            <w:noWrap/>
            <w:hideMark/>
          </w:tcPr>
          <w:p w14:paraId="6CB3C018" w14:textId="77777777" w:rsidR="007D5AE5" w:rsidRPr="008A119E"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8A119E">
              <w:t>8 408</w:t>
            </w:r>
          </w:p>
        </w:tc>
        <w:tc>
          <w:tcPr>
            <w:tcW w:w="1460" w:type="dxa"/>
            <w:tcBorders>
              <w:top w:val="nil"/>
              <w:left w:val="nil"/>
              <w:bottom w:val="nil"/>
              <w:right w:val="nil"/>
            </w:tcBorders>
            <w:shd w:val="clear" w:color="auto" w:fill="auto"/>
            <w:noWrap/>
            <w:hideMark/>
          </w:tcPr>
          <w:p w14:paraId="46DD3D92" w14:textId="77777777" w:rsidR="007D5AE5" w:rsidRPr="00E3523C" w:rsidRDefault="007D5AE5" w:rsidP="00A46A7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3523C">
              <w:t>20 535</w:t>
            </w:r>
          </w:p>
        </w:tc>
      </w:tr>
      <w:tr w:rsidR="007D5AE5" w:rsidRPr="00E3523C" w14:paraId="19FE867D" w14:textId="77777777" w:rsidTr="00803C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nil"/>
              <w:right w:val="nil"/>
            </w:tcBorders>
            <w:shd w:val="clear" w:color="auto" w:fill="auto"/>
            <w:noWrap/>
            <w:hideMark/>
          </w:tcPr>
          <w:p w14:paraId="1DFA5FD3" w14:textId="77777777" w:rsidR="007D5AE5" w:rsidRPr="00E3523C" w:rsidRDefault="007D5AE5" w:rsidP="00A46A72">
            <w:pPr>
              <w:jc w:val="center"/>
              <w:rPr>
                <w:rFonts w:eastAsia="Times New Roman" w:cs="Calibri"/>
                <w:color w:val="000000"/>
                <w:lang w:val="es-CR"/>
              </w:rPr>
            </w:pPr>
            <w:r w:rsidRPr="00E3523C">
              <w:t>2020</w:t>
            </w:r>
          </w:p>
        </w:tc>
        <w:tc>
          <w:tcPr>
            <w:tcW w:w="1500" w:type="dxa"/>
            <w:tcBorders>
              <w:top w:val="nil"/>
              <w:left w:val="nil"/>
              <w:bottom w:val="nil"/>
              <w:right w:val="nil"/>
            </w:tcBorders>
            <w:shd w:val="clear" w:color="auto" w:fill="auto"/>
            <w:noWrap/>
            <w:hideMark/>
          </w:tcPr>
          <w:p w14:paraId="293AD1FC"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45 196</w:t>
            </w:r>
          </w:p>
        </w:tc>
        <w:tc>
          <w:tcPr>
            <w:tcW w:w="1275" w:type="dxa"/>
            <w:tcBorders>
              <w:top w:val="nil"/>
              <w:left w:val="nil"/>
              <w:bottom w:val="nil"/>
              <w:right w:val="nil"/>
            </w:tcBorders>
            <w:shd w:val="clear" w:color="auto" w:fill="auto"/>
            <w:noWrap/>
            <w:hideMark/>
          </w:tcPr>
          <w:p w14:paraId="50966A17"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34 492</w:t>
            </w:r>
          </w:p>
        </w:tc>
        <w:tc>
          <w:tcPr>
            <w:tcW w:w="1134" w:type="dxa"/>
            <w:tcBorders>
              <w:top w:val="nil"/>
              <w:left w:val="nil"/>
              <w:bottom w:val="nil"/>
              <w:right w:val="nil"/>
            </w:tcBorders>
            <w:shd w:val="clear" w:color="auto" w:fill="auto"/>
            <w:noWrap/>
            <w:hideMark/>
          </w:tcPr>
          <w:p w14:paraId="3570E161"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10 704</w:t>
            </w:r>
          </w:p>
        </w:tc>
        <w:tc>
          <w:tcPr>
            <w:tcW w:w="1134" w:type="dxa"/>
            <w:tcBorders>
              <w:top w:val="nil"/>
              <w:left w:val="nil"/>
              <w:bottom w:val="nil"/>
              <w:right w:val="nil"/>
            </w:tcBorders>
            <w:shd w:val="clear" w:color="auto" w:fill="auto"/>
            <w:noWrap/>
            <w:hideMark/>
          </w:tcPr>
          <w:p w14:paraId="468304BA" w14:textId="77777777" w:rsidR="007D5AE5" w:rsidRPr="008A119E"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val="es-CR"/>
              </w:rPr>
            </w:pPr>
            <w:r w:rsidRPr="008A119E">
              <w:t>6 633</w:t>
            </w:r>
          </w:p>
        </w:tc>
        <w:tc>
          <w:tcPr>
            <w:tcW w:w="1460" w:type="dxa"/>
            <w:tcBorders>
              <w:top w:val="nil"/>
              <w:left w:val="nil"/>
              <w:bottom w:val="nil"/>
              <w:right w:val="nil"/>
            </w:tcBorders>
            <w:shd w:val="clear" w:color="auto" w:fill="auto"/>
            <w:noWrap/>
            <w:hideMark/>
          </w:tcPr>
          <w:p w14:paraId="2B594025" w14:textId="77777777" w:rsidR="007D5AE5" w:rsidRPr="00E3523C" w:rsidRDefault="007D5AE5" w:rsidP="00A46A7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3523C">
              <w:t>16 743</w:t>
            </w:r>
          </w:p>
        </w:tc>
      </w:tr>
      <w:tr w:rsidR="00DB1D4A" w:rsidRPr="00E3523C" w14:paraId="3DF6A51F" w14:textId="77777777" w:rsidTr="002E309B">
        <w:trPr>
          <w:trHeight w:val="300"/>
          <w:jc w:val="center"/>
        </w:trPr>
        <w:tc>
          <w:tcPr>
            <w:cnfStyle w:val="001000000000" w:firstRow="0" w:lastRow="0" w:firstColumn="1" w:lastColumn="0" w:oddVBand="0" w:evenVBand="0" w:oddHBand="0" w:evenHBand="0" w:firstRowFirstColumn="0" w:firstRowLastColumn="0" w:lastRowFirstColumn="0" w:lastRowLastColumn="0"/>
            <w:tcW w:w="1694" w:type="dxa"/>
            <w:tcBorders>
              <w:top w:val="nil"/>
              <w:left w:val="nil"/>
              <w:bottom w:val="single" w:sz="4" w:space="0" w:color="auto"/>
              <w:right w:val="nil"/>
            </w:tcBorders>
            <w:shd w:val="clear" w:color="auto" w:fill="auto"/>
            <w:noWrap/>
            <w:hideMark/>
          </w:tcPr>
          <w:p w14:paraId="547A21FB" w14:textId="77777777" w:rsidR="00DB1D4A" w:rsidRPr="00E3523C" w:rsidRDefault="00DB1D4A" w:rsidP="00DB1D4A">
            <w:pPr>
              <w:jc w:val="center"/>
              <w:rPr>
                <w:rFonts w:eastAsia="Times New Roman" w:cs="Calibri"/>
                <w:color w:val="000000"/>
                <w:lang w:val="es-CR"/>
              </w:rPr>
            </w:pPr>
            <w:r w:rsidRPr="00E3523C">
              <w:t>2021</w:t>
            </w:r>
            <w:r>
              <w:rPr>
                <w:vertAlign w:val="superscript"/>
              </w:rPr>
              <w:t>3/</w:t>
            </w:r>
          </w:p>
        </w:tc>
        <w:tc>
          <w:tcPr>
            <w:tcW w:w="1500" w:type="dxa"/>
            <w:tcBorders>
              <w:top w:val="nil"/>
              <w:left w:val="nil"/>
              <w:bottom w:val="single" w:sz="4" w:space="0" w:color="auto"/>
              <w:right w:val="nil"/>
            </w:tcBorders>
            <w:shd w:val="clear" w:color="auto" w:fill="auto"/>
            <w:noWrap/>
            <w:hideMark/>
          </w:tcPr>
          <w:p w14:paraId="6C767957" w14:textId="77777777" w:rsidR="00DB1D4A" w:rsidRPr="008A119E" w:rsidRDefault="00DB1D4A" w:rsidP="00DB1D4A">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9463B9">
              <w:t xml:space="preserve"> 51 831 </w:t>
            </w:r>
          </w:p>
        </w:tc>
        <w:tc>
          <w:tcPr>
            <w:tcW w:w="1275" w:type="dxa"/>
            <w:tcBorders>
              <w:top w:val="nil"/>
              <w:left w:val="nil"/>
              <w:bottom w:val="single" w:sz="4" w:space="0" w:color="auto"/>
              <w:right w:val="nil"/>
            </w:tcBorders>
            <w:shd w:val="clear" w:color="auto" w:fill="auto"/>
            <w:noWrap/>
            <w:hideMark/>
          </w:tcPr>
          <w:p w14:paraId="1819F2AC" w14:textId="77777777" w:rsidR="00DB1D4A" w:rsidRPr="008A119E" w:rsidRDefault="00DB1D4A" w:rsidP="00DB1D4A">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9463B9">
              <w:t xml:space="preserve"> 37 819 </w:t>
            </w:r>
          </w:p>
        </w:tc>
        <w:tc>
          <w:tcPr>
            <w:tcW w:w="1134" w:type="dxa"/>
            <w:tcBorders>
              <w:top w:val="nil"/>
              <w:left w:val="nil"/>
              <w:bottom w:val="single" w:sz="4" w:space="0" w:color="auto"/>
              <w:right w:val="nil"/>
            </w:tcBorders>
            <w:shd w:val="clear" w:color="auto" w:fill="auto"/>
            <w:noWrap/>
            <w:hideMark/>
          </w:tcPr>
          <w:p w14:paraId="367F71E6" w14:textId="77777777" w:rsidR="00DB1D4A" w:rsidRPr="008A119E" w:rsidRDefault="00DB1D4A" w:rsidP="00DB1D4A">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9463B9">
              <w:t xml:space="preserve"> 14 012 </w:t>
            </w:r>
          </w:p>
        </w:tc>
        <w:tc>
          <w:tcPr>
            <w:tcW w:w="1134" w:type="dxa"/>
            <w:tcBorders>
              <w:top w:val="nil"/>
              <w:left w:val="nil"/>
              <w:bottom w:val="single" w:sz="4" w:space="0" w:color="auto"/>
              <w:right w:val="nil"/>
            </w:tcBorders>
            <w:shd w:val="clear" w:color="auto" w:fill="auto"/>
            <w:noWrap/>
            <w:hideMark/>
          </w:tcPr>
          <w:p w14:paraId="52414DFC" w14:textId="77777777" w:rsidR="00DB1D4A" w:rsidRPr="008A119E" w:rsidRDefault="00DB1D4A" w:rsidP="00DB1D4A">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val="es-CR"/>
              </w:rPr>
            </w:pPr>
            <w:r w:rsidRPr="009463B9">
              <w:t xml:space="preserve"> 8 498 </w:t>
            </w:r>
          </w:p>
        </w:tc>
        <w:tc>
          <w:tcPr>
            <w:tcW w:w="1460" w:type="dxa"/>
            <w:tcBorders>
              <w:top w:val="nil"/>
              <w:left w:val="nil"/>
              <w:bottom w:val="single" w:sz="4" w:space="0" w:color="auto"/>
              <w:right w:val="nil"/>
            </w:tcBorders>
            <w:shd w:val="clear" w:color="auto" w:fill="auto"/>
            <w:noWrap/>
            <w:hideMark/>
          </w:tcPr>
          <w:p w14:paraId="2E5996B0" w14:textId="77777777" w:rsidR="00DB1D4A" w:rsidRPr="00E3523C" w:rsidRDefault="00DB1D4A" w:rsidP="00DB1D4A">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9463B9">
              <w:t xml:space="preserve"> 20 232 </w:t>
            </w:r>
          </w:p>
        </w:tc>
      </w:tr>
    </w:tbl>
    <w:p w14:paraId="3A295F2B" w14:textId="77777777" w:rsidR="00C86534" w:rsidRDefault="00C86534" w:rsidP="00270676">
      <w:pPr>
        <w:rPr>
          <w:b/>
          <w:bCs/>
          <w:sz w:val="18"/>
          <w:szCs w:val="18"/>
        </w:rPr>
      </w:pPr>
      <w:r>
        <w:rPr>
          <w:b/>
          <w:bCs/>
          <w:sz w:val="18"/>
          <w:szCs w:val="18"/>
        </w:rPr>
        <w:t>1/ En millones de colones</w:t>
      </w:r>
      <w:r w:rsidR="000137E8">
        <w:rPr>
          <w:b/>
          <w:bCs/>
          <w:sz w:val="18"/>
          <w:szCs w:val="18"/>
        </w:rPr>
        <w:t>.</w:t>
      </w:r>
    </w:p>
    <w:p w14:paraId="6034C458" w14:textId="77777777" w:rsidR="00270676" w:rsidRPr="00B02633" w:rsidRDefault="00C86534" w:rsidP="00270676">
      <w:pPr>
        <w:rPr>
          <w:b/>
          <w:bCs/>
          <w:sz w:val="18"/>
          <w:szCs w:val="18"/>
        </w:rPr>
      </w:pPr>
      <w:r>
        <w:rPr>
          <w:b/>
          <w:bCs/>
          <w:sz w:val="18"/>
          <w:szCs w:val="18"/>
        </w:rPr>
        <w:t>2</w:t>
      </w:r>
      <w:r w:rsidR="00270676" w:rsidRPr="00B02633">
        <w:rPr>
          <w:b/>
          <w:bCs/>
          <w:sz w:val="18"/>
          <w:szCs w:val="18"/>
        </w:rPr>
        <w:t>/ Antes de impuestos y participaciones.</w:t>
      </w:r>
    </w:p>
    <w:p w14:paraId="635D47FF" w14:textId="77777777" w:rsidR="00C86534" w:rsidRPr="00EB008C" w:rsidRDefault="00C86534" w:rsidP="00C86534">
      <w:pPr>
        <w:pStyle w:val="Descripcin"/>
        <w:spacing w:after="0"/>
        <w:rPr>
          <w:b/>
          <w:bCs/>
          <w:i w:val="0"/>
          <w:iCs w:val="0"/>
          <w:color w:val="auto"/>
        </w:rPr>
      </w:pPr>
      <w:r>
        <w:rPr>
          <w:b/>
          <w:bCs/>
          <w:i w:val="0"/>
          <w:iCs w:val="0"/>
          <w:color w:val="auto"/>
        </w:rPr>
        <w:t>3</w:t>
      </w:r>
      <w:r w:rsidRPr="00EB008C">
        <w:rPr>
          <w:b/>
          <w:bCs/>
          <w:i w:val="0"/>
          <w:iCs w:val="0"/>
          <w:color w:val="auto"/>
        </w:rPr>
        <w:t xml:space="preserve">/ Datos acumulados a </w:t>
      </w:r>
      <w:r w:rsidR="005B62E6">
        <w:rPr>
          <w:b/>
          <w:bCs/>
          <w:i w:val="0"/>
          <w:iCs w:val="0"/>
          <w:color w:val="auto"/>
        </w:rPr>
        <w:t>diciembre</w:t>
      </w:r>
      <w:r w:rsidRPr="00EB008C">
        <w:rPr>
          <w:b/>
          <w:bCs/>
          <w:i w:val="0"/>
          <w:iCs w:val="0"/>
          <w:color w:val="auto"/>
        </w:rPr>
        <w:t xml:space="preserve"> 2021.</w:t>
      </w:r>
    </w:p>
    <w:p w14:paraId="0C9FEE49" w14:textId="77777777" w:rsidR="00270676" w:rsidRDefault="00270676" w:rsidP="00270676">
      <w:pPr>
        <w:spacing w:after="200" w:line="276" w:lineRule="auto"/>
        <w:jc w:val="both"/>
        <w:rPr>
          <w:b/>
          <w:bCs/>
          <w:sz w:val="18"/>
          <w:szCs w:val="18"/>
        </w:rPr>
      </w:pPr>
      <w:r w:rsidRPr="00B02633">
        <w:rPr>
          <w:b/>
          <w:bCs/>
          <w:sz w:val="18"/>
          <w:szCs w:val="18"/>
        </w:rPr>
        <w:t>Fuente: Elaboración propia.</w:t>
      </w:r>
    </w:p>
    <w:p w14:paraId="6E852887" w14:textId="77777777" w:rsidR="002E7939" w:rsidRDefault="006059FB" w:rsidP="002E7939">
      <w:pPr>
        <w:jc w:val="both"/>
        <w:rPr>
          <w:rFonts w:cstheme="minorHAnsi"/>
        </w:rPr>
      </w:pPr>
      <w:r>
        <w:rPr>
          <w:rFonts w:cstheme="minorHAnsi"/>
        </w:rPr>
        <w:t xml:space="preserve">Los resultados </w:t>
      </w:r>
      <w:r w:rsidR="0068332E">
        <w:rPr>
          <w:rFonts w:cstheme="minorHAnsi"/>
        </w:rPr>
        <w:t>operativos</w:t>
      </w:r>
      <w:r>
        <w:rPr>
          <w:rFonts w:cstheme="minorHAnsi"/>
        </w:rPr>
        <w:t xml:space="preserve"> expuestos, </w:t>
      </w:r>
      <w:r w:rsidR="00D97DE0">
        <w:rPr>
          <w:rFonts w:cstheme="minorHAnsi"/>
        </w:rPr>
        <w:t xml:space="preserve">tienen su reflejo en </w:t>
      </w:r>
      <w:r w:rsidR="00615536">
        <w:rPr>
          <w:rFonts w:cstheme="minorHAnsi"/>
        </w:rPr>
        <w:t xml:space="preserve">rendimiento sobre el patrimonio. </w:t>
      </w:r>
      <w:r w:rsidR="009F1E5D">
        <w:rPr>
          <w:rFonts w:cstheme="minorHAnsi"/>
        </w:rPr>
        <w:t>En este sentido, el patrimonio de las entidades creció en 16,65%</w:t>
      </w:r>
      <w:r w:rsidR="004C4639">
        <w:rPr>
          <w:rFonts w:cstheme="minorHAnsi"/>
        </w:rPr>
        <w:t xml:space="preserve"> con respecto a 2020</w:t>
      </w:r>
      <w:r w:rsidR="0068332E">
        <w:rPr>
          <w:rFonts w:cstheme="minorHAnsi"/>
        </w:rPr>
        <w:t>. No obstante, el crecimiento de los ingresos por cobro de comisión y los resultados de las inversiones propias de la entidad les permitieron lograr</w:t>
      </w:r>
      <w:r w:rsidR="00AB00EB">
        <w:rPr>
          <w:rFonts w:cstheme="minorHAnsi"/>
        </w:rPr>
        <w:t>, en la mayoría de los casos, superar los resultados del año previo.</w:t>
      </w:r>
      <w:r w:rsidR="002B2A84">
        <w:rPr>
          <w:rFonts w:cstheme="minorHAnsi"/>
        </w:rPr>
        <w:t xml:space="preserve"> </w:t>
      </w:r>
    </w:p>
    <w:p w14:paraId="0570C439" w14:textId="77777777" w:rsidR="002E7939" w:rsidRDefault="002E7939" w:rsidP="009D4A83">
      <w:pPr>
        <w:spacing w:after="200" w:line="276" w:lineRule="auto"/>
        <w:rPr>
          <w:rFonts w:cstheme="minorHAnsi"/>
          <w:b/>
          <w:bCs/>
        </w:rPr>
      </w:pPr>
    </w:p>
    <w:p w14:paraId="522477E0" w14:textId="614A1869" w:rsidR="00270676" w:rsidRPr="0001207D" w:rsidRDefault="00270676" w:rsidP="00270676">
      <w:pPr>
        <w:contextualSpacing/>
        <w:jc w:val="both"/>
        <w:rPr>
          <w:rFonts w:cstheme="minorHAnsi"/>
          <w:b/>
          <w:bCs/>
        </w:rPr>
      </w:pPr>
      <w:r w:rsidRPr="0001207D">
        <w:rPr>
          <w:rFonts w:cstheme="minorHAnsi"/>
          <w:b/>
          <w:bCs/>
        </w:rPr>
        <w:t xml:space="preserve">Cuadro </w:t>
      </w:r>
      <w:r w:rsidR="00472CEE">
        <w:rPr>
          <w:rFonts w:cstheme="minorHAnsi"/>
          <w:b/>
          <w:bCs/>
        </w:rPr>
        <w:t>5</w:t>
      </w:r>
      <w:r w:rsidRPr="0001207D">
        <w:rPr>
          <w:rFonts w:cstheme="minorHAnsi"/>
          <w:b/>
          <w:bCs/>
        </w:rPr>
        <w:t xml:space="preserve">. </w:t>
      </w:r>
    </w:p>
    <w:p w14:paraId="5C17BCEA" w14:textId="77777777" w:rsidR="00270676" w:rsidRPr="0001207D" w:rsidRDefault="00270676" w:rsidP="00270676">
      <w:pPr>
        <w:contextualSpacing/>
        <w:rPr>
          <w:rFonts w:cstheme="minorHAnsi"/>
          <w:b/>
          <w:bCs/>
        </w:rPr>
      </w:pPr>
      <w:r w:rsidRPr="0001207D">
        <w:rPr>
          <w:rFonts w:cstheme="minorHAnsi"/>
          <w:b/>
          <w:bCs/>
        </w:rPr>
        <w:t xml:space="preserve">Operadoras de pensiones: </w:t>
      </w:r>
      <w:r>
        <w:rPr>
          <w:rFonts w:cstheme="minorHAnsi"/>
          <w:b/>
          <w:bCs/>
        </w:rPr>
        <w:t>r</w:t>
      </w:r>
      <w:r w:rsidRPr="0001207D">
        <w:rPr>
          <w:rFonts w:cstheme="minorHAnsi"/>
          <w:b/>
          <w:bCs/>
        </w:rPr>
        <w:t>endimiento sobre patrimonio, 2018-2021</w:t>
      </w:r>
    </w:p>
    <w:tbl>
      <w:tblPr>
        <w:tblW w:w="7513" w:type="dxa"/>
        <w:jc w:val="center"/>
        <w:tblLayout w:type="fixed"/>
        <w:tblCellMar>
          <w:left w:w="70" w:type="dxa"/>
          <w:right w:w="70" w:type="dxa"/>
        </w:tblCellMar>
        <w:tblLook w:val="04A0" w:firstRow="1" w:lastRow="0" w:firstColumn="1" w:lastColumn="0" w:noHBand="0" w:noVBand="1"/>
      </w:tblPr>
      <w:tblGrid>
        <w:gridCol w:w="851"/>
        <w:gridCol w:w="960"/>
        <w:gridCol w:w="1078"/>
        <w:gridCol w:w="1080"/>
        <w:gridCol w:w="1276"/>
        <w:gridCol w:w="1134"/>
        <w:gridCol w:w="1134"/>
      </w:tblGrid>
      <w:tr w:rsidR="00F64ECB" w:rsidRPr="0001207D" w14:paraId="153BB1C2" w14:textId="77777777" w:rsidTr="009A21D8">
        <w:trPr>
          <w:trHeight w:val="182"/>
          <w:jc w:val="center"/>
        </w:trPr>
        <w:tc>
          <w:tcPr>
            <w:tcW w:w="851" w:type="dxa"/>
            <w:tcBorders>
              <w:top w:val="single" w:sz="4" w:space="0" w:color="auto"/>
              <w:bottom w:val="single" w:sz="4" w:space="0" w:color="auto"/>
            </w:tcBorders>
            <w:shd w:val="clear" w:color="auto" w:fill="auto"/>
            <w:noWrap/>
            <w:vAlign w:val="center"/>
            <w:hideMark/>
          </w:tcPr>
          <w:p w14:paraId="15B75678" w14:textId="77777777" w:rsidR="00F64ECB" w:rsidRPr="006E56E2" w:rsidRDefault="00F64ECB" w:rsidP="00F64ECB">
            <w:pPr>
              <w:rPr>
                <w:rFonts w:ascii="Calibri" w:eastAsia="Times New Roman" w:hAnsi="Calibri" w:cs="Calibri"/>
                <w:b/>
                <w:bCs/>
                <w:sz w:val="20"/>
                <w:szCs w:val="20"/>
                <w:lang w:val="es-CR" w:eastAsia="es-CR"/>
              </w:rPr>
            </w:pPr>
            <w:r w:rsidRPr="006E56E2">
              <w:rPr>
                <w:rFonts w:ascii="Calibri" w:eastAsia="Times New Roman" w:hAnsi="Calibri" w:cs="Calibri"/>
                <w:b/>
                <w:bCs/>
                <w:sz w:val="20"/>
                <w:szCs w:val="20"/>
                <w:lang w:val="es-CR" w:eastAsia="es-CR"/>
              </w:rPr>
              <w:t>Año</w:t>
            </w:r>
          </w:p>
        </w:tc>
        <w:tc>
          <w:tcPr>
            <w:tcW w:w="960" w:type="dxa"/>
            <w:tcBorders>
              <w:top w:val="single" w:sz="4" w:space="0" w:color="auto"/>
              <w:bottom w:val="single" w:sz="4" w:space="0" w:color="auto"/>
            </w:tcBorders>
            <w:shd w:val="clear" w:color="auto" w:fill="auto"/>
            <w:noWrap/>
            <w:vAlign w:val="bottom"/>
            <w:hideMark/>
          </w:tcPr>
          <w:p w14:paraId="357CFDEE"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 xml:space="preserve">BCR Pensión </w:t>
            </w:r>
          </w:p>
        </w:tc>
        <w:tc>
          <w:tcPr>
            <w:tcW w:w="1078" w:type="dxa"/>
            <w:tcBorders>
              <w:top w:val="single" w:sz="4" w:space="0" w:color="auto"/>
              <w:bottom w:val="single" w:sz="4" w:space="0" w:color="auto"/>
            </w:tcBorders>
            <w:shd w:val="clear" w:color="auto" w:fill="auto"/>
            <w:noWrap/>
            <w:vAlign w:val="bottom"/>
            <w:hideMark/>
          </w:tcPr>
          <w:p w14:paraId="1726601E"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BN Vital</w:t>
            </w:r>
          </w:p>
        </w:tc>
        <w:tc>
          <w:tcPr>
            <w:tcW w:w="1080" w:type="dxa"/>
            <w:tcBorders>
              <w:top w:val="single" w:sz="4" w:space="0" w:color="auto"/>
              <w:bottom w:val="single" w:sz="4" w:space="0" w:color="auto"/>
            </w:tcBorders>
            <w:shd w:val="clear" w:color="auto" w:fill="auto"/>
            <w:noWrap/>
            <w:vAlign w:val="bottom"/>
            <w:hideMark/>
          </w:tcPr>
          <w:p w14:paraId="36420B68"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OPC CCSS</w:t>
            </w:r>
          </w:p>
        </w:tc>
        <w:tc>
          <w:tcPr>
            <w:tcW w:w="1276" w:type="dxa"/>
            <w:tcBorders>
              <w:top w:val="single" w:sz="4" w:space="0" w:color="auto"/>
              <w:bottom w:val="single" w:sz="4" w:space="0" w:color="auto"/>
            </w:tcBorders>
            <w:shd w:val="clear" w:color="auto" w:fill="auto"/>
            <w:noWrap/>
            <w:vAlign w:val="bottom"/>
            <w:hideMark/>
          </w:tcPr>
          <w:p w14:paraId="1EBC6A94"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Popular Pensiones</w:t>
            </w:r>
          </w:p>
        </w:tc>
        <w:tc>
          <w:tcPr>
            <w:tcW w:w="1134" w:type="dxa"/>
            <w:tcBorders>
              <w:top w:val="single" w:sz="4" w:space="0" w:color="auto"/>
              <w:bottom w:val="single" w:sz="4" w:space="0" w:color="auto"/>
            </w:tcBorders>
            <w:shd w:val="clear" w:color="auto" w:fill="auto"/>
            <w:noWrap/>
            <w:vAlign w:val="bottom"/>
            <w:hideMark/>
          </w:tcPr>
          <w:p w14:paraId="3D51626B"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BAC Pensiones</w:t>
            </w:r>
          </w:p>
        </w:tc>
        <w:tc>
          <w:tcPr>
            <w:tcW w:w="1134" w:type="dxa"/>
            <w:tcBorders>
              <w:top w:val="single" w:sz="4" w:space="0" w:color="auto"/>
              <w:bottom w:val="single" w:sz="4" w:space="0" w:color="auto"/>
            </w:tcBorders>
            <w:shd w:val="clear" w:color="auto" w:fill="auto"/>
            <w:noWrap/>
            <w:vAlign w:val="bottom"/>
            <w:hideMark/>
          </w:tcPr>
          <w:p w14:paraId="7639749D" w14:textId="77777777" w:rsidR="00F64ECB" w:rsidRPr="006E56E2" w:rsidRDefault="00F64ECB" w:rsidP="00F64ECB">
            <w:pPr>
              <w:rPr>
                <w:rFonts w:ascii="Calibri" w:eastAsia="Times New Roman" w:hAnsi="Calibri" w:cs="Calibri"/>
                <w:sz w:val="20"/>
                <w:szCs w:val="20"/>
                <w:lang w:val="es-CR" w:eastAsia="es-CR"/>
              </w:rPr>
            </w:pPr>
            <w:r w:rsidRPr="00691A6B">
              <w:rPr>
                <w:rFonts w:eastAsia="Times New Roman" w:cstheme="minorHAnsi"/>
                <w:b/>
                <w:bCs/>
                <w:color w:val="000000"/>
                <w:sz w:val="20"/>
                <w:szCs w:val="20"/>
                <w:lang w:val="es-CR" w:eastAsia="es-CR"/>
              </w:rPr>
              <w:t>Vida Plena</w:t>
            </w:r>
          </w:p>
        </w:tc>
      </w:tr>
      <w:tr w:rsidR="0001207D" w:rsidRPr="0001207D" w14:paraId="70943769" w14:textId="77777777" w:rsidTr="009A21D8">
        <w:trPr>
          <w:trHeight w:val="57"/>
          <w:jc w:val="center"/>
        </w:trPr>
        <w:tc>
          <w:tcPr>
            <w:tcW w:w="851" w:type="dxa"/>
            <w:tcBorders>
              <w:top w:val="single" w:sz="4" w:space="0" w:color="auto"/>
            </w:tcBorders>
            <w:shd w:val="clear" w:color="auto" w:fill="auto"/>
            <w:noWrap/>
            <w:vAlign w:val="center"/>
            <w:hideMark/>
          </w:tcPr>
          <w:p w14:paraId="2E1F29BB" w14:textId="77777777" w:rsidR="00064059" w:rsidRPr="006E56E2" w:rsidRDefault="00064059" w:rsidP="00A46A72">
            <w:pPr>
              <w:jc w:val="center"/>
              <w:rPr>
                <w:rFonts w:ascii="Calibri" w:eastAsia="Times New Roman" w:hAnsi="Calibri" w:cs="Calibri"/>
                <w:b/>
                <w:bCs/>
                <w:sz w:val="20"/>
                <w:szCs w:val="20"/>
                <w:lang w:val="es-CR" w:eastAsia="es-CR"/>
              </w:rPr>
            </w:pPr>
            <w:r w:rsidRPr="006E56E2">
              <w:rPr>
                <w:rFonts w:ascii="Calibri" w:eastAsia="Times New Roman" w:hAnsi="Calibri" w:cs="Calibri"/>
                <w:b/>
                <w:bCs/>
                <w:sz w:val="20"/>
                <w:szCs w:val="20"/>
                <w:lang w:val="es-CR" w:eastAsia="es-CR"/>
              </w:rPr>
              <w:t>2018</w:t>
            </w:r>
          </w:p>
        </w:tc>
        <w:tc>
          <w:tcPr>
            <w:tcW w:w="960" w:type="dxa"/>
            <w:tcBorders>
              <w:top w:val="single" w:sz="4" w:space="0" w:color="auto"/>
            </w:tcBorders>
            <w:shd w:val="clear" w:color="auto" w:fill="auto"/>
            <w:noWrap/>
            <w:hideMark/>
          </w:tcPr>
          <w:p w14:paraId="7C90C4FE"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46,8%</w:t>
            </w:r>
          </w:p>
        </w:tc>
        <w:tc>
          <w:tcPr>
            <w:tcW w:w="1078" w:type="dxa"/>
            <w:tcBorders>
              <w:top w:val="single" w:sz="4" w:space="0" w:color="auto"/>
            </w:tcBorders>
            <w:shd w:val="clear" w:color="auto" w:fill="auto"/>
            <w:noWrap/>
            <w:hideMark/>
          </w:tcPr>
          <w:p w14:paraId="58E25136"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42,4%</w:t>
            </w:r>
          </w:p>
        </w:tc>
        <w:tc>
          <w:tcPr>
            <w:tcW w:w="1080" w:type="dxa"/>
            <w:tcBorders>
              <w:top w:val="single" w:sz="4" w:space="0" w:color="auto"/>
            </w:tcBorders>
            <w:shd w:val="clear" w:color="auto" w:fill="auto"/>
            <w:noWrap/>
            <w:hideMark/>
          </w:tcPr>
          <w:p w14:paraId="7D527814"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12,7%</w:t>
            </w:r>
          </w:p>
        </w:tc>
        <w:tc>
          <w:tcPr>
            <w:tcW w:w="1276" w:type="dxa"/>
            <w:tcBorders>
              <w:top w:val="single" w:sz="4" w:space="0" w:color="auto"/>
            </w:tcBorders>
            <w:shd w:val="clear" w:color="auto" w:fill="auto"/>
            <w:noWrap/>
            <w:hideMark/>
          </w:tcPr>
          <w:p w14:paraId="5FD593F2"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37,4%</w:t>
            </w:r>
          </w:p>
        </w:tc>
        <w:tc>
          <w:tcPr>
            <w:tcW w:w="1134" w:type="dxa"/>
            <w:tcBorders>
              <w:top w:val="single" w:sz="4" w:space="0" w:color="auto"/>
            </w:tcBorders>
            <w:shd w:val="clear" w:color="auto" w:fill="auto"/>
            <w:noWrap/>
            <w:hideMark/>
          </w:tcPr>
          <w:p w14:paraId="1F998E59"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19,5%</w:t>
            </w:r>
          </w:p>
        </w:tc>
        <w:tc>
          <w:tcPr>
            <w:tcW w:w="1134" w:type="dxa"/>
            <w:tcBorders>
              <w:top w:val="single" w:sz="4" w:space="0" w:color="auto"/>
            </w:tcBorders>
            <w:shd w:val="clear" w:color="auto" w:fill="auto"/>
            <w:noWrap/>
            <w:hideMark/>
          </w:tcPr>
          <w:p w14:paraId="60F6A13B"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16,0%</w:t>
            </w:r>
          </w:p>
        </w:tc>
      </w:tr>
      <w:tr w:rsidR="0001207D" w:rsidRPr="0001207D" w14:paraId="29F9BD07" w14:textId="77777777" w:rsidTr="009A21D8">
        <w:trPr>
          <w:trHeight w:val="187"/>
          <w:jc w:val="center"/>
        </w:trPr>
        <w:tc>
          <w:tcPr>
            <w:tcW w:w="851" w:type="dxa"/>
            <w:shd w:val="clear" w:color="auto" w:fill="auto"/>
            <w:noWrap/>
            <w:vAlign w:val="center"/>
            <w:hideMark/>
          </w:tcPr>
          <w:p w14:paraId="011EB554" w14:textId="77777777" w:rsidR="00064059" w:rsidRPr="006E56E2" w:rsidRDefault="00064059" w:rsidP="00A46A72">
            <w:pPr>
              <w:jc w:val="center"/>
              <w:rPr>
                <w:rFonts w:ascii="Calibri" w:eastAsia="Times New Roman" w:hAnsi="Calibri" w:cs="Calibri"/>
                <w:b/>
                <w:bCs/>
                <w:sz w:val="20"/>
                <w:szCs w:val="20"/>
                <w:lang w:val="es-CR" w:eastAsia="es-CR"/>
              </w:rPr>
            </w:pPr>
            <w:r w:rsidRPr="006E56E2">
              <w:rPr>
                <w:rFonts w:ascii="Calibri" w:eastAsia="Times New Roman" w:hAnsi="Calibri" w:cs="Calibri"/>
                <w:b/>
                <w:bCs/>
                <w:sz w:val="20"/>
                <w:szCs w:val="20"/>
                <w:lang w:val="es-CR" w:eastAsia="es-CR"/>
              </w:rPr>
              <w:t>2019</w:t>
            </w:r>
          </w:p>
        </w:tc>
        <w:tc>
          <w:tcPr>
            <w:tcW w:w="960" w:type="dxa"/>
            <w:shd w:val="clear" w:color="auto" w:fill="auto"/>
            <w:noWrap/>
            <w:hideMark/>
          </w:tcPr>
          <w:p w14:paraId="121F0680"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51,1%</w:t>
            </w:r>
          </w:p>
        </w:tc>
        <w:tc>
          <w:tcPr>
            <w:tcW w:w="1078" w:type="dxa"/>
            <w:shd w:val="clear" w:color="auto" w:fill="auto"/>
            <w:noWrap/>
            <w:hideMark/>
          </w:tcPr>
          <w:p w14:paraId="4B490BB5"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50,5%</w:t>
            </w:r>
          </w:p>
        </w:tc>
        <w:tc>
          <w:tcPr>
            <w:tcW w:w="1080" w:type="dxa"/>
            <w:shd w:val="clear" w:color="auto" w:fill="auto"/>
            <w:noWrap/>
            <w:hideMark/>
          </w:tcPr>
          <w:p w14:paraId="4C52EE5D"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9,4%</w:t>
            </w:r>
          </w:p>
        </w:tc>
        <w:tc>
          <w:tcPr>
            <w:tcW w:w="1276" w:type="dxa"/>
            <w:shd w:val="clear" w:color="auto" w:fill="auto"/>
            <w:noWrap/>
            <w:hideMark/>
          </w:tcPr>
          <w:p w14:paraId="248F5295"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46,5%</w:t>
            </w:r>
          </w:p>
        </w:tc>
        <w:tc>
          <w:tcPr>
            <w:tcW w:w="1134" w:type="dxa"/>
            <w:shd w:val="clear" w:color="auto" w:fill="auto"/>
            <w:noWrap/>
            <w:hideMark/>
          </w:tcPr>
          <w:p w14:paraId="295FEE14"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14,1%</w:t>
            </w:r>
          </w:p>
        </w:tc>
        <w:tc>
          <w:tcPr>
            <w:tcW w:w="1134" w:type="dxa"/>
            <w:shd w:val="clear" w:color="auto" w:fill="auto"/>
            <w:noWrap/>
            <w:hideMark/>
          </w:tcPr>
          <w:p w14:paraId="603D47D6"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10,6%</w:t>
            </w:r>
          </w:p>
        </w:tc>
      </w:tr>
      <w:tr w:rsidR="0001207D" w:rsidRPr="0001207D" w14:paraId="028CC5A8" w14:textId="77777777" w:rsidTr="009A21D8">
        <w:trPr>
          <w:trHeight w:val="187"/>
          <w:jc w:val="center"/>
        </w:trPr>
        <w:tc>
          <w:tcPr>
            <w:tcW w:w="851" w:type="dxa"/>
            <w:shd w:val="clear" w:color="auto" w:fill="auto"/>
            <w:noWrap/>
            <w:vAlign w:val="center"/>
            <w:hideMark/>
          </w:tcPr>
          <w:p w14:paraId="6CD578AD" w14:textId="77777777" w:rsidR="00064059" w:rsidRPr="006E56E2" w:rsidRDefault="00064059" w:rsidP="00A46A72">
            <w:pPr>
              <w:jc w:val="center"/>
              <w:rPr>
                <w:rFonts w:ascii="Calibri" w:eastAsia="Times New Roman" w:hAnsi="Calibri" w:cs="Calibri"/>
                <w:b/>
                <w:bCs/>
                <w:sz w:val="20"/>
                <w:szCs w:val="20"/>
                <w:lang w:val="es-CR" w:eastAsia="es-CR"/>
              </w:rPr>
            </w:pPr>
            <w:r w:rsidRPr="006E56E2">
              <w:rPr>
                <w:rFonts w:ascii="Calibri" w:eastAsia="Times New Roman" w:hAnsi="Calibri" w:cs="Calibri"/>
                <w:b/>
                <w:bCs/>
                <w:sz w:val="20"/>
                <w:szCs w:val="20"/>
                <w:lang w:val="es-CR" w:eastAsia="es-CR"/>
              </w:rPr>
              <w:t>2020</w:t>
            </w:r>
          </w:p>
        </w:tc>
        <w:tc>
          <w:tcPr>
            <w:tcW w:w="960" w:type="dxa"/>
            <w:shd w:val="clear" w:color="auto" w:fill="auto"/>
            <w:noWrap/>
            <w:hideMark/>
          </w:tcPr>
          <w:p w14:paraId="54837B75"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45,0%</w:t>
            </w:r>
          </w:p>
        </w:tc>
        <w:tc>
          <w:tcPr>
            <w:tcW w:w="1078" w:type="dxa"/>
            <w:shd w:val="clear" w:color="auto" w:fill="auto"/>
            <w:noWrap/>
            <w:hideMark/>
          </w:tcPr>
          <w:p w14:paraId="53242606"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41,6%</w:t>
            </w:r>
          </w:p>
        </w:tc>
        <w:tc>
          <w:tcPr>
            <w:tcW w:w="1080" w:type="dxa"/>
            <w:shd w:val="clear" w:color="auto" w:fill="auto"/>
            <w:noWrap/>
            <w:hideMark/>
          </w:tcPr>
          <w:p w14:paraId="2CD38AF3"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3,7%</w:t>
            </w:r>
          </w:p>
        </w:tc>
        <w:tc>
          <w:tcPr>
            <w:tcW w:w="1276" w:type="dxa"/>
            <w:shd w:val="clear" w:color="auto" w:fill="auto"/>
            <w:noWrap/>
            <w:hideMark/>
          </w:tcPr>
          <w:p w14:paraId="4A864CCA"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30,6%</w:t>
            </w:r>
          </w:p>
        </w:tc>
        <w:tc>
          <w:tcPr>
            <w:tcW w:w="1134" w:type="dxa"/>
            <w:shd w:val="clear" w:color="auto" w:fill="auto"/>
            <w:noWrap/>
            <w:hideMark/>
          </w:tcPr>
          <w:p w14:paraId="1D3CCA49"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18,1%</w:t>
            </w:r>
          </w:p>
        </w:tc>
        <w:tc>
          <w:tcPr>
            <w:tcW w:w="1134" w:type="dxa"/>
            <w:shd w:val="clear" w:color="auto" w:fill="auto"/>
            <w:noWrap/>
            <w:hideMark/>
          </w:tcPr>
          <w:p w14:paraId="40291162" w14:textId="77777777" w:rsidR="00064059" w:rsidRPr="006E56E2" w:rsidRDefault="00064059" w:rsidP="00A46A72">
            <w:pPr>
              <w:jc w:val="center"/>
              <w:rPr>
                <w:rFonts w:ascii="Calibri" w:eastAsia="Times New Roman" w:hAnsi="Calibri" w:cs="Calibri"/>
                <w:sz w:val="20"/>
                <w:szCs w:val="20"/>
                <w:lang w:val="es-CR" w:eastAsia="es-CR"/>
              </w:rPr>
            </w:pPr>
            <w:r w:rsidRPr="006E56E2">
              <w:rPr>
                <w:sz w:val="20"/>
                <w:szCs w:val="20"/>
              </w:rPr>
              <w:t>4,9%</w:t>
            </w:r>
          </w:p>
        </w:tc>
      </w:tr>
      <w:tr w:rsidR="008234F4" w:rsidRPr="0001207D" w14:paraId="52156900" w14:textId="77777777" w:rsidTr="002E309B">
        <w:trPr>
          <w:trHeight w:val="187"/>
          <w:jc w:val="center"/>
        </w:trPr>
        <w:tc>
          <w:tcPr>
            <w:tcW w:w="851" w:type="dxa"/>
            <w:tcBorders>
              <w:bottom w:val="single" w:sz="4" w:space="0" w:color="auto"/>
            </w:tcBorders>
            <w:shd w:val="clear" w:color="auto" w:fill="auto"/>
            <w:noWrap/>
            <w:vAlign w:val="center"/>
            <w:hideMark/>
          </w:tcPr>
          <w:p w14:paraId="6D876478" w14:textId="77777777" w:rsidR="008234F4" w:rsidRPr="006E56E2" w:rsidRDefault="008234F4" w:rsidP="008234F4">
            <w:pPr>
              <w:jc w:val="center"/>
              <w:rPr>
                <w:rFonts w:ascii="Calibri" w:eastAsia="Times New Roman" w:hAnsi="Calibri" w:cs="Calibri"/>
                <w:b/>
                <w:bCs/>
                <w:sz w:val="20"/>
                <w:szCs w:val="20"/>
                <w:lang w:val="es-CR" w:eastAsia="es-CR"/>
              </w:rPr>
            </w:pPr>
            <w:r w:rsidRPr="006E56E2">
              <w:rPr>
                <w:rFonts w:ascii="Calibri" w:eastAsia="Times New Roman" w:hAnsi="Calibri" w:cs="Calibri"/>
                <w:b/>
                <w:bCs/>
                <w:sz w:val="20"/>
                <w:szCs w:val="20"/>
                <w:lang w:val="es-CR" w:eastAsia="es-CR"/>
              </w:rPr>
              <w:t>2021</w:t>
            </w:r>
            <w:r w:rsidRPr="006E56E2">
              <w:rPr>
                <w:rFonts w:ascii="Calibri" w:eastAsia="Times New Roman" w:hAnsi="Calibri" w:cs="Calibri"/>
                <w:b/>
                <w:bCs/>
                <w:sz w:val="20"/>
                <w:szCs w:val="20"/>
                <w:vertAlign w:val="superscript"/>
                <w:lang w:val="es-CR" w:eastAsia="es-CR"/>
              </w:rPr>
              <w:t>1/</w:t>
            </w:r>
          </w:p>
        </w:tc>
        <w:tc>
          <w:tcPr>
            <w:tcW w:w="960" w:type="dxa"/>
            <w:tcBorders>
              <w:bottom w:val="single" w:sz="4" w:space="0" w:color="auto"/>
            </w:tcBorders>
            <w:shd w:val="clear" w:color="auto" w:fill="auto"/>
            <w:noWrap/>
            <w:hideMark/>
          </w:tcPr>
          <w:p w14:paraId="7E263066" w14:textId="77777777" w:rsidR="008234F4" w:rsidRPr="008234F4" w:rsidRDefault="008234F4" w:rsidP="008234F4">
            <w:pPr>
              <w:jc w:val="center"/>
              <w:rPr>
                <w:sz w:val="20"/>
                <w:szCs w:val="20"/>
              </w:rPr>
            </w:pPr>
            <w:r w:rsidRPr="008234F4">
              <w:rPr>
                <w:sz w:val="20"/>
                <w:szCs w:val="20"/>
              </w:rPr>
              <w:t>49,4%</w:t>
            </w:r>
          </w:p>
        </w:tc>
        <w:tc>
          <w:tcPr>
            <w:tcW w:w="1078" w:type="dxa"/>
            <w:tcBorders>
              <w:bottom w:val="single" w:sz="4" w:space="0" w:color="auto"/>
            </w:tcBorders>
            <w:shd w:val="clear" w:color="auto" w:fill="auto"/>
            <w:noWrap/>
            <w:hideMark/>
          </w:tcPr>
          <w:p w14:paraId="1A1BC40D" w14:textId="77777777" w:rsidR="008234F4" w:rsidRPr="008234F4" w:rsidRDefault="008234F4" w:rsidP="008234F4">
            <w:pPr>
              <w:jc w:val="center"/>
              <w:rPr>
                <w:sz w:val="20"/>
                <w:szCs w:val="20"/>
              </w:rPr>
            </w:pPr>
            <w:r w:rsidRPr="008234F4">
              <w:rPr>
                <w:sz w:val="20"/>
                <w:szCs w:val="20"/>
              </w:rPr>
              <w:t>42,0%</w:t>
            </w:r>
          </w:p>
        </w:tc>
        <w:tc>
          <w:tcPr>
            <w:tcW w:w="1080" w:type="dxa"/>
            <w:tcBorders>
              <w:bottom w:val="single" w:sz="4" w:space="0" w:color="auto"/>
            </w:tcBorders>
            <w:shd w:val="clear" w:color="auto" w:fill="auto"/>
            <w:noWrap/>
            <w:hideMark/>
          </w:tcPr>
          <w:p w14:paraId="363CD81A" w14:textId="77777777" w:rsidR="008234F4" w:rsidRPr="008234F4" w:rsidRDefault="008234F4" w:rsidP="008234F4">
            <w:pPr>
              <w:jc w:val="center"/>
              <w:rPr>
                <w:sz w:val="20"/>
                <w:szCs w:val="20"/>
              </w:rPr>
            </w:pPr>
            <w:r w:rsidRPr="008234F4">
              <w:rPr>
                <w:sz w:val="20"/>
                <w:szCs w:val="20"/>
              </w:rPr>
              <w:t>15,3%</w:t>
            </w:r>
          </w:p>
        </w:tc>
        <w:tc>
          <w:tcPr>
            <w:tcW w:w="1276" w:type="dxa"/>
            <w:tcBorders>
              <w:bottom w:val="single" w:sz="4" w:space="0" w:color="auto"/>
            </w:tcBorders>
            <w:shd w:val="clear" w:color="auto" w:fill="auto"/>
            <w:noWrap/>
            <w:hideMark/>
          </w:tcPr>
          <w:p w14:paraId="573B2BD2" w14:textId="77777777" w:rsidR="008234F4" w:rsidRPr="008234F4" w:rsidRDefault="008234F4" w:rsidP="008234F4">
            <w:pPr>
              <w:jc w:val="center"/>
              <w:rPr>
                <w:sz w:val="20"/>
                <w:szCs w:val="20"/>
              </w:rPr>
            </w:pPr>
            <w:r w:rsidRPr="008234F4">
              <w:rPr>
                <w:sz w:val="20"/>
                <w:szCs w:val="20"/>
              </w:rPr>
              <w:t>26,2%</w:t>
            </w:r>
          </w:p>
        </w:tc>
        <w:tc>
          <w:tcPr>
            <w:tcW w:w="1134" w:type="dxa"/>
            <w:tcBorders>
              <w:bottom w:val="single" w:sz="4" w:space="0" w:color="auto"/>
            </w:tcBorders>
            <w:shd w:val="clear" w:color="auto" w:fill="auto"/>
            <w:noWrap/>
            <w:hideMark/>
          </w:tcPr>
          <w:p w14:paraId="140CF0FB" w14:textId="77777777" w:rsidR="008234F4" w:rsidRPr="008234F4" w:rsidRDefault="008234F4" w:rsidP="008234F4">
            <w:pPr>
              <w:jc w:val="center"/>
              <w:rPr>
                <w:sz w:val="20"/>
                <w:szCs w:val="20"/>
              </w:rPr>
            </w:pPr>
            <w:r w:rsidRPr="008234F4">
              <w:rPr>
                <w:sz w:val="20"/>
                <w:szCs w:val="20"/>
              </w:rPr>
              <w:t>20,2%</w:t>
            </w:r>
          </w:p>
        </w:tc>
        <w:tc>
          <w:tcPr>
            <w:tcW w:w="1134" w:type="dxa"/>
            <w:tcBorders>
              <w:bottom w:val="single" w:sz="4" w:space="0" w:color="auto"/>
            </w:tcBorders>
            <w:shd w:val="clear" w:color="auto" w:fill="auto"/>
            <w:noWrap/>
            <w:hideMark/>
          </w:tcPr>
          <w:p w14:paraId="4F8590EB" w14:textId="77777777" w:rsidR="008234F4" w:rsidRPr="008234F4" w:rsidRDefault="008234F4" w:rsidP="008234F4">
            <w:pPr>
              <w:jc w:val="center"/>
              <w:rPr>
                <w:sz w:val="20"/>
                <w:szCs w:val="20"/>
              </w:rPr>
            </w:pPr>
            <w:r w:rsidRPr="008234F4">
              <w:rPr>
                <w:sz w:val="20"/>
                <w:szCs w:val="20"/>
              </w:rPr>
              <w:t>8,5%</w:t>
            </w:r>
          </w:p>
        </w:tc>
      </w:tr>
    </w:tbl>
    <w:p w14:paraId="1A6A18D7" w14:textId="77777777" w:rsidR="00270676" w:rsidRPr="009A21D8" w:rsidRDefault="00270676" w:rsidP="00270676">
      <w:pPr>
        <w:pStyle w:val="Descripcin"/>
        <w:spacing w:after="0"/>
        <w:rPr>
          <w:b/>
          <w:bCs/>
          <w:i w:val="0"/>
          <w:iCs w:val="0"/>
          <w:color w:val="auto"/>
        </w:rPr>
      </w:pPr>
      <w:r w:rsidRPr="009A21D8">
        <w:rPr>
          <w:b/>
          <w:bCs/>
          <w:i w:val="0"/>
          <w:iCs w:val="0"/>
          <w:color w:val="auto"/>
        </w:rPr>
        <w:t xml:space="preserve">1/ Datos acumulados a </w:t>
      </w:r>
      <w:r w:rsidR="0054296B">
        <w:rPr>
          <w:b/>
          <w:bCs/>
          <w:i w:val="0"/>
          <w:iCs w:val="0"/>
          <w:color w:val="auto"/>
        </w:rPr>
        <w:t>diciembre de</w:t>
      </w:r>
      <w:r w:rsidRPr="009A21D8">
        <w:rPr>
          <w:b/>
          <w:bCs/>
          <w:i w:val="0"/>
          <w:iCs w:val="0"/>
          <w:color w:val="auto"/>
        </w:rPr>
        <w:t xml:space="preserve"> 2021.</w:t>
      </w:r>
    </w:p>
    <w:p w14:paraId="7347C2E6" w14:textId="77777777" w:rsidR="00F304E3" w:rsidRPr="009A21D8" w:rsidRDefault="00270676" w:rsidP="00270676">
      <w:pPr>
        <w:spacing w:after="200" w:line="276" w:lineRule="auto"/>
        <w:jc w:val="both"/>
        <w:rPr>
          <w:rFonts w:cstheme="minorHAnsi"/>
          <w:sz w:val="20"/>
          <w:szCs w:val="20"/>
        </w:rPr>
      </w:pPr>
      <w:r w:rsidRPr="009A21D8">
        <w:rPr>
          <w:b/>
          <w:bCs/>
          <w:sz w:val="18"/>
          <w:szCs w:val="18"/>
        </w:rPr>
        <w:t>Fuente: Elaboración propia.</w:t>
      </w:r>
    </w:p>
    <w:p w14:paraId="230CE6BF" w14:textId="77777777" w:rsidR="00F266B1" w:rsidRDefault="00F266B1" w:rsidP="009A21D8">
      <w:pPr>
        <w:spacing w:after="200" w:line="276" w:lineRule="auto"/>
        <w:jc w:val="both"/>
        <w:rPr>
          <w:rFonts w:cstheme="minorHAnsi"/>
          <w:b/>
          <w:bCs/>
          <w:sz w:val="24"/>
          <w:szCs w:val="24"/>
        </w:rPr>
      </w:pPr>
    </w:p>
    <w:p w14:paraId="40FCE429" w14:textId="77777777" w:rsidR="007D6EDC" w:rsidRDefault="007D6EDC">
      <w:pPr>
        <w:spacing w:after="200" w:line="276" w:lineRule="auto"/>
        <w:rPr>
          <w:rFonts w:asciiTheme="majorHAnsi" w:eastAsiaTheme="majorEastAsia" w:hAnsiTheme="majorHAnsi" w:cstheme="majorBidi"/>
          <w:color w:val="365F91" w:themeColor="accent1" w:themeShade="BF"/>
          <w:sz w:val="36"/>
          <w:szCs w:val="36"/>
        </w:rPr>
      </w:pPr>
      <w:r>
        <w:br w:type="page"/>
      </w:r>
    </w:p>
    <w:p w14:paraId="5042A00F" w14:textId="77777777" w:rsidR="003A671B" w:rsidRDefault="00F944CB" w:rsidP="00D97917">
      <w:pPr>
        <w:pStyle w:val="Ttulo1"/>
        <w:rPr>
          <w:lang w:val="es-CR"/>
        </w:rPr>
      </w:pPr>
      <w:bookmarkStart w:id="15" w:name="_Toc96614865"/>
      <w:r>
        <w:rPr>
          <w:lang w:val="es-CR"/>
        </w:rPr>
        <w:lastRenderedPageBreak/>
        <w:t>Abreviaturas</w:t>
      </w:r>
      <w:bookmarkEnd w:id="15"/>
    </w:p>
    <w:p w14:paraId="27034B93" w14:textId="77777777" w:rsidR="00F944CB" w:rsidRPr="00453EB6" w:rsidRDefault="00F944CB" w:rsidP="003A671B">
      <w:pPr>
        <w:rPr>
          <w:rFonts w:ascii="Times New Roman" w:hAnsi="Times New Roman" w:cs="Times New Roman"/>
          <w:sz w:val="24"/>
          <w:lang w:val="es-CR"/>
        </w:rPr>
      </w:pPr>
    </w:p>
    <w:p w14:paraId="4476FE00" w14:textId="77777777" w:rsidR="005B30C0" w:rsidRPr="00966E1F" w:rsidRDefault="005B30C0" w:rsidP="003A671B">
      <w:pPr>
        <w:rPr>
          <w:rFonts w:cs="Times New Roman"/>
          <w:lang w:val="es-CR"/>
        </w:rPr>
      </w:pPr>
      <w:r w:rsidRPr="00966E1F">
        <w:rPr>
          <w:rFonts w:cs="Times New Roman"/>
          <w:lang w:val="es-CR"/>
        </w:rPr>
        <w:t>BNCR: Banco Nacional de Costa Rica</w:t>
      </w:r>
    </w:p>
    <w:p w14:paraId="23FB174D" w14:textId="77777777" w:rsidR="00C97709" w:rsidRPr="00966E1F" w:rsidRDefault="00C97709" w:rsidP="00C97709">
      <w:pPr>
        <w:rPr>
          <w:rFonts w:cs="Times New Roman"/>
          <w:lang w:val="es-CR"/>
        </w:rPr>
      </w:pPr>
      <w:r w:rsidRPr="00966E1F">
        <w:rPr>
          <w:rFonts w:cs="Times New Roman"/>
          <w:lang w:val="es-CR"/>
        </w:rPr>
        <w:t>FBCR: Fondo de Jubilaciones de los Empleados del Banco de Costa Rica</w:t>
      </w:r>
    </w:p>
    <w:p w14:paraId="72B99B85" w14:textId="77777777" w:rsidR="003A671B" w:rsidRPr="00966E1F" w:rsidRDefault="003A671B" w:rsidP="003A671B">
      <w:pPr>
        <w:rPr>
          <w:rFonts w:cs="Times New Roman"/>
          <w:lang w:val="es-CR"/>
        </w:rPr>
      </w:pPr>
      <w:r w:rsidRPr="00966E1F">
        <w:rPr>
          <w:rFonts w:cs="Times New Roman"/>
          <w:lang w:val="es-CR"/>
        </w:rPr>
        <w:t xml:space="preserve">FBNCR </w:t>
      </w:r>
      <w:r w:rsidR="00C528E8" w:rsidRPr="00966E1F">
        <w:rPr>
          <w:rFonts w:cs="Times New Roman"/>
          <w:lang w:val="es-CR"/>
        </w:rPr>
        <w:t>Fondo de Garantías y Jubilaciones del BNCR</w:t>
      </w:r>
    </w:p>
    <w:p w14:paraId="55902025" w14:textId="77777777" w:rsidR="003A671B" w:rsidRPr="00966E1F" w:rsidRDefault="003A671B" w:rsidP="003A671B">
      <w:pPr>
        <w:rPr>
          <w:rFonts w:cs="Times New Roman"/>
        </w:rPr>
      </w:pPr>
      <w:r w:rsidRPr="00966E1F">
        <w:rPr>
          <w:rFonts w:cs="Times New Roman"/>
        </w:rPr>
        <w:t>FBOMBEROS: Fondo de Pensiones del Benemérito Cuerpo de Bombero</w:t>
      </w:r>
    </w:p>
    <w:p w14:paraId="152E1BC3" w14:textId="77777777" w:rsidR="00A50FE6" w:rsidRPr="00966E1F" w:rsidRDefault="00A50FE6" w:rsidP="004250B7">
      <w:pPr>
        <w:jc w:val="both"/>
      </w:pPr>
      <w:r w:rsidRPr="00966E1F">
        <w:t xml:space="preserve">FCL: Fondo de Capitalización Laboral. </w:t>
      </w:r>
    </w:p>
    <w:p w14:paraId="24EBC608" w14:textId="77777777" w:rsidR="005B30C0" w:rsidRPr="00966E1F" w:rsidRDefault="003A671B" w:rsidP="003A671B">
      <w:pPr>
        <w:rPr>
          <w:rFonts w:cs="Times New Roman"/>
          <w:lang w:val="es-CR"/>
        </w:rPr>
      </w:pPr>
      <w:r w:rsidRPr="00966E1F">
        <w:rPr>
          <w:rFonts w:cs="Times New Roman"/>
          <w:lang w:val="es-CR"/>
        </w:rPr>
        <w:t xml:space="preserve">FICE: </w:t>
      </w:r>
      <w:r w:rsidR="005B30C0" w:rsidRPr="00966E1F">
        <w:rPr>
          <w:rFonts w:cs="Times New Roman"/>
          <w:lang w:val="es-CR"/>
        </w:rPr>
        <w:t>Fondo de Garantías y Jubilaciones del BNCR</w:t>
      </w:r>
    </w:p>
    <w:p w14:paraId="0418F19C" w14:textId="77777777" w:rsidR="00C97709" w:rsidRPr="00966E1F" w:rsidRDefault="00C97709" w:rsidP="00C97709">
      <w:pPr>
        <w:rPr>
          <w:rFonts w:cs="Times New Roman"/>
          <w:lang w:val="es-CR"/>
        </w:rPr>
      </w:pPr>
      <w:r w:rsidRPr="00966E1F">
        <w:rPr>
          <w:rFonts w:cs="Times New Roman"/>
          <w:lang w:val="es-CR"/>
        </w:rPr>
        <w:t>FICT: Fondo de Empleados del Instituto Costarricense de Turismo</w:t>
      </w:r>
    </w:p>
    <w:p w14:paraId="4BF992D6" w14:textId="77777777" w:rsidR="003A671B" w:rsidRPr="00966E1F" w:rsidRDefault="003A671B" w:rsidP="003A671B">
      <w:pPr>
        <w:rPr>
          <w:rFonts w:cs="Times New Roman"/>
        </w:rPr>
      </w:pPr>
      <w:r w:rsidRPr="00966E1F">
        <w:rPr>
          <w:rFonts w:cs="Times New Roman"/>
        </w:rPr>
        <w:t>FPJ: Fondo de Jubilaciones y Pensiones del Poder Judicial</w:t>
      </w:r>
    </w:p>
    <w:p w14:paraId="4082F92E" w14:textId="77777777" w:rsidR="00C97709" w:rsidRPr="00966E1F" w:rsidRDefault="00C97709" w:rsidP="00C97709">
      <w:pPr>
        <w:rPr>
          <w:rFonts w:cs="Times New Roman"/>
          <w:lang w:val="es-CR"/>
        </w:rPr>
      </w:pPr>
      <w:r w:rsidRPr="00966E1F">
        <w:rPr>
          <w:rFonts w:cs="Times New Roman"/>
          <w:lang w:val="es-CR"/>
        </w:rPr>
        <w:t>FRE: Fondo de Retiro de los Empleados de la Caja Costarricense de Seguro Social.</w:t>
      </w:r>
    </w:p>
    <w:p w14:paraId="7B9E2097" w14:textId="77777777" w:rsidR="00C97709" w:rsidRPr="00966E1F" w:rsidRDefault="00C97709" w:rsidP="00C97709">
      <w:pPr>
        <w:rPr>
          <w:rFonts w:cs="Times New Roman"/>
          <w:lang w:val="es-CR"/>
        </w:rPr>
      </w:pPr>
      <w:r w:rsidRPr="00966E1F">
        <w:rPr>
          <w:rFonts w:cs="Times New Roman"/>
          <w:lang w:val="es-CR"/>
        </w:rPr>
        <w:t>FVENTLOT: Fondo de Jubilaciones y Pensiones de los Vendedores de Lotería.</w:t>
      </w:r>
    </w:p>
    <w:p w14:paraId="7C553A9C" w14:textId="77777777" w:rsidR="00015663" w:rsidRPr="00966E1F" w:rsidRDefault="00015663" w:rsidP="00015663">
      <w:pPr>
        <w:jc w:val="both"/>
      </w:pPr>
      <w:r w:rsidRPr="00966E1F">
        <w:t>IVM: Régimen de Invalidez, Vejez y Muerte de la Caja Costarricense de Seguro Social.</w:t>
      </w:r>
    </w:p>
    <w:p w14:paraId="6CB67951" w14:textId="77777777" w:rsidR="00BB7031" w:rsidRPr="00966E1F" w:rsidRDefault="00BB7031" w:rsidP="003A671B">
      <w:pPr>
        <w:rPr>
          <w:rFonts w:cs="Times New Roman"/>
        </w:rPr>
      </w:pPr>
      <w:r w:rsidRPr="00966E1F">
        <w:rPr>
          <w:rFonts w:cs="Times New Roman"/>
        </w:rPr>
        <w:t>LTP: Ley de Protección al Trabajador.</w:t>
      </w:r>
    </w:p>
    <w:p w14:paraId="2F590200" w14:textId="77777777" w:rsidR="000D46DB" w:rsidRPr="00966E1F" w:rsidRDefault="000D46DB" w:rsidP="003A671B">
      <w:pPr>
        <w:rPr>
          <w:rFonts w:cs="Times New Roman"/>
        </w:rPr>
      </w:pPr>
      <w:r w:rsidRPr="00966E1F">
        <w:rPr>
          <w:rFonts w:cs="Times New Roman"/>
        </w:rPr>
        <w:t>OPC: Operadora de Pensiones Complementaria</w:t>
      </w:r>
      <w:r w:rsidR="00017958" w:rsidRPr="00966E1F">
        <w:rPr>
          <w:rFonts w:cs="Times New Roman"/>
        </w:rPr>
        <w:t xml:space="preserve"> u operadoras de pensiones complementarias.</w:t>
      </w:r>
    </w:p>
    <w:p w14:paraId="04AE914C" w14:textId="77777777" w:rsidR="00E4478C" w:rsidRPr="00966E1F" w:rsidRDefault="00E4478C" w:rsidP="003A671B">
      <w:pPr>
        <w:rPr>
          <w:rFonts w:cs="Times New Roman"/>
        </w:rPr>
      </w:pPr>
      <w:r w:rsidRPr="00966E1F">
        <w:rPr>
          <w:rFonts w:cs="Times New Roman"/>
        </w:rPr>
        <w:t>PIB: Producto Interno Bruto</w:t>
      </w:r>
    </w:p>
    <w:p w14:paraId="3808B52D" w14:textId="77777777" w:rsidR="003A671B" w:rsidRPr="00966E1F" w:rsidRDefault="003A671B" w:rsidP="003A671B">
      <w:pPr>
        <w:rPr>
          <w:rFonts w:cs="Times New Roman"/>
        </w:rPr>
      </w:pPr>
      <w:r w:rsidRPr="00966E1F">
        <w:rPr>
          <w:rFonts w:cs="Times New Roman"/>
        </w:rPr>
        <w:t>RCCMN: Régimen de Capitalización Colectiva del Magisterio Nacional.</w:t>
      </w:r>
    </w:p>
    <w:p w14:paraId="411B4B66" w14:textId="77777777" w:rsidR="004250B7" w:rsidRPr="00966E1F" w:rsidRDefault="00015663" w:rsidP="004250B7">
      <w:pPr>
        <w:jc w:val="both"/>
      </w:pPr>
      <w:r w:rsidRPr="00966E1F">
        <w:t>R</w:t>
      </w:r>
      <w:r w:rsidR="004250B7" w:rsidRPr="00966E1F">
        <w:t>IVM: Régimen de Invalidez, Vejez y Muerte de la Caja Costarricense de Seguro Social.</w:t>
      </w:r>
    </w:p>
    <w:p w14:paraId="4F286FE8" w14:textId="77777777" w:rsidR="004250B7" w:rsidRPr="00966E1F" w:rsidRDefault="00B51E0B" w:rsidP="004250B7">
      <w:pPr>
        <w:jc w:val="both"/>
      </w:pPr>
      <w:r w:rsidRPr="00966E1F">
        <w:t>SNP: Sistema Nacional de Pensiones.</w:t>
      </w:r>
    </w:p>
    <w:p w14:paraId="5D59E7AE" w14:textId="77777777" w:rsidR="00E271BE" w:rsidRPr="00966E1F" w:rsidRDefault="00E271BE" w:rsidP="004250B7">
      <w:pPr>
        <w:jc w:val="both"/>
      </w:pPr>
      <w:r w:rsidRPr="00966E1F">
        <w:t>SUPEN: Superintendencia de Pensiones.</w:t>
      </w:r>
    </w:p>
    <w:p w14:paraId="5D19D43A" w14:textId="77777777" w:rsidR="00C97709" w:rsidRDefault="00C97709">
      <w:pPr>
        <w:rPr>
          <w:rFonts w:ascii="Times New Roman" w:hAnsi="Times New Roman" w:cs="Times New Roman"/>
          <w:sz w:val="24"/>
          <w:lang w:val="es-CR"/>
        </w:rPr>
      </w:pPr>
    </w:p>
    <w:p w14:paraId="42EFA2FE" w14:textId="77777777" w:rsidR="002D18E9" w:rsidRPr="00C97709" w:rsidRDefault="002D18E9">
      <w:pPr>
        <w:rPr>
          <w:rFonts w:ascii="Times New Roman" w:hAnsi="Times New Roman" w:cs="Times New Roman"/>
          <w:sz w:val="24"/>
          <w:lang w:val="es-CR"/>
        </w:rPr>
      </w:pPr>
    </w:p>
    <w:sectPr w:rsidR="002D18E9" w:rsidRPr="00C97709" w:rsidSect="00C85BB5">
      <w:headerReference w:type="default" r:id="rId24"/>
      <w:footerReference w:type="default" r:id="rId25"/>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65106" w14:textId="77777777" w:rsidR="009B470B" w:rsidRDefault="009B470B" w:rsidP="00907FB5">
      <w:r>
        <w:separator/>
      </w:r>
    </w:p>
  </w:endnote>
  <w:endnote w:type="continuationSeparator" w:id="0">
    <w:p w14:paraId="075BDF1D" w14:textId="77777777" w:rsidR="009B470B" w:rsidRDefault="009B470B" w:rsidP="00907FB5">
      <w:r>
        <w:continuationSeparator/>
      </w:r>
    </w:p>
  </w:endnote>
  <w:endnote w:type="continuationNotice" w:id="1">
    <w:p w14:paraId="711F968A" w14:textId="77777777" w:rsidR="009B470B" w:rsidRDefault="009B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5112" w14:textId="77777777" w:rsidR="00F721B1" w:rsidRDefault="00F721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A3A1" w14:textId="77777777" w:rsidR="00F721B1" w:rsidRDefault="00F721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4445" w14:textId="77777777" w:rsidR="00F721B1" w:rsidRDefault="00F721B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C8AE" w14:textId="77777777" w:rsidR="00F721B1" w:rsidRPr="00BE078A" w:rsidRDefault="00F721B1" w:rsidP="0099659B">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2B86A95B" w14:textId="77777777" w:rsidR="00F721B1" w:rsidRDefault="00F721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F4F31" w14:textId="77777777" w:rsidR="009B470B" w:rsidRDefault="009B470B" w:rsidP="00907FB5">
      <w:r>
        <w:separator/>
      </w:r>
    </w:p>
  </w:footnote>
  <w:footnote w:type="continuationSeparator" w:id="0">
    <w:p w14:paraId="4AFD68E6" w14:textId="77777777" w:rsidR="009B470B" w:rsidRDefault="009B470B" w:rsidP="00907FB5">
      <w:r>
        <w:continuationSeparator/>
      </w:r>
    </w:p>
  </w:footnote>
  <w:footnote w:type="continuationNotice" w:id="1">
    <w:p w14:paraId="0FFCEA46" w14:textId="77777777" w:rsidR="009B470B" w:rsidRDefault="009B470B"/>
  </w:footnote>
  <w:footnote w:id="2">
    <w:p w14:paraId="2167C699" w14:textId="77777777" w:rsidR="00F721B1" w:rsidRPr="005D57EC" w:rsidRDefault="00F721B1">
      <w:pPr>
        <w:pStyle w:val="Textonotapie"/>
      </w:pPr>
      <w:r>
        <w:rPr>
          <w:rStyle w:val="Refdenotaalpie"/>
        </w:rPr>
        <w:footnoteRef/>
      </w:r>
      <w:r>
        <w:t xml:space="preserve"> INEC, Encuesta Continua de Empleo, consultada el 20 de enero de 2022 en www.inec.cr.</w:t>
      </w:r>
    </w:p>
  </w:footnote>
  <w:footnote w:id="3">
    <w:p w14:paraId="253AAC48" w14:textId="77777777" w:rsidR="00F721B1" w:rsidRPr="005323CE" w:rsidRDefault="00F721B1">
      <w:pPr>
        <w:pStyle w:val="Textonotapie"/>
      </w:pPr>
      <w:r>
        <w:rPr>
          <w:rStyle w:val="Refdenotaalpie"/>
        </w:rPr>
        <w:footnoteRef/>
      </w:r>
      <w:r>
        <w:t xml:space="preserve"> </w:t>
      </w:r>
      <w:r w:rsidRPr="0066719C">
        <w:t>Retiro programado: por medio de esta modalidad de pensión el pensionado acuerda recibir una renta periódica que surge de dividir, cada año, el capital para la pensión entre el valor presente de una unidad de pensión de acuerdo con la tabla de mortalidad vigente</w:t>
      </w:r>
      <w:r>
        <w:t xml:space="preserve"> (inciso b del artículo 25 de la Ley de Protección al Trabajador).</w:t>
      </w:r>
    </w:p>
  </w:footnote>
  <w:footnote w:id="4">
    <w:p w14:paraId="56F011AF" w14:textId="77777777" w:rsidR="00F721B1" w:rsidRPr="00D876C3" w:rsidRDefault="00F721B1" w:rsidP="00AE0B9C">
      <w:pPr>
        <w:jc w:val="both"/>
      </w:pPr>
      <w:r>
        <w:rPr>
          <w:rStyle w:val="Refdenotaalpie"/>
        </w:rPr>
        <w:footnoteRef/>
      </w:r>
      <w:r>
        <w:t xml:space="preserve"> Publicada</w:t>
      </w:r>
      <w:r w:rsidRPr="00D876C3">
        <w:t xml:space="preserve"> en el Diario Oficial La Gaceta el 11 de enero de 2022.</w:t>
      </w:r>
    </w:p>
    <w:p w14:paraId="52E34402" w14:textId="77777777" w:rsidR="00F721B1" w:rsidRPr="00AE0B9C" w:rsidRDefault="00F721B1">
      <w:pPr>
        <w:pStyle w:val="Textonotapie"/>
      </w:pPr>
    </w:p>
  </w:footnote>
  <w:footnote w:id="5">
    <w:p w14:paraId="73B4EDF8" w14:textId="77777777" w:rsidR="00F721B1" w:rsidRPr="00E064AE" w:rsidRDefault="00F721B1" w:rsidP="00C3232E">
      <w:pPr>
        <w:pStyle w:val="Textonotapie"/>
        <w:spacing w:line="240" w:lineRule="auto"/>
      </w:pPr>
      <w:r>
        <w:rPr>
          <w:rStyle w:val="Refdenotaalpie"/>
        </w:rPr>
        <w:footnoteRef/>
      </w:r>
      <w:r>
        <w:t xml:space="preserve"> Fe de errata: en informes de coyuntura anteriores, se consignó 17,7 billones de colones en activos en 2020 y 20,1 billones para el tercer trimestre de 2021, siendo lo correcto 17,1 y 19,3 para 2020 y el tercer trimestre de 2021 respectivamente. El error consistió una doble contabilización para efectos de estas estadísticas del activo del fondo del Poder Judicial, hecho ya subsanado.</w:t>
      </w:r>
    </w:p>
  </w:footnote>
  <w:footnote w:id="6">
    <w:p w14:paraId="7F1A3CD9" w14:textId="77777777" w:rsidR="00F721B1" w:rsidRPr="00575802" w:rsidRDefault="00F721B1">
      <w:pPr>
        <w:pStyle w:val="Textonotapie"/>
        <w:rPr>
          <w:sz w:val="18"/>
          <w:szCs w:val="18"/>
          <w:lang w:val="es-CR"/>
        </w:rPr>
      </w:pPr>
      <w:r>
        <w:rPr>
          <w:rStyle w:val="Refdenotaalpie"/>
        </w:rPr>
        <w:footnoteRef/>
      </w:r>
      <w:r>
        <w:t xml:space="preserve"> </w:t>
      </w:r>
      <w:r w:rsidRPr="00575802">
        <w:rPr>
          <w:sz w:val="18"/>
          <w:szCs w:val="18"/>
        </w:rPr>
        <w:t>No considera las carteras crediticias de los fondos que otorgan crédito a sus cotizantes.</w:t>
      </w:r>
    </w:p>
  </w:footnote>
  <w:footnote w:id="7">
    <w:p w14:paraId="2C9D577B" w14:textId="77777777" w:rsidR="00F721B1" w:rsidRPr="00B07492" w:rsidRDefault="00F721B1" w:rsidP="00183C41">
      <w:pPr>
        <w:pStyle w:val="Textonotapie"/>
        <w:jc w:val="both"/>
        <w:rPr>
          <w:sz w:val="18"/>
          <w:szCs w:val="18"/>
        </w:rPr>
      </w:pPr>
      <w:r>
        <w:rPr>
          <w:rStyle w:val="Refdenotaalpie"/>
        </w:rPr>
        <w:footnoteRef/>
      </w:r>
      <w:r>
        <w:t xml:space="preserve"> </w:t>
      </w:r>
      <w:r w:rsidRPr="00B07492">
        <w:rPr>
          <w:sz w:val="18"/>
          <w:szCs w:val="18"/>
        </w:rPr>
        <w:t>Motivado entre otras razones, por la estrategia de financiamiento del Gobierno y los ajustes en materia fiscal emprendid</w:t>
      </w:r>
      <w:r>
        <w:rPr>
          <w:sz w:val="18"/>
          <w:szCs w:val="18"/>
        </w:rPr>
        <w:t>o</w:t>
      </w:r>
      <w:r w:rsidRPr="00B07492">
        <w:rPr>
          <w:sz w:val="18"/>
          <w:szCs w:val="18"/>
        </w:rPr>
        <w:t>s por el Ministerio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8A3D" w14:textId="77777777" w:rsidR="00F721B1" w:rsidRDefault="00F721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0E2E" w14:textId="77777777" w:rsidR="00F721B1" w:rsidRDefault="00F721B1" w:rsidP="006C61CB">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BDFB" w14:textId="77777777" w:rsidR="00F721B1" w:rsidRDefault="00F721B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31E" w14:textId="77777777" w:rsidR="00F721B1" w:rsidRDefault="00F721B1" w:rsidP="006C61CB">
    <w:pPr>
      <w:pStyle w:val="Encabezado"/>
      <w:jc w:val="both"/>
    </w:pPr>
    <w:r>
      <w:rPr>
        <w:noProof/>
      </w:rPr>
      <w:drawing>
        <wp:anchor distT="0" distB="0" distL="114300" distR="114300" simplePos="0" relativeHeight="251658241" behindDoc="0" locked="0" layoutInCell="1" allowOverlap="1" wp14:anchorId="5F03793E" wp14:editId="234F2833">
          <wp:simplePos x="0" y="0"/>
          <wp:positionH relativeFrom="margin">
            <wp:align>right</wp:align>
          </wp:positionH>
          <wp:positionV relativeFrom="paragraph">
            <wp:posOffset>-164694</wp:posOffset>
          </wp:positionV>
          <wp:extent cx="950595" cy="615315"/>
          <wp:effectExtent l="0" t="0" r="190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2EC5FCDA" wp14:editId="7C82063E">
          <wp:simplePos x="0" y="0"/>
          <wp:positionH relativeFrom="page">
            <wp:posOffset>812165</wp:posOffset>
          </wp:positionH>
          <wp:positionV relativeFrom="page">
            <wp:posOffset>184150</wp:posOffset>
          </wp:positionV>
          <wp:extent cx="1945005" cy="89979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8"/>
    <w:multiLevelType w:val="hybridMultilevel"/>
    <w:tmpl w:val="11D0BB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207FDB"/>
    <w:multiLevelType w:val="multilevel"/>
    <w:tmpl w:val="C41861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CA12102"/>
    <w:multiLevelType w:val="multilevel"/>
    <w:tmpl w:val="E9BC6D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E85C0D"/>
    <w:multiLevelType w:val="multilevel"/>
    <w:tmpl w:val="655CED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CA2EFB"/>
    <w:multiLevelType w:val="hybridMultilevel"/>
    <w:tmpl w:val="EFC04248"/>
    <w:lvl w:ilvl="0" w:tplc="1A2A469A">
      <w:start w:val="936"/>
      <w:numFmt w:val="bullet"/>
      <w:lvlText w:val=""/>
      <w:lvlJc w:val="left"/>
      <w:pPr>
        <w:ind w:left="720" w:hanging="360"/>
      </w:pPr>
      <w:rPr>
        <w:rFonts w:ascii="Symbol" w:eastAsiaTheme="minorHAns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E097A8C"/>
    <w:multiLevelType w:val="multilevel"/>
    <w:tmpl w:val="C41861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E8A4EEE"/>
    <w:multiLevelType w:val="multilevel"/>
    <w:tmpl w:val="7A60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66925"/>
    <w:multiLevelType w:val="hybridMultilevel"/>
    <w:tmpl w:val="2160BEA4"/>
    <w:lvl w:ilvl="0" w:tplc="CC325416">
      <w:start w:val="1"/>
      <w:numFmt w:val="decimal"/>
      <w:lvlText w:val="%1."/>
      <w:lvlJc w:val="left"/>
      <w:pPr>
        <w:ind w:left="360" w:hanging="360"/>
      </w:pPr>
      <w:rPr>
        <w:rFonts w:asciiTheme="minorHAnsi" w:hAnsiTheme="minorHAnsi" w:cstheme="minorBidi"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C405A3E"/>
    <w:multiLevelType w:val="multilevel"/>
    <w:tmpl w:val="70248FCA"/>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2EF640E0"/>
    <w:multiLevelType w:val="multilevel"/>
    <w:tmpl w:val="05502D3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EB544A"/>
    <w:multiLevelType w:val="multilevel"/>
    <w:tmpl w:val="A09AC7F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E50EC5"/>
    <w:multiLevelType w:val="multilevel"/>
    <w:tmpl w:val="8A4287E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9F93CC1"/>
    <w:multiLevelType w:val="hybridMultilevel"/>
    <w:tmpl w:val="3F5863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AB01EBC"/>
    <w:multiLevelType w:val="hybridMultilevel"/>
    <w:tmpl w:val="CE22A402"/>
    <w:lvl w:ilvl="0" w:tplc="490E24A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4D3AB7"/>
    <w:multiLevelType w:val="hybridMultilevel"/>
    <w:tmpl w:val="D3F4D44E"/>
    <w:lvl w:ilvl="0" w:tplc="654CA942">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8B0596"/>
    <w:multiLevelType w:val="multilevel"/>
    <w:tmpl w:val="627A503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14A6C90"/>
    <w:multiLevelType w:val="multilevel"/>
    <w:tmpl w:val="52BA2E3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9F35AA"/>
    <w:multiLevelType w:val="multilevel"/>
    <w:tmpl w:val="8A4287E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487B6AEF"/>
    <w:multiLevelType w:val="hybridMultilevel"/>
    <w:tmpl w:val="A2400E9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4D807E60"/>
    <w:multiLevelType w:val="hybridMultilevel"/>
    <w:tmpl w:val="B7860E1C"/>
    <w:lvl w:ilvl="0" w:tplc="EB46748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D716CA"/>
    <w:multiLevelType w:val="multilevel"/>
    <w:tmpl w:val="661E124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283919"/>
    <w:multiLevelType w:val="hybridMultilevel"/>
    <w:tmpl w:val="174AF7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822545E"/>
    <w:multiLevelType w:val="multilevel"/>
    <w:tmpl w:val="8956289A"/>
    <w:lvl w:ilvl="0">
      <w:start w:val="2"/>
      <w:numFmt w:val="decimal"/>
      <w:lvlText w:val="%1."/>
      <w:lvlJc w:val="left"/>
      <w:pPr>
        <w:ind w:left="1188" w:hanging="48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508" w:hanging="10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588" w:hanging="1440"/>
      </w:pPr>
      <w:rPr>
        <w:rFonts w:hint="default"/>
      </w:rPr>
    </w:lvl>
    <w:lvl w:ilvl="5">
      <w:start w:val="1"/>
      <w:numFmt w:val="decimal"/>
      <w:lvlText w:val="%1.%2.%3.%4.%5.%6."/>
      <w:lvlJc w:val="left"/>
      <w:pPr>
        <w:ind w:left="4308" w:hanging="1800"/>
      </w:pPr>
      <w:rPr>
        <w:rFonts w:hint="default"/>
      </w:rPr>
    </w:lvl>
    <w:lvl w:ilvl="6">
      <w:start w:val="1"/>
      <w:numFmt w:val="decimal"/>
      <w:lvlText w:val="%1.%2.%3.%4.%5.%6.%7."/>
      <w:lvlJc w:val="left"/>
      <w:pPr>
        <w:ind w:left="5028" w:hanging="2160"/>
      </w:pPr>
      <w:rPr>
        <w:rFonts w:hint="default"/>
      </w:rPr>
    </w:lvl>
    <w:lvl w:ilvl="7">
      <w:start w:val="1"/>
      <w:numFmt w:val="decimal"/>
      <w:lvlText w:val="%1.%2.%3.%4.%5.%6.%7.%8."/>
      <w:lvlJc w:val="left"/>
      <w:pPr>
        <w:ind w:left="5388" w:hanging="2160"/>
      </w:pPr>
      <w:rPr>
        <w:rFonts w:hint="default"/>
      </w:rPr>
    </w:lvl>
    <w:lvl w:ilvl="8">
      <w:start w:val="1"/>
      <w:numFmt w:val="decimal"/>
      <w:lvlText w:val="%1.%2.%3.%4.%5.%6.%7.%8.%9."/>
      <w:lvlJc w:val="left"/>
      <w:pPr>
        <w:ind w:left="6108" w:hanging="2520"/>
      </w:pPr>
      <w:rPr>
        <w:rFonts w:hint="default"/>
      </w:rPr>
    </w:lvl>
  </w:abstractNum>
  <w:abstractNum w:abstractNumId="23" w15:restartNumberingAfterBreak="0">
    <w:nsid w:val="59137D6D"/>
    <w:multiLevelType w:val="multilevel"/>
    <w:tmpl w:val="4A06589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BF3CD4"/>
    <w:multiLevelType w:val="hybridMultilevel"/>
    <w:tmpl w:val="0E00963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A2C1698"/>
    <w:multiLevelType w:val="multilevel"/>
    <w:tmpl w:val="8A4287E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5AD43879"/>
    <w:multiLevelType w:val="multilevel"/>
    <w:tmpl w:val="4F32CA4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1B6856"/>
    <w:multiLevelType w:val="multilevel"/>
    <w:tmpl w:val="D06654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F6F6B49"/>
    <w:multiLevelType w:val="hybridMultilevel"/>
    <w:tmpl w:val="2B98B7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A95F12"/>
    <w:multiLevelType w:val="multilevel"/>
    <w:tmpl w:val="F25E9C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5DC7537"/>
    <w:multiLevelType w:val="multilevel"/>
    <w:tmpl w:val="3698C3F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65496D"/>
    <w:multiLevelType w:val="hybridMultilevel"/>
    <w:tmpl w:val="0E00963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6AA63BC5"/>
    <w:multiLevelType w:val="hybridMultilevel"/>
    <w:tmpl w:val="5168619E"/>
    <w:lvl w:ilvl="0" w:tplc="EB46748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F084E1E"/>
    <w:multiLevelType w:val="hybridMultilevel"/>
    <w:tmpl w:val="F73E9E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0FB2565"/>
    <w:multiLevelType w:val="multilevel"/>
    <w:tmpl w:val="8956289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740D6A11"/>
    <w:multiLevelType w:val="hybridMultilevel"/>
    <w:tmpl w:val="BEC66CF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C0E0110"/>
    <w:multiLevelType w:val="hybridMultilevel"/>
    <w:tmpl w:val="41246452"/>
    <w:lvl w:ilvl="0" w:tplc="1CD8DB46">
      <w:start w:val="1"/>
      <w:numFmt w:val="decimal"/>
      <w:lvlText w:val="(%1)"/>
      <w:lvlJc w:val="left"/>
      <w:pPr>
        <w:ind w:left="644" w:hanging="360"/>
      </w:pPr>
      <w:rPr>
        <w:sz w:val="22"/>
        <w:szCs w:val="22"/>
        <w:vertAlign w:val="superscript"/>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37" w15:restartNumberingAfterBreak="0">
    <w:nsid w:val="7C105077"/>
    <w:multiLevelType w:val="hybridMultilevel"/>
    <w:tmpl w:val="3C2852E4"/>
    <w:lvl w:ilvl="0" w:tplc="C096DDB4">
      <w:numFmt w:val="bullet"/>
      <w:lvlText w:val=""/>
      <w:lvlJc w:val="left"/>
      <w:pPr>
        <w:ind w:left="1065" w:hanging="705"/>
      </w:pPr>
      <w:rPr>
        <w:rFonts w:ascii="Symbol" w:eastAsiaTheme="minorHAnsi" w:hAnsi="Symbol" w:cstheme="minorHAns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2"/>
  </w:num>
  <w:num w:numId="4">
    <w:abstractNumId w:val="13"/>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20"/>
  </w:num>
  <w:num w:numId="13">
    <w:abstractNumId w:val="16"/>
  </w:num>
  <w:num w:numId="14">
    <w:abstractNumId w:val="26"/>
  </w:num>
  <w:num w:numId="15">
    <w:abstractNumId w:val="2"/>
  </w:num>
  <w:num w:numId="16">
    <w:abstractNumId w:val="35"/>
  </w:num>
  <w:num w:numId="17">
    <w:abstractNumId w:val="8"/>
  </w:num>
  <w:num w:numId="18">
    <w:abstractNumId w:val="34"/>
  </w:num>
  <w:num w:numId="19">
    <w:abstractNumId w:val="22"/>
  </w:num>
  <w:num w:numId="20">
    <w:abstractNumId w:val="5"/>
  </w:num>
  <w:num w:numId="21">
    <w:abstractNumId w:val="3"/>
  </w:num>
  <w:num w:numId="22">
    <w:abstractNumId w:val="29"/>
  </w:num>
  <w:num w:numId="23">
    <w:abstractNumId w:val="15"/>
  </w:num>
  <w:num w:numId="24">
    <w:abstractNumId w:val="10"/>
  </w:num>
  <w:num w:numId="25">
    <w:abstractNumId w:val="23"/>
  </w:num>
  <w:num w:numId="26">
    <w:abstractNumId w:val="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 w:numId="33">
    <w:abstractNumId w:val="32"/>
  </w:num>
  <w:num w:numId="34">
    <w:abstractNumId w:val="1"/>
  </w:num>
  <w:num w:numId="35">
    <w:abstractNumId w:val="30"/>
  </w:num>
  <w:num w:numId="36">
    <w:abstractNumId w:val="11"/>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D3"/>
    <w:rsid w:val="00000268"/>
    <w:rsid w:val="00000E39"/>
    <w:rsid w:val="000015C8"/>
    <w:rsid w:val="00001F7F"/>
    <w:rsid w:val="0000325C"/>
    <w:rsid w:val="000047DA"/>
    <w:rsid w:val="00004F14"/>
    <w:rsid w:val="00005551"/>
    <w:rsid w:val="000057E0"/>
    <w:rsid w:val="00005E2B"/>
    <w:rsid w:val="00006931"/>
    <w:rsid w:val="00006B17"/>
    <w:rsid w:val="00007A19"/>
    <w:rsid w:val="00007C9D"/>
    <w:rsid w:val="00007EE8"/>
    <w:rsid w:val="00010F60"/>
    <w:rsid w:val="0001207D"/>
    <w:rsid w:val="00012C7F"/>
    <w:rsid w:val="000137E8"/>
    <w:rsid w:val="00013E77"/>
    <w:rsid w:val="000154A4"/>
    <w:rsid w:val="00015663"/>
    <w:rsid w:val="00016EB3"/>
    <w:rsid w:val="00017958"/>
    <w:rsid w:val="00017EF0"/>
    <w:rsid w:val="000202B3"/>
    <w:rsid w:val="00020C40"/>
    <w:rsid w:val="00023312"/>
    <w:rsid w:val="000241A9"/>
    <w:rsid w:val="00025A9B"/>
    <w:rsid w:val="00026208"/>
    <w:rsid w:val="0003198B"/>
    <w:rsid w:val="00031CFE"/>
    <w:rsid w:val="00032290"/>
    <w:rsid w:val="00033280"/>
    <w:rsid w:val="00033E51"/>
    <w:rsid w:val="00034BF4"/>
    <w:rsid w:val="000353C3"/>
    <w:rsid w:val="000357D8"/>
    <w:rsid w:val="00035FAC"/>
    <w:rsid w:val="00036631"/>
    <w:rsid w:val="00036862"/>
    <w:rsid w:val="0003714F"/>
    <w:rsid w:val="00037AE3"/>
    <w:rsid w:val="00037C9B"/>
    <w:rsid w:val="000401A5"/>
    <w:rsid w:val="00040503"/>
    <w:rsid w:val="00040BEE"/>
    <w:rsid w:val="00043771"/>
    <w:rsid w:val="000475A6"/>
    <w:rsid w:val="000477B8"/>
    <w:rsid w:val="00050357"/>
    <w:rsid w:val="000510ED"/>
    <w:rsid w:val="000516E9"/>
    <w:rsid w:val="0005192A"/>
    <w:rsid w:val="00051A8E"/>
    <w:rsid w:val="00051C99"/>
    <w:rsid w:val="000527A7"/>
    <w:rsid w:val="000530F1"/>
    <w:rsid w:val="0005331D"/>
    <w:rsid w:val="00053857"/>
    <w:rsid w:val="00054230"/>
    <w:rsid w:val="00054769"/>
    <w:rsid w:val="00054DD3"/>
    <w:rsid w:val="0005512B"/>
    <w:rsid w:val="00055814"/>
    <w:rsid w:val="00055B5B"/>
    <w:rsid w:val="00055C74"/>
    <w:rsid w:val="000561A2"/>
    <w:rsid w:val="00057B15"/>
    <w:rsid w:val="00060CD9"/>
    <w:rsid w:val="00060E44"/>
    <w:rsid w:val="00061688"/>
    <w:rsid w:val="00061AD5"/>
    <w:rsid w:val="000622E2"/>
    <w:rsid w:val="00062764"/>
    <w:rsid w:val="000636AC"/>
    <w:rsid w:val="00064059"/>
    <w:rsid w:val="0006445B"/>
    <w:rsid w:val="0006447B"/>
    <w:rsid w:val="0006483D"/>
    <w:rsid w:val="00066547"/>
    <w:rsid w:val="00066E36"/>
    <w:rsid w:val="00067569"/>
    <w:rsid w:val="000676D8"/>
    <w:rsid w:val="000679BC"/>
    <w:rsid w:val="00067B7C"/>
    <w:rsid w:val="00067C90"/>
    <w:rsid w:val="00070E62"/>
    <w:rsid w:val="00071378"/>
    <w:rsid w:val="00071515"/>
    <w:rsid w:val="00071915"/>
    <w:rsid w:val="00071A35"/>
    <w:rsid w:val="00072C2A"/>
    <w:rsid w:val="00072DAC"/>
    <w:rsid w:val="0007328F"/>
    <w:rsid w:val="000741B2"/>
    <w:rsid w:val="00074837"/>
    <w:rsid w:val="00075CC7"/>
    <w:rsid w:val="00076111"/>
    <w:rsid w:val="00076125"/>
    <w:rsid w:val="000765E8"/>
    <w:rsid w:val="00080298"/>
    <w:rsid w:val="00080334"/>
    <w:rsid w:val="00080411"/>
    <w:rsid w:val="00080588"/>
    <w:rsid w:val="00081454"/>
    <w:rsid w:val="00082144"/>
    <w:rsid w:val="0008219A"/>
    <w:rsid w:val="00082498"/>
    <w:rsid w:val="000826B3"/>
    <w:rsid w:val="000831A2"/>
    <w:rsid w:val="00083684"/>
    <w:rsid w:val="0008376C"/>
    <w:rsid w:val="00084174"/>
    <w:rsid w:val="00084CDB"/>
    <w:rsid w:val="00085C6D"/>
    <w:rsid w:val="00090427"/>
    <w:rsid w:val="000904CC"/>
    <w:rsid w:val="000905BF"/>
    <w:rsid w:val="00091D8D"/>
    <w:rsid w:val="00091F22"/>
    <w:rsid w:val="00092044"/>
    <w:rsid w:val="00092F74"/>
    <w:rsid w:val="0009427F"/>
    <w:rsid w:val="000943E1"/>
    <w:rsid w:val="000949E2"/>
    <w:rsid w:val="000959A1"/>
    <w:rsid w:val="00095A91"/>
    <w:rsid w:val="00096A0E"/>
    <w:rsid w:val="00096ABF"/>
    <w:rsid w:val="00096E7B"/>
    <w:rsid w:val="000A01F2"/>
    <w:rsid w:val="000A063B"/>
    <w:rsid w:val="000A08BA"/>
    <w:rsid w:val="000A1AD4"/>
    <w:rsid w:val="000A2C6A"/>
    <w:rsid w:val="000A3BDC"/>
    <w:rsid w:val="000A420E"/>
    <w:rsid w:val="000A4B71"/>
    <w:rsid w:val="000A66D9"/>
    <w:rsid w:val="000A787A"/>
    <w:rsid w:val="000B0608"/>
    <w:rsid w:val="000B0D7B"/>
    <w:rsid w:val="000B0DE3"/>
    <w:rsid w:val="000B12F9"/>
    <w:rsid w:val="000B229E"/>
    <w:rsid w:val="000B2ACF"/>
    <w:rsid w:val="000B2B50"/>
    <w:rsid w:val="000B339E"/>
    <w:rsid w:val="000B33A1"/>
    <w:rsid w:val="000B5DDA"/>
    <w:rsid w:val="000B60CF"/>
    <w:rsid w:val="000B65E0"/>
    <w:rsid w:val="000B69D9"/>
    <w:rsid w:val="000B6BDA"/>
    <w:rsid w:val="000B6FFF"/>
    <w:rsid w:val="000B762D"/>
    <w:rsid w:val="000B76F2"/>
    <w:rsid w:val="000B7921"/>
    <w:rsid w:val="000C02FB"/>
    <w:rsid w:val="000C09B8"/>
    <w:rsid w:val="000C0B0F"/>
    <w:rsid w:val="000C0B9A"/>
    <w:rsid w:val="000C19AF"/>
    <w:rsid w:val="000C1F2F"/>
    <w:rsid w:val="000C23A4"/>
    <w:rsid w:val="000C240E"/>
    <w:rsid w:val="000C32F8"/>
    <w:rsid w:val="000C4D01"/>
    <w:rsid w:val="000C5168"/>
    <w:rsid w:val="000C6389"/>
    <w:rsid w:val="000C6D8F"/>
    <w:rsid w:val="000C70DC"/>
    <w:rsid w:val="000C7F04"/>
    <w:rsid w:val="000D1F04"/>
    <w:rsid w:val="000D23AA"/>
    <w:rsid w:val="000D2A2A"/>
    <w:rsid w:val="000D2DC1"/>
    <w:rsid w:val="000D3D6D"/>
    <w:rsid w:val="000D3DCB"/>
    <w:rsid w:val="000D42DB"/>
    <w:rsid w:val="000D451D"/>
    <w:rsid w:val="000D46DB"/>
    <w:rsid w:val="000D4746"/>
    <w:rsid w:val="000D4CAA"/>
    <w:rsid w:val="000D4CED"/>
    <w:rsid w:val="000D5FBD"/>
    <w:rsid w:val="000D68BD"/>
    <w:rsid w:val="000D6AB0"/>
    <w:rsid w:val="000E0513"/>
    <w:rsid w:val="000E121B"/>
    <w:rsid w:val="000E16A1"/>
    <w:rsid w:val="000E2E9F"/>
    <w:rsid w:val="000E34B0"/>
    <w:rsid w:val="000E3CCD"/>
    <w:rsid w:val="000E55CD"/>
    <w:rsid w:val="000E57CB"/>
    <w:rsid w:val="000E62BC"/>
    <w:rsid w:val="000E6B81"/>
    <w:rsid w:val="000E713B"/>
    <w:rsid w:val="000F00AF"/>
    <w:rsid w:val="000F0ECC"/>
    <w:rsid w:val="000F1063"/>
    <w:rsid w:val="000F10C6"/>
    <w:rsid w:val="000F16B6"/>
    <w:rsid w:val="000F1831"/>
    <w:rsid w:val="000F23B6"/>
    <w:rsid w:val="000F2C4C"/>
    <w:rsid w:val="000F30F8"/>
    <w:rsid w:val="000F39B7"/>
    <w:rsid w:val="000F3A20"/>
    <w:rsid w:val="000F3F6C"/>
    <w:rsid w:val="000F4A88"/>
    <w:rsid w:val="000F5A75"/>
    <w:rsid w:val="000F6671"/>
    <w:rsid w:val="00100DC4"/>
    <w:rsid w:val="00100F10"/>
    <w:rsid w:val="0010149D"/>
    <w:rsid w:val="00101848"/>
    <w:rsid w:val="0010189D"/>
    <w:rsid w:val="00101907"/>
    <w:rsid w:val="00102227"/>
    <w:rsid w:val="001025A2"/>
    <w:rsid w:val="001028CA"/>
    <w:rsid w:val="00102D30"/>
    <w:rsid w:val="0010407E"/>
    <w:rsid w:val="00104C5F"/>
    <w:rsid w:val="00104F71"/>
    <w:rsid w:val="00111658"/>
    <w:rsid w:val="0011196A"/>
    <w:rsid w:val="001131B9"/>
    <w:rsid w:val="0011322B"/>
    <w:rsid w:val="001134ED"/>
    <w:rsid w:val="00113A3E"/>
    <w:rsid w:val="00113E63"/>
    <w:rsid w:val="001143B2"/>
    <w:rsid w:val="00114D1E"/>
    <w:rsid w:val="00115108"/>
    <w:rsid w:val="001158A6"/>
    <w:rsid w:val="00116690"/>
    <w:rsid w:val="001167E1"/>
    <w:rsid w:val="00117732"/>
    <w:rsid w:val="00117C1A"/>
    <w:rsid w:val="001218E1"/>
    <w:rsid w:val="00122376"/>
    <w:rsid w:val="00122CE3"/>
    <w:rsid w:val="00123A40"/>
    <w:rsid w:val="001248B8"/>
    <w:rsid w:val="001248C4"/>
    <w:rsid w:val="00124D85"/>
    <w:rsid w:val="001253DB"/>
    <w:rsid w:val="00127068"/>
    <w:rsid w:val="0012736C"/>
    <w:rsid w:val="00130777"/>
    <w:rsid w:val="00131B90"/>
    <w:rsid w:val="001321E7"/>
    <w:rsid w:val="00132FAB"/>
    <w:rsid w:val="001355A1"/>
    <w:rsid w:val="00135936"/>
    <w:rsid w:val="00135D73"/>
    <w:rsid w:val="001364FD"/>
    <w:rsid w:val="00137B6F"/>
    <w:rsid w:val="0014068E"/>
    <w:rsid w:val="00140BEC"/>
    <w:rsid w:val="00141152"/>
    <w:rsid w:val="001417F5"/>
    <w:rsid w:val="001436FE"/>
    <w:rsid w:val="001437F4"/>
    <w:rsid w:val="00145E1C"/>
    <w:rsid w:val="0014617B"/>
    <w:rsid w:val="00146827"/>
    <w:rsid w:val="00146CF4"/>
    <w:rsid w:val="0015033C"/>
    <w:rsid w:val="00150743"/>
    <w:rsid w:val="001523D1"/>
    <w:rsid w:val="00153460"/>
    <w:rsid w:val="001538A3"/>
    <w:rsid w:val="00155147"/>
    <w:rsid w:val="001553A6"/>
    <w:rsid w:val="001556A6"/>
    <w:rsid w:val="00156584"/>
    <w:rsid w:val="00156D0D"/>
    <w:rsid w:val="00156E25"/>
    <w:rsid w:val="00157C55"/>
    <w:rsid w:val="001610AB"/>
    <w:rsid w:val="001620E5"/>
    <w:rsid w:val="00164294"/>
    <w:rsid w:val="00165AF9"/>
    <w:rsid w:val="00165DAD"/>
    <w:rsid w:val="0016628F"/>
    <w:rsid w:val="00167070"/>
    <w:rsid w:val="00167866"/>
    <w:rsid w:val="00167EDC"/>
    <w:rsid w:val="001704F1"/>
    <w:rsid w:val="0017180C"/>
    <w:rsid w:val="001719D5"/>
    <w:rsid w:val="00172D4F"/>
    <w:rsid w:val="0017350F"/>
    <w:rsid w:val="00173952"/>
    <w:rsid w:val="0017412B"/>
    <w:rsid w:val="00174161"/>
    <w:rsid w:val="00174960"/>
    <w:rsid w:val="0017521C"/>
    <w:rsid w:val="001757BE"/>
    <w:rsid w:val="00175C79"/>
    <w:rsid w:val="00176609"/>
    <w:rsid w:val="001776AC"/>
    <w:rsid w:val="00177F1D"/>
    <w:rsid w:val="0018000A"/>
    <w:rsid w:val="00180111"/>
    <w:rsid w:val="0018244A"/>
    <w:rsid w:val="00182AA0"/>
    <w:rsid w:val="00183051"/>
    <w:rsid w:val="001833F2"/>
    <w:rsid w:val="00183A3B"/>
    <w:rsid w:val="00183C41"/>
    <w:rsid w:val="001840B6"/>
    <w:rsid w:val="001841E3"/>
    <w:rsid w:val="00185865"/>
    <w:rsid w:val="00185FEE"/>
    <w:rsid w:val="00186052"/>
    <w:rsid w:val="00187EDC"/>
    <w:rsid w:val="00190037"/>
    <w:rsid w:val="00190BF6"/>
    <w:rsid w:val="0019154C"/>
    <w:rsid w:val="0019211F"/>
    <w:rsid w:val="001925AC"/>
    <w:rsid w:val="0019492F"/>
    <w:rsid w:val="001956B8"/>
    <w:rsid w:val="001973FF"/>
    <w:rsid w:val="00197C15"/>
    <w:rsid w:val="00197E35"/>
    <w:rsid w:val="00197E42"/>
    <w:rsid w:val="001A01F9"/>
    <w:rsid w:val="001A0652"/>
    <w:rsid w:val="001A06BF"/>
    <w:rsid w:val="001A1390"/>
    <w:rsid w:val="001A225E"/>
    <w:rsid w:val="001A2ED4"/>
    <w:rsid w:val="001A2FD7"/>
    <w:rsid w:val="001A35ED"/>
    <w:rsid w:val="001A3C95"/>
    <w:rsid w:val="001A4964"/>
    <w:rsid w:val="001A4CDF"/>
    <w:rsid w:val="001A6375"/>
    <w:rsid w:val="001A6B21"/>
    <w:rsid w:val="001A6D3B"/>
    <w:rsid w:val="001A71DE"/>
    <w:rsid w:val="001B0301"/>
    <w:rsid w:val="001B1468"/>
    <w:rsid w:val="001B1B1F"/>
    <w:rsid w:val="001B1CDD"/>
    <w:rsid w:val="001B2043"/>
    <w:rsid w:val="001B2158"/>
    <w:rsid w:val="001B2D8B"/>
    <w:rsid w:val="001B30F7"/>
    <w:rsid w:val="001B407E"/>
    <w:rsid w:val="001B418F"/>
    <w:rsid w:val="001B4296"/>
    <w:rsid w:val="001B42F4"/>
    <w:rsid w:val="001B4A0C"/>
    <w:rsid w:val="001B5250"/>
    <w:rsid w:val="001B5E24"/>
    <w:rsid w:val="001B5FFB"/>
    <w:rsid w:val="001B6C3D"/>
    <w:rsid w:val="001C0301"/>
    <w:rsid w:val="001C0E22"/>
    <w:rsid w:val="001C12C1"/>
    <w:rsid w:val="001C2098"/>
    <w:rsid w:val="001C2BE3"/>
    <w:rsid w:val="001C41EC"/>
    <w:rsid w:val="001C4DDA"/>
    <w:rsid w:val="001C50BB"/>
    <w:rsid w:val="001C62C3"/>
    <w:rsid w:val="001C7581"/>
    <w:rsid w:val="001C7DB1"/>
    <w:rsid w:val="001D0EC5"/>
    <w:rsid w:val="001D2DC3"/>
    <w:rsid w:val="001D31E9"/>
    <w:rsid w:val="001D3E84"/>
    <w:rsid w:val="001D43D4"/>
    <w:rsid w:val="001D4DCF"/>
    <w:rsid w:val="001D61CE"/>
    <w:rsid w:val="001D6EA8"/>
    <w:rsid w:val="001D7260"/>
    <w:rsid w:val="001D79AF"/>
    <w:rsid w:val="001D7C6C"/>
    <w:rsid w:val="001D7D8D"/>
    <w:rsid w:val="001E0766"/>
    <w:rsid w:val="001E0F70"/>
    <w:rsid w:val="001E12D8"/>
    <w:rsid w:val="001E2804"/>
    <w:rsid w:val="001E33DB"/>
    <w:rsid w:val="001E3E97"/>
    <w:rsid w:val="001E50BA"/>
    <w:rsid w:val="001E71BD"/>
    <w:rsid w:val="001F1D57"/>
    <w:rsid w:val="001F1DB6"/>
    <w:rsid w:val="001F2888"/>
    <w:rsid w:val="001F2C14"/>
    <w:rsid w:val="001F4072"/>
    <w:rsid w:val="001F43EF"/>
    <w:rsid w:val="001F48C0"/>
    <w:rsid w:val="001F6256"/>
    <w:rsid w:val="00200006"/>
    <w:rsid w:val="00200629"/>
    <w:rsid w:val="00200A54"/>
    <w:rsid w:val="00201F6A"/>
    <w:rsid w:val="0020221D"/>
    <w:rsid w:val="002025E2"/>
    <w:rsid w:val="00202DC2"/>
    <w:rsid w:val="00204355"/>
    <w:rsid w:val="00205C06"/>
    <w:rsid w:val="002060B5"/>
    <w:rsid w:val="002071C6"/>
    <w:rsid w:val="00207BC4"/>
    <w:rsid w:val="002101FD"/>
    <w:rsid w:val="00210257"/>
    <w:rsid w:val="002109F5"/>
    <w:rsid w:val="00211237"/>
    <w:rsid w:val="002114F3"/>
    <w:rsid w:val="002124C9"/>
    <w:rsid w:val="00212FAE"/>
    <w:rsid w:val="00213DAD"/>
    <w:rsid w:val="00215EFD"/>
    <w:rsid w:val="002166E7"/>
    <w:rsid w:val="0021685D"/>
    <w:rsid w:val="00216B1F"/>
    <w:rsid w:val="00216D70"/>
    <w:rsid w:val="002174DD"/>
    <w:rsid w:val="00217A45"/>
    <w:rsid w:val="00220200"/>
    <w:rsid w:val="00220632"/>
    <w:rsid w:val="00221E94"/>
    <w:rsid w:val="0022267D"/>
    <w:rsid w:val="002232A7"/>
    <w:rsid w:val="00223D4B"/>
    <w:rsid w:val="00223DA2"/>
    <w:rsid w:val="00224CCC"/>
    <w:rsid w:val="00225902"/>
    <w:rsid w:val="00225DBA"/>
    <w:rsid w:val="002275C1"/>
    <w:rsid w:val="0023083D"/>
    <w:rsid w:val="0023122C"/>
    <w:rsid w:val="00232AED"/>
    <w:rsid w:val="00233A3E"/>
    <w:rsid w:val="00233F84"/>
    <w:rsid w:val="00233F9E"/>
    <w:rsid w:val="002343F8"/>
    <w:rsid w:val="00235C0B"/>
    <w:rsid w:val="00235E29"/>
    <w:rsid w:val="00235F64"/>
    <w:rsid w:val="00240E67"/>
    <w:rsid w:val="002410F7"/>
    <w:rsid w:val="00241A91"/>
    <w:rsid w:val="0024399B"/>
    <w:rsid w:val="00243F1D"/>
    <w:rsid w:val="00243FC4"/>
    <w:rsid w:val="002450B4"/>
    <w:rsid w:val="002454FE"/>
    <w:rsid w:val="00246B91"/>
    <w:rsid w:val="0024709D"/>
    <w:rsid w:val="00247566"/>
    <w:rsid w:val="00250B3A"/>
    <w:rsid w:val="00250BFD"/>
    <w:rsid w:val="00250FB2"/>
    <w:rsid w:val="00251555"/>
    <w:rsid w:val="0025327C"/>
    <w:rsid w:val="00253595"/>
    <w:rsid w:val="002537BC"/>
    <w:rsid w:val="00253B4B"/>
    <w:rsid w:val="00253C49"/>
    <w:rsid w:val="00253DFE"/>
    <w:rsid w:val="0025548A"/>
    <w:rsid w:val="00255FAE"/>
    <w:rsid w:val="00256C5C"/>
    <w:rsid w:val="00256FB6"/>
    <w:rsid w:val="0025754C"/>
    <w:rsid w:val="00257B7E"/>
    <w:rsid w:val="00257C5E"/>
    <w:rsid w:val="002603A2"/>
    <w:rsid w:val="00261CB6"/>
    <w:rsid w:val="0026240C"/>
    <w:rsid w:val="002625CB"/>
    <w:rsid w:val="00264830"/>
    <w:rsid w:val="00264F10"/>
    <w:rsid w:val="00264F81"/>
    <w:rsid w:val="00264FFD"/>
    <w:rsid w:val="002650F8"/>
    <w:rsid w:val="00265AC6"/>
    <w:rsid w:val="00267520"/>
    <w:rsid w:val="00267923"/>
    <w:rsid w:val="00267B12"/>
    <w:rsid w:val="0027025E"/>
    <w:rsid w:val="00270676"/>
    <w:rsid w:val="00270856"/>
    <w:rsid w:val="00271877"/>
    <w:rsid w:val="002723B7"/>
    <w:rsid w:val="002727F7"/>
    <w:rsid w:val="002732ED"/>
    <w:rsid w:val="0027404E"/>
    <w:rsid w:val="0027515E"/>
    <w:rsid w:val="0027539F"/>
    <w:rsid w:val="00275C55"/>
    <w:rsid w:val="002773C6"/>
    <w:rsid w:val="00280C5A"/>
    <w:rsid w:val="002813E1"/>
    <w:rsid w:val="00281E19"/>
    <w:rsid w:val="00281E4C"/>
    <w:rsid w:val="00281F4C"/>
    <w:rsid w:val="00282624"/>
    <w:rsid w:val="0028264B"/>
    <w:rsid w:val="00282877"/>
    <w:rsid w:val="00283F01"/>
    <w:rsid w:val="00283F44"/>
    <w:rsid w:val="00284855"/>
    <w:rsid w:val="00286195"/>
    <w:rsid w:val="0028670F"/>
    <w:rsid w:val="002868D1"/>
    <w:rsid w:val="00286972"/>
    <w:rsid w:val="00286D36"/>
    <w:rsid w:val="0029005C"/>
    <w:rsid w:val="0029016A"/>
    <w:rsid w:val="00290851"/>
    <w:rsid w:val="00292B8A"/>
    <w:rsid w:val="00292C1A"/>
    <w:rsid w:val="002942E0"/>
    <w:rsid w:val="0029536C"/>
    <w:rsid w:val="00296665"/>
    <w:rsid w:val="00296832"/>
    <w:rsid w:val="00297392"/>
    <w:rsid w:val="0029755F"/>
    <w:rsid w:val="002A028E"/>
    <w:rsid w:val="002A0781"/>
    <w:rsid w:val="002A07FA"/>
    <w:rsid w:val="002A0CB4"/>
    <w:rsid w:val="002A0E1F"/>
    <w:rsid w:val="002A14CC"/>
    <w:rsid w:val="002A2352"/>
    <w:rsid w:val="002A31CA"/>
    <w:rsid w:val="002A39D2"/>
    <w:rsid w:val="002A4001"/>
    <w:rsid w:val="002A4AA8"/>
    <w:rsid w:val="002A4B5C"/>
    <w:rsid w:val="002A4CF0"/>
    <w:rsid w:val="002A4E29"/>
    <w:rsid w:val="002A580F"/>
    <w:rsid w:val="002A6325"/>
    <w:rsid w:val="002A7015"/>
    <w:rsid w:val="002B0029"/>
    <w:rsid w:val="002B0CD2"/>
    <w:rsid w:val="002B11AE"/>
    <w:rsid w:val="002B2A84"/>
    <w:rsid w:val="002B2F50"/>
    <w:rsid w:val="002B399E"/>
    <w:rsid w:val="002B3CFD"/>
    <w:rsid w:val="002B42CC"/>
    <w:rsid w:val="002B432A"/>
    <w:rsid w:val="002B47AF"/>
    <w:rsid w:val="002B4E5E"/>
    <w:rsid w:val="002B5B00"/>
    <w:rsid w:val="002C00AE"/>
    <w:rsid w:val="002C068A"/>
    <w:rsid w:val="002C0B66"/>
    <w:rsid w:val="002C16DD"/>
    <w:rsid w:val="002C44ED"/>
    <w:rsid w:val="002C4D60"/>
    <w:rsid w:val="002C5238"/>
    <w:rsid w:val="002C5A57"/>
    <w:rsid w:val="002C6260"/>
    <w:rsid w:val="002C6488"/>
    <w:rsid w:val="002C677E"/>
    <w:rsid w:val="002C6D13"/>
    <w:rsid w:val="002C7D43"/>
    <w:rsid w:val="002D18E9"/>
    <w:rsid w:val="002D1D17"/>
    <w:rsid w:val="002D2046"/>
    <w:rsid w:val="002D27C4"/>
    <w:rsid w:val="002D2869"/>
    <w:rsid w:val="002D2A30"/>
    <w:rsid w:val="002D2A95"/>
    <w:rsid w:val="002D342F"/>
    <w:rsid w:val="002D3D06"/>
    <w:rsid w:val="002D3D74"/>
    <w:rsid w:val="002D4203"/>
    <w:rsid w:val="002D422C"/>
    <w:rsid w:val="002D4414"/>
    <w:rsid w:val="002D4A81"/>
    <w:rsid w:val="002D4BED"/>
    <w:rsid w:val="002D53BE"/>
    <w:rsid w:val="002D5D54"/>
    <w:rsid w:val="002D6BC7"/>
    <w:rsid w:val="002D72E4"/>
    <w:rsid w:val="002D7900"/>
    <w:rsid w:val="002E0024"/>
    <w:rsid w:val="002E03D0"/>
    <w:rsid w:val="002E1288"/>
    <w:rsid w:val="002E1948"/>
    <w:rsid w:val="002E2A29"/>
    <w:rsid w:val="002E309B"/>
    <w:rsid w:val="002E3576"/>
    <w:rsid w:val="002E49E1"/>
    <w:rsid w:val="002E51F6"/>
    <w:rsid w:val="002E5806"/>
    <w:rsid w:val="002E604B"/>
    <w:rsid w:val="002E61FC"/>
    <w:rsid w:val="002E69DD"/>
    <w:rsid w:val="002E7005"/>
    <w:rsid w:val="002E75DC"/>
    <w:rsid w:val="002E7939"/>
    <w:rsid w:val="002F05FF"/>
    <w:rsid w:val="002F0A69"/>
    <w:rsid w:val="002F0D4A"/>
    <w:rsid w:val="002F0DD7"/>
    <w:rsid w:val="002F1032"/>
    <w:rsid w:val="002F14FA"/>
    <w:rsid w:val="002F1E2A"/>
    <w:rsid w:val="002F2179"/>
    <w:rsid w:val="002F4AB6"/>
    <w:rsid w:val="002F4FA0"/>
    <w:rsid w:val="002F5C42"/>
    <w:rsid w:val="00301229"/>
    <w:rsid w:val="003014A1"/>
    <w:rsid w:val="00301D1F"/>
    <w:rsid w:val="00303AF8"/>
    <w:rsid w:val="003044AC"/>
    <w:rsid w:val="003044F1"/>
    <w:rsid w:val="0030524B"/>
    <w:rsid w:val="00305389"/>
    <w:rsid w:val="00305422"/>
    <w:rsid w:val="00305560"/>
    <w:rsid w:val="003055DB"/>
    <w:rsid w:val="0030675A"/>
    <w:rsid w:val="00307DC7"/>
    <w:rsid w:val="00310292"/>
    <w:rsid w:val="0031041E"/>
    <w:rsid w:val="00310856"/>
    <w:rsid w:val="00310B02"/>
    <w:rsid w:val="00310C29"/>
    <w:rsid w:val="00310C90"/>
    <w:rsid w:val="00311FDD"/>
    <w:rsid w:val="00311FE6"/>
    <w:rsid w:val="00313058"/>
    <w:rsid w:val="00313182"/>
    <w:rsid w:val="003135B3"/>
    <w:rsid w:val="00313642"/>
    <w:rsid w:val="003136BC"/>
    <w:rsid w:val="003141DA"/>
    <w:rsid w:val="00314A4F"/>
    <w:rsid w:val="00315210"/>
    <w:rsid w:val="00317017"/>
    <w:rsid w:val="00317485"/>
    <w:rsid w:val="00320111"/>
    <w:rsid w:val="00320273"/>
    <w:rsid w:val="00321715"/>
    <w:rsid w:val="00321836"/>
    <w:rsid w:val="0032190B"/>
    <w:rsid w:val="00321A52"/>
    <w:rsid w:val="00322CB0"/>
    <w:rsid w:val="003231BB"/>
    <w:rsid w:val="003234BB"/>
    <w:rsid w:val="00323A51"/>
    <w:rsid w:val="00324644"/>
    <w:rsid w:val="00324A91"/>
    <w:rsid w:val="00324EE0"/>
    <w:rsid w:val="00325C3A"/>
    <w:rsid w:val="00326122"/>
    <w:rsid w:val="00326C19"/>
    <w:rsid w:val="00326F92"/>
    <w:rsid w:val="00327F7B"/>
    <w:rsid w:val="00330AD8"/>
    <w:rsid w:val="00333151"/>
    <w:rsid w:val="003334D0"/>
    <w:rsid w:val="003340DF"/>
    <w:rsid w:val="00334249"/>
    <w:rsid w:val="00334AC8"/>
    <w:rsid w:val="00334CB2"/>
    <w:rsid w:val="003356E0"/>
    <w:rsid w:val="00335F8E"/>
    <w:rsid w:val="00336BB6"/>
    <w:rsid w:val="003377D4"/>
    <w:rsid w:val="003377E6"/>
    <w:rsid w:val="00337AF2"/>
    <w:rsid w:val="00337C7B"/>
    <w:rsid w:val="00340456"/>
    <w:rsid w:val="00340E7E"/>
    <w:rsid w:val="003412EF"/>
    <w:rsid w:val="00342894"/>
    <w:rsid w:val="0034309C"/>
    <w:rsid w:val="0034392B"/>
    <w:rsid w:val="00344B57"/>
    <w:rsid w:val="003454BE"/>
    <w:rsid w:val="00346208"/>
    <w:rsid w:val="00346543"/>
    <w:rsid w:val="00347166"/>
    <w:rsid w:val="003478E0"/>
    <w:rsid w:val="00352046"/>
    <w:rsid w:val="00352363"/>
    <w:rsid w:val="00352626"/>
    <w:rsid w:val="0035293F"/>
    <w:rsid w:val="00352D4C"/>
    <w:rsid w:val="0035324B"/>
    <w:rsid w:val="00353343"/>
    <w:rsid w:val="0035500A"/>
    <w:rsid w:val="00355216"/>
    <w:rsid w:val="00355ACE"/>
    <w:rsid w:val="00356127"/>
    <w:rsid w:val="00356215"/>
    <w:rsid w:val="00356618"/>
    <w:rsid w:val="0035730F"/>
    <w:rsid w:val="00357F6F"/>
    <w:rsid w:val="003608A6"/>
    <w:rsid w:val="00361A1F"/>
    <w:rsid w:val="0036238B"/>
    <w:rsid w:val="003629D5"/>
    <w:rsid w:val="003631C8"/>
    <w:rsid w:val="00363743"/>
    <w:rsid w:val="00363E10"/>
    <w:rsid w:val="00364397"/>
    <w:rsid w:val="00364753"/>
    <w:rsid w:val="00364A36"/>
    <w:rsid w:val="0036555D"/>
    <w:rsid w:val="00365C65"/>
    <w:rsid w:val="00366687"/>
    <w:rsid w:val="00371546"/>
    <w:rsid w:val="00372326"/>
    <w:rsid w:val="00372635"/>
    <w:rsid w:val="00373B27"/>
    <w:rsid w:val="00373F2D"/>
    <w:rsid w:val="003743A5"/>
    <w:rsid w:val="00374BC1"/>
    <w:rsid w:val="00374EE8"/>
    <w:rsid w:val="00375CA5"/>
    <w:rsid w:val="00375EB8"/>
    <w:rsid w:val="00376191"/>
    <w:rsid w:val="00377FF8"/>
    <w:rsid w:val="00380037"/>
    <w:rsid w:val="003803A1"/>
    <w:rsid w:val="00380AF3"/>
    <w:rsid w:val="00380E24"/>
    <w:rsid w:val="003813B6"/>
    <w:rsid w:val="00381EA9"/>
    <w:rsid w:val="00381F24"/>
    <w:rsid w:val="00382E24"/>
    <w:rsid w:val="0038366C"/>
    <w:rsid w:val="00383815"/>
    <w:rsid w:val="00383B49"/>
    <w:rsid w:val="00383DE2"/>
    <w:rsid w:val="00383E4F"/>
    <w:rsid w:val="00384D8F"/>
    <w:rsid w:val="00385088"/>
    <w:rsid w:val="003851A4"/>
    <w:rsid w:val="003852D5"/>
    <w:rsid w:val="00385360"/>
    <w:rsid w:val="003876CC"/>
    <w:rsid w:val="00387DC6"/>
    <w:rsid w:val="00390BF3"/>
    <w:rsid w:val="00390C2D"/>
    <w:rsid w:val="003912F1"/>
    <w:rsid w:val="00392033"/>
    <w:rsid w:val="0039252D"/>
    <w:rsid w:val="003926AF"/>
    <w:rsid w:val="00392A2B"/>
    <w:rsid w:val="00393D4E"/>
    <w:rsid w:val="00394C4B"/>
    <w:rsid w:val="00395298"/>
    <w:rsid w:val="00396391"/>
    <w:rsid w:val="003964CF"/>
    <w:rsid w:val="00396D2D"/>
    <w:rsid w:val="00397C45"/>
    <w:rsid w:val="003A0A5D"/>
    <w:rsid w:val="003A0DE4"/>
    <w:rsid w:val="003A43DC"/>
    <w:rsid w:val="003A47D7"/>
    <w:rsid w:val="003A593D"/>
    <w:rsid w:val="003A5B3F"/>
    <w:rsid w:val="003A671B"/>
    <w:rsid w:val="003A76C7"/>
    <w:rsid w:val="003A7DFF"/>
    <w:rsid w:val="003B001A"/>
    <w:rsid w:val="003B0138"/>
    <w:rsid w:val="003B0AF6"/>
    <w:rsid w:val="003B124B"/>
    <w:rsid w:val="003B1C64"/>
    <w:rsid w:val="003B1E61"/>
    <w:rsid w:val="003B2C13"/>
    <w:rsid w:val="003B3DFB"/>
    <w:rsid w:val="003B41E6"/>
    <w:rsid w:val="003B4861"/>
    <w:rsid w:val="003B4C55"/>
    <w:rsid w:val="003B547D"/>
    <w:rsid w:val="003B54BD"/>
    <w:rsid w:val="003B6A32"/>
    <w:rsid w:val="003B6EEA"/>
    <w:rsid w:val="003B7644"/>
    <w:rsid w:val="003C1D95"/>
    <w:rsid w:val="003C28E9"/>
    <w:rsid w:val="003C326B"/>
    <w:rsid w:val="003C3AB6"/>
    <w:rsid w:val="003C41D8"/>
    <w:rsid w:val="003C55DF"/>
    <w:rsid w:val="003C5A51"/>
    <w:rsid w:val="003C5B63"/>
    <w:rsid w:val="003C5D9E"/>
    <w:rsid w:val="003C66BC"/>
    <w:rsid w:val="003D0BEA"/>
    <w:rsid w:val="003D0C37"/>
    <w:rsid w:val="003D0C44"/>
    <w:rsid w:val="003D1423"/>
    <w:rsid w:val="003D1DBC"/>
    <w:rsid w:val="003D20DF"/>
    <w:rsid w:val="003D22FE"/>
    <w:rsid w:val="003D28C1"/>
    <w:rsid w:val="003D29E9"/>
    <w:rsid w:val="003D2DB5"/>
    <w:rsid w:val="003D3850"/>
    <w:rsid w:val="003D43F8"/>
    <w:rsid w:val="003D44DB"/>
    <w:rsid w:val="003D45F0"/>
    <w:rsid w:val="003D474B"/>
    <w:rsid w:val="003D48D8"/>
    <w:rsid w:val="003D4BF1"/>
    <w:rsid w:val="003D4CF2"/>
    <w:rsid w:val="003D4E24"/>
    <w:rsid w:val="003D526A"/>
    <w:rsid w:val="003D671A"/>
    <w:rsid w:val="003D7BBE"/>
    <w:rsid w:val="003E06C5"/>
    <w:rsid w:val="003E1278"/>
    <w:rsid w:val="003E1279"/>
    <w:rsid w:val="003E12F5"/>
    <w:rsid w:val="003E190C"/>
    <w:rsid w:val="003E20DC"/>
    <w:rsid w:val="003E2ECC"/>
    <w:rsid w:val="003E37B6"/>
    <w:rsid w:val="003E441B"/>
    <w:rsid w:val="003E6708"/>
    <w:rsid w:val="003E6A1A"/>
    <w:rsid w:val="003E750E"/>
    <w:rsid w:val="003E7814"/>
    <w:rsid w:val="003F0307"/>
    <w:rsid w:val="003F0816"/>
    <w:rsid w:val="003F146F"/>
    <w:rsid w:val="003F1CCD"/>
    <w:rsid w:val="003F237E"/>
    <w:rsid w:val="003F29B8"/>
    <w:rsid w:val="003F2D23"/>
    <w:rsid w:val="003F3DEA"/>
    <w:rsid w:val="003F59FE"/>
    <w:rsid w:val="003F64A7"/>
    <w:rsid w:val="003F6C5E"/>
    <w:rsid w:val="003F6CEA"/>
    <w:rsid w:val="003F788C"/>
    <w:rsid w:val="003F7D0E"/>
    <w:rsid w:val="003F7EDC"/>
    <w:rsid w:val="00400771"/>
    <w:rsid w:val="004007C9"/>
    <w:rsid w:val="00400E1E"/>
    <w:rsid w:val="00401135"/>
    <w:rsid w:val="0040249B"/>
    <w:rsid w:val="0040303C"/>
    <w:rsid w:val="00403198"/>
    <w:rsid w:val="0040340E"/>
    <w:rsid w:val="00403641"/>
    <w:rsid w:val="0040403C"/>
    <w:rsid w:val="00404D46"/>
    <w:rsid w:val="00404D78"/>
    <w:rsid w:val="00405A9D"/>
    <w:rsid w:val="00405B43"/>
    <w:rsid w:val="00406309"/>
    <w:rsid w:val="00406CDE"/>
    <w:rsid w:val="004073D6"/>
    <w:rsid w:val="00407A4B"/>
    <w:rsid w:val="00407A93"/>
    <w:rsid w:val="0041023B"/>
    <w:rsid w:val="0041117A"/>
    <w:rsid w:val="0041160C"/>
    <w:rsid w:val="00411F55"/>
    <w:rsid w:val="00412D9B"/>
    <w:rsid w:val="00413094"/>
    <w:rsid w:val="004134A4"/>
    <w:rsid w:val="00414135"/>
    <w:rsid w:val="00414A6E"/>
    <w:rsid w:val="00416C9C"/>
    <w:rsid w:val="00416DC9"/>
    <w:rsid w:val="00420188"/>
    <w:rsid w:val="0042019E"/>
    <w:rsid w:val="004207F3"/>
    <w:rsid w:val="00420988"/>
    <w:rsid w:val="00420CD9"/>
    <w:rsid w:val="00421C8F"/>
    <w:rsid w:val="00421E82"/>
    <w:rsid w:val="00422431"/>
    <w:rsid w:val="004234BD"/>
    <w:rsid w:val="00424377"/>
    <w:rsid w:val="004250B7"/>
    <w:rsid w:val="00425290"/>
    <w:rsid w:val="00425C88"/>
    <w:rsid w:val="00425E18"/>
    <w:rsid w:val="00426403"/>
    <w:rsid w:val="00426BA4"/>
    <w:rsid w:val="00427CA4"/>
    <w:rsid w:val="00427CE4"/>
    <w:rsid w:val="00427E03"/>
    <w:rsid w:val="004307B5"/>
    <w:rsid w:val="00430DB7"/>
    <w:rsid w:val="00430FE1"/>
    <w:rsid w:val="004330F7"/>
    <w:rsid w:val="00433142"/>
    <w:rsid w:val="004335EA"/>
    <w:rsid w:val="00433694"/>
    <w:rsid w:val="00433DB3"/>
    <w:rsid w:val="00434563"/>
    <w:rsid w:val="00434DEA"/>
    <w:rsid w:val="00434E8F"/>
    <w:rsid w:val="00434F74"/>
    <w:rsid w:val="00436813"/>
    <w:rsid w:val="00436C88"/>
    <w:rsid w:val="00436FA0"/>
    <w:rsid w:val="00437BF6"/>
    <w:rsid w:val="00440227"/>
    <w:rsid w:val="004405ED"/>
    <w:rsid w:val="00440B10"/>
    <w:rsid w:val="00441241"/>
    <w:rsid w:val="00442657"/>
    <w:rsid w:val="00442A4F"/>
    <w:rsid w:val="00442B8C"/>
    <w:rsid w:val="00443607"/>
    <w:rsid w:val="00443846"/>
    <w:rsid w:val="00443C41"/>
    <w:rsid w:val="004451B5"/>
    <w:rsid w:val="00445703"/>
    <w:rsid w:val="00446424"/>
    <w:rsid w:val="004464FF"/>
    <w:rsid w:val="004515CA"/>
    <w:rsid w:val="0045162B"/>
    <w:rsid w:val="0045353A"/>
    <w:rsid w:val="00453821"/>
    <w:rsid w:val="00453EB6"/>
    <w:rsid w:val="00454622"/>
    <w:rsid w:val="004549B6"/>
    <w:rsid w:val="00455854"/>
    <w:rsid w:val="00455855"/>
    <w:rsid w:val="004565E0"/>
    <w:rsid w:val="004566B9"/>
    <w:rsid w:val="00456EDB"/>
    <w:rsid w:val="00460934"/>
    <w:rsid w:val="00461275"/>
    <w:rsid w:val="00461656"/>
    <w:rsid w:val="00462319"/>
    <w:rsid w:val="00462881"/>
    <w:rsid w:val="00462DFD"/>
    <w:rsid w:val="00463133"/>
    <w:rsid w:val="00464458"/>
    <w:rsid w:val="0046546A"/>
    <w:rsid w:val="00466EF3"/>
    <w:rsid w:val="00467ED5"/>
    <w:rsid w:val="004711B8"/>
    <w:rsid w:val="00471AF8"/>
    <w:rsid w:val="00472CEE"/>
    <w:rsid w:val="00472DD6"/>
    <w:rsid w:val="0047395C"/>
    <w:rsid w:val="00473F1E"/>
    <w:rsid w:val="00474487"/>
    <w:rsid w:val="004747AC"/>
    <w:rsid w:val="00474C3D"/>
    <w:rsid w:val="0047612E"/>
    <w:rsid w:val="00476545"/>
    <w:rsid w:val="00476ABD"/>
    <w:rsid w:val="00476E5C"/>
    <w:rsid w:val="004774AE"/>
    <w:rsid w:val="00477912"/>
    <w:rsid w:val="00480EBA"/>
    <w:rsid w:val="00481CE0"/>
    <w:rsid w:val="0048250C"/>
    <w:rsid w:val="00482941"/>
    <w:rsid w:val="00483814"/>
    <w:rsid w:val="00483AFA"/>
    <w:rsid w:val="0048412A"/>
    <w:rsid w:val="0048428E"/>
    <w:rsid w:val="00484551"/>
    <w:rsid w:val="00484DD3"/>
    <w:rsid w:val="00485D1B"/>
    <w:rsid w:val="004868CE"/>
    <w:rsid w:val="00487FF0"/>
    <w:rsid w:val="004906DC"/>
    <w:rsid w:val="0049156B"/>
    <w:rsid w:val="00491764"/>
    <w:rsid w:val="004917CF"/>
    <w:rsid w:val="004929BC"/>
    <w:rsid w:val="0049351D"/>
    <w:rsid w:val="00493871"/>
    <w:rsid w:val="0049475E"/>
    <w:rsid w:val="00494F8E"/>
    <w:rsid w:val="00495255"/>
    <w:rsid w:val="00497712"/>
    <w:rsid w:val="004A017C"/>
    <w:rsid w:val="004A070A"/>
    <w:rsid w:val="004A2149"/>
    <w:rsid w:val="004A3925"/>
    <w:rsid w:val="004A40E9"/>
    <w:rsid w:val="004A4E9F"/>
    <w:rsid w:val="004A593F"/>
    <w:rsid w:val="004A61AA"/>
    <w:rsid w:val="004A620A"/>
    <w:rsid w:val="004A6857"/>
    <w:rsid w:val="004A6D4E"/>
    <w:rsid w:val="004A6F18"/>
    <w:rsid w:val="004A7544"/>
    <w:rsid w:val="004A7B9C"/>
    <w:rsid w:val="004B01E8"/>
    <w:rsid w:val="004B0279"/>
    <w:rsid w:val="004B1263"/>
    <w:rsid w:val="004B2733"/>
    <w:rsid w:val="004B2885"/>
    <w:rsid w:val="004B29E9"/>
    <w:rsid w:val="004B2F5F"/>
    <w:rsid w:val="004B3168"/>
    <w:rsid w:val="004B3290"/>
    <w:rsid w:val="004B3A84"/>
    <w:rsid w:val="004B3F5A"/>
    <w:rsid w:val="004B425F"/>
    <w:rsid w:val="004B49C7"/>
    <w:rsid w:val="004B4E12"/>
    <w:rsid w:val="004B547C"/>
    <w:rsid w:val="004B6C5D"/>
    <w:rsid w:val="004B7B19"/>
    <w:rsid w:val="004C0381"/>
    <w:rsid w:val="004C04CB"/>
    <w:rsid w:val="004C0D3F"/>
    <w:rsid w:val="004C0DF1"/>
    <w:rsid w:val="004C17E6"/>
    <w:rsid w:val="004C239D"/>
    <w:rsid w:val="004C249D"/>
    <w:rsid w:val="004C3704"/>
    <w:rsid w:val="004C45C1"/>
    <w:rsid w:val="004C4639"/>
    <w:rsid w:val="004C5AE5"/>
    <w:rsid w:val="004C6976"/>
    <w:rsid w:val="004D0928"/>
    <w:rsid w:val="004D0F88"/>
    <w:rsid w:val="004D10A5"/>
    <w:rsid w:val="004D1A50"/>
    <w:rsid w:val="004D1DD1"/>
    <w:rsid w:val="004D2C2E"/>
    <w:rsid w:val="004D3CFB"/>
    <w:rsid w:val="004D51D3"/>
    <w:rsid w:val="004D53A6"/>
    <w:rsid w:val="004D6632"/>
    <w:rsid w:val="004D695B"/>
    <w:rsid w:val="004D7577"/>
    <w:rsid w:val="004D7ADC"/>
    <w:rsid w:val="004D7CDC"/>
    <w:rsid w:val="004E069C"/>
    <w:rsid w:val="004E06F2"/>
    <w:rsid w:val="004E1065"/>
    <w:rsid w:val="004E1557"/>
    <w:rsid w:val="004E1ED2"/>
    <w:rsid w:val="004E2D10"/>
    <w:rsid w:val="004E4252"/>
    <w:rsid w:val="004E49FE"/>
    <w:rsid w:val="004E4AAB"/>
    <w:rsid w:val="004E5C0A"/>
    <w:rsid w:val="004E6426"/>
    <w:rsid w:val="004E684C"/>
    <w:rsid w:val="004E6B9A"/>
    <w:rsid w:val="004E7D89"/>
    <w:rsid w:val="004F1542"/>
    <w:rsid w:val="004F1F12"/>
    <w:rsid w:val="004F2209"/>
    <w:rsid w:val="004F23B0"/>
    <w:rsid w:val="004F2B5E"/>
    <w:rsid w:val="004F326C"/>
    <w:rsid w:val="004F398A"/>
    <w:rsid w:val="004F3A22"/>
    <w:rsid w:val="004F6B1C"/>
    <w:rsid w:val="004F7638"/>
    <w:rsid w:val="004F798A"/>
    <w:rsid w:val="00500576"/>
    <w:rsid w:val="00502240"/>
    <w:rsid w:val="0050273C"/>
    <w:rsid w:val="00502960"/>
    <w:rsid w:val="005032BB"/>
    <w:rsid w:val="00503334"/>
    <w:rsid w:val="00503E2F"/>
    <w:rsid w:val="0050455A"/>
    <w:rsid w:val="00504EB0"/>
    <w:rsid w:val="00505145"/>
    <w:rsid w:val="00505C04"/>
    <w:rsid w:val="005062AC"/>
    <w:rsid w:val="005063DB"/>
    <w:rsid w:val="0050682D"/>
    <w:rsid w:val="00506929"/>
    <w:rsid w:val="0050717A"/>
    <w:rsid w:val="0050766E"/>
    <w:rsid w:val="00510F97"/>
    <w:rsid w:val="0051151E"/>
    <w:rsid w:val="00511CC3"/>
    <w:rsid w:val="00511CFC"/>
    <w:rsid w:val="005128E6"/>
    <w:rsid w:val="00512C60"/>
    <w:rsid w:val="005132C1"/>
    <w:rsid w:val="005136D0"/>
    <w:rsid w:val="0051416E"/>
    <w:rsid w:val="005151E6"/>
    <w:rsid w:val="005153AB"/>
    <w:rsid w:val="00515DCB"/>
    <w:rsid w:val="00520865"/>
    <w:rsid w:val="00520EC9"/>
    <w:rsid w:val="00520F32"/>
    <w:rsid w:val="00521A67"/>
    <w:rsid w:val="00522FF0"/>
    <w:rsid w:val="0052330E"/>
    <w:rsid w:val="00523CDE"/>
    <w:rsid w:val="00524623"/>
    <w:rsid w:val="0052564E"/>
    <w:rsid w:val="00526554"/>
    <w:rsid w:val="005273A3"/>
    <w:rsid w:val="005309D9"/>
    <w:rsid w:val="00530AE8"/>
    <w:rsid w:val="005313A3"/>
    <w:rsid w:val="00531E19"/>
    <w:rsid w:val="005323CE"/>
    <w:rsid w:val="005331B7"/>
    <w:rsid w:val="00534832"/>
    <w:rsid w:val="00534949"/>
    <w:rsid w:val="00534EEC"/>
    <w:rsid w:val="00535053"/>
    <w:rsid w:val="0053517D"/>
    <w:rsid w:val="00535890"/>
    <w:rsid w:val="00536451"/>
    <w:rsid w:val="00537A9B"/>
    <w:rsid w:val="005408DA"/>
    <w:rsid w:val="00540C4E"/>
    <w:rsid w:val="00540E94"/>
    <w:rsid w:val="00541248"/>
    <w:rsid w:val="005414BB"/>
    <w:rsid w:val="00542693"/>
    <w:rsid w:val="0054296B"/>
    <w:rsid w:val="005442D3"/>
    <w:rsid w:val="005458B6"/>
    <w:rsid w:val="005459B8"/>
    <w:rsid w:val="00545FED"/>
    <w:rsid w:val="0054646E"/>
    <w:rsid w:val="005465B4"/>
    <w:rsid w:val="0054722F"/>
    <w:rsid w:val="005476CA"/>
    <w:rsid w:val="00547FBF"/>
    <w:rsid w:val="00550509"/>
    <w:rsid w:val="00550AD5"/>
    <w:rsid w:val="00553968"/>
    <w:rsid w:val="005551A8"/>
    <w:rsid w:val="00556488"/>
    <w:rsid w:val="005564FB"/>
    <w:rsid w:val="00556864"/>
    <w:rsid w:val="005568C4"/>
    <w:rsid w:val="005573B3"/>
    <w:rsid w:val="00557DFA"/>
    <w:rsid w:val="00560B2C"/>
    <w:rsid w:val="0056179F"/>
    <w:rsid w:val="005623BA"/>
    <w:rsid w:val="00563909"/>
    <w:rsid w:val="00564CB8"/>
    <w:rsid w:val="00565265"/>
    <w:rsid w:val="00565A3E"/>
    <w:rsid w:val="00567658"/>
    <w:rsid w:val="00567AF8"/>
    <w:rsid w:val="0057038C"/>
    <w:rsid w:val="005704BE"/>
    <w:rsid w:val="0057078B"/>
    <w:rsid w:val="00570964"/>
    <w:rsid w:val="00570D7B"/>
    <w:rsid w:val="00571469"/>
    <w:rsid w:val="00572A54"/>
    <w:rsid w:val="005736E5"/>
    <w:rsid w:val="00575802"/>
    <w:rsid w:val="00575EA8"/>
    <w:rsid w:val="00576471"/>
    <w:rsid w:val="0057685A"/>
    <w:rsid w:val="005773DC"/>
    <w:rsid w:val="00577ECF"/>
    <w:rsid w:val="0058021C"/>
    <w:rsid w:val="005802A3"/>
    <w:rsid w:val="00580596"/>
    <w:rsid w:val="00580B10"/>
    <w:rsid w:val="005837D7"/>
    <w:rsid w:val="0058407B"/>
    <w:rsid w:val="005842AB"/>
    <w:rsid w:val="00584743"/>
    <w:rsid w:val="005848CB"/>
    <w:rsid w:val="00584981"/>
    <w:rsid w:val="00585409"/>
    <w:rsid w:val="005860E2"/>
    <w:rsid w:val="0058713A"/>
    <w:rsid w:val="0058761E"/>
    <w:rsid w:val="00590E25"/>
    <w:rsid w:val="00590E8D"/>
    <w:rsid w:val="00591AA4"/>
    <w:rsid w:val="00591C55"/>
    <w:rsid w:val="00592669"/>
    <w:rsid w:val="00592BC5"/>
    <w:rsid w:val="0059552F"/>
    <w:rsid w:val="005955CC"/>
    <w:rsid w:val="005957E5"/>
    <w:rsid w:val="005960D3"/>
    <w:rsid w:val="005960E3"/>
    <w:rsid w:val="00596261"/>
    <w:rsid w:val="00596BFE"/>
    <w:rsid w:val="00596D62"/>
    <w:rsid w:val="005973B8"/>
    <w:rsid w:val="00597946"/>
    <w:rsid w:val="00597A7B"/>
    <w:rsid w:val="005A0626"/>
    <w:rsid w:val="005A3AFD"/>
    <w:rsid w:val="005A3BBC"/>
    <w:rsid w:val="005A4228"/>
    <w:rsid w:val="005A4B13"/>
    <w:rsid w:val="005A4E93"/>
    <w:rsid w:val="005A523D"/>
    <w:rsid w:val="005A5576"/>
    <w:rsid w:val="005A5763"/>
    <w:rsid w:val="005A5939"/>
    <w:rsid w:val="005A6736"/>
    <w:rsid w:val="005A71BE"/>
    <w:rsid w:val="005A75A6"/>
    <w:rsid w:val="005B02A2"/>
    <w:rsid w:val="005B052F"/>
    <w:rsid w:val="005B118C"/>
    <w:rsid w:val="005B22D4"/>
    <w:rsid w:val="005B23A9"/>
    <w:rsid w:val="005B2744"/>
    <w:rsid w:val="005B29A8"/>
    <w:rsid w:val="005B29B5"/>
    <w:rsid w:val="005B30C0"/>
    <w:rsid w:val="005B331C"/>
    <w:rsid w:val="005B472A"/>
    <w:rsid w:val="005B4B31"/>
    <w:rsid w:val="005B5724"/>
    <w:rsid w:val="005B62E6"/>
    <w:rsid w:val="005B63BB"/>
    <w:rsid w:val="005B6AE8"/>
    <w:rsid w:val="005B6D77"/>
    <w:rsid w:val="005B6E42"/>
    <w:rsid w:val="005B753D"/>
    <w:rsid w:val="005B789A"/>
    <w:rsid w:val="005C07E2"/>
    <w:rsid w:val="005C0BBF"/>
    <w:rsid w:val="005C1B03"/>
    <w:rsid w:val="005C3209"/>
    <w:rsid w:val="005C413A"/>
    <w:rsid w:val="005C442F"/>
    <w:rsid w:val="005C50A1"/>
    <w:rsid w:val="005C5D3E"/>
    <w:rsid w:val="005C62A5"/>
    <w:rsid w:val="005C65F4"/>
    <w:rsid w:val="005D06C3"/>
    <w:rsid w:val="005D12EF"/>
    <w:rsid w:val="005D131D"/>
    <w:rsid w:val="005D1A14"/>
    <w:rsid w:val="005D1AF2"/>
    <w:rsid w:val="005D317A"/>
    <w:rsid w:val="005D352E"/>
    <w:rsid w:val="005D364E"/>
    <w:rsid w:val="005D3843"/>
    <w:rsid w:val="005D427C"/>
    <w:rsid w:val="005D4AD2"/>
    <w:rsid w:val="005D5199"/>
    <w:rsid w:val="005D57EC"/>
    <w:rsid w:val="005D5F24"/>
    <w:rsid w:val="005D5F4B"/>
    <w:rsid w:val="005D662F"/>
    <w:rsid w:val="005E0AFF"/>
    <w:rsid w:val="005E0DD1"/>
    <w:rsid w:val="005E11EF"/>
    <w:rsid w:val="005E13F8"/>
    <w:rsid w:val="005E3146"/>
    <w:rsid w:val="005E3265"/>
    <w:rsid w:val="005E32BF"/>
    <w:rsid w:val="005E3704"/>
    <w:rsid w:val="005E3E07"/>
    <w:rsid w:val="005E468E"/>
    <w:rsid w:val="005E49C7"/>
    <w:rsid w:val="005E4BAD"/>
    <w:rsid w:val="005E5BD0"/>
    <w:rsid w:val="005E6001"/>
    <w:rsid w:val="005E60D8"/>
    <w:rsid w:val="005E6BE5"/>
    <w:rsid w:val="005E777B"/>
    <w:rsid w:val="005F034D"/>
    <w:rsid w:val="005F039B"/>
    <w:rsid w:val="005F068F"/>
    <w:rsid w:val="005F07A8"/>
    <w:rsid w:val="005F09EC"/>
    <w:rsid w:val="005F1507"/>
    <w:rsid w:val="005F1677"/>
    <w:rsid w:val="005F233C"/>
    <w:rsid w:val="005F24D1"/>
    <w:rsid w:val="005F2582"/>
    <w:rsid w:val="005F2815"/>
    <w:rsid w:val="005F3049"/>
    <w:rsid w:val="005F315B"/>
    <w:rsid w:val="005F325B"/>
    <w:rsid w:val="005F350F"/>
    <w:rsid w:val="005F3F93"/>
    <w:rsid w:val="005F428D"/>
    <w:rsid w:val="005F42F4"/>
    <w:rsid w:val="005F495D"/>
    <w:rsid w:val="005F5B43"/>
    <w:rsid w:val="005F6077"/>
    <w:rsid w:val="005F6476"/>
    <w:rsid w:val="005F79FF"/>
    <w:rsid w:val="005F7B6A"/>
    <w:rsid w:val="005F7C0B"/>
    <w:rsid w:val="00600EE8"/>
    <w:rsid w:val="00600FE4"/>
    <w:rsid w:val="00601083"/>
    <w:rsid w:val="006023D3"/>
    <w:rsid w:val="006027AE"/>
    <w:rsid w:val="00602AC6"/>
    <w:rsid w:val="006034EF"/>
    <w:rsid w:val="00603554"/>
    <w:rsid w:val="00603BD3"/>
    <w:rsid w:val="0060430E"/>
    <w:rsid w:val="006043B5"/>
    <w:rsid w:val="00604E59"/>
    <w:rsid w:val="006059FB"/>
    <w:rsid w:val="00605F16"/>
    <w:rsid w:val="00610260"/>
    <w:rsid w:val="006103BE"/>
    <w:rsid w:val="006106D6"/>
    <w:rsid w:val="00611B66"/>
    <w:rsid w:val="00611BBA"/>
    <w:rsid w:val="00612229"/>
    <w:rsid w:val="006134D4"/>
    <w:rsid w:val="00614DE2"/>
    <w:rsid w:val="00615536"/>
    <w:rsid w:val="00615DDE"/>
    <w:rsid w:val="00615E3D"/>
    <w:rsid w:val="00616706"/>
    <w:rsid w:val="00616BA9"/>
    <w:rsid w:val="00616D0F"/>
    <w:rsid w:val="006170B5"/>
    <w:rsid w:val="0061784C"/>
    <w:rsid w:val="006216FA"/>
    <w:rsid w:val="00622717"/>
    <w:rsid w:val="00622B42"/>
    <w:rsid w:val="006243A8"/>
    <w:rsid w:val="006245BE"/>
    <w:rsid w:val="006246AC"/>
    <w:rsid w:val="00624AF9"/>
    <w:rsid w:val="00624C85"/>
    <w:rsid w:val="00625728"/>
    <w:rsid w:val="00625A88"/>
    <w:rsid w:val="0062638F"/>
    <w:rsid w:val="006268B0"/>
    <w:rsid w:val="00626A3A"/>
    <w:rsid w:val="00627079"/>
    <w:rsid w:val="0062748C"/>
    <w:rsid w:val="00627CEB"/>
    <w:rsid w:val="0063053B"/>
    <w:rsid w:val="00630954"/>
    <w:rsid w:val="00630BC1"/>
    <w:rsid w:val="00631740"/>
    <w:rsid w:val="00632F79"/>
    <w:rsid w:val="006330D2"/>
    <w:rsid w:val="00633EA5"/>
    <w:rsid w:val="006352DF"/>
    <w:rsid w:val="006370AE"/>
    <w:rsid w:val="00637442"/>
    <w:rsid w:val="00637E88"/>
    <w:rsid w:val="0064034B"/>
    <w:rsid w:val="00640566"/>
    <w:rsid w:val="00640BB6"/>
    <w:rsid w:val="00640CC8"/>
    <w:rsid w:val="00640E5D"/>
    <w:rsid w:val="00640FC7"/>
    <w:rsid w:val="0064127D"/>
    <w:rsid w:val="00644003"/>
    <w:rsid w:val="0064431D"/>
    <w:rsid w:val="00645BBA"/>
    <w:rsid w:val="0064684F"/>
    <w:rsid w:val="006470D0"/>
    <w:rsid w:val="00651CBC"/>
    <w:rsid w:val="00651ED1"/>
    <w:rsid w:val="00652E3D"/>
    <w:rsid w:val="00654BB0"/>
    <w:rsid w:val="00655EFD"/>
    <w:rsid w:val="00655FF7"/>
    <w:rsid w:val="0065622C"/>
    <w:rsid w:val="006564B4"/>
    <w:rsid w:val="00656589"/>
    <w:rsid w:val="0065777A"/>
    <w:rsid w:val="006603B5"/>
    <w:rsid w:val="00660A90"/>
    <w:rsid w:val="006617E8"/>
    <w:rsid w:val="00661D12"/>
    <w:rsid w:val="00661E2E"/>
    <w:rsid w:val="00662DF0"/>
    <w:rsid w:val="00663B9C"/>
    <w:rsid w:val="00663BE6"/>
    <w:rsid w:val="00664025"/>
    <w:rsid w:val="006648B8"/>
    <w:rsid w:val="00664B95"/>
    <w:rsid w:val="0066597D"/>
    <w:rsid w:val="006660FF"/>
    <w:rsid w:val="006662EA"/>
    <w:rsid w:val="0066719C"/>
    <w:rsid w:val="00667F79"/>
    <w:rsid w:val="00667F83"/>
    <w:rsid w:val="00670334"/>
    <w:rsid w:val="00670685"/>
    <w:rsid w:val="0067103F"/>
    <w:rsid w:val="00671499"/>
    <w:rsid w:val="006719F6"/>
    <w:rsid w:val="006720A4"/>
    <w:rsid w:val="00673436"/>
    <w:rsid w:val="00673466"/>
    <w:rsid w:val="0067379F"/>
    <w:rsid w:val="00673999"/>
    <w:rsid w:val="0067465B"/>
    <w:rsid w:val="00675764"/>
    <w:rsid w:val="006764F3"/>
    <w:rsid w:val="006769E8"/>
    <w:rsid w:val="0067767E"/>
    <w:rsid w:val="0068062D"/>
    <w:rsid w:val="00680B63"/>
    <w:rsid w:val="00681145"/>
    <w:rsid w:val="006814E2"/>
    <w:rsid w:val="006820A8"/>
    <w:rsid w:val="00682485"/>
    <w:rsid w:val="006825AF"/>
    <w:rsid w:val="00682E84"/>
    <w:rsid w:val="0068332E"/>
    <w:rsid w:val="00683697"/>
    <w:rsid w:val="00683D27"/>
    <w:rsid w:val="006845AB"/>
    <w:rsid w:val="006852E1"/>
    <w:rsid w:val="00685877"/>
    <w:rsid w:val="00685FC8"/>
    <w:rsid w:val="0068733A"/>
    <w:rsid w:val="00687B97"/>
    <w:rsid w:val="00687D6A"/>
    <w:rsid w:val="0069103D"/>
    <w:rsid w:val="00691527"/>
    <w:rsid w:val="00691A6B"/>
    <w:rsid w:val="00691EAB"/>
    <w:rsid w:val="00692B1F"/>
    <w:rsid w:val="00694252"/>
    <w:rsid w:val="00694BBA"/>
    <w:rsid w:val="006958FA"/>
    <w:rsid w:val="00695F0C"/>
    <w:rsid w:val="00696862"/>
    <w:rsid w:val="00697EF2"/>
    <w:rsid w:val="006A0EBC"/>
    <w:rsid w:val="006A170E"/>
    <w:rsid w:val="006A2434"/>
    <w:rsid w:val="006A4CF4"/>
    <w:rsid w:val="006A5CF3"/>
    <w:rsid w:val="006A6111"/>
    <w:rsid w:val="006A6F3A"/>
    <w:rsid w:val="006A75EC"/>
    <w:rsid w:val="006A76EA"/>
    <w:rsid w:val="006B0E15"/>
    <w:rsid w:val="006B17D1"/>
    <w:rsid w:val="006B454A"/>
    <w:rsid w:val="006B5743"/>
    <w:rsid w:val="006B61A5"/>
    <w:rsid w:val="006B61B8"/>
    <w:rsid w:val="006B6BC8"/>
    <w:rsid w:val="006B7161"/>
    <w:rsid w:val="006B741E"/>
    <w:rsid w:val="006B75EA"/>
    <w:rsid w:val="006B76F1"/>
    <w:rsid w:val="006B7898"/>
    <w:rsid w:val="006C131D"/>
    <w:rsid w:val="006C17AF"/>
    <w:rsid w:val="006C17C1"/>
    <w:rsid w:val="006C2FDA"/>
    <w:rsid w:val="006C3440"/>
    <w:rsid w:val="006C4A91"/>
    <w:rsid w:val="006C5FCD"/>
    <w:rsid w:val="006C61CB"/>
    <w:rsid w:val="006C657C"/>
    <w:rsid w:val="006C69A8"/>
    <w:rsid w:val="006C6A12"/>
    <w:rsid w:val="006C6C28"/>
    <w:rsid w:val="006C6E32"/>
    <w:rsid w:val="006D0281"/>
    <w:rsid w:val="006D065F"/>
    <w:rsid w:val="006D1EA5"/>
    <w:rsid w:val="006D20E2"/>
    <w:rsid w:val="006D281E"/>
    <w:rsid w:val="006D296F"/>
    <w:rsid w:val="006D315B"/>
    <w:rsid w:val="006D380A"/>
    <w:rsid w:val="006D3F8F"/>
    <w:rsid w:val="006D4152"/>
    <w:rsid w:val="006D4741"/>
    <w:rsid w:val="006D5048"/>
    <w:rsid w:val="006D5654"/>
    <w:rsid w:val="006D5882"/>
    <w:rsid w:val="006D630A"/>
    <w:rsid w:val="006D7521"/>
    <w:rsid w:val="006E022A"/>
    <w:rsid w:val="006E04C2"/>
    <w:rsid w:val="006E04FF"/>
    <w:rsid w:val="006E0E71"/>
    <w:rsid w:val="006E2313"/>
    <w:rsid w:val="006E25E6"/>
    <w:rsid w:val="006E35A4"/>
    <w:rsid w:val="006E3A55"/>
    <w:rsid w:val="006E40F0"/>
    <w:rsid w:val="006E56E2"/>
    <w:rsid w:val="006E5CCF"/>
    <w:rsid w:val="006E6257"/>
    <w:rsid w:val="006E6D72"/>
    <w:rsid w:val="006F01EE"/>
    <w:rsid w:val="006F0575"/>
    <w:rsid w:val="006F087A"/>
    <w:rsid w:val="006F11B4"/>
    <w:rsid w:val="006F14E3"/>
    <w:rsid w:val="006F15EE"/>
    <w:rsid w:val="006F1964"/>
    <w:rsid w:val="006F2AA6"/>
    <w:rsid w:val="006F4CFE"/>
    <w:rsid w:val="006F5336"/>
    <w:rsid w:val="006F5904"/>
    <w:rsid w:val="006F5C1A"/>
    <w:rsid w:val="006F64F0"/>
    <w:rsid w:val="006F705A"/>
    <w:rsid w:val="006F7CD1"/>
    <w:rsid w:val="006F7D0B"/>
    <w:rsid w:val="00700688"/>
    <w:rsid w:val="00700F7B"/>
    <w:rsid w:val="00703060"/>
    <w:rsid w:val="007050FD"/>
    <w:rsid w:val="007051BD"/>
    <w:rsid w:val="00705E20"/>
    <w:rsid w:val="00706B8E"/>
    <w:rsid w:val="007071A1"/>
    <w:rsid w:val="00707242"/>
    <w:rsid w:val="007078D2"/>
    <w:rsid w:val="00707B13"/>
    <w:rsid w:val="00711A2A"/>
    <w:rsid w:val="00711BD5"/>
    <w:rsid w:val="0071221C"/>
    <w:rsid w:val="0071230C"/>
    <w:rsid w:val="00712D2D"/>
    <w:rsid w:val="00713719"/>
    <w:rsid w:val="00713878"/>
    <w:rsid w:val="007142F7"/>
    <w:rsid w:val="007144FE"/>
    <w:rsid w:val="00715215"/>
    <w:rsid w:val="00717260"/>
    <w:rsid w:val="007219D9"/>
    <w:rsid w:val="00721D6B"/>
    <w:rsid w:val="00721E7E"/>
    <w:rsid w:val="00722D6A"/>
    <w:rsid w:val="00722DE4"/>
    <w:rsid w:val="0072337B"/>
    <w:rsid w:val="00723C85"/>
    <w:rsid w:val="0072497F"/>
    <w:rsid w:val="007258E9"/>
    <w:rsid w:val="00725F0A"/>
    <w:rsid w:val="0072779C"/>
    <w:rsid w:val="00730191"/>
    <w:rsid w:val="007306B4"/>
    <w:rsid w:val="0073190C"/>
    <w:rsid w:val="00731B1C"/>
    <w:rsid w:val="00731DA2"/>
    <w:rsid w:val="00732B4B"/>
    <w:rsid w:val="00732E91"/>
    <w:rsid w:val="00732FF5"/>
    <w:rsid w:val="00734FFA"/>
    <w:rsid w:val="0073533A"/>
    <w:rsid w:val="00736C9B"/>
    <w:rsid w:val="00736EEC"/>
    <w:rsid w:val="00736F6D"/>
    <w:rsid w:val="007374F9"/>
    <w:rsid w:val="00737805"/>
    <w:rsid w:val="007379AD"/>
    <w:rsid w:val="00740EA3"/>
    <w:rsid w:val="007415C4"/>
    <w:rsid w:val="0074188B"/>
    <w:rsid w:val="00741CB6"/>
    <w:rsid w:val="007420E0"/>
    <w:rsid w:val="0074265C"/>
    <w:rsid w:val="00743ADF"/>
    <w:rsid w:val="0074497F"/>
    <w:rsid w:val="00744BDB"/>
    <w:rsid w:val="00744E06"/>
    <w:rsid w:val="00745BAB"/>
    <w:rsid w:val="00745E49"/>
    <w:rsid w:val="0074650D"/>
    <w:rsid w:val="00746626"/>
    <w:rsid w:val="00746988"/>
    <w:rsid w:val="0075013D"/>
    <w:rsid w:val="007502F7"/>
    <w:rsid w:val="0075104F"/>
    <w:rsid w:val="007514D8"/>
    <w:rsid w:val="00751AE9"/>
    <w:rsid w:val="00751B65"/>
    <w:rsid w:val="00751C91"/>
    <w:rsid w:val="0075289C"/>
    <w:rsid w:val="00753FB0"/>
    <w:rsid w:val="0075537C"/>
    <w:rsid w:val="007568A0"/>
    <w:rsid w:val="007573C4"/>
    <w:rsid w:val="007575E9"/>
    <w:rsid w:val="00757E6E"/>
    <w:rsid w:val="00760573"/>
    <w:rsid w:val="00761B15"/>
    <w:rsid w:val="007629EA"/>
    <w:rsid w:val="00762C04"/>
    <w:rsid w:val="0076653C"/>
    <w:rsid w:val="0076661B"/>
    <w:rsid w:val="0076777C"/>
    <w:rsid w:val="007677D9"/>
    <w:rsid w:val="007705B8"/>
    <w:rsid w:val="00771EBB"/>
    <w:rsid w:val="00773825"/>
    <w:rsid w:val="007755E6"/>
    <w:rsid w:val="0077561E"/>
    <w:rsid w:val="00775BA4"/>
    <w:rsid w:val="00776A97"/>
    <w:rsid w:val="007775D6"/>
    <w:rsid w:val="00780234"/>
    <w:rsid w:val="00780F6D"/>
    <w:rsid w:val="007816FC"/>
    <w:rsid w:val="00781B12"/>
    <w:rsid w:val="00782224"/>
    <w:rsid w:val="00782C1A"/>
    <w:rsid w:val="00782EB7"/>
    <w:rsid w:val="00783110"/>
    <w:rsid w:val="00783380"/>
    <w:rsid w:val="00783DA0"/>
    <w:rsid w:val="00783F49"/>
    <w:rsid w:val="00784F8B"/>
    <w:rsid w:val="00785449"/>
    <w:rsid w:val="007872F7"/>
    <w:rsid w:val="00790DF9"/>
    <w:rsid w:val="00791578"/>
    <w:rsid w:val="007919F2"/>
    <w:rsid w:val="00791DC8"/>
    <w:rsid w:val="0079266F"/>
    <w:rsid w:val="007926B7"/>
    <w:rsid w:val="00792855"/>
    <w:rsid w:val="0079287C"/>
    <w:rsid w:val="007928D8"/>
    <w:rsid w:val="00792BCD"/>
    <w:rsid w:val="00792C3D"/>
    <w:rsid w:val="00792EC3"/>
    <w:rsid w:val="007934E1"/>
    <w:rsid w:val="0079409D"/>
    <w:rsid w:val="0079419C"/>
    <w:rsid w:val="0079474E"/>
    <w:rsid w:val="0079491B"/>
    <w:rsid w:val="007952F9"/>
    <w:rsid w:val="00795A6B"/>
    <w:rsid w:val="00796F85"/>
    <w:rsid w:val="007A064B"/>
    <w:rsid w:val="007A3D38"/>
    <w:rsid w:val="007A45AD"/>
    <w:rsid w:val="007A5129"/>
    <w:rsid w:val="007A5C85"/>
    <w:rsid w:val="007A5E60"/>
    <w:rsid w:val="007A662C"/>
    <w:rsid w:val="007A684E"/>
    <w:rsid w:val="007A6E2E"/>
    <w:rsid w:val="007B03B2"/>
    <w:rsid w:val="007B03D8"/>
    <w:rsid w:val="007B09C1"/>
    <w:rsid w:val="007B14F2"/>
    <w:rsid w:val="007B1B41"/>
    <w:rsid w:val="007B1B48"/>
    <w:rsid w:val="007B3012"/>
    <w:rsid w:val="007B3255"/>
    <w:rsid w:val="007B3579"/>
    <w:rsid w:val="007B3E18"/>
    <w:rsid w:val="007B56B3"/>
    <w:rsid w:val="007B5BF5"/>
    <w:rsid w:val="007B644B"/>
    <w:rsid w:val="007B6676"/>
    <w:rsid w:val="007B6DB4"/>
    <w:rsid w:val="007B6FB0"/>
    <w:rsid w:val="007B7567"/>
    <w:rsid w:val="007B79D4"/>
    <w:rsid w:val="007C000C"/>
    <w:rsid w:val="007C046B"/>
    <w:rsid w:val="007C0782"/>
    <w:rsid w:val="007C2EC4"/>
    <w:rsid w:val="007C3375"/>
    <w:rsid w:val="007C4653"/>
    <w:rsid w:val="007C46BD"/>
    <w:rsid w:val="007C4A20"/>
    <w:rsid w:val="007C5524"/>
    <w:rsid w:val="007C61F7"/>
    <w:rsid w:val="007C6272"/>
    <w:rsid w:val="007C746B"/>
    <w:rsid w:val="007C7867"/>
    <w:rsid w:val="007D0160"/>
    <w:rsid w:val="007D0901"/>
    <w:rsid w:val="007D091F"/>
    <w:rsid w:val="007D0A11"/>
    <w:rsid w:val="007D0A56"/>
    <w:rsid w:val="007D1240"/>
    <w:rsid w:val="007D1279"/>
    <w:rsid w:val="007D20D8"/>
    <w:rsid w:val="007D23E1"/>
    <w:rsid w:val="007D267C"/>
    <w:rsid w:val="007D26BC"/>
    <w:rsid w:val="007D2889"/>
    <w:rsid w:val="007D37B0"/>
    <w:rsid w:val="007D3C02"/>
    <w:rsid w:val="007D4FFB"/>
    <w:rsid w:val="007D5A8E"/>
    <w:rsid w:val="007D5AE5"/>
    <w:rsid w:val="007D5DF8"/>
    <w:rsid w:val="007D67A9"/>
    <w:rsid w:val="007D685A"/>
    <w:rsid w:val="007D6EDC"/>
    <w:rsid w:val="007D7F16"/>
    <w:rsid w:val="007E02E9"/>
    <w:rsid w:val="007E1275"/>
    <w:rsid w:val="007E14DC"/>
    <w:rsid w:val="007E15EE"/>
    <w:rsid w:val="007E17C8"/>
    <w:rsid w:val="007E1BBB"/>
    <w:rsid w:val="007E1ECD"/>
    <w:rsid w:val="007E2924"/>
    <w:rsid w:val="007E2CD3"/>
    <w:rsid w:val="007E2FC1"/>
    <w:rsid w:val="007E37DA"/>
    <w:rsid w:val="007E3AB0"/>
    <w:rsid w:val="007E44A8"/>
    <w:rsid w:val="007E4926"/>
    <w:rsid w:val="007E4AAE"/>
    <w:rsid w:val="007E5462"/>
    <w:rsid w:val="007E5D86"/>
    <w:rsid w:val="007E688D"/>
    <w:rsid w:val="007E6AFF"/>
    <w:rsid w:val="007E7135"/>
    <w:rsid w:val="007F0491"/>
    <w:rsid w:val="007F095B"/>
    <w:rsid w:val="007F0FC3"/>
    <w:rsid w:val="007F2400"/>
    <w:rsid w:val="007F260C"/>
    <w:rsid w:val="007F2757"/>
    <w:rsid w:val="007F328F"/>
    <w:rsid w:val="007F514B"/>
    <w:rsid w:val="007F6DB4"/>
    <w:rsid w:val="007F7515"/>
    <w:rsid w:val="007F7577"/>
    <w:rsid w:val="00800093"/>
    <w:rsid w:val="00802B2A"/>
    <w:rsid w:val="008031C3"/>
    <w:rsid w:val="00803B09"/>
    <w:rsid w:val="00803CD9"/>
    <w:rsid w:val="0080405C"/>
    <w:rsid w:val="00804196"/>
    <w:rsid w:val="00804448"/>
    <w:rsid w:val="00804483"/>
    <w:rsid w:val="00804A8E"/>
    <w:rsid w:val="00804B93"/>
    <w:rsid w:val="00804E4A"/>
    <w:rsid w:val="008059B6"/>
    <w:rsid w:val="00805E89"/>
    <w:rsid w:val="008062CF"/>
    <w:rsid w:val="008064BA"/>
    <w:rsid w:val="0080687E"/>
    <w:rsid w:val="008101AC"/>
    <w:rsid w:val="008101C5"/>
    <w:rsid w:val="00812122"/>
    <w:rsid w:val="008121CA"/>
    <w:rsid w:val="00813D26"/>
    <w:rsid w:val="00815D19"/>
    <w:rsid w:val="0081780B"/>
    <w:rsid w:val="00817A98"/>
    <w:rsid w:val="008200AE"/>
    <w:rsid w:val="00820FD5"/>
    <w:rsid w:val="00821906"/>
    <w:rsid w:val="00822019"/>
    <w:rsid w:val="0082227F"/>
    <w:rsid w:val="0082262D"/>
    <w:rsid w:val="00822C4C"/>
    <w:rsid w:val="008231A6"/>
    <w:rsid w:val="008234F4"/>
    <w:rsid w:val="00823576"/>
    <w:rsid w:val="008239F6"/>
    <w:rsid w:val="00823B68"/>
    <w:rsid w:val="00824652"/>
    <w:rsid w:val="0082489A"/>
    <w:rsid w:val="008262BA"/>
    <w:rsid w:val="00826C49"/>
    <w:rsid w:val="008303DB"/>
    <w:rsid w:val="00830EE0"/>
    <w:rsid w:val="00831676"/>
    <w:rsid w:val="00832360"/>
    <w:rsid w:val="00832D83"/>
    <w:rsid w:val="00833914"/>
    <w:rsid w:val="00833F10"/>
    <w:rsid w:val="00835564"/>
    <w:rsid w:val="008362C1"/>
    <w:rsid w:val="0083791C"/>
    <w:rsid w:val="00837E27"/>
    <w:rsid w:val="00840235"/>
    <w:rsid w:val="00840240"/>
    <w:rsid w:val="00840A5F"/>
    <w:rsid w:val="008418D7"/>
    <w:rsid w:val="00841903"/>
    <w:rsid w:val="00841A7E"/>
    <w:rsid w:val="00841ACE"/>
    <w:rsid w:val="008420E7"/>
    <w:rsid w:val="008421ED"/>
    <w:rsid w:val="00842FE4"/>
    <w:rsid w:val="00843C8A"/>
    <w:rsid w:val="008448AC"/>
    <w:rsid w:val="008454C6"/>
    <w:rsid w:val="008466FA"/>
    <w:rsid w:val="0085044F"/>
    <w:rsid w:val="00851B9B"/>
    <w:rsid w:val="00851E54"/>
    <w:rsid w:val="0085234C"/>
    <w:rsid w:val="008526E6"/>
    <w:rsid w:val="0085271B"/>
    <w:rsid w:val="00852F91"/>
    <w:rsid w:val="00853669"/>
    <w:rsid w:val="00853FFC"/>
    <w:rsid w:val="008551F3"/>
    <w:rsid w:val="00856600"/>
    <w:rsid w:val="0085676B"/>
    <w:rsid w:val="0085733D"/>
    <w:rsid w:val="0086021F"/>
    <w:rsid w:val="00861307"/>
    <w:rsid w:val="00861B8B"/>
    <w:rsid w:val="0086207B"/>
    <w:rsid w:val="00862494"/>
    <w:rsid w:val="008628EF"/>
    <w:rsid w:val="00863B97"/>
    <w:rsid w:val="00864448"/>
    <w:rsid w:val="008644FF"/>
    <w:rsid w:val="00864E94"/>
    <w:rsid w:val="00865759"/>
    <w:rsid w:val="00865942"/>
    <w:rsid w:val="0086650B"/>
    <w:rsid w:val="00867047"/>
    <w:rsid w:val="008707B4"/>
    <w:rsid w:val="00870FC5"/>
    <w:rsid w:val="008712CE"/>
    <w:rsid w:val="00871DAE"/>
    <w:rsid w:val="008728DA"/>
    <w:rsid w:val="00872F50"/>
    <w:rsid w:val="00873009"/>
    <w:rsid w:val="008736F9"/>
    <w:rsid w:val="00873D6A"/>
    <w:rsid w:val="008749C0"/>
    <w:rsid w:val="008753E8"/>
    <w:rsid w:val="008754C9"/>
    <w:rsid w:val="00875EA7"/>
    <w:rsid w:val="00876F07"/>
    <w:rsid w:val="00876F34"/>
    <w:rsid w:val="008776F0"/>
    <w:rsid w:val="008776FD"/>
    <w:rsid w:val="00880D6D"/>
    <w:rsid w:val="008810D5"/>
    <w:rsid w:val="008814D8"/>
    <w:rsid w:val="00881C90"/>
    <w:rsid w:val="008833E5"/>
    <w:rsid w:val="00883544"/>
    <w:rsid w:val="008835FC"/>
    <w:rsid w:val="008839DB"/>
    <w:rsid w:val="00883F38"/>
    <w:rsid w:val="00884011"/>
    <w:rsid w:val="00884441"/>
    <w:rsid w:val="0088524A"/>
    <w:rsid w:val="00886698"/>
    <w:rsid w:val="00886AAA"/>
    <w:rsid w:val="00886B8E"/>
    <w:rsid w:val="008870A5"/>
    <w:rsid w:val="00887533"/>
    <w:rsid w:val="008914A0"/>
    <w:rsid w:val="00891722"/>
    <w:rsid w:val="0089404B"/>
    <w:rsid w:val="00894301"/>
    <w:rsid w:val="008950DF"/>
    <w:rsid w:val="00897216"/>
    <w:rsid w:val="00897526"/>
    <w:rsid w:val="008A053C"/>
    <w:rsid w:val="008A0AA3"/>
    <w:rsid w:val="008A0D35"/>
    <w:rsid w:val="008A0E10"/>
    <w:rsid w:val="008A119E"/>
    <w:rsid w:val="008A11DC"/>
    <w:rsid w:val="008A1395"/>
    <w:rsid w:val="008A13C6"/>
    <w:rsid w:val="008A23C9"/>
    <w:rsid w:val="008A2E76"/>
    <w:rsid w:val="008A3455"/>
    <w:rsid w:val="008A3CFB"/>
    <w:rsid w:val="008A4535"/>
    <w:rsid w:val="008A4610"/>
    <w:rsid w:val="008A476C"/>
    <w:rsid w:val="008A4AE6"/>
    <w:rsid w:val="008A572D"/>
    <w:rsid w:val="008A5EDB"/>
    <w:rsid w:val="008A68D5"/>
    <w:rsid w:val="008A7A87"/>
    <w:rsid w:val="008B00BB"/>
    <w:rsid w:val="008B0F64"/>
    <w:rsid w:val="008B1322"/>
    <w:rsid w:val="008B1F09"/>
    <w:rsid w:val="008B206D"/>
    <w:rsid w:val="008B20D7"/>
    <w:rsid w:val="008B328B"/>
    <w:rsid w:val="008B32C9"/>
    <w:rsid w:val="008B3462"/>
    <w:rsid w:val="008B4FC2"/>
    <w:rsid w:val="008B5E7F"/>
    <w:rsid w:val="008B63E6"/>
    <w:rsid w:val="008B7641"/>
    <w:rsid w:val="008B7BE2"/>
    <w:rsid w:val="008C0E01"/>
    <w:rsid w:val="008C1263"/>
    <w:rsid w:val="008C44A9"/>
    <w:rsid w:val="008C5642"/>
    <w:rsid w:val="008C5B87"/>
    <w:rsid w:val="008C5E1E"/>
    <w:rsid w:val="008C7471"/>
    <w:rsid w:val="008C7E55"/>
    <w:rsid w:val="008D0AE1"/>
    <w:rsid w:val="008D130C"/>
    <w:rsid w:val="008D2333"/>
    <w:rsid w:val="008D32D0"/>
    <w:rsid w:val="008D4346"/>
    <w:rsid w:val="008D44FE"/>
    <w:rsid w:val="008D4975"/>
    <w:rsid w:val="008D4ED6"/>
    <w:rsid w:val="008D5DC1"/>
    <w:rsid w:val="008D7BFE"/>
    <w:rsid w:val="008E100A"/>
    <w:rsid w:val="008E1436"/>
    <w:rsid w:val="008E189A"/>
    <w:rsid w:val="008E1C51"/>
    <w:rsid w:val="008E1CD1"/>
    <w:rsid w:val="008E1D7E"/>
    <w:rsid w:val="008E2D10"/>
    <w:rsid w:val="008E3355"/>
    <w:rsid w:val="008E3617"/>
    <w:rsid w:val="008E3DB1"/>
    <w:rsid w:val="008E4844"/>
    <w:rsid w:val="008E4A37"/>
    <w:rsid w:val="008E4EAE"/>
    <w:rsid w:val="008E6A6D"/>
    <w:rsid w:val="008E6D5E"/>
    <w:rsid w:val="008E70A1"/>
    <w:rsid w:val="008E72F2"/>
    <w:rsid w:val="008E77E4"/>
    <w:rsid w:val="008E7BF2"/>
    <w:rsid w:val="008F0657"/>
    <w:rsid w:val="008F0A4A"/>
    <w:rsid w:val="008F1412"/>
    <w:rsid w:val="008F16FF"/>
    <w:rsid w:val="008F2167"/>
    <w:rsid w:val="008F271A"/>
    <w:rsid w:val="008F35C1"/>
    <w:rsid w:val="008F387B"/>
    <w:rsid w:val="008F3D2E"/>
    <w:rsid w:val="008F4070"/>
    <w:rsid w:val="008F4DDA"/>
    <w:rsid w:val="008F5CBC"/>
    <w:rsid w:val="008F684D"/>
    <w:rsid w:val="008F6853"/>
    <w:rsid w:val="008F7311"/>
    <w:rsid w:val="008F73F1"/>
    <w:rsid w:val="008F7A1E"/>
    <w:rsid w:val="00900DC5"/>
    <w:rsid w:val="00900DF2"/>
    <w:rsid w:val="00900F4C"/>
    <w:rsid w:val="0090138A"/>
    <w:rsid w:val="00901B0C"/>
    <w:rsid w:val="00902190"/>
    <w:rsid w:val="009026F9"/>
    <w:rsid w:val="00903BDA"/>
    <w:rsid w:val="00903E89"/>
    <w:rsid w:val="00904447"/>
    <w:rsid w:val="009057B3"/>
    <w:rsid w:val="0090587F"/>
    <w:rsid w:val="00905D4C"/>
    <w:rsid w:val="00906111"/>
    <w:rsid w:val="00906205"/>
    <w:rsid w:val="00906556"/>
    <w:rsid w:val="00906B5B"/>
    <w:rsid w:val="00906CA9"/>
    <w:rsid w:val="00906D5D"/>
    <w:rsid w:val="00907667"/>
    <w:rsid w:val="00907CA3"/>
    <w:rsid w:val="00907FB5"/>
    <w:rsid w:val="0091045C"/>
    <w:rsid w:val="00910FA7"/>
    <w:rsid w:val="009110E0"/>
    <w:rsid w:val="009111C6"/>
    <w:rsid w:val="00911625"/>
    <w:rsid w:val="00911CD7"/>
    <w:rsid w:val="00912497"/>
    <w:rsid w:val="009124B3"/>
    <w:rsid w:val="00912806"/>
    <w:rsid w:val="00912A83"/>
    <w:rsid w:val="00913179"/>
    <w:rsid w:val="009138C2"/>
    <w:rsid w:val="009139FA"/>
    <w:rsid w:val="00913A25"/>
    <w:rsid w:val="00913BBD"/>
    <w:rsid w:val="00914809"/>
    <w:rsid w:val="00914CD6"/>
    <w:rsid w:val="00914F1B"/>
    <w:rsid w:val="00915DA5"/>
    <w:rsid w:val="009160DE"/>
    <w:rsid w:val="00916E6C"/>
    <w:rsid w:val="009174A4"/>
    <w:rsid w:val="0092088F"/>
    <w:rsid w:val="00921514"/>
    <w:rsid w:val="00921723"/>
    <w:rsid w:val="00922E7F"/>
    <w:rsid w:val="00924300"/>
    <w:rsid w:val="00924A81"/>
    <w:rsid w:val="00925399"/>
    <w:rsid w:val="00926604"/>
    <w:rsid w:val="0092665C"/>
    <w:rsid w:val="009266CC"/>
    <w:rsid w:val="00926BD0"/>
    <w:rsid w:val="0092722C"/>
    <w:rsid w:val="00930836"/>
    <w:rsid w:val="00930CEF"/>
    <w:rsid w:val="00930EC2"/>
    <w:rsid w:val="009312F7"/>
    <w:rsid w:val="00931744"/>
    <w:rsid w:val="00931970"/>
    <w:rsid w:val="00931A10"/>
    <w:rsid w:val="00931E36"/>
    <w:rsid w:val="00932391"/>
    <w:rsid w:val="009329C5"/>
    <w:rsid w:val="00932ED7"/>
    <w:rsid w:val="009330BD"/>
    <w:rsid w:val="00933AC7"/>
    <w:rsid w:val="00933B6F"/>
    <w:rsid w:val="009340A9"/>
    <w:rsid w:val="00934661"/>
    <w:rsid w:val="00935BD9"/>
    <w:rsid w:val="00935CEF"/>
    <w:rsid w:val="00935E51"/>
    <w:rsid w:val="009360BF"/>
    <w:rsid w:val="00936B58"/>
    <w:rsid w:val="00936C79"/>
    <w:rsid w:val="00936EB8"/>
    <w:rsid w:val="00936FEF"/>
    <w:rsid w:val="0093781D"/>
    <w:rsid w:val="0093792F"/>
    <w:rsid w:val="00941D1A"/>
    <w:rsid w:val="00941E74"/>
    <w:rsid w:val="0094323C"/>
    <w:rsid w:val="0094374D"/>
    <w:rsid w:val="009437DB"/>
    <w:rsid w:val="0094414B"/>
    <w:rsid w:val="00944A8F"/>
    <w:rsid w:val="009457E1"/>
    <w:rsid w:val="009458DD"/>
    <w:rsid w:val="00946914"/>
    <w:rsid w:val="00946A98"/>
    <w:rsid w:val="00946DF7"/>
    <w:rsid w:val="0094763B"/>
    <w:rsid w:val="00947CC2"/>
    <w:rsid w:val="00951ECA"/>
    <w:rsid w:val="00953194"/>
    <w:rsid w:val="0095337F"/>
    <w:rsid w:val="00953C2C"/>
    <w:rsid w:val="00955EF8"/>
    <w:rsid w:val="0095658A"/>
    <w:rsid w:val="0095699F"/>
    <w:rsid w:val="00956EAD"/>
    <w:rsid w:val="009574AD"/>
    <w:rsid w:val="009577D1"/>
    <w:rsid w:val="00960674"/>
    <w:rsid w:val="009616CE"/>
    <w:rsid w:val="0096170E"/>
    <w:rsid w:val="00961C89"/>
    <w:rsid w:val="00961DF1"/>
    <w:rsid w:val="0096210C"/>
    <w:rsid w:val="009628C8"/>
    <w:rsid w:val="0096333C"/>
    <w:rsid w:val="009633D5"/>
    <w:rsid w:val="0096385A"/>
    <w:rsid w:val="0096397A"/>
    <w:rsid w:val="00963C56"/>
    <w:rsid w:val="00964128"/>
    <w:rsid w:val="00964517"/>
    <w:rsid w:val="00964FBB"/>
    <w:rsid w:val="009659CA"/>
    <w:rsid w:val="00965DA6"/>
    <w:rsid w:val="0096613A"/>
    <w:rsid w:val="00966E1F"/>
    <w:rsid w:val="00967410"/>
    <w:rsid w:val="0096794C"/>
    <w:rsid w:val="00967EBC"/>
    <w:rsid w:val="0097049F"/>
    <w:rsid w:val="00970D07"/>
    <w:rsid w:val="0097101A"/>
    <w:rsid w:val="00971F5D"/>
    <w:rsid w:val="009722E8"/>
    <w:rsid w:val="009740D8"/>
    <w:rsid w:val="009745BD"/>
    <w:rsid w:val="009748E5"/>
    <w:rsid w:val="00974C62"/>
    <w:rsid w:val="00975050"/>
    <w:rsid w:val="00975171"/>
    <w:rsid w:val="00975428"/>
    <w:rsid w:val="0097556B"/>
    <w:rsid w:val="00976776"/>
    <w:rsid w:val="00977224"/>
    <w:rsid w:val="00977AD4"/>
    <w:rsid w:val="009813C5"/>
    <w:rsid w:val="00981FF6"/>
    <w:rsid w:val="00982404"/>
    <w:rsid w:val="00983281"/>
    <w:rsid w:val="00983FFB"/>
    <w:rsid w:val="0098518E"/>
    <w:rsid w:val="00985488"/>
    <w:rsid w:val="009855BB"/>
    <w:rsid w:val="0098590B"/>
    <w:rsid w:val="00986845"/>
    <w:rsid w:val="0098791E"/>
    <w:rsid w:val="00987E57"/>
    <w:rsid w:val="009904D9"/>
    <w:rsid w:val="00991126"/>
    <w:rsid w:val="00991F0D"/>
    <w:rsid w:val="00992D5C"/>
    <w:rsid w:val="00992F51"/>
    <w:rsid w:val="009931A5"/>
    <w:rsid w:val="00993327"/>
    <w:rsid w:val="00993718"/>
    <w:rsid w:val="0099471E"/>
    <w:rsid w:val="00994998"/>
    <w:rsid w:val="00994C0B"/>
    <w:rsid w:val="009964D7"/>
    <w:rsid w:val="0099659B"/>
    <w:rsid w:val="009966DF"/>
    <w:rsid w:val="00996DA2"/>
    <w:rsid w:val="00997403"/>
    <w:rsid w:val="009A09D7"/>
    <w:rsid w:val="009A1A75"/>
    <w:rsid w:val="009A21D2"/>
    <w:rsid w:val="009A21D8"/>
    <w:rsid w:val="009A2291"/>
    <w:rsid w:val="009A2D76"/>
    <w:rsid w:val="009A3FB6"/>
    <w:rsid w:val="009A41D4"/>
    <w:rsid w:val="009A4CD7"/>
    <w:rsid w:val="009A4D3B"/>
    <w:rsid w:val="009A530A"/>
    <w:rsid w:val="009A5762"/>
    <w:rsid w:val="009A63E5"/>
    <w:rsid w:val="009A659D"/>
    <w:rsid w:val="009A6FD0"/>
    <w:rsid w:val="009A714F"/>
    <w:rsid w:val="009A78F4"/>
    <w:rsid w:val="009B11AE"/>
    <w:rsid w:val="009B1769"/>
    <w:rsid w:val="009B17F3"/>
    <w:rsid w:val="009B2832"/>
    <w:rsid w:val="009B2894"/>
    <w:rsid w:val="009B29B8"/>
    <w:rsid w:val="009B31A7"/>
    <w:rsid w:val="009B40BD"/>
    <w:rsid w:val="009B470B"/>
    <w:rsid w:val="009B481B"/>
    <w:rsid w:val="009B4DC0"/>
    <w:rsid w:val="009B51B0"/>
    <w:rsid w:val="009B53F9"/>
    <w:rsid w:val="009B5A8C"/>
    <w:rsid w:val="009B5B95"/>
    <w:rsid w:val="009B5D20"/>
    <w:rsid w:val="009B5FD4"/>
    <w:rsid w:val="009B6232"/>
    <w:rsid w:val="009B6A5E"/>
    <w:rsid w:val="009B7194"/>
    <w:rsid w:val="009B7BA2"/>
    <w:rsid w:val="009C0397"/>
    <w:rsid w:val="009C0B79"/>
    <w:rsid w:val="009C0C72"/>
    <w:rsid w:val="009C15CC"/>
    <w:rsid w:val="009C1EDF"/>
    <w:rsid w:val="009C21A2"/>
    <w:rsid w:val="009C224A"/>
    <w:rsid w:val="009C24DE"/>
    <w:rsid w:val="009C2C8E"/>
    <w:rsid w:val="009C2F44"/>
    <w:rsid w:val="009C3D0F"/>
    <w:rsid w:val="009C50ED"/>
    <w:rsid w:val="009C56E5"/>
    <w:rsid w:val="009C66C9"/>
    <w:rsid w:val="009C7EC1"/>
    <w:rsid w:val="009D0BC1"/>
    <w:rsid w:val="009D13BD"/>
    <w:rsid w:val="009D13CA"/>
    <w:rsid w:val="009D1520"/>
    <w:rsid w:val="009D1817"/>
    <w:rsid w:val="009D1EA1"/>
    <w:rsid w:val="009D2E7F"/>
    <w:rsid w:val="009D30B5"/>
    <w:rsid w:val="009D33F8"/>
    <w:rsid w:val="009D35A2"/>
    <w:rsid w:val="009D3DAB"/>
    <w:rsid w:val="009D4067"/>
    <w:rsid w:val="009D49BC"/>
    <w:rsid w:val="009D4A66"/>
    <w:rsid w:val="009D4A83"/>
    <w:rsid w:val="009D4BAC"/>
    <w:rsid w:val="009D517F"/>
    <w:rsid w:val="009D659D"/>
    <w:rsid w:val="009D65F5"/>
    <w:rsid w:val="009D75A3"/>
    <w:rsid w:val="009D7E97"/>
    <w:rsid w:val="009E0B34"/>
    <w:rsid w:val="009E28EB"/>
    <w:rsid w:val="009E3409"/>
    <w:rsid w:val="009E34D1"/>
    <w:rsid w:val="009E3ADB"/>
    <w:rsid w:val="009E404E"/>
    <w:rsid w:val="009E4257"/>
    <w:rsid w:val="009E462A"/>
    <w:rsid w:val="009E4E0E"/>
    <w:rsid w:val="009E6130"/>
    <w:rsid w:val="009E67D7"/>
    <w:rsid w:val="009E70DB"/>
    <w:rsid w:val="009E781B"/>
    <w:rsid w:val="009E79A8"/>
    <w:rsid w:val="009E7D1B"/>
    <w:rsid w:val="009F0FA1"/>
    <w:rsid w:val="009F1348"/>
    <w:rsid w:val="009F1967"/>
    <w:rsid w:val="009F1E5D"/>
    <w:rsid w:val="009F2733"/>
    <w:rsid w:val="009F288E"/>
    <w:rsid w:val="009F2C93"/>
    <w:rsid w:val="009F2F14"/>
    <w:rsid w:val="009F3370"/>
    <w:rsid w:val="009F561F"/>
    <w:rsid w:val="009F5826"/>
    <w:rsid w:val="009F6321"/>
    <w:rsid w:val="009F6497"/>
    <w:rsid w:val="009F6A31"/>
    <w:rsid w:val="009F7163"/>
    <w:rsid w:val="009F7AC9"/>
    <w:rsid w:val="009F7DDA"/>
    <w:rsid w:val="00A00244"/>
    <w:rsid w:val="00A01F7D"/>
    <w:rsid w:val="00A02140"/>
    <w:rsid w:val="00A03395"/>
    <w:rsid w:val="00A03854"/>
    <w:rsid w:val="00A03A3D"/>
    <w:rsid w:val="00A03E62"/>
    <w:rsid w:val="00A03EAF"/>
    <w:rsid w:val="00A04162"/>
    <w:rsid w:val="00A04BDA"/>
    <w:rsid w:val="00A04C81"/>
    <w:rsid w:val="00A05883"/>
    <w:rsid w:val="00A06553"/>
    <w:rsid w:val="00A06B02"/>
    <w:rsid w:val="00A06D77"/>
    <w:rsid w:val="00A101C3"/>
    <w:rsid w:val="00A108DB"/>
    <w:rsid w:val="00A1100C"/>
    <w:rsid w:val="00A115EC"/>
    <w:rsid w:val="00A12023"/>
    <w:rsid w:val="00A12AA3"/>
    <w:rsid w:val="00A1391E"/>
    <w:rsid w:val="00A14329"/>
    <w:rsid w:val="00A150BF"/>
    <w:rsid w:val="00A1640B"/>
    <w:rsid w:val="00A1682C"/>
    <w:rsid w:val="00A20241"/>
    <w:rsid w:val="00A209A6"/>
    <w:rsid w:val="00A2111D"/>
    <w:rsid w:val="00A21146"/>
    <w:rsid w:val="00A21369"/>
    <w:rsid w:val="00A222E3"/>
    <w:rsid w:val="00A224E5"/>
    <w:rsid w:val="00A228D6"/>
    <w:rsid w:val="00A22C69"/>
    <w:rsid w:val="00A2300F"/>
    <w:rsid w:val="00A23426"/>
    <w:rsid w:val="00A23E44"/>
    <w:rsid w:val="00A24F00"/>
    <w:rsid w:val="00A256C9"/>
    <w:rsid w:val="00A25761"/>
    <w:rsid w:val="00A26036"/>
    <w:rsid w:val="00A27064"/>
    <w:rsid w:val="00A3067B"/>
    <w:rsid w:val="00A31270"/>
    <w:rsid w:val="00A32545"/>
    <w:rsid w:val="00A34186"/>
    <w:rsid w:val="00A34878"/>
    <w:rsid w:val="00A34B33"/>
    <w:rsid w:val="00A34E05"/>
    <w:rsid w:val="00A350A3"/>
    <w:rsid w:val="00A36F35"/>
    <w:rsid w:val="00A37C90"/>
    <w:rsid w:val="00A401ED"/>
    <w:rsid w:val="00A404EF"/>
    <w:rsid w:val="00A40D37"/>
    <w:rsid w:val="00A40F00"/>
    <w:rsid w:val="00A4197B"/>
    <w:rsid w:val="00A41F31"/>
    <w:rsid w:val="00A4261A"/>
    <w:rsid w:val="00A428CA"/>
    <w:rsid w:val="00A43D4E"/>
    <w:rsid w:val="00A44106"/>
    <w:rsid w:val="00A46A72"/>
    <w:rsid w:val="00A46B8D"/>
    <w:rsid w:val="00A46F02"/>
    <w:rsid w:val="00A4770B"/>
    <w:rsid w:val="00A47D07"/>
    <w:rsid w:val="00A507B4"/>
    <w:rsid w:val="00A50FCB"/>
    <w:rsid w:val="00A50FE6"/>
    <w:rsid w:val="00A51C9F"/>
    <w:rsid w:val="00A52098"/>
    <w:rsid w:val="00A520DD"/>
    <w:rsid w:val="00A53F0B"/>
    <w:rsid w:val="00A547C1"/>
    <w:rsid w:val="00A54A54"/>
    <w:rsid w:val="00A54AF8"/>
    <w:rsid w:val="00A54C0D"/>
    <w:rsid w:val="00A54FB7"/>
    <w:rsid w:val="00A5569D"/>
    <w:rsid w:val="00A55959"/>
    <w:rsid w:val="00A55BF8"/>
    <w:rsid w:val="00A573D4"/>
    <w:rsid w:val="00A576CF"/>
    <w:rsid w:val="00A57A1F"/>
    <w:rsid w:val="00A60760"/>
    <w:rsid w:val="00A609EB"/>
    <w:rsid w:val="00A60B9F"/>
    <w:rsid w:val="00A60E81"/>
    <w:rsid w:val="00A61774"/>
    <w:rsid w:val="00A617BB"/>
    <w:rsid w:val="00A63586"/>
    <w:rsid w:val="00A63A38"/>
    <w:rsid w:val="00A64A27"/>
    <w:rsid w:val="00A64BA4"/>
    <w:rsid w:val="00A64D1E"/>
    <w:rsid w:val="00A65DA9"/>
    <w:rsid w:val="00A6726A"/>
    <w:rsid w:val="00A67596"/>
    <w:rsid w:val="00A67A7C"/>
    <w:rsid w:val="00A67D02"/>
    <w:rsid w:val="00A700F8"/>
    <w:rsid w:val="00A70126"/>
    <w:rsid w:val="00A70809"/>
    <w:rsid w:val="00A70B59"/>
    <w:rsid w:val="00A71552"/>
    <w:rsid w:val="00A71A5D"/>
    <w:rsid w:val="00A722A2"/>
    <w:rsid w:val="00A72799"/>
    <w:rsid w:val="00A72E33"/>
    <w:rsid w:val="00A73499"/>
    <w:rsid w:val="00A73CC6"/>
    <w:rsid w:val="00A73E09"/>
    <w:rsid w:val="00A74BE4"/>
    <w:rsid w:val="00A7502D"/>
    <w:rsid w:val="00A75694"/>
    <w:rsid w:val="00A7576E"/>
    <w:rsid w:val="00A764EB"/>
    <w:rsid w:val="00A77DDC"/>
    <w:rsid w:val="00A77FB0"/>
    <w:rsid w:val="00A80841"/>
    <w:rsid w:val="00A80AB4"/>
    <w:rsid w:val="00A81282"/>
    <w:rsid w:val="00A81E70"/>
    <w:rsid w:val="00A82320"/>
    <w:rsid w:val="00A8266F"/>
    <w:rsid w:val="00A83161"/>
    <w:rsid w:val="00A831BD"/>
    <w:rsid w:val="00A840DC"/>
    <w:rsid w:val="00A85868"/>
    <w:rsid w:val="00A875AF"/>
    <w:rsid w:val="00A87D92"/>
    <w:rsid w:val="00A87E44"/>
    <w:rsid w:val="00A87F1A"/>
    <w:rsid w:val="00A87FC1"/>
    <w:rsid w:val="00A90DAE"/>
    <w:rsid w:val="00A9164B"/>
    <w:rsid w:val="00A918AB"/>
    <w:rsid w:val="00A92908"/>
    <w:rsid w:val="00A93046"/>
    <w:rsid w:val="00A930F2"/>
    <w:rsid w:val="00A936DE"/>
    <w:rsid w:val="00A938AB"/>
    <w:rsid w:val="00A93DB3"/>
    <w:rsid w:val="00A93FA2"/>
    <w:rsid w:val="00A94416"/>
    <w:rsid w:val="00A947F6"/>
    <w:rsid w:val="00A95239"/>
    <w:rsid w:val="00AA0B11"/>
    <w:rsid w:val="00AA1A76"/>
    <w:rsid w:val="00AA210B"/>
    <w:rsid w:val="00AA2F66"/>
    <w:rsid w:val="00AA3B1E"/>
    <w:rsid w:val="00AA4209"/>
    <w:rsid w:val="00AA4E0C"/>
    <w:rsid w:val="00AA6670"/>
    <w:rsid w:val="00AA71B8"/>
    <w:rsid w:val="00AA7AD9"/>
    <w:rsid w:val="00AB00EB"/>
    <w:rsid w:val="00AB0DA8"/>
    <w:rsid w:val="00AB1367"/>
    <w:rsid w:val="00AB2D43"/>
    <w:rsid w:val="00AB2DB2"/>
    <w:rsid w:val="00AB3461"/>
    <w:rsid w:val="00AB4E7C"/>
    <w:rsid w:val="00AB5DF2"/>
    <w:rsid w:val="00AB6AB8"/>
    <w:rsid w:val="00AB7AF9"/>
    <w:rsid w:val="00AC0263"/>
    <w:rsid w:val="00AC05C9"/>
    <w:rsid w:val="00AC097F"/>
    <w:rsid w:val="00AC0B98"/>
    <w:rsid w:val="00AC14E2"/>
    <w:rsid w:val="00AC38E8"/>
    <w:rsid w:val="00AC3A95"/>
    <w:rsid w:val="00AC5A07"/>
    <w:rsid w:val="00AC5C2D"/>
    <w:rsid w:val="00AC65DE"/>
    <w:rsid w:val="00AC6C40"/>
    <w:rsid w:val="00AC7221"/>
    <w:rsid w:val="00AD0336"/>
    <w:rsid w:val="00AD1815"/>
    <w:rsid w:val="00AD1C54"/>
    <w:rsid w:val="00AD2458"/>
    <w:rsid w:val="00AD372D"/>
    <w:rsid w:val="00AD4167"/>
    <w:rsid w:val="00AD5C09"/>
    <w:rsid w:val="00AD6815"/>
    <w:rsid w:val="00AD69B9"/>
    <w:rsid w:val="00AD6D3B"/>
    <w:rsid w:val="00AD6DC3"/>
    <w:rsid w:val="00AD6E7A"/>
    <w:rsid w:val="00AD76CE"/>
    <w:rsid w:val="00AD7848"/>
    <w:rsid w:val="00AE0173"/>
    <w:rsid w:val="00AE02F0"/>
    <w:rsid w:val="00AE0513"/>
    <w:rsid w:val="00AE0B9C"/>
    <w:rsid w:val="00AE1B7A"/>
    <w:rsid w:val="00AE28F4"/>
    <w:rsid w:val="00AE4083"/>
    <w:rsid w:val="00AE4185"/>
    <w:rsid w:val="00AE588E"/>
    <w:rsid w:val="00AE6E48"/>
    <w:rsid w:val="00AE71A1"/>
    <w:rsid w:val="00AF06C6"/>
    <w:rsid w:val="00AF0D06"/>
    <w:rsid w:val="00AF33C9"/>
    <w:rsid w:val="00AF4083"/>
    <w:rsid w:val="00AF44A5"/>
    <w:rsid w:val="00AF5BB2"/>
    <w:rsid w:val="00AF6C9A"/>
    <w:rsid w:val="00AF76E2"/>
    <w:rsid w:val="00AF7F71"/>
    <w:rsid w:val="00B017BB"/>
    <w:rsid w:val="00B01E3F"/>
    <w:rsid w:val="00B02633"/>
    <w:rsid w:val="00B027E1"/>
    <w:rsid w:val="00B032BC"/>
    <w:rsid w:val="00B03500"/>
    <w:rsid w:val="00B035E3"/>
    <w:rsid w:val="00B03651"/>
    <w:rsid w:val="00B0391D"/>
    <w:rsid w:val="00B03F6E"/>
    <w:rsid w:val="00B041F6"/>
    <w:rsid w:val="00B04649"/>
    <w:rsid w:val="00B04E62"/>
    <w:rsid w:val="00B0556E"/>
    <w:rsid w:val="00B06397"/>
    <w:rsid w:val="00B063D5"/>
    <w:rsid w:val="00B07492"/>
    <w:rsid w:val="00B11103"/>
    <w:rsid w:val="00B11285"/>
    <w:rsid w:val="00B11EC1"/>
    <w:rsid w:val="00B130E3"/>
    <w:rsid w:val="00B13FC5"/>
    <w:rsid w:val="00B1514C"/>
    <w:rsid w:val="00B15541"/>
    <w:rsid w:val="00B163ED"/>
    <w:rsid w:val="00B17957"/>
    <w:rsid w:val="00B20571"/>
    <w:rsid w:val="00B20B28"/>
    <w:rsid w:val="00B21406"/>
    <w:rsid w:val="00B215CC"/>
    <w:rsid w:val="00B21990"/>
    <w:rsid w:val="00B21C22"/>
    <w:rsid w:val="00B23354"/>
    <w:rsid w:val="00B23679"/>
    <w:rsid w:val="00B24846"/>
    <w:rsid w:val="00B24873"/>
    <w:rsid w:val="00B24D89"/>
    <w:rsid w:val="00B25670"/>
    <w:rsid w:val="00B269F7"/>
    <w:rsid w:val="00B26E62"/>
    <w:rsid w:val="00B274B1"/>
    <w:rsid w:val="00B305A9"/>
    <w:rsid w:val="00B305C4"/>
    <w:rsid w:val="00B30D83"/>
    <w:rsid w:val="00B31960"/>
    <w:rsid w:val="00B31C5C"/>
    <w:rsid w:val="00B3223C"/>
    <w:rsid w:val="00B3230D"/>
    <w:rsid w:val="00B335C9"/>
    <w:rsid w:val="00B33DD9"/>
    <w:rsid w:val="00B33FB4"/>
    <w:rsid w:val="00B35796"/>
    <w:rsid w:val="00B402C7"/>
    <w:rsid w:val="00B40997"/>
    <w:rsid w:val="00B41C49"/>
    <w:rsid w:val="00B420F4"/>
    <w:rsid w:val="00B42981"/>
    <w:rsid w:val="00B42DF5"/>
    <w:rsid w:val="00B42EFB"/>
    <w:rsid w:val="00B42F0E"/>
    <w:rsid w:val="00B439FA"/>
    <w:rsid w:val="00B43BEE"/>
    <w:rsid w:val="00B440C0"/>
    <w:rsid w:val="00B4457B"/>
    <w:rsid w:val="00B44B8D"/>
    <w:rsid w:val="00B45149"/>
    <w:rsid w:val="00B45E35"/>
    <w:rsid w:val="00B461EB"/>
    <w:rsid w:val="00B465BA"/>
    <w:rsid w:val="00B46A84"/>
    <w:rsid w:val="00B47648"/>
    <w:rsid w:val="00B477E1"/>
    <w:rsid w:val="00B47CC8"/>
    <w:rsid w:val="00B50A80"/>
    <w:rsid w:val="00B51E0B"/>
    <w:rsid w:val="00B51F96"/>
    <w:rsid w:val="00B5273D"/>
    <w:rsid w:val="00B52B36"/>
    <w:rsid w:val="00B55C22"/>
    <w:rsid w:val="00B55D34"/>
    <w:rsid w:val="00B56094"/>
    <w:rsid w:val="00B568E0"/>
    <w:rsid w:val="00B56A66"/>
    <w:rsid w:val="00B56E3D"/>
    <w:rsid w:val="00B57359"/>
    <w:rsid w:val="00B60148"/>
    <w:rsid w:val="00B60A45"/>
    <w:rsid w:val="00B60F00"/>
    <w:rsid w:val="00B6131C"/>
    <w:rsid w:val="00B62079"/>
    <w:rsid w:val="00B6226D"/>
    <w:rsid w:val="00B625F7"/>
    <w:rsid w:val="00B63513"/>
    <w:rsid w:val="00B6388E"/>
    <w:rsid w:val="00B6491E"/>
    <w:rsid w:val="00B66AF7"/>
    <w:rsid w:val="00B674EA"/>
    <w:rsid w:val="00B70AA7"/>
    <w:rsid w:val="00B720C7"/>
    <w:rsid w:val="00B73000"/>
    <w:rsid w:val="00B7300C"/>
    <w:rsid w:val="00B73CD9"/>
    <w:rsid w:val="00B73FFA"/>
    <w:rsid w:val="00B7402B"/>
    <w:rsid w:val="00B7432D"/>
    <w:rsid w:val="00B74A73"/>
    <w:rsid w:val="00B74CE7"/>
    <w:rsid w:val="00B7561D"/>
    <w:rsid w:val="00B75C8E"/>
    <w:rsid w:val="00B7637A"/>
    <w:rsid w:val="00B763E9"/>
    <w:rsid w:val="00B76946"/>
    <w:rsid w:val="00B77103"/>
    <w:rsid w:val="00B77FF3"/>
    <w:rsid w:val="00B805DC"/>
    <w:rsid w:val="00B81571"/>
    <w:rsid w:val="00B82492"/>
    <w:rsid w:val="00B8343B"/>
    <w:rsid w:val="00B83E11"/>
    <w:rsid w:val="00B84D55"/>
    <w:rsid w:val="00B853A4"/>
    <w:rsid w:val="00B860F4"/>
    <w:rsid w:val="00B86328"/>
    <w:rsid w:val="00B8756C"/>
    <w:rsid w:val="00B87840"/>
    <w:rsid w:val="00B90DB1"/>
    <w:rsid w:val="00B911FF"/>
    <w:rsid w:val="00B91F15"/>
    <w:rsid w:val="00B9252B"/>
    <w:rsid w:val="00B931F5"/>
    <w:rsid w:val="00B94B47"/>
    <w:rsid w:val="00B95323"/>
    <w:rsid w:val="00B962F7"/>
    <w:rsid w:val="00B9644E"/>
    <w:rsid w:val="00B96AC5"/>
    <w:rsid w:val="00B96B07"/>
    <w:rsid w:val="00B973AF"/>
    <w:rsid w:val="00BA012F"/>
    <w:rsid w:val="00BA06BA"/>
    <w:rsid w:val="00BA0B4D"/>
    <w:rsid w:val="00BA12A9"/>
    <w:rsid w:val="00BA29E1"/>
    <w:rsid w:val="00BA2F2B"/>
    <w:rsid w:val="00BA3503"/>
    <w:rsid w:val="00BA355A"/>
    <w:rsid w:val="00BA36C0"/>
    <w:rsid w:val="00BA4193"/>
    <w:rsid w:val="00BA42C6"/>
    <w:rsid w:val="00BA45BC"/>
    <w:rsid w:val="00BA4733"/>
    <w:rsid w:val="00BA4D75"/>
    <w:rsid w:val="00BA6C1C"/>
    <w:rsid w:val="00BA7250"/>
    <w:rsid w:val="00BA786C"/>
    <w:rsid w:val="00BA7AAC"/>
    <w:rsid w:val="00BB0072"/>
    <w:rsid w:val="00BB09CB"/>
    <w:rsid w:val="00BB0F90"/>
    <w:rsid w:val="00BB19B3"/>
    <w:rsid w:val="00BB2501"/>
    <w:rsid w:val="00BB2669"/>
    <w:rsid w:val="00BB3C43"/>
    <w:rsid w:val="00BB461D"/>
    <w:rsid w:val="00BB5DDB"/>
    <w:rsid w:val="00BB657D"/>
    <w:rsid w:val="00BB67F3"/>
    <w:rsid w:val="00BB7031"/>
    <w:rsid w:val="00BB78A3"/>
    <w:rsid w:val="00BB79BE"/>
    <w:rsid w:val="00BB7ECD"/>
    <w:rsid w:val="00BC06B5"/>
    <w:rsid w:val="00BC06BD"/>
    <w:rsid w:val="00BC1536"/>
    <w:rsid w:val="00BC3769"/>
    <w:rsid w:val="00BC52D3"/>
    <w:rsid w:val="00BC6A51"/>
    <w:rsid w:val="00BC7FE3"/>
    <w:rsid w:val="00BD00CE"/>
    <w:rsid w:val="00BD13A5"/>
    <w:rsid w:val="00BD2B93"/>
    <w:rsid w:val="00BD2E52"/>
    <w:rsid w:val="00BD2F94"/>
    <w:rsid w:val="00BD4E09"/>
    <w:rsid w:val="00BD5B90"/>
    <w:rsid w:val="00BD60C2"/>
    <w:rsid w:val="00BD66F7"/>
    <w:rsid w:val="00BD6DFD"/>
    <w:rsid w:val="00BD7A88"/>
    <w:rsid w:val="00BD7AAE"/>
    <w:rsid w:val="00BE03FE"/>
    <w:rsid w:val="00BE0B38"/>
    <w:rsid w:val="00BE0FCB"/>
    <w:rsid w:val="00BE2911"/>
    <w:rsid w:val="00BE3DC8"/>
    <w:rsid w:val="00BE4A7B"/>
    <w:rsid w:val="00BE54C8"/>
    <w:rsid w:val="00BE5B87"/>
    <w:rsid w:val="00BE7440"/>
    <w:rsid w:val="00BE7B56"/>
    <w:rsid w:val="00BF02F7"/>
    <w:rsid w:val="00BF0574"/>
    <w:rsid w:val="00BF0FCE"/>
    <w:rsid w:val="00BF141F"/>
    <w:rsid w:val="00BF1898"/>
    <w:rsid w:val="00BF1935"/>
    <w:rsid w:val="00BF1B4E"/>
    <w:rsid w:val="00BF1EA2"/>
    <w:rsid w:val="00BF29B3"/>
    <w:rsid w:val="00BF2B71"/>
    <w:rsid w:val="00BF2F3E"/>
    <w:rsid w:val="00BF3AC9"/>
    <w:rsid w:val="00BF3DA7"/>
    <w:rsid w:val="00BF592A"/>
    <w:rsid w:val="00BF5933"/>
    <w:rsid w:val="00BF5F43"/>
    <w:rsid w:val="00BF6236"/>
    <w:rsid w:val="00BF6C19"/>
    <w:rsid w:val="00BF72CF"/>
    <w:rsid w:val="00BF7398"/>
    <w:rsid w:val="00BF7D69"/>
    <w:rsid w:val="00C00B95"/>
    <w:rsid w:val="00C01541"/>
    <w:rsid w:val="00C01814"/>
    <w:rsid w:val="00C01DA6"/>
    <w:rsid w:val="00C0207A"/>
    <w:rsid w:val="00C0218B"/>
    <w:rsid w:val="00C024E1"/>
    <w:rsid w:val="00C02D50"/>
    <w:rsid w:val="00C02FD3"/>
    <w:rsid w:val="00C045AE"/>
    <w:rsid w:val="00C04D26"/>
    <w:rsid w:val="00C0565F"/>
    <w:rsid w:val="00C0624E"/>
    <w:rsid w:val="00C06724"/>
    <w:rsid w:val="00C07955"/>
    <w:rsid w:val="00C07DB6"/>
    <w:rsid w:val="00C10365"/>
    <w:rsid w:val="00C103E9"/>
    <w:rsid w:val="00C106B1"/>
    <w:rsid w:val="00C10F40"/>
    <w:rsid w:val="00C11D67"/>
    <w:rsid w:val="00C123AC"/>
    <w:rsid w:val="00C12BE4"/>
    <w:rsid w:val="00C13129"/>
    <w:rsid w:val="00C15653"/>
    <w:rsid w:val="00C1662D"/>
    <w:rsid w:val="00C17122"/>
    <w:rsid w:val="00C175BE"/>
    <w:rsid w:val="00C215C8"/>
    <w:rsid w:val="00C220BB"/>
    <w:rsid w:val="00C226DC"/>
    <w:rsid w:val="00C2346C"/>
    <w:rsid w:val="00C24D96"/>
    <w:rsid w:val="00C24F11"/>
    <w:rsid w:val="00C25210"/>
    <w:rsid w:val="00C25677"/>
    <w:rsid w:val="00C27081"/>
    <w:rsid w:val="00C27749"/>
    <w:rsid w:val="00C30D0C"/>
    <w:rsid w:val="00C310AE"/>
    <w:rsid w:val="00C311EC"/>
    <w:rsid w:val="00C3232E"/>
    <w:rsid w:val="00C32778"/>
    <w:rsid w:val="00C33C75"/>
    <w:rsid w:val="00C34609"/>
    <w:rsid w:val="00C34940"/>
    <w:rsid w:val="00C354A5"/>
    <w:rsid w:val="00C357B0"/>
    <w:rsid w:val="00C3692D"/>
    <w:rsid w:val="00C36A22"/>
    <w:rsid w:val="00C36E1D"/>
    <w:rsid w:val="00C3755D"/>
    <w:rsid w:val="00C4127C"/>
    <w:rsid w:val="00C42132"/>
    <w:rsid w:val="00C4276A"/>
    <w:rsid w:val="00C43B76"/>
    <w:rsid w:val="00C43EA9"/>
    <w:rsid w:val="00C44F60"/>
    <w:rsid w:val="00C45B7C"/>
    <w:rsid w:val="00C45E17"/>
    <w:rsid w:val="00C4674C"/>
    <w:rsid w:val="00C467CF"/>
    <w:rsid w:val="00C47517"/>
    <w:rsid w:val="00C4756D"/>
    <w:rsid w:val="00C5040E"/>
    <w:rsid w:val="00C504DA"/>
    <w:rsid w:val="00C50CA5"/>
    <w:rsid w:val="00C50F61"/>
    <w:rsid w:val="00C522B8"/>
    <w:rsid w:val="00C528E8"/>
    <w:rsid w:val="00C530D4"/>
    <w:rsid w:val="00C53469"/>
    <w:rsid w:val="00C5445D"/>
    <w:rsid w:val="00C54543"/>
    <w:rsid w:val="00C549F4"/>
    <w:rsid w:val="00C5554C"/>
    <w:rsid w:val="00C57652"/>
    <w:rsid w:val="00C616CF"/>
    <w:rsid w:val="00C617A3"/>
    <w:rsid w:val="00C62486"/>
    <w:rsid w:val="00C628B5"/>
    <w:rsid w:val="00C62E4C"/>
    <w:rsid w:val="00C62EE6"/>
    <w:rsid w:val="00C655DA"/>
    <w:rsid w:val="00C6583B"/>
    <w:rsid w:val="00C6679E"/>
    <w:rsid w:val="00C6759C"/>
    <w:rsid w:val="00C6788F"/>
    <w:rsid w:val="00C67CF3"/>
    <w:rsid w:val="00C67D71"/>
    <w:rsid w:val="00C67F69"/>
    <w:rsid w:val="00C70253"/>
    <w:rsid w:val="00C718AB"/>
    <w:rsid w:val="00C72B2B"/>
    <w:rsid w:val="00C72D01"/>
    <w:rsid w:val="00C73487"/>
    <w:rsid w:val="00C73C1C"/>
    <w:rsid w:val="00C74ACC"/>
    <w:rsid w:val="00C7535E"/>
    <w:rsid w:val="00C75AD9"/>
    <w:rsid w:val="00C76646"/>
    <w:rsid w:val="00C7675B"/>
    <w:rsid w:val="00C76DF5"/>
    <w:rsid w:val="00C77976"/>
    <w:rsid w:val="00C77CF3"/>
    <w:rsid w:val="00C77EBE"/>
    <w:rsid w:val="00C80E13"/>
    <w:rsid w:val="00C818BD"/>
    <w:rsid w:val="00C81CF8"/>
    <w:rsid w:val="00C81DB7"/>
    <w:rsid w:val="00C81E5F"/>
    <w:rsid w:val="00C83DCA"/>
    <w:rsid w:val="00C846BA"/>
    <w:rsid w:val="00C85BB5"/>
    <w:rsid w:val="00C86534"/>
    <w:rsid w:val="00C867F1"/>
    <w:rsid w:val="00C86EA2"/>
    <w:rsid w:val="00C87A46"/>
    <w:rsid w:val="00C90688"/>
    <w:rsid w:val="00C90E42"/>
    <w:rsid w:val="00C935C1"/>
    <w:rsid w:val="00C93AB9"/>
    <w:rsid w:val="00C93B02"/>
    <w:rsid w:val="00C9410D"/>
    <w:rsid w:val="00C9492F"/>
    <w:rsid w:val="00C95785"/>
    <w:rsid w:val="00C958F2"/>
    <w:rsid w:val="00C95951"/>
    <w:rsid w:val="00C966A7"/>
    <w:rsid w:val="00C97709"/>
    <w:rsid w:val="00CA13A6"/>
    <w:rsid w:val="00CA1CE1"/>
    <w:rsid w:val="00CA1E65"/>
    <w:rsid w:val="00CA2004"/>
    <w:rsid w:val="00CA2275"/>
    <w:rsid w:val="00CA25F4"/>
    <w:rsid w:val="00CA2CF4"/>
    <w:rsid w:val="00CA30BE"/>
    <w:rsid w:val="00CA3162"/>
    <w:rsid w:val="00CA43CA"/>
    <w:rsid w:val="00CA5275"/>
    <w:rsid w:val="00CA5298"/>
    <w:rsid w:val="00CA55A7"/>
    <w:rsid w:val="00CA6AA6"/>
    <w:rsid w:val="00CB02EF"/>
    <w:rsid w:val="00CB0454"/>
    <w:rsid w:val="00CB0AE0"/>
    <w:rsid w:val="00CB0FEA"/>
    <w:rsid w:val="00CB35BA"/>
    <w:rsid w:val="00CB394A"/>
    <w:rsid w:val="00CB40CF"/>
    <w:rsid w:val="00CB43F5"/>
    <w:rsid w:val="00CB5F11"/>
    <w:rsid w:val="00CB65AF"/>
    <w:rsid w:val="00CB692C"/>
    <w:rsid w:val="00CB6999"/>
    <w:rsid w:val="00CC006E"/>
    <w:rsid w:val="00CC0121"/>
    <w:rsid w:val="00CC01D9"/>
    <w:rsid w:val="00CC058B"/>
    <w:rsid w:val="00CC178E"/>
    <w:rsid w:val="00CC22B0"/>
    <w:rsid w:val="00CC2B2D"/>
    <w:rsid w:val="00CC2C96"/>
    <w:rsid w:val="00CC39DB"/>
    <w:rsid w:val="00CC48A6"/>
    <w:rsid w:val="00CC4FE3"/>
    <w:rsid w:val="00CC52F8"/>
    <w:rsid w:val="00CC5B08"/>
    <w:rsid w:val="00CC61BE"/>
    <w:rsid w:val="00CC6915"/>
    <w:rsid w:val="00CD1E46"/>
    <w:rsid w:val="00CD2987"/>
    <w:rsid w:val="00CD2E23"/>
    <w:rsid w:val="00CD3931"/>
    <w:rsid w:val="00CD3B6A"/>
    <w:rsid w:val="00CD3F11"/>
    <w:rsid w:val="00CD3F39"/>
    <w:rsid w:val="00CD4322"/>
    <w:rsid w:val="00CD537B"/>
    <w:rsid w:val="00CD571E"/>
    <w:rsid w:val="00CD577C"/>
    <w:rsid w:val="00CD6FDC"/>
    <w:rsid w:val="00CD7740"/>
    <w:rsid w:val="00CE02AE"/>
    <w:rsid w:val="00CE04BE"/>
    <w:rsid w:val="00CE09A6"/>
    <w:rsid w:val="00CE2A69"/>
    <w:rsid w:val="00CE2F6C"/>
    <w:rsid w:val="00CE47B3"/>
    <w:rsid w:val="00CE47E8"/>
    <w:rsid w:val="00CE5037"/>
    <w:rsid w:val="00CE5057"/>
    <w:rsid w:val="00CE5449"/>
    <w:rsid w:val="00CE6575"/>
    <w:rsid w:val="00CE6840"/>
    <w:rsid w:val="00CE6F0D"/>
    <w:rsid w:val="00CE76F4"/>
    <w:rsid w:val="00CE7E42"/>
    <w:rsid w:val="00CF0329"/>
    <w:rsid w:val="00CF0819"/>
    <w:rsid w:val="00CF1A8E"/>
    <w:rsid w:val="00CF2955"/>
    <w:rsid w:val="00CF3CEA"/>
    <w:rsid w:val="00CF4548"/>
    <w:rsid w:val="00CF479B"/>
    <w:rsid w:val="00CF5ED7"/>
    <w:rsid w:val="00CF66DC"/>
    <w:rsid w:val="00CF75A1"/>
    <w:rsid w:val="00D00570"/>
    <w:rsid w:val="00D00CFD"/>
    <w:rsid w:val="00D01541"/>
    <w:rsid w:val="00D02572"/>
    <w:rsid w:val="00D04D24"/>
    <w:rsid w:val="00D05015"/>
    <w:rsid w:val="00D05480"/>
    <w:rsid w:val="00D05EF8"/>
    <w:rsid w:val="00D0619C"/>
    <w:rsid w:val="00D0666A"/>
    <w:rsid w:val="00D069A8"/>
    <w:rsid w:val="00D06A4F"/>
    <w:rsid w:val="00D06E26"/>
    <w:rsid w:val="00D06E3F"/>
    <w:rsid w:val="00D077AD"/>
    <w:rsid w:val="00D07C48"/>
    <w:rsid w:val="00D07DA6"/>
    <w:rsid w:val="00D1042C"/>
    <w:rsid w:val="00D10673"/>
    <w:rsid w:val="00D11C94"/>
    <w:rsid w:val="00D1240C"/>
    <w:rsid w:val="00D124D5"/>
    <w:rsid w:val="00D12C80"/>
    <w:rsid w:val="00D12CDD"/>
    <w:rsid w:val="00D12F92"/>
    <w:rsid w:val="00D14337"/>
    <w:rsid w:val="00D1455F"/>
    <w:rsid w:val="00D15460"/>
    <w:rsid w:val="00D15B1D"/>
    <w:rsid w:val="00D1623E"/>
    <w:rsid w:val="00D167DF"/>
    <w:rsid w:val="00D215B1"/>
    <w:rsid w:val="00D21F87"/>
    <w:rsid w:val="00D22496"/>
    <w:rsid w:val="00D226EE"/>
    <w:rsid w:val="00D22724"/>
    <w:rsid w:val="00D227FE"/>
    <w:rsid w:val="00D22A73"/>
    <w:rsid w:val="00D22DDC"/>
    <w:rsid w:val="00D22E6F"/>
    <w:rsid w:val="00D23059"/>
    <w:rsid w:val="00D25108"/>
    <w:rsid w:val="00D26228"/>
    <w:rsid w:val="00D26C61"/>
    <w:rsid w:val="00D304F2"/>
    <w:rsid w:val="00D31137"/>
    <w:rsid w:val="00D31211"/>
    <w:rsid w:val="00D33606"/>
    <w:rsid w:val="00D33784"/>
    <w:rsid w:val="00D3384A"/>
    <w:rsid w:val="00D34366"/>
    <w:rsid w:val="00D34CE8"/>
    <w:rsid w:val="00D364EE"/>
    <w:rsid w:val="00D371FE"/>
    <w:rsid w:val="00D37EA3"/>
    <w:rsid w:val="00D415C1"/>
    <w:rsid w:val="00D4169B"/>
    <w:rsid w:val="00D41A9F"/>
    <w:rsid w:val="00D42A65"/>
    <w:rsid w:val="00D42C5E"/>
    <w:rsid w:val="00D42C70"/>
    <w:rsid w:val="00D43157"/>
    <w:rsid w:val="00D434A2"/>
    <w:rsid w:val="00D44098"/>
    <w:rsid w:val="00D45121"/>
    <w:rsid w:val="00D4558A"/>
    <w:rsid w:val="00D45D80"/>
    <w:rsid w:val="00D45EF1"/>
    <w:rsid w:val="00D4624F"/>
    <w:rsid w:val="00D466FB"/>
    <w:rsid w:val="00D46E6D"/>
    <w:rsid w:val="00D473E9"/>
    <w:rsid w:val="00D476CD"/>
    <w:rsid w:val="00D4773D"/>
    <w:rsid w:val="00D477D0"/>
    <w:rsid w:val="00D479D9"/>
    <w:rsid w:val="00D50EE6"/>
    <w:rsid w:val="00D51261"/>
    <w:rsid w:val="00D523CD"/>
    <w:rsid w:val="00D535C5"/>
    <w:rsid w:val="00D53C1A"/>
    <w:rsid w:val="00D53CD2"/>
    <w:rsid w:val="00D54401"/>
    <w:rsid w:val="00D54B0F"/>
    <w:rsid w:val="00D54DE0"/>
    <w:rsid w:val="00D551D9"/>
    <w:rsid w:val="00D55D57"/>
    <w:rsid w:val="00D55DD2"/>
    <w:rsid w:val="00D55DD5"/>
    <w:rsid w:val="00D579E5"/>
    <w:rsid w:val="00D57BFB"/>
    <w:rsid w:val="00D60685"/>
    <w:rsid w:val="00D6140E"/>
    <w:rsid w:val="00D6232F"/>
    <w:rsid w:val="00D624C5"/>
    <w:rsid w:val="00D625E2"/>
    <w:rsid w:val="00D62B4F"/>
    <w:rsid w:val="00D63A51"/>
    <w:rsid w:val="00D64863"/>
    <w:rsid w:val="00D6501A"/>
    <w:rsid w:val="00D65141"/>
    <w:rsid w:val="00D65E5D"/>
    <w:rsid w:val="00D67BD7"/>
    <w:rsid w:val="00D701B5"/>
    <w:rsid w:val="00D706A0"/>
    <w:rsid w:val="00D7088F"/>
    <w:rsid w:val="00D70A04"/>
    <w:rsid w:val="00D70A11"/>
    <w:rsid w:val="00D71842"/>
    <w:rsid w:val="00D7187D"/>
    <w:rsid w:val="00D71A0E"/>
    <w:rsid w:val="00D72460"/>
    <w:rsid w:val="00D725ED"/>
    <w:rsid w:val="00D73055"/>
    <w:rsid w:val="00D762C3"/>
    <w:rsid w:val="00D76683"/>
    <w:rsid w:val="00D76E0D"/>
    <w:rsid w:val="00D76E2A"/>
    <w:rsid w:val="00D81E89"/>
    <w:rsid w:val="00D82067"/>
    <w:rsid w:val="00D82BF9"/>
    <w:rsid w:val="00D839E8"/>
    <w:rsid w:val="00D83F08"/>
    <w:rsid w:val="00D84490"/>
    <w:rsid w:val="00D84631"/>
    <w:rsid w:val="00D84B03"/>
    <w:rsid w:val="00D861F6"/>
    <w:rsid w:val="00D86A2C"/>
    <w:rsid w:val="00D876C3"/>
    <w:rsid w:val="00D900EE"/>
    <w:rsid w:val="00D90537"/>
    <w:rsid w:val="00D90B26"/>
    <w:rsid w:val="00D90BDA"/>
    <w:rsid w:val="00D91606"/>
    <w:rsid w:val="00D92257"/>
    <w:rsid w:val="00D926C4"/>
    <w:rsid w:val="00D94785"/>
    <w:rsid w:val="00D94F5B"/>
    <w:rsid w:val="00D94F66"/>
    <w:rsid w:val="00D9587E"/>
    <w:rsid w:val="00D95DCD"/>
    <w:rsid w:val="00D95DFA"/>
    <w:rsid w:val="00D9609E"/>
    <w:rsid w:val="00D97055"/>
    <w:rsid w:val="00D97917"/>
    <w:rsid w:val="00D97C1E"/>
    <w:rsid w:val="00D97DE0"/>
    <w:rsid w:val="00D97E01"/>
    <w:rsid w:val="00DA0096"/>
    <w:rsid w:val="00DA05D3"/>
    <w:rsid w:val="00DA0855"/>
    <w:rsid w:val="00DA0F77"/>
    <w:rsid w:val="00DA101C"/>
    <w:rsid w:val="00DA10D8"/>
    <w:rsid w:val="00DA3DB9"/>
    <w:rsid w:val="00DA44C9"/>
    <w:rsid w:val="00DA4574"/>
    <w:rsid w:val="00DA4C77"/>
    <w:rsid w:val="00DA4F7A"/>
    <w:rsid w:val="00DA5047"/>
    <w:rsid w:val="00DA538E"/>
    <w:rsid w:val="00DA59AF"/>
    <w:rsid w:val="00DA5F2B"/>
    <w:rsid w:val="00DA60B1"/>
    <w:rsid w:val="00DA6C7D"/>
    <w:rsid w:val="00DA70C9"/>
    <w:rsid w:val="00DA7D2A"/>
    <w:rsid w:val="00DB1335"/>
    <w:rsid w:val="00DB1D4A"/>
    <w:rsid w:val="00DB343A"/>
    <w:rsid w:val="00DB3C0E"/>
    <w:rsid w:val="00DB3EA2"/>
    <w:rsid w:val="00DB3FDC"/>
    <w:rsid w:val="00DB4415"/>
    <w:rsid w:val="00DB4482"/>
    <w:rsid w:val="00DB4E94"/>
    <w:rsid w:val="00DB52D5"/>
    <w:rsid w:val="00DB534B"/>
    <w:rsid w:val="00DB56EF"/>
    <w:rsid w:val="00DB5B60"/>
    <w:rsid w:val="00DB5DB4"/>
    <w:rsid w:val="00DB61A9"/>
    <w:rsid w:val="00DB74F8"/>
    <w:rsid w:val="00DB7505"/>
    <w:rsid w:val="00DC01F1"/>
    <w:rsid w:val="00DC04C5"/>
    <w:rsid w:val="00DC0C91"/>
    <w:rsid w:val="00DC27D5"/>
    <w:rsid w:val="00DC36DA"/>
    <w:rsid w:val="00DC38B3"/>
    <w:rsid w:val="00DC41D1"/>
    <w:rsid w:val="00DC432D"/>
    <w:rsid w:val="00DC459B"/>
    <w:rsid w:val="00DC4777"/>
    <w:rsid w:val="00DC4AEE"/>
    <w:rsid w:val="00DC5039"/>
    <w:rsid w:val="00DC52B4"/>
    <w:rsid w:val="00DC6361"/>
    <w:rsid w:val="00DC65F3"/>
    <w:rsid w:val="00DC6B3B"/>
    <w:rsid w:val="00DC6CE3"/>
    <w:rsid w:val="00DC7777"/>
    <w:rsid w:val="00DC7D84"/>
    <w:rsid w:val="00DD03EB"/>
    <w:rsid w:val="00DD07E8"/>
    <w:rsid w:val="00DD1041"/>
    <w:rsid w:val="00DD3215"/>
    <w:rsid w:val="00DD399E"/>
    <w:rsid w:val="00DD39A0"/>
    <w:rsid w:val="00DD3FB6"/>
    <w:rsid w:val="00DD42E3"/>
    <w:rsid w:val="00DD4330"/>
    <w:rsid w:val="00DD448D"/>
    <w:rsid w:val="00DD53A7"/>
    <w:rsid w:val="00DD5BBE"/>
    <w:rsid w:val="00DD5BF9"/>
    <w:rsid w:val="00DD5D3D"/>
    <w:rsid w:val="00DD5EE2"/>
    <w:rsid w:val="00DD630E"/>
    <w:rsid w:val="00DD7728"/>
    <w:rsid w:val="00DE05EA"/>
    <w:rsid w:val="00DE068E"/>
    <w:rsid w:val="00DE0705"/>
    <w:rsid w:val="00DE0A29"/>
    <w:rsid w:val="00DE0E03"/>
    <w:rsid w:val="00DE1A27"/>
    <w:rsid w:val="00DE1BE3"/>
    <w:rsid w:val="00DE1C16"/>
    <w:rsid w:val="00DE26BE"/>
    <w:rsid w:val="00DE2E23"/>
    <w:rsid w:val="00DE37C7"/>
    <w:rsid w:val="00DE4396"/>
    <w:rsid w:val="00DE5862"/>
    <w:rsid w:val="00DE682A"/>
    <w:rsid w:val="00DE682D"/>
    <w:rsid w:val="00DE6DC7"/>
    <w:rsid w:val="00DF1711"/>
    <w:rsid w:val="00DF2474"/>
    <w:rsid w:val="00DF258C"/>
    <w:rsid w:val="00DF2760"/>
    <w:rsid w:val="00DF293A"/>
    <w:rsid w:val="00DF2A4B"/>
    <w:rsid w:val="00DF3224"/>
    <w:rsid w:val="00DF481B"/>
    <w:rsid w:val="00DF4ECD"/>
    <w:rsid w:val="00DF58ED"/>
    <w:rsid w:val="00DF62C5"/>
    <w:rsid w:val="00DF6B2E"/>
    <w:rsid w:val="00DF72B9"/>
    <w:rsid w:val="00DF7AB1"/>
    <w:rsid w:val="00E020DC"/>
    <w:rsid w:val="00E02222"/>
    <w:rsid w:val="00E03BE6"/>
    <w:rsid w:val="00E03C79"/>
    <w:rsid w:val="00E04D78"/>
    <w:rsid w:val="00E04DC2"/>
    <w:rsid w:val="00E050E7"/>
    <w:rsid w:val="00E05EBB"/>
    <w:rsid w:val="00E0632D"/>
    <w:rsid w:val="00E064AE"/>
    <w:rsid w:val="00E0687B"/>
    <w:rsid w:val="00E07FB1"/>
    <w:rsid w:val="00E10158"/>
    <w:rsid w:val="00E10C64"/>
    <w:rsid w:val="00E10CDE"/>
    <w:rsid w:val="00E12E82"/>
    <w:rsid w:val="00E12EFC"/>
    <w:rsid w:val="00E1339A"/>
    <w:rsid w:val="00E1368D"/>
    <w:rsid w:val="00E14276"/>
    <w:rsid w:val="00E150C2"/>
    <w:rsid w:val="00E152AF"/>
    <w:rsid w:val="00E1577D"/>
    <w:rsid w:val="00E165F1"/>
    <w:rsid w:val="00E16C0E"/>
    <w:rsid w:val="00E172D1"/>
    <w:rsid w:val="00E202EE"/>
    <w:rsid w:val="00E2030C"/>
    <w:rsid w:val="00E2151D"/>
    <w:rsid w:val="00E22A79"/>
    <w:rsid w:val="00E2327E"/>
    <w:rsid w:val="00E23432"/>
    <w:rsid w:val="00E23F62"/>
    <w:rsid w:val="00E23F8C"/>
    <w:rsid w:val="00E25106"/>
    <w:rsid w:val="00E264F0"/>
    <w:rsid w:val="00E266F5"/>
    <w:rsid w:val="00E26893"/>
    <w:rsid w:val="00E26E0F"/>
    <w:rsid w:val="00E27121"/>
    <w:rsid w:val="00E271BE"/>
    <w:rsid w:val="00E276F2"/>
    <w:rsid w:val="00E27BC6"/>
    <w:rsid w:val="00E304E9"/>
    <w:rsid w:val="00E31991"/>
    <w:rsid w:val="00E32665"/>
    <w:rsid w:val="00E34262"/>
    <w:rsid w:val="00E3428D"/>
    <w:rsid w:val="00E347AB"/>
    <w:rsid w:val="00E34CF3"/>
    <w:rsid w:val="00E35062"/>
    <w:rsid w:val="00E355B4"/>
    <w:rsid w:val="00E35747"/>
    <w:rsid w:val="00E35F18"/>
    <w:rsid w:val="00E365BF"/>
    <w:rsid w:val="00E36A74"/>
    <w:rsid w:val="00E36C6F"/>
    <w:rsid w:val="00E3771E"/>
    <w:rsid w:val="00E37CBF"/>
    <w:rsid w:val="00E37CE5"/>
    <w:rsid w:val="00E40164"/>
    <w:rsid w:val="00E407CB"/>
    <w:rsid w:val="00E40D8A"/>
    <w:rsid w:val="00E40E37"/>
    <w:rsid w:val="00E40F3B"/>
    <w:rsid w:val="00E416B0"/>
    <w:rsid w:val="00E4207A"/>
    <w:rsid w:val="00E42139"/>
    <w:rsid w:val="00E428E5"/>
    <w:rsid w:val="00E42CD7"/>
    <w:rsid w:val="00E4304A"/>
    <w:rsid w:val="00E4350A"/>
    <w:rsid w:val="00E4476C"/>
    <w:rsid w:val="00E4478C"/>
    <w:rsid w:val="00E44E9D"/>
    <w:rsid w:val="00E44FEE"/>
    <w:rsid w:val="00E459A7"/>
    <w:rsid w:val="00E45C6B"/>
    <w:rsid w:val="00E45DA4"/>
    <w:rsid w:val="00E46013"/>
    <w:rsid w:val="00E46618"/>
    <w:rsid w:val="00E4788C"/>
    <w:rsid w:val="00E47B5F"/>
    <w:rsid w:val="00E51FF3"/>
    <w:rsid w:val="00E53041"/>
    <w:rsid w:val="00E53CF4"/>
    <w:rsid w:val="00E552B3"/>
    <w:rsid w:val="00E5537E"/>
    <w:rsid w:val="00E55901"/>
    <w:rsid w:val="00E55CA1"/>
    <w:rsid w:val="00E55DDE"/>
    <w:rsid w:val="00E57691"/>
    <w:rsid w:val="00E57D3A"/>
    <w:rsid w:val="00E6044B"/>
    <w:rsid w:val="00E6054D"/>
    <w:rsid w:val="00E6093F"/>
    <w:rsid w:val="00E60FB9"/>
    <w:rsid w:val="00E616E5"/>
    <w:rsid w:val="00E62572"/>
    <w:rsid w:val="00E629DC"/>
    <w:rsid w:val="00E62F21"/>
    <w:rsid w:val="00E62F96"/>
    <w:rsid w:val="00E631CF"/>
    <w:rsid w:val="00E634AB"/>
    <w:rsid w:val="00E63A9D"/>
    <w:rsid w:val="00E6534C"/>
    <w:rsid w:val="00E6781C"/>
    <w:rsid w:val="00E7062E"/>
    <w:rsid w:val="00E70960"/>
    <w:rsid w:val="00E70DE7"/>
    <w:rsid w:val="00E71D10"/>
    <w:rsid w:val="00E72043"/>
    <w:rsid w:val="00E724AC"/>
    <w:rsid w:val="00E7254B"/>
    <w:rsid w:val="00E728C0"/>
    <w:rsid w:val="00E72D4C"/>
    <w:rsid w:val="00E72DB6"/>
    <w:rsid w:val="00E749C6"/>
    <w:rsid w:val="00E74B56"/>
    <w:rsid w:val="00E75282"/>
    <w:rsid w:val="00E753F5"/>
    <w:rsid w:val="00E75C10"/>
    <w:rsid w:val="00E766E3"/>
    <w:rsid w:val="00E76B3B"/>
    <w:rsid w:val="00E77E4F"/>
    <w:rsid w:val="00E77E6B"/>
    <w:rsid w:val="00E77F32"/>
    <w:rsid w:val="00E8011A"/>
    <w:rsid w:val="00E813AA"/>
    <w:rsid w:val="00E81D0C"/>
    <w:rsid w:val="00E82459"/>
    <w:rsid w:val="00E82FC5"/>
    <w:rsid w:val="00E83ADD"/>
    <w:rsid w:val="00E84D6A"/>
    <w:rsid w:val="00E84D76"/>
    <w:rsid w:val="00E84EED"/>
    <w:rsid w:val="00E85251"/>
    <w:rsid w:val="00E8540F"/>
    <w:rsid w:val="00E85648"/>
    <w:rsid w:val="00E85778"/>
    <w:rsid w:val="00E85ED4"/>
    <w:rsid w:val="00E86441"/>
    <w:rsid w:val="00E903F8"/>
    <w:rsid w:val="00E90E00"/>
    <w:rsid w:val="00E914A2"/>
    <w:rsid w:val="00E9152A"/>
    <w:rsid w:val="00E91D17"/>
    <w:rsid w:val="00E9208B"/>
    <w:rsid w:val="00E920A7"/>
    <w:rsid w:val="00E92793"/>
    <w:rsid w:val="00E92E92"/>
    <w:rsid w:val="00E94658"/>
    <w:rsid w:val="00E9481E"/>
    <w:rsid w:val="00E9545E"/>
    <w:rsid w:val="00E95644"/>
    <w:rsid w:val="00E96538"/>
    <w:rsid w:val="00EA01E3"/>
    <w:rsid w:val="00EA03A4"/>
    <w:rsid w:val="00EA058C"/>
    <w:rsid w:val="00EA0AF6"/>
    <w:rsid w:val="00EA0B5D"/>
    <w:rsid w:val="00EA28FB"/>
    <w:rsid w:val="00EA3474"/>
    <w:rsid w:val="00EA3798"/>
    <w:rsid w:val="00EA4C18"/>
    <w:rsid w:val="00EA5087"/>
    <w:rsid w:val="00EA5146"/>
    <w:rsid w:val="00EA5FBB"/>
    <w:rsid w:val="00EA5FC9"/>
    <w:rsid w:val="00EA65BD"/>
    <w:rsid w:val="00EA7691"/>
    <w:rsid w:val="00EB1F23"/>
    <w:rsid w:val="00EB2AF2"/>
    <w:rsid w:val="00EB30D2"/>
    <w:rsid w:val="00EB3F75"/>
    <w:rsid w:val="00EB4DA9"/>
    <w:rsid w:val="00EB4F91"/>
    <w:rsid w:val="00EB5E92"/>
    <w:rsid w:val="00EB5F86"/>
    <w:rsid w:val="00EB604E"/>
    <w:rsid w:val="00EB7228"/>
    <w:rsid w:val="00EB79A1"/>
    <w:rsid w:val="00EB7A3A"/>
    <w:rsid w:val="00EB7C17"/>
    <w:rsid w:val="00EC0504"/>
    <w:rsid w:val="00EC08E1"/>
    <w:rsid w:val="00EC12F0"/>
    <w:rsid w:val="00EC1568"/>
    <w:rsid w:val="00EC1677"/>
    <w:rsid w:val="00EC2F53"/>
    <w:rsid w:val="00EC372F"/>
    <w:rsid w:val="00EC37B8"/>
    <w:rsid w:val="00EC4246"/>
    <w:rsid w:val="00EC4978"/>
    <w:rsid w:val="00EC4D2A"/>
    <w:rsid w:val="00EC4D47"/>
    <w:rsid w:val="00EC4D6C"/>
    <w:rsid w:val="00EC60D0"/>
    <w:rsid w:val="00EC64C2"/>
    <w:rsid w:val="00EC7E92"/>
    <w:rsid w:val="00EC7FAA"/>
    <w:rsid w:val="00ED02A6"/>
    <w:rsid w:val="00ED02E9"/>
    <w:rsid w:val="00ED0476"/>
    <w:rsid w:val="00ED0982"/>
    <w:rsid w:val="00ED09EF"/>
    <w:rsid w:val="00ED13C3"/>
    <w:rsid w:val="00ED1EFA"/>
    <w:rsid w:val="00ED2796"/>
    <w:rsid w:val="00ED497F"/>
    <w:rsid w:val="00ED65D2"/>
    <w:rsid w:val="00ED6DF0"/>
    <w:rsid w:val="00ED7EA7"/>
    <w:rsid w:val="00EE0208"/>
    <w:rsid w:val="00EE04D5"/>
    <w:rsid w:val="00EE10C9"/>
    <w:rsid w:val="00EE11D9"/>
    <w:rsid w:val="00EE1324"/>
    <w:rsid w:val="00EE1789"/>
    <w:rsid w:val="00EE262A"/>
    <w:rsid w:val="00EE2A3B"/>
    <w:rsid w:val="00EE3AA9"/>
    <w:rsid w:val="00EE3EDE"/>
    <w:rsid w:val="00EE41C5"/>
    <w:rsid w:val="00EE42B2"/>
    <w:rsid w:val="00EE4489"/>
    <w:rsid w:val="00EE4B28"/>
    <w:rsid w:val="00EE4CB8"/>
    <w:rsid w:val="00EE5276"/>
    <w:rsid w:val="00EE6848"/>
    <w:rsid w:val="00EE6B69"/>
    <w:rsid w:val="00EE7642"/>
    <w:rsid w:val="00EE7ECF"/>
    <w:rsid w:val="00EF01D5"/>
    <w:rsid w:val="00EF145F"/>
    <w:rsid w:val="00EF1743"/>
    <w:rsid w:val="00EF1F5A"/>
    <w:rsid w:val="00EF2087"/>
    <w:rsid w:val="00EF2172"/>
    <w:rsid w:val="00EF33B6"/>
    <w:rsid w:val="00EF3655"/>
    <w:rsid w:val="00EF4AE2"/>
    <w:rsid w:val="00EF5A07"/>
    <w:rsid w:val="00EF5D11"/>
    <w:rsid w:val="00EF5D3E"/>
    <w:rsid w:val="00EF649D"/>
    <w:rsid w:val="00EF6E90"/>
    <w:rsid w:val="00EF7527"/>
    <w:rsid w:val="00EF7A28"/>
    <w:rsid w:val="00EF7C40"/>
    <w:rsid w:val="00F00167"/>
    <w:rsid w:val="00F00776"/>
    <w:rsid w:val="00F00CA7"/>
    <w:rsid w:val="00F021A8"/>
    <w:rsid w:val="00F0243E"/>
    <w:rsid w:val="00F025B3"/>
    <w:rsid w:val="00F036DC"/>
    <w:rsid w:val="00F043D2"/>
    <w:rsid w:val="00F05125"/>
    <w:rsid w:val="00F052EA"/>
    <w:rsid w:val="00F06B38"/>
    <w:rsid w:val="00F06EF1"/>
    <w:rsid w:val="00F0735F"/>
    <w:rsid w:val="00F073F9"/>
    <w:rsid w:val="00F07AA1"/>
    <w:rsid w:val="00F07B17"/>
    <w:rsid w:val="00F07F02"/>
    <w:rsid w:val="00F1191E"/>
    <w:rsid w:val="00F11B87"/>
    <w:rsid w:val="00F11EF9"/>
    <w:rsid w:val="00F14B16"/>
    <w:rsid w:val="00F15B6D"/>
    <w:rsid w:val="00F16503"/>
    <w:rsid w:val="00F1654A"/>
    <w:rsid w:val="00F16696"/>
    <w:rsid w:val="00F17158"/>
    <w:rsid w:val="00F17554"/>
    <w:rsid w:val="00F175F1"/>
    <w:rsid w:val="00F17A17"/>
    <w:rsid w:val="00F17F16"/>
    <w:rsid w:val="00F21BF5"/>
    <w:rsid w:val="00F22BCC"/>
    <w:rsid w:val="00F22D69"/>
    <w:rsid w:val="00F233E0"/>
    <w:rsid w:val="00F246AE"/>
    <w:rsid w:val="00F248F1"/>
    <w:rsid w:val="00F24D1E"/>
    <w:rsid w:val="00F24DF9"/>
    <w:rsid w:val="00F25969"/>
    <w:rsid w:val="00F266B1"/>
    <w:rsid w:val="00F266FB"/>
    <w:rsid w:val="00F26920"/>
    <w:rsid w:val="00F27244"/>
    <w:rsid w:val="00F27467"/>
    <w:rsid w:val="00F277AF"/>
    <w:rsid w:val="00F27BB3"/>
    <w:rsid w:val="00F301E1"/>
    <w:rsid w:val="00F304E3"/>
    <w:rsid w:val="00F30D23"/>
    <w:rsid w:val="00F311CA"/>
    <w:rsid w:val="00F31885"/>
    <w:rsid w:val="00F31E09"/>
    <w:rsid w:val="00F33457"/>
    <w:rsid w:val="00F338A7"/>
    <w:rsid w:val="00F33A35"/>
    <w:rsid w:val="00F33CCB"/>
    <w:rsid w:val="00F34681"/>
    <w:rsid w:val="00F351B6"/>
    <w:rsid w:val="00F35C59"/>
    <w:rsid w:val="00F365C4"/>
    <w:rsid w:val="00F36600"/>
    <w:rsid w:val="00F37648"/>
    <w:rsid w:val="00F37B5E"/>
    <w:rsid w:val="00F40C65"/>
    <w:rsid w:val="00F40CD9"/>
    <w:rsid w:val="00F43886"/>
    <w:rsid w:val="00F44550"/>
    <w:rsid w:val="00F4476F"/>
    <w:rsid w:val="00F448BB"/>
    <w:rsid w:val="00F44F67"/>
    <w:rsid w:val="00F456D6"/>
    <w:rsid w:val="00F45B29"/>
    <w:rsid w:val="00F46166"/>
    <w:rsid w:val="00F4625E"/>
    <w:rsid w:val="00F4654C"/>
    <w:rsid w:val="00F518C9"/>
    <w:rsid w:val="00F51AA9"/>
    <w:rsid w:val="00F51FD9"/>
    <w:rsid w:val="00F52118"/>
    <w:rsid w:val="00F52B3B"/>
    <w:rsid w:val="00F52B87"/>
    <w:rsid w:val="00F53073"/>
    <w:rsid w:val="00F53240"/>
    <w:rsid w:val="00F533C8"/>
    <w:rsid w:val="00F53538"/>
    <w:rsid w:val="00F53832"/>
    <w:rsid w:val="00F539B7"/>
    <w:rsid w:val="00F53B85"/>
    <w:rsid w:val="00F559D5"/>
    <w:rsid w:val="00F55DA9"/>
    <w:rsid w:val="00F56345"/>
    <w:rsid w:val="00F563AD"/>
    <w:rsid w:val="00F5755D"/>
    <w:rsid w:val="00F57FC8"/>
    <w:rsid w:val="00F6040A"/>
    <w:rsid w:val="00F60564"/>
    <w:rsid w:val="00F6069A"/>
    <w:rsid w:val="00F606FD"/>
    <w:rsid w:val="00F607BF"/>
    <w:rsid w:val="00F6103D"/>
    <w:rsid w:val="00F621DB"/>
    <w:rsid w:val="00F621F4"/>
    <w:rsid w:val="00F622DC"/>
    <w:rsid w:val="00F62ACC"/>
    <w:rsid w:val="00F63B03"/>
    <w:rsid w:val="00F64C3D"/>
    <w:rsid w:val="00F64ECB"/>
    <w:rsid w:val="00F65ADA"/>
    <w:rsid w:val="00F66805"/>
    <w:rsid w:val="00F66CB1"/>
    <w:rsid w:val="00F67E29"/>
    <w:rsid w:val="00F715DE"/>
    <w:rsid w:val="00F71A1A"/>
    <w:rsid w:val="00F71AA3"/>
    <w:rsid w:val="00F71D0B"/>
    <w:rsid w:val="00F721B1"/>
    <w:rsid w:val="00F725AA"/>
    <w:rsid w:val="00F72A37"/>
    <w:rsid w:val="00F759C6"/>
    <w:rsid w:val="00F761E2"/>
    <w:rsid w:val="00F763D3"/>
    <w:rsid w:val="00F768DD"/>
    <w:rsid w:val="00F7694B"/>
    <w:rsid w:val="00F76EBF"/>
    <w:rsid w:val="00F76FF7"/>
    <w:rsid w:val="00F7793F"/>
    <w:rsid w:val="00F8081C"/>
    <w:rsid w:val="00F809C5"/>
    <w:rsid w:val="00F81473"/>
    <w:rsid w:val="00F81836"/>
    <w:rsid w:val="00F81866"/>
    <w:rsid w:val="00F82B01"/>
    <w:rsid w:val="00F82F1A"/>
    <w:rsid w:val="00F83F3C"/>
    <w:rsid w:val="00F84D79"/>
    <w:rsid w:val="00F84FB2"/>
    <w:rsid w:val="00F85E3B"/>
    <w:rsid w:val="00F860F2"/>
    <w:rsid w:val="00F8684C"/>
    <w:rsid w:val="00F868DA"/>
    <w:rsid w:val="00F869E0"/>
    <w:rsid w:val="00F86AC4"/>
    <w:rsid w:val="00F86BA7"/>
    <w:rsid w:val="00F872D8"/>
    <w:rsid w:val="00F873AF"/>
    <w:rsid w:val="00F87488"/>
    <w:rsid w:val="00F87E78"/>
    <w:rsid w:val="00F9042B"/>
    <w:rsid w:val="00F90993"/>
    <w:rsid w:val="00F92394"/>
    <w:rsid w:val="00F92BC9"/>
    <w:rsid w:val="00F92DFF"/>
    <w:rsid w:val="00F938D7"/>
    <w:rsid w:val="00F9409F"/>
    <w:rsid w:val="00F94296"/>
    <w:rsid w:val="00F944CB"/>
    <w:rsid w:val="00F95006"/>
    <w:rsid w:val="00F95D70"/>
    <w:rsid w:val="00F966D7"/>
    <w:rsid w:val="00F96DBC"/>
    <w:rsid w:val="00F96E8A"/>
    <w:rsid w:val="00F97A99"/>
    <w:rsid w:val="00FA03AC"/>
    <w:rsid w:val="00FA15BA"/>
    <w:rsid w:val="00FA22F7"/>
    <w:rsid w:val="00FA283A"/>
    <w:rsid w:val="00FA39C6"/>
    <w:rsid w:val="00FA3DE4"/>
    <w:rsid w:val="00FA46DF"/>
    <w:rsid w:val="00FA56D8"/>
    <w:rsid w:val="00FA599B"/>
    <w:rsid w:val="00FA62F4"/>
    <w:rsid w:val="00FA6886"/>
    <w:rsid w:val="00FA738C"/>
    <w:rsid w:val="00FA7AD6"/>
    <w:rsid w:val="00FA7E73"/>
    <w:rsid w:val="00FB025E"/>
    <w:rsid w:val="00FB0918"/>
    <w:rsid w:val="00FB0A66"/>
    <w:rsid w:val="00FB1331"/>
    <w:rsid w:val="00FB1BCB"/>
    <w:rsid w:val="00FB1E7D"/>
    <w:rsid w:val="00FB1EE5"/>
    <w:rsid w:val="00FB1F02"/>
    <w:rsid w:val="00FB2DC1"/>
    <w:rsid w:val="00FB424F"/>
    <w:rsid w:val="00FB4AAC"/>
    <w:rsid w:val="00FB53C6"/>
    <w:rsid w:val="00FB54D7"/>
    <w:rsid w:val="00FB6C80"/>
    <w:rsid w:val="00FB703B"/>
    <w:rsid w:val="00FB7709"/>
    <w:rsid w:val="00FB7922"/>
    <w:rsid w:val="00FC0B2D"/>
    <w:rsid w:val="00FC0E50"/>
    <w:rsid w:val="00FC11BC"/>
    <w:rsid w:val="00FC23F3"/>
    <w:rsid w:val="00FC25C9"/>
    <w:rsid w:val="00FC2C9A"/>
    <w:rsid w:val="00FC2D61"/>
    <w:rsid w:val="00FC3570"/>
    <w:rsid w:val="00FC4D69"/>
    <w:rsid w:val="00FC4F6F"/>
    <w:rsid w:val="00FC5980"/>
    <w:rsid w:val="00FC5EB5"/>
    <w:rsid w:val="00FC6992"/>
    <w:rsid w:val="00FD032B"/>
    <w:rsid w:val="00FD0EB2"/>
    <w:rsid w:val="00FD0FE8"/>
    <w:rsid w:val="00FD15FC"/>
    <w:rsid w:val="00FD17AB"/>
    <w:rsid w:val="00FD260F"/>
    <w:rsid w:val="00FD26B3"/>
    <w:rsid w:val="00FD2DE0"/>
    <w:rsid w:val="00FD2EAD"/>
    <w:rsid w:val="00FD383D"/>
    <w:rsid w:val="00FD4885"/>
    <w:rsid w:val="00FD4FDF"/>
    <w:rsid w:val="00FD5870"/>
    <w:rsid w:val="00FD5ABF"/>
    <w:rsid w:val="00FD67B9"/>
    <w:rsid w:val="00FD7248"/>
    <w:rsid w:val="00FD7912"/>
    <w:rsid w:val="00FD7A34"/>
    <w:rsid w:val="00FE000C"/>
    <w:rsid w:val="00FE0948"/>
    <w:rsid w:val="00FE0A81"/>
    <w:rsid w:val="00FE0DC5"/>
    <w:rsid w:val="00FE1D5D"/>
    <w:rsid w:val="00FE1E36"/>
    <w:rsid w:val="00FE2E5F"/>
    <w:rsid w:val="00FE43D6"/>
    <w:rsid w:val="00FE4473"/>
    <w:rsid w:val="00FE47C0"/>
    <w:rsid w:val="00FE5764"/>
    <w:rsid w:val="00FE667B"/>
    <w:rsid w:val="00FE75E4"/>
    <w:rsid w:val="00FE7A88"/>
    <w:rsid w:val="00FE7D58"/>
    <w:rsid w:val="00FF13F8"/>
    <w:rsid w:val="00FF18B2"/>
    <w:rsid w:val="00FF3348"/>
    <w:rsid w:val="00FF3BC9"/>
    <w:rsid w:val="00FF52D6"/>
    <w:rsid w:val="00FF5663"/>
    <w:rsid w:val="00FF61C7"/>
    <w:rsid w:val="00FF62E5"/>
    <w:rsid w:val="00FF6B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D6A0"/>
  <w15:chartTrackingRefBased/>
  <w15:docId w15:val="{6183C341-AB11-4B65-8DD1-2C3BDE06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A5"/>
    <w:pPr>
      <w:spacing w:after="0" w:line="240" w:lineRule="auto"/>
    </w:pPr>
    <w:rPr>
      <w:lang w:val="es-ES"/>
    </w:rPr>
  </w:style>
  <w:style w:type="paragraph" w:styleId="Ttulo1">
    <w:name w:val="heading 1"/>
    <w:basedOn w:val="Normal"/>
    <w:next w:val="Normal"/>
    <w:link w:val="Ttulo1Car"/>
    <w:uiPriority w:val="9"/>
    <w:qFormat/>
    <w:rsid w:val="00FD032B"/>
    <w:pPr>
      <w:keepNext/>
      <w:keepLines/>
      <w:contextualSpacing/>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Ttulo1"/>
    <w:next w:val="Normal"/>
    <w:link w:val="Ttulo2Car"/>
    <w:uiPriority w:val="9"/>
    <w:unhideWhenUsed/>
    <w:qFormat/>
    <w:rsid w:val="00054DD3"/>
    <w:pPr>
      <w:outlineLvl w:val="1"/>
    </w:pPr>
    <w:rPr>
      <w:sz w:val="32"/>
      <w:szCs w:val="32"/>
    </w:rPr>
  </w:style>
  <w:style w:type="paragraph" w:styleId="Ttulo3">
    <w:name w:val="heading 3"/>
    <w:basedOn w:val="Ttulo2"/>
    <w:next w:val="Normal"/>
    <w:link w:val="Ttulo3Car"/>
    <w:uiPriority w:val="9"/>
    <w:unhideWhenUsed/>
    <w:qFormat/>
    <w:rsid w:val="00F338A7"/>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uiPriority w:val="99"/>
    <w:rsid w:val="00907FB5"/>
    <w:rPr>
      <w:color w:val="0000FF"/>
      <w:u w:val="single"/>
    </w:rPr>
  </w:style>
  <w:style w:type="paragraph" w:styleId="Prrafodelista">
    <w:name w:val="List Paragraph"/>
    <w:aliases w:val="Informe"/>
    <w:basedOn w:val="Normal"/>
    <w:link w:val="PrrafodelistaCar"/>
    <w:uiPriority w:val="34"/>
    <w:qFormat/>
    <w:rsid w:val="006023D3"/>
    <w:pPr>
      <w:ind w:left="720"/>
      <w:contextualSpacing/>
    </w:pPr>
  </w:style>
  <w:style w:type="paragraph" w:styleId="Sinespaciado">
    <w:name w:val="No Spacing"/>
    <w:link w:val="SinespaciadoCar"/>
    <w:uiPriority w:val="1"/>
    <w:qFormat/>
    <w:rsid w:val="006023D3"/>
    <w:pPr>
      <w:spacing w:after="0" w:line="240" w:lineRule="auto"/>
    </w:pPr>
    <w:rPr>
      <w:lang w:val="es-ES"/>
    </w:rPr>
  </w:style>
  <w:style w:type="character" w:customStyle="1" w:styleId="PrrafodelistaCar">
    <w:name w:val="Párrafo de lista Car"/>
    <w:aliases w:val="Informe Car"/>
    <w:link w:val="Prrafodelista"/>
    <w:uiPriority w:val="34"/>
    <w:rsid w:val="006023D3"/>
    <w:rPr>
      <w:lang w:val="es-ES"/>
    </w:rPr>
  </w:style>
  <w:style w:type="character" w:customStyle="1" w:styleId="SinespaciadoCar">
    <w:name w:val="Sin espaciado Car"/>
    <w:basedOn w:val="Fuentedeprrafopredeter"/>
    <w:link w:val="Sinespaciado"/>
    <w:uiPriority w:val="1"/>
    <w:rsid w:val="006023D3"/>
    <w:rPr>
      <w:lang w:val="es-ES"/>
    </w:rPr>
  </w:style>
  <w:style w:type="table" w:styleId="Tablaconcuadrcula">
    <w:name w:val="Table Grid"/>
    <w:basedOn w:val="Tablanormal"/>
    <w:uiPriority w:val="59"/>
    <w:rsid w:val="0060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6023D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1">
    <w:name w:val="normaltextrun1"/>
    <w:basedOn w:val="Fuentedeprrafopredeter"/>
    <w:rsid w:val="00664025"/>
  </w:style>
  <w:style w:type="character" w:customStyle="1" w:styleId="eop">
    <w:name w:val="eop"/>
    <w:basedOn w:val="Fuentedeprrafopredeter"/>
    <w:rsid w:val="00664025"/>
  </w:style>
  <w:style w:type="character" w:customStyle="1" w:styleId="Ttulo1Car">
    <w:name w:val="Título 1 Car"/>
    <w:basedOn w:val="Fuentedeprrafopredeter"/>
    <w:link w:val="Ttulo1"/>
    <w:uiPriority w:val="9"/>
    <w:rsid w:val="00FD032B"/>
    <w:rPr>
      <w:rFonts w:asciiTheme="majorHAnsi" w:eastAsiaTheme="majorEastAsia" w:hAnsiTheme="majorHAnsi" w:cstheme="majorBidi"/>
      <w:color w:val="365F91" w:themeColor="accent1" w:themeShade="BF"/>
      <w:sz w:val="36"/>
      <w:szCs w:val="36"/>
      <w:lang w:val="es-ES"/>
    </w:rPr>
  </w:style>
  <w:style w:type="character" w:styleId="Mencinsinresolver">
    <w:name w:val="Unresolved Mention"/>
    <w:basedOn w:val="Fuentedeprrafopredeter"/>
    <w:uiPriority w:val="99"/>
    <w:semiHidden/>
    <w:unhideWhenUsed/>
    <w:rsid w:val="00E62F96"/>
    <w:rPr>
      <w:color w:val="605E5C"/>
      <w:shd w:val="clear" w:color="auto" w:fill="E1DFDD"/>
    </w:rPr>
  </w:style>
  <w:style w:type="character" w:customStyle="1" w:styleId="Ttulo2Car">
    <w:name w:val="Título 2 Car"/>
    <w:basedOn w:val="Fuentedeprrafopredeter"/>
    <w:link w:val="Ttulo2"/>
    <w:uiPriority w:val="9"/>
    <w:rsid w:val="00054DD3"/>
    <w:rPr>
      <w:rFonts w:asciiTheme="majorHAnsi" w:eastAsiaTheme="majorEastAsia" w:hAnsiTheme="majorHAnsi" w:cstheme="majorBidi"/>
      <w:color w:val="365F91" w:themeColor="accent1" w:themeShade="BF"/>
      <w:sz w:val="32"/>
      <w:szCs w:val="32"/>
      <w:lang w:val="es-ES"/>
    </w:rPr>
  </w:style>
  <w:style w:type="paragraph" w:styleId="Descripcin">
    <w:name w:val="caption"/>
    <w:basedOn w:val="Normal"/>
    <w:next w:val="Normal"/>
    <w:uiPriority w:val="35"/>
    <w:unhideWhenUsed/>
    <w:qFormat/>
    <w:rsid w:val="005C62A5"/>
    <w:pPr>
      <w:spacing w:after="200"/>
    </w:pPr>
    <w:rPr>
      <w:i/>
      <w:iCs/>
      <w:color w:val="1F497D" w:themeColor="text2"/>
      <w:sz w:val="18"/>
      <w:szCs w:val="18"/>
    </w:rPr>
  </w:style>
  <w:style w:type="paragraph" w:styleId="Textonotapie">
    <w:name w:val="footnote text"/>
    <w:basedOn w:val="Normal"/>
    <w:link w:val="TextonotapieCar"/>
    <w:uiPriority w:val="99"/>
    <w:semiHidden/>
    <w:unhideWhenUsed/>
    <w:rsid w:val="009B481B"/>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B481B"/>
    <w:rPr>
      <w:rFonts w:ascii="Calibri" w:eastAsia="Calibri" w:hAnsi="Calibri" w:cs="Times New Roman"/>
      <w:sz w:val="20"/>
      <w:szCs w:val="20"/>
      <w:lang w:val="es-ES"/>
    </w:rPr>
  </w:style>
  <w:style w:type="character" w:styleId="Refdenotaalpie">
    <w:name w:val="footnote reference"/>
    <w:uiPriority w:val="99"/>
    <w:semiHidden/>
    <w:unhideWhenUsed/>
    <w:rsid w:val="009B481B"/>
    <w:rPr>
      <w:vertAlign w:val="superscript"/>
    </w:rPr>
  </w:style>
  <w:style w:type="paragraph" w:styleId="TtuloTDC">
    <w:name w:val="TOC Heading"/>
    <w:basedOn w:val="Ttulo1"/>
    <w:next w:val="Normal"/>
    <w:uiPriority w:val="39"/>
    <w:unhideWhenUsed/>
    <w:qFormat/>
    <w:rsid w:val="00C7675B"/>
    <w:pPr>
      <w:spacing w:before="240" w:line="259" w:lineRule="auto"/>
      <w:contextualSpacing w:val="0"/>
      <w:outlineLvl w:val="9"/>
    </w:pPr>
    <w:rPr>
      <w:sz w:val="32"/>
      <w:szCs w:val="32"/>
      <w:lang w:val="es-CR" w:eastAsia="es-CR"/>
    </w:rPr>
  </w:style>
  <w:style w:type="paragraph" w:styleId="TDC1">
    <w:name w:val="toc 1"/>
    <w:basedOn w:val="Normal"/>
    <w:next w:val="Normal"/>
    <w:autoRedefine/>
    <w:uiPriority w:val="39"/>
    <w:unhideWhenUsed/>
    <w:rsid w:val="00C7675B"/>
    <w:pPr>
      <w:spacing w:after="100"/>
    </w:pPr>
  </w:style>
  <w:style w:type="paragraph" w:styleId="TDC2">
    <w:name w:val="toc 2"/>
    <w:basedOn w:val="Normal"/>
    <w:next w:val="Normal"/>
    <w:autoRedefine/>
    <w:uiPriority w:val="39"/>
    <w:unhideWhenUsed/>
    <w:rsid w:val="00C7675B"/>
    <w:pPr>
      <w:spacing w:after="100"/>
      <w:ind w:left="220"/>
    </w:pPr>
  </w:style>
  <w:style w:type="table" w:styleId="Tablaconcuadrcula4-nfasis1">
    <w:name w:val="Grid Table 4 Accent 1"/>
    <w:basedOn w:val="Tablanormal"/>
    <w:uiPriority w:val="49"/>
    <w:rsid w:val="007D5AE5"/>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ar">
    <w:name w:val="Título 3 Car"/>
    <w:basedOn w:val="Fuentedeprrafopredeter"/>
    <w:link w:val="Ttulo3"/>
    <w:uiPriority w:val="9"/>
    <w:rsid w:val="00F338A7"/>
    <w:rPr>
      <w:rFonts w:asciiTheme="majorHAnsi" w:eastAsiaTheme="majorEastAsia" w:hAnsiTheme="majorHAnsi" w:cstheme="majorBidi"/>
      <w:color w:val="365F91" w:themeColor="accent1" w:themeShade="BF"/>
      <w:sz w:val="28"/>
      <w:szCs w:val="28"/>
      <w:lang w:val="es-ES"/>
    </w:rPr>
  </w:style>
  <w:style w:type="paragraph" w:styleId="TDC3">
    <w:name w:val="toc 3"/>
    <w:basedOn w:val="Normal"/>
    <w:next w:val="Normal"/>
    <w:autoRedefine/>
    <w:uiPriority w:val="39"/>
    <w:unhideWhenUsed/>
    <w:rsid w:val="00286D36"/>
    <w:pPr>
      <w:spacing w:after="100"/>
      <w:ind w:left="440"/>
    </w:pPr>
  </w:style>
  <w:style w:type="character" w:styleId="Refdecomentario">
    <w:name w:val="annotation reference"/>
    <w:basedOn w:val="Fuentedeprrafopredeter"/>
    <w:uiPriority w:val="99"/>
    <w:semiHidden/>
    <w:unhideWhenUsed/>
    <w:rsid w:val="00D84631"/>
    <w:rPr>
      <w:sz w:val="16"/>
      <w:szCs w:val="16"/>
    </w:rPr>
  </w:style>
  <w:style w:type="paragraph" w:styleId="Textocomentario">
    <w:name w:val="annotation text"/>
    <w:basedOn w:val="Normal"/>
    <w:link w:val="TextocomentarioCar"/>
    <w:uiPriority w:val="99"/>
    <w:unhideWhenUsed/>
    <w:rsid w:val="00D84631"/>
    <w:rPr>
      <w:sz w:val="20"/>
      <w:szCs w:val="20"/>
    </w:rPr>
  </w:style>
  <w:style w:type="character" w:customStyle="1" w:styleId="TextocomentarioCar">
    <w:name w:val="Texto comentario Car"/>
    <w:basedOn w:val="Fuentedeprrafopredeter"/>
    <w:link w:val="Textocomentario"/>
    <w:uiPriority w:val="99"/>
    <w:rsid w:val="00D8463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84631"/>
    <w:rPr>
      <w:b/>
      <w:bCs/>
    </w:rPr>
  </w:style>
  <w:style w:type="character" w:customStyle="1" w:styleId="AsuntodelcomentarioCar">
    <w:name w:val="Asunto del comentario Car"/>
    <w:basedOn w:val="TextocomentarioCar"/>
    <w:link w:val="Asuntodelcomentario"/>
    <w:uiPriority w:val="99"/>
    <w:semiHidden/>
    <w:rsid w:val="00D84631"/>
    <w:rPr>
      <w:b/>
      <w:bCs/>
      <w:sz w:val="20"/>
      <w:szCs w:val="20"/>
      <w:lang w:val="es-ES"/>
    </w:rPr>
  </w:style>
  <w:style w:type="paragraph" w:styleId="Textodeglobo">
    <w:name w:val="Balloon Text"/>
    <w:basedOn w:val="Normal"/>
    <w:link w:val="TextodegloboCar"/>
    <w:uiPriority w:val="99"/>
    <w:semiHidden/>
    <w:unhideWhenUsed/>
    <w:rsid w:val="00D846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631"/>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EB7C17"/>
    <w:rPr>
      <w:color w:val="800080" w:themeColor="followedHyperlink"/>
      <w:u w:val="single"/>
    </w:rPr>
  </w:style>
  <w:style w:type="paragraph" w:customStyle="1" w:styleId="paragraph">
    <w:name w:val="paragraph"/>
    <w:basedOn w:val="Normal"/>
    <w:rsid w:val="00C43EA9"/>
    <w:rPr>
      <w:rFonts w:ascii="Times New Roman" w:eastAsia="Times New Roman" w:hAnsi="Times New Roman" w:cs="Times New Roman"/>
      <w:sz w:val="24"/>
      <w:szCs w:val="24"/>
      <w:lang w:val="es-CR" w:eastAsia="es-CR"/>
    </w:rPr>
  </w:style>
  <w:style w:type="paragraph" w:styleId="Revisin">
    <w:name w:val="Revision"/>
    <w:hidden/>
    <w:uiPriority w:val="99"/>
    <w:semiHidden/>
    <w:rsid w:val="007D5DF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722">
      <w:bodyDiv w:val="1"/>
      <w:marLeft w:val="0"/>
      <w:marRight w:val="0"/>
      <w:marTop w:val="0"/>
      <w:marBottom w:val="0"/>
      <w:divBdr>
        <w:top w:val="none" w:sz="0" w:space="0" w:color="auto"/>
        <w:left w:val="none" w:sz="0" w:space="0" w:color="auto"/>
        <w:bottom w:val="none" w:sz="0" w:space="0" w:color="auto"/>
        <w:right w:val="none" w:sz="0" w:space="0" w:color="auto"/>
      </w:divBdr>
    </w:div>
    <w:div w:id="176620733">
      <w:bodyDiv w:val="1"/>
      <w:marLeft w:val="0"/>
      <w:marRight w:val="0"/>
      <w:marTop w:val="0"/>
      <w:marBottom w:val="0"/>
      <w:divBdr>
        <w:top w:val="none" w:sz="0" w:space="0" w:color="auto"/>
        <w:left w:val="none" w:sz="0" w:space="0" w:color="auto"/>
        <w:bottom w:val="none" w:sz="0" w:space="0" w:color="auto"/>
        <w:right w:val="none" w:sz="0" w:space="0" w:color="auto"/>
      </w:divBdr>
    </w:div>
    <w:div w:id="329991549">
      <w:bodyDiv w:val="1"/>
      <w:marLeft w:val="0"/>
      <w:marRight w:val="0"/>
      <w:marTop w:val="0"/>
      <w:marBottom w:val="0"/>
      <w:divBdr>
        <w:top w:val="none" w:sz="0" w:space="0" w:color="auto"/>
        <w:left w:val="none" w:sz="0" w:space="0" w:color="auto"/>
        <w:bottom w:val="none" w:sz="0" w:space="0" w:color="auto"/>
        <w:right w:val="none" w:sz="0" w:space="0" w:color="auto"/>
      </w:divBdr>
    </w:div>
    <w:div w:id="381171638">
      <w:bodyDiv w:val="1"/>
      <w:marLeft w:val="0"/>
      <w:marRight w:val="0"/>
      <w:marTop w:val="0"/>
      <w:marBottom w:val="0"/>
      <w:divBdr>
        <w:top w:val="none" w:sz="0" w:space="0" w:color="auto"/>
        <w:left w:val="none" w:sz="0" w:space="0" w:color="auto"/>
        <w:bottom w:val="none" w:sz="0" w:space="0" w:color="auto"/>
        <w:right w:val="none" w:sz="0" w:space="0" w:color="auto"/>
      </w:divBdr>
    </w:div>
    <w:div w:id="417799252">
      <w:bodyDiv w:val="1"/>
      <w:marLeft w:val="0"/>
      <w:marRight w:val="0"/>
      <w:marTop w:val="0"/>
      <w:marBottom w:val="0"/>
      <w:divBdr>
        <w:top w:val="none" w:sz="0" w:space="0" w:color="auto"/>
        <w:left w:val="none" w:sz="0" w:space="0" w:color="auto"/>
        <w:bottom w:val="none" w:sz="0" w:space="0" w:color="auto"/>
        <w:right w:val="none" w:sz="0" w:space="0" w:color="auto"/>
      </w:divBdr>
    </w:div>
    <w:div w:id="439573509">
      <w:bodyDiv w:val="1"/>
      <w:marLeft w:val="0"/>
      <w:marRight w:val="0"/>
      <w:marTop w:val="0"/>
      <w:marBottom w:val="0"/>
      <w:divBdr>
        <w:top w:val="none" w:sz="0" w:space="0" w:color="auto"/>
        <w:left w:val="none" w:sz="0" w:space="0" w:color="auto"/>
        <w:bottom w:val="none" w:sz="0" w:space="0" w:color="auto"/>
        <w:right w:val="none" w:sz="0" w:space="0" w:color="auto"/>
      </w:divBdr>
    </w:div>
    <w:div w:id="485363879">
      <w:bodyDiv w:val="1"/>
      <w:marLeft w:val="0"/>
      <w:marRight w:val="0"/>
      <w:marTop w:val="0"/>
      <w:marBottom w:val="0"/>
      <w:divBdr>
        <w:top w:val="none" w:sz="0" w:space="0" w:color="auto"/>
        <w:left w:val="none" w:sz="0" w:space="0" w:color="auto"/>
        <w:bottom w:val="none" w:sz="0" w:space="0" w:color="auto"/>
        <w:right w:val="none" w:sz="0" w:space="0" w:color="auto"/>
      </w:divBdr>
    </w:div>
    <w:div w:id="507865749">
      <w:bodyDiv w:val="1"/>
      <w:marLeft w:val="0"/>
      <w:marRight w:val="0"/>
      <w:marTop w:val="0"/>
      <w:marBottom w:val="0"/>
      <w:divBdr>
        <w:top w:val="none" w:sz="0" w:space="0" w:color="auto"/>
        <w:left w:val="none" w:sz="0" w:space="0" w:color="auto"/>
        <w:bottom w:val="none" w:sz="0" w:space="0" w:color="auto"/>
        <w:right w:val="none" w:sz="0" w:space="0" w:color="auto"/>
      </w:divBdr>
    </w:div>
    <w:div w:id="525942942">
      <w:bodyDiv w:val="1"/>
      <w:marLeft w:val="0"/>
      <w:marRight w:val="0"/>
      <w:marTop w:val="0"/>
      <w:marBottom w:val="0"/>
      <w:divBdr>
        <w:top w:val="none" w:sz="0" w:space="0" w:color="auto"/>
        <w:left w:val="none" w:sz="0" w:space="0" w:color="auto"/>
        <w:bottom w:val="none" w:sz="0" w:space="0" w:color="auto"/>
        <w:right w:val="none" w:sz="0" w:space="0" w:color="auto"/>
      </w:divBdr>
    </w:div>
    <w:div w:id="550731254">
      <w:bodyDiv w:val="1"/>
      <w:marLeft w:val="0"/>
      <w:marRight w:val="0"/>
      <w:marTop w:val="0"/>
      <w:marBottom w:val="0"/>
      <w:divBdr>
        <w:top w:val="none" w:sz="0" w:space="0" w:color="auto"/>
        <w:left w:val="none" w:sz="0" w:space="0" w:color="auto"/>
        <w:bottom w:val="none" w:sz="0" w:space="0" w:color="auto"/>
        <w:right w:val="none" w:sz="0" w:space="0" w:color="auto"/>
      </w:divBdr>
    </w:div>
    <w:div w:id="583690153">
      <w:bodyDiv w:val="1"/>
      <w:marLeft w:val="0"/>
      <w:marRight w:val="0"/>
      <w:marTop w:val="0"/>
      <w:marBottom w:val="0"/>
      <w:divBdr>
        <w:top w:val="none" w:sz="0" w:space="0" w:color="auto"/>
        <w:left w:val="none" w:sz="0" w:space="0" w:color="auto"/>
        <w:bottom w:val="none" w:sz="0" w:space="0" w:color="auto"/>
        <w:right w:val="none" w:sz="0" w:space="0" w:color="auto"/>
      </w:divBdr>
    </w:div>
    <w:div w:id="603457406">
      <w:bodyDiv w:val="1"/>
      <w:marLeft w:val="0"/>
      <w:marRight w:val="0"/>
      <w:marTop w:val="0"/>
      <w:marBottom w:val="0"/>
      <w:divBdr>
        <w:top w:val="none" w:sz="0" w:space="0" w:color="auto"/>
        <w:left w:val="none" w:sz="0" w:space="0" w:color="auto"/>
        <w:bottom w:val="none" w:sz="0" w:space="0" w:color="auto"/>
        <w:right w:val="none" w:sz="0" w:space="0" w:color="auto"/>
      </w:divBdr>
    </w:div>
    <w:div w:id="662468424">
      <w:bodyDiv w:val="1"/>
      <w:marLeft w:val="0"/>
      <w:marRight w:val="0"/>
      <w:marTop w:val="0"/>
      <w:marBottom w:val="0"/>
      <w:divBdr>
        <w:top w:val="none" w:sz="0" w:space="0" w:color="auto"/>
        <w:left w:val="none" w:sz="0" w:space="0" w:color="auto"/>
        <w:bottom w:val="none" w:sz="0" w:space="0" w:color="auto"/>
        <w:right w:val="none" w:sz="0" w:space="0" w:color="auto"/>
      </w:divBdr>
    </w:div>
    <w:div w:id="675115471">
      <w:bodyDiv w:val="1"/>
      <w:marLeft w:val="0"/>
      <w:marRight w:val="0"/>
      <w:marTop w:val="0"/>
      <w:marBottom w:val="0"/>
      <w:divBdr>
        <w:top w:val="none" w:sz="0" w:space="0" w:color="auto"/>
        <w:left w:val="none" w:sz="0" w:space="0" w:color="auto"/>
        <w:bottom w:val="none" w:sz="0" w:space="0" w:color="auto"/>
        <w:right w:val="none" w:sz="0" w:space="0" w:color="auto"/>
      </w:divBdr>
    </w:div>
    <w:div w:id="780102476">
      <w:bodyDiv w:val="1"/>
      <w:marLeft w:val="0"/>
      <w:marRight w:val="0"/>
      <w:marTop w:val="0"/>
      <w:marBottom w:val="0"/>
      <w:divBdr>
        <w:top w:val="none" w:sz="0" w:space="0" w:color="auto"/>
        <w:left w:val="none" w:sz="0" w:space="0" w:color="auto"/>
        <w:bottom w:val="none" w:sz="0" w:space="0" w:color="auto"/>
        <w:right w:val="none" w:sz="0" w:space="0" w:color="auto"/>
      </w:divBdr>
    </w:div>
    <w:div w:id="793711530">
      <w:bodyDiv w:val="1"/>
      <w:marLeft w:val="0"/>
      <w:marRight w:val="0"/>
      <w:marTop w:val="0"/>
      <w:marBottom w:val="0"/>
      <w:divBdr>
        <w:top w:val="none" w:sz="0" w:space="0" w:color="auto"/>
        <w:left w:val="none" w:sz="0" w:space="0" w:color="auto"/>
        <w:bottom w:val="none" w:sz="0" w:space="0" w:color="auto"/>
        <w:right w:val="none" w:sz="0" w:space="0" w:color="auto"/>
      </w:divBdr>
    </w:div>
    <w:div w:id="848368640">
      <w:bodyDiv w:val="1"/>
      <w:marLeft w:val="0"/>
      <w:marRight w:val="0"/>
      <w:marTop w:val="0"/>
      <w:marBottom w:val="0"/>
      <w:divBdr>
        <w:top w:val="none" w:sz="0" w:space="0" w:color="auto"/>
        <w:left w:val="none" w:sz="0" w:space="0" w:color="auto"/>
        <w:bottom w:val="none" w:sz="0" w:space="0" w:color="auto"/>
        <w:right w:val="none" w:sz="0" w:space="0" w:color="auto"/>
      </w:divBdr>
    </w:div>
    <w:div w:id="883753592">
      <w:bodyDiv w:val="1"/>
      <w:marLeft w:val="0"/>
      <w:marRight w:val="0"/>
      <w:marTop w:val="0"/>
      <w:marBottom w:val="0"/>
      <w:divBdr>
        <w:top w:val="none" w:sz="0" w:space="0" w:color="auto"/>
        <w:left w:val="none" w:sz="0" w:space="0" w:color="auto"/>
        <w:bottom w:val="none" w:sz="0" w:space="0" w:color="auto"/>
        <w:right w:val="none" w:sz="0" w:space="0" w:color="auto"/>
      </w:divBdr>
    </w:div>
    <w:div w:id="950555554">
      <w:bodyDiv w:val="1"/>
      <w:marLeft w:val="0"/>
      <w:marRight w:val="0"/>
      <w:marTop w:val="0"/>
      <w:marBottom w:val="0"/>
      <w:divBdr>
        <w:top w:val="none" w:sz="0" w:space="0" w:color="auto"/>
        <w:left w:val="none" w:sz="0" w:space="0" w:color="auto"/>
        <w:bottom w:val="none" w:sz="0" w:space="0" w:color="auto"/>
        <w:right w:val="none" w:sz="0" w:space="0" w:color="auto"/>
      </w:divBdr>
    </w:div>
    <w:div w:id="1045987317">
      <w:bodyDiv w:val="1"/>
      <w:marLeft w:val="0"/>
      <w:marRight w:val="0"/>
      <w:marTop w:val="0"/>
      <w:marBottom w:val="0"/>
      <w:divBdr>
        <w:top w:val="none" w:sz="0" w:space="0" w:color="auto"/>
        <w:left w:val="none" w:sz="0" w:space="0" w:color="auto"/>
        <w:bottom w:val="none" w:sz="0" w:space="0" w:color="auto"/>
        <w:right w:val="none" w:sz="0" w:space="0" w:color="auto"/>
      </w:divBdr>
    </w:div>
    <w:div w:id="1127353237">
      <w:bodyDiv w:val="1"/>
      <w:marLeft w:val="0"/>
      <w:marRight w:val="0"/>
      <w:marTop w:val="0"/>
      <w:marBottom w:val="0"/>
      <w:divBdr>
        <w:top w:val="none" w:sz="0" w:space="0" w:color="auto"/>
        <w:left w:val="none" w:sz="0" w:space="0" w:color="auto"/>
        <w:bottom w:val="none" w:sz="0" w:space="0" w:color="auto"/>
        <w:right w:val="none" w:sz="0" w:space="0" w:color="auto"/>
      </w:divBdr>
    </w:div>
    <w:div w:id="1239443107">
      <w:bodyDiv w:val="1"/>
      <w:marLeft w:val="0"/>
      <w:marRight w:val="0"/>
      <w:marTop w:val="0"/>
      <w:marBottom w:val="0"/>
      <w:divBdr>
        <w:top w:val="none" w:sz="0" w:space="0" w:color="auto"/>
        <w:left w:val="none" w:sz="0" w:space="0" w:color="auto"/>
        <w:bottom w:val="none" w:sz="0" w:space="0" w:color="auto"/>
        <w:right w:val="none" w:sz="0" w:space="0" w:color="auto"/>
      </w:divBdr>
    </w:div>
    <w:div w:id="1266960768">
      <w:bodyDiv w:val="1"/>
      <w:marLeft w:val="0"/>
      <w:marRight w:val="0"/>
      <w:marTop w:val="0"/>
      <w:marBottom w:val="0"/>
      <w:divBdr>
        <w:top w:val="none" w:sz="0" w:space="0" w:color="auto"/>
        <w:left w:val="none" w:sz="0" w:space="0" w:color="auto"/>
        <w:bottom w:val="none" w:sz="0" w:space="0" w:color="auto"/>
        <w:right w:val="none" w:sz="0" w:space="0" w:color="auto"/>
      </w:divBdr>
    </w:div>
    <w:div w:id="1346126889">
      <w:bodyDiv w:val="1"/>
      <w:marLeft w:val="0"/>
      <w:marRight w:val="0"/>
      <w:marTop w:val="0"/>
      <w:marBottom w:val="0"/>
      <w:divBdr>
        <w:top w:val="none" w:sz="0" w:space="0" w:color="auto"/>
        <w:left w:val="none" w:sz="0" w:space="0" w:color="auto"/>
        <w:bottom w:val="none" w:sz="0" w:space="0" w:color="auto"/>
        <w:right w:val="none" w:sz="0" w:space="0" w:color="auto"/>
      </w:divBdr>
    </w:div>
    <w:div w:id="1419137417">
      <w:bodyDiv w:val="1"/>
      <w:marLeft w:val="0"/>
      <w:marRight w:val="0"/>
      <w:marTop w:val="0"/>
      <w:marBottom w:val="0"/>
      <w:divBdr>
        <w:top w:val="none" w:sz="0" w:space="0" w:color="auto"/>
        <w:left w:val="none" w:sz="0" w:space="0" w:color="auto"/>
        <w:bottom w:val="none" w:sz="0" w:space="0" w:color="auto"/>
        <w:right w:val="none" w:sz="0" w:space="0" w:color="auto"/>
      </w:divBdr>
    </w:div>
    <w:div w:id="1438596481">
      <w:bodyDiv w:val="1"/>
      <w:marLeft w:val="0"/>
      <w:marRight w:val="0"/>
      <w:marTop w:val="0"/>
      <w:marBottom w:val="0"/>
      <w:divBdr>
        <w:top w:val="none" w:sz="0" w:space="0" w:color="auto"/>
        <w:left w:val="none" w:sz="0" w:space="0" w:color="auto"/>
        <w:bottom w:val="none" w:sz="0" w:space="0" w:color="auto"/>
        <w:right w:val="none" w:sz="0" w:space="0" w:color="auto"/>
      </w:divBdr>
    </w:div>
    <w:div w:id="1451165384">
      <w:bodyDiv w:val="1"/>
      <w:marLeft w:val="0"/>
      <w:marRight w:val="0"/>
      <w:marTop w:val="0"/>
      <w:marBottom w:val="0"/>
      <w:divBdr>
        <w:top w:val="none" w:sz="0" w:space="0" w:color="auto"/>
        <w:left w:val="none" w:sz="0" w:space="0" w:color="auto"/>
        <w:bottom w:val="none" w:sz="0" w:space="0" w:color="auto"/>
        <w:right w:val="none" w:sz="0" w:space="0" w:color="auto"/>
      </w:divBdr>
    </w:div>
    <w:div w:id="1474179269">
      <w:bodyDiv w:val="1"/>
      <w:marLeft w:val="0"/>
      <w:marRight w:val="0"/>
      <w:marTop w:val="0"/>
      <w:marBottom w:val="0"/>
      <w:divBdr>
        <w:top w:val="none" w:sz="0" w:space="0" w:color="auto"/>
        <w:left w:val="none" w:sz="0" w:space="0" w:color="auto"/>
        <w:bottom w:val="none" w:sz="0" w:space="0" w:color="auto"/>
        <w:right w:val="none" w:sz="0" w:space="0" w:color="auto"/>
      </w:divBdr>
    </w:div>
    <w:div w:id="1484928191">
      <w:bodyDiv w:val="1"/>
      <w:marLeft w:val="0"/>
      <w:marRight w:val="0"/>
      <w:marTop w:val="0"/>
      <w:marBottom w:val="0"/>
      <w:divBdr>
        <w:top w:val="none" w:sz="0" w:space="0" w:color="auto"/>
        <w:left w:val="none" w:sz="0" w:space="0" w:color="auto"/>
        <w:bottom w:val="none" w:sz="0" w:space="0" w:color="auto"/>
        <w:right w:val="none" w:sz="0" w:space="0" w:color="auto"/>
      </w:divBdr>
    </w:div>
    <w:div w:id="1522626137">
      <w:bodyDiv w:val="1"/>
      <w:marLeft w:val="0"/>
      <w:marRight w:val="0"/>
      <w:marTop w:val="0"/>
      <w:marBottom w:val="0"/>
      <w:divBdr>
        <w:top w:val="none" w:sz="0" w:space="0" w:color="auto"/>
        <w:left w:val="none" w:sz="0" w:space="0" w:color="auto"/>
        <w:bottom w:val="none" w:sz="0" w:space="0" w:color="auto"/>
        <w:right w:val="none" w:sz="0" w:space="0" w:color="auto"/>
      </w:divBdr>
    </w:div>
    <w:div w:id="1598520495">
      <w:bodyDiv w:val="1"/>
      <w:marLeft w:val="0"/>
      <w:marRight w:val="0"/>
      <w:marTop w:val="0"/>
      <w:marBottom w:val="0"/>
      <w:divBdr>
        <w:top w:val="none" w:sz="0" w:space="0" w:color="auto"/>
        <w:left w:val="none" w:sz="0" w:space="0" w:color="auto"/>
        <w:bottom w:val="none" w:sz="0" w:space="0" w:color="auto"/>
        <w:right w:val="none" w:sz="0" w:space="0" w:color="auto"/>
      </w:divBdr>
    </w:div>
    <w:div w:id="1688284793">
      <w:bodyDiv w:val="1"/>
      <w:marLeft w:val="0"/>
      <w:marRight w:val="0"/>
      <w:marTop w:val="0"/>
      <w:marBottom w:val="0"/>
      <w:divBdr>
        <w:top w:val="none" w:sz="0" w:space="0" w:color="auto"/>
        <w:left w:val="none" w:sz="0" w:space="0" w:color="auto"/>
        <w:bottom w:val="none" w:sz="0" w:space="0" w:color="auto"/>
        <w:right w:val="none" w:sz="0" w:space="0" w:color="auto"/>
      </w:divBdr>
    </w:div>
    <w:div w:id="1690986098">
      <w:bodyDiv w:val="1"/>
      <w:marLeft w:val="0"/>
      <w:marRight w:val="0"/>
      <w:marTop w:val="0"/>
      <w:marBottom w:val="0"/>
      <w:divBdr>
        <w:top w:val="none" w:sz="0" w:space="0" w:color="auto"/>
        <w:left w:val="none" w:sz="0" w:space="0" w:color="auto"/>
        <w:bottom w:val="none" w:sz="0" w:space="0" w:color="auto"/>
        <w:right w:val="none" w:sz="0" w:space="0" w:color="auto"/>
      </w:divBdr>
    </w:div>
    <w:div w:id="1699970090">
      <w:bodyDiv w:val="1"/>
      <w:marLeft w:val="0"/>
      <w:marRight w:val="0"/>
      <w:marTop w:val="0"/>
      <w:marBottom w:val="0"/>
      <w:divBdr>
        <w:top w:val="none" w:sz="0" w:space="0" w:color="auto"/>
        <w:left w:val="none" w:sz="0" w:space="0" w:color="auto"/>
        <w:bottom w:val="none" w:sz="0" w:space="0" w:color="auto"/>
        <w:right w:val="none" w:sz="0" w:space="0" w:color="auto"/>
      </w:divBdr>
    </w:div>
    <w:div w:id="179374550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 w:id="1830900483">
      <w:bodyDiv w:val="1"/>
      <w:marLeft w:val="0"/>
      <w:marRight w:val="0"/>
      <w:marTop w:val="0"/>
      <w:marBottom w:val="0"/>
      <w:divBdr>
        <w:top w:val="none" w:sz="0" w:space="0" w:color="auto"/>
        <w:left w:val="none" w:sz="0" w:space="0" w:color="auto"/>
        <w:bottom w:val="none" w:sz="0" w:space="0" w:color="auto"/>
        <w:right w:val="none" w:sz="0" w:space="0" w:color="auto"/>
      </w:divBdr>
    </w:div>
    <w:div w:id="1885284941">
      <w:bodyDiv w:val="1"/>
      <w:marLeft w:val="0"/>
      <w:marRight w:val="0"/>
      <w:marTop w:val="0"/>
      <w:marBottom w:val="0"/>
      <w:divBdr>
        <w:top w:val="none" w:sz="0" w:space="0" w:color="auto"/>
        <w:left w:val="none" w:sz="0" w:space="0" w:color="auto"/>
        <w:bottom w:val="none" w:sz="0" w:space="0" w:color="auto"/>
        <w:right w:val="none" w:sz="0" w:space="0" w:color="auto"/>
      </w:divBdr>
    </w:div>
    <w:div w:id="2010331745">
      <w:bodyDiv w:val="1"/>
      <w:marLeft w:val="0"/>
      <w:marRight w:val="0"/>
      <w:marTop w:val="0"/>
      <w:marBottom w:val="0"/>
      <w:divBdr>
        <w:top w:val="none" w:sz="0" w:space="0" w:color="auto"/>
        <w:left w:val="none" w:sz="0" w:space="0" w:color="auto"/>
        <w:bottom w:val="none" w:sz="0" w:space="0" w:color="auto"/>
        <w:right w:val="none" w:sz="0" w:space="0" w:color="auto"/>
      </w:divBdr>
    </w:div>
    <w:div w:id="2038038876">
      <w:bodyDiv w:val="1"/>
      <w:marLeft w:val="0"/>
      <w:marRight w:val="0"/>
      <w:marTop w:val="0"/>
      <w:marBottom w:val="0"/>
      <w:divBdr>
        <w:top w:val="none" w:sz="0" w:space="0" w:color="auto"/>
        <w:left w:val="none" w:sz="0" w:space="0" w:color="auto"/>
        <w:bottom w:val="none" w:sz="0" w:space="0" w:color="auto"/>
        <w:right w:val="none" w:sz="0" w:space="0" w:color="auto"/>
      </w:divBdr>
    </w:div>
    <w:div w:id="2041515968">
      <w:bodyDiv w:val="1"/>
      <w:marLeft w:val="0"/>
      <w:marRight w:val="0"/>
      <w:marTop w:val="0"/>
      <w:marBottom w:val="0"/>
      <w:divBdr>
        <w:top w:val="none" w:sz="0" w:space="0" w:color="auto"/>
        <w:left w:val="none" w:sz="0" w:space="0" w:color="auto"/>
        <w:bottom w:val="none" w:sz="0" w:space="0" w:color="auto"/>
        <w:right w:val="none" w:sz="0" w:space="0" w:color="auto"/>
      </w:divBdr>
    </w:div>
    <w:div w:id="2044552040">
      <w:bodyDiv w:val="1"/>
      <w:marLeft w:val="0"/>
      <w:marRight w:val="0"/>
      <w:marTop w:val="0"/>
      <w:marBottom w:val="0"/>
      <w:divBdr>
        <w:top w:val="none" w:sz="0" w:space="0" w:color="auto"/>
        <w:left w:val="none" w:sz="0" w:space="0" w:color="auto"/>
        <w:bottom w:val="none" w:sz="0" w:space="0" w:color="auto"/>
        <w:right w:val="none" w:sz="0" w:space="0" w:color="auto"/>
      </w:divBdr>
    </w:div>
    <w:div w:id="2068651599">
      <w:bodyDiv w:val="1"/>
      <w:marLeft w:val="0"/>
      <w:marRight w:val="0"/>
      <w:marTop w:val="0"/>
      <w:marBottom w:val="0"/>
      <w:divBdr>
        <w:top w:val="none" w:sz="0" w:space="0" w:color="auto"/>
        <w:left w:val="none" w:sz="0" w:space="0" w:color="auto"/>
        <w:bottom w:val="none" w:sz="0" w:space="0" w:color="auto"/>
        <w:right w:val="none" w:sz="0" w:space="0" w:color="auto"/>
      </w:divBdr>
    </w:div>
    <w:div w:id="2091462379">
      <w:bodyDiv w:val="1"/>
      <w:marLeft w:val="0"/>
      <w:marRight w:val="0"/>
      <w:marTop w:val="0"/>
      <w:marBottom w:val="0"/>
      <w:divBdr>
        <w:top w:val="none" w:sz="0" w:space="0" w:color="auto"/>
        <w:left w:val="none" w:sz="0" w:space="0" w:color="auto"/>
        <w:bottom w:val="none" w:sz="0" w:space="0" w:color="auto"/>
        <w:right w:val="none" w:sz="0" w:space="0" w:color="auto"/>
      </w:divBdr>
    </w:div>
    <w:div w:id="21154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UPEN@SUPEN.fi.c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alesvr\AppData\Roaming\Microsoft\Templates\Hoja%20SUPEN.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os%20Usuarios\hernandezba\Desktop\Estad&#237;stica%20IC%20IV%20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os%20Usuarios\hernandezba\Desktop\Estad&#237;stica%20IC%20IV%20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rnandezba\OneDrive%20-%20Banco%20Central%20de%20Costa%20Rica\Proyectos\Informe%20conyutura\Informe%20Coyuntura%20IV%20T\Estudio%20sobre%20libre%20transferencia\Cantidad_total%20por%20A&#241;o%20ROP.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os%20Usuarios\hernandezba\Desktop\Estad&#237;stica%20IC%20IV%20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bccr-my.sharepoint.com/personal/hernandezba_supen_fi_cr/Documents/Proyectos/Contribuci&#243;n%20a%20la%20rentabilidad/Contribucion%202019-2021/Consolidad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69978916034196E-2"/>
          <c:y val="4.0493281796429227E-2"/>
          <c:w val="0.59733562716425148"/>
          <c:h val="0.87410908258223663"/>
        </c:manualLayout>
      </c:layout>
      <c:barChart>
        <c:barDir val="col"/>
        <c:grouping val="stacked"/>
        <c:varyColors val="0"/>
        <c:ser>
          <c:idx val="0"/>
          <c:order val="0"/>
          <c:tx>
            <c:strRef>
              <c:f>Activo!$B$24</c:f>
              <c:strCache>
                <c:ptCount val="1"/>
                <c:pt idx="0">
                  <c:v>Fondo de Capitalización Laboral</c:v>
                </c:pt>
              </c:strCache>
            </c:strRef>
          </c:tx>
          <c:spPr>
            <a:solidFill>
              <a:schemeClr val="accent1"/>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Activo!$B$25:$B$36</c:f>
              <c:numCache>
                <c:formatCode>_-* #\ ##0.000_-;\-* #\ ##0.000_-;_-* "-"??_-;_-@_-</c:formatCode>
                <c:ptCount val="12"/>
                <c:pt idx="0">
                  <c:v>0.37758497349279002</c:v>
                </c:pt>
                <c:pt idx="1">
                  <c:v>0.30237424868655</c:v>
                </c:pt>
                <c:pt idx="2">
                  <c:v>0.37924599498111999</c:v>
                </c:pt>
                <c:pt idx="3">
                  <c:v>0.46087351818978001</c:v>
                </c:pt>
                <c:pt idx="4">
                  <c:v>0.53172622033729999</c:v>
                </c:pt>
                <c:pt idx="5">
                  <c:v>0.62663351038924997</c:v>
                </c:pt>
                <c:pt idx="6">
                  <c:v>0.49952520989500998</c:v>
                </c:pt>
                <c:pt idx="7">
                  <c:v>0.56977895297609005</c:v>
                </c:pt>
                <c:pt idx="8">
                  <c:v>0.62508713847675001</c:v>
                </c:pt>
                <c:pt idx="9">
                  <c:v>0.72465513350761002</c:v>
                </c:pt>
                <c:pt idx="10">
                  <c:v>0.73302074826222996</c:v>
                </c:pt>
                <c:pt idx="11">
                  <c:v>0.57671205935492997</c:v>
                </c:pt>
              </c:numCache>
            </c:numRef>
          </c:val>
          <c:extLst>
            <c:ext xmlns:c16="http://schemas.microsoft.com/office/drawing/2014/chart" uri="{C3380CC4-5D6E-409C-BE32-E72D297353CC}">
              <c16:uniqueId val="{00000000-6E86-491E-A7EE-8AB1783C417B}"/>
            </c:ext>
          </c:extLst>
        </c:ser>
        <c:ser>
          <c:idx val="1"/>
          <c:order val="1"/>
          <c:tx>
            <c:strRef>
              <c:f>Activo!$C$24</c:f>
              <c:strCache>
                <c:ptCount val="1"/>
                <c:pt idx="0">
                  <c:v>Planes Voluntarios</c:v>
                </c:pt>
              </c:strCache>
            </c:strRef>
          </c:tx>
          <c:spPr>
            <a:solidFill>
              <a:schemeClr val="accent2"/>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Activo!$C$25:$C$36</c:f>
              <c:numCache>
                <c:formatCode>_-* #\ ##0.000_-;\-* #\ ##0.000_-;_-* "-"??_-;_-@_-</c:formatCode>
                <c:ptCount val="12"/>
                <c:pt idx="0">
                  <c:v>0.17195796892910301</c:v>
                </c:pt>
                <c:pt idx="1">
                  <c:v>0.17952226052714099</c:v>
                </c:pt>
                <c:pt idx="2">
                  <c:v>0.184627219173434</c:v>
                </c:pt>
                <c:pt idx="3">
                  <c:v>0.20362797783183001</c:v>
                </c:pt>
                <c:pt idx="4">
                  <c:v>0.21923935125043501</c:v>
                </c:pt>
                <c:pt idx="5">
                  <c:v>0.25086128230229499</c:v>
                </c:pt>
                <c:pt idx="6">
                  <c:v>0.28851913269344498</c:v>
                </c:pt>
                <c:pt idx="7">
                  <c:v>0.318460539294183</c:v>
                </c:pt>
                <c:pt idx="8">
                  <c:v>0.341995056160177</c:v>
                </c:pt>
                <c:pt idx="9">
                  <c:v>0.39361887619519698</c:v>
                </c:pt>
                <c:pt idx="10">
                  <c:v>0.45417075020415998</c:v>
                </c:pt>
                <c:pt idx="11">
                  <c:v>0.59186434869868099</c:v>
                </c:pt>
              </c:numCache>
            </c:numRef>
          </c:val>
          <c:extLst>
            <c:ext xmlns:c16="http://schemas.microsoft.com/office/drawing/2014/chart" uri="{C3380CC4-5D6E-409C-BE32-E72D297353CC}">
              <c16:uniqueId val="{00000001-6E86-491E-A7EE-8AB1783C417B}"/>
            </c:ext>
          </c:extLst>
        </c:ser>
        <c:ser>
          <c:idx val="2"/>
          <c:order val="2"/>
          <c:tx>
            <c:strRef>
              <c:f>Activo!$D$24</c:f>
              <c:strCache>
                <c:ptCount val="1"/>
                <c:pt idx="0">
                  <c:v>Régimen Obligatorio Complementario</c:v>
                </c:pt>
              </c:strCache>
            </c:strRef>
          </c:tx>
          <c:spPr>
            <a:solidFill>
              <a:schemeClr val="accent3"/>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Activo!$D$25:$D$36</c:f>
              <c:numCache>
                <c:formatCode>_-* #\ ##0.000_-;\-* #\ ##0.000_-;_-* "-"??_-;_-@_-</c:formatCode>
                <c:ptCount val="12"/>
                <c:pt idx="0">
                  <c:v>1.4568919565431799</c:v>
                </c:pt>
                <c:pt idx="1">
                  <c:v>1.8055407988371299</c:v>
                </c:pt>
                <c:pt idx="2">
                  <c:v>2.22898511556757</c:v>
                </c:pt>
                <c:pt idx="3">
                  <c:v>2.74334720764808</c:v>
                </c:pt>
                <c:pt idx="4">
                  <c:v>3.21685753199713</c:v>
                </c:pt>
                <c:pt idx="5">
                  <c:v>3.87641127595831</c:v>
                </c:pt>
                <c:pt idx="6">
                  <c:v>4.4579054772766096</c:v>
                </c:pt>
                <c:pt idx="7">
                  <c:v>5.0534913627572404</c:v>
                </c:pt>
                <c:pt idx="8">
                  <c:v>5.6668539109234404</c:v>
                </c:pt>
                <c:pt idx="9">
                  <c:v>6.8508475886768601</c:v>
                </c:pt>
                <c:pt idx="10">
                  <c:v>7.8664910546024496</c:v>
                </c:pt>
                <c:pt idx="11">
                  <c:v>9.6495447363757396</c:v>
                </c:pt>
              </c:numCache>
            </c:numRef>
          </c:val>
          <c:extLst>
            <c:ext xmlns:c16="http://schemas.microsoft.com/office/drawing/2014/chart" uri="{C3380CC4-5D6E-409C-BE32-E72D297353CC}">
              <c16:uniqueId val="{00000002-6E86-491E-A7EE-8AB1783C417B}"/>
            </c:ext>
          </c:extLst>
        </c:ser>
        <c:ser>
          <c:idx val="3"/>
          <c:order val="3"/>
          <c:tx>
            <c:strRef>
              <c:f>Activo!$E$24</c:f>
              <c:strCache>
                <c:ptCount val="1"/>
                <c:pt idx="0">
                  <c:v>Regímenes Básicos Sustitutos</c:v>
                </c:pt>
              </c:strCache>
            </c:strRef>
          </c:tx>
          <c:spPr>
            <a:solidFill>
              <a:schemeClr val="accent4"/>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Activo!$E$25:$E$36</c:f>
              <c:numCache>
                <c:formatCode>_-* #\ ##0.000_-;\-* #\ ##0.000_-;_-* "-"??_-;_-@_-</c:formatCode>
                <c:ptCount val="12"/>
                <c:pt idx="0">
                  <c:v>1.25728892430232</c:v>
                </c:pt>
                <c:pt idx="1">
                  <c:v>1.4677862957298999</c:v>
                </c:pt>
                <c:pt idx="2">
                  <c:v>1.69622205438962</c:v>
                </c:pt>
                <c:pt idx="3">
                  <c:v>1.43910679533172</c:v>
                </c:pt>
                <c:pt idx="4">
                  <c:v>1.6723162251665902</c:v>
                </c:pt>
                <c:pt idx="5">
                  <c:v>2.00195846850034</c:v>
                </c:pt>
                <c:pt idx="6">
                  <c:v>2.3342637255577601</c:v>
                </c:pt>
                <c:pt idx="7">
                  <c:v>2.6547632996576698</c:v>
                </c:pt>
                <c:pt idx="8">
                  <c:v>3.0031769200416898</c:v>
                </c:pt>
                <c:pt idx="9">
                  <c:v>3.6225673215315499</c:v>
                </c:pt>
                <c:pt idx="10">
                  <c:v>4.0674292211651499</c:v>
                </c:pt>
                <c:pt idx="11">
                  <c:v>4.5286309757143002</c:v>
                </c:pt>
              </c:numCache>
            </c:numRef>
          </c:val>
          <c:extLst>
            <c:ext xmlns:c16="http://schemas.microsoft.com/office/drawing/2014/chart" uri="{C3380CC4-5D6E-409C-BE32-E72D297353CC}">
              <c16:uniqueId val="{00000003-6E86-491E-A7EE-8AB1783C417B}"/>
            </c:ext>
          </c:extLst>
        </c:ser>
        <c:ser>
          <c:idx val="4"/>
          <c:order val="4"/>
          <c:tx>
            <c:strRef>
              <c:f>Activo!$F$24</c:f>
              <c:strCache>
                <c:ptCount val="1"/>
                <c:pt idx="0">
                  <c:v>Regímenes Ocupacionales Complementarios</c:v>
                </c:pt>
              </c:strCache>
            </c:strRef>
          </c:tx>
          <c:spPr>
            <a:solidFill>
              <a:schemeClr val="accent5"/>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Activo!$F$25:$F$36</c:f>
              <c:numCache>
                <c:formatCode>_-* #\ ##0.000_-;\-* #\ ##0.000_-;_-* "-"??_-;_-@_-</c:formatCode>
                <c:ptCount val="12"/>
                <c:pt idx="0">
                  <c:v>6.4359717239919997E-2</c:v>
                </c:pt>
                <c:pt idx="1">
                  <c:v>7.5906551435889993E-2</c:v>
                </c:pt>
                <c:pt idx="2">
                  <c:v>9.0065997832899994E-2</c:v>
                </c:pt>
                <c:pt idx="3">
                  <c:v>0.62232204967185001</c:v>
                </c:pt>
                <c:pt idx="4">
                  <c:v>0.67686945057893999</c:v>
                </c:pt>
                <c:pt idx="5">
                  <c:v>0.74383261028804004</c:v>
                </c:pt>
                <c:pt idx="6">
                  <c:v>0.78788628585081999</c:v>
                </c:pt>
                <c:pt idx="7">
                  <c:v>0.79824832826771996</c:v>
                </c:pt>
                <c:pt idx="8">
                  <c:v>0.82641658157191</c:v>
                </c:pt>
                <c:pt idx="9">
                  <c:v>0.90873995754376002</c:v>
                </c:pt>
                <c:pt idx="10">
                  <c:v>0.92572625482253001</c:v>
                </c:pt>
                <c:pt idx="11">
                  <c:v>1.0162378551355999</c:v>
                </c:pt>
              </c:numCache>
            </c:numRef>
          </c:val>
          <c:extLst>
            <c:ext xmlns:c16="http://schemas.microsoft.com/office/drawing/2014/chart" uri="{C3380CC4-5D6E-409C-BE32-E72D297353CC}">
              <c16:uniqueId val="{00000004-6E86-491E-A7EE-8AB1783C417B}"/>
            </c:ext>
          </c:extLst>
        </c:ser>
        <c:ser>
          <c:idx val="5"/>
          <c:order val="5"/>
          <c:tx>
            <c:strRef>
              <c:f>Activo!$G$24</c:f>
              <c:strCache>
                <c:ptCount val="1"/>
                <c:pt idx="0">
                  <c:v>Régimen Básico</c:v>
                </c:pt>
              </c:strCache>
            </c:strRef>
          </c:tx>
          <c:spPr>
            <a:solidFill>
              <a:schemeClr val="accent6"/>
            </a:solidFill>
            <a:ln>
              <a:noFill/>
            </a:ln>
            <a:effectLst/>
          </c:spPr>
          <c:invertIfNegative val="0"/>
          <c:cat>
            <c:strRef>
              <c:f>Activo!$A$25:$A$36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Activo!$G$25:$G$36</c:f>
              <c:numCache>
                <c:formatCode>_-* #\ ##0.000_-;\-* #\ ##0.000_-;_-* "-"??_-;_-@_-</c:formatCode>
                <c:ptCount val="12"/>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3.0622645146567899</c:v>
                </c:pt>
                <c:pt idx="11">
                  <c:v>3.2987320640023197</c:v>
                </c:pt>
              </c:numCache>
            </c:numRef>
          </c:val>
          <c:extLst>
            <c:ext xmlns:c16="http://schemas.microsoft.com/office/drawing/2014/chart" uri="{C3380CC4-5D6E-409C-BE32-E72D297353CC}">
              <c16:uniqueId val="{00000005-6E86-491E-A7EE-8AB1783C417B}"/>
            </c:ext>
          </c:extLst>
        </c:ser>
        <c:dLbls>
          <c:showLegendKey val="0"/>
          <c:showVal val="0"/>
          <c:showCatName val="0"/>
          <c:showSerName val="0"/>
          <c:showPercent val="0"/>
          <c:showBubbleSize val="0"/>
        </c:dLbls>
        <c:gapWidth val="55"/>
        <c:overlap val="100"/>
        <c:axId val="1953945871"/>
        <c:axId val="1952308191"/>
      </c:barChart>
      <c:lineChart>
        <c:grouping val="stacked"/>
        <c:varyColors val="0"/>
        <c:ser>
          <c:idx val="6"/>
          <c:order val="6"/>
          <c:tx>
            <c:strRef>
              <c:f>Activo!$I$24</c:f>
              <c:strCache>
                <c:ptCount val="1"/>
                <c:pt idx="0">
                  <c:v>% PIB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Activo!$I$25:$I$36</c:f>
              <c:numCache>
                <c:formatCode>0%</c:formatCode>
                <c:ptCount val="12"/>
                <c:pt idx="0">
                  <c:v>0.24245427136020203</c:v>
                </c:pt>
                <c:pt idx="1">
                  <c:v>0.25275266490164167</c:v>
                </c:pt>
                <c:pt idx="2">
                  <c:v>0.267228023151313</c:v>
                </c:pt>
                <c:pt idx="3">
                  <c:v>0.28880746766551224</c:v>
                </c:pt>
                <c:pt idx="4">
                  <c:v>0.29665935502777663</c:v>
                </c:pt>
                <c:pt idx="5">
                  <c:v>0.31730602504325323</c:v>
                </c:pt>
                <c:pt idx="6">
                  <c:v>0.32125139431734417</c:v>
                </c:pt>
                <c:pt idx="7">
                  <c:v>0.34389672381050684</c:v>
                </c:pt>
                <c:pt idx="8">
                  <c:v>0.37352784274294243</c:v>
                </c:pt>
                <c:pt idx="9">
                  <c:v>0.42727072986993148</c:v>
                </c:pt>
                <c:pt idx="10">
                  <c:v>0.49402740911721815</c:v>
                </c:pt>
                <c:pt idx="11">
                  <c:v>0.52773461740162342</c:v>
                </c:pt>
              </c:numCache>
            </c:numRef>
          </c:val>
          <c:smooth val="0"/>
          <c:extLst>
            <c:ext xmlns:c16="http://schemas.microsoft.com/office/drawing/2014/chart" uri="{C3380CC4-5D6E-409C-BE32-E72D297353CC}">
              <c16:uniqueId val="{00000012-6E86-491E-A7EE-8AB1783C417B}"/>
            </c:ext>
          </c:extLst>
        </c:ser>
        <c:dLbls>
          <c:showLegendKey val="0"/>
          <c:showVal val="0"/>
          <c:showCatName val="0"/>
          <c:showSerName val="0"/>
          <c:showPercent val="0"/>
          <c:showBubbleSize val="0"/>
        </c:dLbls>
        <c:marker val="1"/>
        <c:smooth val="0"/>
        <c:axId val="1956588463"/>
        <c:axId val="2051111855"/>
      </c:lineChart>
      <c:catAx>
        <c:axId val="1953945871"/>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952308191"/>
        <c:crosses val="autoZero"/>
        <c:auto val="0"/>
        <c:lblAlgn val="ctr"/>
        <c:lblOffset val="100"/>
        <c:noMultiLvlLbl val="0"/>
      </c:catAx>
      <c:valAx>
        <c:axId val="1952308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s-CR"/>
                  <a:t>Billones</a:t>
                </a:r>
                <a:r>
                  <a:rPr lang="es-CR" baseline="0"/>
                  <a:t> de colones</a:t>
                </a:r>
                <a:endParaRPr lang="es-C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953945871"/>
        <c:crosses val="autoZero"/>
        <c:crossBetween val="between"/>
      </c:valAx>
      <c:valAx>
        <c:axId val="205111185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956588463"/>
        <c:crosses val="max"/>
        <c:crossBetween val="between"/>
      </c:valAx>
      <c:catAx>
        <c:axId val="1956588463"/>
        <c:scaling>
          <c:orientation val="minMax"/>
        </c:scaling>
        <c:delete val="1"/>
        <c:axPos val="b"/>
        <c:majorTickMark val="out"/>
        <c:minorTickMark val="none"/>
        <c:tickLblPos val="nextTo"/>
        <c:crossAx val="2051111855"/>
        <c:crosses val="autoZero"/>
        <c:auto val="1"/>
        <c:lblAlgn val="ctr"/>
        <c:lblOffset val="100"/>
        <c:noMultiLvlLbl val="0"/>
      </c:catAx>
      <c:spPr>
        <a:noFill/>
        <a:ln>
          <a:noFill/>
        </a:ln>
        <a:effectLst/>
      </c:spPr>
    </c:plotArea>
    <c:legend>
      <c:legendPos val="r"/>
      <c:layout>
        <c:manualLayout>
          <c:xMode val="edge"/>
          <c:yMode val="edge"/>
          <c:x val="0.75712071938720082"/>
          <c:y val="0.14245953932732455"/>
          <c:w val="0.23042985639866909"/>
          <c:h val="0.57887595635305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R"/>
        </a:p>
      </c:txPr>
    </c:legend>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Activo!$D$81</c:f>
              <c:strCache>
                <c:ptCount val="1"/>
                <c:pt idx="0">
                  <c:v>2020</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Activo!$C$82:$C$84</c:f>
              <c:strCache>
                <c:ptCount val="3"/>
                <c:pt idx="0">
                  <c:v>PJ</c:v>
                </c:pt>
                <c:pt idx="1">
                  <c:v>Magisterio</c:v>
                </c:pt>
                <c:pt idx="2">
                  <c:v>IVM</c:v>
                </c:pt>
              </c:strCache>
            </c:strRef>
          </c:cat>
          <c:val>
            <c:numRef>
              <c:f>Activo!$D$82:$D$84</c:f>
              <c:numCache>
                <c:formatCode>_(* #,##0.00_);_(* \(#,##0.00\);_(* "-"??_);_(@_)</c:formatCode>
                <c:ptCount val="3"/>
                <c:pt idx="0">
                  <c:v>0.64010936021654008</c:v>
                </c:pt>
                <c:pt idx="1">
                  <c:v>3.3766565293553596</c:v>
                </c:pt>
                <c:pt idx="2">
                  <c:v>3.2309205537382799</c:v>
                </c:pt>
              </c:numCache>
            </c:numRef>
          </c:val>
          <c:extLst>
            <c:ext xmlns:c16="http://schemas.microsoft.com/office/drawing/2014/chart" uri="{C3380CC4-5D6E-409C-BE32-E72D297353CC}">
              <c16:uniqueId val="{00000000-49FE-4E1D-B5A7-DBD7A5F09554}"/>
            </c:ext>
          </c:extLst>
        </c:ser>
        <c:ser>
          <c:idx val="1"/>
          <c:order val="1"/>
          <c:tx>
            <c:strRef>
              <c:f>Activo!$E$81</c:f>
              <c:strCache>
                <c:ptCount val="1"/>
                <c:pt idx="0">
                  <c:v>2021</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Activo!$C$82:$C$84</c:f>
              <c:strCache>
                <c:ptCount val="3"/>
                <c:pt idx="0">
                  <c:v>PJ</c:v>
                </c:pt>
                <c:pt idx="1">
                  <c:v>Magisterio</c:v>
                </c:pt>
                <c:pt idx="2">
                  <c:v>IVM</c:v>
                </c:pt>
              </c:strCache>
            </c:strRef>
          </c:cat>
          <c:val>
            <c:numRef>
              <c:f>Activo!$E$82:$E$84</c:f>
              <c:numCache>
                <c:formatCode>_(* #,##0.00_);_(* \(#,##0.00\);_(* "-"??_);_(@_)</c:formatCode>
                <c:ptCount val="3"/>
                <c:pt idx="0">
                  <c:v>0.73666833392016007</c:v>
                </c:pt>
                <c:pt idx="1">
                  <c:v>3.73986594525419</c:v>
                </c:pt>
                <c:pt idx="2">
                  <c:v>3.2987320640023197</c:v>
                </c:pt>
              </c:numCache>
            </c:numRef>
          </c:val>
          <c:extLst>
            <c:ext xmlns:c16="http://schemas.microsoft.com/office/drawing/2014/chart" uri="{C3380CC4-5D6E-409C-BE32-E72D297353CC}">
              <c16:uniqueId val="{00000001-49FE-4E1D-B5A7-DBD7A5F09554}"/>
            </c:ext>
          </c:extLst>
        </c:ser>
        <c:dLbls>
          <c:showLegendKey val="0"/>
          <c:showVal val="0"/>
          <c:showCatName val="0"/>
          <c:showSerName val="0"/>
          <c:showPercent val="0"/>
          <c:showBubbleSize val="0"/>
        </c:dLbls>
        <c:gapWidth val="219"/>
        <c:overlap val="-27"/>
        <c:axId val="1466782608"/>
        <c:axId val="1466788016"/>
      </c:barChart>
      <c:catAx>
        <c:axId val="146678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466788016"/>
        <c:crosses val="autoZero"/>
        <c:auto val="1"/>
        <c:lblAlgn val="ctr"/>
        <c:lblOffset val="100"/>
        <c:noMultiLvlLbl val="0"/>
      </c:catAx>
      <c:valAx>
        <c:axId val="1466788016"/>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crossAx val="146678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122583644196524"/>
          <c:y val="0.11525088738176457"/>
          <c:w val="0.82463938536636527"/>
          <c:h val="0.79255528709925438"/>
        </c:manualLayout>
      </c:layout>
      <c:areaChart>
        <c:grouping val="stacked"/>
        <c:varyColors val="0"/>
        <c:ser>
          <c:idx val="0"/>
          <c:order val="0"/>
          <c:tx>
            <c:strRef>
              <c:f>'Cantidad_total por Año ROP'!$A$1</c:f>
              <c:strCache>
                <c:ptCount val="1"/>
                <c:pt idx="0">
                  <c:v>Año</c:v>
                </c:pt>
              </c:strCache>
            </c:strRef>
          </c:tx>
          <c:spPr>
            <a:solidFill>
              <a:schemeClr val="accent1">
                <a:shade val="76000"/>
              </a:schemeClr>
            </a:solidFill>
            <a:ln>
              <a:noFill/>
            </a:ln>
            <a:effectLst/>
          </c:spPr>
          <c:cat>
            <c:numRef>
              <c:f>'Cantidad_total por Año ROP'!$A$2:$A$13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'Cantidad_total por Año ROP'!$A$2:$A$13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val>
          <c:extLst>
            <c:ext xmlns:c16="http://schemas.microsoft.com/office/drawing/2014/chart" uri="{C3380CC4-5D6E-409C-BE32-E72D297353CC}">
              <c16:uniqueId val="{00000000-1BAA-4955-9762-F37C8D62FF46}"/>
            </c:ext>
          </c:extLst>
        </c:ser>
        <c:ser>
          <c:idx val="1"/>
          <c:order val="1"/>
          <c:tx>
            <c:strRef>
              <c:f>'Cantidad_total por Año ROP'!$B$1</c:f>
              <c:strCache>
                <c:ptCount val="1"/>
                <c:pt idx="0">
                  <c:v>Cantidad_total</c:v>
                </c:pt>
              </c:strCache>
            </c:strRef>
          </c:tx>
          <c:spPr>
            <a:solidFill>
              <a:schemeClr val="accent1">
                <a:tint val="77000"/>
              </a:schemeClr>
            </a:solidFill>
            <a:ln>
              <a:noFill/>
            </a:ln>
            <a:effectLst/>
          </c:spPr>
          <c:cat>
            <c:numRef>
              <c:f>'Cantidad_total por Año ROP'!$A$2:$A$13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'Cantidad_total por Año ROP'!$B$2:$B$13</c:f>
              <c:numCache>
                <c:formatCode>General</c:formatCode>
                <c:ptCount val="12"/>
                <c:pt idx="0">
                  <c:v>19415</c:v>
                </c:pt>
                <c:pt idx="1">
                  <c:v>397548</c:v>
                </c:pt>
                <c:pt idx="2">
                  <c:v>397613</c:v>
                </c:pt>
                <c:pt idx="3">
                  <c:v>36484</c:v>
                </c:pt>
                <c:pt idx="4">
                  <c:v>88929</c:v>
                </c:pt>
                <c:pt idx="5">
                  <c:v>64521</c:v>
                </c:pt>
                <c:pt idx="6">
                  <c:v>81952</c:v>
                </c:pt>
                <c:pt idx="7">
                  <c:v>93318</c:v>
                </c:pt>
                <c:pt idx="8">
                  <c:v>98349</c:v>
                </c:pt>
                <c:pt idx="9">
                  <c:v>179988</c:v>
                </c:pt>
                <c:pt idx="10">
                  <c:v>136657</c:v>
                </c:pt>
                <c:pt idx="11">
                  <c:v>293740</c:v>
                </c:pt>
              </c:numCache>
            </c:numRef>
          </c:val>
          <c:extLst>
            <c:ext xmlns:c16="http://schemas.microsoft.com/office/drawing/2014/chart" uri="{C3380CC4-5D6E-409C-BE32-E72D297353CC}">
              <c16:uniqueId val="{00000001-1BAA-4955-9762-F37C8D62FF46}"/>
            </c:ext>
          </c:extLst>
        </c:ser>
        <c:dLbls>
          <c:showLegendKey val="0"/>
          <c:showVal val="0"/>
          <c:showCatName val="0"/>
          <c:showSerName val="0"/>
          <c:showPercent val="0"/>
          <c:showBubbleSize val="0"/>
        </c:dLbls>
        <c:axId val="1538537568"/>
        <c:axId val="88683504"/>
      </c:areaChart>
      <c:catAx>
        <c:axId val="1538537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88683504"/>
        <c:crosses val="autoZero"/>
        <c:auto val="1"/>
        <c:lblAlgn val="ctr"/>
        <c:lblOffset val="100"/>
        <c:noMultiLvlLbl val="0"/>
      </c:catAx>
      <c:valAx>
        <c:axId val="8868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s-CR"/>
                  <a:t>Cantidad</a:t>
                </a:r>
                <a:r>
                  <a:rPr lang="es-CR" baseline="0"/>
                  <a:t> de afiliados</a:t>
                </a:r>
                <a:endParaRPr lang="es-C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1538537568"/>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Rendimiento!$C$17</c:f>
              <c:strCache>
                <c:ptCount val="1"/>
                <c:pt idx="0">
                  <c:v>BAC</c:v>
                </c:pt>
              </c:strCache>
            </c:strRef>
          </c:tx>
          <c:spPr>
            <a:ln w="22225" cap="rnd" cmpd="sng" algn="ctr">
              <a:solidFill>
                <a:schemeClr val="accent1"/>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Rendimiento!$C$44:$C$56</c:f>
              <c:numCache>
                <c:formatCode>General</c:formatCode>
                <c:ptCount val="13"/>
                <c:pt idx="0">
                  <c:v>9.34</c:v>
                </c:pt>
                <c:pt idx="1">
                  <c:v>9.36</c:v>
                </c:pt>
                <c:pt idx="2">
                  <c:v>9.43</c:v>
                </c:pt>
                <c:pt idx="3">
                  <c:v>9.41</c:v>
                </c:pt>
                <c:pt idx="4">
                  <c:v>9.5</c:v>
                </c:pt>
                <c:pt idx="5">
                  <c:v>9.68</c:v>
                </c:pt>
                <c:pt idx="6">
                  <c:v>9.8000000000000007</c:v>
                </c:pt>
                <c:pt idx="7">
                  <c:v>9.94</c:v>
                </c:pt>
                <c:pt idx="8">
                  <c:v>10.220000000000001</c:v>
                </c:pt>
                <c:pt idx="9">
                  <c:v>10.46</c:v>
                </c:pt>
                <c:pt idx="10">
                  <c:v>10.29</c:v>
                </c:pt>
                <c:pt idx="11">
                  <c:v>10.38</c:v>
                </c:pt>
                <c:pt idx="12">
                  <c:v>10.33</c:v>
                </c:pt>
              </c:numCache>
            </c:numRef>
          </c:val>
          <c:smooth val="0"/>
          <c:extLst>
            <c:ext xmlns:c16="http://schemas.microsoft.com/office/drawing/2014/chart" uri="{C3380CC4-5D6E-409C-BE32-E72D297353CC}">
              <c16:uniqueId val="{00000000-924C-4485-BE18-5A7F9C8B2605}"/>
            </c:ext>
          </c:extLst>
        </c:ser>
        <c:ser>
          <c:idx val="1"/>
          <c:order val="1"/>
          <c:tx>
            <c:strRef>
              <c:f>Rendimiento!$D$17</c:f>
              <c:strCache>
                <c:ptCount val="1"/>
                <c:pt idx="0">
                  <c:v>BCR</c:v>
                </c:pt>
              </c:strCache>
            </c:strRef>
          </c:tx>
          <c:spPr>
            <a:ln w="22225" cap="rnd" cmpd="sng" algn="ctr">
              <a:solidFill>
                <a:schemeClr val="accent2"/>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Rendimiento!$D$44:$D$56</c:f>
              <c:numCache>
                <c:formatCode>General</c:formatCode>
                <c:ptCount val="13"/>
                <c:pt idx="0">
                  <c:v>9.3000000000000007</c:v>
                </c:pt>
                <c:pt idx="1">
                  <c:v>9.34</c:v>
                </c:pt>
                <c:pt idx="2">
                  <c:v>9.44</c:v>
                </c:pt>
                <c:pt idx="3">
                  <c:v>9.43</c:v>
                </c:pt>
                <c:pt idx="4">
                  <c:v>9.4700000000000006</c:v>
                </c:pt>
                <c:pt idx="5">
                  <c:v>9.61</c:v>
                </c:pt>
                <c:pt idx="6">
                  <c:v>9.6999999999999993</c:v>
                </c:pt>
                <c:pt idx="7">
                  <c:v>9.76</c:v>
                </c:pt>
                <c:pt idx="8">
                  <c:v>9.9</c:v>
                </c:pt>
                <c:pt idx="9">
                  <c:v>10.06</c:v>
                </c:pt>
                <c:pt idx="10">
                  <c:v>9.98</c:v>
                </c:pt>
                <c:pt idx="11">
                  <c:v>10.02</c:v>
                </c:pt>
                <c:pt idx="12">
                  <c:v>9.99</c:v>
                </c:pt>
              </c:numCache>
            </c:numRef>
          </c:val>
          <c:smooth val="0"/>
          <c:extLst>
            <c:ext xmlns:c16="http://schemas.microsoft.com/office/drawing/2014/chart" uri="{C3380CC4-5D6E-409C-BE32-E72D297353CC}">
              <c16:uniqueId val="{00000001-924C-4485-BE18-5A7F9C8B2605}"/>
            </c:ext>
          </c:extLst>
        </c:ser>
        <c:ser>
          <c:idx val="2"/>
          <c:order val="2"/>
          <c:tx>
            <c:strRef>
              <c:f>Rendimiento!$E$17</c:f>
              <c:strCache>
                <c:ptCount val="1"/>
                <c:pt idx="0">
                  <c:v>BN</c:v>
                </c:pt>
              </c:strCache>
            </c:strRef>
          </c:tx>
          <c:spPr>
            <a:ln w="22225" cap="rnd" cmpd="sng" algn="ctr">
              <a:solidFill>
                <a:schemeClr val="accent3"/>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Rendimiento!$E$44:$E$56</c:f>
              <c:numCache>
                <c:formatCode>General</c:formatCode>
                <c:ptCount val="13"/>
                <c:pt idx="0">
                  <c:v>9.58</c:v>
                </c:pt>
                <c:pt idx="1">
                  <c:v>9.67</c:v>
                </c:pt>
                <c:pt idx="2">
                  <c:v>9.82</c:v>
                </c:pt>
                <c:pt idx="3">
                  <c:v>9.73</c:v>
                </c:pt>
                <c:pt idx="4">
                  <c:v>9.83</c:v>
                </c:pt>
                <c:pt idx="5">
                  <c:v>9.99</c:v>
                </c:pt>
                <c:pt idx="6">
                  <c:v>10.11</c:v>
                </c:pt>
                <c:pt idx="7">
                  <c:v>10.19</c:v>
                </c:pt>
                <c:pt idx="8">
                  <c:v>10.37</c:v>
                </c:pt>
                <c:pt idx="9">
                  <c:v>10.56</c:v>
                </c:pt>
                <c:pt idx="10">
                  <c:v>10.44</c:v>
                </c:pt>
                <c:pt idx="11">
                  <c:v>10.55</c:v>
                </c:pt>
                <c:pt idx="12">
                  <c:v>10.47</c:v>
                </c:pt>
              </c:numCache>
            </c:numRef>
          </c:val>
          <c:smooth val="0"/>
          <c:extLst>
            <c:ext xmlns:c16="http://schemas.microsoft.com/office/drawing/2014/chart" uri="{C3380CC4-5D6E-409C-BE32-E72D297353CC}">
              <c16:uniqueId val="{00000002-924C-4485-BE18-5A7F9C8B2605}"/>
            </c:ext>
          </c:extLst>
        </c:ser>
        <c:ser>
          <c:idx val="3"/>
          <c:order val="3"/>
          <c:tx>
            <c:strRef>
              <c:f>Rendimiento!$F$17</c:f>
              <c:strCache>
                <c:ptCount val="1"/>
                <c:pt idx="0">
                  <c:v>CCSS</c:v>
                </c:pt>
              </c:strCache>
            </c:strRef>
          </c:tx>
          <c:spPr>
            <a:ln w="22225" cap="rnd" cmpd="sng" algn="ctr">
              <a:solidFill>
                <a:schemeClr val="accent4"/>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Rendimiento!$F$44:$F$56</c:f>
              <c:numCache>
                <c:formatCode>General</c:formatCode>
                <c:ptCount val="13"/>
                <c:pt idx="0">
                  <c:v>10.06</c:v>
                </c:pt>
                <c:pt idx="1">
                  <c:v>10.199999999999999</c:v>
                </c:pt>
                <c:pt idx="2">
                  <c:v>10.34</c:v>
                </c:pt>
                <c:pt idx="3">
                  <c:v>10.25</c:v>
                </c:pt>
                <c:pt idx="4">
                  <c:v>10.38</c:v>
                </c:pt>
                <c:pt idx="5">
                  <c:v>10.43</c:v>
                </c:pt>
                <c:pt idx="6">
                  <c:v>10.55</c:v>
                </c:pt>
                <c:pt idx="7">
                  <c:v>10.64</c:v>
                </c:pt>
                <c:pt idx="8">
                  <c:v>10.76</c:v>
                </c:pt>
                <c:pt idx="9">
                  <c:v>10.85</c:v>
                </c:pt>
                <c:pt idx="10">
                  <c:v>10.76</c:v>
                </c:pt>
                <c:pt idx="11">
                  <c:v>10.91</c:v>
                </c:pt>
                <c:pt idx="12">
                  <c:v>10.87</c:v>
                </c:pt>
              </c:numCache>
            </c:numRef>
          </c:val>
          <c:smooth val="0"/>
          <c:extLst>
            <c:ext xmlns:c16="http://schemas.microsoft.com/office/drawing/2014/chart" uri="{C3380CC4-5D6E-409C-BE32-E72D297353CC}">
              <c16:uniqueId val="{00000003-924C-4485-BE18-5A7F9C8B2605}"/>
            </c:ext>
          </c:extLst>
        </c:ser>
        <c:ser>
          <c:idx val="4"/>
          <c:order val="4"/>
          <c:tx>
            <c:strRef>
              <c:f>Rendimiento!$G$17</c:f>
              <c:strCache>
                <c:ptCount val="1"/>
                <c:pt idx="0">
                  <c:v>Popular</c:v>
                </c:pt>
              </c:strCache>
            </c:strRef>
          </c:tx>
          <c:spPr>
            <a:ln w="22225" cap="rnd" cmpd="sng" algn="ctr">
              <a:solidFill>
                <a:schemeClr val="accent5"/>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Rendimiento!$G$44:$G$56</c:f>
              <c:numCache>
                <c:formatCode>General</c:formatCode>
                <c:ptCount val="13"/>
                <c:pt idx="0">
                  <c:v>9.2799999999999994</c:v>
                </c:pt>
                <c:pt idx="1">
                  <c:v>9.43</c:v>
                </c:pt>
                <c:pt idx="2">
                  <c:v>9.58</c:v>
                </c:pt>
                <c:pt idx="3">
                  <c:v>9.5399999999999991</c:v>
                </c:pt>
                <c:pt idx="4">
                  <c:v>9.68</c:v>
                </c:pt>
                <c:pt idx="5">
                  <c:v>9.6999999999999993</c:v>
                </c:pt>
                <c:pt idx="6">
                  <c:v>9.81</c:v>
                </c:pt>
                <c:pt idx="7">
                  <c:v>9.91</c:v>
                </c:pt>
                <c:pt idx="8">
                  <c:v>10.029999999999999</c:v>
                </c:pt>
                <c:pt idx="9">
                  <c:v>10.1</c:v>
                </c:pt>
                <c:pt idx="10">
                  <c:v>10.06</c:v>
                </c:pt>
                <c:pt idx="11">
                  <c:v>10.29</c:v>
                </c:pt>
                <c:pt idx="12">
                  <c:v>10.199999999999999</c:v>
                </c:pt>
              </c:numCache>
            </c:numRef>
          </c:val>
          <c:smooth val="0"/>
          <c:extLst>
            <c:ext xmlns:c16="http://schemas.microsoft.com/office/drawing/2014/chart" uri="{C3380CC4-5D6E-409C-BE32-E72D297353CC}">
              <c16:uniqueId val="{00000004-924C-4485-BE18-5A7F9C8B2605}"/>
            </c:ext>
          </c:extLst>
        </c:ser>
        <c:ser>
          <c:idx val="5"/>
          <c:order val="5"/>
          <c:tx>
            <c:strRef>
              <c:f>Rendimiento!$H$17</c:f>
              <c:strCache>
                <c:ptCount val="1"/>
                <c:pt idx="0">
                  <c:v>Vida Plena</c:v>
                </c:pt>
              </c:strCache>
            </c:strRef>
          </c:tx>
          <c:spPr>
            <a:ln w="22225" cap="rnd" cmpd="sng" algn="ctr">
              <a:solidFill>
                <a:schemeClr val="accent6"/>
              </a:solidFill>
              <a:round/>
            </a:ln>
            <a:effectLst/>
          </c:spPr>
          <c:marker>
            <c:symbol val="none"/>
          </c:marker>
          <c:cat>
            <c:numRef>
              <c:f>Rendimiento!$B$44:$B$56</c:f>
              <c:numCache>
                <c:formatCode>mmm\-yy</c:formatCode>
                <c:ptCount val="13"/>
                <c:pt idx="0">
                  <c:v>44166</c:v>
                </c:pt>
                <c:pt idx="1">
                  <c:v>44197</c:v>
                </c:pt>
                <c:pt idx="2">
                  <c:v>44228</c:v>
                </c:pt>
                <c:pt idx="3">
                  <c:v>44256</c:v>
                </c:pt>
                <c:pt idx="4">
                  <c:v>44287</c:v>
                </c:pt>
                <c:pt idx="5">
                  <c:v>44317</c:v>
                </c:pt>
                <c:pt idx="6">
                  <c:v>44348</c:v>
                </c:pt>
                <c:pt idx="7">
                  <c:v>44378</c:v>
                </c:pt>
                <c:pt idx="8">
                  <c:v>44409</c:v>
                </c:pt>
                <c:pt idx="9">
                  <c:v>44440</c:v>
                </c:pt>
                <c:pt idx="10">
                  <c:v>44470</c:v>
                </c:pt>
                <c:pt idx="11">
                  <c:v>44501</c:v>
                </c:pt>
                <c:pt idx="12">
                  <c:v>44531</c:v>
                </c:pt>
              </c:numCache>
            </c:numRef>
          </c:cat>
          <c:val>
            <c:numRef>
              <c:f>Rendimiento!$H$44:$H$56</c:f>
              <c:numCache>
                <c:formatCode>General</c:formatCode>
                <c:ptCount val="13"/>
                <c:pt idx="0">
                  <c:v>9.4700000000000006</c:v>
                </c:pt>
                <c:pt idx="1">
                  <c:v>9.5</c:v>
                </c:pt>
                <c:pt idx="2">
                  <c:v>9.6</c:v>
                </c:pt>
                <c:pt idx="3">
                  <c:v>9.57</c:v>
                </c:pt>
                <c:pt idx="4">
                  <c:v>9.6300000000000008</c:v>
                </c:pt>
                <c:pt idx="5">
                  <c:v>9.7200000000000006</c:v>
                </c:pt>
                <c:pt idx="6">
                  <c:v>9.81</c:v>
                </c:pt>
                <c:pt idx="7">
                  <c:v>9.89</c:v>
                </c:pt>
                <c:pt idx="8">
                  <c:v>10.06</c:v>
                </c:pt>
                <c:pt idx="9">
                  <c:v>10.199999999999999</c:v>
                </c:pt>
                <c:pt idx="10">
                  <c:v>10.09</c:v>
                </c:pt>
                <c:pt idx="11">
                  <c:v>10.15</c:v>
                </c:pt>
                <c:pt idx="12">
                  <c:v>10.1</c:v>
                </c:pt>
              </c:numCache>
            </c:numRef>
          </c:val>
          <c:smooth val="0"/>
          <c:extLst>
            <c:ext xmlns:c16="http://schemas.microsoft.com/office/drawing/2014/chart" uri="{C3380CC4-5D6E-409C-BE32-E72D297353CC}">
              <c16:uniqueId val="{00000005-924C-4485-BE18-5A7F9C8B2605}"/>
            </c:ext>
          </c:extLst>
        </c:ser>
        <c:dLbls>
          <c:showLegendKey val="0"/>
          <c:showVal val="0"/>
          <c:showCatName val="0"/>
          <c:showSerName val="0"/>
          <c:showPercent val="0"/>
          <c:showBubbleSize val="0"/>
        </c:dLbls>
        <c:smooth val="0"/>
        <c:axId val="813308815"/>
        <c:axId val="1901304671"/>
      </c:lineChart>
      <c:dateAx>
        <c:axId val="813308815"/>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solidFill>
                <a:latin typeface="+mn-lt"/>
                <a:ea typeface="+mn-ea"/>
                <a:cs typeface="+mn-cs"/>
              </a:defRPr>
            </a:pPr>
            <a:endParaRPr lang="es-CR"/>
          </a:p>
        </c:txPr>
        <c:crossAx val="1901304671"/>
        <c:crosses val="autoZero"/>
        <c:auto val="1"/>
        <c:lblOffset val="100"/>
        <c:baseTimeUnit val="months"/>
      </c:dateAx>
      <c:valAx>
        <c:axId val="1901304671"/>
        <c:scaling>
          <c:orientation val="minMax"/>
          <c:min val="9"/>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es-CR"/>
                  <a:t>Rendimiento porcentual</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solidFill>
                <a:latin typeface="+mn-lt"/>
                <a:ea typeface="+mn-ea"/>
                <a:cs typeface="+mn-cs"/>
              </a:defRPr>
            </a:pPr>
            <a:endParaRPr lang="es-CR"/>
          </a:p>
        </c:txPr>
        <c:crossAx val="813308815"/>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3888888888889"/>
          <c:y val="0.16448891805191021"/>
          <c:w val="0.43098797025371827"/>
          <c:h val="0.71831328375619719"/>
        </c:manualLayout>
      </c:layout>
      <c:doughnutChart>
        <c:varyColors val="1"/>
        <c:ser>
          <c:idx val="0"/>
          <c:order val="0"/>
          <c:dPt>
            <c:idx val="0"/>
            <c:bubble3D val="0"/>
            <c:explosion val="6"/>
            <c:spPr>
              <a:pattFill prst="dkHorz">
                <a:fgClr>
                  <a:schemeClr val="accent2">
                    <a:lumMod val="75000"/>
                  </a:schemeClr>
                </a:fgClr>
                <a:bgClr>
                  <a:schemeClr val="bg1"/>
                </a:bgClr>
              </a:pattFill>
              <a:ln w="19050">
                <a:solidFill>
                  <a:schemeClr val="lt1"/>
                </a:solidFill>
              </a:ln>
              <a:effectLst/>
            </c:spPr>
            <c:extLst>
              <c:ext xmlns:c16="http://schemas.microsoft.com/office/drawing/2014/chart" uri="{C3380CC4-5D6E-409C-BE32-E72D297353CC}">
                <c16:uniqueId val="{00000001-735E-4295-A320-12F00C2A1A51}"/>
              </c:ext>
            </c:extLst>
          </c:dPt>
          <c:dPt>
            <c:idx val="1"/>
            <c:bubble3D val="0"/>
            <c:explosion val="8"/>
            <c:spPr>
              <a:pattFill prst="dkHorz">
                <a:fgClr>
                  <a:srgbClr val="92D050"/>
                </a:fgClr>
                <a:bgClr>
                  <a:schemeClr val="bg1"/>
                </a:bgClr>
              </a:pattFill>
              <a:ln w="19050">
                <a:solidFill>
                  <a:schemeClr val="lt1"/>
                </a:solidFill>
              </a:ln>
              <a:effectLst/>
            </c:spPr>
            <c:extLst>
              <c:ext xmlns:c16="http://schemas.microsoft.com/office/drawing/2014/chart" uri="{C3380CC4-5D6E-409C-BE32-E72D297353CC}">
                <c16:uniqueId val="{00000003-735E-4295-A320-12F00C2A1A51}"/>
              </c:ext>
            </c:extLst>
          </c:dPt>
          <c:dPt>
            <c:idx val="2"/>
            <c:bubble3D val="0"/>
            <c:explosion val="10"/>
            <c:spPr>
              <a:pattFill prst="dkHorz">
                <a:fgClr>
                  <a:schemeClr val="tx1"/>
                </a:fgClr>
                <a:bgClr>
                  <a:schemeClr val="bg1"/>
                </a:bgClr>
              </a:pattFill>
              <a:ln w="19050">
                <a:solidFill>
                  <a:schemeClr val="lt1"/>
                </a:solidFill>
              </a:ln>
              <a:effectLst/>
            </c:spPr>
            <c:extLst>
              <c:ext xmlns:c16="http://schemas.microsoft.com/office/drawing/2014/chart" uri="{C3380CC4-5D6E-409C-BE32-E72D297353CC}">
                <c16:uniqueId val="{00000005-735E-4295-A320-12F00C2A1A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5E-4295-A320-12F00C2A1A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5E-4295-A320-12F00C2A1A51}"/>
              </c:ext>
            </c:extLst>
          </c:dPt>
          <c:dLbls>
            <c:dLbl>
              <c:idx val="0"/>
              <c:layout>
                <c:manualLayout>
                  <c:x val="0.10277777777777777"/>
                  <c:y val="-4.166666666666670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5E-4295-A320-12F00C2A1A51}"/>
                </c:ext>
              </c:extLst>
            </c:dLbl>
            <c:dLbl>
              <c:idx val="1"/>
              <c:layout>
                <c:manualLayout>
                  <c:x val="8.055555555555545E-2"/>
                  <c:y val="3.240740740740732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35E-4295-A320-12F00C2A1A51}"/>
                </c:ext>
              </c:extLst>
            </c:dLbl>
            <c:dLbl>
              <c:idx val="2"/>
              <c:layout>
                <c:manualLayout>
                  <c:x val="6.1111111111111012E-2"/>
                  <c:y val="9.72222222222221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5E-4295-A320-12F00C2A1A51}"/>
                </c:ext>
              </c:extLst>
            </c:dLbl>
            <c:dLbl>
              <c:idx val="4"/>
              <c:layout>
                <c:manualLayout>
                  <c:x val="-8.3333333333333329E-2"/>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35E-4295-A320-12F00C2A1A51}"/>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showLegendKey val="0"/>
            <c:showVal val="0"/>
            <c:showCatName val="0"/>
            <c:showSerName val="0"/>
            <c:showPercent val="1"/>
            <c:showBubbleSize val="0"/>
            <c:showLeaderLines val="0"/>
            <c:extLst>
              <c:ext xmlns:c15="http://schemas.microsoft.com/office/drawing/2012/chart" uri="{CE6537A1-D6FC-4f65-9D91-7224C49458BB}"/>
            </c:extLst>
          </c:dLbls>
          <c:cat>
            <c:strRef>
              <c:f>'[Consolidado.xlsx]Cartera Sector'!$G$9:$G$13</c:f>
              <c:strCache>
                <c:ptCount val="5"/>
                <c:pt idx="0">
                  <c:v>Extranjero</c:v>
                </c:pt>
                <c:pt idx="1">
                  <c:v>Privado dólares</c:v>
                </c:pt>
                <c:pt idx="2">
                  <c:v>Público dólares</c:v>
                </c:pt>
                <c:pt idx="3">
                  <c:v>Privado colones</c:v>
                </c:pt>
                <c:pt idx="4">
                  <c:v>Público colones</c:v>
                </c:pt>
              </c:strCache>
            </c:strRef>
          </c:cat>
          <c:val>
            <c:numRef>
              <c:f>'[Consolidado.xlsx]Cartera Sector'!$H$9:$H$13</c:f>
              <c:numCache>
                <c:formatCode>General</c:formatCode>
                <c:ptCount val="5"/>
                <c:pt idx="0">
                  <c:v>2780369811082.2202</c:v>
                </c:pt>
                <c:pt idx="1">
                  <c:v>236090550087.85999</c:v>
                </c:pt>
                <c:pt idx="2">
                  <c:v>630268930930.72986</c:v>
                </c:pt>
                <c:pt idx="3">
                  <c:v>491578706706.41992</c:v>
                </c:pt>
                <c:pt idx="4">
                  <c:v>4723652968565.2002</c:v>
                </c:pt>
              </c:numCache>
            </c:numRef>
          </c:val>
          <c:extLst>
            <c:ext xmlns:c16="http://schemas.microsoft.com/office/drawing/2014/chart" uri="{C3380CC4-5D6E-409C-BE32-E72D297353CC}">
              <c16:uniqueId val="{0000000A-735E-4295-A320-12F00C2A1A51}"/>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o" ma:contentTypeID="0x01010016856631F615B3409059BBB0F9B27DCB" ma:contentTypeVersion="15" ma:contentTypeDescription="Crear nuevo documento." ma:contentTypeScope="" ma:versionID="47210b89c82ae1714ee5357ee90d6da2">
  <xsd:schema xmlns:xsd="http://www.w3.org/2001/XMLSchema" xmlns:xs="http://www.w3.org/2001/XMLSchema" xmlns:p="http://schemas.microsoft.com/office/2006/metadata/properties" xmlns:ns2="b18c669d-fb4a-4eb9-a4d1-62cdc1f0ce82" xmlns:ns3="2771f82f-2111-4618-a6ac-913e60384c73" targetNamespace="http://schemas.microsoft.com/office/2006/metadata/properties" ma:root="true" ma:fieldsID="004a81f54fee428c8bd711f989c5dc6b" ns2:_="" ns3:_="">
    <xsd:import namespace="b18c669d-fb4a-4eb9-a4d1-62cdc1f0ce82"/>
    <xsd:import namespace="2771f82f-2111-4618-a6ac-913e60384c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4"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f82f-2111-4618-a6ac-913e60384c7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862A8-EB59-470F-888D-44B074B33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9281D-6792-4CF9-B7A5-AA3540E83344}">
  <ds:schemaRefs>
    <ds:schemaRef ds:uri="http://schemas.openxmlformats.org/officeDocument/2006/bibliography"/>
  </ds:schemaRefs>
</ds:datastoreItem>
</file>

<file path=customXml/itemProps3.xml><?xml version="1.0" encoding="utf-8"?>
<ds:datastoreItem xmlns:ds="http://schemas.openxmlformats.org/officeDocument/2006/customXml" ds:itemID="{0947D643-D225-4A14-B798-089F535E4BC2}">
  <ds:schemaRefs>
    <ds:schemaRef ds:uri="http://schemas.microsoft.com/sharepoint/v3/contenttype/forms"/>
  </ds:schemaRefs>
</ds:datastoreItem>
</file>

<file path=customXml/itemProps4.xml><?xml version="1.0" encoding="utf-8"?>
<ds:datastoreItem xmlns:ds="http://schemas.openxmlformats.org/officeDocument/2006/customXml" ds:itemID="{44F5D90A-5091-46E1-A261-7764646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669d-fb4a-4eb9-a4d1-62cdc1f0ce82"/>
    <ds:schemaRef ds:uri="2771f82f-2111-4618-a6ac-913e603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Hoja SUPEN</Template>
  <TotalTime>2</TotalTime>
  <Pages>15</Pages>
  <Words>3433</Words>
  <Characters>18886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22275</CharactersWithSpaces>
  <SharedDoc>false</SharedDoc>
  <HLinks>
    <vt:vector size="162" baseType="variant">
      <vt:variant>
        <vt:i4>1572924</vt:i4>
      </vt:variant>
      <vt:variant>
        <vt:i4>149</vt:i4>
      </vt:variant>
      <vt:variant>
        <vt:i4>0</vt:i4>
      </vt:variant>
      <vt:variant>
        <vt:i4>5</vt:i4>
      </vt:variant>
      <vt:variant>
        <vt:lpwstr/>
      </vt:variant>
      <vt:variant>
        <vt:lpwstr>_Toc86330379</vt:lpwstr>
      </vt:variant>
      <vt:variant>
        <vt:i4>1638460</vt:i4>
      </vt:variant>
      <vt:variant>
        <vt:i4>143</vt:i4>
      </vt:variant>
      <vt:variant>
        <vt:i4>0</vt:i4>
      </vt:variant>
      <vt:variant>
        <vt:i4>5</vt:i4>
      </vt:variant>
      <vt:variant>
        <vt:lpwstr/>
      </vt:variant>
      <vt:variant>
        <vt:lpwstr>_Toc86330378</vt:lpwstr>
      </vt:variant>
      <vt:variant>
        <vt:i4>1441852</vt:i4>
      </vt:variant>
      <vt:variant>
        <vt:i4>137</vt:i4>
      </vt:variant>
      <vt:variant>
        <vt:i4>0</vt:i4>
      </vt:variant>
      <vt:variant>
        <vt:i4>5</vt:i4>
      </vt:variant>
      <vt:variant>
        <vt:lpwstr/>
      </vt:variant>
      <vt:variant>
        <vt:lpwstr>_Toc86330377</vt:lpwstr>
      </vt:variant>
      <vt:variant>
        <vt:i4>1507388</vt:i4>
      </vt:variant>
      <vt:variant>
        <vt:i4>131</vt:i4>
      </vt:variant>
      <vt:variant>
        <vt:i4>0</vt:i4>
      </vt:variant>
      <vt:variant>
        <vt:i4>5</vt:i4>
      </vt:variant>
      <vt:variant>
        <vt:lpwstr/>
      </vt:variant>
      <vt:variant>
        <vt:lpwstr>_Toc86330376</vt:lpwstr>
      </vt:variant>
      <vt:variant>
        <vt:i4>1310780</vt:i4>
      </vt:variant>
      <vt:variant>
        <vt:i4>125</vt:i4>
      </vt:variant>
      <vt:variant>
        <vt:i4>0</vt:i4>
      </vt:variant>
      <vt:variant>
        <vt:i4>5</vt:i4>
      </vt:variant>
      <vt:variant>
        <vt:lpwstr/>
      </vt:variant>
      <vt:variant>
        <vt:lpwstr>_Toc86330375</vt:lpwstr>
      </vt:variant>
      <vt:variant>
        <vt:i4>1376316</vt:i4>
      </vt:variant>
      <vt:variant>
        <vt:i4>119</vt:i4>
      </vt:variant>
      <vt:variant>
        <vt:i4>0</vt:i4>
      </vt:variant>
      <vt:variant>
        <vt:i4>5</vt:i4>
      </vt:variant>
      <vt:variant>
        <vt:lpwstr/>
      </vt:variant>
      <vt:variant>
        <vt:lpwstr>_Toc86330374</vt:lpwstr>
      </vt:variant>
      <vt:variant>
        <vt:i4>1179708</vt:i4>
      </vt:variant>
      <vt:variant>
        <vt:i4>113</vt:i4>
      </vt:variant>
      <vt:variant>
        <vt:i4>0</vt:i4>
      </vt:variant>
      <vt:variant>
        <vt:i4>5</vt:i4>
      </vt:variant>
      <vt:variant>
        <vt:lpwstr/>
      </vt:variant>
      <vt:variant>
        <vt:lpwstr>_Toc86330373</vt:lpwstr>
      </vt:variant>
      <vt:variant>
        <vt:i4>1245244</vt:i4>
      </vt:variant>
      <vt:variant>
        <vt:i4>107</vt:i4>
      </vt:variant>
      <vt:variant>
        <vt:i4>0</vt:i4>
      </vt:variant>
      <vt:variant>
        <vt:i4>5</vt:i4>
      </vt:variant>
      <vt:variant>
        <vt:lpwstr/>
      </vt:variant>
      <vt:variant>
        <vt:lpwstr>_Toc86330372</vt:lpwstr>
      </vt:variant>
      <vt:variant>
        <vt:i4>1048636</vt:i4>
      </vt:variant>
      <vt:variant>
        <vt:i4>101</vt:i4>
      </vt:variant>
      <vt:variant>
        <vt:i4>0</vt:i4>
      </vt:variant>
      <vt:variant>
        <vt:i4>5</vt:i4>
      </vt:variant>
      <vt:variant>
        <vt:lpwstr/>
      </vt:variant>
      <vt:variant>
        <vt:lpwstr>_Toc86330371</vt:lpwstr>
      </vt:variant>
      <vt:variant>
        <vt:i4>1114172</vt:i4>
      </vt:variant>
      <vt:variant>
        <vt:i4>95</vt:i4>
      </vt:variant>
      <vt:variant>
        <vt:i4>0</vt:i4>
      </vt:variant>
      <vt:variant>
        <vt:i4>5</vt:i4>
      </vt:variant>
      <vt:variant>
        <vt:lpwstr/>
      </vt:variant>
      <vt:variant>
        <vt:lpwstr>_Toc86330370</vt:lpwstr>
      </vt:variant>
      <vt:variant>
        <vt:i4>1572925</vt:i4>
      </vt:variant>
      <vt:variant>
        <vt:i4>89</vt:i4>
      </vt:variant>
      <vt:variant>
        <vt:i4>0</vt:i4>
      </vt:variant>
      <vt:variant>
        <vt:i4>5</vt:i4>
      </vt:variant>
      <vt:variant>
        <vt:lpwstr/>
      </vt:variant>
      <vt:variant>
        <vt:lpwstr>_Toc86330369</vt:lpwstr>
      </vt:variant>
      <vt:variant>
        <vt:i4>1638461</vt:i4>
      </vt:variant>
      <vt:variant>
        <vt:i4>83</vt:i4>
      </vt:variant>
      <vt:variant>
        <vt:i4>0</vt:i4>
      </vt:variant>
      <vt:variant>
        <vt:i4>5</vt:i4>
      </vt:variant>
      <vt:variant>
        <vt:lpwstr/>
      </vt:variant>
      <vt:variant>
        <vt:lpwstr>_Toc86330368</vt:lpwstr>
      </vt:variant>
      <vt:variant>
        <vt:i4>1441853</vt:i4>
      </vt:variant>
      <vt:variant>
        <vt:i4>77</vt:i4>
      </vt:variant>
      <vt:variant>
        <vt:i4>0</vt:i4>
      </vt:variant>
      <vt:variant>
        <vt:i4>5</vt:i4>
      </vt:variant>
      <vt:variant>
        <vt:lpwstr/>
      </vt:variant>
      <vt:variant>
        <vt:lpwstr>_Toc86330367</vt:lpwstr>
      </vt:variant>
      <vt:variant>
        <vt:i4>1507389</vt:i4>
      </vt:variant>
      <vt:variant>
        <vt:i4>71</vt:i4>
      </vt:variant>
      <vt:variant>
        <vt:i4>0</vt:i4>
      </vt:variant>
      <vt:variant>
        <vt:i4>5</vt:i4>
      </vt:variant>
      <vt:variant>
        <vt:lpwstr/>
      </vt:variant>
      <vt:variant>
        <vt:lpwstr>_Toc86330366</vt:lpwstr>
      </vt:variant>
      <vt:variant>
        <vt:i4>1310781</vt:i4>
      </vt:variant>
      <vt:variant>
        <vt:i4>65</vt:i4>
      </vt:variant>
      <vt:variant>
        <vt:i4>0</vt:i4>
      </vt:variant>
      <vt:variant>
        <vt:i4>5</vt:i4>
      </vt:variant>
      <vt:variant>
        <vt:lpwstr/>
      </vt:variant>
      <vt:variant>
        <vt:lpwstr>_Toc86330365</vt:lpwstr>
      </vt:variant>
      <vt:variant>
        <vt:i4>1376317</vt:i4>
      </vt:variant>
      <vt:variant>
        <vt:i4>59</vt:i4>
      </vt:variant>
      <vt:variant>
        <vt:i4>0</vt:i4>
      </vt:variant>
      <vt:variant>
        <vt:i4>5</vt:i4>
      </vt:variant>
      <vt:variant>
        <vt:lpwstr/>
      </vt:variant>
      <vt:variant>
        <vt:lpwstr>_Toc86330364</vt:lpwstr>
      </vt:variant>
      <vt:variant>
        <vt:i4>1179709</vt:i4>
      </vt:variant>
      <vt:variant>
        <vt:i4>53</vt:i4>
      </vt:variant>
      <vt:variant>
        <vt:i4>0</vt:i4>
      </vt:variant>
      <vt:variant>
        <vt:i4>5</vt:i4>
      </vt:variant>
      <vt:variant>
        <vt:lpwstr/>
      </vt:variant>
      <vt:variant>
        <vt:lpwstr>_Toc86330363</vt:lpwstr>
      </vt:variant>
      <vt:variant>
        <vt:i4>1245245</vt:i4>
      </vt:variant>
      <vt:variant>
        <vt:i4>47</vt:i4>
      </vt:variant>
      <vt:variant>
        <vt:i4>0</vt:i4>
      </vt:variant>
      <vt:variant>
        <vt:i4>5</vt:i4>
      </vt:variant>
      <vt:variant>
        <vt:lpwstr/>
      </vt:variant>
      <vt:variant>
        <vt:lpwstr>_Toc86330362</vt:lpwstr>
      </vt:variant>
      <vt:variant>
        <vt:i4>1048637</vt:i4>
      </vt:variant>
      <vt:variant>
        <vt:i4>41</vt:i4>
      </vt:variant>
      <vt:variant>
        <vt:i4>0</vt:i4>
      </vt:variant>
      <vt:variant>
        <vt:i4>5</vt:i4>
      </vt:variant>
      <vt:variant>
        <vt:lpwstr/>
      </vt:variant>
      <vt:variant>
        <vt:lpwstr>_Toc86330361</vt:lpwstr>
      </vt:variant>
      <vt:variant>
        <vt:i4>1114173</vt:i4>
      </vt:variant>
      <vt:variant>
        <vt:i4>35</vt:i4>
      </vt:variant>
      <vt:variant>
        <vt:i4>0</vt:i4>
      </vt:variant>
      <vt:variant>
        <vt:i4>5</vt:i4>
      </vt:variant>
      <vt:variant>
        <vt:lpwstr/>
      </vt:variant>
      <vt:variant>
        <vt:lpwstr>_Toc86330360</vt:lpwstr>
      </vt:variant>
      <vt:variant>
        <vt:i4>1572926</vt:i4>
      </vt:variant>
      <vt:variant>
        <vt:i4>29</vt:i4>
      </vt:variant>
      <vt:variant>
        <vt:i4>0</vt:i4>
      </vt:variant>
      <vt:variant>
        <vt:i4>5</vt:i4>
      </vt:variant>
      <vt:variant>
        <vt:lpwstr/>
      </vt:variant>
      <vt:variant>
        <vt:lpwstr>_Toc86330359</vt:lpwstr>
      </vt:variant>
      <vt:variant>
        <vt:i4>1638462</vt:i4>
      </vt:variant>
      <vt:variant>
        <vt:i4>23</vt:i4>
      </vt:variant>
      <vt:variant>
        <vt:i4>0</vt:i4>
      </vt:variant>
      <vt:variant>
        <vt:i4>5</vt:i4>
      </vt:variant>
      <vt:variant>
        <vt:lpwstr/>
      </vt:variant>
      <vt:variant>
        <vt:lpwstr>_Toc86330358</vt:lpwstr>
      </vt:variant>
      <vt:variant>
        <vt:i4>1441854</vt:i4>
      </vt:variant>
      <vt:variant>
        <vt:i4>17</vt:i4>
      </vt:variant>
      <vt:variant>
        <vt:i4>0</vt:i4>
      </vt:variant>
      <vt:variant>
        <vt:i4>5</vt:i4>
      </vt:variant>
      <vt:variant>
        <vt:lpwstr/>
      </vt:variant>
      <vt:variant>
        <vt:lpwstr>_Toc86330357</vt:lpwstr>
      </vt:variant>
      <vt:variant>
        <vt:i4>1507390</vt:i4>
      </vt:variant>
      <vt:variant>
        <vt:i4>11</vt:i4>
      </vt:variant>
      <vt:variant>
        <vt:i4>0</vt:i4>
      </vt:variant>
      <vt:variant>
        <vt:i4>5</vt:i4>
      </vt:variant>
      <vt:variant>
        <vt:lpwstr/>
      </vt:variant>
      <vt:variant>
        <vt:lpwstr>_Toc86330356</vt:lpwstr>
      </vt:variant>
      <vt:variant>
        <vt:i4>1310782</vt:i4>
      </vt:variant>
      <vt:variant>
        <vt:i4>5</vt:i4>
      </vt:variant>
      <vt:variant>
        <vt:i4>0</vt:i4>
      </vt:variant>
      <vt:variant>
        <vt:i4>5</vt:i4>
      </vt:variant>
      <vt:variant>
        <vt:lpwstr/>
      </vt:variant>
      <vt:variant>
        <vt:lpwstr>_Toc86330355</vt:lpwstr>
      </vt:variant>
      <vt:variant>
        <vt:i4>5767214</vt:i4>
      </vt:variant>
      <vt:variant>
        <vt:i4>0</vt:i4>
      </vt:variant>
      <vt:variant>
        <vt:i4>0</vt:i4>
      </vt:variant>
      <vt:variant>
        <vt:i4>5</vt:i4>
      </vt:variant>
      <vt:variant>
        <vt:lpwstr>mailto:SUPEN@SUPEN.fi.cr</vt:lpwstr>
      </vt:variant>
      <vt:variant>
        <vt:lpwstr/>
      </vt:variant>
      <vt:variant>
        <vt:i4>5767214</vt:i4>
      </vt:variant>
      <vt:variant>
        <vt:i4>0</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BARQUERO ADRIAN</dc:creator>
  <cp:keywords/>
  <dc:description/>
  <cp:lastModifiedBy>CORRALES VEGA RUDY</cp:lastModifiedBy>
  <cp:revision>3</cp:revision>
  <dcterms:created xsi:type="dcterms:W3CDTF">2022-02-25T14:14:00Z</dcterms:created>
  <dcterms:modified xsi:type="dcterms:W3CDTF">2022-02-25T14:19:00Z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0x01010016856631F615B3409059BBB0F9B27DCB</vt:lpwstr>
  </property>
</Properties>
</file>