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2C1AE" w14:textId="77777777" w:rsidR="00A67A7C" w:rsidRDefault="00A67A7C" w:rsidP="00AD0336">
      <w:pPr>
        <w:pStyle w:val="Ttulo2"/>
      </w:pPr>
    </w:p>
    <w:p w14:paraId="077CD23B" w14:textId="77777777" w:rsidR="00123A40" w:rsidRDefault="005960D3" w:rsidP="00015663">
      <w:pPr>
        <w:pStyle w:val="Sinespaciado"/>
        <w:jc w:val="both"/>
        <w:rPr>
          <w:rFonts w:cstheme="minorHAnsi"/>
          <w:b/>
          <w:bCs/>
          <w:sz w:val="24"/>
          <w:szCs w:val="24"/>
        </w:rPr>
      </w:pPr>
      <w:bookmarkStart w:id="0" w:name="_Hlk8031810"/>
      <w:bookmarkEnd w:id="0"/>
      <w:r w:rsidRPr="005960D3">
        <w:rPr>
          <w:rFonts w:cstheme="minorHAnsi"/>
          <w:b/>
          <w:bCs/>
          <w:noProof/>
          <w:sz w:val="24"/>
          <w:szCs w:val="24"/>
        </w:rPr>
        <mc:AlternateContent>
          <mc:Choice Requires="wps">
            <w:drawing>
              <wp:anchor distT="0" distB="0" distL="457200" distR="118745" simplePos="0" relativeHeight="251658241" behindDoc="0" locked="0" layoutInCell="0" allowOverlap="1" wp14:anchorId="408CDCF6" wp14:editId="77058E4C">
                <wp:simplePos x="0" y="0"/>
                <wp:positionH relativeFrom="margin">
                  <wp:posOffset>1482090</wp:posOffset>
                </wp:positionH>
                <wp:positionV relativeFrom="paragraph">
                  <wp:posOffset>23495</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732917A7" w14:textId="77777777" w:rsidR="00F721B1" w:rsidRPr="00C26828" w:rsidRDefault="00F721B1" w:rsidP="005960D3">
                            <w:pPr>
                              <w:pBdr>
                                <w:left w:val="single" w:sz="4" w:space="9" w:color="4F81BD" w:themeColor="accent1"/>
                              </w:pBdr>
                              <w:jc w:val="center"/>
                              <w:rPr>
                                <w:rFonts w:asciiTheme="majorHAnsi" w:eastAsiaTheme="majorEastAsia" w:hAnsiTheme="majorHAnsi" w:cstheme="majorBidi"/>
                                <w:sz w:val="40"/>
                                <w:szCs w:val="40"/>
                              </w:rPr>
                            </w:pPr>
                            <w:bookmarkStart w:id="1" w:name="_Hlk63666386"/>
                            <w:bookmarkEnd w:id="1"/>
                          </w:p>
                          <w:p w14:paraId="0A7D5656" w14:textId="77777777" w:rsidR="00F721B1" w:rsidRDefault="00F721B1" w:rsidP="005960D3">
                            <w:pPr>
                              <w:pBdr>
                                <w:left w:val="single" w:sz="4" w:space="9" w:color="4F81BD" w:themeColor="accent1"/>
                              </w:pBdr>
                              <w:jc w:val="center"/>
                              <w:rPr>
                                <w:rFonts w:asciiTheme="majorHAnsi" w:eastAsiaTheme="majorEastAsia" w:hAnsiTheme="majorHAnsi" w:cstheme="majorBidi"/>
                                <w:sz w:val="40"/>
                                <w:szCs w:val="40"/>
                              </w:rPr>
                            </w:pPr>
                          </w:p>
                          <w:p w14:paraId="0565CDAE" w14:textId="77777777" w:rsidR="00F721B1" w:rsidRDefault="00F721B1" w:rsidP="005960D3">
                            <w:pPr>
                              <w:pBdr>
                                <w:left w:val="single" w:sz="4" w:space="9" w:color="4F81BD" w:themeColor="accent1"/>
                              </w:pBdr>
                              <w:jc w:val="center"/>
                              <w:rPr>
                                <w:rFonts w:asciiTheme="majorHAnsi" w:eastAsiaTheme="majorEastAsia" w:hAnsiTheme="majorHAnsi" w:cstheme="majorBidi"/>
                                <w:sz w:val="40"/>
                                <w:szCs w:val="40"/>
                              </w:rPr>
                            </w:pPr>
                          </w:p>
                          <w:p w14:paraId="2D9034AC" w14:textId="77777777" w:rsidR="00F721B1" w:rsidRPr="00C26828" w:rsidRDefault="00F721B1" w:rsidP="005960D3">
                            <w:pPr>
                              <w:pBdr>
                                <w:left w:val="single" w:sz="4" w:space="9" w:color="4F81BD" w:themeColor="accent1"/>
                              </w:pBdr>
                              <w:jc w:val="center"/>
                              <w:rPr>
                                <w:rFonts w:asciiTheme="majorHAnsi" w:eastAsiaTheme="majorEastAsia" w:hAnsiTheme="majorHAnsi" w:cstheme="majorBidi"/>
                                <w:sz w:val="40"/>
                                <w:szCs w:val="40"/>
                              </w:rPr>
                            </w:pPr>
                          </w:p>
                          <w:p w14:paraId="104187A0" w14:textId="77777777" w:rsidR="00F721B1" w:rsidRPr="00C26828" w:rsidRDefault="00F721B1" w:rsidP="005960D3">
                            <w:pPr>
                              <w:pBdr>
                                <w:left w:val="single" w:sz="4" w:space="9" w:color="4F81BD" w:themeColor="accent1"/>
                              </w:pBdr>
                              <w:jc w:val="center"/>
                              <w:rPr>
                                <w:rFonts w:asciiTheme="majorHAnsi" w:eastAsiaTheme="majorEastAsia" w:hAnsiTheme="majorHAnsi" w:cstheme="majorBidi"/>
                                <w:sz w:val="40"/>
                                <w:szCs w:val="40"/>
                              </w:rPr>
                            </w:pPr>
                          </w:p>
                          <w:p w14:paraId="3CFCB022" w14:textId="77777777" w:rsidR="00F721B1" w:rsidRPr="00007611" w:rsidRDefault="00F721B1" w:rsidP="005960D3">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44FDEC3B" w14:textId="77777777" w:rsidR="00F721B1" w:rsidRPr="00C26828" w:rsidRDefault="00F721B1" w:rsidP="005960D3">
                            <w:pPr>
                              <w:pBdr>
                                <w:left w:val="single" w:sz="4" w:space="9" w:color="4F81BD" w:themeColor="accent1"/>
                              </w:pBdr>
                              <w:jc w:val="center"/>
                              <w:rPr>
                                <w:rFonts w:asciiTheme="majorHAnsi" w:eastAsiaTheme="majorEastAsia" w:hAnsiTheme="majorHAnsi" w:cstheme="majorBidi"/>
                                <w:sz w:val="32"/>
                                <w:szCs w:val="40"/>
                              </w:rPr>
                            </w:pPr>
                          </w:p>
                          <w:p w14:paraId="5C5C7224" w14:textId="77777777" w:rsidR="00F721B1" w:rsidRPr="00C26828" w:rsidRDefault="00F721B1" w:rsidP="005960D3">
                            <w:pPr>
                              <w:pBdr>
                                <w:left w:val="single" w:sz="4" w:space="9" w:color="4F81BD" w:themeColor="accent1"/>
                              </w:pBdr>
                              <w:rPr>
                                <w:rFonts w:asciiTheme="majorHAnsi" w:eastAsiaTheme="majorEastAsia" w:hAnsiTheme="majorHAnsi" w:cstheme="majorBidi"/>
                                <w:sz w:val="32"/>
                                <w:szCs w:val="40"/>
                              </w:rPr>
                            </w:pPr>
                          </w:p>
                          <w:p w14:paraId="6193BFB2" w14:textId="77777777" w:rsidR="00F721B1" w:rsidRDefault="00F721B1" w:rsidP="005960D3">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del sistema de pensiones </w:t>
                            </w:r>
                          </w:p>
                          <w:p w14:paraId="7C2DE9B9" w14:textId="77777777" w:rsidR="00F721B1" w:rsidRDefault="00F721B1" w:rsidP="005960D3">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086C6B27" w14:textId="77777777" w:rsidR="00F721B1" w:rsidRPr="00AC2538" w:rsidRDefault="00F721B1" w:rsidP="005960D3">
                            <w:pPr>
                              <w:pBdr>
                                <w:left w:val="single" w:sz="4" w:space="9" w:color="4F81BD" w:themeColor="accent1"/>
                              </w:pBdr>
                              <w:jc w:val="center"/>
                              <w:rPr>
                                <w:rFonts w:asciiTheme="majorHAnsi" w:eastAsiaTheme="majorEastAsia" w:hAnsiTheme="majorHAnsi" w:cstheme="majorBidi"/>
                                <w:sz w:val="32"/>
                                <w:szCs w:val="40"/>
                              </w:rPr>
                            </w:pPr>
                          </w:p>
                          <w:p w14:paraId="42575DE8" w14:textId="77777777" w:rsidR="00F721B1" w:rsidRPr="00AC2538" w:rsidRDefault="00F721B1" w:rsidP="005960D3">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Cuarto t</w:t>
                            </w:r>
                            <w:r w:rsidRPr="00AC2538">
                              <w:rPr>
                                <w:rFonts w:asciiTheme="majorHAnsi" w:eastAsiaTheme="majorEastAsia" w:hAnsiTheme="majorHAnsi" w:cstheme="majorBidi"/>
                                <w:sz w:val="32"/>
                                <w:szCs w:val="40"/>
                              </w:rPr>
                              <w:t>rimestre</w:t>
                            </w:r>
                          </w:p>
                          <w:p w14:paraId="2CBA639A" w14:textId="77777777" w:rsidR="00F721B1" w:rsidRPr="00AC2538" w:rsidRDefault="00F721B1" w:rsidP="005960D3">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21</w:t>
                            </w:r>
                          </w:p>
                          <w:p w14:paraId="058BC804" w14:textId="77777777" w:rsidR="00F721B1" w:rsidRPr="00AC2538" w:rsidRDefault="00F721B1" w:rsidP="005960D3">
                            <w:pPr>
                              <w:pBdr>
                                <w:left w:val="single" w:sz="4" w:space="9" w:color="4F81BD" w:themeColor="accent1"/>
                              </w:pBdr>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08CDCF6" id="Autoforma 14" o:spid="_x0000_s1026" style="position:absolute;left:0;text-align:left;margin-left:116.7pt;margin-top:1.85pt;width:378.75pt;height:600.4pt;z-index:251658241;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" o:allowincell="f" filled="f" stroked="f" strokeweight="1.25pt">
                <v:textbox inset=",7.2pt,,7.2pt">
                  <w:txbxContent>
                    <w:p w14:paraId="732917A7" w14:textId="77777777" w:rsidR="00F721B1" w:rsidRPr="00C26828" w:rsidRDefault="00F721B1" w:rsidP="005960D3">
                      <w:pPr>
                        <w:pBdr>
                          <w:left w:val="single" w:sz="4" w:space="9" w:color="4F81BD" w:themeColor="accent1"/>
                        </w:pBdr>
                        <w:jc w:val="center"/>
                        <w:rPr>
                          <w:rFonts w:asciiTheme="majorHAnsi" w:eastAsiaTheme="majorEastAsia" w:hAnsiTheme="majorHAnsi" w:cstheme="majorBidi"/>
                          <w:sz w:val="40"/>
                          <w:szCs w:val="40"/>
                        </w:rPr>
                      </w:pPr>
                      <w:bookmarkStart w:id="2" w:name="_Hlk63666386"/>
                      <w:bookmarkEnd w:id="2"/>
                    </w:p>
                    <w:p w14:paraId="0A7D5656" w14:textId="77777777" w:rsidR="00F721B1" w:rsidRDefault="00F721B1" w:rsidP="005960D3">
                      <w:pPr>
                        <w:pBdr>
                          <w:left w:val="single" w:sz="4" w:space="9" w:color="4F81BD" w:themeColor="accent1"/>
                        </w:pBdr>
                        <w:jc w:val="center"/>
                        <w:rPr>
                          <w:rFonts w:asciiTheme="majorHAnsi" w:eastAsiaTheme="majorEastAsia" w:hAnsiTheme="majorHAnsi" w:cstheme="majorBidi"/>
                          <w:sz w:val="40"/>
                          <w:szCs w:val="40"/>
                        </w:rPr>
                      </w:pPr>
                    </w:p>
                    <w:p w14:paraId="0565CDAE" w14:textId="77777777" w:rsidR="00F721B1" w:rsidRDefault="00F721B1" w:rsidP="005960D3">
                      <w:pPr>
                        <w:pBdr>
                          <w:left w:val="single" w:sz="4" w:space="9" w:color="4F81BD" w:themeColor="accent1"/>
                        </w:pBdr>
                        <w:jc w:val="center"/>
                        <w:rPr>
                          <w:rFonts w:asciiTheme="majorHAnsi" w:eastAsiaTheme="majorEastAsia" w:hAnsiTheme="majorHAnsi" w:cstheme="majorBidi"/>
                          <w:sz w:val="40"/>
                          <w:szCs w:val="40"/>
                        </w:rPr>
                      </w:pPr>
                    </w:p>
                    <w:p w14:paraId="2D9034AC" w14:textId="77777777" w:rsidR="00F721B1" w:rsidRPr="00C26828" w:rsidRDefault="00F721B1" w:rsidP="005960D3">
                      <w:pPr>
                        <w:pBdr>
                          <w:left w:val="single" w:sz="4" w:space="9" w:color="4F81BD" w:themeColor="accent1"/>
                        </w:pBdr>
                        <w:jc w:val="center"/>
                        <w:rPr>
                          <w:rFonts w:asciiTheme="majorHAnsi" w:eastAsiaTheme="majorEastAsia" w:hAnsiTheme="majorHAnsi" w:cstheme="majorBidi"/>
                          <w:sz w:val="40"/>
                          <w:szCs w:val="40"/>
                        </w:rPr>
                      </w:pPr>
                    </w:p>
                    <w:p w14:paraId="104187A0" w14:textId="77777777" w:rsidR="00F721B1" w:rsidRPr="00C26828" w:rsidRDefault="00F721B1" w:rsidP="005960D3">
                      <w:pPr>
                        <w:pBdr>
                          <w:left w:val="single" w:sz="4" w:space="9" w:color="4F81BD" w:themeColor="accent1"/>
                        </w:pBdr>
                        <w:jc w:val="center"/>
                        <w:rPr>
                          <w:rFonts w:asciiTheme="majorHAnsi" w:eastAsiaTheme="majorEastAsia" w:hAnsiTheme="majorHAnsi" w:cstheme="majorBidi"/>
                          <w:sz w:val="40"/>
                          <w:szCs w:val="40"/>
                        </w:rPr>
                      </w:pPr>
                    </w:p>
                    <w:p w14:paraId="3CFCB022" w14:textId="77777777" w:rsidR="00F721B1" w:rsidRPr="00007611" w:rsidRDefault="00F721B1" w:rsidP="005960D3">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44FDEC3B" w14:textId="77777777" w:rsidR="00F721B1" w:rsidRPr="00C26828" w:rsidRDefault="00F721B1" w:rsidP="005960D3">
                      <w:pPr>
                        <w:pBdr>
                          <w:left w:val="single" w:sz="4" w:space="9" w:color="4F81BD" w:themeColor="accent1"/>
                        </w:pBdr>
                        <w:jc w:val="center"/>
                        <w:rPr>
                          <w:rFonts w:asciiTheme="majorHAnsi" w:eastAsiaTheme="majorEastAsia" w:hAnsiTheme="majorHAnsi" w:cstheme="majorBidi"/>
                          <w:sz w:val="32"/>
                          <w:szCs w:val="40"/>
                        </w:rPr>
                      </w:pPr>
                    </w:p>
                    <w:p w14:paraId="5C5C7224" w14:textId="77777777" w:rsidR="00F721B1" w:rsidRPr="00C26828" w:rsidRDefault="00F721B1" w:rsidP="005960D3">
                      <w:pPr>
                        <w:pBdr>
                          <w:left w:val="single" w:sz="4" w:space="9" w:color="4F81BD" w:themeColor="accent1"/>
                        </w:pBdr>
                        <w:rPr>
                          <w:rFonts w:asciiTheme="majorHAnsi" w:eastAsiaTheme="majorEastAsia" w:hAnsiTheme="majorHAnsi" w:cstheme="majorBidi"/>
                          <w:sz w:val="32"/>
                          <w:szCs w:val="40"/>
                        </w:rPr>
                      </w:pPr>
                    </w:p>
                    <w:p w14:paraId="6193BFB2" w14:textId="77777777" w:rsidR="00F721B1" w:rsidRDefault="00F721B1" w:rsidP="005960D3">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del sistema de pensiones </w:t>
                      </w:r>
                    </w:p>
                    <w:p w14:paraId="7C2DE9B9" w14:textId="77777777" w:rsidR="00F721B1" w:rsidRDefault="00F721B1" w:rsidP="005960D3">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086C6B27" w14:textId="77777777" w:rsidR="00F721B1" w:rsidRPr="00AC2538" w:rsidRDefault="00F721B1" w:rsidP="005960D3">
                      <w:pPr>
                        <w:pBdr>
                          <w:left w:val="single" w:sz="4" w:space="9" w:color="4F81BD" w:themeColor="accent1"/>
                        </w:pBdr>
                        <w:jc w:val="center"/>
                        <w:rPr>
                          <w:rFonts w:asciiTheme="majorHAnsi" w:eastAsiaTheme="majorEastAsia" w:hAnsiTheme="majorHAnsi" w:cstheme="majorBidi"/>
                          <w:sz w:val="32"/>
                          <w:szCs w:val="40"/>
                        </w:rPr>
                      </w:pPr>
                    </w:p>
                    <w:p w14:paraId="42575DE8" w14:textId="77777777" w:rsidR="00F721B1" w:rsidRPr="00AC2538" w:rsidRDefault="00F721B1" w:rsidP="005960D3">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Cuarto t</w:t>
                      </w:r>
                      <w:r w:rsidRPr="00AC2538">
                        <w:rPr>
                          <w:rFonts w:asciiTheme="majorHAnsi" w:eastAsiaTheme="majorEastAsia" w:hAnsiTheme="majorHAnsi" w:cstheme="majorBidi"/>
                          <w:sz w:val="32"/>
                          <w:szCs w:val="40"/>
                        </w:rPr>
                        <w:t>rimestre</w:t>
                      </w:r>
                    </w:p>
                    <w:p w14:paraId="2CBA639A" w14:textId="77777777" w:rsidR="00F721B1" w:rsidRPr="00AC2538" w:rsidRDefault="00F721B1" w:rsidP="005960D3">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21</w:t>
                      </w:r>
                    </w:p>
                    <w:p w14:paraId="058BC804" w14:textId="77777777" w:rsidR="00F721B1" w:rsidRPr="00AC2538" w:rsidRDefault="00F721B1" w:rsidP="005960D3">
                      <w:pPr>
                        <w:pBdr>
                          <w:left w:val="single" w:sz="4" w:space="9" w:color="4F81BD" w:themeColor="accent1"/>
                        </w:pBdr>
                        <w:jc w:val="center"/>
                        <w:rPr>
                          <w:rFonts w:asciiTheme="majorHAnsi" w:eastAsiaTheme="majorEastAsia" w:hAnsiTheme="majorHAnsi" w:cstheme="majorBidi"/>
                          <w:szCs w:val="40"/>
                        </w:rPr>
                      </w:pPr>
                    </w:p>
                  </w:txbxContent>
                </v:textbox>
                <w10:wrap type="square" anchorx="margin"/>
              </v:rect>
            </w:pict>
          </mc:Fallback>
        </mc:AlternateContent>
      </w:r>
    </w:p>
    <w:p w14:paraId="5E84F65A" w14:textId="77777777" w:rsidR="00123A40" w:rsidRDefault="00123A40" w:rsidP="00015663">
      <w:pPr>
        <w:pStyle w:val="Sinespaciado"/>
        <w:jc w:val="both"/>
        <w:rPr>
          <w:rFonts w:cstheme="minorHAnsi"/>
          <w:b/>
          <w:bCs/>
          <w:sz w:val="24"/>
          <w:szCs w:val="24"/>
        </w:rPr>
      </w:pPr>
    </w:p>
    <w:p w14:paraId="2DEBBDAD" w14:textId="77777777" w:rsidR="00123A40" w:rsidRDefault="00123A40" w:rsidP="00015663">
      <w:pPr>
        <w:pStyle w:val="Sinespaciado"/>
        <w:jc w:val="both"/>
        <w:rPr>
          <w:rFonts w:cstheme="minorHAnsi"/>
          <w:b/>
          <w:bCs/>
          <w:sz w:val="24"/>
          <w:szCs w:val="24"/>
        </w:rPr>
      </w:pPr>
    </w:p>
    <w:p w14:paraId="47D86DAA" w14:textId="77777777" w:rsidR="00123A40" w:rsidRDefault="00123A40" w:rsidP="00015663">
      <w:pPr>
        <w:pStyle w:val="Sinespaciado"/>
        <w:jc w:val="both"/>
        <w:rPr>
          <w:rFonts w:cstheme="minorHAnsi"/>
          <w:b/>
          <w:bCs/>
          <w:sz w:val="24"/>
          <w:szCs w:val="24"/>
        </w:rPr>
      </w:pPr>
    </w:p>
    <w:p w14:paraId="54F3E81A" w14:textId="77777777" w:rsidR="00123A40" w:rsidRDefault="00123A40" w:rsidP="00015663">
      <w:pPr>
        <w:pStyle w:val="Sinespaciado"/>
        <w:jc w:val="both"/>
        <w:rPr>
          <w:rFonts w:cstheme="minorHAnsi"/>
          <w:b/>
          <w:bCs/>
          <w:sz w:val="24"/>
          <w:szCs w:val="24"/>
        </w:rPr>
      </w:pPr>
    </w:p>
    <w:p w14:paraId="2C1C0304" w14:textId="77777777" w:rsidR="00123A40" w:rsidRDefault="00123A40" w:rsidP="00015663">
      <w:pPr>
        <w:pStyle w:val="Sinespaciado"/>
        <w:jc w:val="both"/>
        <w:rPr>
          <w:rFonts w:cstheme="minorHAnsi"/>
          <w:b/>
          <w:bCs/>
          <w:sz w:val="24"/>
          <w:szCs w:val="24"/>
        </w:rPr>
      </w:pPr>
    </w:p>
    <w:p w14:paraId="49AC7490" w14:textId="77777777" w:rsidR="00123A40" w:rsidRDefault="00123A40" w:rsidP="00015663">
      <w:pPr>
        <w:pStyle w:val="Sinespaciado"/>
        <w:jc w:val="both"/>
        <w:rPr>
          <w:rFonts w:cstheme="minorHAnsi"/>
          <w:b/>
          <w:bCs/>
          <w:sz w:val="24"/>
          <w:szCs w:val="24"/>
        </w:rPr>
      </w:pPr>
    </w:p>
    <w:p w14:paraId="7800966B" w14:textId="77777777" w:rsidR="00123A40" w:rsidRDefault="00123A40" w:rsidP="00015663">
      <w:pPr>
        <w:pStyle w:val="Sinespaciado"/>
        <w:jc w:val="both"/>
        <w:rPr>
          <w:rFonts w:cstheme="minorHAnsi"/>
          <w:b/>
          <w:bCs/>
          <w:sz w:val="24"/>
          <w:szCs w:val="24"/>
        </w:rPr>
      </w:pPr>
    </w:p>
    <w:p w14:paraId="49978C78" w14:textId="77777777" w:rsidR="00123A40" w:rsidRDefault="00123A40" w:rsidP="00015663">
      <w:pPr>
        <w:pStyle w:val="Sinespaciado"/>
        <w:jc w:val="both"/>
        <w:rPr>
          <w:rFonts w:cstheme="minorHAnsi"/>
          <w:b/>
          <w:bCs/>
          <w:sz w:val="24"/>
          <w:szCs w:val="24"/>
        </w:rPr>
      </w:pPr>
    </w:p>
    <w:p w14:paraId="55F4AC56" w14:textId="77777777" w:rsidR="00123A40" w:rsidRDefault="005960D3" w:rsidP="00015663">
      <w:pPr>
        <w:pStyle w:val="Sinespaciado"/>
        <w:jc w:val="both"/>
        <w:rPr>
          <w:rFonts w:cstheme="minorHAnsi"/>
          <w:b/>
          <w:bCs/>
          <w:sz w:val="24"/>
          <w:szCs w:val="24"/>
        </w:rPr>
      </w:pPr>
      <w:r w:rsidRPr="005960D3">
        <w:rPr>
          <w:rFonts w:cstheme="minorHAnsi"/>
          <w:b/>
          <w:bCs/>
          <w:noProof/>
          <w:sz w:val="24"/>
          <w:szCs w:val="24"/>
        </w:rPr>
        <w:drawing>
          <wp:anchor distT="0" distB="0" distL="114300" distR="114300" simplePos="0" relativeHeight="251658240" behindDoc="1" locked="0" layoutInCell="1" allowOverlap="1" wp14:anchorId="2B30FE02" wp14:editId="118D6B12">
            <wp:simplePos x="0" y="0"/>
            <wp:positionH relativeFrom="page">
              <wp:posOffset>310465</wp:posOffset>
            </wp:positionH>
            <wp:positionV relativeFrom="page">
              <wp:posOffset>3119120</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268449CB" w14:textId="77777777" w:rsidR="00123A40" w:rsidRDefault="00123A40" w:rsidP="00015663">
      <w:pPr>
        <w:pStyle w:val="Sinespaciado"/>
        <w:jc w:val="both"/>
        <w:rPr>
          <w:rFonts w:cstheme="minorHAnsi"/>
          <w:b/>
          <w:bCs/>
          <w:sz w:val="24"/>
          <w:szCs w:val="24"/>
        </w:rPr>
      </w:pPr>
    </w:p>
    <w:p w14:paraId="3C0FAF76" w14:textId="77777777" w:rsidR="00123A40" w:rsidRDefault="00123A40" w:rsidP="00015663">
      <w:pPr>
        <w:pStyle w:val="Sinespaciado"/>
        <w:jc w:val="both"/>
        <w:rPr>
          <w:rFonts w:cstheme="minorHAnsi"/>
          <w:b/>
          <w:bCs/>
          <w:sz w:val="24"/>
          <w:szCs w:val="24"/>
        </w:rPr>
      </w:pPr>
    </w:p>
    <w:p w14:paraId="40CB1CFB" w14:textId="77777777" w:rsidR="00123A40" w:rsidRDefault="00123A40" w:rsidP="00015663">
      <w:pPr>
        <w:pStyle w:val="Sinespaciado"/>
        <w:jc w:val="both"/>
        <w:rPr>
          <w:rFonts w:cstheme="minorHAnsi"/>
          <w:b/>
          <w:bCs/>
          <w:sz w:val="24"/>
          <w:szCs w:val="24"/>
        </w:rPr>
      </w:pPr>
    </w:p>
    <w:p w14:paraId="4B239E3A" w14:textId="77777777" w:rsidR="00123A40" w:rsidRDefault="00123A40" w:rsidP="00015663">
      <w:pPr>
        <w:pStyle w:val="Sinespaciado"/>
        <w:jc w:val="both"/>
        <w:rPr>
          <w:rFonts w:cstheme="minorHAnsi"/>
          <w:b/>
          <w:bCs/>
          <w:sz w:val="24"/>
          <w:szCs w:val="24"/>
        </w:rPr>
      </w:pPr>
    </w:p>
    <w:p w14:paraId="3079F721" w14:textId="77777777" w:rsidR="00123A40" w:rsidRDefault="00123A40" w:rsidP="00015663">
      <w:pPr>
        <w:pStyle w:val="Sinespaciado"/>
        <w:jc w:val="both"/>
        <w:rPr>
          <w:rFonts w:cstheme="minorHAnsi"/>
          <w:b/>
          <w:bCs/>
          <w:sz w:val="24"/>
          <w:szCs w:val="24"/>
        </w:rPr>
      </w:pPr>
    </w:p>
    <w:p w14:paraId="520A8195" w14:textId="77777777" w:rsidR="00123A40" w:rsidRDefault="00123A40" w:rsidP="00015663">
      <w:pPr>
        <w:pStyle w:val="Sinespaciado"/>
        <w:jc w:val="both"/>
        <w:rPr>
          <w:rFonts w:cstheme="minorHAnsi"/>
          <w:b/>
          <w:bCs/>
          <w:sz w:val="24"/>
          <w:szCs w:val="24"/>
        </w:rPr>
      </w:pPr>
    </w:p>
    <w:p w14:paraId="781A0DBD" w14:textId="77777777" w:rsidR="00123A40" w:rsidRDefault="00123A40" w:rsidP="00015663">
      <w:pPr>
        <w:pStyle w:val="Sinespaciado"/>
        <w:jc w:val="both"/>
        <w:rPr>
          <w:rFonts w:cstheme="minorHAnsi"/>
          <w:b/>
          <w:bCs/>
          <w:sz w:val="24"/>
          <w:szCs w:val="24"/>
        </w:rPr>
      </w:pPr>
    </w:p>
    <w:p w14:paraId="1A8DF8FC" w14:textId="77777777" w:rsidR="00123A40" w:rsidRDefault="00123A40" w:rsidP="00015663">
      <w:pPr>
        <w:pStyle w:val="Sinespaciado"/>
        <w:jc w:val="both"/>
        <w:rPr>
          <w:rFonts w:cstheme="minorHAnsi"/>
          <w:b/>
          <w:bCs/>
          <w:sz w:val="24"/>
          <w:szCs w:val="24"/>
        </w:rPr>
      </w:pPr>
    </w:p>
    <w:p w14:paraId="53958F9F" w14:textId="77777777" w:rsidR="00123A40" w:rsidRDefault="00123A40" w:rsidP="00015663">
      <w:pPr>
        <w:pStyle w:val="Sinespaciado"/>
        <w:jc w:val="both"/>
        <w:rPr>
          <w:rFonts w:cstheme="minorHAnsi"/>
          <w:b/>
          <w:bCs/>
          <w:sz w:val="24"/>
          <w:szCs w:val="24"/>
        </w:rPr>
      </w:pPr>
    </w:p>
    <w:p w14:paraId="2BB3A9D2" w14:textId="77777777" w:rsidR="00123A40" w:rsidRDefault="00123A40" w:rsidP="00015663">
      <w:pPr>
        <w:pStyle w:val="Sinespaciado"/>
        <w:jc w:val="both"/>
        <w:rPr>
          <w:rFonts w:cstheme="minorHAnsi"/>
          <w:b/>
          <w:bCs/>
          <w:sz w:val="24"/>
          <w:szCs w:val="24"/>
        </w:rPr>
      </w:pPr>
    </w:p>
    <w:p w14:paraId="268695B6" w14:textId="77777777" w:rsidR="00123A40" w:rsidRDefault="00123A40" w:rsidP="00015663">
      <w:pPr>
        <w:pStyle w:val="Sinespaciado"/>
        <w:jc w:val="both"/>
        <w:rPr>
          <w:rFonts w:cstheme="minorHAnsi"/>
          <w:b/>
          <w:bCs/>
          <w:sz w:val="24"/>
          <w:szCs w:val="24"/>
        </w:rPr>
      </w:pPr>
    </w:p>
    <w:p w14:paraId="142A3858" w14:textId="77777777" w:rsidR="00123A40" w:rsidRDefault="00123A40" w:rsidP="00015663">
      <w:pPr>
        <w:pStyle w:val="Sinespaciado"/>
        <w:jc w:val="both"/>
        <w:rPr>
          <w:rFonts w:cstheme="minorHAnsi"/>
          <w:b/>
          <w:bCs/>
          <w:sz w:val="24"/>
          <w:szCs w:val="24"/>
        </w:rPr>
      </w:pPr>
    </w:p>
    <w:p w14:paraId="32C0378D" w14:textId="77777777" w:rsidR="00123A40" w:rsidRDefault="00123A40" w:rsidP="00015663">
      <w:pPr>
        <w:pStyle w:val="Sinespaciado"/>
        <w:jc w:val="both"/>
        <w:rPr>
          <w:rFonts w:cstheme="minorHAnsi"/>
          <w:b/>
          <w:bCs/>
          <w:sz w:val="24"/>
          <w:szCs w:val="24"/>
        </w:rPr>
      </w:pPr>
    </w:p>
    <w:p w14:paraId="131FDCD0" w14:textId="77777777" w:rsidR="00123A40" w:rsidRDefault="00123A40" w:rsidP="00015663">
      <w:pPr>
        <w:pStyle w:val="Sinespaciado"/>
        <w:jc w:val="both"/>
        <w:rPr>
          <w:rFonts w:cstheme="minorHAnsi"/>
          <w:b/>
          <w:bCs/>
          <w:sz w:val="24"/>
          <w:szCs w:val="24"/>
        </w:rPr>
      </w:pPr>
    </w:p>
    <w:p w14:paraId="4866E111" w14:textId="77777777" w:rsidR="00123A40" w:rsidRDefault="00123A40" w:rsidP="00015663">
      <w:pPr>
        <w:pStyle w:val="Sinespaciado"/>
        <w:jc w:val="both"/>
        <w:rPr>
          <w:rFonts w:cstheme="minorHAnsi"/>
          <w:b/>
          <w:bCs/>
          <w:sz w:val="24"/>
          <w:szCs w:val="24"/>
        </w:rPr>
      </w:pPr>
    </w:p>
    <w:p w14:paraId="2DD52A49" w14:textId="77777777" w:rsidR="00123A40" w:rsidRDefault="00123A40" w:rsidP="00015663">
      <w:pPr>
        <w:pStyle w:val="Sinespaciado"/>
        <w:jc w:val="both"/>
        <w:rPr>
          <w:rFonts w:cstheme="minorHAnsi"/>
          <w:b/>
          <w:bCs/>
          <w:sz w:val="24"/>
          <w:szCs w:val="24"/>
        </w:rPr>
      </w:pPr>
    </w:p>
    <w:p w14:paraId="65C3F594" w14:textId="77777777" w:rsidR="00123A40" w:rsidRDefault="00123A40" w:rsidP="00015663">
      <w:pPr>
        <w:pStyle w:val="Sinespaciado"/>
        <w:jc w:val="both"/>
        <w:rPr>
          <w:rFonts w:cstheme="minorHAnsi"/>
          <w:b/>
          <w:bCs/>
          <w:sz w:val="24"/>
          <w:szCs w:val="24"/>
        </w:rPr>
      </w:pPr>
    </w:p>
    <w:p w14:paraId="29B11E69" w14:textId="77777777" w:rsidR="00123A40" w:rsidRDefault="00123A40" w:rsidP="00015663">
      <w:pPr>
        <w:pStyle w:val="Sinespaciado"/>
        <w:jc w:val="both"/>
        <w:rPr>
          <w:rFonts w:cstheme="minorHAnsi"/>
          <w:b/>
          <w:bCs/>
          <w:sz w:val="24"/>
          <w:szCs w:val="24"/>
        </w:rPr>
      </w:pPr>
    </w:p>
    <w:p w14:paraId="0AE86E5A" w14:textId="77777777" w:rsidR="00123A40" w:rsidRDefault="00123A40" w:rsidP="00015663">
      <w:pPr>
        <w:pStyle w:val="Sinespaciado"/>
        <w:jc w:val="both"/>
        <w:rPr>
          <w:rFonts w:cstheme="minorHAnsi"/>
          <w:b/>
          <w:bCs/>
          <w:sz w:val="24"/>
          <w:szCs w:val="24"/>
        </w:rPr>
      </w:pPr>
    </w:p>
    <w:p w14:paraId="11DE1BC2" w14:textId="77777777" w:rsidR="00123A40" w:rsidRDefault="00123A40" w:rsidP="00015663">
      <w:pPr>
        <w:pStyle w:val="Sinespaciado"/>
        <w:jc w:val="both"/>
        <w:rPr>
          <w:rFonts w:cstheme="minorHAnsi"/>
          <w:b/>
          <w:bCs/>
          <w:sz w:val="24"/>
          <w:szCs w:val="24"/>
        </w:rPr>
      </w:pPr>
    </w:p>
    <w:p w14:paraId="10DBA9A3" w14:textId="77777777" w:rsidR="00123A40" w:rsidRDefault="00123A40" w:rsidP="00015663">
      <w:pPr>
        <w:pStyle w:val="Sinespaciado"/>
        <w:jc w:val="both"/>
        <w:rPr>
          <w:rFonts w:cstheme="minorHAnsi"/>
          <w:b/>
          <w:bCs/>
          <w:sz w:val="24"/>
          <w:szCs w:val="24"/>
        </w:rPr>
      </w:pPr>
    </w:p>
    <w:p w14:paraId="5607829E" w14:textId="77777777" w:rsidR="00123A40" w:rsidRDefault="00123A40" w:rsidP="00015663">
      <w:pPr>
        <w:pStyle w:val="Sinespaciado"/>
        <w:jc w:val="both"/>
        <w:rPr>
          <w:rFonts w:cstheme="minorHAnsi"/>
          <w:b/>
          <w:bCs/>
          <w:sz w:val="24"/>
          <w:szCs w:val="24"/>
        </w:rPr>
      </w:pPr>
    </w:p>
    <w:p w14:paraId="792ACE46" w14:textId="77777777" w:rsidR="00123A40" w:rsidRDefault="00123A40" w:rsidP="00015663">
      <w:pPr>
        <w:pStyle w:val="Sinespaciado"/>
        <w:jc w:val="both"/>
        <w:rPr>
          <w:rFonts w:cstheme="minorHAnsi"/>
          <w:b/>
          <w:bCs/>
          <w:sz w:val="24"/>
          <w:szCs w:val="24"/>
        </w:rPr>
      </w:pPr>
    </w:p>
    <w:p w14:paraId="7A383C53" w14:textId="77777777" w:rsidR="00123A40" w:rsidRDefault="00123A40" w:rsidP="00015663">
      <w:pPr>
        <w:pStyle w:val="Sinespaciado"/>
        <w:jc w:val="both"/>
        <w:rPr>
          <w:rFonts w:cstheme="minorHAnsi"/>
          <w:b/>
          <w:bCs/>
          <w:sz w:val="24"/>
          <w:szCs w:val="24"/>
        </w:rPr>
      </w:pPr>
    </w:p>
    <w:p w14:paraId="5A6F47BE" w14:textId="77777777" w:rsidR="00123A40" w:rsidRDefault="00123A40" w:rsidP="00015663">
      <w:pPr>
        <w:pStyle w:val="Sinespaciado"/>
        <w:jc w:val="both"/>
        <w:rPr>
          <w:rFonts w:cstheme="minorHAnsi"/>
          <w:b/>
          <w:bCs/>
          <w:sz w:val="24"/>
          <w:szCs w:val="24"/>
        </w:rPr>
      </w:pPr>
    </w:p>
    <w:p w14:paraId="7A202D25" w14:textId="77777777" w:rsidR="00123A40" w:rsidRDefault="00123A40" w:rsidP="00015663">
      <w:pPr>
        <w:pStyle w:val="Sinespaciado"/>
        <w:jc w:val="both"/>
        <w:rPr>
          <w:rFonts w:cstheme="minorHAnsi"/>
          <w:b/>
          <w:bCs/>
          <w:sz w:val="24"/>
          <w:szCs w:val="24"/>
        </w:rPr>
      </w:pPr>
    </w:p>
    <w:p w14:paraId="052EDED7" w14:textId="77777777" w:rsidR="00123A40" w:rsidRDefault="00123A40" w:rsidP="00015663">
      <w:pPr>
        <w:pStyle w:val="Sinespaciado"/>
        <w:jc w:val="both"/>
        <w:rPr>
          <w:rFonts w:cstheme="minorHAnsi"/>
          <w:b/>
          <w:bCs/>
          <w:sz w:val="24"/>
          <w:szCs w:val="24"/>
        </w:rPr>
        <w:sectPr w:rsidR="00123A40">
          <w:headerReference w:type="even" r:id="rId12"/>
          <w:headerReference w:type="default" r:id="rId13"/>
          <w:footerReference w:type="even" r:id="rId14"/>
          <w:footerReference w:type="default" r:id="rId15"/>
          <w:headerReference w:type="first" r:id="rId16"/>
          <w:footerReference w:type="first" r:id="rId17"/>
          <w:pgSz w:w="12240" w:h="15840"/>
          <w:pgMar w:top="1417" w:right="1701" w:bottom="1417" w:left="1701" w:header="708" w:footer="708" w:gutter="0"/>
          <w:cols w:space="708"/>
          <w:docGrid w:linePitch="360"/>
        </w:sectPr>
      </w:pPr>
    </w:p>
    <w:p w14:paraId="7227946D" w14:textId="77777777" w:rsidR="00664025" w:rsidRPr="00D70332" w:rsidRDefault="00664025" w:rsidP="00664025">
      <w:pPr>
        <w:jc w:val="center"/>
        <w:rPr>
          <w:rFonts w:ascii="Segoe UI" w:hAnsi="Segoe UI" w:cs="Segoe UI"/>
        </w:rPr>
      </w:pPr>
    </w:p>
    <w:tbl>
      <w:tblPr>
        <w:tblStyle w:val="Tablaconcuadrcula"/>
        <w:tblW w:w="0" w:type="auto"/>
        <w:shd w:val="clear" w:color="auto" w:fill="B8CCE4" w:themeFill="accent1" w:themeFillTint="66"/>
        <w:tblLook w:val="04A0" w:firstRow="1" w:lastRow="0" w:firstColumn="1" w:lastColumn="0" w:noHBand="0" w:noVBand="1"/>
      </w:tblPr>
      <w:tblGrid>
        <w:gridCol w:w="9629"/>
      </w:tblGrid>
      <w:tr w:rsidR="00B9644E" w:rsidRPr="00B11EC1" w14:paraId="2F37F43C" w14:textId="77777777" w:rsidTr="00B11EC1">
        <w:tc>
          <w:tcPr>
            <w:tcW w:w="9629" w:type="dxa"/>
            <w:tcBorders>
              <w:top w:val="nil"/>
              <w:left w:val="nil"/>
              <w:bottom w:val="nil"/>
              <w:right w:val="nil"/>
            </w:tcBorders>
            <w:shd w:val="clear" w:color="auto" w:fill="B8CCE4" w:themeFill="accent1" w:themeFillTint="66"/>
          </w:tcPr>
          <w:p w14:paraId="73760DE2" w14:textId="77777777" w:rsidR="00B11EC1" w:rsidRDefault="00B11EC1" w:rsidP="00B11EC1">
            <w:pPr>
              <w:spacing w:after="200" w:line="276" w:lineRule="auto"/>
              <w:jc w:val="both"/>
              <w:rPr>
                <w:rFonts w:cstheme="minorHAnsi"/>
                <w:sz w:val="24"/>
                <w:szCs w:val="24"/>
              </w:rPr>
            </w:pPr>
          </w:p>
          <w:p w14:paraId="12FF93B6" w14:textId="2CB6C7AD" w:rsidR="00B9644E" w:rsidRDefault="00B11EC1" w:rsidP="00833F10">
            <w:pPr>
              <w:tabs>
                <w:tab w:val="left" w:pos="9256"/>
              </w:tabs>
              <w:spacing w:after="200" w:line="276" w:lineRule="auto"/>
              <w:ind w:left="326" w:right="172"/>
              <w:jc w:val="both"/>
              <w:rPr>
                <w:rFonts w:cstheme="minorHAnsi"/>
                <w:sz w:val="24"/>
                <w:szCs w:val="24"/>
              </w:rPr>
            </w:pPr>
            <w:r w:rsidRPr="00B11EC1">
              <w:rPr>
                <w:rFonts w:cstheme="minorHAnsi"/>
                <w:sz w:val="24"/>
                <w:szCs w:val="24"/>
              </w:rPr>
              <w:t>La información contenida en este documento es propiedad intelectual de la Superintendencia de Pensiones (SUPEN)</w:t>
            </w:r>
            <w:r w:rsidR="00090427">
              <w:rPr>
                <w:rFonts w:cstheme="minorHAnsi"/>
                <w:sz w:val="24"/>
                <w:szCs w:val="24"/>
              </w:rPr>
              <w:t xml:space="preserve">. </w:t>
            </w:r>
            <w:r w:rsidRPr="00B11EC1">
              <w:rPr>
                <w:rFonts w:cstheme="minorHAnsi"/>
                <w:sz w:val="24"/>
                <w:szCs w:val="24"/>
              </w:rPr>
              <w:t xml:space="preserve">Cualquier duda o consulta sobre este documento debe ser canalizarla a la dirección de correo </w:t>
            </w:r>
            <w:hyperlink r:id="rId18" w:history="1">
              <w:r w:rsidRPr="00DE2139">
                <w:rPr>
                  <w:rStyle w:val="Hipervnculo"/>
                  <w:rFonts w:cstheme="minorHAnsi"/>
                  <w:sz w:val="24"/>
                  <w:szCs w:val="24"/>
                </w:rPr>
                <w:t>SUPEN@SUPEN.fi.cr</w:t>
              </w:r>
            </w:hyperlink>
            <w:r w:rsidRPr="00B11EC1">
              <w:rPr>
                <w:rFonts w:cstheme="minorHAnsi"/>
                <w:sz w:val="24"/>
                <w:szCs w:val="24"/>
              </w:rPr>
              <w:t>.</w:t>
            </w:r>
          </w:p>
          <w:p w14:paraId="71D2634A" w14:textId="77777777" w:rsidR="00B11EC1" w:rsidRPr="00B11EC1" w:rsidRDefault="00B11EC1" w:rsidP="00B11EC1">
            <w:pPr>
              <w:spacing w:after="200" w:line="276" w:lineRule="auto"/>
              <w:jc w:val="both"/>
              <w:rPr>
                <w:rFonts w:cstheme="minorHAnsi"/>
                <w:sz w:val="24"/>
                <w:szCs w:val="24"/>
              </w:rPr>
            </w:pPr>
          </w:p>
        </w:tc>
      </w:tr>
    </w:tbl>
    <w:p w14:paraId="10A1806F" w14:textId="77777777" w:rsidR="00541248" w:rsidRDefault="00541248">
      <w:pPr>
        <w:spacing w:after="200" w:line="276" w:lineRule="auto"/>
        <w:rPr>
          <w:rFonts w:cstheme="minorHAnsi"/>
          <w:b/>
          <w:bCs/>
          <w:sz w:val="24"/>
          <w:szCs w:val="24"/>
        </w:rPr>
      </w:pPr>
      <w:r>
        <w:rPr>
          <w:rFonts w:cstheme="minorHAnsi"/>
          <w:b/>
          <w:bCs/>
          <w:sz w:val="24"/>
          <w:szCs w:val="24"/>
        </w:rPr>
        <w:br w:type="page"/>
      </w:r>
    </w:p>
    <w:sdt>
      <w:sdtPr>
        <w:rPr>
          <w:rFonts w:asciiTheme="minorHAnsi" w:eastAsiaTheme="minorHAnsi" w:hAnsiTheme="minorHAnsi" w:cstheme="minorBidi"/>
          <w:color w:val="auto"/>
          <w:sz w:val="22"/>
          <w:szCs w:val="22"/>
          <w:lang w:val="es-ES" w:eastAsia="en-US"/>
        </w:rPr>
        <w:id w:val="-2022850974"/>
        <w:docPartObj>
          <w:docPartGallery w:val="Table of Contents"/>
          <w:docPartUnique/>
        </w:docPartObj>
      </w:sdtPr>
      <w:sdtEndPr>
        <w:rPr>
          <w:b/>
          <w:bCs/>
        </w:rPr>
      </w:sdtEndPr>
      <w:sdtContent>
        <w:p w14:paraId="1EC8E59D" w14:textId="77777777" w:rsidR="00C7675B" w:rsidRDefault="00C7675B">
          <w:pPr>
            <w:pStyle w:val="TtuloTDC"/>
          </w:pPr>
          <w:r w:rsidRPr="00325C3A">
            <w:rPr>
              <w:lang w:val="es-ES"/>
            </w:rPr>
            <w:t>Contenido</w:t>
          </w:r>
        </w:p>
        <w:p w14:paraId="0F273747" w14:textId="202DC41C" w:rsidR="00F57FC8" w:rsidRDefault="00C7675B">
          <w:pPr>
            <w:pStyle w:val="TDC1"/>
            <w:tabs>
              <w:tab w:val="right" w:leader="dot" w:pos="9629"/>
            </w:tabs>
            <w:rPr>
              <w:rFonts w:eastAsiaTheme="minorEastAsia"/>
              <w:noProof/>
              <w:lang w:val="es-CR" w:eastAsia="es-CR"/>
            </w:rPr>
          </w:pPr>
          <w:r>
            <w:fldChar w:fldCharType="begin"/>
          </w:r>
          <w:r>
            <w:instrText xml:space="preserve"> TOC \o "1-3" \h \z \u </w:instrText>
          </w:r>
          <w:r>
            <w:fldChar w:fldCharType="separate"/>
          </w:r>
          <w:hyperlink w:anchor="_Toc96614853" w:history="1">
            <w:r w:rsidR="00F57FC8" w:rsidRPr="00046ED4">
              <w:rPr>
                <w:rStyle w:val="Hipervnculo"/>
                <w:noProof/>
              </w:rPr>
              <w:t>SECCIÓN I ESTADÍSTICAS: AFILIADOS, PENSIONADOS Y PENSIÓN PROMEDIO</w:t>
            </w:r>
            <w:r w:rsidR="00F57FC8">
              <w:rPr>
                <w:noProof/>
                <w:webHidden/>
              </w:rPr>
              <w:tab/>
            </w:r>
            <w:r w:rsidR="00F57FC8">
              <w:rPr>
                <w:noProof/>
                <w:webHidden/>
              </w:rPr>
              <w:fldChar w:fldCharType="begin"/>
            </w:r>
            <w:r w:rsidR="00F57FC8">
              <w:rPr>
                <w:noProof/>
                <w:webHidden/>
              </w:rPr>
              <w:instrText xml:space="preserve"> PAGEREF _Toc96614853 \h </w:instrText>
            </w:r>
            <w:r w:rsidR="00F57FC8">
              <w:rPr>
                <w:noProof/>
                <w:webHidden/>
              </w:rPr>
            </w:r>
            <w:r w:rsidR="00F57FC8">
              <w:rPr>
                <w:noProof/>
                <w:webHidden/>
              </w:rPr>
              <w:fldChar w:fldCharType="separate"/>
            </w:r>
            <w:r w:rsidR="00F57FC8">
              <w:rPr>
                <w:noProof/>
                <w:webHidden/>
              </w:rPr>
              <w:t>4</w:t>
            </w:r>
            <w:r w:rsidR="00F57FC8">
              <w:rPr>
                <w:noProof/>
                <w:webHidden/>
              </w:rPr>
              <w:fldChar w:fldCharType="end"/>
            </w:r>
          </w:hyperlink>
        </w:p>
        <w:p w14:paraId="6E805749" w14:textId="603E9947" w:rsidR="00F57FC8" w:rsidRDefault="009B470B">
          <w:pPr>
            <w:pStyle w:val="TDC1"/>
            <w:tabs>
              <w:tab w:val="right" w:leader="dot" w:pos="9629"/>
            </w:tabs>
            <w:rPr>
              <w:rFonts w:eastAsiaTheme="minorEastAsia"/>
              <w:noProof/>
              <w:lang w:val="es-CR" w:eastAsia="es-CR"/>
            </w:rPr>
          </w:pPr>
          <w:hyperlink w:anchor="_Toc96614854" w:history="1">
            <w:r w:rsidR="00F57FC8" w:rsidRPr="00046ED4">
              <w:rPr>
                <w:rStyle w:val="Hipervnculo"/>
                <w:noProof/>
              </w:rPr>
              <w:t>SECCIÓN II  HECHOS RELEVANTES DEL TRIMESTRE</w:t>
            </w:r>
            <w:r w:rsidR="00F57FC8">
              <w:rPr>
                <w:noProof/>
                <w:webHidden/>
              </w:rPr>
              <w:tab/>
            </w:r>
            <w:r w:rsidR="00F57FC8">
              <w:rPr>
                <w:noProof/>
                <w:webHidden/>
              </w:rPr>
              <w:fldChar w:fldCharType="begin"/>
            </w:r>
            <w:r w:rsidR="00F57FC8">
              <w:rPr>
                <w:noProof/>
                <w:webHidden/>
              </w:rPr>
              <w:instrText xml:space="preserve"> PAGEREF _Toc96614854 \h </w:instrText>
            </w:r>
            <w:r w:rsidR="00F57FC8">
              <w:rPr>
                <w:noProof/>
                <w:webHidden/>
              </w:rPr>
            </w:r>
            <w:r w:rsidR="00F57FC8">
              <w:rPr>
                <w:noProof/>
                <w:webHidden/>
              </w:rPr>
              <w:fldChar w:fldCharType="separate"/>
            </w:r>
            <w:r w:rsidR="00F57FC8">
              <w:rPr>
                <w:noProof/>
                <w:webHidden/>
              </w:rPr>
              <w:t>6</w:t>
            </w:r>
            <w:r w:rsidR="00F57FC8">
              <w:rPr>
                <w:noProof/>
                <w:webHidden/>
              </w:rPr>
              <w:fldChar w:fldCharType="end"/>
            </w:r>
          </w:hyperlink>
        </w:p>
        <w:p w14:paraId="4CA18A13" w14:textId="33DA05B3" w:rsidR="00F57FC8" w:rsidRDefault="009B470B">
          <w:pPr>
            <w:pStyle w:val="TDC2"/>
            <w:tabs>
              <w:tab w:val="left" w:pos="880"/>
              <w:tab w:val="right" w:leader="dot" w:pos="9629"/>
            </w:tabs>
            <w:rPr>
              <w:rFonts w:eastAsiaTheme="minorEastAsia"/>
              <w:noProof/>
              <w:lang w:val="es-CR" w:eastAsia="es-CR"/>
            </w:rPr>
          </w:pPr>
          <w:hyperlink w:anchor="_Toc96614855" w:history="1">
            <w:r w:rsidR="00F57FC8" w:rsidRPr="00046ED4">
              <w:rPr>
                <w:rStyle w:val="Hipervnculo"/>
                <w:noProof/>
              </w:rPr>
              <w:t>2.1.</w:t>
            </w:r>
            <w:r w:rsidR="00F57FC8">
              <w:rPr>
                <w:rFonts w:eastAsiaTheme="minorEastAsia"/>
                <w:noProof/>
                <w:lang w:val="es-CR" w:eastAsia="es-CR"/>
              </w:rPr>
              <w:tab/>
            </w:r>
            <w:r w:rsidR="00F57FC8" w:rsidRPr="00046ED4">
              <w:rPr>
                <w:rStyle w:val="Hipervnculo"/>
                <w:noProof/>
              </w:rPr>
              <w:t>Modificación al Reglamento del Régimen de Invalidez, Vejez y Muerte de la Caja Costarricense de Seguro Social.</w:t>
            </w:r>
            <w:r w:rsidR="00F57FC8">
              <w:rPr>
                <w:noProof/>
                <w:webHidden/>
              </w:rPr>
              <w:tab/>
            </w:r>
            <w:r w:rsidR="00F57FC8">
              <w:rPr>
                <w:noProof/>
                <w:webHidden/>
              </w:rPr>
              <w:fldChar w:fldCharType="begin"/>
            </w:r>
            <w:r w:rsidR="00F57FC8">
              <w:rPr>
                <w:noProof/>
                <w:webHidden/>
              </w:rPr>
              <w:instrText xml:space="preserve"> PAGEREF _Toc96614855 \h </w:instrText>
            </w:r>
            <w:r w:rsidR="00F57FC8">
              <w:rPr>
                <w:noProof/>
                <w:webHidden/>
              </w:rPr>
            </w:r>
            <w:r w:rsidR="00F57FC8">
              <w:rPr>
                <w:noProof/>
                <w:webHidden/>
              </w:rPr>
              <w:fldChar w:fldCharType="separate"/>
            </w:r>
            <w:r w:rsidR="00F57FC8">
              <w:rPr>
                <w:noProof/>
                <w:webHidden/>
              </w:rPr>
              <w:t>6</w:t>
            </w:r>
            <w:r w:rsidR="00F57FC8">
              <w:rPr>
                <w:noProof/>
                <w:webHidden/>
              </w:rPr>
              <w:fldChar w:fldCharType="end"/>
            </w:r>
          </w:hyperlink>
        </w:p>
        <w:p w14:paraId="6C3ACCCC" w14:textId="7460F087" w:rsidR="00F57FC8" w:rsidRDefault="009B470B">
          <w:pPr>
            <w:pStyle w:val="TDC2"/>
            <w:tabs>
              <w:tab w:val="left" w:pos="880"/>
              <w:tab w:val="right" w:leader="dot" w:pos="9629"/>
            </w:tabs>
            <w:rPr>
              <w:rFonts w:eastAsiaTheme="minorEastAsia"/>
              <w:noProof/>
              <w:lang w:val="es-CR" w:eastAsia="es-CR"/>
            </w:rPr>
          </w:pPr>
          <w:hyperlink w:anchor="_Toc96614856" w:history="1">
            <w:r w:rsidR="00F57FC8" w:rsidRPr="00046ED4">
              <w:rPr>
                <w:rStyle w:val="Hipervnculo"/>
                <w:noProof/>
              </w:rPr>
              <w:t>2.2.</w:t>
            </w:r>
            <w:r w:rsidR="00F57FC8">
              <w:rPr>
                <w:rFonts w:eastAsiaTheme="minorEastAsia"/>
                <w:noProof/>
                <w:lang w:val="es-CR" w:eastAsia="es-CR"/>
              </w:rPr>
              <w:tab/>
            </w:r>
            <w:r w:rsidR="00F57FC8" w:rsidRPr="00046ED4">
              <w:rPr>
                <w:rStyle w:val="Hipervnculo"/>
                <w:noProof/>
              </w:rPr>
              <w:t>Traslado de recursos al RNC</w:t>
            </w:r>
            <w:r w:rsidR="00F57FC8">
              <w:rPr>
                <w:noProof/>
                <w:webHidden/>
              </w:rPr>
              <w:tab/>
            </w:r>
            <w:r w:rsidR="00F57FC8">
              <w:rPr>
                <w:noProof/>
                <w:webHidden/>
              </w:rPr>
              <w:fldChar w:fldCharType="begin"/>
            </w:r>
            <w:r w:rsidR="00F57FC8">
              <w:rPr>
                <w:noProof/>
                <w:webHidden/>
              </w:rPr>
              <w:instrText xml:space="preserve"> PAGEREF _Toc96614856 \h </w:instrText>
            </w:r>
            <w:r w:rsidR="00F57FC8">
              <w:rPr>
                <w:noProof/>
                <w:webHidden/>
              </w:rPr>
            </w:r>
            <w:r w:rsidR="00F57FC8">
              <w:rPr>
                <w:noProof/>
                <w:webHidden/>
              </w:rPr>
              <w:fldChar w:fldCharType="separate"/>
            </w:r>
            <w:r w:rsidR="00F57FC8">
              <w:rPr>
                <w:noProof/>
                <w:webHidden/>
              </w:rPr>
              <w:t>6</w:t>
            </w:r>
            <w:r w:rsidR="00F57FC8">
              <w:rPr>
                <w:noProof/>
                <w:webHidden/>
              </w:rPr>
              <w:fldChar w:fldCharType="end"/>
            </w:r>
          </w:hyperlink>
        </w:p>
        <w:p w14:paraId="26CF9C68" w14:textId="266751BD" w:rsidR="00F57FC8" w:rsidRDefault="009B470B">
          <w:pPr>
            <w:pStyle w:val="TDC2"/>
            <w:tabs>
              <w:tab w:val="left" w:pos="880"/>
              <w:tab w:val="right" w:leader="dot" w:pos="9629"/>
            </w:tabs>
            <w:rPr>
              <w:rFonts w:eastAsiaTheme="minorEastAsia"/>
              <w:noProof/>
              <w:lang w:val="es-CR" w:eastAsia="es-CR"/>
            </w:rPr>
          </w:pPr>
          <w:hyperlink w:anchor="_Toc96614857" w:history="1">
            <w:r w:rsidR="00F57FC8" w:rsidRPr="00046ED4">
              <w:rPr>
                <w:rStyle w:val="Hipervnculo"/>
                <w:noProof/>
              </w:rPr>
              <w:t>2.3.</w:t>
            </w:r>
            <w:r w:rsidR="00F57FC8">
              <w:rPr>
                <w:rFonts w:eastAsiaTheme="minorEastAsia"/>
                <w:noProof/>
                <w:lang w:val="es-CR" w:eastAsia="es-CR"/>
              </w:rPr>
              <w:tab/>
            </w:r>
            <w:r w:rsidR="00F57FC8" w:rsidRPr="00046ED4">
              <w:rPr>
                <w:rStyle w:val="Hipervnculo"/>
                <w:noProof/>
              </w:rPr>
              <w:t>Nuevo estado de cuenta en el Régimen Obligatorio del Pensiones Complementarias, el Fondo de Capitalización Laboral y el Régimen Voluntario de Pensiones Complementarias</w:t>
            </w:r>
            <w:r w:rsidR="00F57FC8">
              <w:rPr>
                <w:noProof/>
                <w:webHidden/>
              </w:rPr>
              <w:tab/>
            </w:r>
            <w:r w:rsidR="00F57FC8">
              <w:rPr>
                <w:noProof/>
                <w:webHidden/>
              </w:rPr>
              <w:fldChar w:fldCharType="begin"/>
            </w:r>
            <w:r w:rsidR="00F57FC8">
              <w:rPr>
                <w:noProof/>
                <w:webHidden/>
              </w:rPr>
              <w:instrText xml:space="preserve"> PAGEREF _Toc96614857 \h </w:instrText>
            </w:r>
            <w:r w:rsidR="00F57FC8">
              <w:rPr>
                <w:noProof/>
                <w:webHidden/>
              </w:rPr>
            </w:r>
            <w:r w:rsidR="00F57FC8">
              <w:rPr>
                <w:noProof/>
                <w:webHidden/>
              </w:rPr>
              <w:fldChar w:fldCharType="separate"/>
            </w:r>
            <w:r w:rsidR="00F57FC8">
              <w:rPr>
                <w:noProof/>
                <w:webHidden/>
              </w:rPr>
              <w:t>7</w:t>
            </w:r>
            <w:r w:rsidR="00F57FC8">
              <w:rPr>
                <w:noProof/>
                <w:webHidden/>
              </w:rPr>
              <w:fldChar w:fldCharType="end"/>
            </w:r>
          </w:hyperlink>
        </w:p>
        <w:p w14:paraId="05B003A6" w14:textId="223933C2" w:rsidR="00F57FC8" w:rsidRDefault="009B470B">
          <w:pPr>
            <w:pStyle w:val="TDC2"/>
            <w:tabs>
              <w:tab w:val="left" w:pos="880"/>
              <w:tab w:val="right" w:leader="dot" w:pos="9629"/>
            </w:tabs>
            <w:rPr>
              <w:rFonts w:eastAsiaTheme="minorEastAsia"/>
              <w:noProof/>
              <w:lang w:val="es-CR" w:eastAsia="es-CR"/>
            </w:rPr>
          </w:pPr>
          <w:hyperlink w:anchor="_Toc96614858" w:history="1">
            <w:r w:rsidR="00F57FC8" w:rsidRPr="00046ED4">
              <w:rPr>
                <w:rStyle w:val="Hipervnculo"/>
                <w:noProof/>
              </w:rPr>
              <w:t>2.4.</w:t>
            </w:r>
            <w:r w:rsidR="00F57FC8">
              <w:rPr>
                <w:rFonts w:eastAsiaTheme="minorEastAsia"/>
                <w:noProof/>
                <w:lang w:val="es-CR" w:eastAsia="es-CR"/>
              </w:rPr>
              <w:tab/>
            </w:r>
            <w:r w:rsidR="00F57FC8" w:rsidRPr="00046ED4">
              <w:rPr>
                <w:rStyle w:val="Hipervnculo"/>
                <w:noProof/>
              </w:rPr>
              <w:t>Activos administrados</w:t>
            </w:r>
            <w:r w:rsidR="00F57FC8">
              <w:rPr>
                <w:noProof/>
                <w:webHidden/>
              </w:rPr>
              <w:tab/>
            </w:r>
            <w:r w:rsidR="00F57FC8">
              <w:rPr>
                <w:noProof/>
                <w:webHidden/>
              </w:rPr>
              <w:fldChar w:fldCharType="begin"/>
            </w:r>
            <w:r w:rsidR="00F57FC8">
              <w:rPr>
                <w:noProof/>
                <w:webHidden/>
              </w:rPr>
              <w:instrText xml:space="preserve"> PAGEREF _Toc96614858 \h </w:instrText>
            </w:r>
            <w:r w:rsidR="00F57FC8">
              <w:rPr>
                <w:noProof/>
                <w:webHidden/>
              </w:rPr>
            </w:r>
            <w:r w:rsidR="00F57FC8">
              <w:rPr>
                <w:noProof/>
                <w:webHidden/>
              </w:rPr>
              <w:fldChar w:fldCharType="separate"/>
            </w:r>
            <w:r w:rsidR="00F57FC8">
              <w:rPr>
                <w:noProof/>
                <w:webHidden/>
              </w:rPr>
              <w:t>7</w:t>
            </w:r>
            <w:r w:rsidR="00F57FC8">
              <w:rPr>
                <w:noProof/>
                <w:webHidden/>
              </w:rPr>
              <w:fldChar w:fldCharType="end"/>
            </w:r>
          </w:hyperlink>
        </w:p>
        <w:p w14:paraId="4C889DD1" w14:textId="6EB9AFDB" w:rsidR="00F57FC8" w:rsidRDefault="009B470B">
          <w:pPr>
            <w:pStyle w:val="TDC3"/>
            <w:tabs>
              <w:tab w:val="left" w:pos="1320"/>
              <w:tab w:val="right" w:leader="dot" w:pos="9629"/>
            </w:tabs>
            <w:rPr>
              <w:rFonts w:eastAsiaTheme="minorEastAsia"/>
              <w:noProof/>
              <w:lang w:val="es-CR" w:eastAsia="es-CR"/>
            </w:rPr>
          </w:pPr>
          <w:hyperlink w:anchor="_Toc96614859" w:history="1">
            <w:r w:rsidR="00F57FC8" w:rsidRPr="00046ED4">
              <w:rPr>
                <w:rStyle w:val="Hipervnculo"/>
                <w:noProof/>
              </w:rPr>
              <w:t>2.4.1.</w:t>
            </w:r>
            <w:r w:rsidR="00F57FC8">
              <w:rPr>
                <w:rFonts w:eastAsiaTheme="minorEastAsia"/>
                <w:noProof/>
                <w:lang w:val="es-CR" w:eastAsia="es-CR"/>
              </w:rPr>
              <w:tab/>
            </w:r>
            <w:r w:rsidR="00F57FC8" w:rsidRPr="00046ED4">
              <w:rPr>
                <w:rStyle w:val="Hipervnculo"/>
                <w:noProof/>
              </w:rPr>
              <w:t>Crecimiento de los activos administrados</w:t>
            </w:r>
            <w:r w:rsidR="00F57FC8">
              <w:rPr>
                <w:noProof/>
                <w:webHidden/>
              </w:rPr>
              <w:tab/>
            </w:r>
            <w:r w:rsidR="00F57FC8">
              <w:rPr>
                <w:noProof/>
                <w:webHidden/>
              </w:rPr>
              <w:fldChar w:fldCharType="begin"/>
            </w:r>
            <w:r w:rsidR="00F57FC8">
              <w:rPr>
                <w:noProof/>
                <w:webHidden/>
              </w:rPr>
              <w:instrText xml:space="preserve"> PAGEREF _Toc96614859 \h </w:instrText>
            </w:r>
            <w:r w:rsidR="00F57FC8">
              <w:rPr>
                <w:noProof/>
                <w:webHidden/>
              </w:rPr>
            </w:r>
            <w:r w:rsidR="00F57FC8">
              <w:rPr>
                <w:noProof/>
                <w:webHidden/>
              </w:rPr>
              <w:fldChar w:fldCharType="separate"/>
            </w:r>
            <w:r w:rsidR="00F57FC8">
              <w:rPr>
                <w:noProof/>
                <w:webHidden/>
              </w:rPr>
              <w:t>7</w:t>
            </w:r>
            <w:r w:rsidR="00F57FC8">
              <w:rPr>
                <w:noProof/>
                <w:webHidden/>
              </w:rPr>
              <w:fldChar w:fldCharType="end"/>
            </w:r>
          </w:hyperlink>
        </w:p>
        <w:p w14:paraId="301B42B4" w14:textId="3801C0CA" w:rsidR="00F57FC8" w:rsidRDefault="009B470B">
          <w:pPr>
            <w:pStyle w:val="TDC3"/>
            <w:tabs>
              <w:tab w:val="left" w:pos="1320"/>
              <w:tab w:val="right" w:leader="dot" w:pos="9629"/>
            </w:tabs>
            <w:rPr>
              <w:rFonts w:eastAsiaTheme="minorEastAsia"/>
              <w:noProof/>
              <w:lang w:val="es-CR" w:eastAsia="es-CR"/>
            </w:rPr>
          </w:pPr>
          <w:hyperlink w:anchor="_Toc96614860" w:history="1">
            <w:r w:rsidR="00F57FC8" w:rsidRPr="00046ED4">
              <w:rPr>
                <w:rStyle w:val="Hipervnculo"/>
                <w:noProof/>
              </w:rPr>
              <w:t>2.4.2.</w:t>
            </w:r>
            <w:r w:rsidR="00F57FC8">
              <w:rPr>
                <w:rFonts w:eastAsiaTheme="minorEastAsia"/>
                <w:noProof/>
                <w:lang w:val="es-CR" w:eastAsia="es-CR"/>
              </w:rPr>
              <w:tab/>
            </w:r>
            <w:r w:rsidR="00F57FC8" w:rsidRPr="00046ED4">
              <w:rPr>
                <w:rStyle w:val="Hipervnculo"/>
                <w:noProof/>
              </w:rPr>
              <w:t>Participación de mercado</w:t>
            </w:r>
            <w:r w:rsidR="00F57FC8">
              <w:rPr>
                <w:noProof/>
                <w:webHidden/>
              </w:rPr>
              <w:tab/>
            </w:r>
            <w:r w:rsidR="00F57FC8">
              <w:rPr>
                <w:noProof/>
                <w:webHidden/>
              </w:rPr>
              <w:fldChar w:fldCharType="begin"/>
            </w:r>
            <w:r w:rsidR="00F57FC8">
              <w:rPr>
                <w:noProof/>
                <w:webHidden/>
              </w:rPr>
              <w:instrText xml:space="preserve"> PAGEREF _Toc96614860 \h </w:instrText>
            </w:r>
            <w:r w:rsidR="00F57FC8">
              <w:rPr>
                <w:noProof/>
                <w:webHidden/>
              </w:rPr>
            </w:r>
            <w:r w:rsidR="00F57FC8">
              <w:rPr>
                <w:noProof/>
                <w:webHidden/>
              </w:rPr>
              <w:fldChar w:fldCharType="separate"/>
            </w:r>
            <w:r w:rsidR="00F57FC8">
              <w:rPr>
                <w:noProof/>
                <w:webHidden/>
              </w:rPr>
              <w:t>9</w:t>
            </w:r>
            <w:r w:rsidR="00F57FC8">
              <w:rPr>
                <w:noProof/>
                <w:webHidden/>
              </w:rPr>
              <w:fldChar w:fldCharType="end"/>
            </w:r>
          </w:hyperlink>
        </w:p>
        <w:p w14:paraId="20DABCD3" w14:textId="7AE33270" w:rsidR="00F57FC8" w:rsidRDefault="009B470B">
          <w:pPr>
            <w:pStyle w:val="TDC3"/>
            <w:tabs>
              <w:tab w:val="left" w:pos="1320"/>
              <w:tab w:val="right" w:leader="dot" w:pos="9629"/>
            </w:tabs>
            <w:rPr>
              <w:rFonts w:eastAsiaTheme="minorEastAsia"/>
              <w:noProof/>
              <w:lang w:val="es-CR" w:eastAsia="es-CR"/>
            </w:rPr>
          </w:pPr>
          <w:hyperlink w:anchor="_Toc96614861" w:history="1">
            <w:r w:rsidR="00F57FC8" w:rsidRPr="00046ED4">
              <w:rPr>
                <w:rStyle w:val="Hipervnculo"/>
                <w:noProof/>
              </w:rPr>
              <w:t>2.4.3.</w:t>
            </w:r>
            <w:r w:rsidR="00F57FC8">
              <w:rPr>
                <w:rFonts w:eastAsiaTheme="minorEastAsia"/>
                <w:noProof/>
                <w:lang w:val="es-CR" w:eastAsia="es-CR"/>
              </w:rPr>
              <w:tab/>
            </w:r>
            <w:r w:rsidR="00F57FC8" w:rsidRPr="00046ED4">
              <w:rPr>
                <w:rStyle w:val="Hipervnculo"/>
                <w:noProof/>
              </w:rPr>
              <w:t>Libre transferencia</w:t>
            </w:r>
            <w:r w:rsidR="00F57FC8">
              <w:rPr>
                <w:noProof/>
                <w:webHidden/>
              </w:rPr>
              <w:tab/>
            </w:r>
            <w:r w:rsidR="00F57FC8">
              <w:rPr>
                <w:noProof/>
                <w:webHidden/>
              </w:rPr>
              <w:fldChar w:fldCharType="begin"/>
            </w:r>
            <w:r w:rsidR="00F57FC8">
              <w:rPr>
                <w:noProof/>
                <w:webHidden/>
              </w:rPr>
              <w:instrText xml:space="preserve"> PAGEREF _Toc96614861 \h </w:instrText>
            </w:r>
            <w:r w:rsidR="00F57FC8">
              <w:rPr>
                <w:noProof/>
                <w:webHidden/>
              </w:rPr>
            </w:r>
            <w:r w:rsidR="00F57FC8">
              <w:rPr>
                <w:noProof/>
                <w:webHidden/>
              </w:rPr>
              <w:fldChar w:fldCharType="separate"/>
            </w:r>
            <w:r w:rsidR="00F57FC8">
              <w:rPr>
                <w:noProof/>
                <w:webHidden/>
              </w:rPr>
              <w:t>10</w:t>
            </w:r>
            <w:r w:rsidR="00F57FC8">
              <w:rPr>
                <w:noProof/>
                <w:webHidden/>
              </w:rPr>
              <w:fldChar w:fldCharType="end"/>
            </w:r>
          </w:hyperlink>
        </w:p>
        <w:p w14:paraId="028A9E6F" w14:textId="2B6D7856" w:rsidR="00F57FC8" w:rsidRDefault="009B470B">
          <w:pPr>
            <w:pStyle w:val="TDC3"/>
            <w:tabs>
              <w:tab w:val="left" w:pos="1320"/>
              <w:tab w:val="right" w:leader="dot" w:pos="9629"/>
            </w:tabs>
            <w:rPr>
              <w:rFonts w:eastAsiaTheme="minorEastAsia"/>
              <w:noProof/>
              <w:lang w:val="es-CR" w:eastAsia="es-CR"/>
            </w:rPr>
          </w:pPr>
          <w:hyperlink w:anchor="_Toc96614862" w:history="1">
            <w:r w:rsidR="00F57FC8" w:rsidRPr="00046ED4">
              <w:rPr>
                <w:rStyle w:val="Hipervnculo"/>
                <w:noProof/>
              </w:rPr>
              <w:t>2.4.4.</w:t>
            </w:r>
            <w:r w:rsidR="00F57FC8">
              <w:rPr>
                <w:rFonts w:eastAsiaTheme="minorEastAsia"/>
                <w:noProof/>
                <w:lang w:val="es-CR" w:eastAsia="es-CR"/>
              </w:rPr>
              <w:tab/>
            </w:r>
            <w:r w:rsidR="00F57FC8" w:rsidRPr="00046ED4">
              <w:rPr>
                <w:rStyle w:val="Hipervnculo"/>
                <w:noProof/>
              </w:rPr>
              <w:t>Inversiones</w:t>
            </w:r>
            <w:r w:rsidR="00F57FC8">
              <w:rPr>
                <w:noProof/>
                <w:webHidden/>
              </w:rPr>
              <w:tab/>
            </w:r>
            <w:r w:rsidR="00F57FC8">
              <w:rPr>
                <w:noProof/>
                <w:webHidden/>
              </w:rPr>
              <w:fldChar w:fldCharType="begin"/>
            </w:r>
            <w:r w:rsidR="00F57FC8">
              <w:rPr>
                <w:noProof/>
                <w:webHidden/>
              </w:rPr>
              <w:instrText xml:space="preserve"> PAGEREF _Toc96614862 \h </w:instrText>
            </w:r>
            <w:r w:rsidR="00F57FC8">
              <w:rPr>
                <w:noProof/>
                <w:webHidden/>
              </w:rPr>
            </w:r>
            <w:r w:rsidR="00F57FC8">
              <w:rPr>
                <w:noProof/>
                <w:webHidden/>
              </w:rPr>
              <w:fldChar w:fldCharType="separate"/>
            </w:r>
            <w:r w:rsidR="00F57FC8">
              <w:rPr>
                <w:noProof/>
                <w:webHidden/>
              </w:rPr>
              <w:t>11</w:t>
            </w:r>
            <w:r w:rsidR="00F57FC8">
              <w:rPr>
                <w:noProof/>
                <w:webHidden/>
              </w:rPr>
              <w:fldChar w:fldCharType="end"/>
            </w:r>
          </w:hyperlink>
        </w:p>
        <w:p w14:paraId="1AECA925" w14:textId="359BB57B" w:rsidR="00F57FC8" w:rsidRDefault="009B470B">
          <w:pPr>
            <w:pStyle w:val="TDC3"/>
            <w:tabs>
              <w:tab w:val="left" w:pos="1320"/>
              <w:tab w:val="right" w:leader="dot" w:pos="9629"/>
            </w:tabs>
            <w:rPr>
              <w:rFonts w:eastAsiaTheme="minorEastAsia"/>
              <w:noProof/>
              <w:lang w:val="es-CR" w:eastAsia="es-CR"/>
            </w:rPr>
          </w:pPr>
          <w:hyperlink w:anchor="_Toc96614863" w:history="1">
            <w:r w:rsidR="00F57FC8" w:rsidRPr="00046ED4">
              <w:rPr>
                <w:rStyle w:val="Hipervnculo"/>
                <w:noProof/>
              </w:rPr>
              <w:t>2.4.5.</w:t>
            </w:r>
            <w:r w:rsidR="00F57FC8">
              <w:rPr>
                <w:rFonts w:eastAsiaTheme="minorEastAsia"/>
                <w:noProof/>
                <w:lang w:val="es-CR" w:eastAsia="es-CR"/>
              </w:rPr>
              <w:tab/>
            </w:r>
            <w:r w:rsidR="00F57FC8" w:rsidRPr="00046ED4">
              <w:rPr>
                <w:rStyle w:val="Hipervnculo"/>
                <w:noProof/>
              </w:rPr>
              <w:t>Rentabilidad, inversiones en mercados internacionales y dolarización de los portafolios</w:t>
            </w:r>
            <w:r w:rsidR="00F57FC8">
              <w:rPr>
                <w:noProof/>
                <w:webHidden/>
              </w:rPr>
              <w:tab/>
            </w:r>
            <w:r w:rsidR="00F57FC8">
              <w:rPr>
                <w:noProof/>
                <w:webHidden/>
              </w:rPr>
              <w:fldChar w:fldCharType="begin"/>
            </w:r>
            <w:r w:rsidR="00F57FC8">
              <w:rPr>
                <w:noProof/>
                <w:webHidden/>
              </w:rPr>
              <w:instrText xml:space="preserve"> PAGEREF _Toc96614863 \h </w:instrText>
            </w:r>
            <w:r w:rsidR="00F57FC8">
              <w:rPr>
                <w:noProof/>
                <w:webHidden/>
              </w:rPr>
            </w:r>
            <w:r w:rsidR="00F57FC8">
              <w:rPr>
                <w:noProof/>
                <w:webHidden/>
              </w:rPr>
              <w:fldChar w:fldCharType="separate"/>
            </w:r>
            <w:r w:rsidR="00F57FC8">
              <w:rPr>
                <w:noProof/>
                <w:webHidden/>
              </w:rPr>
              <w:t>12</w:t>
            </w:r>
            <w:r w:rsidR="00F57FC8">
              <w:rPr>
                <w:noProof/>
                <w:webHidden/>
              </w:rPr>
              <w:fldChar w:fldCharType="end"/>
            </w:r>
          </w:hyperlink>
        </w:p>
        <w:p w14:paraId="0421B95A" w14:textId="5F6E7385" w:rsidR="00F57FC8" w:rsidRDefault="009B470B">
          <w:pPr>
            <w:pStyle w:val="TDC2"/>
            <w:tabs>
              <w:tab w:val="left" w:pos="880"/>
              <w:tab w:val="right" w:leader="dot" w:pos="9629"/>
            </w:tabs>
            <w:rPr>
              <w:rFonts w:eastAsiaTheme="minorEastAsia"/>
              <w:noProof/>
              <w:lang w:val="es-CR" w:eastAsia="es-CR"/>
            </w:rPr>
          </w:pPr>
          <w:hyperlink w:anchor="_Toc96614864" w:history="1">
            <w:r w:rsidR="00F57FC8" w:rsidRPr="00046ED4">
              <w:rPr>
                <w:rStyle w:val="Hipervnculo"/>
                <w:noProof/>
              </w:rPr>
              <w:t>2.5.</w:t>
            </w:r>
            <w:r w:rsidR="00F57FC8">
              <w:rPr>
                <w:rFonts w:eastAsiaTheme="minorEastAsia"/>
                <w:noProof/>
                <w:lang w:val="es-CR" w:eastAsia="es-CR"/>
              </w:rPr>
              <w:tab/>
            </w:r>
            <w:r w:rsidR="00F57FC8" w:rsidRPr="00046ED4">
              <w:rPr>
                <w:rStyle w:val="Hipervnculo"/>
                <w:noProof/>
              </w:rPr>
              <w:t>Desempeño de los gestores: resultado financiero</w:t>
            </w:r>
            <w:r w:rsidR="00F57FC8">
              <w:rPr>
                <w:noProof/>
                <w:webHidden/>
              </w:rPr>
              <w:tab/>
            </w:r>
            <w:r w:rsidR="00F57FC8">
              <w:rPr>
                <w:noProof/>
                <w:webHidden/>
              </w:rPr>
              <w:fldChar w:fldCharType="begin"/>
            </w:r>
            <w:r w:rsidR="00F57FC8">
              <w:rPr>
                <w:noProof/>
                <w:webHidden/>
              </w:rPr>
              <w:instrText xml:space="preserve"> PAGEREF _Toc96614864 \h </w:instrText>
            </w:r>
            <w:r w:rsidR="00F57FC8">
              <w:rPr>
                <w:noProof/>
                <w:webHidden/>
              </w:rPr>
            </w:r>
            <w:r w:rsidR="00F57FC8">
              <w:rPr>
                <w:noProof/>
                <w:webHidden/>
              </w:rPr>
              <w:fldChar w:fldCharType="separate"/>
            </w:r>
            <w:r w:rsidR="00F57FC8">
              <w:rPr>
                <w:noProof/>
                <w:webHidden/>
              </w:rPr>
              <w:t>14</w:t>
            </w:r>
            <w:r w:rsidR="00F57FC8">
              <w:rPr>
                <w:noProof/>
                <w:webHidden/>
              </w:rPr>
              <w:fldChar w:fldCharType="end"/>
            </w:r>
          </w:hyperlink>
        </w:p>
        <w:p w14:paraId="1CD07210" w14:textId="64936701" w:rsidR="00F57FC8" w:rsidRDefault="009B470B">
          <w:pPr>
            <w:pStyle w:val="TDC1"/>
            <w:tabs>
              <w:tab w:val="right" w:leader="dot" w:pos="9629"/>
            </w:tabs>
            <w:rPr>
              <w:rFonts w:eastAsiaTheme="minorEastAsia"/>
              <w:noProof/>
              <w:lang w:val="es-CR" w:eastAsia="es-CR"/>
            </w:rPr>
          </w:pPr>
          <w:hyperlink w:anchor="_Toc96614865" w:history="1">
            <w:r w:rsidR="00F57FC8" w:rsidRPr="00046ED4">
              <w:rPr>
                <w:rStyle w:val="Hipervnculo"/>
                <w:noProof/>
                <w:lang w:val="es-CR"/>
              </w:rPr>
              <w:t>Abreviaturas</w:t>
            </w:r>
            <w:r w:rsidR="00F57FC8">
              <w:rPr>
                <w:noProof/>
                <w:webHidden/>
              </w:rPr>
              <w:tab/>
            </w:r>
            <w:r w:rsidR="00F57FC8">
              <w:rPr>
                <w:noProof/>
                <w:webHidden/>
              </w:rPr>
              <w:fldChar w:fldCharType="begin"/>
            </w:r>
            <w:r w:rsidR="00F57FC8">
              <w:rPr>
                <w:noProof/>
                <w:webHidden/>
              </w:rPr>
              <w:instrText xml:space="preserve"> PAGEREF _Toc96614865 \h </w:instrText>
            </w:r>
            <w:r w:rsidR="00F57FC8">
              <w:rPr>
                <w:noProof/>
                <w:webHidden/>
              </w:rPr>
            </w:r>
            <w:r w:rsidR="00F57FC8">
              <w:rPr>
                <w:noProof/>
                <w:webHidden/>
              </w:rPr>
              <w:fldChar w:fldCharType="separate"/>
            </w:r>
            <w:r w:rsidR="00F57FC8">
              <w:rPr>
                <w:noProof/>
                <w:webHidden/>
              </w:rPr>
              <w:t>16</w:t>
            </w:r>
            <w:r w:rsidR="00F57FC8">
              <w:rPr>
                <w:noProof/>
                <w:webHidden/>
              </w:rPr>
              <w:fldChar w:fldCharType="end"/>
            </w:r>
          </w:hyperlink>
        </w:p>
        <w:p w14:paraId="0157DFC2" w14:textId="03B4846B" w:rsidR="00C7675B" w:rsidRDefault="00C7675B">
          <w:r>
            <w:rPr>
              <w:b/>
              <w:bCs/>
            </w:rPr>
            <w:fldChar w:fldCharType="end"/>
          </w:r>
        </w:p>
      </w:sdtContent>
    </w:sdt>
    <w:p w14:paraId="232FC55C" w14:textId="77777777" w:rsidR="00930EC2" w:rsidRDefault="00930EC2">
      <w:pPr>
        <w:spacing w:after="200" w:line="276" w:lineRule="auto"/>
        <w:rPr>
          <w:rFonts w:asciiTheme="majorHAnsi" w:eastAsiaTheme="majorEastAsia" w:hAnsiTheme="majorHAnsi" w:cstheme="majorBidi"/>
          <w:color w:val="365F91" w:themeColor="accent1" w:themeShade="BF"/>
          <w:sz w:val="36"/>
          <w:szCs w:val="36"/>
        </w:rPr>
      </w:pPr>
      <w:r>
        <w:br w:type="page"/>
      </w:r>
    </w:p>
    <w:p w14:paraId="7EEA449F" w14:textId="77777777" w:rsidR="00D45EF1" w:rsidRPr="00FD032B" w:rsidRDefault="00780F6D">
      <w:pPr>
        <w:pStyle w:val="Ttulo1"/>
      </w:pPr>
      <w:bookmarkStart w:id="3" w:name="_Toc96614853"/>
      <w:r w:rsidRPr="00FD032B">
        <w:lastRenderedPageBreak/>
        <w:t>SECCIÓN I</w:t>
      </w:r>
      <w:r w:rsidR="004E684C">
        <w:br/>
      </w:r>
      <w:r w:rsidR="00D06E3F">
        <w:t>ESTADÍ</w:t>
      </w:r>
      <w:r w:rsidR="00FE47C0">
        <w:t>STICA</w:t>
      </w:r>
      <w:r w:rsidR="009E6130">
        <w:t>S</w:t>
      </w:r>
      <w:r w:rsidR="00A36F35">
        <w:t>: AFILIADOS, PENSIONADOS Y PENSIÓN PROMEDIO</w:t>
      </w:r>
      <w:bookmarkEnd w:id="3"/>
    </w:p>
    <w:p w14:paraId="7C577740" w14:textId="77777777" w:rsidR="00A36F35" w:rsidRDefault="00A36F35" w:rsidP="00F51AA9">
      <w:pPr>
        <w:spacing w:after="200" w:line="276" w:lineRule="auto"/>
        <w:jc w:val="both"/>
        <w:rPr>
          <w:rFonts w:cstheme="minorHAnsi"/>
        </w:rPr>
      </w:pPr>
    </w:p>
    <w:p w14:paraId="4286DD3E" w14:textId="77777777" w:rsidR="0085271B" w:rsidRDefault="00556864" w:rsidP="008B00BB">
      <w:pPr>
        <w:jc w:val="both"/>
        <w:rPr>
          <w:rFonts w:cstheme="minorHAnsi"/>
        </w:rPr>
      </w:pPr>
      <w:r w:rsidRPr="000C7F04">
        <w:rPr>
          <w:rFonts w:cstheme="minorHAnsi"/>
        </w:rPr>
        <w:t xml:space="preserve">El Sistema Nacional de Pensiones </w:t>
      </w:r>
      <w:r w:rsidR="009E6130">
        <w:rPr>
          <w:rFonts w:cstheme="minorHAnsi"/>
        </w:rPr>
        <w:t xml:space="preserve">(SNP) </w:t>
      </w:r>
      <w:r w:rsidR="0050273C">
        <w:rPr>
          <w:rFonts w:cstheme="minorHAnsi"/>
        </w:rPr>
        <w:t>está compuesto por 4 regímenes de capitalización colectiva</w:t>
      </w:r>
      <w:r w:rsidR="00E9545E">
        <w:rPr>
          <w:rFonts w:cstheme="minorHAnsi"/>
        </w:rPr>
        <w:t xml:space="preserve">, 6 regímenes complementarios de carácter ocupacional y </w:t>
      </w:r>
      <w:r w:rsidR="00096E7B">
        <w:rPr>
          <w:rFonts w:cstheme="minorHAnsi"/>
        </w:rPr>
        <w:t xml:space="preserve">2 regímenes complementarios (uno voluntario </w:t>
      </w:r>
      <w:r w:rsidR="002A0E1F">
        <w:rPr>
          <w:rFonts w:cstheme="minorHAnsi"/>
        </w:rPr>
        <w:t>y</w:t>
      </w:r>
      <w:r w:rsidR="00096E7B">
        <w:rPr>
          <w:rFonts w:cstheme="minorHAnsi"/>
        </w:rPr>
        <w:t xml:space="preserve"> otro obligatorio), los </w:t>
      </w:r>
      <w:r w:rsidR="00BB09CB">
        <w:rPr>
          <w:rFonts w:cstheme="minorHAnsi"/>
        </w:rPr>
        <w:t>que,</w:t>
      </w:r>
      <w:r w:rsidR="00096E7B">
        <w:rPr>
          <w:rFonts w:cstheme="minorHAnsi"/>
        </w:rPr>
        <w:t xml:space="preserve"> en conjunto, otorgan pensión a </w:t>
      </w:r>
      <w:r w:rsidR="007F260C" w:rsidRPr="000C7F04">
        <w:rPr>
          <w:rFonts w:cstheme="minorHAnsi"/>
        </w:rPr>
        <w:t xml:space="preserve">cerca de 500 mil </w:t>
      </w:r>
      <w:r w:rsidR="00096E7B">
        <w:rPr>
          <w:rFonts w:cstheme="minorHAnsi"/>
        </w:rPr>
        <w:t>personas</w:t>
      </w:r>
      <w:r w:rsidR="00E050E7">
        <w:rPr>
          <w:rFonts w:cstheme="minorHAnsi"/>
        </w:rPr>
        <w:t>.</w:t>
      </w:r>
      <w:r w:rsidR="00460934">
        <w:rPr>
          <w:rFonts w:cstheme="minorHAnsi"/>
        </w:rPr>
        <w:t xml:space="preserve"> El cuadro </w:t>
      </w:r>
      <w:r w:rsidR="005B472A">
        <w:rPr>
          <w:rFonts w:cstheme="minorHAnsi"/>
        </w:rPr>
        <w:t xml:space="preserve">1 </w:t>
      </w:r>
      <w:r w:rsidR="00460934">
        <w:rPr>
          <w:rFonts w:cstheme="minorHAnsi"/>
        </w:rPr>
        <w:t>resume</w:t>
      </w:r>
      <w:r w:rsidR="005B472A">
        <w:rPr>
          <w:rFonts w:cstheme="minorHAnsi"/>
        </w:rPr>
        <w:t xml:space="preserve"> los</w:t>
      </w:r>
      <w:r w:rsidR="00460934">
        <w:rPr>
          <w:rFonts w:cstheme="minorHAnsi"/>
        </w:rPr>
        <w:t xml:space="preserve"> principales </w:t>
      </w:r>
      <w:r w:rsidR="00905D4C">
        <w:rPr>
          <w:rFonts w:cstheme="minorHAnsi"/>
        </w:rPr>
        <w:t>indicadores de estos regímenes.</w:t>
      </w:r>
    </w:p>
    <w:p w14:paraId="4AE26B44" w14:textId="77777777" w:rsidR="008B00BB" w:rsidRDefault="008B00BB" w:rsidP="008B00BB">
      <w:pPr>
        <w:jc w:val="both"/>
        <w:rPr>
          <w:rFonts w:cstheme="minorHAnsi"/>
        </w:rPr>
      </w:pPr>
    </w:p>
    <w:p w14:paraId="6B39DE13" w14:textId="77777777" w:rsidR="00380037" w:rsidRPr="00B66AF7" w:rsidRDefault="00380037" w:rsidP="00B674EA">
      <w:pPr>
        <w:jc w:val="both"/>
        <w:rPr>
          <w:rFonts w:cstheme="minorHAnsi"/>
          <w:b/>
          <w:bCs/>
        </w:rPr>
      </w:pPr>
      <w:r w:rsidRPr="00B66AF7">
        <w:rPr>
          <w:rFonts w:cstheme="minorHAnsi"/>
          <w:b/>
          <w:bCs/>
        </w:rPr>
        <w:t xml:space="preserve">Cuadro 1. </w:t>
      </w:r>
    </w:p>
    <w:p w14:paraId="26097EF5" w14:textId="77777777" w:rsidR="00380037" w:rsidRDefault="00380037">
      <w:pPr>
        <w:jc w:val="both"/>
        <w:rPr>
          <w:rFonts w:cstheme="minorHAnsi"/>
        </w:rPr>
      </w:pPr>
      <w:r w:rsidRPr="00DC65F3">
        <w:rPr>
          <w:rFonts w:cstheme="minorHAnsi"/>
          <w:b/>
        </w:rPr>
        <w:t xml:space="preserve">Sistema Nacional de Pensiones: afiliados, pensionados, contribuciones y pensión promedio según fondo, </w:t>
      </w:r>
      <w:r w:rsidR="00656589">
        <w:rPr>
          <w:rFonts w:cstheme="minorHAnsi"/>
          <w:b/>
        </w:rPr>
        <w:t>diciembre</w:t>
      </w:r>
      <w:r w:rsidRPr="00DC65F3">
        <w:rPr>
          <w:rFonts w:cstheme="minorHAnsi"/>
          <w:b/>
        </w:rPr>
        <w:t xml:space="preserve"> 2021</w:t>
      </w:r>
    </w:p>
    <w:tbl>
      <w:tblPr>
        <w:tblW w:w="10000" w:type="dxa"/>
        <w:tblInd w:w="-10" w:type="dxa"/>
        <w:shd w:val="clear" w:color="auto" w:fill="FFFFFF" w:themeFill="background1"/>
        <w:tblCellMar>
          <w:left w:w="70" w:type="dxa"/>
          <w:right w:w="70" w:type="dxa"/>
        </w:tblCellMar>
        <w:tblLook w:val="04A0" w:firstRow="1" w:lastRow="0" w:firstColumn="1" w:lastColumn="0" w:noHBand="0" w:noVBand="1"/>
      </w:tblPr>
      <w:tblGrid>
        <w:gridCol w:w="2845"/>
        <w:gridCol w:w="1144"/>
        <w:gridCol w:w="1266"/>
        <w:gridCol w:w="1343"/>
        <w:gridCol w:w="1134"/>
        <w:gridCol w:w="993"/>
        <w:gridCol w:w="1275"/>
      </w:tblGrid>
      <w:tr w:rsidR="00404D46" w:rsidRPr="003478E0" w14:paraId="794FE44B" w14:textId="77777777" w:rsidTr="00CC4FE3">
        <w:trPr>
          <w:trHeight w:val="315"/>
        </w:trPr>
        <w:tc>
          <w:tcPr>
            <w:tcW w:w="2845" w:type="dxa"/>
            <w:vMerge w:val="restart"/>
            <w:tcBorders>
              <w:top w:val="single" w:sz="4" w:space="0" w:color="auto"/>
            </w:tcBorders>
            <w:shd w:val="clear" w:color="auto" w:fill="FFFFFF" w:themeFill="background1"/>
            <w:noWrap/>
            <w:vAlign w:val="center"/>
          </w:tcPr>
          <w:p w14:paraId="555840D0" w14:textId="77777777" w:rsidR="00404D46" w:rsidRPr="00B674EA" w:rsidRDefault="00404D46"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Régimen / fondo</w:t>
            </w:r>
          </w:p>
        </w:tc>
        <w:tc>
          <w:tcPr>
            <w:tcW w:w="1144" w:type="dxa"/>
            <w:vMerge w:val="restart"/>
            <w:tcBorders>
              <w:top w:val="single" w:sz="4" w:space="0" w:color="auto"/>
            </w:tcBorders>
            <w:shd w:val="clear" w:color="auto" w:fill="FFFFFF" w:themeFill="background1"/>
            <w:vAlign w:val="center"/>
          </w:tcPr>
          <w:p w14:paraId="35BB542A" w14:textId="77777777" w:rsidR="00404D46" w:rsidRPr="00B674EA" w:rsidRDefault="00404D46" w:rsidP="008B00BB">
            <w:pPr>
              <w:jc w:val="right"/>
              <w:rPr>
                <w:rFonts w:ascii="Calibri" w:eastAsia="Times New Roman" w:hAnsi="Calibri" w:cs="Calibri"/>
                <w:sz w:val="20"/>
                <w:szCs w:val="20"/>
                <w:lang w:val="es-CR" w:eastAsia="es-CR"/>
              </w:rPr>
            </w:pPr>
            <w:r w:rsidRPr="00B674EA">
              <w:rPr>
                <w:rFonts w:ascii="Calibri" w:eastAsia="Times New Roman" w:hAnsi="Calibri" w:cs="Calibri"/>
                <w:b/>
                <w:bCs/>
                <w:sz w:val="20"/>
                <w:szCs w:val="20"/>
                <w:lang w:val="es-CR" w:eastAsia="es-CR"/>
              </w:rPr>
              <w:t>Afiliados</w:t>
            </w:r>
          </w:p>
        </w:tc>
        <w:tc>
          <w:tcPr>
            <w:tcW w:w="1266" w:type="dxa"/>
            <w:vMerge w:val="restart"/>
            <w:tcBorders>
              <w:top w:val="single" w:sz="4" w:space="0" w:color="auto"/>
            </w:tcBorders>
            <w:shd w:val="clear" w:color="auto" w:fill="auto"/>
            <w:vAlign w:val="center"/>
          </w:tcPr>
          <w:p w14:paraId="6E98989C" w14:textId="77777777" w:rsidR="00404D46" w:rsidRPr="00B674EA" w:rsidRDefault="00404D46" w:rsidP="008B00BB">
            <w:pPr>
              <w:jc w:val="right"/>
              <w:rPr>
                <w:rFonts w:ascii="Calibri" w:eastAsia="Times New Roman" w:hAnsi="Calibri" w:cs="Calibri"/>
                <w:sz w:val="20"/>
                <w:szCs w:val="20"/>
                <w:lang w:val="es-CR" w:eastAsia="es-CR"/>
              </w:rPr>
            </w:pPr>
            <w:r w:rsidRPr="00B674EA">
              <w:rPr>
                <w:rFonts w:ascii="Calibri" w:eastAsia="Times New Roman" w:hAnsi="Calibri" w:cs="Calibri"/>
                <w:b/>
                <w:bCs/>
                <w:sz w:val="20"/>
                <w:szCs w:val="20"/>
                <w:lang w:val="es-CR" w:eastAsia="es-CR"/>
              </w:rPr>
              <w:t>Pensionados</w:t>
            </w:r>
          </w:p>
        </w:tc>
        <w:tc>
          <w:tcPr>
            <w:tcW w:w="3470" w:type="dxa"/>
            <w:gridSpan w:val="3"/>
            <w:tcBorders>
              <w:top w:val="single" w:sz="4" w:space="0" w:color="auto"/>
            </w:tcBorders>
            <w:shd w:val="clear" w:color="auto" w:fill="FFFFFF" w:themeFill="background1"/>
            <w:noWrap/>
            <w:vAlign w:val="center"/>
          </w:tcPr>
          <w:p w14:paraId="6F239234" w14:textId="77777777" w:rsidR="00404D46" w:rsidRPr="00B674EA" w:rsidRDefault="00404D46" w:rsidP="00AC14E2">
            <w:pPr>
              <w:jc w:val="cente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Contribuciones</w:t>
            </w:r>
          </w:p>
        </w:tc>
        <w:tc>
          <w:tcPr>
            <w:tcW w:w="1275" w:type="dxa"/>
            <w:vMerge w:val="restart"/>
            <w:tcBorders>
              <w:top w:val="single" w:sz="4" w:space="0" w:color="auto"/>
            </w:tcBorders>
            <w:shd w:val="clear" w:color="auto" w:fill="FFFFFF" w:themeFill="background1"/>
            <w:noWrap/>
            <w:vAlign w:val="center"/>
          </w:tcPr>
          <w:p w14:paraId="42ACC6B5" w14:textId="77777777" w:rsidR="00404D46" w:rsidRPr="00B674EA" w:rsidRDefault="00404D46" w:rsidP="008B00BB">
            <w:pPr>
              <w:jc w:val="right"/>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Pensión Promedio</w:t>
            </w:r>
          </w:p>
        </w:tc>
      </w:tr>
      <w:tr w:rsidR="00404D46" w:rsidRPr="003478E0" w14:paraId="56C08C18" w14:textId="77777777" w:rsidTr="00CC4FE3">
        <w:trPr>
          <w:trHeight w:val="315"/>
        </w:trPr>
        <w:tc>
          <w:tcPr>
            <w:tcW w:w="2845" w:type="dxa"/>
            <w:vMerge/>
            <w:shd w:val="clear" w:color="auto" w:fill="FFFFFF" w:themeFill="background1"/>
            <w:noWrap/>
            <w:vAlign w:val="center"/>
          </w:tcPr>
          <w:p w14:paraId="08F60996" w14:textId="77777777" w:rsidR="00404D46" w:rsidRPr="00B674EA" w:rsidRDefault="00404D46" w:rsidP="008B00BB">
            <w:pPr>
              <w:rPr>
                <w:rFonts w:ascii="Calibri" w:eastAsia="Times New Roman" w:hAnsi="Calibri" w:cs="Calibri"/>
                <w:b/>
                <w:bCs/>
                <w:sz w:val="20"/>
                <w:szCs w:val="20"/>
                <w:lang w:val="es-CR" w:eastAsia="es-CR"/>
              </w:rPr>
            </w:pPr>
          </w:p>
        </w:tc>
        <w:tc>
          <w:tcPr>
            <w:tcW w:w="1144" w:type="dxa"/>
            <w:vMerge/>
            <w:shd w:val="clear" w:color="auto" w:fill="FFFFFF" w:themeFill="background1"/>
            <w:vAlign w:val="center"/>
          </w:tcPr>
          <w:p w14:paraId="61DA682D" w14:textId="77777777" w:rsidR="00404D46" w:rsidRPr="00B674EA" w:rsidRDefault="00404D46" w:rsidP="008B00BB">
            <w:pPr>
              <w:jc w:val="right"/>
              <w:rPr>
                <w:rFonts w:ascii="Calibri" w:eastAsia="Times New Roman" w:hAnsi="Calibri" w:cs="Calibri"/>
                <w:sz w:val="20"/>
                <w:szCs w:val="20"/>
                <w:lang w:val="es-CR" w:eastAsia="es-CR"/>
              </w:rPr>
            </w:pPr>
          </w:p>
        </w:tc>
        <w:tc>
          <w:tcPr>
            <w:tcW w:w="1266" w:type="dxa"/>
            <w:vMerge/>
            <w:shd w:val="clear" w:color="auto" w:fill="auto"/>
            <w:vAlign w:val="center"/>
          </w:tcPr>
          <w:p w14:paraId="12DB7864" w14:textId="77777777" w:rsidR="00404D46" w:rsidRPr="00B674EA" w:rsidRDefault="00404D46" w:rsidP="008B00BB">
            <w:pPr>
              <w:jc w:val="right"/>
              <w:rPr>
                <w:rFonts w:ascii="Calibri" w:eastAsia="Times New Roman" w:hAnsi="Calibri" w:cs="Calibri"/>
                <w:sz w:val="20"/>
                <w:szCs w:val="20"/>
                <w:lang w:val="es-CR" w:eastAsia="es-CR"/>
              </w:rPr>
            </w:pPr>
          </w:p>
        </w:tc>
        <w:tc>
          <w:tcPr>
            <w:tcW w:w="1343" w:type="dxa"/>
            <w:tcBorders>
              <w:top w:val="single" w:sz="4" w:space="0" w:color="auto"/>
            </w:tcBorders>
            <w:shd w:val="clear" w:color="auto" w:fill="FFFFFF" w:themeFill="background1"/>
            <w:noWrap/>
            <w:vAlign w:val="center"/>
          </w:tcPr>
          <w:p w14:paraId="08A65957" w14:textId="77777777" w:rsidR="00404D46" w:rsidRPr="00B674EA" w:rsidRDefault="00404D46" w:rsidP="00823B68">
            <w:pPr>
              <w:jc w:val="cente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Trabajador</w:t>
            </w:r>
          </w:p>
        </w:tc>
        <w:tc>
          <w:tcPr>
            <w:tcW w:w="1134" w:type="dxa"/>
            <w:tcBorders>
              <w:top w:val="single" w:sz="4" w:space="0" w:color="auto"/>
            </w:tcBorders>
            <w:shd w:val="clear" w:color="auto" w:fill="FFFFFF" w:themeFill="background1"/>
            <w:noWrap/>
            <w:vAlign w:val="center"/>
          </w:tcPr>
          <w:p w14:paraId="70BE1D3E" w14:textId="77777777" w:rsidR="00404D46" w:rsidRPr="00B674EA" w:rsidRDefault="00404D46" w:rsidP="00823B68">
            <w:pPr>
              <w:jc w:val="cente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Patrono</w:t>
            </w:r>
          </w:p>
        </w:tc>
        <w:tc>
          <w:tcPr>
            <w:tcW w:w="993" w:type="dxa"/>
            <w:tcBorders>
              <w:top w:val="single" w:sz="4" w:space="0" w:color="auto"/>
            </w:tcBorders>
            <w:shd w:val="clear" w:color="auto" w:fill="FFFFFF" w:themeFill="background1"/>
            <w:noWrap/>
            <w:vAlign w:val="center"/>
          </w:tcPr>
          <w:p w14:paraId="4874CE08" w14:textId="77777777" w:rsidR="00404D46" w:rsidRPr="00B674EA" w:rsidRDefault="00404D46" w:rsidP="00823B68">
            <w:pPr>
              <w:jc w:val="cente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Estado</w:t>
            </w:r>
          </w:p>
        </w:tc>
        <w:tc>
          <w:tcPr>
            <w:tcW w:w="1275" w:type="dxa"/>
            <w:vMerge/>
            <w:shd w:val="clear" w:color="auto" w:fill="FFFFFF" w:themeFill="background1"/>
            <w:noWrap/>
            <w:vAlign w:val="center"/>
          </w:tcPr>
          <w:p w14:paraId="4410E225" w14:textId="77777777" w:rsidR="00404D46" w:rsidRPr="00B674EA" w:rsidRDefault="00404D46" w:rsidP="008B00BB">
            <w:pPr>
              <w:jc w:val="right"/>
              <w:rPr>
                <w:rFonts w:ascii="Calibri" w:eastAsia="Times New Roman" w:hAnsi="Calibri" w:cs="Calibri"/>
                <w:sz w:val="20"/>
                <w:szCs w:val="20"/>
                <w:lang w:val="es-CR" w:eastAsia="es-CR"/>
              </w:rPr>
            </w:pPr>
          </w:p>
        </w:tc>
      </w:tr>
      <w:tr w:rsidR="008031C3" w:rsidRPr="003478E0" w14:paraId="26951023" w14:textId="77777777" w:rsidTr="00CC4FE3">
        <w:trPr>
          <w:trHeight w:val="315"/>
        </w:trPr>
        <w:tc>
          <w:tcPr>
            <w:tcW w:w="2845" w:type="dxa"/>
            <w:tcBorders>
              <w:top w:val="single" w:sz="4" w:space="0" w:color="auto"/>
            </w:tcBorders>
            <w:shd w:val="clear" w:color="auto" w:fill="FFFFFF" w:themeFill="background1"/>
            <w:noWrap/>
            <w:vAlign w:val="center"/>
            <w:hideMark/>
          </w:tcPr>
          <w:p w14:paraId="33CB48B7"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Régimen básico (IVM)</w:t>
            </w:r>
            <w:r w:rsidRPr="00B674EA">
              <w:rPr>
                <w:rFonts w:ascii="Calibri" w:eastAsia="Times New Roman" w:hAnsi="Calibri" w:cs="Calibri"/>
                <w:b/>
                <w:bCs/>
                <w:sz w:val="20"/>
                <w:szCs w:val="20"/>
                <w:vertAlign w:val="superscript"/>
                <w:lang w:val="es-CR" w:eastAsia="es-CR"/>
              </w:rPr>
              <w:t>1/</w:t>
            </w:r>
          </w:p>
        </w:tc>
        <w:tc>
          <w:tcPr>
            <w:tcW w:w="1144" w:type="dxa"/>
            <w:tcBorders>
              <w:top w:val="single" w:sz="4" w:space="0" w:color="auto"/>
            </w:tcBorders>
            <w:shd w:val="clear" w:color="auto" w:fill="FFFFFF" w:themeFill="background1"/>
            <w:vAlign w:val="center"/>
            <w:hideMark/>
          </w:tcPr>
          <w:p w14:paraId="18B15FB6" w14:textId="77777777" w:rsidR="00004F14" w:rsidRPr="00330AD8" w:rsidRDefault="00F82F1A" w:rsidP="008B00BB">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1</w:t>
            </w:r>
            <w:r w:rsidR="00330AD8" w:rsidRPr="00330AD8">
              <w:rPr>
                <w:rFonts w:ascii="Calibri" w:eastAsia="Times New Roman" w:hAnsi="Calibri" w:cs="Calibri"/>
                <w:sz w:val="20"/>
                <w:szCs w:val="20"/>
                <w:lang w:val="es-CR" w:eastAsia="es-CR"/>
              </w:rPr>
              <w:t> </w:t>
            </w:r>
            <w:r w:rsidRPr="00330AD8">
              <w:rPr>
                <w:rFonts w:ascii="Calibri" w:eastAsia="Times New Roman" w:hAnsi="Calibri" w:cs="Calibri"/>
                <w:sz w:val="20"/>
                <w:szCs w:val="20"/>
                <w:lang w:val="es-CR" w:eastAsia="es-CR"/>
              </w:rPr>
              <w:t>381</w:t>
            </w:r>
            <w:r w:rsidR="00330AD8" w:rsidRPr="00330AD8">
              <w:rPr>
                <w:rFonts w:ascii="Calibri" w:eastAsia="Times New Roman" w:hAnsi="Calibri" w:cs="Calibri"/>
                <w:sz w:val="20"/>
                <w:szCs w:val="20"/>
                <w:lang w:val="es-CR" w:eastAsia="es-CR"/>
              </w:rPr>
              <w:t xml:space="preserve"> </w:t>
            </w:r>
            <w:r w:rsidRPr="00330AD8">
              <w:rPr>
                <w:rFonts w:ascii="Calibri" w:eastAsia="Times New Roman" w:hAnsi="Calibri" w:cs="Calibri"/>
                <w:sz w:val="20"/>
                <w:szCs w:val="20"/>
                <w:lang w:val="es-CR" w:eastAsia="es-CR"/>
              </w:rPr>
              <w:t>973</w:t>
            </w:r>
          </w:p>
        </w:tc>
        <w:tc>
          <w:tcPr>
            <w:tcW w:w="1266" w:type="dxa"/>
            <w:tcBorders>
              <w:top w:val="single" w:sz="4" w:space="0" w:color="auto"/>
            </w:tcBorders>
            <w:shd w:val="clear" w:color="auto" w:fill="auto"/>
            <w:vAlign w:val="center"/>
            <w:hideMark/>
          </w:tcPr>
          <w:p w14:paraId="67B18AAD" w14:textId="77777777" w:rsidR="00004F14" w:rsidRPr="00B674EA" w:rsidRDefault="008059B6"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31</w:t>
            </w:r>
            <w:r w:rsidR="00687B97">
              <w:rPr>
                <w:rFonts w:ascii="Calibri" w:eastAsia="Times New Roman" w:hAnsi="Calibri" w:cs="Calibri"/>
                <w:sz w:val="20"/>
                <w:szCs w:val="20"/>
                <w:lang w:val="es-CR" w:eastAsia="es-CR"/>
              </w:rPr>
              <w:t>5 537</w:t>
            </w:r>
          </w:p>
        </w:tc>
        <w:tc>
          <w:tcPr>
            <w:tcW w:w="1343" w:type="dxa"/>
            <w:tcBorders>
              <w:top w:val="single" w:sz="4" w:space="0" w:color="auto"/>
            </w:tcBorders>
            <w:shd w:val="clear" w:color="auto" w:fill="FFFFFF" w:themeFill="background1"/>
            <w:noWrap/>
            <w:vAlign w:val="center"/>
            <w:hideMark/>
          </w:tcPr>
          <w:p w14:paraId="21220C94"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w:t>
            </w:r>
          </w:p>
        </w:tc>
        <w:tc>
          <w:tcPr>
            <w:tcW w:w="1134" w:type="dxa"/>
            <w:tcBorders>
              <w:top w:val="single" w:sz="4" w:space="0" w:color="auto"/>
            </w:tcBorders>
            <w:shd w:val="clear" w:color="auto" w:fill="FFFFFF" w:themeFill="background1"/>
            <w:noWrap/>
            <w:vAlign w:val="center"/>
            <w:hideMark/>
          </w:tcPr>
          <w:p w14:paraId="32495BAA"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5,25%</w:t>
            </w:r>
          </w:p>
        </w:tc>
        <w:tc>
          <w:tcPr>
            <w:tcW w:w="993" w:type="dxa"/>
            <w:tcBorders>
              <w:top w:val="single" w:sz="4" w:space="0" w:color="auto"/>
            </w:tcBorders>
            <w:shd w:val="clear" w:color="auto" w:fill="FFFFFF" w:themeFill="background1"/>
            <w:noWrap/>
            <w:vAlign w:val="center"/>
            <w:hideMark/>
          </w:tcPr>
          <w:p w14:paraId="434E50B0"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1,41%</w:t>
            </w:r>
          </w:p>
        </w:tc>
        <w:tc>
          <w:tcPr>
            <w:tcW w:w="1275" w:type="dxa"/>
            <w:tcBorders>
              <w:top w:val="single" w:sz="4" w:space="0" w:color="auto"/>
            </w:tcBorders>
            <w:shd w:val="clear" w:color="auto" w:fill="FFFFFF" w:themeFill="background1"/>
            <w:noWrap/>
            <w:vAlign w:val="center"/>
            <w:hideMark/>
          </w:tcPr>
          <w:p w14:paraId="2E7A582A" w14:textId="77777777" w:rsidR="00004F14" w:rsidRPr="005568C4" w:rsidRDefault="00176609" w:rsidP="00176609">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286 153</w:t>
            </w:r>
          </w:p>
        </w:tc>
      </w:tr>
      <w:tr w:rsidR="00265AC6" w:rsidRPr="003478E0" w14:paraId="6EB9DAB4" w14:textId="77777777" w:rsidTr="00CC4FE3">
        <w:trPr>
          <w:trHeight w:val="315"/>
        </w:trPr>
        <w:tc>
          <w:tcPr>
            <w:tcW w:w="2845" w:type="dxa"/>
            <w:tcBorders>
              <w:top w:val="nil"/>
              <w:right w:val="nil"/>
            </w:tcBorders>
            <w:shd w:val="clear" w:color="auto" w:fill="FFFFFF" w:themeFill="background1"/>
            <w:noWrap/>
            <w:vAlign w:val="center"/>
            <w:hideMark/>
          </w:tcPr>
          <w:p w14:paraId="3F98D021"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Regímenes básicos sustitutos</w:t>
            </w:r>
          </w:p>
        </w:tc>
        <w:tc>
          <w:tcPr>
            <w:tcW w:w="1144" w:type="dxa"/>
            <w:tcBorders>
              <w:top w:val="nil"/>
              <w:left w:val="nil"/>
              <w:right w:val="nil"/>
            </w:tcBorders>
            <w:shd w:val="clear" w:color="auto" w:fill="FFFFFF" w:themeFill="background1"/>
            <w:noWrap/>
            <w:vAlign w:val="center"/>
            <w:hideMark/>
          </w:tcPr>
          <w:p w14:paraId="64754B6B" w14:textId="77777777" w:rsidR="00004F14" w:rsidRPr="00330AD8" w:rsidRDefault="00004F14" w:rsidP="008B00BB">
            <w:pPr>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 </w:t>
            </w:r>
          </w:p>
        </w:tc>
        <w:tc>
          <w:tcPr>
            <w:tcW w:w="1266" w:type="dxa"/>
            <w:tcBorders>
              <w:top w:val="nil"/>
              <w:left w:val="nil"/>
              <w:right w:val="nil"/>
            </w:tcBorders>
            <w:shd w:val="clear" w:color="auto" w:fill="FFFFFF" w:themeFill="background1"/>
            <w:noWrap/>
            <w:vAlign w:val="center"/>
            <w:hideMark/>
          </w:tcPr>
          <w:p w14:paraId="02DB2204"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343" w:type="dxa"/>
            <w:tcBorders>
              <w:top w:val="nil"/>
              <w:left w:val="nil"/>
              <w:right w:val="nil"/>
            </w:tcBorders>
            <w:shd w:val="clear" w:color="auto" w:fill="FFFFFF" w:themeFill="background1"/>
            <w:noWrap/>
            <w:vAlign w:val="center"/>
            <w:hideMark/>
          </w:tcPr>
          <w:p w14:paraId="2BB49446"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134" w:type="dxa"/>
            <w:tcBorders>
              <w:top w:val="nil"/>
              <w:left w:val="nil"/>
              <w:right w:val="nil"/>
            </w:tcBorders>
            <w:shd w:val="clear" w:color="auto" w:fill="FFFFFF" w:themeFill="background1"/>
            <w:noWrap/>
            <w:vAlign w:val="center"/>
            <w:hideMark/>
          </w:tcPr>
          <w:p w14:paraId="49A90A56"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993" w:type="dxa"/>
            <w:tcBorders>
              <w:top w:val="nil"/>
              <w:left w:val="nil"/>
              <w:right w:val="nil"/>
            </w:tcBorders>
            <w:shd w:val="clear" w:color="auto" w:fill="FFFFFF" w:themeFill="background1"/>
            <w:noWrap/>
            <w:vAlign w:val="center"/>
            <w:hideMark/>
          </w:tcPr>
          <w:p w14:paraId="74FE6BF7"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275" w:type="dxa"/>
            <w:tcBorders>
              <w:top w:val="nil"/>
              <w:left w:val="nil"/>
            </w:tcBorders>
            <w:shd w:val="clear" w:color="auto" w:fill="FFFFFF" w:themeFill="background1"/>
            <w:noWrap/>
            <w:vAlign w:val="center"/>
            <w:hideMark/>
          </w:tcPr>
          <w:p w14:paraId="5F80E40E" w14:textId="77777777" w:rsidR="00004F14" w:rsidRPr="005568C4" w:rsidRDefault="00004F14" w:rsidP="005568C4">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 </w:t>
            </w:r>
          </w:p>
        </w:tc>
      </w:tr>
      <w:tr w:rsidR="00265AC6" w:rsidRPr="003478E0" w14:paraId="0A7A9552" w14:textId="77777777" w:rsidTr="00CC4FE3">
        <w:trPr>
          <w:trHeight w:val="315"/>
        </w:trPr>
        <w:tc>
          <w:tcPr>
            <w:tcW w:w="2845" w:type="dxa"/>
            <w:tcBorders>
              <w:top w:val="nil"/>
            </w:tcBorders>
            <w:shd w:val="clear" w:color="auto" w:fill="FFFFFF" w:themeFill="background1"/>
            <w:noWrap/>
            <w:vAlign w:val="center"/>
            <w:hideMark/>
          </w:tcPr>
          <w:p w14:paraId="6B0821A0"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RCCMN</w:t>
            </w:r>
          </w:p>
        </w:tc>
        <w:tc>
          <w:tcPr>
            <w:tcW w:w="1144" w:type="dxa"/>
            <w:tcBorders>
              <w:top w:val="nil"/>
            </w:tcBorders>
            <w:shd w:val="clear" w:color="auto" w:fill="FFFFFF" w:themeFill="background1"/>
            <w:vAlign w:val="center"/>
            <w:hideMark/>
          </w:tcPr>
          <w:p w14:paraId="31FEE93E" w14:textId="77777777" w:rsidR="00004F14" w:rsidRPr="00330AD8" w:rsidRDefault="005B4B31" w:rsidP="008B00BB">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100</w:t>
            </w:r>
            <w:r w:rsidR="00330AD8" w:rsidRPr="00330AD8">
              <w:rPr>
                <w:rFonts w:ascii="Calibri" w:eastAsia="Times New Roman" w:hAnsi="Calibri" w:cs="Calibri"/>
                <w:sz w:val="20"/>
                <w:szCs w:val="20"/>
                <w:lang w:val="es-CR" w:eastAsia="es-CR"/>
              </w:rPr>
              <w:t xml:space="preserve"> </w:t>
            </w:r>
            <w:r w:rsidRPr="00330AD8">
              <w:rPr>
                <w:rFonts w:ascii="Calibri" w:eastAsia="Times New Roman" w:hAnsi="Calibri" w:cs="Calibri"/>
                <w:sz w:val="20"/>
                <w:szCs w:val="20"/>
                <w:lang w:val="es-CR" w:eastAsia="es-CR"/>
              </w:rPr>
              <w:t>024</w:t>
            </w:r>
          </w:p>
        </w:tc>
        <w:tc>
          <w:tcPr>
            <w:tcW w:w="1266" w:type="dxa"/>
            <w:tcBorders>
              <w:top w:val="nil"/>
            </w:tcBorders>
            <w:shd w:val="clear" w:color="auto" w:fill="FFFFFF" w:themeFill="background1"/>
            <w:vAlign w:val="center"/>
            <w:hideMark/>
          </w:tcPr>
          <w:p w14:paraId="1B46BB94" w14:textId="77777777" w:rsidR="003A7DFF" w:rsidRPr="00B674EA" w:rsidRDefault="00004F14" w:rsidP="003A7DFF">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3</w:t>
            </w:r>
            <w:r w:rsidR="003A7DFF">
              <w:rPr>
                <w:rFonts w:ascii="Calibri" w:eastAsia="Times New Roman" w:hAnsi="Calibri" w:cs="Calibri"/>
                <w:sz w:val="20"/>
                <w:szCs w:val="20"/>
                <w:lang w:val="es-CR" w:eastAsia="es-CR"/>
              </w:rPr>
              <w:t> 538</w:t>
            </w:r>
          </w:p>
        </w:tc>
        <w:tc>
          <w:tcPr>
            <w:tcW w:w="1343" w:type="dxa"/>
            <w:tcBorders>
              <w:top w:val="nil"/>
            </w:tcBorders>
            <w:shd w:val="clear" w:color="auto" w:fill="FFFFFF" w:themeFill="background1"/>
            <w:noWrap/>
            <w:vAlign w:val="center"/>
            <w:hideMark/>
          </w:tcPr>
          <w:p w14:paraId="0396DE4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8%</w:t>
            </w:r>
          </w:p>
        </w:tc>
        <w:tc>
          <w:tcPr>
            <w:tcW w:w="1134" w:type="dxa"/>
            <w:tcBorders>
              <w:top w:val="nil"/>
            </w:tcBorders>
            <w:shd w:val="clear" w:color="auto" w:fill="FFFFFF" w:themeFill="background1"/>
            <w:noWrap/>
            <w:vAlign w:val="center"/>
            <w:hideMark/>
          </w:tcPr>
          <w:p w14:paraId="4DD93403"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6,75%</w:t>
            </w:r>
          </w:p>
        </w:tc>
        <w:tc>
          <w:tcPr>
            <w:tcW w:w="993" w:type="dxa"/>
            <w:tcBorders>
              <w:top w:val="nil"/>
            </w:tcBorders>
            <w:shd w:val="clear" w:color="auto" w:fill="FFFFFF" w:themeFill="background1"/>
            <w:noWrap/>
            <w:vAlign w:val="center"/>
            <w:hideMark/>
          </w:tcPr>
          <w:p w14:paraId="20AD2D1C"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1,41%</w:t>
            </w:r>
          </w:p>
        </w:tc>
        <w:tc>
          <w:tcPr>
            <w:tcW w:w="1275" w:type="dxa"/>
            <w:tcBorders>
              <w:top w:val="nil"/>
            </w:tcBorders>
            <w:shd w:val="clear" w:color="auto" w:fill="FFFFFF" w:themeFill="background1"/>
            <w:noWrap/>
            <w:vAlign w:val="center"/>
            <w:hideMark/>
          </w:tcPr>
          <w:p w14:paraId="2EA852BB" w14:textId="77777777" w:rsidR="00004F14" w:rsidRPr="005568C4" w:rsidRDefault="000F39B7" w:rsidP="000F39B7">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401 777</w:t>
            </w:r>
          </w:p>
        </w:tc>
      </w:tr>
      <w:tr w:rsidR="00265AC6" w:rsidRPr="003478E0" w14:paraId="09338B25" w14:textId="77777777" w:rsidTr="00CC4FE3">
        <w:trPr>
          <w:trHeight w:val="315"/>
        </w:trPr>
        <w:tc>
          <w:tcPr>
            <w:tcW w:w="2845" w:type="dxa"/>
            <w:tcBorders>
              <w:top w:val="nil"/>
            </w:tcBorders>
            <w:shd w:val="clear" w:color="auto" w:fill="FFFFFF" w:themeFill="background1"/>
            <w:noWrap/>
            <w:vAlign w:val="center"/>
            <w:hideMark/>
          </w:tcPr>
          <w:p w14:paraId="1BBF25E9"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FPJ</w:t>
            </w:r>
          </w:p>
        </w:tc>
        <w:tc>
          <w:tcPr>
            <w:tcW w:w="1144" w:type="dxa"/>
            <w:tcBorders>
              <w:top w:val="nil"/>
            </w:tcBorders>
            <w:shd w:val="clear" w:color="auto" w:fill="FFFFFF" w:themeFill="background1"/>
            <w:vAlign w:val="center"/>
            <w:hideMark/>
          </w:tcPr>
          <w:p w14:paraId="0F1E1B30" w14:textId="77777777" w:rsidR="00004F14" w:rsidRPr="00330AD8" w:rsidRDefault="0094414B" w:rsidP="008B00BB">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13 730</w:t>
            </w:r>
          </w:p>
        </w:tc>
        <w:tc>
          <w:tcPr>
            <w:tcW w:w="1266" w:type="dxa"/>
            <w:tcBorders>
              <w:top w:val="nil"/>
            </w:tcBorders>
            <w:shd w:val="clear" w:color="auto" w:fill="FFFFFF" w:themeFill="background1"/>
            <w:vAlign w:val="center"/>
            <w:hideMark/>
          </w:tcPr>
          <w:p w14:paraId="1105B51E"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4 2</w:t>
            </w:r>
            <w:r w:rsidR="003A7DFF">
              <w:rPr>
                <w:rFonts w:ascii="Calibri" w:eastAsia="Times New Roman" w:hAnsi="Calibri" w:cs="Calibri"/>
                <w:sz w:val="20"/>
                <w:szCs w:val="20"/>
                <w:lang w:val="es-CR" w:eastAsia="es-CR"/>
              </w:rPr>
              <w:t>19</w:t>
            </w:r>
          </w:p>
        </w:tc>
        <w:tc>
          <w:tcPr>
            <w:tcW w:w="1343" w:type="dxa"/>
            <w:tcBorders>
              <w:top w:val="nil"/>
            </w:tcBorders>
            <w:shd w:val="clear" w:color="auto" w:fill="FFFFFF" w:themeFill="background1"/>
            <w:noWrap/>
            <w:vAlign w:val="center"/>
            <w:hideMark/>
          </w:tcPr>
          <w:p w14:paraId="2301E79D"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13%</w:t>
            </w:r>
            <w:r w:rsidRPr="00B674EA">
              <w:rPr>
                <w:rFonts w:ascii="Calibri" w:eastAsia="Times New Roman" w:hAnsi="Calibri" w:cs="Calibri"/>
                <w:sz w:val="20"/>
                <w:szCs w:val="20"/>
                <w:vertAlign w:val="superscript"/>
                <w:lang w:val="es-CR" w:eastAsia="es-CR"/>
              </w:rPr>
              <w:t>2/</w:t>
            </w:r>
          </w:p>
        </w:tc>
        <w:tc>
          <w:tcPr>
            <w:tcW w:w="1134" w:type="dxa"/>
            <w:tcBorders>
              <w:top w:val="nil"/>
            </w:tcBorders>
            <w:shd w:val="clear" w:color="auto" w:fill="FFFFFF" w:themeFill="background1"/>
            <w:noWrap/>
            <w:vAlign w:val="center"/>
            <w:hideMark/>
          </w:tcPr>
          <w:p w14:paraId="1B1F2FDB"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14,36%</w:t>
            </w:r>
          </w:p>
        </w:tc>
        <w:tc>
          <w:tcPr>
            <w:tcW w:w="993" w:type="dxa"/>
            <w:tcBorders>
              <w:top w:val="nil"/>
            </w:tcBorders>
            <w:shd w:val="clear" w:color="auto" w:fill="FFFFFF" w:themeFill="background1"/>
            <w:noWrap/>
            <w:vAlign w:val="center"/>
            <w:hideMark/>
          </w:tcPr>
          <w:p w14:paraId="167B926B"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1,41%</w:t>
            </w:r>
          </w:p>
        </w:tc>
        <w:tc>
          <w:tcPr>
            <w:tcW w:w="1275" w:type="dxa"/>
            <w:tcBorders>
              <w:top w:val="nil"/>
            </w:tcBorders>
            <w:shd w:val="clear" w:color="auto" w:fill="FFFFFF" w:themeFill="background1"/>
            <w:noWrap/>
            <w:vAlign w:val="center"/>
            <w:hideMark/>
          </w:tcPr>
          <w:p w14:paraId="1DACCCA5" w14:textId="77777777" w:rsidR="00004F14" w:rsidRPr="005568C4" w:rsidRDefault="00DB74F8" w:rsidP="00DB74F8">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1 834 591</w:t>
            </w:r>
          </w:p>
        </w:tc>
      </w:tr>
      <w:tr w:rsidR="00265AC6" w:rsidRPr="003478E0" w14:paraId="1EF21E12" w14:textId="77777777" w:rsidTr="00CC4FE3">
        <w:trPr>
          <w:trHeight w:val="315"/>
        </w:trPr>
        <w:tc>
          <w:tcPr>
            <w:tcW w:w="2845" w:type="dxa"/>
            <w:tcBorders>
              <w:top w:val="nil"/>
            </w:tcBorders>
            <w:shd w:val="clear" w:color="auto" w:fill="FFFFFF" w:themeFill="background1"/>
            <w:noWrap/>
            <w:vAlign w:val="center"/>
            <w:hideMark/>
          </w:tcPr>
          <w:p w14:paraId="196DBC92"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FBOMBEROS</w:t>
            </w:r>
          </w:p>
        </w:tc>
        <w:tc>
          <w:tcPr>
            <w:tcW w:w="1144" w:type="dxa"/>
            <w:tcBorders>
              <w:top w:val="nil"/>
            </w:tcBorders>
            <w:shd w:val="clear" w:color="auto" w:fill="FFFFFF" w:themeFill="background1"/>
            <w:vAlign w:val="center"/>
            <w:hideMark/>
          </w:tcPr>
          <w:p w14:paraId="21E7F45F" w14:textId="77777777" w:rsidR="00004F14" w:rsidRPr="00330AD8" w:rsidRDefault="00004F14" w:rsidP="00E90E00">
            <w:pPr>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 xml:space="preserve">                   </w:t>
            </w:r>
            <w:r w:rsidR="0094414B" w:rsidRPr="00330AD8">
              <w:rPr>
                <w:rFonts w:ascii="Calibri" w:eastAsia="Times New Roman" w:hAnsi="Calibri" w:cs="Calibri"/>
                <w:sz w:val="20"/>
                <w:szCs w:val="20"/>
                <w:lang w:val="es-CR" w:eastAsia="es-CR"/>
              </w:rPr>
              <w:t>1</w:t>
            </w:r>
            <w:r w:rsidRPr="00330AD8">
              <w:rPr>
                <w:rFonts w:ascii="Calibri" w:eastAsia="Times New Roman" w:hAnsi="Calibri" w:cs="Calibri"/>
                <w:sz w:val="20"/>
                <w:szCs w:val="20"/>
                <w:lang w:val="es-CR" w:eastAsia="es-CR"/>
              </w:rPr>
              <w:t xml:space="preserve"> </w:t>
            </w:r>
          </w:p>
        </w:tc>
        <w:tc>
          <w:tcPr>
            <w:tcW w:w="1266" w:type="dxa"/>
            <w:tcBorders>
              <w:top w:val="nil"/>
            </w:tcBorders>
            <w:shd w:val="clear" w:color="auto" w:fill="FFFFFF" w:themeFill="background1"/>
            <w:vAlign w:val="center"/>
            <w:hideMark/>
          </w:tcPr>
          <w:p w14:paraId="5A96B75A"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22</w:t>
            </w:r>
            <w:r w:rsidR="00C123AC">
              <w:rPr>
                <w:rFonts w:ascii="Calibri" w:eastAsia="Times New Roman" w:hAnsi="Calibri" w:cs="Calibri"/>
                <w:sz w:val="20"/>
                <w:szCs w:val="20"/>
                <w:lang w:val="es-CR" w:eastAsia="es-CR"/>
              </w:rPr>
              <w:t>2</w:t>
            </w:r>
          </w:p>
        </w:tc>
        <w:tc>
          <w:tcPr>
            <w:tcW w:w="1343" w:type="dxa"/>
            <w:tcBorders>
              <w:top w:val="nil"/>
            </w:tcBorders>
            <w:shd w:val="clear" w:color="auto" w:fill="FFFFFF" w:themeFill="background1"/>
            <w:noWrap/>
            <w:vAlign w:val="center"/>
            <w:hideMark/>
          </w:tcPr>
          <w:p w14:paraId="6304E58A"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12,50%</w:t>
            </w:r>
          </w:p>
        </w:tc>
        <w:tc>
          <w:tcPr>
            <w:tcW w:w="1134" w:type="dxa"/>
            <w:tcBorders>
              <w:top w:val="nil"/>
            </w:tcBorders>
            <w:shd w:val="clear" w:color="auto" w:fill="FFFFFF" w:themeFill="background1"/>
            <w:noWrap/>
            <w:vAlign w:val="center"/>
            <w:hideMark/>
          </w:tcPr>
          <w:p w14:paraId="4DE6C3E9"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37,50%</w:t>
            </w:r>
          </w:p>
        </w:tc>
        <w:tc>
          <w:tcPr>
            <w:tcW w:w="993" w:type="dxa"/>
            <w:tcBorders>
              <w:top w:val="nil"/>
            </w:tcBorders>
            <w:shd w:val="clear" w:color="auto" w:fill="FFFFFF" w:themeFill="background1"/>
            <w:noWrap/>
            <w:vAlign w:val="center"/>
            <w:hideMark/>
          </w:tcPr>
          <w:p w14:paraId="28F6A740"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197B016B" w14:textId="77777777" w:rsidR="00004F14" w:rsidRPr="005568C4" w:rsidRDefault="00D33784" w:rsidP="00D33784">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937 182</w:t>
            </w:r>
          </w:p>
        </w:tc>
      </w:tr>
      <w:tr w:rsidR="00265AC6" w:rsidRPr="003478E0" w14:paraId="5C871ACB" w14:textId="77777777" w:rsidTr="00CC4FE3">
        <w:trPr>
          <w:trHeight w:val="344"/>
        </w:trPr>
        <w:tc>
          <w:tcPr>
            <w:tcW w:w="3989" w:type="dxa"/>
            <w:gridSpan w:val="2"/>
            <w:tcBorders>
              <w:top w:val="nil"/>
              <w:right w:val="nil"/>
            </w:tcBorders>
            <w:shd w:val="clear" w:color="auto" w:fill="FFFFFF" w:themeFill="background1"/>
            <w:noWrap/>
            <w:vAlign w:val="center"/>
            <w:hideMark/>
          </w:tcPr>
          <w:p w14:paraId="497854DB" w14:textId="77777777" w:rsidR="00004F14" w:rsidRPr="00330AD8" w:rsidRDefault="00004F14" w:rsidP="008B00BB">
            <w:pPr>
              <w:rPr>
                <w:rFonts w:ascii="Calibri" w:eastAsia="Times New Roman" w:hAnsi="Calibri" w:cs="Calibri"/>
                <w:b/>
                <w:bCs/>
                <w:sz w:val="20"/>
                <w:szCs w:val="20"/>
                <w:lang w:val="es-CR" w:eastAsia="es-CR"/>
              </w:rPr>
            </w:pPr>
            <w:r w:rsidRPr="00330AD8">
              <w:rPr>
                <w:rFonts w:ascii="Calibri" w:eastAsia="Times New Roman" w:hAnsi="Calibri" w:cs="Calibri"/>
                <w:b/>
                <w:bCs/>
                <w:sz w:val="20"/>
                <w:szCs w:val="20"/>
                <w:lang w:val="es-CR" w:eastAsia="es-CR"/>
              </w:rPr>
              <w:t>Regímenes ocupacionales complementarios </w:t>
            </w:r>
          </w:p>
        </w:tc>
        <w:tc>
          <w:tcPr>
            <w:tcW w:w="1266" w:type="dxa"/>
            <w:tcBorders>
              <w:top w:val="nil"/>
              <w:left w:val="nil"/>
              <w:right w:val="nil"/>
            </w:tcBorders>
            <w:shd w:val="clear" w:color="auto" w:fill="FFFFFF" w:themeFill="background1"/>
            <w:noWrap/>
            <w:vAlign w:val="center"/>
            <w:hideMark/>
          </w:tcPr>
          <w:p w14:paraId="285C37DE"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343" w:type="dxa"/>
            <w:tcBorders>
              <w:top w:val="nil"/>
              <w:left w:val="nil"/>
              <w:right w:val="nil"/>
            </w:tcBorders>
            <w:shd w:val="clear" w:color="auto" w:fill="FFFFFF" w:themeFill="background1"/>
            <w:noWrap/>
            <w:vAlign w:val="center"/>
            <w:hideMark/>
          </w:tcPr>
          <w:p w14:paraId="74D7FF1C"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134" w:type="dxa"/>
            <w:tcBorders>
              <w:top w:val="nil"/>
              <w:left w:val="nil"/>
              <w:right w:val="nil"/>
            </w:tcBorders>
            <w:shd w:val="clear" w:color="auto" w:fill="FFFFFF" w:themeFill="background1"/>
            <w:noWrap/>
            <w:vAlign w:val="center"/>
            <w:hideMark/>
          </w:tcPr>
          <w:p w14:paraId="1D62CF9B"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993" w:type="dxa"/>
            <w:tcBorders>
              <w:top w:val="nil"/>
              <w:left w:val="nil"/>
              <w:right w:val="nil"/>
            </w:tcBorders>
            <w:shd w:val="clear" w:color="auto" w:fill="FFFFFF" w:themeFill="background1"/>
            <w:noWrap/>
            <w:vAlign w:val="center"/>
            <w:hideMark/>
          </w:tcPr>
          <w:p w14:paraId="72C33FA7"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 </w:t>
            </w:r>
          </w:p>
        </w:tc>
        <w:tc>
          <w:tcPr>
            <w:tcW w:w="1275" w:type="dxa"/>
            <w:tcBorders>
              <w:top w:val="nil"/>
              <w:left w:val="nil"/>
            </w:tcBorders>
            <w:shd w:val="clear" w:color="auto" w:fill="FFFFFF" w:themeFill="background1"/>
            <w:noWrap/>
            <w:vAlign w:val="center"/>
            <w:hideMark/>
          </w:tcPr>
          <w:p w14:paraId="476DDB69" w14:textId="77777777" w:rsidR="00004F14" w:rsidRPr="005568C4" w:rsidRDefault="00004F14" w:rsidP="005568C4">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 </w:t>
            </w:r>
          </w:p>
        </w:tc>
      </w:tr>
      <w:tr w:rsidR="00265AC6" w:rsidRPr="003478E0" w14:paraId="14827247" w14:textId="77777777" w:rsidTr="00CC4FE3">
        <w:trPr>
          <w:trHeight w:val="315"/>
        </w:trPr>
        <w:tc>
          <w:tcPr>
            <w:tcW w:w="2845" w:type="dxa"/>
            <w:tcBorders>
              <w:top w:val="nil"/>
            </w:tcBorders>
            <w:shd w:val="clear" w:color="auto" w:fill="FFFFFF" w:themeFill="background1"/>
            <w:noWrap/>
            <w:vAlign w:val="center"/>
            <w:hideMark/>
          </w:tcPr>
          <w:p w14:paraId="461BBACF"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FBNCR </w:t>
            </w:r>
          </w:p>
        </w:tc>
        <w:tc>
          <w:tcPr>
            <w:tcW w:w="1144" w:type="dxa"/>
            <w:tcBorders>
              <w:top w:val="nil"/>
            </w:tcBorders>
            <w:shd w:val="clear" w:color="auto" w:fill="FFFFFF" w:themeFill="background1"/>
            <w:vAlign w:val="center"/>
            <w:hideMark/>
          </w:tcPr>
          <w:p w14:paraId="30DA619B" w14:textId="77777777" w:rsidR="00004F14" w:rsidRPr="00330AD8" w:rsidRDefault="008F0A4A" w:rsidP="008B00BB">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5 178</w:t>
            </w:r>
          </w:p>
        </w:tc>
        <w:tc>
          <w:tcPr>
            <w:tcW w:w="1266" w:type="dxa"/>
            <w:tcBorders>
              <w:top w:val="nil"/>
            </w:tcBorders>
            <w:shd w:val="clear" w:color="auto" w:fill="FFFFFF" w:themeFill="background1"/>
            <w:vAlign w:val="center"/>
            <w:hideMark/>
          </w:tcPr>
          <w:p w14:paraId="44DF38F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1 5</w:t>
            </w:r>
            <w:r w:rsidR="003F146F" w:rsidRPr="00B674EA">
              <w:rPr>
                <w:rFonts w:ascii="Calibri" w:eastAsia="Times New Roman" w:hAnsi="Calibri" w:cs="Calibri"/>
                <w:sz w:val="20"/>
                <w:szCs w:val="20"/>
                <w:lang w:val="es-CR" w:eastAsia="es-CR"/>
              </w:rPr>
              <w:t>8</w:t>
            </w:r>
            <w:r w:rsidR="009813C5">
              <w:rPr>
                <w:rFonts w:ascii="Calibri" w:eastAsia="Times New Roman" w:hAnsi="Calibri" w:cs="Calibri"/>
                <w:sz w:val="20"/>
                <w:szCs w:val="20"/>
                <w:lang w:val="es-CR" w:eastAsia="es-CR"/>
              </w:rPr>
              <w:t>2</w:t>
            </w:r>
          </w:p>
        </w:tc>
        <w:tc>
          <w:tcPr>
            <w:tcW w:w="1343" w:type="dxa"/>
            <w:tcBorders>
              <w:top w:val="nil"/>
            </w:tcBorders>
            <w:shd w:val="clear" w:color="auto" w:fill="FFFFFF" w:themeFill="background1"/>
            <w:noWrap/>
            <w:vAlign w:val="center"/>
            <w:hideMark/>
          </w:tcPr>
          <w:p w14:paraId="42987A40"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5,50%</w:t>
            </w:r>
          </w:p>
        </w:tc>
        <w:tc>
          <w:tcPr>
            <w:tcW w:w="1134" w:type="dxa"/>
            <w:tcBorders>
              <w:top w:val="nil"/>
            </w:tcBorders>
            <w:shd w:val="clear" w:color="auto" w:fill="FFFFFF" w:themeFill="background1"/>
            <w:noWrap/>
            <w:vAlign w:val="center"/>
            <w:hideMark/>
          </w:tcPr>
          <w:p w14:paraId="6E96B706"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10%</w:t>
            </w:r>
          </w:p>
        </w:tc>
        <w:tc>
          <w:tcPr>
            <w:tcW w:w="993" w:type="dxa"/>
            <w:tcBorders>
              <w:top w:val="nil"/>
            </w:tcBorders>
            <w:shd w:val="clear" w:color="auto" w:fill="FFFFFF" w:themeFill="background1"/>
            <w:noWrap/>
            <w:vAlign w:val="center"/>
            <w:hideMark/>
          </w:tcPr>
          <w:p w14:paraId="26F84FDA"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1F1C1C9D" w14:textId="77777777" w:rsidR="00004F14" w:rsidRPr="005568C4" w:rsidRDefault="002A07FA" w:rsidP="002A07FA">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770 977</w:t>
            </w:r>
          </w:p>
        </w:tc>
      </w:tr>
      <w:tr w:rsidR="00265AC6" w:rsidRPr="003478E0" w14:paraId="5CDC38E2" w14:textId="77777777" w:rsidTr="00CC4FE3">
        <w:trPr>
          <w:trHeight w:val="315"/>
        </w:trPr>
        <w:tc>
          <w:tcPr>
            <w:tcW w:w="2845" w:type="dxa"/>
            <w:tcBorders>
              <w:top w:val="nil"/>
            </w:tcBorders>
            <w:shd w:val="clear" w:color="auto" w:fill="FFFFFF" w:themeFill="background1"/>
            <w:noWrap/>
            <w:vAlign w:val="center"/>
            <w:hideMark/>
          </w:tcPr>
          <w:p w14:paraId="6B66CCF5"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FICE</w:t>
            </w:r>
          </w:p>
        </w:tc>
        <w:tc>
          <w:tcPr>
            <w:tcW w:w="1144" w:type="dxa"/>
            <w:tcBorders>
              <w:top w:val="nil"/>
            </w:tcBorders>
            <w:shd w:val="clear" w:color="auto" w:fill="FFFFFF" w:themeFill="background1"/>
            <w:vAlign w:val="center"/>
            <w:hideMark/>
          </w:tcPr>
          <w:p w14:paraId="61D1B190" w14:textId="77777777" w:rsidR="00004F14" w:rsidRPr="00330AD8" w:rsidRDefault="008F0A4A" w:rsidP="008F0A4A">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11 537</w:t>
            </w:r>
          </w:p>
        </w:tc>
        <w:tc>
          <w:tcPr>
            <w:tcW w:w="1266" w:type="dxa"/>
            <w:tcBorders>
              <w:top w:val="nil"/>
            </w:tcBorders>
            <w:shd w:val="clear" w:color="auto" w:fill="FFFFFF" w:themeFill="background1"/>
            <w:vAlign w:val="center"/>
            <w:hideMark/>
          </w:tcPr>
          <w:p w14:paraId="4495C425"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4 48</w:t>
            </w:r>
            <w:r w:rsidR="009813C5">
              <w:rPr>
                <w:rFonts w:ascii="Calibri" w:eastAsia="Times New Roman" w:hAnsi="Calibri" w:cs="Calibri"/>
                <w:sz w:val="20"/>
                <w:szCs w:val="20"/>
                <w:lang w:val="es-CR" w:eastAsia="es-CR"/>
              </w:rPr>
              <w:t>3</w:t>
            </w:r>
          </w:p>
        </w:tc>
        <w:tc>
          <w:tcPr>
            <w:tcW w:w="1343" w:type="dxa"/>
            <w:tcBorders>
              <w:top w:val="nil"/>
            </w:tcBorders>
            <w:shd w:val="clear" w:color="auto" w:fill="FFFFFF" w:themeFill="background1"/>
            <w:noWrap/>
            <w:vAlign w:val="center"/>
            <w:hideMark/>
          </w:tcPr>
          <w:p w14:paraId="4092895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w:t>
            </w:r>
          </w:p>
        </w:tc>
        <w:tc>
          <w:tcPr>
            <w:tcW w:w="1134" w:type="dxa"/>
            <w:tcBorders>
              <w:top w:val="nil"/>
            </w:tcBorders>
            <w:shd w:val="clear" w:color="auto" w:fill="FFFFFF" w:themeFill="background1"/>
            <w:noWrap/>
            <w:vAlign w:val="center"/>
            <w:hideMark/>
          </w:tcPr>
          <w:p w14:paraId="50AAEC60"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4,50%</w:t>
            </w:r>
          </w:p>
        </w:tc>
        <w:tc>
          <w:tcPr>
            <w:tcW w:w="993" w:type="dxa"/>
            <w:tcBorders>
              <w:top w:val="nil"/>
            </w:tcBorders>
            <w:shd w:val="clear" w:color="auto" w:fill="FFFFFF" w:themeFill="background1"/>
            <w:noWrap/>
            <w:vAlign w:val="center"/>
            <w:hideMark/>
          </w:tcPr>
          <w:p w14:paraId="483AF3B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18A3BED2" w14:textId="77777777" w:rsidR="00004F14" w:rsidRPr="005568C4" w:rsidRDefault="00F81866" w:rsidP="00F81866">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287 826</w:t>
            </w:r>
          </w:p>
        </w:tc>
      </w:tr>
      <w:tr w:rsidR="00265AC6" w:rsidRPr="003478E0" w14:paraId="206A013F" w14:textId="77777777" w:rsidTr="00CC4FE3">
        <w:trPr>
          <w:trHeight w:val="315"/>
        </w:trPr>
        <w:tc>
          <w:tcPr>
            <w:tcW w:w="2845" w:type="dxa"/>
            <w:tcBorders>
              <w:top w:val="nil"/>
            </w:tcBorders>
            <w:shd w:val="clear" w:color="auto" w:fill="FFFFFF" w:themeFill="background1"/>
            <w:noWrap/>
            <w:vAlign w:val="center"/>
            <w:hideMark/>
          </w:tcPr>
          <w:p w14:paraId="077F1198"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FRE</w:t>
            </w:r>
          </w:p>
        </w:tc>
        <w:tc>
          <w:tcPr>
            <w:tcW w:w="1144" w:type="dxa"/>
            <w:tcBorders>
              <w:top w:val="nil"/>
            </w:tcBorders>
            <w:shd w:val="clear" w:color="auto" w:fill="FFFFFF" w:themeFill="background1"/>
            <w:vAlign w:val="center"/>
            <w:hideMark/>
          </w:tcPr>
          <w:p w14:paraId="30D29F61" w14:textId="77777777" w:rsidR="00004F14" w:rsidRPr="00330AD8" w:rsidRDefault="00FD26B3" w:rsidP="008B00BB">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63 619</w:t>
            </w:r>
          </w:p>
        </w:tc>
        <w:tc>
          <w:tcPr>
            <w:tcW w:w="1266" w:type="dxa"/>
            <w:tcBorders>
              <w:top w:val="nil"/>
            </w:tcBorders>
            <w:shd w:val="clear" w:color="auto" w:fill="FFFFFF" w:themeFill="background1"/>
            <w:vAlign w:val="center"/>
            <w:hideMark/>
          </w:tcPr>
          <w:p w14:paraId="1B3917B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18 </w:t>
            </w:r>
            <w:r w:rsidR="009813C5">
              <w:rPr>
                <w:rFonts w:ascii="Calibri" w:eastAsia="Times New Roman" w:hAnsi="Calibri" w:cs="Calibri"/>
                <w:sz w:val="20"/>
                <w:szCs w:val="20"/>
                <w:lang w:val="es-CR" w:eastAsia="es-CR"/>
              </w:rPr>
              <w:t>782</w:t>
            </w:r>
          </w:p>
        </w:tc>
        <w:tc>
          <w:tcPr>
            <w:tcW w:w="1343" w:type="dxa"/>
            <w:tcBorders>
              <w:top w:val="nil"/>
            </w:tcBorders>
            <w:shd w:val="clear" w:color="auto" w:fill="FFFFFF" w:themeFill="background1"/>
            <w:noWrap/>
            <w:vAlign w:val="center"/>
            <w:hideMark/>
          </w:tcPr>
          <w:p w14:paraId="784EB7C4"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134" w:type="dxa"/>
            <w:tcBorders>
              <w:top w:val="nil"/>
            </w:tcBorders>
            <w:shd w:val="clear" w:color="auto" w:fill="FFFFFF" w:themeFill="background1"/>
            <w:noWrap/>
            <w:vAlign w:val="center"/>
            <w:hideMark/>
          </w:tcPr>
          <w:p w14:paraId="7EECCB91"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2%</w:t>
            </w:r>
          </w:p>
        </w:tc>
        <w:tc>
          <w:tcPr>
            <w:tcW w:w="993" w:type="dxa"/>
            <w:tcBorders>
              <w:top w:val="nil"/>
            </w:tcBorders>
            <w:shd w:val="clear" w:color="auto" w:fill="FFFFFF" w:themeFill="background1"/>
            <w:noWrap/>
            <w:vAlign w:val="center"/>
            <w:hideMark/>
          </w:tcPr>
          <w:p w14:paraId="5D4A7322"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0C2FCA21" w14:textId="77777777" w:rsidR="00004F14" w:rsidRPr="005568C4" w:rsidRDefault="00DE0E03" w:rsidP="00DE0E03">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134 694</w:t>
            </w:r>
          </w:p>
        </w:tc>
      </w:tr>
      <w:tr w:rsidR="00265AC6" w:rsidRPr="003478E0" w14:paraId="508CC6EF" w14:textId="77777777" w:rsidTr="00CC4FE3">
        <w:trPr>
          <w:trHeight w:val="420"/>
        </w:trPr>
        <w:tc>
          <w:tcPr>
            <w:tcW w:w="2845" w:type="dxa"/>
            <w:tcBorders>
              <w:top w:val="nil"/>
            </w:tcBorders>
            <w:shd w:val="clear" w:color="auto" w:fill="FFFFFF" w:themeFill="background1"/>
            <w:noWrap/>
            <w:vAlign w:val="center"/>
            <w:hideMark/>
          </w:tcPr>
          <w:p w14:paraId="1DBE9CA4" w14:textId="77777777" w:rsidR="00004F14" w:rsidRPr="00B674EA" w:rsidRDefault="00004F14" w:rsidP="008B00BB">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FVENTLOT</w:t>
            </w:r>
          </w:p>
        </w:tc>
        <w:tc>
          <w:tcPr>
            <w:tcW w:w="1144" w:type="dxa"/>
            <w:tcBorders>
              <w:top w:val="nil"/>
            </w:tcBorders>
            <w:shd w:val="clear" w:color="auto" w:fill="FFFFFF" w:themeFill="background1"/>
            <w:vAlign w:val="center"/>
            <w:hideMark/>
          </w:tcPr>
          <w:p w14:paraId="348BEF62" w14:textId="77777777" w:rsidR="00004F14" w:rsidRPr="00330AD8" w:rsidRDefault="00004F14" w:rsidP="008B00BB">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1 5</w:t>
            </w:r>
            <w:r w:rsidR="00FD26B3" w:rsidRPr="00330AD8">
              <w:rPr>
                <w:rFonts w:ascii="Calibri" w:eastAsia="Times New Roman" w:hAnsi="Calibri" w:cs="Calibri"/>
                <w:sz w:val="20"/>
                <w:szCs w:val="20"/>
                <w:lang w:val="es-CR" w:eastAsia="es-CR"/>
              </w:rPr>
              <w:t>89</w:t>
            </w:r>
          </w:p>
        </w:tc>
        <w:tc>
          <w:tcPr>
            <w:tcW w:w="1266" w:type="dxa"/>
            <w:tcBorders>
              <w:top w:val="nil"/>
            </w:tcBorders>
            <w:shd w:val="clear" w:color="auto" w:fill="FFFFFF" w:themeFill="background1"/>
            <w:vAlign w:val="center"/>
            <w:hideMark/>
          </w:tcPr>
          <w:p w14:paraId="776B5817"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4</w:t>
            </w:r>
            <w:r w:rsidR="00ED0476">
              <w:rPr>
                <w:rFonts w:ascii="Calibri" w:eastAsia="Times New Roman" w:hAnsi="Calibri" w:cs="Calibri"/>
                <w:sz w:val="20"/>
                <w:szCs w:val="20"/>
                <w:lang w:val="es-CR" w:eastAsia="es-CR"/>
              </w:rPr>
              <w:t>38</w:t>
            </w:r>
          </w:p>
        </w:tc>
        <w:tc>
          <w:tcPr>
            <w:tcW w:w="1343" w:type="dxa"/>
            <w:tcBorders>
              <w:top w:val="nil"/>
            </w:tcBorders>
            <w:shd w:val="clear" w:color="auto" w:fill="FFFFFF" w:themeFill="background1"/>
            <w:vAlign w:val="center"/>
            <w:hideMark/>
          </w:tcPr>
          <w:p w14:paraId="6C1F7439"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0,25%</w:t>
            </w:r>
            <w:r w:rsidRPr="00B674EA">
              <w:rPr>
                <w:rFonts w:ascii="Calibri" w:eastAsia="Times New Roman" w:hAnsi="Calibri" w:cs="Calibri"/>
                <w:sz w:val="20"/>
                <w:szCs w:val="20"/>
                <w:vertAlign w:val="superscript"/>
                <w:lang w:val="es-CR" w:eastAsia="es-CR"/>
              </w:rPr>
              <w:t>3/</w:t>
            </w:r>
          </w:p>
        </w:tc>
        <w:tc>
          <w:tcPr>
            <w:tcW w:w="1134" w:type="dxa"/>
            <w:tcBorders>
              <w:top w:val="nil"/>
            </w:tcBorders>
            <w:shd w:val="clear" w:color="auto" w:fill="FFFFFF" w:themeFill="background1"/>
            <w:vAlign w:val="center"/>
            <w:hideMark/>
          </w:tcPr>
          <w:p w14:paraId="0DBA90F1"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w:t>
            </w:r>
            <w:r w:rsidRPr="00B674EA">
              <w:rPr>
                <w:rFonts w:ascii="Calibri" w:eastAsia="Times New Roman" w:hAnsi="Calibri" w:cs="Calibri"/>
                <w:sz w:val="20"/>
                <w:szCs w:val="20"/>
                <w:vertAlign w:val="superscript"/>
                <w:lang w:val="es-CR" w:eastAsia="es-CR"/>
              </w:rPr>
              <w:t>4/</w:t>
            </w:r>
          </w:p>
        </w:tc>
        <w:tc>
          <w:tcPr>
            <w:tcW w:w="993" w:type="dxa"/>
            <w:tcBorders>
              <w:top w:val="nil"/>
            </w:tcBorders>
            <w:shd w:val="clear" w:color="auto" w:fill="FFFFFF" w:themeFill="background1"/>
            <w:noWrap/>
            <w:vAlign w:val="center"/>
            <w:hideMark/>
          </w:tcPr>
          <w:p w14:paraId="4957261F"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2F5E526C" w14:textId="77777777" w:rsidR="00004F14" w:rsidRPr="005568C4" w:rsidRDefault="000C09B8" w:rsidP="000C09B8">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147 100</w:t>
            </w:r>
          </w:p>
        </w:tc>
      </w:tr>
      <w:tr w:rsidR="00DC6361" w:rsidRPr="003478E0" w14:paraId="2C852020" w14:textId="77777777" w:rsidTr="00CC4FE3">
        <w:trPr>
          <w:trHeight w:val="315"/>
        </w:trPr>
        <w:tc>
          <w:tcPr>
            <w:tcW w:w="2845" w:type="dxa"/>
            <w:tcBorders>
              <w:top w:val="nil"/>
            </w:tcBorders>
            <w:shd w:val="clear" w:color="auto" w:fill="FFFFFF" w:themeFill="background1"/>
            <w:noWrap/>
            <w:vAlign w:val="center"/>
            <w:hideMark/>
          </w:tcPr>
          <w:p w14:paraId="43B8A686" w14:textId="77777777" w:rsidR="00DC6361" w:rsidRPr="00B674EA" w:rsidRDefault="00DC6361" w:rsidP="00DC6361">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FBCR</w:t>
            </w:r>
          </w:p>
        </w:tc>
        <w:tc>
          <w:tcPr>
            <w:tcW w:w="1144" w:type="dxa"/>
            <w:tcBorders>
              <w:top w:val="nil"/>
            </w:tcBorders>
            <w:shd w:val="clear" w:color="auto" w:fill="FFFFFF" w:themeFill="background1"/>
            <w:vAlign w:val="center"/>
            <w:hideMark/>
          </w:tcPr>
          <w:p w14:paraId="1DD94B82" w14:textId="77777777" w:rsidR="00DC6361" w:rsidRPr="00330AD8" w:rsidRDefault="00DC6361" w:rsidP="00DC6361">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3 949</w:t>
            </w:r>
          </w:p>
        </w:tc>
        <w:tc>
          <w:tcPr>
            <w:tcW w:w="1266" w:type="dxa"/>
            <w:tcBorders>
              <w:top w:val="nil"/>
            </w:tcBorders>
            <w:shd w:val="clear" w:color="auto" w:fill="FFFFFF" w:themeFill="background1"/>
            <w:vAlign w:val="center"/>
            <w:hideMark/>
          </w:tcPr>
          <w:p w14:paraId="34327220" w14:textId="77777777" w:rsidR="00DC6361" w:rsidRPr="00B674EA" w:rsidRDefault="00433142" w:rsidP="00DC6361">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30</w:t>
            </w:r>
          </w:p>
        </w:tc>
        <w:tc>
          <w:tcPr>
            <w:tcW w:w="1343" w:type="dxa"/>
            <w:tcBorders>
              <w:top w:val="nil"/>
            </w:tcBorders>
            <w:shd w:val="clear" w:color="auto" w:fill="FFFFFF" w:themeFill="background1"/>
            <w:noWrap/>
            <w:vAlign w:val="center"/>
            <w:hideMark/>
          </w:tcPr>
          <w:p w14:paraId="0E50FC70" w14:textId="77777777" w:rsidR="00DC6361" w:rsidRPr="00B674EA" w:rsidRDefault="00DC6361" w:rsidP="00DC636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0,50%</w:t>
            </w:r>
          </w:p>
        </w:tc>
        <w:tc>
          <w:tcPr>
            <w:tcW w:w="1134" w:type="dxa"/>
            <w:tcBorders>
              <w:top w:val="nil"/>
            </w:tcBorders>
            <w:shd w:val="clear" w:color="auto" w:fill="FFFFFF" w:themeFill="background1"/>
            <w:noWrap/>
            <w:vAlign w:val="center"/>
            <w:hideMark/>
          </w:tcPr>
          <w:p w14:paraId="53F0FAC0" w14:textId="77777777" w:rsidR="00DC6361" w:rsidRPr="00B674EA" w:rsidRDefault="00DC6361" w:rsidP="00DC636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10%</w:t>
            </w:r>
          </w:p>
        </w:tc>
        <w:tc>
          <w:tcPr>
            <w:tcW w:w="993" w:type="dxa"/>
            <w:tcBorders>
              <w:top w:val="nil"/>
            </w:tcBorders>
            <w:shd w:val="clear" w:color="auto" w:fill="FFFFFF" w:themeFill="background1"/>
            <w:noWrap/>
            <w:vAlign w:val="center"/>
            <w:hideMark/>
          </w:tcPr>
          <w:p w14:paraId="5ED07C14" w14:textId="77777777" w:rsidR="00DC6361" w:rsidRPr="00B674EA" w:rsidRDefault="00DC6361" w:rsidP="00DC636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7F34ED6B" w14:textId="77777777" w:rsidR="00DC6361" w:rsidRPr="005568C4" w:rsidRDefault="00CA43CA" w:rsidP="00CA43CA">
            <w:pPr>
              <w:jc w:val="right"/>
              <w:rPr>
                <w:rFonts w:ascii="Calibri" w:eastAsia="Times New Roman" w:hAnsi="Calibri" w:cs="Calibri"/>
                <w:sz w:val="20"/>
                <w:szCs w:val="20"/>
                <w:lang w:val="es-CR" w:eastAsia="es-CR"/>
              </w:rPr>
            </w:pPr>
            <w:r w:rsidRPr="005568C4">
              <w:rPr>
                <w:rFonts w:ascii="Calibri" w:eastAsia="Times New Roman" w:hAnsi="Calibri" w:cs="Calibri"/>
                <w:sz w:val="20"/>
                <w:szCs w:val="20"/>
                <w:lang w:val="es-CR" w:eastAsia="es-CR"/>
              </w:rPr>
              <w:t xml:space="preserve">                               91 899</w:t>
            </w:r>
          </w:p>
        </w:tc>
      </w:tr>
      <w:tr w:rsidR="00DC6361" w:rsidRPr="003478E0" w14:paraId="28071173" w14:textId="77777777" w:rsidTr="00CC4FE3">
        <w:trPr>
          <w:trHeight w:val="315"/>
        </w:trPr>
        <w:tc>
          <w:tcPr>
            <w:tcW w:w="2845" w:type="dxa"/>
            <w:tcBorders>
              <w:top w:val="nil"/>
            </w:tcBorders>
            <w:shd w:val="clear" w:color="auto" w:fill="FFFFFF" w:themeFill="background1"/>
            <w:noWrap/>
            <w:vAlign w:val="center"/>
            <w:hideMark/>
          </w:tcPr>
          <w:p w14:paraId="0A2E4804" w14:textId="77777777" w:rsidR="00DC6361" w:rsidRPr="00B674EA" w:rsidRDefault="00DC6361" w:rsidP="00DC6361">
            <w:pPr>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 xml:space="preserve">   FICT</w:t>
            </w:r>
          </w:p>
        </w:tc>
        <w:tc>
          <w:tcPr>
            <w:tcW w:w="1144" w:type="dxa"/>
            <w:tcBorders>
              <w:top w:val="nil"/>
            </w:tcBorders>
            <w:shd w:val="clear" w:color="auto" w:fill="FFFFFF" w:themeFill="background1"/>
            <w:vAlign w:val="center"/>
            <w:hideMark/>
          </w:tcPr>
          <w:p w14:paraId="2C8D7382" w14:textId="77777777" w:rsidR="00DC6361" w:rsidRPr="00330AD8" w:rsidRDefault="00DC6361" w:rsidP="00DC6361">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280</w:t>
            </w:r>
          </w:p>
        </w:tc>
        <w:tc>
          <w:tcPr>
            <w:tcW w:w="1266" w:type="dxa"/>
            <w:tcBorders>
              <w:top w:val="nil"/>
            </w:tcBorders>
            <w:shd w:val="clear" w:color="auto" w:fill="FFFFFF" w:themeFill="background1"/>
            <w:vAlign w:val="center"/>
            <w:hideMark/>
          </w:tcPr>
          <w:p w14:paraId="49950297" w14:textId="77777777" w:rsidR="00DC6361" w:rsidRPr="00B674EA" w:rsidRDefault="00DC6361" w:rsidP="00DC636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343" w:type="dxa"/>
            <w:tcBorders>
              <w:top w:val="nil"/>
            </w:tcBorders>
            <w:shd w:val="clear" w:color="auto" w:fill="FFFFFF" w:themeFill="background1"/>
            <w:noWrap/>
            <w:vAlign w:val="center"/>
            <w:hideMark/>
          </w:tcPr>
          <w:p w14:paraId="749135D1" w14:textId="77777777" w:rsidR="00DC6361" w:rsidRPr="00B674EA" w:rsidRDefault="00DC6361" w:rsidP="00DC636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134" w:type="dxa"/>
            <w:tcBorders>
              <w:top w:val="nil"/>
            </w:tcBorders>
            <w:shd w:val="clear" w:color="auto" w:fill="FFFFFF" w:themeFill="background1"/>
            <w:noWrap/>
            <w:vAlign w:val="center"/>
            <w:hideMark/>
          </w:tcPr>
          <w:p w14:paraId="01CA8066" w14:textId="77777777" w:rsidR="00DC6361" w:rsidRPr="00B674EA" w:rsidRDefault="00DC6361" w:rsidP="00DC636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5%</w:t>
            </w:r>
          </w:p>
        </w:tc>
        <w:tc>
          <w:tcPr>
            <w:tcW w:w="993" w:type="dxa"/>
            <w:tcBorders>
              <w:top w:val="nil"/>
            </w:tcBorders>
            <w:shd w:val="clear" w:color="auto" w:fill="FFFFFF" w:themeFill="background1"/>
            <w:noWrap/>
            <w:vAlign w:val="center"/>
            <w:hideMark/>
          </w:tcPr>
          <w:p w14:paraId="50AC8B11" w14:textId="77777777" w:rsidR="00DC6361" w:rsidRPr="00B674EA" w:rsidRDefault="00DC6361" w:rsidP="00DC636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vAlign w:val="center"/>
            <w:hideMark/>
          </w:tcPr>
          <w:p w14:paraId="065FE5FF" w14:textId="77777777" w:rsidR="00DC6361" w:rsidRPr="00B674EA" w:rsidRDefault="00DC6361" w:rsidP="00DC6361">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r>
      <w:tr w:rsidR="00265AC6" w:rsidRPr="003478E0" w14:paraId="30F1C781" w14:textId="77777777" w:rsidTr="00CC4FE3">
        <w:trPr>
          <w:trHeight w:val="315"/>
        </w:trPr>
        <w:tc>
          <w:tcPr>
            <w:tcW w:w="2845" w:type="dxa"/>
            <w:tcBorders>
              <w:top w:val="nil"/>
            </w:tcBorders>
            <w:shd w:val="clear" w:color="auto" w:fill="FFFFFF" w:themeFill="background1"/>
            <w:noWrap/>
            <w:vAlign w:val="center"/>
            <w:hideMark/>
          </w:tcPr>
          <w:p w14:paraId="323529E4" w14:textId="77777777" w:rsidR="00904447" w:rsidRPr="00B674EA" w:rsidRDefault="00904447" w:rsidP="00904447">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Régimen Obligatorio Comp. (ROP)</w:t>
            </w:r>
          </w:p>
        </w:tc>
        <w:tc>
          <w:tcPr>
            <w:tcW w:w="1144" w:type="dxa"/>
            <w:tcBorders>
              <w:top w:val="nil"/>
            </w:tcBorders>
            <w:shd w:val="clear" w:color="auto" w:fill="FFFFFF" w:themeFill="background1"/>
            <w:hideMark/>
          </w:tcPr>
          <w:p w14:paraId="3C94E3C0" w14:textId="77777777" w:rsidR="00904447" w:rsidRPr="00330AD8" w:rsidRDefault="009E28EB" w:rsidP="003E7814">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2 875</w:t>
            </w:r>
            <w:r w:rsidR="00C42132">
              <w:rPr>
                <w:rFonts w:ascii="Calibri" w:eastAsia="Times New Roman" w:hAnsi="Calibri" w:cs="Calibri"/>
                <w:sz w:val="20"/>
                <w:szCs w:val="20"/>
                <w:lang w:val="es-CR" w:eastAsia="es-CR"/>
              </w:rPr>
              <w:t> </w:t>
            </w:r>
            <w:r w:rsidRPr="00330AD8">
              <w:rPr>
                <w:rFonts w:ascii="Calibri" w:eastAsia="Times New Roman" w:hAnsi="Calibri" w:cs="Calibri"/>
                <w:sz w:val="20"/>
                <w:szCs w:val="20"/>
                <w:lang w:val="es-CR" w:eastAsia="es-CR"/>
              </w:rPr>
              <w:t>722</w:t>
            </w:r>
          </w:p>
        </w:tc>
        <w:tc>
          <w:tcPr>
            <w:tcW w:w="1266" w:type="dxa"/>
            <w:tcBorders>
              <w:top w:val="nil"/>
            </w:tcBorders>
            <w:shd w:val="clear" w:color="auto" w:fill="FFFFFF" w:themeFill="background1"/>
            <w:hideMark/>
          </w:tcPr>
          <w:p w14:paraId="36F20103" w14:textId="77777777" w:rsidR="00904447" w:rsidRPr="00CC4FE3" w:rsidRDefault="005F039B" w:rsidP="003E7814">
            <w:pPr>
              <w:jc w:val="right"/>
              <w:rPr>
                <w:rFonts w:ascii="Calibri" w:eastAsia="Times New Roman" w:hAnsi="Calibri" w:cs="Calibri"/>
                <w:sz w:val="20"/>
                <w:szCs w:val="20"/>
                <w:lang w:val="es-CR" w:eastAsia="es-CR"/>
              </w:rPr>
            </w:pPr>
            <w:r w:rsidRPr="00CC4FE3">
              <w:rPr>
                <w:rFonts w:ascii="Calibri" w:eastAsia="Times New Roman" w:hAnsi="Calibri" w:cs="Calibri"/>
                <w:sz w:val="20"/>
                <w:szCs w:val="20"/>
                <w:lang w:val="es-CR" w:eastAsia="es-CR"/>
              </w:rPr>
              <w:t>36 231</w:t>
            </w:r>
            <w:r w:rsidR="00E05EBB" w:rsidRPr="00CC4FE3">
              <w:rPr>
                <w:rFonts w:ascii="Calibri" w:eastAsia="Times New Roman" w:hAnsi="Calibri" w:cs="Calibri"/>
                <w:sz w:val="20"/>
                <w:szCs w:val="20"/>
                <w:vertAlign w:val="superscript"/>
                <w:lang w:val="es-CR" w:eastAsia="es-CR"/>
              </w:rPr>
              <w:t>5/</w:t>
            </w:r>
          </w:p>
        </w:tc>
        <w:tc>
          <w:tcPr>
            <w:tcW w:w="1343" w:type="dxa"/>
            <w:tcBorders>
              <w:top w:val="nil"/>
            </w:tcBorders>
            <w:shd w:val="clear" w:color="auto" w:fill="FFFFFF" w:themeFill="background1"/>
            <w:noWrap/>
            <w:hideMark/>
          </w:tcPr>
          <w:p w14:paraId="7D1D95C5" w14:textId="77777777" w:rsidR="00904447" w:rsidRPr="00CC4FE3" w:rsidRDefault="00904447" w:rsidP="003E7814">
            <w:pPr>
              <w:jc w:val="right"/>
              <w:rPr>
                <w:rFonts w:ascii="Calibri" w:eastAsia="Times New Roman" w:hAnsi="Calibri" w:cs="Calibri"/>
                <w:sz w:val="20"/>
                <w:szCs w:val="20"/>
                <w:lang w:val="es-CR" w:eastAsia="es-CR"/>
              </w:rPr>
            </w:pPr>
            <w:r w:rsidRPr="00CC4FE3">
              <w:rPr>
                <w:rFonts w:ascii="Calibri" w:eastAsia="Times New Roman" w:hAnsi="Calibri" w:cs="Calibri"/>
                <w:sz w:val="20"/>
                <w:szCs w:val="20"/>
                <w:lang w:val="es-CR" w:eastAsia="es-CR"/>
              </w:rPr>
              <w:t>1%</w:t>
            </w:r>
          </w:p>
        </w:tc>
        <w:tc>
          <w:tcPr>
            <w:tcW w:w="1134" w:type="dxa"/>
            <w:tcBorders>
              <w:top w:val="nil"/>
            </w:tcBorders>
            <w:shd w:val="clear" w:color="auto" w:fill="FFFFFF" w:themeFill="background1"/>
            <w:noWrap/>
            <w:hideMark/>
          </w:tcPr>
          <w:p w14:paraId="7307A3EB" w14:textId="77777777" w:rsidR="00904447" w:rsidRPr="00CC4FE3" w:rsidRDefault="00904447" w:rsidP="003E7814">
            <w:pPr>
              <w:jc w:val="right"/>
              <w:rPr>
                <w:rFonts w:ascii="Calibri" w:eastAsia="Times New Roman" w:hAnsi="Calibri" w:cs="Calibri"/>
                <w:sz w:val="20"/>
                <w:szCs w:val="20"/>
                <w:lang w:val="es-CR" w:eastAsia="es-CR"/>
              </w:rPr>
            </w:pPr>
            <w:r w:rsidRPr="00CC4FE3">
              <w:rPr>
                <w:rFonts w:ascii="Calibri" w:eastAsia="Times New Roman" w:hAnsi="Calibri" w:cs="Calibri"/>
                <w:sz w:val="20"/>
                <w:szCs w:val="20"/>
                <w:lang w:val="es-CR" w:eastAsia="es-CR"/>
              </w:rPr>
              <w:t>3,25%</w:t>
            </w:r>
          </w:p>
        </w:tc>
        <w:tc>
          <w:tcPr>
            <w:tcW w:w="993" w:type="dxa"/>
            <w:tcBorders>
              <w:top w:val="nil"/>
            </w:tcBorders>
            <w:shd w:val="clear" w:color="auto" w:fill="FFFFFF" w:themeFill="background1"/>
            <w:noWrap/>
            <w:hideMark/>
          </w:tcPr>
          <w:p w14:paraId="07286A3B" w14:textId="77777777" w:rsidR="00904447" w:rsidRPr="00CC4FE3" w:rsidRDefault="00904447" w:rsidP="003E7814">
            <w:pPr>
              <w:jc w:val="right"/>
              <w:rPr>
                <w:rFonts w:ascii="Calibri" w:eastAsia="Times New Roman" w:hAnsi="Calibri" w:cs="Calibri"/>
                <w:sz w:val="20"/>
                <w:szCs w:val="20"/>
                <w:lang w:val="es-CR" w:eastAsia="es-CR"/>
              </w:rPr>
            </w:pPr>
            <w:r w:rsidRPr="00CC4FE3">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hideMark/>
          </w:tcPr>
          <w:p w14:paraId="348016A7" w14:textId="77777777" w:rsidR="00904447" w:rsidRPr="00CC4FE3" w:rsidRDefault="00904447" w:rsidP="003E7814">
            <w:pPr>
              <w:jc w:val="right"/>
              <w:rPr>
                <w:rFonts w:ascii="Calibri" w:eastAsia="Times New Roman" w:hAnsi="Calibri" w:cs="Calibri"/>
                <w:sz w:val="20"/>
                <w:szCs w:val="20"/>
                <w:lang w:val="es-CR" w:eastAsia="es-CR"/>
              </w:rPr>
            </w:pPr>
            <w:r w:rsidRPr="00CC4FE3">
              <w:rPr>
                <w:rFonts w:ascii="Calibri" w:eastAsia="Times New Roman" w:hAnsi="Calibri" w:cs="Calibri"/>
                <w:sz w:val="20"/>
                <w:szCs w:val="20"/>
                <w:lang w:val="es-CR" w:eastAsia="es-CR"/>
              </w:rPr>
              <w:t>1</w:t>
            </w:r>
            <w:r w:rsidR="00267520" w:rsidRPr="00CC4FE3">
              <w:rPr>
                <w:rFonts w:ascii="Calibri" w:eastAsia="Times New Roman" w:hAnsi="Calibri" w:cs="Calibri"/>
                <w:sz w:val="20"/>
                <w:szCs w:val="20"/>
                <w:lang w:val="es-CR" w:eastAsia="es-CR"/>
              </w:rPr>
              <w:t xml:space="preserve">46 </w:t>
            </w:r>
            <w:r w:rsidR="00663BE6" w:rsidRPr="00CC4FE3">
              <w:rPr>
                <w:rFonts w:ascii="Calibri" w:eastAsia="Times New Roman" w:hAnsi="Calibri" w:cs="Calibri"/>
                <w:sz w:val="20"/>
                <w:szCs w:val="20"/>
                <w:lang w:val="es-CR" w:eastAsia="es-CR"/>
              </w:rPr>
              <w:t>671</w:t>
            </w:r>
          </w:p>
        </w:tc>
      </w:tr>
      <w:tr w:rsidR="00265AC6" w:rsidRPr="003478E0" w14:paraId="2BAFD040" w14:textId="77777777" w:rsidTr="00CC4FE3">
        <w:trPr>
          <w:trHeight w:val="315"/>
        </w:trPr>
        <w:tc>
          <w:tcPr>
            <w:tcW w:w="2845" w:type="dxa"/>
            <w:tcBorders>
              <w:top w:val="nil"/>
            </w:tcBorders>
            <w:shd w:val="clear" w:color="auto" w:fill="FFFFFF" w:themeFill="background1"/>
            <w:noWrap/>
            <w:vAlign w:val="center"/>
            <w:hideMark/>
          </w:tcPr>
          <w:p w14:paraId="467F7A9A" w14:textId="77777777" w:rsidR="00904447" w:rsidRPr="00B674EA" w:rsidRDefault="00904447" w:rsidP="00904447">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Planes Voluntarios</w:t>
            </w:r>
          </w:p>
        </w:tc>
        <w:tc>
          <w:tcPr>
            <w:tcW w:w="1144" w:type="dxa"/>
            <w:tcBorders>
              <w:top w:val="nil"/>
            </w:tcBorders>
            <w:shd w:val="clear" w:color="auto" w:fill="FFFFFF" w:themeFill="background1"/>
            <w:hideMark/>
          </w:tcPr>
          <w:p w14:paraId="238F3E83" w14:textId="77777777" w:rsidR="00904447" w:rsidRPr="00425290" w:rsidRDefault="00904447" w:rsidP="00904447">
            <w:pPr>
              <w:jc w:val="right"/>
              <w:rPr>
                <w:rFonts w:ascii="Calibri" w:eastAsia="Times New Roman" w:hAnsi="Calibri" w:cs="Calibri"/>
                <w:sz w:val="20"/>
                <w:szCs w:val="20"/>
                <w:lang w:val="es-CR" w:eastAsia="es-CR"/>
              </w:rPr>
            </w:pPr>
            <w:r w:rsidRPr="00425290">
              <w:rPr>
                <w:rFonts w:ascii="Calibri" w:eastAsia="Times New Roman" w:hAnsi="Calibri" w:cs="Calibri"/>
                <w:sz w:val="20"/>
                <w:szCs w:val="20"/>
                <w:lang w:val="es-CR" w:eastAsia="es-CR"/>
              </w:rPr>
              <w:t>164 9</w:t>
            </w:r>
            <w:r w:rsidR="00F86AC4" w:rsidRPr="00425290">
              <w:rPr>
                <w:rFonts w:ascii="Calibri" w:eastAsia="Times New Roman" w:hAnsi="Calibri" w:cs="Calibri"/>
                <w:sz w:val="20"/>
                <w:szCs w:val="20"/>
                <w:lang w:val="es-CR" w:eastAsia="es-CR"/>
              </w:rPr>
              <w:t>2</w:t>
            </w:r>
            <w:r w:rsidRPr="00425290">
              <w:rPr>
                <w:rFonts w:ascii="Calibri" w:eastAsia="Times New Roman" w:hAnsi="Calibri" w:cs="Calibri"/>
                <w:sz w:val="20"/>
                <w:szCs w:val="20"/>
                <w:lang w:val="es-CR" w:eastAsia="es-CR"/>
              </w:rPr>
              <w:t>7</w:t>
            </w:r>
          </w:p>
        </w:tc>
        <w:tc>
          <w:tcPr>
            <w:tcW w:w="1266" w:type="dxa"/>
            <w:tcBorders>
              <w:top w:val="nil"/>
            </w:tcBorders>
            <w:shd w:val="clear" w:color="auto" w:fill="FFFFFF" w:themeFill="background1"/>
            <w:vAlign w:val="center"/>
            <w:hideMark/>
          </w:tcPr>
          <w:p w14:paraId="495DF5E4" w14:textId="77777777" w:rsidR="00904447" w:rsidRPr="00425290" w:rsidRDefault="00904447" w:rsidP="00904447">
            <w:pPr>
              <w:jc w:val="right"/>
              <w:rPr>
                <w:rFonts w:ascii="Calibri" w:eastAsia="Times New Roman" w:hAnsi="Calibri" w:cs="Calibri"/>
                <w:sz w:val="20"/>
                <w:szCs w:val="20"/>
                <w:lang w:val="es-CR" w:eastAsia="es-CR"/>
              </w:rPr>
            </w:pPr>
            <w:r w:rsidRPr="00425290">
              <w:rPr>
                <w:rFonts w:ascii="Calibri" w:eastAsia="Times New Roman" w:hAnsi="Calibri" w:cs="Calibri"/>
                <w:sz w:val="20"/>
                <w:szCs w:val="20"/>
                <w:lang w:val="es-CR" w:eastAsia="es-CR"/>
              </w:rPr>
              <w:t>1</w:t>
            </w:r>
            <w:r w:rsidR="002D72E4" w:rsidRPr="00425290">
              <w:rPr>
                <w:rFonts w:ascii="Calibri" w:eastAsia="Times New Roman" w:hAnsi="Calibri" w:cs="Calibri"/>
                <w:sz w:val="20"/>
                <w:szCs w:val="20"/>
                <w:lang w:val="es-CR" w:eastAsia="es-CR"/>
              </w:rPr>
              <w:t>2</w:t>
            </w:r>
          </w:p>
        </w:tc>
        <w:tc>
          <w:tcPr>
            <w:tcW w:w="1343" w:type="dxa"/>
            <w:tcBorders>
              <w:top w:val="nil"/>
            </w:tcBorders>
            <w:shd w:val="clear" w:color="auto" w:fill="FFFFFF" w:themeFill="background1"/>
            <w:vAlign w:val="center"/>
            <w:hideMark/>
          </w:tcPr>
          <w:p w14:paraId="34AEFE8D" w14:textId="77777777" w:rsidR="00904447" w:rsidRPr="00425290" w:rsidRDefault="00904447" w:rsidP="00904447">
            <w:pPr>
              <w:jc w:val="right"/>
              <w:rPr>
                <w:rFonts w:ascii="Calibri" w:eastAsia="Times New Roman" w:hAnsi="Calibri" w:cs="Calibri"/>
                <w:sz w:val="20"/>
                <w:szCs w:val="20"/>
                <w:lang w:val="es-CR" w:eastAsia="es-CR"/>
              </w:rPr>
            </w:pPr>
            <w:r w:rsidRPr="00425290">
              <w:rPr>
                <w:rFonts w:ascii="Calibri" w:eastAsia="Times New Roman" w:hAnsi="Calibri" w:cs="Calibri"/>
                <w:sz w:val="20"/>
                <w:szCs w:val="20"/>
                <w:lang w:val="es-CR" w:eastAsia="es-CR"/>
              </w:rPr>
              <w:t>Libre</w:t>
            </w:r>
          </w:p>
        </w:tc>
        <w:tc>
          <w:tcPr>
            <w:tcW w:w="1134" w:type="dxa"/>
            <w:tcBorders>
              <w:top w:val="nil"/>
            </w:tcBorders>
            <w:shd w:val="clear" w:color="auto" w:fill="FFFFFF" w:themeFill="background1"/>
            <w:noWrap/>
            <w:vAlign w:val="center"/>
            <w:hideMark/>
          </w:tcPr>
          <w:p w14:paraId="38682F14" w14:textId="77777777" w:rsidR="00904447" w:rsidRPr="00425290" w:rsidRDefault="00904447" w:rsidP="00904447">
            <w:pPr>
              <w:jc w:val="right"/>
              <w:rPr>
                <w:rFonts w:ascii="Calibri" w:eastAsia="Times New Roman" w:hAnsi="Calibri" w:cs="Calibri"/>
                <w:sz w:val="20"/>
                <w:szCs w:val="20"/>
                <w:lang w:val="es-CR" w:eastAsia="es-CR"/>
              </w:rPr>
            </w:pPr>
            <w:r w:rsidRPr="00425290">
              <w:rPr>
                <w:rFonts w:ascii="Calibri" w:eastAsia="Times New Roman" w:hAnsi="Calibri" w:cs="Calibri"/>
                <w:sz w:val="20"/>
                <w:szCs w:val="20"/>
                <w:lang w:val="es-CR" w:eastAsia="es-CR"/>
              </w:rPr>
              <w:t>0%</w:t>
            </w:r>
          </w:p>
        </w:tc>
        <w:tc>
          <w:tcPr>
            <w:tcW w:w="993" w:type="dxa"/>
            <w:tcBorders>
              <w:top w:val="nil"/>
            </w:tcBorders>
            <w:shd w:val="clear" w:color="auto" w:fill="FFFFFF" w:themeFill="background1"/>
            <w:noWrap/>
            <w:vAlign w:val="center"/>
            <w:hideMark/>
          </w:tcPr>
          <w:p w14:paraId="0FE2F387" w14:textId="77777777" w:rsidR="00904447" w:rsidRPr="00425290" w:rsidRDefault="00904447" w:rsidP="00904447">
            <w:pPr>
              <w:jc w:val="right"/>
              <w:rPr>
                <w:rFonts w:ascii="Calibri" w:eastAsia="Times New Roman" w:hAnsi="Calibri" w:cs="Calibri"/>
                <w:sz w:val="20"/>
                <w:szCs w:val="20"/>
                <w:lang w:val="es-CR" w:eastAsia="es-CR"/>
              </w:rPr>
            </w:pPr>
            <w:r w:rsidRPr="00425290">
              <w:rPr>
                <w:rFonts w:ascii="Calibri" w:eastAsia="Times New Roman" w:hAnsi="Calibri" w:cs="Calibri"/>
                <w:sz w:val="20"/>
                <w:szCs w:val="20"/>
                <w:lang w:val="es-CR" w:eastAsia="es-CR"/>
              </w:rPr>
              <w:t>0%</w:t>
            </w:r>
          </w:p>
        </w:tc>
        <w:tc>
          <w:tcPr>
            <w:tcW w:w="1275" w:type="dxa"/>
            <w:tcBorders>
              <w:top w:val="nil"/>
            </w:tcBorders>
            <w:shd w:val="clear" w:color="auto" w:fill="FFFFFF" w:themeFill="background1"/>
            <w:noWrap/>
            <w:hideMark/>
          </w:tcPr>
          <w:p w14:paraId="10A52CAE" w14:textId="77777777" w:rsidR="00904447" w:rsidRPr="00425290" w:rsidRDefault="001776AC" w:rsidP="00904447">
            <w:pPr>
              <w:jc w:val="right"/>
              <w:rPr>
                <w:rFonts w:ascii="Calibri" w:eastAsia="Times New Roman" w:hAnsi="Calibri" w:cs="Calibri"/>
                <w:sz w:val="20"/>
                <w:szCs w:val="20"/>
                <w:lang w:val="es-CR" w:eastAsia="es-CR"/>
              </w:rPr>
            </w:pPr>
            <w:r w:rsidRPr="00425290">
              <w:rPr>
                <w:rFonts w:ascii="Calibri" w:eastAsia="Times New Roman" w:hAnsi="Calibri" w:cs="Calibri"/>
                <w:sz w:val="20"/>
                <w:szCs w:val="20"/>
                <w:lang w:val="es-CR" w:eastAsia="es-CR"/>
              </w:rPr>
              <w:t>201 8</w:t>
            </w:r>
            <w:r w:rsidR="00425290" w:rsidRPr="00425290">
              <w:rPr>
                <w:rFonts w:ascii="Calibri" w:eastAsia="Times New Roman" w:hAnsi="Calibri" w:cs="Calibri"/>
                <w:sz w:val="20"/>
                <w:szCs w:val="20"/>
                <w:lang w:val="es-CR" w:eastAsia="es-CR"/>
              </w:rPr>
              <w:t>18</w:t>
            </w:r>
          </w:p>
        </w:tc>
      </w:tr>
      <w:tr w:rsidR="00265AC6" w:rsidRPr="003478E0" w14:paraId="6CB72E84" w14:textId="77777777" w:rsidTr="00CC4FE3">
        <w:trPr>
          <w:trHeight w:val="315"/>
        </w:trPr>
        <w:tc>
          <w:tcPr>
            <w:tcW w:w="2845" w:type="dxa"/>
            <w:tcBorders>
              <w:bottom w:val="single" w:sz="4" w:space="0" w:color="auto"/>
            </w:tcBorders>
            <w:shd w:val="clear" w:color="auto" w:fill="FFFFFF" w:themeFill="background1"/>
            <w:noWrap/>
            <w:vAlign w:val="center"/>
            <w:hideMark/>
          </w:tcPr>
          <w:p w14:paraId="12D4F434" w14:textId="77777777" w:rsidR="00004F14" w:rsidRPr="00B674EA" w:rsidRDefault="00004F14" w:rsidP="008B00BB">
            <w:pPr>
              <w:rPr>
                <w:rFonts w:ascii="Calibri" w:eastAsia="Times New Roman" w:hAnsi="Calibri" w:cs="Calibri"/>
                <w:b/>
                <w:bCs/>
                <w:sz w:val="20"/>
                <w:szCs w:val="20"/>
                <w:lang w:val="es-CR" w:eastAsia="es-CR"/>
              </w:rPr>
            </w:pPr>
            <w:r w:rsidRPr="00B674EA">
              <w:rPr>
                <w:rFonts w:ascii="Calibri" w:eastAsia="Times New Roman" w:hAnsi="Calibri" w:cs="Calibri"/>
                <w:b/>
                <w:bCs/>
                <w:sz w:val="20"/>
                <w:szCs w:val="20"/>
                <w:lang w:val="es-CR" w:eastAsia="es-CR"/>
              </w:rPr>
              <w:t>Fondo de Capitalización Laboral (FCL)</w:t>
            </w:r>
          </w:p>
        </w:tc>
        <w:tc>
          <w:tcPr>
            <w:tcW w:w="1144" w:type="dxa"/>
            <w:tcBorders>
              <w:bottom w:val="single" w:sz="4" w:space="0" w:color="auto"/>
            </w:tcBorders>
            <w:shd w:val="clear" w:color="auto" w:fill="FFFFFF" w:themeFill="background1"/>
            <w:vAlign w:val="center"/>
            <w:hideMark/>
          </w:tcPr>
          <w:p w14:paraId="0EA93746" w14:textId="77777777" w:rsidR="00004F14" w:rsidRPr="00330AD8" w:rsidRDefault="00B7637A" w:rsidP="00B7637A">
            <w:pPr>
              <w:jc w:val="right"/>
              <w:rPr>
                <w:rFonts w:ascii="Calibri" w:eastAsia="Times New Roman" w:hAnsi="Calibri" w:cs="Calibri"/>
                <w:sz w:val="20"/>
                <w:szCs w:val="20"/>
                <w:lang w:val="es-CR" w:eastAsia="es-CR"/>
              </w:rPr>
            </w:pPr>
            <w:r w:rsidRPr="00330AD8">
              <w:rPr>
                <w:rFonts w:ascii="Calibri" w:eastAsia="Times New Roman" w:hAnsi="Calibri" w:cs="Calibri"/>
                <w:sz w:val="20"/>
                <w:szCs w:val="20"/>
                <w:lang w:val="es-CR" w:eastAsia="es-CR"/>
              </w:rPr>
              <w:t xml:space="preserve">                           2 601 235</w:t>
            </w:r>
            <w:r w:rsidR="00004F14" w:rsidRPr="00330AD8">
              <w:rPr>
                <w:rFonts w:ascii="Calibri" w:eastAsia="Times New Roman" w:hAnsi="Calibri" w:cs="Calibri"/>
                <w:sz w:val="20"/>
                <w:szCs w:val="20"/>
                <w:lang w:val="es-CR" w:eastAsia="es-CR"/>
              </w:rPr>
              <w:t> </w:t>
            </w:r>
          </w:p>
        </w:tc>
        <w:tc>
          <w:tcPr>
            <w:tcW w:w="1266" w:type="dxa"/>
            <w:tcBorders>
              <w:bottom w:val="single" w:sz="4" w:space="0" w:color="auto"/>
            </w:tcBorders>
            <w:shd w:val="clear" w:color="auto" w:fill="FFFFFF" w:themeFill="background1"/>
            <w:noWrap/>
            <w:vAlign w:val="center"/>
            <w:hideMark/>
          </w:tcPr>
          <w:p w14:paraId="0CBA3DBE"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NA</w:t>
            </w:r>
          </w:p>
        </w:tc>
        <w:tc>
          <w:tcPr>
            <w:tcW w:w="1343" w:type="dxa"/>
            <w:tcBorders>
              <w:bottom w:val="single" w:sz="4" w:space="0" w:color="auto"/>
            </w:tcBorders>
            <w:shd w:val="clear" w:color="auto" w:fill="FFFFFF" w:themeFill="background1"/>
            <w:noWrap/>
            <w:vAlign w:val="center"/>
            <w:hideMark/>
          </w:tcPr>
          <w:p w14:paraId="5FDF562C"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1,50%</w:t>
            </w:r>
          </w:p>
        </w:tc>
        <w:tc>
          <w:tcPr>
            <w:tcW w:w="1134" w:type="dxa"/>
            <w:tcBorders>
              <w:bottom w:val="single" w:sz="4" w:space="0" w:color="auto"/>
            </w:tcBorders>
            <w:shd w:val="clear" w:color="auto" w:fill="FFFFFF" w:themeFill="background1"/>
            <w:noWrap/>
            <w:vAlign w:val="center"/>
            <w:hideMark/>
          </w:tcPr>
          <w:p w14:paraId="15F9C003"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993" w:type="dxa"/>
            <w:tcBorders>
              <w:bottom w:val="single" w:sz="4" w:space="0" w:color="auto"/>
            </w:tcBorders>
            <w:shd w:val="clear" w:color="auto" w:fill="FFFFFF" w:themeFill="background1"/>
            <w:noWrap/>
            <w:vAlign w:val="center"/>
            <w:hideMark/>
          </w:tcPr>
          <w:p w14:paraId="2947E764"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0%</w:t>
            </w:r>
          </w:p>
        </w:tc>
        <w:tc>
          <w:tcPr>
            <w:tcW w:w="1275" w:type="dxa"/>
            <w:tcBorders>
              <w:bottom w:val="single" w:sz="4" w:space="0" w:color="auto"/>
            </w:tcBorders>
            <w:shd w:val="clear" w:color="auto" w:fill="FFFFFF" w:themeFill="background1"/>
            <w:noWrap/>
            <w:vAlign w:val="center"/>
            <w:hideMark/>
          </w:tcPr>
          <w:p w14:paraId="4684B8ED" w14:textId="77777777" w:rsidR="00004F14" w:rsidRPr="00B674EA" w:rsidRDefault="00004F14" w:rsidP="008B00BB">
            <w:pPr>
              <w:jc w:val="right"/>
              <w:rPr>
                <w:rFonts w:ascii="Calibri" w:eastAsia="Times New Roman" w:hAnsi="Calibri" w:cs="Calibri"/>
                <w:sz w:val="20"/>
                <w:szCs w:val="20"/>
                <w:lang w:val="es-CR" w:eastAsia="es-CR"/>
              </w:rPr>
            </w:pPr>
            <w:r w:rsidRPr="00B674EA">
              <w:rPr>
                <w:rFonts w:ascii="Calibri" w:eastAsia="Times New Roman" w:hAnsi="Calibri" w:cs="Calibri"/>
                <w:sz w:val="20"/>
                <w:szCs w:val="20"/>
                <w:lang w:val="es-CR" w:eastAsia="es-CR"/>
              </w:rPr>
              <w:t>NA</w:t>
            </w:r>
          </w:p>
        </w:tc>
      </w:tr>
    </w:tbl>
    <w:p w14:paraId="4A8076AA" w14:textId="77777777" w:rsidR="00380037" w:rsidRPr="00524623" w:rsidRDefault="00380037" w:rsidP="00380037">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 xml:space="preserve">1/ Datos a </w:t>
      </w:r>
      <w:r w:rsidR="0048412A">
        <w:rPr>
          <w:rFonts w:ascii="Calibri" w:eastAsia="Times New Roman" w:hAnsi="Calibri" w:cs="Calibri"/>
          <w:b/>
          <w:bCs/>
          <w:sz w:val="18"/>
          <w:szCs w:val="18"/>
          <w:lang w:val="es-CR" w:eastAsia="es-CR"/>
        </w:rPr>
        <w:t>octubre</w:t>
      </w:r>
      <w:r w:rsidRPr="00524623">
        <w:rPr>
          <w:rFonts w:ascii="Calibri" w:eastAsia="Times New Roman" w:hAnsi="Calibri" w:cs="Calibri"/>
          <w:b/>
          <w:bCs/>
          <w:sz w:val="18"/>
          <w:szCs w:val="18"/>
          <w:lang w:val="es-CR" w:eastAsia="es-CR"/>
        </w:rPr>
        <w:t xml:space="preserve"> de 2021.</w:t>
      </w:r>
    </w:p>
    <w:p w14:paraId="3D552336" w14:textId="77777777" w:rsidR="00380037" w:rsidRPr="00524623" w:rsidRDefault="00380037" w:rsidP="00380037">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 xml:space="preserve">2/ </w:t>
      </w:r>
      <w:r>
        <w:rPr>
          <w:rFonts w:ascii="Calibri" w:eastAsia="Times New Roman" w:hAnsi="Calibri" w:cs="Calibri"/>
          <w:b/>
          <w:bCs/>
          <w:sz w:val="18"/>
          <w:szCs w:val="18"/>
          <w:lang w:val="es-CR" w:eastAsia="es-CR"/>
        </w:rPr>
        <w:t>De conformidad con el artículo 236 de la Ley Orgánica del Poder Judicial, l</w:t>
      </w:r>
      <w:r w:rsidRPr="00524623">
        <w:rPr>
          <w:rFonts w:ascii="Calibri" w:eastAsia="Times New Roman" w:hAnsi="Calibri" w:cs="Calibri"/>
          <w:b/>
          <w:bCs/>
          <w:sz w:val="18"/>
          <w:szCs w:val="18"/>
          <w:lang w:val="es-CR" w:eastAsia="es-CR"/>
        </w:rPr>
        <w:t>os pensionados también aportan al fondo.</w:t>
      </w:r>
    </w:p>
    <w:p w14:paraId="0634A517" w14:textId="77777777" w:rsidR="00380037" w:rsidRPr="00524623" w:rsidRDefault="00380037" w:rsidP="00380037">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 xml:space="preserve">3/ </w:t>
      </w:r>
      <w:r>
        <w:rPr>
          <w:rFonts w:ascii="Calibri" w:eastAsia="Times New Roman" w:hAnsi="Calibri" w:cs="Calibri"/>
          <w:b/>
          <w:bCs/>
          <w:sz w:val="18"/>
          <w:szCs w:val="18"/>
          <w:lang w:val="es-CR" w:eastAsia="es-CR"/>
        </w:rPr>
        <w:t>De conformidad con el artículo 26 de la Ley de Loterías, este porcentaje corresponde al</w:t>
      </w:r>
      <w:r w:rsidRPr="007144FE">
        <w:rPr>
          <w:rFonts w:ascii="Calibri" w:eastAsia="Times New Roman" w:hAnsi="Calibri" w:cs="Calibri"/>
          <w:b/>
          <w:bCs/>
          <w:sz w:val="18"/>
          <w:szCs w:val="18"/>
          <w:lang w:val="es-CR" w:eastAsia="es-CR"/>
        </w:rPr>
        <w:t xml:space="preserve"> descuento sobre la venta de lotería</w:t>
      </w:r>
      <w:r w:rsidRPr="00524623">
        <w:rPr>
          <w:rFonts w:ascii="Calibri" w:eastAsia="Times New Roman" w:hAnsi="Calibri" w:cs="Calibri"/>
          <w:b/>
          <w:bCs/>
          <w:sz w:val="18"/>
          <w:szCs w:val="18"/>
          <w:lang w:val="es-CR" w:eastAsia="es-CR"/>
        </w:rPr>
        <w:t>.</w:t>
      </w:r>
    </w:p>
    <w:p w14:paraId="2CAE07FF" w14:textId="77777777" w:rsidR="00380037" w:rsidRDefault="00380037" w:rsidP="00380037">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4/ De las ventas de lotería.</w:t>
      </w:r>
    </w:p>
    <w:p w14:paraId="2B7594A9" w14:textId="77777777" w:rsidR="00380037" w:rsidRPr="00524623" w:rsidRDefault="00380037" w:rsidP="00380037">
      <w:pPr>
        <w:rPr>
          <w:rFonts w:ascii="Calibri" w:eastAsia="Times New Roman" w:hAnsi="Calibri" w:cs="Calibri"/>
          <w:b/>
          <w:bCs/>
          <w:sz w:val="18"/>
          <w:szCs w:val="18"/>
          <w:lang w:val="es-CR" w:eastAsia="es-CR"/>
        </w:rPr>
      </w:pPr>
      <w:r>
        <w:rPr>
          <w:rFonts w:ascii="Calibri" w:eastAsia="Times New Roman" w:hAnsi="Calibri" w:cs="Calibri"/>
          <w:b/>
          <w:bCs/>
          <w:sz w:val="18"/>
          <w:szCs w:val="18"/>
          <w:lang w:val="es-CR" w:eastAsia="es-CR"/>
        </w:rPr>
        <w:t>5/ La baja cifra relativa a las pensiones del IVM obedece a que el ROP no ha llegado a su periodo de madurez, con poblaciones promedio menores a 45 años.</w:t>
      </w:r>
    </w:p>
    <w:p w14:paraId="58D4D4C2" w14:textId="77777777" w:rsidR="00380037" w:rsidRDefault="00380037" w:rsidP="00290851">
      <w:pPr>
        <w:rPr>
          <w:rFonts w:ascii="Calibri" w:eastAsia="Times New Roman" w:hAnsi="Calibri" w:cs="Calibri"/>
          <w:b/>
          <w:bCs/>
          <w:sz w:val="18"/>
          <w:szCs w:val="18"/>
          <w:lang w:val="es-CR" w:eastAsia="es-CR"/>
        </w:rPr>
      </w:pPr>
      <w:r w:rsidRPr="00524623">
        <w:rPr>
          <w:rFonts w:ascii="Calibri" w:eastAsia="Times New Roman" w:hAnsi="Calibri" w:cs="Calibri"/>
          <w:b/>
          <w:bCs/>
          <w:sz w:val="18"/>
          <w:szCs w:val="18"/>
          <w:lang w:val="es-CR" w:eastAsia="es-CR"/>
        </w:rPr>
        <w:t>Fuente: elaboración propia con datos suministrados por las entidades.</w:t>
      </w:r>
    </w:p>
    <w:p w14:paraId="77F30D9C" w14:textId="77777777" w:rsidR="00290851" w:rsidRDefault="00290851" w:rsidP="00290851">
      <w:pPr>
        <w:rPr>
          <w:rFonts w:ascii="Calibri" w:eastAsia="Times New Roman" w:hAnsi="Calibri" w:cs="Calibri"/>
          <w:b/>
          <w:bCs/>
          <w:sz w:val="18"/>
          <w:szCs w:val="18"/>
          <w:lang w:val="es-CR" w:eastAsia="es-CR"/>
        </w:rPr>
      </w:pPr>
    </w:p>
    <w:p w14:paraId="425E1288" w14:textId="77777777" w:rsidR="00290851" w:rsidRPr="00290851" w:rsidRDefault="00290851" w:rsidP="00290851">
      <w:pPr>
        <w:rPr>
          <w:rFonts w:ascii="Calibri" w:eastAsia="Times New Roman" w:hAnsi="Calibri" w:cs="Calibri"/>
          <w:b/>
          <w:bCs/>
          <w:sz w:val="18"/>
          <w:szCs w:val="18"/>
          <w:lang w:val="es-CR" w:eastAsia="es-CR"/>
        </w:rPr>
      </w:pPr>
    </w:p>
    <w:p w14:paraId="2DF9C4CC" w14:textId="77777777" w:rsidR="003C326B" w:rsidRDefault="00512C60" w:rsidP="002A4B5C">
      <w:pPr>
        <w:spacing w:after="200" w:line="276" w:lineRule="auto"/>
        <w:jc w:val="both"/>
        <w:rPr>
          <w:rFonts w:cstheme="minorHAnsi"/>
        </w:rPr>
      </w:pPr>
      <w:r>
        <w:rPr>
          <w:rFonts w:cstheme="minorHAnsi"/>
        </w:rPr>
        <w:lastRenderedPageBreak/>
        <w:t>En conjunto,</w:t>
      </w:r>
      <w:r w:rsidR="00352626">
        <w:rPr>
          <w:rFonts w:cstheme="minorHAnsi"/>
        </w:rPr>
        <w:t xml:space="preserve"> los regímenes básicos (IVM y sustitutos) </w:t>
      </w:r>
      <w:r w:rsidR="00F71D0B">
        <w:rPr>
          <w:rFonts w:cstheme="minorHAnsi"/>
        </w:rPr>
        <w:t>presenta</w:t>
      </w:r>
      <w:r w:rsidR="00201F6A">
        <w:rPr>
          <w:rFonts w:cstheme="minorHAnsi"/>
        </w:rPr>
        <w:t>n</w:t>
      </w:r>
      <w:r w:rsidR="00F71D0B">
        <w:rPr>
          <w:rFonts w:cstheme="minorHAnsi"/>
        </w:rPr>
        <w:t xml:space="preserve"> un incremento de </w:t>
      </w:r>
      <w:r w:rsidR="00BE0B38">
        <w:rPr>
          <w:rFonts w:cstheme="minorHAnsi"/>
        </w:rPr>
        <w:t>44</w:t>
      </w:r>
      <w:r w:rsidR="000A08BA">
        <w:rPr>
          <w:rFonts w:cstheme="minorHAnsi"/>
        </w:rPr>
        <w:t xml:space="preserve"> </w:t>
      </w:r>
      <w:r w:rsidR="00BE0B38">
        <w:rPr>
          <w:rFonts w:cstheme="minorHAnsi"/>
        </w:rPr>
        <w:t xml:space="preserve">240 cotizantes, lo que </w:t>
      </w:r>
      <w:r>
        <w:rPr>
          <w:rFonts w:cstheme="minorHAnsi"/>
        </w:rPr>
        <w:t>significa</w:t>
      </w:r>
      <w:r w:rsidR="00BE0B38">
        <w:rPr>
          <w:rFonts w:cstheme="minorHAnsi"/>
        </w:rPr>
        <w:t xml:space="preserve"> un crecimiento de 3,05% con respecto a diciembre de 202</w:t>
      </w:r>
      <w:r w:rsidR="002C068A">
        <w:rPr>
          <w:rFonts w:cstheme="minorHAnsi"/>
        </w:rPr>
        <w:t>0</w:t>
      </w:r>
      <w:r w:rsidR="002B2F50">
        <w:rPr>
          <w:rFonts w:cstheme="minorHAnsi"/>
        </w:rPr>
        <w:t xml:space="preserve">, </w:t>
      </w:r>
      <w:r w:rsidR="003C326B">
        <w:rPr>
          <w:rFonts w:cstheme="minorHAnsi"/>
        </w:rPr>
        <w:t>incremento</w:t>
      </w:r>
      <w:r w:rsidR="00E724AC">
        <w:rPr>
          <w:rFonts w:cstheme="minorHAnsi"/>
        </w:rPr>
        <w:t xml:space="preserve"> </w:t>
      </w:r>
      <w:r w:rsidR="002B2F50">
        <w:rPr>
          <w:rFonts w:cstheme="minorHAnsi"/>
        </w:rPr>
        <w:t>congruente</w:t>
      </w:r>
      <w:r w:rsidR="003C326B">
        <w:rPr>
          <w:rFonts w:cstheme="minorHAnsi"/>
        </w:rPr>
        <w:t xml:space="preserve"> con</w:t>
      </w:r>
      <w:r w:rsidR="002B2F50">
        <w:rPr>
          <w:rFonts w:cstheme="minorHAnsi"/>
        </w:rPr>
        <w:t xml:space="preserve"> </w:t>
      </w:r>
      <w:r w:rsidR="00F021A8">
        <w:rPr>
          <w:rFonts w:cstheme="minorHAnsi"/>
        </w:rPr>
        <w:t>la mejora de la</w:t>
      </w:r>
      <w:r w:rsidR="002B2F50">
        <w:rPr>
          <w:rFonts w:cstheme="minorHAnsi"/>
        </w:rPr>
        <w:t xml:space="preserve"> tasa de ocupación </w:t>
      </w:r>
      <w:r w:rsidR="009160DE">
        <w:rPr>
          <w:rFonts w:cstheme="minorHAnsi"/>
        </w:rPr>
        <w:t>indicada por el Instituto Costarricense de Estadística y Censo</w:t>
      </w:r>
      <w:r w:rsidR="005D57EC">
        <w:rPr>
          <w:rStyle w:val="Refdenotaalpie"/>
          <w:rFonts w:cstheme="minorHAnsi"/>
        </w:rPr>
        <w:footnoteReference w:id="2"/>
      </w:r>
      <w:r w:rsidR="007D7F16">
        <w:rPr>
          <w:rFonts w:cstheme="minorHAnsi"/>
        </w:rPr>
        <w:t>.</w:t>
      </w:r>
    </w:p>
    <w:p w14:paraId="514A6C9D" w14:textId="77777777" w:rsidR="002A4B5C" w:rsidRDefault="009C56E5" w:rsidP="002A4B5C">
      <w:pPr>
        <w:spacing w:after="200" w:line="276" w:lineRule="auto"/>
        <w:jc w:val="both"/>
        <w:rPr>
          <w:rFonts w:cstheme="minorHAnsi"/>
        </w:rPr>
      </w:pPr>
      <w:r>
        <w:rPr>
          <w:rFonts w:cstheme="minorHAnsi"/>
        </w:rPr>
        <w:t>E</w:t>
      </w:r>
      <w:r w:rsidR="003C326B">
        <w:rPr>
          <w:rFonts w:cstheme="minorHAnsi"/>
        </w:rPr>
        <w:t>l ROP</w:t>
      </w:r>
      <w:r w:rsidR="007E4AAE" w:rsidRPr="00EF7527">
        <w:rPr>
          <w:rFonts w:cstheme="minorHAnsi"/>
        </w:rPr>
        <w:t xml:space="preserve"> contabiliza </w:t>
      </w:r>
      <w:r w:rsidR="00C45B7C" w:rsidRPr="00EF7527">
        <w:rPr>
          <w:rFonts w:cstheme="minorHAnsi"/>
        </w:rPr>
        <w:t>36 231</w:t>
      </w:r>
      <w:r w:rsidR="00D76E2A" w:rsidRPr="00EF7527">
        <w:rPr>
          <w:rFonts w:cstheme="minorHAnsi"/>
        </w:rPr>
        <w:t xml:space="preserve"> </w:t>
      </w:r>
      <w:r w:rsidR="002A4B5C" w:rsidRPr="00EF7527">
        <w:rPr>
          <w:rFonts w:cstheme="minorHAnsi"/>
        </w:rPr>
        <w:t>personas</w:t>
      </w:r>
      <w:r w:rsidR="00C45B7C" w:rsidRPr="00EF7527">
        <w:rPr>
          <w:rFonts w:cstheme="minorHAnsi"/>
        </w:rPr>
        <w:t xml:space="preserve"> que reciben una pensión </w:t>
      </w:r>
      <w:r w:rsidR="005F233C" w:rsidRPr="00EF7527">
        <w:rPr>
          <w:rFonts w:cstheme="minorHAnsi"/>
        </w:rPr>
        <w:t xml:space="preserve">de este régimen. </w:t>
      </w:r>
      <w:r w:rsidR="007A5E60" w:rsidRPr="00EF7527">
        <w:rPr>
          <w:rFonts w:cstheme="minorHAnsi"/>
        </w:rPr>
        <w:t>A</w:t>
      </w:r>
      <w:r w:rsidR="007A5E60">
        <w:rPr>
          <w:rFonts w:cstheme="minorHAnsi"/>
        </w:rPr>
        <w:t xml:space="preserve"> partir de octubre de 2020, </w:t>
      </w:r>
      <w:r w:rsidR="00374BC1">
        <w:rPr>
          <w:rFonts w:cstheme="minorHAnsi"/>
        </w:rPr>
        <w:t xml:space="preserve">el régimen ha visto incrementado el número de pensionados, dada la </w:t>
      </w:r>
      <w:r w:rsidR="000B6BDA">
        <w:rPr>
          <w:rFonts w:cstheme="minorHAnsi"/>
        </w:rPr>
        <w:t>entrada en vigor</w:t>
      </w:r>
      <w:r w:rsidR="00374BC1">
        <w:rPr>
          <w:rFonts w:cstheme="minorHAnsi"/>
        </w:rPr>
        <w:t xml:space="preserve"> de las modificaciones a la Ley de Protección al Trabajador</w:t>
      </w:r>
      <w:r w:rsidR="00C935C1">
        <w:rPr>
          <w:rFonts w:cstheme="minorHAnsi"/>
        </w:rPr>
        <w:t xml:space="preserve"> (ley 9909 del 5 de octubre de 2020),</w:t>
      </w:r>
      <w:r w:rsidR="00374BC1">
        <w:rPr>
          <w:rFonts w:cstheme="minorHAnsi"/>
        </w:rPr>
        <w:t xml:space="preserve"> la cual, entre otr</w:t>
      </w:r>
      <w:r w:rsidR="00A73499">
        <w:rPr>
          <w:rFonts w:cstheme="minorHAnsi"/>
        </w:rPr>
        <w:t>os cambios, eliminó el retiro total en un solo tracto, y pasó al otorgamiento de prestaciones en plazos menore</w:t>
      </w:r>
      <w:r w:rsidR="005136D0">
        <w:rPr>
          <w:rFonts w:cstheme="minorHAnsi"/>
        </w:rPr>
        <w:t>s a los establecidos regulatoriamente para los retiros programados</w:t>
      </w:r>
      <w:r w:rsidR="005323CE">
        <w:rPr>
          <w:rStyle w:val="Refdenotaalpie"/>
          <w:rFonts w:cstheme="minorHAnsi"/>
        </w:rPr>
        <w:footnoteReference w:id="3"/>
      </w:r>
      <w:r w:rsidR="005136D0">
        <w:rPr>
          <w:rFonts w:cstheme="minorHAnsi"/>
        </w:rPr>
        <w:t>.</w:t>
      </w:r>
    </w:p>
    <w:p w14:paraId="37DE42E4" w14:textId="77777777" w:rsidR="002A4B5C" w:rsidRDefault="002A4B5C">
      <w:pPr>
        <w:spacing w:after="200" w:line="276" w:lineRule="auto"/>
        <w:rPr>
          <w:rFonts w:asciiTheme="majorHAnsi" w:eastAsiaTheme="majorEastAsia" w:hAnsiTheme="majorHAnsi" w:cstheme="majorBidi"/>
          <w:color w:val="365F91" w:themeColor="accent1" w:themeShade="BF"/>
          <w:sz w:val="36"/>
          <w:szCs w:val="36"/>
        </w:rPr>
      </w:pPr>
      <w:r>
        <w:br w:type="page"/>
      </w:r>
    </w:p>
    <w:p w14:paraId="64B8FA78" w14:textId="77777777" w:rsidR="00FE47C0" w:rsidRDefault="00FE47C0" w:rsidP="00FE47C0">
      <w:pPr>
        <w:pStyle w:val="Ttulo1"/>
      </w:pPr>
      <w:bookmarkStart w:id="4" w:name="_Toc96614854"/>
      <w:r>
        <w:lastRenderedPageBreak/>
        <w:t xml:space="preserve">SECCIÓN II </w:t>
      </w:r>
      <w:r>
        <w:br/>
        <w:t>HECHOS RELEVANTES</w:t>
      </w:r>
      <w:r w:rsidR="00965DA6">
        <w:t xml:space="preserve"> DEL TRIMESTRE</w:t>
      </w:r>
      <w:bookmarkEnd w:id="4"/>
    </w:p>
    <w:p w14:paraId="276DBF09" w14:textId="77777777" w:rsidR="00201F6A" w:rsidRPr="009D13CA" w:rsidRDefault="00201F6A" w:rsidP="009D13CA"/>
    <w:p w14:paraId="38469642" w14:textId="77777777" w:rsidR="0025548A" w:rsidRDefault="00F365C4" w:rsidP="009D13CA">
      <w:pPr>
        <w:pStyle w:val="Ttulo2"/>
        <w:numPr>
          <w:ilvl w:val="1"/>
          <w:numId w:val="18"/>
        </w:numPr>
      </w:pPr>
      <w:bookmarkStart w:id="5" w:name="_Toc96614855"/>
      <w:r>
        <w:t>M</w:t>
      </w:r>
      <w:r w:rsidR="0025548A">
        <w:t>odificación al Reglamento del R</w:t>
      </w:r>
      <w:r w:rsidR="00B130E3">
        <w:t>égimen de Invalidez, Vejez y Muerte de la Caja Costarricense de Seguro Social.</w:t>
      </w:r>
      <w:bookmarkEnd w:id="5"/>
    </w:p>
    <w:p w14:paraId="06FF4197" w14:textId="77777777" w:rsidR="00B130E3" w:rsidRDefault="00B130E3" w:rsidP="00B130E3"/>
    <w:p w14:paraId="0983E8A5" w14:textId="77777777" w:rsidR="00D876C3" w:rsidRPr="00D876C3" w:rsidRDefault="00D876C3" w:rsidP="00D876C3">
      <w:pPr>
        <w:jc w:val="both"/>
      </w:pPr>
      <w:r>
        <w:t xml:space="preserve">El </w:t>
      </w:r>
      <w:r w:rsidR="00EE4489">
        <w:t xml:space="preserve">14 de diciembre, la junta directiva de la Caja Costarricense de Seguro Social, aprobó </w:t>
      </w:r>
      <w:r w:rsidR="000905BF" w:rsidRPr="000905BF">
        <w:t>la modificación</w:t>
      </w:r>
      <w:r w:rsidR="00AE0B9C">
        <w:rPr>
          <w:rStyle w:val="Refdenotaalpie"/>
        </w:rPr>
        <w:footnoteReference w:id="4"/>
      </w:r>
      <w:r w:rsidR="000905BF" w:rsidRPr="000905BF">
        <w:t xml:space="preserve"> </w:t>
      </w:r>
      <w:r w:rsidR="00416C9C">
        <w:t xml:space="preserve">al </w:t>
      </w:r>
      <w:r w:rsidR="00416C9C" w:rsidRPr="00D876C3">
        <w:t xml:space="preserve">perfil de requisitos y beneficios </w:t>
      </w:r>
      <w:r w:rsidR="00416C9C">
        <w:t xml:space="preserve">para obtener una pensión en el </w:t>
      </w:r>
      <w:r w:rsidR="000905BF" w:rsidRPr="000905BF">
        <w:t>Régimen de Invalidez, Vejez y Muerte</w:t>
      </w:r>
      <w:r w:rsidR="00416C9C">
        <w:t>.</w:t>
      </w:r>
    </w:p>
    <w:p w14:paraId="771BCE4B" w14:textId="77777777" w:rsidR="00D876C3" w:rsidRPr="00D876C3" w:rsidRDefault="00D876C3" w:rsidP="00D876C3">
      <w:pPr>
        <w:jc w:val="both"/>
      </w:pPr>
    </w:p>
    <w:p w14:paraId="00C602BE" w14:textId="77777777" w:rsidR="00D876C3" w:rsidRPr="00D876C3" w:rsidRDefault="00D876C3" w:rsidP="00D876C3">
      <w:pPr>
        <w:jc w:val="both"/>
      </w:pPr>
      <w:r w:rsidRPr="00D876C3">
        <w:t>Los aspectos más relevantes de esta reforma son:</w:t>
      </w:r>
    </w:p>
    <w:p w14:paraId="4763F14A" w14:textId="77777777" w:rsidR="00D876C3" w:rsidRPr="00D876C3" w:rsidRDefault="00D876C3" w:rsidP="00D876C3">
      <w:pPr>
        <w:jc w:val="both"/>
      </w:pPr>
      <w:r w:rsidRPr="00D876C3">
        <w:t xml:space="preserve"> </w:t>
      </w:r>
    </w:p>
    <w:p w14:paraId="602C7B8C" w14:textId="77777777" w:rsidR="00D876C3" w:rsidRPr="00D876C3" w:rsidRDefault="00D876C3" w:rsidP="00D876C3">
      <w:pPr>
        <w:jc w:val="both"/>
      </w:pPr>
      <w:r w:rsidRPr="00D876C3">
        <w:t>•</w:t>
      </w:r>
      <w:r w:rsidRPr="00D876C3">
        <w:tab/>
      </w:r>
      <w:r w:rsidR="009A09D7">
        <w:t>La j</w:t>
      </w:r>
      <w:r w:rsidRPr="00D876C3">
        <w:t xml:space="preserve">ubilación por vejez para </w:t>
      </w:r>
      <w:r w:rsidR="009A09D7">
        <w:t>h</w:t>
      </w:r>
      <w:r w:rsidRPr="00D876C3">
        <w:t xml:space="preserve">ombres y mujeres </w:t>
      </w:r>
      <w:r w:rsidR="009A09D7">
        <w:t>será a</w:t>
      </w:r>
      <w:r w:rsidRPr="00D876C3">
        <w:t xml:space="preserve"> partir de los 65 años con 300 cuotas. Para las mujeres se mantiene una pensión anticipada con 63 años y 405 cuotas</w:t>
      </w:r>
      <w:r w:rsidR="009A09D7">
        <w:t xml:space="preserve">, </w:t>
      </w:r>
      <w:r w:rsidR="00C75AD9">
        <w:t xml:space="preserve">y </w:t>
      </w:r>
      <w:r w:rsidR="009A09D7">
        <w:t>se elimin</w:t>
      </w:r>
      <w:r w:rsidR="00ED497F">
        <w:t>ó</w:t>
      </w:r>
      <w:r w:rsidR="009A09D7">
        <w:t xml:space="preserve"> </w:t>
      </w:r>
      <w:r w:rsidR="00D04D24">
        <w:t xml:space="preserve">la posibilidad de </w:t>
      </w:r>
      <w:r w:rsidR="009A09D7">
        <w:t xml:space="preserve">adelantamiento </w:t>
      </w:r>
      <w:r w:rsidR="00EA3798">
        <w:t>de pensión</w:t>
      </w:r>
      <w:r w:rsidR="009A09D7">
        <w:t xml:space="preserve"> entre los 51 años y 11 meses hasta los </w:t>
      </w:r>
      <w:r w:rsidR="00FB7922">
        <w:t>62 años y 11 meses.</w:t>
      </w:r>
      <w:r w:rsidRPr="00D876C3">
        <w:t xml:space="preserve"> </w:t>
      </w:r>
    </w:p>
    <w:p w14:paraId="258CA318" w14:textId="77777777" w:rsidR="00D876C3" w:rsidRPr="00D876C3" w:rsidRDefault="00D876C3" w:rsidP="00D876C3">
      <w:pPr>
        <w:jc w:val="both"/>
      </w:pPr>
    </w:p>
    <w:p w14:paraId="1F59A584" w14:textId="77777777" w:rsidR="00D876C3" w:rsidRPr="00D876C3" w:rsidRDefault="00D876C3" w:rsidP="00D876C3">
      <w:pPr>
        <w:jc w:val="both"/>
      </w:pPr>
      <w:r w:rsidRPr="00D876C3">
        <w:t>•</w:t>
      </w:r>
      <w:r w:rsidRPr="00D876C3">
        <w:tab/>
        <w:t xml:space="preserve">El </w:t>
      </w:r>
      <w:r w:rsidR="00FB7922">
        <w:t>s</w:t>
      </w:r>
      <w:r w:rsidRPr="00D876C3">
        <w:t xml:space="preserve">alario de </w:t>
      </w:r>
      <w:r w:rsidR="00FB7922">
        <w:t>r</w:t>
      </w:r>
      <w:r w:rsidRPr="00D876C3">
        <w:t>eferencia correspond</w:t>
      </w:r>
      <w:r w:rsidR="001620E5">
        <w:t>erá</w:t>
      </w:r>
      <w:r w:rsidRPr="00D876C3">
        <w:t xml:space="preserve"> a los mejores 300 salarios registrados traídos a valor presente. </w:t>
      </w:r>
      <w:r w:rsidR="00D762C3">
        <w:t>E</w:t>
      </w:r>
      <w:r w:rsidRPr="00D876C3">
        <w:t>ste mismo salario de referencia</w:t>
      </w:r>
      <w:r w:rsidR="00D762C3">
        <w:t xml:space="preserve"> será utilizado</w:t>
      </w:r>
      <w:r w:rsidRPr="00D876C3">
        <w:t xml:space="preserve"> para determinar el porcentaje de cuantía básica</w:t>
      </w:r>
      <w:r w:rsidR="00D762C3">
        <w:t xml:space="preserve"> (que va de un 4</w:t>
      </w:r>
      <w:r w:rsidR="006825AF">
        <w:t>3</w:t>
      </w:r>
      <w:r w:rsidR="00D762C3">
        <w:t>% a un 52</w:t>
      </w:r>
      <w:r w:rsidR="006825AF">
        <w:t>,5</w:t>
      </w:r>
      <w:r w:rsidR="00D762C3">
        <w:t xml:space="preserve">% según </w:t>
      </w:r>
      <w:r w:rsidR="006825AF">
        <w:t xml:space="preserve">la relación </w:t>
      </w:r>
      <w:r w:rsidR="00913A25">
        <w:t>salario de referencia – salario mínimo)</w:t>
      </w:r>
      <w:r w:rsidRPr="00D876C3">
        <w:t>.</w:t>
      </w:r>
    </w:p>
    <w:p w14:paraId="4D2F6B9B" w14:textId="77777777" w:rsidR="00D876C3" w:rsidRPr="00D876C3" w:rsidRDefault="00D876C3" w:rsidP="00D876C3">
      <w:pPr>
        <w:jc w:val="both"/>
      </w:pPr>
    </w:p>
    <w:p w14:paraId="2F3FEB0F" w14:textId="77777777" w:rsidR="00D876C3" w:rsidRDefault="00D876C3" w:rsidP="00D876C3">
      <w:pPr>
        <w:jc w:val="both"/>
      </w:pPr>
      <w:r w:rsidRPr="00D876C3">
        <w:t>•</w:t>
      </w:r>
      <w:r w:rsidRPr="00D876C3">
        <w:tab/>
        <w:t>La cuantía adicional pas</w:t>
      </w:r>
      <w:r w:rsidR="00BC3769">
        <w:t>ó</w:t>
      </w:r>
      <w:r w:rsidRPr="00D876C3">
        <w:t xml:space="preserve"> a contabilizarse a partir de las 300 cuotas (25 años cotizados). El porcentaje de la cuantía adicional no sufr</w:t>
      </w:r>
      <w:r w:rsidR="00E46013">
        <w:t>ió</w:t>
      </w:r>
      <w:r w:rsidRPr="00D876C3">
        <w:t xml:space="preserve"> modificación (0,0833% por cada mes adicional de contribución).</w:t>
      </w:r>
    </w:p>
    <w:p w14:paraId="42295872" w14:textId="77777777" w:rsidR="00D876C3" w:rsidRDefault="00D876C3" w:rsidP="00B130E3"/>
    <w:p w14:paraId="4732D785" w14:textId="77777777" w:rsidR="006B75EA" w:rsidRPr="00D876C3" w:rsidRDefault="006B75EA" w:rsidP="006B75EA">
      <w:pPr>
        <w:jc w:val="both"/>
      </w:pPr>
      <w:r>
        <w:t>Esta modificación e</w:t>
      </w:r>
      <w:r w:rsidRPr="00D876C3">
        <w:t xml:space="preserve">ntrará a regir el 11 de enero de 2024 (dos años después de la fecha de su publicación). </w:t>
      </w:r>
      <w:r w:rsidR="001D79AF">
        <w:t>Las personas que</w:t>
      </w:r>
      <w:r w:rsidRPr="00D876C3">
        <w:t xml:space="preserve"> cumplan los requisitos hasta el 10 de enero 2024, inclusive, mantendrán las condiciones </w:t>
      </w:r>
      <w:r w:rsidR="00055814">
        <w:t>previas a esta reforma</w:t>
      </w:r>
      <w:r w:rsidRPr="00D876C3">
        <w:t xml:space="preserve">. </w:t>
      </w:r>
    </w:p>
    <w:p w14:paraId="0482D573" w14:textId="77777777" w:rsidR="00B130E3" w:rsidRDefault="00B130E3" w:rsidP="00B130E3"/>
    <w:p w14:paraId="2A433EDF" w14:textId="77777777" w:rsidR="00B130E3" w:rsidRPr="00B130E3" w:rsidRDefault="00B130E3" w:rsidP="00B130E3"/>
    <w:p w14:paraId="70CFBD49" w14:textId="77777777" w:rsidR="00C467CF" w:rsidRDefault="00C467CF" w:rsidP="009D13CA">
      <w:pPr>
        <w:pStyle w:val="Ttulo2"/>
        <w:numPr>
          <w:ilvl w:val="1"/>
          <w:numId w:val="18"/>
        </w:numPr>
      </w:pPr>
      <w:bookmarkStart w:id="6" w:name="_Toc96614856"/>
      <w:r>
        <w:t>Traslado de recursos al RNC</w:t>
      </w:r>
      <w:bookmarkEnd w:id="6"/>
    </w:p>
    <w:p w14:paraId="6C9D9646" w14:textId="77777777" w:rsidR="00A1100C" w:rsidRDefault="00A1100C" w:rsidP="00A1100C"/>
    <w:p w14:paraId="749AE5E6" w14:textId="77777777" w:rsidR="00A1100C" w:rsidRDefault="00A1100C" w:rsidP="00A1100C">
      <w:pPr>
        <w:spacing w:after="100" w:afterAutospacing="1"/>
        <w:contextualSpacing/>
        <w:jc w:val="both"/>
      </w:pPr>
      <w:r>
        <w:t xml:space="preserve">En seguimiento a lo comunicado en el Informe de Coyuntura del tercer trimestre, </w:t>
      </w:r>
      <w:r w:rsidR="00B77FF3">
        <w:t xml:space="preserve">actualmente se está en la etapa de coordinación de </w:t>
      </w:r>
      <w:r>
        <w:t xml:space="preserve">los detalles técnicos de la normativa para regular el traslado de recursos desde los fondos de pensiones hacia el Régimen No Contributivo (plazos, medios de pago etc.). Al tercer trimestre, los recursos del primer traslado al RNC ascendían a </w:t>
      </w:r>
      <w:r w:rsidRPr="005E13F8">
        <w:t>¢29 410 millones</w:t>
      </w:r>
      <w:r>
        <w:t>, monto acumulado desde la creación del Régimen de Capitalización Individual. Los subsiguientes traslados serán de los nuevos aportes que no hayan sido retirados en el plazo de 10 años desde el fallecimiento del titular, de conformidad con el artículo 77 de la Ley de Protección al Trabajador.</w:t>
      </w:r>
    </w:p>
    <w:p w14:paraId="7572AD1A" w14:textId="77777777" w:rsidR="00A1100C" w:rsidRPr="00A1100C" w:rsidRDefault="00A1100C" w:rsidP="00BD60C2"/>
    <w:p w14:paraId="4B67A4B9" w14:textId="77777777" w:rsidR="00A936DE" w:rsidRPr="00A936DE" w:rsidRDefault="00A936DE" w:rsidP="00BD60C2">
      <w:pPr>
        <w:pStyle w:val="Ttulo2"/>
        <w:numPr>
          <w:ilvl w:val="1"/>
          <w:numId w:val="18"/>
        </w:numPr>
        <w:jc w:val="both"/>
      </w:pPr>
      <w:bookmarkStart w:id="7" w:name="_Toc96614857"/>
      <w:r>
        <w:lastRenderedPageBreak/>
        <w:t>Nuevo estado de cuenta en el Régimen Obligatorio del Pensiones Complementarias</w:t>
      </w:r>
      <w:r w:rsidR="00861307">
        <w:t>,</w:t>
      </w:r>
      <w:r>
        <w:t xml:space="preserve"> el Fondo de Capitalización </w:t>
      </w:r>
      <w:r w:rsidR="00A1100C">
        <w:t>Laboral</w:t>
      </w:r>
      <w:r w:rsidR="00861307">
        <w:t xml:space="preserve"> y el Régimen Voluntario de Pensiones Complementarias</w:t>
      </w:r>
      <w:bookmarkEnd w:id="7"/>
    </w:p>
    <w:p w14:paraId="622724CC" w14:textId="77777777" w:rsidR="00320111" w:rsidRDefault="00320111" w:rsidP="000A787A">
      <w:pPr>
        <w:spacing w:after="100" w:afterAutospacing="1"/>
        <w:contextualSpacing/>
        <w:jc w:val="both"/>
      </w:pPr>
    </w:p>
    <w:p w14:paraId="12BB8CEA" w14:textId="77777777" w:rsidR="00DE1A27" w:rsidRDefault="007E37DA" w:rsidP="004D3CFB">
      <w:pPr>
        <w:spacing w:after="100" w:afterAutospacing="1"/>
        <w:contextualSpacing/>
        <w:jc w:val="both"/>
      </w:pPr>
      <w:r>
        <w:t xml:space="preserve">El </w:t>
      </w:r>
      <w:r w:rsidR="00CA55A7">
        <w:t xml:space="preserve">18 de mayo del 2021, </w:t>
      </w:r>
      <w:r w:rsidR="00070E62">
        <w:t>la Superintendencia de Pensiones emitió</w:t>
      </w:r>
      <w:r w:rsidR="000F6671">
        <w:t xml:space="preserve">, mediante el </w:t>
      </w:r>
      <w:r w:rsidR="00E26893">
        <w:t xml:space="preserve">acuerdo </w:t>
      </w:r>
      <w:r w:rsidR="00E26893" w:rsidRPr="00E26893">
        <w:t>SP-A-243-2021</w:t>
      </w:r>
      <w:r w:rsidR="00E26893">
        <w:t>,</w:t>
      </w:r>
      <w:r w:rsidR="00070E62">
        <w:t xml:space="preserve"> </w:t>
      </w:r>
      <w:r w:rsidR="004D3CFB">
        <w:t xml:space="preserve">las </w:t>
      </w:r>
      <w:r w:rsidR="004D3CFB" w:rsidRPr="00BD60C2">
        <w:rPr>
          <w:i/>
          <w:iCs/>
        </w:rPr>
        <w:t>Disposiciones sobre el envío de estados de cuenta y su contenido mínimo</w:t>
      </w:r>
      <w:r w:rsidR="00E26893">
        <w:rPr>
          <w:i/>
          <w:iCs/>
        </w:rPr>
        <w:t xml:space="preserve">. </w:t>
      </w:r>
      <w:r w:rsidR="00AD6DC3">
        <w:t>Esta no</w:t>
      </w:r>
      <w:r w:rsidR="00E6534C">
        <w:t xml:space="preserve">rma procura </w:t>
      </w:r>
      <w:r w:rsidR="00967EBC">
        <w:t>mejorar la información que las Operadoras de Pensiones remiten a sus afiliados</w:t>
      </w:r>
      <w:r w:rsidR="007926B7">
        <w:t xml:space="preserve">, de tal manera que el usuario tenga un </w:t>
      </w:r>
      <w:r w:rsidR="000949E2">
        <w:t xml:space="preserve">mejor </w:t>
      </w:r>
      <w:r w:rsidR="007926B7">
        <w:t xml:space="preserve">entendimiento </w:t>
      </w:r>
      <w:r w:rsidR="000831A2">
        <w:t xml:space="preserve">de los productos de pensión </w:t>
      </w:r>
      <w:r w:rsidR="003D4CF2">
        <w:t xml:space="preserve">y no solo de la acumulación de recursos. Además, pretende guiar al afiliado en la toma de </w:t>
      </w:r>
      <w:r w:rsidR="00911CD7">
        <w:t>decisiones, mostrándole indicadores de rentabilidad de mediano plazo</w:t>
      </w:r>
      <w:r w:rsidR="00DE1A27">
        <w:t>.</w:t>
      </w:r>
    </w:p>
    <w:p w14:paraId="4019A893" w14:textId="77777777" w:rsidR="00DE1A27" w:rsidRDefault="00DE1A27" w:rsidP="00DE1A27">
      <w:pPr>
        <w:spacing w:after="100" w:afterAutospacing="1"/>
        <w:contextualSpacing/>
        <w:jc w:val="both"/>
      </w:pPr>
    </w:p>
    <w:p w14:paraId="3364F8C1" w14:textId="77777777" w:rsidR="00DE1A27" w:rsidRDefault="00DE1A27" w:rsidP="00DE1A27">
      <w:pPr>
        <w:spacing w:after="100" w:afterAutospacing="1"/>
        <w:contextualSpacing/>
        <w:jc w:val="both"/>
      </w:pPr>
      <w:r>
        <w:t>Los primeros estados de cuenta bajo est</w:t>
      </w:r>
      <w:r w:rsidR="006D5048">
        <w:t>as disposiciones corresponden a</w:t>
      </w:r>
      <w:r w:rsidR="00F8684C">
        <w:t xml:space="preserve"> </w:t>
      </w:r>
      <w:r w:rsidR="006D5048">
        <w:t>l</w:t>
      </w:r>
      <w:r w:rsidR="00F8684C">
        <w:t xml:space="preserve">os movimientos </w:t>
      </w:r>
      <w:r w:rsidR="00F606FD">
        <w:t xml:space="preserve">de la cuenta individual </w:t>
      </w:r>
      <w:r w:rsidR="00F8684C">
        <w:t>del</w:t>
      </w:r>
      <w:r w:rsidR="006D5048">
        <w:t xml:space="preserve"> segundo semestre de 2021 (y que fueron distribuidos por las Operadoras de Pensiones en enero de 2022).</w:t>
      </w:r>
    </w:p>
    <w:p w14:paraId="43A7C66D" w14:textId="77777777" w:rsidR="00753FB0" w:rsidRDefault="00753FB0" w:rsidP="00DE1A27">
      <w:pPr>
        <w:spacing w:after="100" w:afterAutospacing="1"/>
        <w:contextualSpacing/>
        <w:jc w:val="both"/>
      </w:pPr>
    </w:p>
    <w:p w14:paraId="167413EC" w14:textId="77777777" w:rsidR="00753FB0" w:rsidRDefault="001841E3" w:rsidP="00DE1A27">
      <w:pPr>
        <w:spacing w:after="100" w:afterAutospacing="1"/>
        <w:contextualSpacing/>
        <w:jc w:val="both"/>
      </w:pPr>
      <w:r>
        <w:t xml:space="preserve">En los nuevos estados de cuenta, los afiliados </w:t>
      </w:r>
      <w:r w:rsidR="00040BEE">
        <w:t xml:space="preserve">recibieron el resultado de la rentabilidad </w:t>
      </w:r>
      <w:r w:rsidR="005B118C">
        <w:t xml:space="preserve">y comisiones del último semestre. Esto es particularmente útil para </w:t>
      </w:r>
      <w:r w:rsidR="009D65F5">
        <w:t>analizar el desempeño financiero del fondo a largo plazo, y no las variaciones de un mes a otro</w:t>
      </w:r>
      <w:r w:rsidR="00961C89">
        <w:t xml:space="preserve">, que podrían presentar más volatilidad. </w:t>
      </w:r>
    </w:p>
    <w:p w14:paraId="7E2D13C8" w14:textId="77777777" w:rsidR="00407A93" w:rsidRDefault="00407A93" w:rsidP="00DE1A27">
      <w:pPr>
        <w:spacing w:after="100" w:afterAutospacing="1"/>
        <w:contextualSpacing/>
        <w:jc w:val="both"/>
      </w:pPr>
    </w:p>
    <w:p w14:paraId="225CD1B3" w14:textId="77777777" w:rsidR="00407A93" w:rsidRDefault="000C1F2F" w:rsidP="00ED6DF0">
      <w:pPr>
        <w:spacing w:after="100" w:afterAutospacing="1"/>
        <w:contextualSpacing/>
        <w:jc w:val="both"/>
      </w:pPr>
      <w:r>
        <w:t>Lo</w:t>
      </w:r>
      <w:r w:rsidR="00407A93">
        <w:t xml:space="preserve"> más novedoso en el estado de cuenta, es la inclusión de una proyección de la pensión </w:t>
      </w:r>
      <w:r w:rsidR="00364397">
        <w:t>que el afiliado recibirá en el futuro</w:t>
      </w:r>
      <w:r w:rsidR="006F4CFE">
        <w:t xml:space="preserve">. El objetivo de la proyección es </w:t>
      </w:r>
      <w:r w:rsidR="002E51F6">
        <w:t>vincula</w:t>
      </w:r>
      <w:r w:rsidR="0030675A">
        <w:t>r</w:t>
      </w:r>
      <w:r w:rsidR="002E51F6">
        <w:t xml:space="preserve"> </w:t>
      </w:r>
      <w:r w:rsidR="006D380A">
        <w:t>el ahorro y la pensión</w:t>
      </w:r>
      <w:r w:rsidR="00005551">
        <w:t>, variables di</w:t>
      </w:r>
      <w:r w:rsidR="00D06E26">
        <w:t>sociadas hasta este momento</w:t>
      </w:r>
      <w:r w:rsidR="00364397">
        <w:t xml:space="preserve">. </w:t>
      </w:r>
      <w:r w:rsidR="00ED6DF0">
        <w:t>Esta proyección se presenta en tres escenarios: pesimista,</w:t>
      </w:r>
      <w:r w:rsidR="004E7D89">
        <w:t xml:space="preserve"> </w:t>
      </w:r>
      <w:r w:rsidR="00ED6DF0">
        <w:t>esperado y optimista</w:t>
      </w:r>
      <w:r w:rsidR="004E7D89">
        <w:t xml:space="preserve">; calculados a partir de </w:t>
      </w:r>
      <w:r w:rsidR="00ED6DF0">
        <w:t>supuestos razonables,</w:t>
      </w:r>
      <w:r w:rsidR="004E7D89">
        <w:t xml:space="preserve"> técnicamente </w:t>
      </w:r>
      <w:r w:rsidR="00ED6DF0">
        <w:t>sustentados,</w:t>
      </w:r>
      <w:r w:rsidR="001D3E84">
        <w:t xml:space="preserve"> y </w:t>
      </w:r>
      <w:r w:rsidR="00ED6DF0">
        <w:t>declarados</w:t>
      </w:r>
      <w:r w:rsidR="001D3E84">
        <w:t xml:space="preserve"> por la entidad; además toma en cuenta,</w:t>
      </w:r>
      <w:r w:rsidR="00ED6DF0">
        <w:t xml:space="preserve"> como mínimo, la densidad de cotización, la tasa de </w:t>
      </w:r>
      <w:r w:rsidR="00F4654C">
        <w:t xml:space="preserve">rentabilidad </w:t>
      </w:r>
      <w:r w:rsidR="00ED6DF0">
        <w:t>y aportes</w:t>
      </w:r>
      <w:r w:rsidR="001D3E84">
        <w:t xml:space="preserve"> </w:t>
      </w:r>
      <w:r w:rsidR="00ED6DF0">
        <w:t>adicionales.</w:t>
      </w:r>
      <w:r w:rsidR="00355ACE">
        <w:t xml:space="preserve"> </w:t>
      </w:r>
    </w:p>
    <w:p w14:paraId="5DE5852F" w14:textId="77777777" w:rsidR="00F27244" w:rsidRDefault="00F27244" w:rsidP="00DE1A27">
      <w:pPr>
        <w:spacing w:after="100" w:afterAutospacing="1"/>
        <w:contextualSpacing/>
        <w:jc w:val="both"/>
      </w:pPr>
    </w:p>
    <w:p w14:paraId="49334F04" w14:textId="77777777" w:rsidR="00873009" w:rsidRDefault="00873009" w:rsidP="009D13CA">
      <w:pPr>
        <w:pStyle w:val="Ttulo2"/>
        <w:numPr>
          <w:ilvl w:val="1"/>
          <w:numId w:val="18"/>
        </w:numPr>
      </w:pPr>
      <w:bookmarkStart w:id="8" w:name="_Toc96614858"/>
      <w:r>
        <w:t>Activos administrados</w:t>
      </w:r>
      <w:bookmarkEnd w:id="8"/>
    </w:p>
    <w:p w14:paraId="506B185B" w14:textId="77777777" w:rsidR="00873009" w:rsidRDefault="00873009" w:rsidP="00873009"/>
    <w:p w14:paraId="379234F9" w14:textId="77777777" w:rsidR="00873009" w:rsidRDefault="00381F24" w:rsidP="009D13CA">
      <w:pPr>
        <w:pStyle w:val="Ttulo3"/>
        <w:numPr>
          <w:ilvl w:val="2"/>
          <w:numId w:val="18"/>
        </w:numPr>
      </w:pPr>
      <w:bookmarkStart w:id="9" w:name="_Toc96614859"/>
      <w:r>
        <w:t>C</w:t>
      </w:r>
      <w:r w:rsidR="00DE4396">
        <w:t>recimiento de los activos</w:t>
      </w:r>
      <w:r w:rsidR="000B6FFF">
        <w:t xml:space="preserve"> administrados</w:t>
      </w:r>
      <w:bookmarkEnd w:id="9"/>
    </w:p>
    <w:p w14:paraId="7F070D18" w14:textId="77777777" w:rsidR="00873009" w:rsidRDefault="00873009" w:rsidP="00873009">
      <w:pPr>
        <w:jc w:val="both"/>
      </w:pPr>
    </w:p>
    <w:p w14:paraId="4C8E4D5A" w14:textId="77777777" w:rsidR="00873009" w:rsidRDefault="00873009" w:rsidP="00873009">
      <w:pPr>
        <w:jc w:val="both"/>
      </w:pPr>
      <w:r>
        <w:t xml:space="preserve">A </w:t>
      </w:r>
      <w:r w:rsidR="00ED02A6">
        <w:t>diciembre</w:t>
      </w:r>
      <w:r>
        <w:t xml:space="preserve"> del 2021 los activos administrados por el SNP y el FCL totalizan ₡</w:t>
      </w:r>
      <w:r w:rsidR="00ED02A6">
        <w:t>19</w:t>
      </w:r>
      <w:r>
        <w:t>,</w:t>
      </w:r>
      <w:r w:rsidR="00ED02A6">
        <w:t>7</w:t>
      </w:r>
      <w:r>
        <w:t xml:space="preserve"> billones</w:t>
      </w:r>
      <w:r w:rsidR="0036238B" w:rsidDel="0036238B">
        <w:t xml:space="preserve"> </w:t>
      </w:r>
      <w:r>
        <w:t>(gráfico 1)</w:t>
      </w:r>
      <w:r w:rsidR="00E064AE">
        <w:rPr>
          <w:rStyle w:val="Refdenotaalpie"/>
        </w:rPr>
        <w:footnoteReference w:id="5"/>
      </w:r>
      <w:r>
        <w:t>. El crecimiento durante el año ha sido de 1</w:t>
      </w:r>
      <w:r w:rsidR="00ED02A6">
        <w:t>5</w:t>
      </w:r>
      <w:r>
        <w:t>% con respecto a los activos administrados a diciembre de 2020.</w:t>
      </w:r>
      <w:r w:rsidR="00D26228">
        <w:t xml:space="preserve"> </w:t>
      </w:r>
      <w:r w:rsidR="004307B5">
        <w:t xml:space="preserve">Destaca el rendimiento de los portafolios en </w:t>
      </w:r>
      <w:r w:rsidR="00A22C69">
        <w:t>dólares y en los mercados internacionales (</w:t>
      </w:r>
      <w:r w:rsidR="00A22C69" w:rsidRPr="00DA44C9">
        <w:t>ver detalles en la sección correspondiente)</w:t>
      </w:r>
      <w:r w:rsidRPr="00EA5087">
        <w:t>, en especial el ROP,</w:t>
      </w:r>
      <w:r w:rsidR="00A22C69" w:rsidRPr="00EA5087">
        <w:t xml:space="preserve"> lo que</w:t>
      </w:r>
      <w:r w:rsidRPr="00EA5087">
        <w:t xml:space="preserve"> </w:t>
      </w:r>
      <w:r>
        <w:t xml:space="preserve">explica </w:t>
      </w:r>
      <w:r w:rsidR="005F325B">
        <w:t>en buena medida</w:t>
      </w:r>
      <w:r>
        <w:t xml:space="preserve"> este crecimiento</w:t>
      </w:r>
      <w:r w:rsidR="009C7EC1">
        <w:t>.</w:t>
      </w:r>
    </w:p>
    <w:p w14:paraId="78609F94" w14:textId="77777777" w:rsidR="00396391" w:rsidRDefault="00396391" w:rsidP="00873009">
      <w:pPr>
        <w:jc w:val="both"/>
      </w:pPr>
    </w:p>
    <w:p w14:paraId="2DD6ECA0" w14:textId="77777777" w:rsidR="00AF5BB2" w:rsidRDefault="00AF5BB2" w:rsidP="00396391">
      <w:pPr>
        <w:jc w:val="both"/>
        <w:rPr>
          <w:b/>
          <w:bCs/>
        </w:rPr>
      </w:pPr>
    </w:p>
    <w:p w14:paraId="29407358" w14:textId="77777777" w:rsidR="00AF5BB2" w:rsidRDefault="00AF5BB2" w:rsidP="00396391">
      <w:pPr>
        <w:jc w:val="both"/>
        <w:rPr>
          <w:b/>
          <w:bCs/>
        </w:rPr>
      </w:pPr>
    </w:p>
    <w:p w14:paraId="2895B9CE" w14:textId="77777777" w:rsidR="00AF5BB2" w:rsidRDefault="00AF5BB2" w:rsidP="00396391">
      <w:pPr>
        <w:jc w:val="both"/>
        <w:rPr>
          <w:b/>
          <w:bCs/>
        </w:rPr>
      </w:pPr>
    </w:p>
    <w:p w14:paraId="1305EE94" w14:textId="77777777" w:rsidR="00396391" w:rsidRPr="00396391" w:rsidRDefault="00396391" w:rsidP="00396391">
      <w:pPr>
        <w:jc w:val="both"/>
        <w:rPr>
          <w:lang w:val="es-CR"/>
        </w:rPr>
      </w:pPr>
      <w:r w:rsidRPr="00396391">
        <w:rPr>
          <w:b/>
          <w:bCs/>
        </w:rPr>
        <w:lastRenderedPageBreak/>
        <w:t xml:space="preserve">Gráfico 1. </w:t>
      </w:r>
    </w:p>
    <w:p w14:paraId="659E55F7" w14:textId="77777777" w:rsidR="00396391" w:rsidRPr="00396391" w:rsidRDefault="00396391" w:rsidP="00396391">
      <w:pPr>
        <w:jc w:val="both"/>
        <w:rPr>
          <w:lang w:val="es-CR"/>
        </w:rPr>
      </w:pPr>
      <w:r w:rsidRPr="00396391">
        <w:rPr>
          <w:b/>
          <w:bCs/>
        </w:rPr>
        <w:t>Sistema Nacional de Pensiones: activos administrados por año y comparación respecto al PIB, 2010-2021</w:t>
      </w:r>
    </w:p>
    <w:p w14:paraId="0654D966" w14:textId="77777777" w:rsidR="00396391" w:rsidRPr="00DC65F3" w:rsidRDefault="00D71842" w:rsidP="00396391">
      <w:pPr>
        <w:jc w:val="both"/>
        <w:rPr>
          <w:sz w:val="18"/>
          <w:szCs w:val="18"/>
          <w:lang w:val="es-CR"/>
        </w:rPr>
      </w:pPr>
      <w:r w:rsidRPr="00D71842">
        <w:rPr>
          <w:noProof/>
        </w:rPr>
        <w:t xml:space="preserve"> </w:t>
      </w:r>
      <w:r>
        <w:rPr>
          <w:noProof/>
        </w:rPr>
        <w:drawing>
          <wp:inline distT="0" distB="0" distL="0" distR="0" wp14:anchorId="79514AEE" wp14:editId="3EB491E9">
            <wp:extent cx="6120765" cy="3449955"/>
            <wp:effectExtent l="0" t="0" r="0" b="0"/>
            <wp:docPr id="3" name="Gráfico 3">
              <a:extLst xmlns:a="http://schemas.openxmlformats.org/drawingml/2006/main">
                <a:ext uri="{FF2B5EF4-FFF2-40B4-BE49-F238E27FC236}">
                  <a16:creationId xmlns:a16="http://schemas.microsoft.com/office/drawing/2014/main" id="{9ACDBC83-E4C5-432A-8574-E326A76BB3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DC65F3">
        <w:rPr>
          <w:b/>
          <w:sz w:val="18"/>
          <w:szCs w:val="18"/>
        </w:rPr>
        <w:t xml:space="preserve"> </w:t>
      </w:r>
      <w:r w:rsidR="00396391" w:rsidRPr="00DC65F3">
        <w:rPr>
          <w:b/>
          <w:sz w:val="18"/>
          <w:szCs w:val="18"/>
        </w:rPr>
        <w:t>Nota: todos los datos para el 2021 son con corte al 3</w:t>
      </w:r>
      <w:r w:rsidR="00037C9B">
        <w:rPr>
          <w:b/>
          <w:sz w:val="18"/>
          <w:szCs w:val="18"/>
        </w:rPr>
        <w:t>1</w:t>
      </w:r>
      <w:r w:rsidR="00396391" w:rsidRPr="00DC65F3">
        <w:rPr>
          <w:b/>
          <w:sz w:val="18"/>
          <w:szCs w:val="18"/>
        </w:rPr>
        <w:t xml:space="preserve"> de </w:t>
      </w:r>
      <w:r w:rsidR="00037C9B">
        <w:rPr>
          <w:b/>
          <w:sz w:val="18"/>
          <w:szCs w:val="18"/>
        </w:rPr>
        <w:t>diciembre</w:t>
      </w:r>
      <w:r w:rsidR="00396391" w:rsidRPr="00DC65F3">
        <w:rPr>
          <w:b/>
          <w:sz w:val="18"/>
          <w:szCs w:val="18"/>
        </w:rPr>
        <w:t xml:space="preserve">, excepto para RIVM (al 31 de </w:t>
      </w:r>
      <w:r w:rsidR="00037C9B">
        <w:rPr>
          <w:b/>
          <w:sz w:val="18"/>
          <w:szCs w:val="18"/>
        </w:rPr>
        <w:t>octubre</w:t>
      </w:r>
      <w:r w:rsidR="00396391" w:rsidRPr="00DC65F3">
        <w:rPr>
          <w:b/>
          <w:sz w:val="18"/>
          <w:szCs w:val="18"/>
        </w:rPr>
        <w:t xml:space="preserve"> del 2021, último dato disponible).</w:t>
      </w:r>
      <w:r w:rsidR="004D1DD1">
        <w:rPr>
          <w:b/>
          <w:sz w:val="18"/>
          <w:szCs w:val="18"/>
        </w:rPr>
        <w:t xml:space="preserve"> Además, todos los años son con corte a diciembre, excepto </w:t>
      </w:r>
      <w:r w:rsidR="00CA5275">
        <w:rPr>
          <w:b/>
          <w:sz w:val="18"/>
          <w:szCs w:val="18"/>
        </w:rPr>
        <w:t>el 2021.</w:t>
      </w:r>
    </w:p>
    <w:p w14:paraId="0024CA6B" w14:textId="77777777" w:rsidR="00396391" w:rsidRPr="00DC65F3" w:rsidRDefault="00396391" w:rsidP="00396391">
      <w:pPr>
        <w:jc w:val="both"/>
        <w:rPr>
          <w:sz w:val="18"/>
          <w:szCs w:val="18"/>
          <w:lang w:val="es-CR"/>
        </w:rPr>
      </w:pPr>
      <w:r w:rsidRPr="00DC65F3">
        <w:rPr>
          <w:b/>
          <w:sz w:val="18"/>
          <w:szCs w:val="18"/>
        </w:rPr>
        <w:t xml:space="preserve">PIB consultado el </w:t>
      </w:r>
      <w:r w:rsidR="00F11B87">
        <w:rPr>
          <w:b/>
          <w:sz w:val="18"/>
          <w:szCs w:val="18"/>
        </w:rPr>
        <w:t>17 de enero de 2022</w:t>
      </w:r>
      <w:r w:rsidRPr="00DC65F3">
        <w:rPr>
          <w:b/>
          <w:sz w:val="18"/>
          <w:szCs w:val="18"/>
        </w:rPr>
        <w:t xml:space="preserve"> en www.bccr.fi.cr.</w:t>
      </w:r>
    </w:p>
    <w:p w14:paraId="1E760C5E" w14:textId="77777777" w:rsidR="00396391" w:rsidRPr="00DC65F3" w:rsidRDefault="00396391" w:rsidP="00396391">
      <w:pPr>
        <w:jc w:val="both"/>
        <w:rPr>
          <w:sz w:val="18"/>
          <w:szCs w:val="18"/>
          <w:lang w:val="es-CR"/>
        </w:rPr>
      </w:pPr>
      <w:r w:rsidRPr="00DC65F3">
        <w:rPr>
          <w:b/>
          <w:sz w:val="18"/>
          <w:szCs w:val="18"/>
        </w:rPr>
        <w:t>Fuente: Elaboración propia.</w:t>
      </w:r>
    </w:p>
    <w:p w14:paraId="31C52D0B" w14:textId="77777777" w:rsidR="00396391" w:rsidRDefault="00396391" w:rsidP="00CC2C96">
      <w:pPr>
        <w:jc w:val="both"/>
        <w:rPr>
          <w:rFonts w:cstheme="minorHAnsi"/>
        </w:rPr>
      </w:pPr>
    </w:p>
    <w:p w14:paraId="745DDE60" w14:textId="77777777" w:rsidR="00307DC7" w:rsidRDefault="00E5537E" w:rsidP="005957E5">
      <w:pPr>
        <w:jc w:val="both"/>
        <w:rPr>
          <w:rFonts w:cstheme="minorHAnsi"/>
        </w:rPr>
      </w:pPr>
      <w:r>
        <w:rPr>
          <w:rFonts w:cstheme="minorHAnsi"/>
        </w:rPr>
        <w:t xml:space="preserve">El Régimen Voluntario de Pensiones Complementarias continuó </w:t>
      </w:r>
      <w:r w:rsidR="00F53073">
        <w:rPr>
          <w:rFonts w:cstheme="minorHAnsi"/>
        </w:rPr>
        <w:t xml:space="preserve">con el crecimiento indicado en el informe anterior, para cerrar el 2021 con </w:t>
      </w:r>
      <w:r w:rsidR="009F1967">
        <w:rPr>
          <w:rFonts w:cstheme="minorHAnsi"/>
        </w:rPr>
        <w:t xml:space="preserve">30% de aumento en sus activos, </w:t>
      </w:r>
      <w:r w:rsidR="003D0C37">
        <w:rPr>
          <w:rFonts w:cstheme="minorHAnsi"/>
        </w:rPr>
        <w:t xml:space="preserve">por las mismas razones apuntadas: </w:t>
      </w:r>
      <w:r w:rsidR="00F351B6">
        <w:rPr>
          <w:rFonts w:cstheme="minorHAnsi"/>
        </w:rPr>
        <w:t>aumento en los aportes de los afiliados</w:t>
      </w:r>
      <w:r w:rsidR="00F9042B">
        <w:rPr>
          <w:rFonts w:cstheme="minorHAnsi"/>
        </w:rPr>
        <w:t>, apertura de nuevos fondos y la rentabilidad de los portafolios.</w:t>
      </w:r>
      <w:r w:rsidR="009904D9">
        <w:rPr>
          <w:rFonts w:cstheme="minorHAnsi"/>
        </w:rPr>
        <w:t xml:space="preserve"> </w:t>
      </w:r>
      <w:r w:rsidR="002723B7">
        <w:rPr>
          <w:rFonts w:cstheme="minorHAnsi"/>
        </w:rPr>
        <w:t xml:space="preserve">Sobre este último </w:t>
      </w:r>
      <w:r w:rsidR="00CA2275">
        <w:rPr>
          <w:rFonts w:cstheme="minorHAnsi"/>
        </w:rPr>
        <w:t xml:space="preserve">elemento, los fondos de pensiones de carácter voluntario tuvieron rentabilidades que estuvieron en entre </w:t>
      </w:r>
      <w:r w:rsidR="001D6EA8">
        <w:rPr>
          <w:rFonts w:cstheme="minorHAnsi"/>
        </w:rPr>
        <w:t xml:space="preserve">3,54% a 12,56% para los fondos A en dólares y </w:t>
      </w:r>
      <w:r w:rsidR="00C6788F">
        <w:rPr>
          <w:rFonts w:cstheme="minorHAnsi"/>
        </w:rPr>
        <w:t xml:space="preserve">entre 7,61% y 17,28% para los A en colones. </w:t>
      </w:r>
      <w:r w:rsidR="003F2D23">
        <w:rPr>
          <w:rFonts w:cstheme="minorHAnsi"/>
        </w:rPr>
        <w:t xml:space="preserve">En cuanto a los fondos B, </w:t>
      </w:r>
      <w:r w:rsidR="006E3A55">
        <w:rPr>
          <w:rFonts w:cstheme="minorHAnsi"/>
        </w:rPr>
        <w:t xml:space="preserve">la rentabilidad </w:t>
      </w:r>
      <w:r w:rsidR="00427CA4">
        <w:rPr>
          <w:rFonts w:cstheme="minorHAnsi"/>
        </w:rPr>
        <w:t xml:space="preserve">en dólares </w:t>
      </w:r>
      <w:r w:rsidR="006E3A55">
        <w:rPr>
          <w:rFonts w:cstheme="minorHAnsi"/>
        </w:rPr>
        <w:t>estuvo entre</w:t>
      </w:r>
      <w:r w:rsidR="00427CA4">
        <w:rPr>
          <w:rFonts w:cstheme="minorHAnsi"/>
        </w:rPr>
        <w:t xml:space="preserve"> 5,38% </w:t>
      </w:r>
      <w:r w:rsidR="006E3A55">
        <w:rPr>
          <w:rFonts w:cstheme="minorHAnsi"/>
        </w:rPr>
        <w:t>y</w:t>
      </w:r>
      <w:r w:rsidR="00427CA4">
        <w:rPr>
          <w:rFonts w:cstheme="minorHAnsi"/>
        </w:rPr>
        <w:t xml:space="preserve"> 13,56% y de </w:t>
      </w:r>
      <w:r w:rsidR="00903BDA">
        <w:rPr>
          <w:rFonts w:cstheme="minorHAnsi"/>
        </w:rPr>
        <w:t xml:space="preserve">8,81% a 19,80% en colones. Cabe recordar que los fondos A son aquellos que admiten retiros, </w:t>
      </w:r>
      <w:r w:rsidR="00520EC9">
        <w:rPr>
          <w:rFonts w:cstheme="minorHAnsi"/>
        </w:rPr>
        <w:t xml:space="preserve">a diferencia de los B, en los que no se puede </w:t>
      </w:r>
      <w:r w:rsidR="00FE5764">
        <w:rPr>
          <w:rFonts w:cstheme="minorHAnsi"/>
        </w:rPr>
        <w:t>acceder a los recursos en forma anticipada</w:t>
      </w:r>
      <w:r w:rsidR="00520EC9">
        <w:rPr>
          <w:rFonts w:cstheme="minorHAnsi"/>
        </w:rPr>
        <w:t>.</w:t>
      </w:r>
      <w:r w:rsidR="009904D9">
        <w:rPr>
          <w:rFonts w:cstheme="minorHAnsi"/>
        </w:rPr>
        <w:t xml:space="preserve"> </w:t>
      </w:r>
      <w:r w:rsidR="0039252D">
        <w:rPr>
          <w:rFonts w:cstheme="minorHAnsi"/>
        </w:rPr>
        <w:t xml:space="preserve">La cantidad de afiliados aumentó en </w:t>
      </w:r>
      <w:r w:rsidR="00913179">
        <w:rPr>
          <w:rFonts w:cstheme="minorHAnsi"/>
        </w:rPr>
        <w:t>3 022</w:t>
      </w:r>
      <w:r w:rsidR="0039252D">
        <w:rPr>
          <w:rFonts w:cstheme="minorHAnsi"/>
        </w:rPr>
        <w:t xml:space="preserve"> personas</w:t>
      </w:r>
      <w:r w:rsidR="00913179">
        <w:rPr>
          <w:rFonts w:cstheme="minorHAnsi"/>
        </w:rPr>
        <w:t xml:space="preserve"> desde diciembre de 2020</w:t>
      </w:r>
      <w:r w:rsidR="00307DC7">
        <w:rPr>
          <w:rFonts w:cstheme="minorHAnsi"/>
        </w:rPr>
        <w:t xml:space="preserve">. </w:t>
      </w:r>
      <w:r w:rsidR="009E4257">
        <w:rPr>
          <w:rFonts w:cstheme="minorHAnsi"/>
        </w:rPr>
        <w:t>Tanto el crecimiento de los aportes como la cantidad de nuevos afiliados responden al esfuerzo comercial de las Operadoras de Pensiones.</w:t>
      </w:r>
    </w:p>
    <w:p w14:paraId="502911D8" w14:textId="77777777" w:rsidR="00307DC7" w:rsidRDefault="00307DC7" w:rsidP="005957E5">
      <w:pPr>
        <w:jc w:val="both"/>
        <w:rPr>
          <w:rFonts w:cstheme="minorHAnsi"/>
        </w:rPr>
      </w:pPr>
    </w:p>
    <w:p w14:paraId="529E66CE" w14:textId="77777777" w:rsidR="00175C79" w:rsidRDefault="002B42CC" w:rsidP="00FC11BC">
      <w:pPr>
        <w:jc w:val="both"/>
      </w:pPr>
      <w:r>
        <w:t>E</w:t>
      </w:r>
      <w:r w:rsidR="00FF6B6D">
        <w:t>l ROP</w:t>
      </w:r>
      <w:r>
        <w:t xml:space="preserve"> cerró el año con un </w:t>
      </w:r>
      <w:r w:rsidR="00FF6B6D">
        <w:t xml:space="preserve">crecimiento </w:t>
      </w:r>
      <w:r w:rsidR="00200006">
        <w:t xml:space="preserve">del </w:t>
      </w:r>
      <w:r w:rsidR="003B2C13">
        <w:t>22,67</w:t>
      </w:r>
      <w:r w:rsidR="00FF6B6D">
        <w:t>% con respecto a 2020, mientras que el promedio anual de los años anteriores ha sido del 18%.</w:t>
      </w:r>
      <w:r w:rsidR="0030524B">
        <w:t xml:space="preserve"> </w:t>
      </w:r>
      <w:r w:rsidR="002D7900">
        <w:t>Como se indicó en el informe anterior, el</w:t>
      </w:r>
      <w:r w:rsidR="0030524B">
        <w:t xml:space="preserve"> aumento en el saldo administrad</w:t>
      </w:r>
      <w:r w:rsidR="00AE71A1">
        <w:t xml:space="preserve">o se explica, entre otras razones, por </w:t>
      </w:r>
      <w:r w:rsidR="0030524B">
        <w:t xml:space="preserve">las modificaciones legales introducidas </w:t>
      </w:r>
      <w:r w:rsidR="00C90E42">
        <w:t xml:space="preserve">por la </w:t>
      </w:r>
      <w:r w:rsidR="00C90E42" w:rsidRPr="00BA6C1C">
        <w:rPr>
          <w:i/>
          <w:iCs/>
        </w:rPr>
        <w:t xml:space="preserve">Ley para </w:t>
      </w:r>
      <w:r w:rsidR="00C90E42" w:rsidRPr="00AD6D3B">
        <w:rPr>
          <w:i/>
          <w:iCs/>
        </w:rPr>
        <w:t xml:space="preserve">Resguardar el Derecho de los Trabajadores a Retirar los Recursos de la Pensión Complementaria </w:t>
      </w:r>
      <w:r w:rsidR="00C90E42" w:rsidRPr="00AD6D3B">
        <w:t xml:space="preserve">(ley 9906) del </w:t>
      </w:r>
      <w:r w:rsidR="00705E20" w:rsidRPr="00AD6D3B">
        <w:t>5 de octubre de 2020</w:t>
      </w:r>
      <w:r w:rsidR="00AE71A1">
        <w:t xml:space="preserve">: </w:t>
      </w:r>
      <w:r w:rsidR="00324EE0">
        <w:t xml:space="preserve">esta reforma </w:t>
      </w:r>
      <w:r w:rsidR="00FA3DE4" w:rsidRPr="00AD6D3B">
        <w:t>elimin</w:t>
      </w:r>
      <w:r w:rsidR="00324EE0">
        <w:t>a</w:t>
      </w:r>
      <w:r w:rsidR="00FA3DE4" w:rsidRPr="00AD6D3B">
        <w:t xml:space="preserve"> el </w:t>
      </w:r>
      <w:r w:rsidR="00AA210B" w:rsidRPr="00AD6D3B">
        <w:t>traslado del 50% de los aportes del FCL al ROP</w:t>
      </w:r>
      <w:r w:rsidR="002A4CF0" w:rsidRPr="00AD6D3B">
        <w:t xml:space="preserve">, permitiendo que esos recursos pasen directamente a la cuenta individual </w:t>
      </w:r>
      <w:r w:rsidR="00BA7250" w:rsidRPr="00AD6D3B">
        <w:t>del afiliado en su fondo de pensión obligatorio.</w:t>
      </w:r>
      <w:r w:rsidR="002773C6">
        <w:t xml:space="preserve"> </w:t>
      </w:r>
      <w:r w:rsidR="00D54DE0">
        <w:t xml:space="preserve">Por otra parte, en 2021 la rentabilidad del régimen se ha mantenido a niveles </w:t>
      </w:r>
      <w:r w:rsidR="002773C6">
        <w:t xml:space="preserve">que rondan el 10% a 10 años. </w:t>
      </w:r>
    </w:p>
    <w:p w14:paraId="21DAD6C9" w14:textId="77777777" w:rsidR="00036862" w:rsidRPr="00FC11BC" w:rsidRDefault="00036862" w:rsidP="00FC11BC">
      <w:pPr>
        <w:jc w:val="both"/>
      </w:pPr>
    </w:p>
    <w:p w14:paraId="636EB0B6" w14:textId="77777777" w:rsidR="00344B57" w:rsidRDefault="00344B57" w:rsidP="009D13CA">
      <w:pPr>
        <w:pStyle w:val="Ttulo3"/>
        <w:numPr>
          <w:ilvl w:val="2"/>
          <w:numId w:val="18"/>
        </w:numPr>
      </w:pPr>
      <w:bookmarkStart w:id="10" w:name="_Toc96614860"/>
      <w:r>
        <w:t>Participación de mercado</w:t>
      </w:r>
      <w:bookmarkEnd w:id="10"/>
    </w:p>
    <w:p w14:paraId="287E3233" w14:textId="77777777" w:rsidR="00344B57" w:rsidRDefault="00344B57" w:rsidP="00E264F0">
      <w:pPr>
        <w:spacing w:after="100" w:afterAutospacing="1" w:line="360" w:lineRule="auto"/>
        <w:contextualSpacing/>
        <w:jc w:val="both"/>
        <w:rPr>
          <w:rFonts w:cstheme="minorHAnsi"/>
        </w:rPr>
      </w:pPr>
    </w:p>
    <w:p w14:paraId="0C58A094" w14:textId="77777777" w:rsidR="00C106B1" w:rsidRDefault="005A523D" w:rsidP="007E2CD3">
      <w:pPr>
        <w:contextualSpacing/>
        <w:jc w:val="both"/>
        <w:rPr>
          <w:rFonts w:cstheme="minorHAnsi"/>
        </w:rPr>
      </w:pPr>
      <w:r>
        <w:rPr>
          <w:rFonts w:cstheme="minorHAnsi"/>
        </w:rPr>
        <w:t>E</w:t>
      </w:r>
      <w:r w:rsidR="00FF6B6D">
        <w:rPr>
          <w:rFonts w:cstheme="minorHAnsi"/>
        </w:rPr>
        <w:t>l ROP</w:t>
      </w:r>
      <w:r>
        <w:rPr>
          <w:rFonts w:cstheme="minorHAnsi"/>
        </w:rPr>
        <w:t xml:space="preserve"> continúa </w:t>
      </w:r>
      <w:r w:rsidR="007D1279">
        <w:rPr>
          <w:rFonts w:cstheme="minorHAnsi"/>
        </w:rPr>
        <w:t>aumentando su</w:t>
      </w:r>
      <w:r>
        <w:rPr>
          <w:rFonts w:cstheme="minorHAnsi"/>
        </w:rPr>
        <w:t xml:space="preserve"> participación</w:t>
      </w:r>
      <w:r w:rsidR="00A108DB">
        <w:rPr>
          <w:rFonts w:cstheme="minorHAnsi"/>
        </w:rPr>
        <w:t>, cerrando del 2021 con 49% del activo</w:t>
      </w:r>
      <w:r w:rsidR="007D1279">
        <w:rPr>
          <w:rFonts w:cstheme="minorHAnsi"/>
        </w:rPr>
        <w:t xml:space="preserve"> </w:t>
      </w:r>
      <w:r w:rsidR="0058021C">
        <w:rPr>
          <w:rFonts w:cstheme="minorHAnsi"/>
        </w:rPr>
        <w:t xml:space="preserve">total </w:t>
      </w:r>
      <w:r w:rsidR="007D1279">
        <w:rPr>
          <w:rFonts w:cstheme="minorHAnsi"/>
        </w:rPr>
        <w:t>del Sistema Nacional de Pensione</w:t>
      </w:r>
      <w:r w:rsidR="008B206D">
        <w:rPr>
          <w:rFonts w:cstheme="minorHAnsi"/>
        </w:rPr>
        <w:t>s;</w:t>
      </w:r>
      <w:r w:rsidR="00E266F5">
        <w:rPr>
          <w:rFonts w:cstheme="minorHAnsi"/>
        </w:rPr>
        <w:t xml:space="preserve"> </w:t>
      </w:r>
      <w:r w:rsidR="008B206D">
        <w:rPr>
          <w:rFonts w:cstheme="minorHAnsi"/>
        </w:rPr>
        <w:t>l</w:t>
      </w:r>
      <w:r w:rsidR="00FF6B6D">
        <w:rPr>
          <w:rFonts w:cstheme="minorHAnsi"/>
        </w:rPr>
        <w:t xml:space="preserve">os regímenes </w:t>
      </w:r>
      <w:r w:rsidR="007D0A11">
        <w:rPr>
          <w:rFonts w:cstheme="minorHAnsi"/>
        </w:rPr>
        <w:t>básicos sustitutos</w:t>
      </w:r>
      <w:r w:rsidR="00FF6B6D">
        <w:rPr>
          <w:rFonts w:cstheme="minorHAnsi"/>
        </w:rPr>
        <w:t xml:space="preserve"> 2</w:t>
      </w:r>
      <w:r w:rsidR="00732E91">
        <w:rPr>
          <w:rFonts w:cstheme="minorHAnsi"/>
        </w:rPr>
        <w:t>3</w:t>
      </w:r>
      <w:r w:rsidR="00FF6B6D">
        <w:rPr>
          <w:rFonts w:cstheme="minorHAnsi"/>
        </w:rPr>
        <w:t>%</w:t>
      </w:r>
      <w:r w:rsidR="00732E91">
        <w:rPr>
          <w:rFonts w:cstheme="minorHAnsi"/>
        </w:rPr>
        <w:t xml:space="preserve">, lo que representa una disminución de 3 puntos porcentuales con respecto </w:t>
      </w:r>
      <w:r w:rsidR="0019154C">
        <w:rPr>
          <w:rFonts w:cstheme="minorHAnsi"/>
        </w:rPr>
        <w:t>a los activos del SNP</w:t>
      </w:r>
      <w:r w:rsidR="000D2A2A">
        <w:rPr>
          <w:rFonts w:cstheme="minorHAnsi"/>
        </w:rPr>
        <w:t xml:space="preserve"> en 2020</w:t>
      </w:r>
      <w:r w:rsidR="000E55CD">
        <w:rPr>
          <w:rFonts w:cstheme="minorHAnsi"/>
        </w:rPr>
        <w:t xml:space="preserve">; </w:t>
      </w:r>
      <w:r w:rsidR="005A3BBC">
        <w:rPr>
          <w:rFonts w:cstheme="minorHAnsi"/>
        </w:rPr>
        <w:t xml:space="preserve">esta disminución </w:t>
      </w:r>
      <w:r w:rsidR="00C02D50">
        <w:rPr>
          <w:rFonts w:cstheme="minorHAnsi"/>
        </w:rPr>
        <w:t>solo se refleja en la comparación del activo con respecto al valor total de SNP</w:t>
      </w:r>
      <w:r w:rsidR="0003714F">
        <w:rPr>
          <w:rFonts w:cstheme="minorHAnsi"/>
        </w:rPr>
        <w:t>,</w:t>
      </w:r>
      <w:r w:rsidR="005A3BBC">
        <w:rPr>
          <w:rFonts w:cstheme="minorHAnsi"/>
        </w:rPr>
        <w:t xml:space="preserve"> ya que </w:t>
      </w:r>
      <w:r w:rsidR="00C02D50">
        <w:rPr>
          <w:rFonts w:cstheme="minorHAnsi"/>
        </w:rPr>
        <w:t>los regímenes básicos sustitutos</w:t>
      </w:r>
      <w:r w:rsidR="00BA36C0">
        <w:rPr>
          <w:rFonts w:cstheme="minorHAnsi"/>
        </w:rPr>
        <w:t xml:space="preserve"> tuvieron</w:t>
      </w:r>
      <w:r w:rsidR="005A3BBC">
        <w:rPr>
          <w:rFonts w:cstheme="minorHAnsi"/>
        </w:rPr>
        <w:t xml:space="preserve"> un crecimiento </w:t>
      </w:r>
      <w:r w:rsidR="00BA36C0">
        <w:rPr>
          <w:rFonts w:cstheme="minorHAnsi"/>
        </w:rPr>
        <w:t>13,25</w:t>
      </w:r>
      <w:r w:rsidR="008F5CBC">
        <w:rPr>
          <w:rFonts w:cstheme="minorHAnsi"/>
        </w:rPr>
        <w:t xml:space="preserve">% </w:t>
      </w:r>
      <w:r w:rsidR="000D2A2A">
        <w:rPr>
          <w:rFonts w:cstheme="minorHAnsi"/>
        </w:rPr>
        <w:t>de un año a otro</w:t>
      </w:r>
      <w:r w:rsidR="00EB2AF2">
        <w:rPr>
          <w:rFonts w:cstheme="minorHAnsi"/>
        </w:rPr>
        <w:t>.</w:t>
      </w:r>
      <w:r w:rsidR="00572A54">
        <w:rPr>
          <w:rFonts w:cstheme="minorHAnsi"/>
        </w:rPr>
        <w:t xml:space="preserve"> </w:t>
      </w:r>
      <w:r w:rsidR="00EB2AF2">
        <w:rPr>
          <w:rFonts w:cstheme="minorHAnsi"/>
        </w:rPr>
        <w:t>E</w:t>
      </w:r>
      <w:r w:rsidR="00572A54">
        <w:rPr>
          <w:rFonts w:cstheme="minorHAnsi"/>
        </w:rPr>
        <w:t>l</w:t>
      </w:r>
      <w:r w:rsidR="00FF6B6D">
        <w:rPr>
          <w:rFonts w:cstheme="minorHAnsi"/>
        </w:rPr>
        <w:t xml:space="preserve"> </w:t>
      </w:r>
      <w:r w:rsidR="00C9492F">
        <w:rPr>
          <w:rFonts w:cstheme="minorHAnsi"/>
        </w:rPr>
        <w:t>IV</w:t>
      </w:r>
      <w:r w:rsidR="00572A54">
        <w:rPr>
          <w:rFonts w:cstheme="minorHAnsi"/>
        </w:rPr>
        <w:t>M</w:t>
      </w:r>
      <w:r w:rsidR="00C9492F">
        <w:rPr>
          <w:rFonts w:cstheme="minorHAnsi"/>
        </w:rPr>
        <w:t xml:space="preserve"> </w:t>
      </w:r>
      <w:r w:rsidR="00572A54">
        <w:rPr>
          <w:rFonts w:cstheme="minorHAnsi"/>
        </w:rPr>
        <w:t>cierra en 17%</w:t>
      </w:r>
      <w:r w:rsidR="00EB2AF2">
        <w:rPr>
          <w:rFonts w:cstheme="minorHAnsi"/>
        </w:rPr>
        <w:t xml:space="preserve"> </w:t>
      </w:r>
      <w:r w:rsidR="002727F7">
        <w:rPr>
          <w:rFonts w:cstheme="minorHAnsi"/>
        </w:rPr>
        <w:t xml:space="preserve">del activo total del SNP, con un crecimiento </w:t>
      </w:r>
      <w:r w:rsidR="00CC5B08">
        <w:rPr>
          <w:rFonts w:cstheme="minorHAnsi"/>
        </w:rPr>
        <w:t xml:space="preserve">en activos de </w:t>
      </w:r>
      <w:r w:rsidR="002A14CC">
        <w:rPr>
          <w:rFonts w:cstheme="minorHAnsi"/>
        </w:rPr>
        <w:t>2,10</w:t>
      </w:r>
      <w:r w:rsidR="00CC5B08">
        <w:rPr>
          <w:rFonts w:cstheme="minorHAnsi"/>
        </w:rPr>
        <w:t>% desde 2020</w:t>
      </w:r>
      <w:r w:rsidR="003B547D">
        <w:rPr>
          <w:rFonts w:cstheme="minorHAnsi"/>
        </w:rPr>
        <w:t>, producto de</w:t>
      </w:r>
      <w:r w:rsidR="00EB2AF2">
        <w:rPr>
          <w:rFonts w:cstheme="minorHAnsi"/>
        </w:rPr>
        <w:t xml:space="preserve">l aumento de </w:t>
      </w:r>
      <w:r w:rsidR="005955CC">
        <w:rPr>
          <w:rFonts w:cstheme="minorHAnsi"/>
        </w:rPr>
        <w:t>aportaciones, dadas</w:t>
      </w:r>
      <w:r w:rsidR="003B547D">
        <w:rPr>
          <w:rFonts w:cstheme="minorHAnsi"/>
        </w:rPr>
        <w:t xml:space="preserve"> las mejoras en materia de empleo apuntadas en párrafos anteriores. </w:t>
      </w:r>
      <w:r w:rsidR="0045162B">
        <w:rPr>
          <w:rFonts w:cstheme="minorHAnsi"/>
        </w:rPr>
        <w:t>Por su parte,</w:t>
      </w:r>
      <w:r w:rsidR="00780234">
        <w:rPr>
          <w:rFonts w:cstheme="minorHAnsi"/>
        </w:rPr>
        <w:t xml:space="preserve"> </w:t>
      </w:r>
      <w:r w:rsidR="00B87840">
        <w:rPr>
          <w:rFonts w:cstheme="minorHAnsi"/>
        </w:rPr>
        <w:t xml:space="preserve">el FCCMN </w:t>
      </w:r>
      <w:r w:rsidR="0045162B">
        <w:rPr>
          <w:rFonts w:cstheme="minorHAnsi"/>
        </w:rPr>
        <w:t xml:space="preserve">aumentó su activo </w:t>
      </w:r>
      <w:r w:rsidR="001C7DB1">
        <w:rPr>
          <w:rFonts w:cstheme="minorHAnsi"/>
        </w:rPr>
        <w:t>10,76</w:t>
      </w:r>
      <w:r w:rsidR="00F33A35">
        <w:rPr>
          <w:rFonts w:cstheme="minorHAnsi"/>
        </w:rPr>
        <w:t xml:space="preserve">% con respecto </w:t>
      </w:r>
      <w:r w:rsidR="001C7DB1">
        <w:rPr>
          <w:rFonts w:cstheme="minorHAnsi"/>
        </w:rPr>
        <w:t>a 2020</w:t>
      </w:r>
      <w:r w:rsidR="00280C5A">
        <w:rPr>
          <w:rFonts w:cstheme="minorHAnsi"/>
        </w:rPr>
        <w:t xml:space="preserve"> (</w:t>
      </w:r>
      <w:r w:rsidR="00504EB0">
        <w:rPr>
          <w:rFonts w:cstheme="minorHAnsi"/>
        </w:rPr>
        <w:t>363</w:t>
      </w:r>
      <w:r w:rsidR="00280C5A">
        <w:rPr>
          <w:rFonts w:cstheme="minorHAnsi"/>
        </w:rPr>
        <w:t xml:space="preserve"> mil millones de colones)</w:t>
      </w:r>
      <w:r w:rsidR="00A06553">
        <w:rPr>
          <w:rFonts w:cstheme="minorHAnsi"/>
        </w:rPr>
        <w:t>;</w:t>
      </w:r>
      <w:r w:rsidR="00F33A35">
        <w:rPr>
          <w:rFonts w:cstheme="minorHAnsi"/>
        </w:rPr>
        <w:t xml:space="preserve"> el </w:t>
      </w:r>
      <w:r w:rsidR="00B87840">
        <w:rPr>
          <w:rFonts w:cstheme="minorHAnsi"/>
        </w:rPr>
        <w:t>Poder Judicial</w:t>
      </w:r>
      <w:r w:rsidR="00F33A35">
        <w:rPr>
          <w:rFonts w:cstheme="minorHAnsi"/>
        </w:rPr>
        <w:t xml:space="preserve"> lo hizo en </w:t>
      </w:r>
      <w:r w:rsidR="00B6131C">
        <w:rPr>
          <w:rFonts w:cstheme="minorHAnsi"/>
        </w:rPr>
        <w:t>15,08</w:t>
      </w:r>
      <w:r w:rsidR="00F33A35">
        <w:rPr>
          <w:rFonts w:cstheme="minorHAnsi"/>
        </w:rPr>
        <w:t>%</w:t>
      </w:r>
      <w:r w:rsidR="00B931F5">
        <w:rPr>
          <w:rFonts w:cstheme="minorHAnsi"/>
        </w:rPr>
        <w:t xml:space="preserve"> </w:t>
      </w:r>
      <w:r w:rsidR="00B87840">
        <w:rPr>
          <w:rFonts w:cstheme="minorHAnsi"/>
        </w:rPr>
        <w:t>(</w:t>
      </w:r>
      <w:r w:rsidR="00B6131C">
        <w:rPr>
          <w:rFonts w:cstheme="minorHAnsi"/>
        </w:rPr>
        <w:t>96,5 mil</w:t>
      </w:r>
      <w:r w:rsidR="006E40F0">
        <w:rPr>
          <w:rFonts w:cstheme="minorHAnsi"/>
        </w:rPr>
        <w:t xml:space="preserve"> millones de colones</w:t>
      </w:r>
      <w:r w:rsidR="00B87840">
        <w:rPr>
          <w:rFonts w:cstheme="minorHAnsi"/>
        </w:rPr>
        <w:t>)</w:t>
      </w:r>
      <w:r w:rsidR="00F05125">
        <w:rPr>
          <w:rFonts w:cstheme="minorHAnsi"/>
        </w:rPr>
        <w:t>.</w:t>
      </w:r>
    </w:p>
    <w:p w14:paraId="3F14FD45" w14:textId="77777777" w:rsidR="007E2CD3" w:rsidRDefault="007E2CD3" w:rsidP="007E2CD3">
      <w:pPr>
        <w:contextualSpacing/>
        <w:jc w:val="both"/>
        <w:rPr>
          <w:rFonts w:cstheme="minorHAnsi"/>
        </w:rPr>
      </w:pPr>
    </w:p>
    <w:p w14:paraId="2345200D" w14:textId="77777777" w:rsidR="00C106B1" w:rsidRDefault="00C106B1" w:rsidP="00C106B1">
      <w:pPr>
        <w:contextualSpacing/>
        <w:jc w:val="both"/>
        <w:rPr>
          <w:rFonts w:cstheme="minorHAnsi"/>
          <w:lang w:val="es-CR"/>
        </w:rPr>
      </w:pPr>
      <w:r w:rsidRPr="00C106B1">
        <w:rPr>
          <w:rFonts w:cstheme="minorHAnsi"/>
          <w:b/>
          <w:bCs/>
          <w:lang w:val="es-CR"/>
        </w:rPr>
        <w:t>Gráfico 2</w:t>
      </w:r>
      <w:r>
        <w:rPr>
          <w:rFonts w:cstheme="minorHAnsi"/>
          <w:b/>
          <w:bCs/>
          <w:lang w:val="es-CR"/>
        </w:rPr>
        <w:t>.</w:t>
      </w:r>
      <w:r w:rsidRPr="00C106B1">
        <w:rPr>
          <w:rFonts w:cstheme="minorHAnsi"/>
          <w:b/>
          <w:bCs/>
          <w:lang w:val="es-CR"/>
        </w:rPr>
        <w:t xml:space="preserve"> </w:t>
      </w:r>
    </w:p>
    <w:p w14:paraId="2DEB605A" w14:textId="77777777" w:rsidR="00C106B1" w:rsidRDefault="00C106B1" w:rsidP="00C106B1">
      <w:pPr>
        <w:contextualSpacing/>
        <w:jc w:val="both"/>
        <w:rPr>
          <w:rFonts w:cstheme="minorHAnsi"/>
          <w:b/>
          <w:bCs/>
          <w:lang w:val="es-CR"/>
        </w:rPr>
      </w:pPr>
      <w:r w:rsidRPr="00C106B1">
        <w:rPr>
          <w:rFonts w:cstheme="minorHAnsi"/>
          <w:b/>
          <w:bCs/>
          <w:lang w:val="es-CR"/>
        </w:rPr>
        <w:t xml:space="preserve">Principales fondos de primer pilar: </w:t>
      </w:r>
      <w:r w:rsidR="00CB40CF">
        <w:rPr>
          <w:rFonts w:cstheme="minorHAnsi"/>
          <w:b/>
          <w:bCs/>
          <w:lang w:val="es-CR"/>
        </w:rPr>
        <w:t>activo administrado</w:t>
      </w:r>
      <w:r w:rsidR="00D94785">
        <w:rPr>
          <w:rFonts w:cstheme="minorHAnsi"/>
          <w:b/>
          <w:bCs/>
          <w:lang w:val="es-CR"/>
        </w:rPr>
        <w:t xml:space="preserve"> en </w:t>
      </w:r>
      <w:r w:rsidR="00B962F7">
        <w:rPr>
          <w:rFonts w:cstheme="minorHAnsi"/>
          <w:b/>
          <w:bCs/>
          <w:lang w:val="es-CR"/>
        </w:rPr>
        <w:t>b</w:t>
      </w:r>
      <w:r w:rsidR="00D94785">
        <w:rPr>
          <w:rFonts w:cstheme="minorHAnsi"/>
          <w:b/>
          <w:bCs/>
          <w:lang w:val="es-CR"/>
        </w:rPr>
        <w:t>illones de colones, 2020-2021</w:t>
      </w:r>
    </w:p>
    <w:p w14:paraId="39DC1711" w14:textId="77777777" w:rsidR="000357D8" w:rsidRPr="00C106B1" w:rsidRDefault="00751AE9" w:rsidP="00D94785">
      <w:pPr>
        <w:contextualSpacing/>
        <w:jc w:val="center"/>
        <w:rPr>
          <w:rFonts w:cstheme="minorHAnsi"/>
          <w:lang w:val="es-CR"/>
        </w:rPr>
      </w:pPr>
      <w:r>
        <w:rPr>
          <w:noProof/>
        </w:rPr>
        <w:drawing>
          <wp:inline distT="0" distB="0" distL="0" distR="0" wp14:anchorId="304E5E74" wp14:editId="498A5491">
            <wp:extent cx="4343400" cy="2181225"/>
            <wp:effectExtent l="0" t="0" r="0" b="0"/>
            <wp:docPr id="8" name="Gráfico 8">
              <a:extLst xmlns:a="http://schemas.openxmlformats.org/drawingml/2006/main">
                <a:ext uri="{FF2B5EF4-FFF2-40B4-BE49-F238E27FC236}">
                  <a16:creationId xmlns:a16="http://schemas.microsoft.com/office/drawing/2014/main" id="{243D342B-D86B-4C8A-A418-A322F5F63B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B6DADC2" w14:textId="77777777" w:rsidR="00141152" w:rsidRDefault="00141152" w:rsidP="00141152">
      <w:pPr>
        <w:jc w:val="center"/>
        <w:rPr>
          <w:highlight w:val="yellow"/>
        </w:rPr>
      </w:pPr>
    </w:p>
    <w:p w14:paraId="49AFC95D" w14:textId="77777777" w:rsidR="00C106B1" w:rsidRPr="00C106B1" w:rsidRDefault="00C106B1" w:rsidP="00C106B1">
      <w:pPr>
        <w:jc w:val="both"/>
        <w:rPr>
          <w:b/>
          <w:bCs/>
          <w:sz w:val="18"/>
          <w:szCs w:val="18"/>
          <w:lang w:val="es-CR"/>
        </w:rPr>
      </w:pPr>
      <w:r w:rsidRPr="00C106B1">
        <w:rPr>
          <w:b/>
          <w:bCs/>
          <w:sz w:val="18"/>
          <w:szCs w:val="18"/>
        </w:rPr>
        <w:t>Fuente: Elaboración propia.</w:t>
      </w:r>
    </w:p>
    <w:p w14:paraId="77CCBF1C" w14:textId="77777777" w:rsidR="00C106B1" w:rsidRDefault="00C106B1" w:rsidP="008F0657">
      <w:pPr>
        <w:jc w:val="both"/>
      </w:pPr>
    </w:p>
    <w:p w14:paraId="04CC9C92" w14:textId="77777777" w:rsidR="008F4070" w:rsidRDefault="007E4926" w:rsidP="008F0657">
      <w:pPr>
        <w:jc w:val="both"/>
      </w:pPr>
      <w:r>
        <w:t xml:space="preserve">La participación de mercado de los fondos que componen el Régimen Obligatorio de Pensiones Complementarias no ha tenido variaciones significativas con respecto a los reportes de trimestres anteriores. </w:t>
      </w:r>
      <w:r w:rsidR="002D2A30">
        <w:t>Caso contrario sucede en el Régimen Voluntario de Pensiones Complementarias, en los que la participación por activo administrado</w:t>
      </w:r>
      <w:r w:rsidR="002A4E29">
        <w:t xml:space="preserve"> </w:t>
      </w:r>
      <w:r w:rsidR="00083684">
        <w:t>de los f</w:t>
      </w:r>
      <w:r w:rsidR="002124C9">
        <w:t xml:space="preserve">ondos administrados por BN Vital desplazaron a </w:t>
      </w:r>
      <w:r w:rsidR="00782EB7">
        <w:t>los administrados por Popular Pensiones</w:t>
      </w:r>
      <w:r w:rsidR="007B6DB4">
        <w:t xml:space="preserve"> (cuadro </w:t>
      </w:r>
      <w:r w:rsidR="00912497">
        <w:t>2</w:t>
      </w:r>
      <w:r w:rsidR="007B6DB4">
        <w:t>)</w:t>
      </w:r>
      <w:r w:rsidR="00782EB7">
        <w:t>.</w:t>
      </w:r>
      <w:r w:rsidR="00C25210">
        <w:t xml:space="preserve"> </w:t>
      </w:r>
      <w:r w:rsidR="00B24D89">
        <w:t>Este desplazamiento obedece</w:t>
      </w:r>
      <w:r w:rsidR="0085234C">
        <w:t xml:space="preserve"> </w:t>
      </w:r>
      <w:r w:rsidR="00B24D89">
        <w:t>a</w:t>
      </w:r>
      <w:r w:rsidR="0085234C">
        <w:t>l crecimiento del fondo por</w:t>
      </w:r>
      <w:r w:rsidR="00C25210">
        <w:t xml:space="preserve"> rentabilidad </w:t>
      </w:r>
      <w:r w:rsidR="00404D78">
        <w:t>(</w:t>
      </w:r>
      <w:r w:rsidR="00223D4B">
        <w:t xml:space="preserve">BN Vital logró </w:t>
      </w:r>
      <w:r w:rsidR="00404D78">
        <w:t>rendimientos</w:t>
      </w:r>
      <w:r w:rsidR="00223D4B">
        <w:t xml:space="preserve"> de</w:t>
      </w:r>
      <w:r w:rsidR="00404D78">
        <w:t xml:space="preserve"> alrededor de 13% en dólares</w:t>
      </w:r>
      <w:r w:rsidR="001158A6">
        <w:t xml:space="preserve"> y 18% en colones durante el 2021).</w:t>
      </w:r>
      <w:r w:rsidR="00153460">
        <w:t xml:space="preserve"> </w:t>
      </w:r>
    </w:p>
    <w:p w14:paraId="389F4935" w14:textId="77777777" w:rsidR="000B0D7B" w:rsidRDefault="000B0D7B" w:rsidP="008F0657">
      <w:pPr>
        <w:jc w:val="both"/>
      </w:pPr>
    </w:p>
    <w:p w14:paraId="51C84A9F" w14:textId="77777777" w:rsidR="00AF5BB2" w:rsidRDefault="00AF5BB2">
      <w:pPr>
        <w:jc w:val="both"/>
        <w:rPr>
          <w:rFonts w:eastAsia="Times New Roman" w:cstheme="minorHAnsi"/>
          <w:b/>
          <w:bCs/>
          <w:color w:val="000000"/>
          <w:lang w:val="es-CR" w:eastAsia="es-CR"/>
        </w:rPr>
      </w:pPr>
    </w:p>
    <w:p w14:paraId="0BE3A3D6" w14:textId="77777777" w:rsidR="00AF5BB2" w:rsidRDefault="00AF5BB2">
      <w:pPr>
        <w:jc w:val="both"/>
        <w:rPr>
          <w:rFonts w:eastAsia="Times New Roman" w:cstheme="minorHAnsi"/>
          <w:b/>
          <w:bCs/>
          <w:color w:val="000000"/>
          <w:lang w:val="es-CR" w:eastAsia="es-CR"/>
        </w:rPr>
      </w:pPr>
    </w:p>
    <w:p w14:paraId="3710F5B3" w14:textId="77777777" w:rsidR="00AF5BB2" w:rsidRDefault="00AF5BB2">
      <w:pPr>
        <w:jc w:val="both"/>
        <w:rPr>
          <w:rFonts w:eastAsia="Times New Roman" w:cstheme="minorHAnsi"/>
          <w:b/>
          <w:bCs/>
          <w:color w:val="000000"/>
          <w:lang w:val="es-CR" w:eastAsia="es-CR"/>
        </w:rPr>
      </w:pPr>
    </w:p>
    <w:p w14:paraId="20AEAD45" w14:textId="77777777" w:rsidR="00AF5BB2" w:rsidRDefault="00AF5BB2">
      <w:pPr>
        <w:jc w:val="both"/>
        <w:rPr>
          <w:rFonts w:eastAsia="Times New Roman" w:cstheme="minorHAnsi"/>
          <w:b/>
          <w:bCs/>
          <w:color w:val="000000"/>
          <w:lang w:val="es-CR" w:eastAsia="es-CR"/>
        </w:rPr>
      </w:pPr>
    </w:p>
    <w:p w14:paraId="6839F05A" w14:textId="77777777" w:rsidR="00AF5BB2" w:rsidRDefault="00AF5BB2">
      <w:pPr>
        <w:jc w:val="both"/>
        <w:rPr>
          <w:rFonts w:eastAsia="Times New Roman" w:cstheme="minorHAnsi"/>
          <w:b/>
          <w:bCs/>
          <w:color w:val="000000"/>
          <w:lang w:val="es-CR" w:eastAsia="es-CR"/>
        </w:rPr>
      </w:pPr>
    </w:p>
    <w:p w14:paraId="11C6A70E" w14:textId="77777777" w:rsidR="00AF5BB2" w:rsidRDefault="00AF5BB2">
      <w:pPr>
        <w:jc w:val="both"/>
        <w:rPr>
          <w:rFonts w:eastAsia="Times New Roman" w:cstheme="minorHAnsi"/>
          <w:b/>
          <w:bCs/>
          <w:color w:val="000000"/>
          <w:lang w:val="es-CR" w:eastAsia="es-CR"/>
        </w:rPr>
      </w:pPr>
    </w:p>
    <w:p w14:paraId="0D038F51" w14:textId="77777777" w:rsidR="00AF5BB2" w:rsidRDefault="00AF5BB2">
      <w:pPr>
        <w:jc w:val="both"/>
        <w:rPr>
          <w:rFonts w:eastAsia="Times New Roman" w:cstheme="minorHAnsi"/>
          <w:b/>
          <w:bCs/>
          <w:color w:val="000000"/>
          <w:lang w:val="es-CR" w:eastAsia="es-CR"/>
        </w:rPr>
      </w:pPr>
    </w:p>
    <w:p w14:paraId="5C9DD7FD" w14:textId="77777777" w:rsidR="00AF5BB2" w:rsidRDefault="00AF5BB2">
      <w:pPr>
        <w:jc w:val="both"/>
        <w:rPr>
          <w:rFonts w:eastAsia="Times New Roman" w:cstheme="minorHAnsi"/>
          <w:b/>
          <w:bCs/>
          <w:color w:val="000000"/>
          <w:lang w:val="es-CR" w:eastAsia="es-CR"/>
        </w:rPr>
      </w:pPr>
    </w:p>
    <w:p w14:paraId="2E73DC47" w14:textId="77777777" w:rsidR="00AF5BB2" w:rsidRDefault="00AF5BB2">
      <w:pPr>
        <w:jc w:val="both"/>
        <w:rPr>
          <w:rFonts w:eastAsia="Times New Roman" w:cstheme="minorHAnsi"/>
          <w:b/>
          <w:bCs/>
          <w:color w:val="000000"/>
          <w:lang w:val="es-CR" w:eastAsia="es-CR"/>
        </w:rPr>
      </w:pPr>
    </w:p>
    <w:p w14:paraId="2DD661B1" w14:textId="77777777" w:rsidR="00AF5BB2" w:rsidRDefault="00AF5BB2">
      <w:pPr>
        <w:jc w:val="both"/>
        <w:rPr>
          <w:rFonts w:eastAsia="Times New Roman" w:cstheme="minorHAnsi"/>
          <w:b/>
          <w:bCs/>
          <w:color w:val="000000"/>
          <w:lang w:val="es-CR" w:eastAsia="es-CR"/>
        </w:rPr>
      </w:pPr>
    </w:p>
    <w:p w14:paraId="146E8B3C" w14:textId="77777777" w:rsidR="00CA3162" w:rsidRPr="00CB5F11" w:rsidRDefault="00CA3162">
      <w:pPr>
        <w:jc w:val="both"/>
        <w:rPr>
          <w:rFonts w:eastAsia="Times New Roman" w:cstheme="minorHAnsi"/>
          <w:b/>
          <w:bCs/>
          <w:color w:val="000000"/>
          <w:lang w:val="es-CR" w:eastAsia="es-CR"/>
        </w:rPr>
      </w:pPr>
      <w:r w:rsidRPr="00CB5F11">
        <w:rPr>
          <w:rFonts w:eastAsia="Times New Roman" w:cstheme="minorHAnsi"/>
          <w:b/>
          <w:bCs/>
          <w:color w:val="000000"/>
          <w:lang w:val="es-CR" w:eastAsia="es-CR"/>
        </w:rPr>
        <w:t xml:space="preserve">Cuadro </w:t>
      </w:r>
      <w:r w:rsidR="00912497">
        <w:rPr>
          <w:rFonts w:eastAsia="Times New Roman" w:cstheme="minorHAnsi"/>
          <w:b/>
          <w:bCs/>
          <w:color w:val="000000"/>
          <w:lang w:val="es-CR" w:eastAsia="es-CR"/>
        </w:rPr>
        <w:t>2</w:t>
      </w:r>
      <w:r w:rsidRPr="00CB5F11">
        <w:rPr>
          <w:rFonts w:eastAsia="Times New Roman" w:cstheme="minorHAnsi"/>
          <w:b/>
          <w:bCs/>
          <w:color w:val="000000"/>
          <w:lang w:val="es-CR" w:eastAsia="es-CR"/>
        </w:rPr>
        <w:t>.</w:t>
      </w:r>
    </w:p>
    <w:p w14:paraId="6FE03EA8" w14:textId="77777777" w:rsidR="00903E89" w:rsidRPr="00CA3162" w:rsidRDefault="007B6DB4">
      <w:pPr>
        <w:jc w:val="both"/>
      </w:pPr>
      <w:r>
        <w:rPr>
          <w:rFonts w:eastAsia="Times New Roman" w:cstheme="minorHAnsi"/>
          <w:b/>
          <w:bCs/>
          <w:color w:val="000000"/>
          <w:lang w:val="es-CR" w:eastAsia="es-CR"/>
        </w:rPr>
        <w:t>Fondo</w:t>
      </w:r>
      <w:r w:rsidR="006246AC">
        <w:rPr>
          <w:rFonts w:eastAsia="Times New Roman" w:cstheme="minorHAnsi"/>
          <w:b/>
          <w:bCs/>
          <w:color w:val="000000"/>
          <w:lang w:val="es-CR" w:eastAsia="es-CR"/>
        </w:rPr>
        <w:t>s</w:t>
      </w:r>
      <w:r>
        <w:rPr>
          <w:rFonts w:eastAsia="Times New Roman" w:cstheme="minorHAnsi"/>
          <w:b/>
          <w:bCs/>
          <w:color w:val="000000"/>
          <w:lang w:val="es-CR" w:eastAsia="es-CR"/>
        </w:rPr>
        <w:t xml:space="preserve"> voluntarios</w:t>
      </w:r>
      <w:r w:rsidR="00C220BB">
        <w:rPr>
          <w:rFonts w:eastAsia="Times New Roman" w:cstheme="minorHAnsi"/>
          <w:b/>
          <w:bCs/>
          <w:color w:val="000000"/>
          <w:lang w:val="es-CR" w:eastAsia="es-CR"/>
        </w:rPr>
        <w:t>:</w:t>
      </w:r>
      <w:r w:rsidR="00CA3162" w:rsidRPr="00CB5F11">
        <w:rPr>
          <w:rFonts w:eastAsia="Times New Roman" w:cstheme="minorHAnsi"/>
          <w:b/>
          <w:bCs/>
          <w:color w:val="000000"/>
          <w:lang w:val="es-CR" w:eastAsia="es-CR"/>
        </w:rPr>
        <w:t xml:space="preserve"> </w:t>
      </w:r>
      <w:r w:rsidR="00E45DA4">
        <w:rPr>
          <w:rFonts w:eastAsia="Times New Roman" w:cstheme="minorHAnsi"/>
          <w:b/>
          <w:bCs/>
          <w:color w:val="000000"/>
          <w:lang w:val="es-CR" w:eastAsia="es-CR"/>
        </w:rPr>
        <w:t>activo administrado</w:t>
      </w:r>
      <w:r w:rsidR="00CA3162" w:rsidRPr="00CB5F11">
        <w:rPr>
          <w:rFonts w:eastAsia="Times New Roman" w:cstheme="minorHAnsi"/>
          <w:b/>
          <w:bCs/>
          <w:color w:val="000000"/>
          <w:vertAlign w:val="superscript"/>
          <w:lang w:val="es-CR" w:eastAsia="es-CR"/>
        </w:rPr>
        <w:t>1/</w:t>
      </w:r>
      <w:r w:rsidR="0017521C">
        <w:rPr>
          <w:rFonts w:eastAsia="Times New Roman" w:cstheme="minorHAnsi"/>
          <w:b/>
          <w:bCs/>
          <w:color w:val="000000"/>
          <w:vertAlign w:val="superscript"/>
          <w:lang w:val="es-CR" w:eastAsia="es-CR"/>
        </w:rPr>
        <w:t xml:space="preserve"> </w:t>
      </w:r>
      <w:r w:rsidR="0017521C">
        <w:rPr>
          <w:rFonts w:eastAsia="Times New Roman" w:cstheme="minorHAnsi"/>
          <w:b/>
          <w:bCs/>
          <w:color w:val="000000"/>
          <w:lang w:val="es-CR" w:eastAsia="es-CR"/>
        </w:rPr>
        <w:t xml:space="preserve">por </w:t>
      </w:r>
      <w:r w:rsidR="00933AC7">
        <w:rPr>
          <w:rFonts w:eastAsia="Times New Roman" w:cstheme="minorHAnsi"/>
          <w:b/>
          <w:bCs/>
          <w:color w:val="000000"/>
          <w:lang w:val="es-CR" w:eastAsia="es-CR"/>
        </w:rPr>
        <w:t>entidad</w:t>
      </w:r>
      <w:r w:rsidR="0017521C">
        <w:rPr>
          <w:rFonts w:eastAsia="Times New Roman" w:cstheme="minorHAnsi"/>
          <w:b/>
          <w:bCs/>
          <w:color w:val="000000"/>
          <w:lang w:val="es-CR" w:eastAsia="es-CR"/>
        </w:rPr>
        <w:t xml:space="preserve"> según año</w:t>
      </w:r>
      <w:r w:rsidR="007952F9">
        <w:rPr>
          <w:rFonts w:eastAsia="Times New Roman" w:cstheme="minorHAnsi"/>
          <w:b/>
          <w:bCs/>
          <w:color w:val="000000"/>
          <w:lang w:val="es-CR" w:eastAsia="es-CR"/>
        </w:rPr>
        <w:t xml:space="preserve"> y moneda del fondo</w:t>
      </w:r>
    </w:p>
    <w:tbl>
      <w:tblPr>
        <w:tblW w:w="8661" w:type="dxa"/>
        <w:jc w:val="center"/>
        <w:tblCellMar>
          <w:left w:w="70" w:type="dxa"/>
          <w:right w:w="70" w:type="dxa"/>
        </w:tblCellMar>
        <w:tblLook w:val="04A0" w:firstRow="1" w:lastRow="0" w:firstColumn="1" w:lastColumn="0" w:noHBand="0" w:noVBand="1"/>
      </w:tblPr>
      <w:tblGrid>
        <w:gridCol w:w="1843"/>
        <w:gridCol w:w="1234"/>
        <w:gridCol w:w="1321"/>
        <w:gridCol w:w="1148"/>
        <w:gridCol w:w="35"/>
        <w:gridCol w:w="1112"/>
        <w:gridCol w:w="958"/>
        <w:gridCol w:w="7"/>
        <w:gridCol w:w="1141"/>
        <w:gridCol w:w="7"/>
      </w:tblGrid>
      <w:tr w:rsidR="009E79A8" w:rsidRPr="005623BA" w14:paraId="7C3ADC40" w14:textId="77777777" w:rsidTr="00DC36DA">
        <w:trPr>
          <w:gridAfter w:val="1"/>
          <w:wAfter w:w="7" w:type="dxa"/>
          <w:trHeight w:val="382"/>
          <w:tblHeader/>
          <w:jc w:val="center"/>
        </w:trPr>
        <w:tc>
          <w:tcPr>
            <w:tcW w:w="1843" w:type="dxa"/>
            <w:vMerge w:val="restart"/>
            <w:tcBorders>
              <w:top w:val="single" w:sz="4" w:space="0" w:color="auto"/>
            </w:tcBorders>
            <w:shd w:val="clear" w:color="auto" w:fill="auto"/>
            <w:noWrap/>
            <w:vAlign w:val="center"/>
          </w:tcPr>
          <w:p w14:paraId="08D0A646" w14:textId="77777777" w:rsidR="009E79A8" w:rsidRDefault="009E79A8" w:rsidP="002B0029">
            <w:pPr>
              <w:rPr>
                <w:rFonts w:eastAsia="Times New Roman" w:cstheme="minorHAnsi"/>
                <w:b/>
                <w:bCs/>
                <w:color w:val="000000"/>
                <w:sz w:val="20"/>
                <w:szCs w:val="20"/>
                <w:lang w:val="es-CR" w:eastAsia="es-CR"/>
              </w:rPr>
            </w:pPr>
            <w:r>
              <w:rPr>
                <w:rFonts w:eastAsia="Times New Roman" w:cstheme="minorHAnsi"/>
                <w:b/>
                <w:bCs/>
                <w:color w:val="000000"/>
                <w:sz w:val="20"/>
                <w:szCs w:val="20"/>
                <w:lang w:val="es-CR" w:eastAsia="es-CR"/>
              </w:rPr>
              <w:t>Entidad</w:t>
            </w:r>
          </w:p>
        </w:tc>
        <w:tc>
          <w:tcPr>
            <w:tcW w:w="3593" w:type="dxa"/>
            <w:gridSpan w:val="4"/>
            <w:tcBorders>
              <w:top w:val="single" w:sz="4" w:space="0" w:color="auto"/>
              <w:bottom w:val="single" w:sz="4" w:space="0" w:color="auto"/>
              <w:right w:val="single" w:sz="18" w:space="0" w:color="FFFFFF" w:themeColor="background1"/>
            </w:tcBorders>
            <w:shd w:val="clear" w:color="auto" w:fill="auto"/>
            <w:noWrap/>
            <w:vAlign w:val="center"/>
          </w:tcPr>
          <w:p w14:paraId="47878CFE" w14:textId="77777777" w:rsidR="009E79A8" w:rsidRDefault="009E79A8" w:rsidP="009B2832">
            <w:pPr>
              <w:jc w:val="center"/>
              <w:rPr>
                <w:rFonts w:eastAsia="Times New Roman" w:cstheme="minorHAnsi"/>
                <w:b/>
                <w:bCs/>
                <w:color w:val="000000"/>
                <w:sz w:val="20"/>
                <w:szCs w:val="20"/>
                <w:lang w:val="es-CR" w:eastAsia="es-CR"/>
              </w:rPr>
            </w:pPr>
            <w:r>
              <w:rPr>
                <w:rFonts w:eastAsia="Times New Roman" w:cstheme="minorHAnsi"/>
                <w:b/>
                <w:bCs/>
                <w:color w:val="000000"/>
                <w:sz w:val="20"/>
                <w:szCs w:val="20"/>
                <w:lang w:val="es-CR" w:eastAsia="es-CR"/>
              </w:rPr>
              <w:t>Colones</w:t>
            </w:r>
          </w:p>
        </w:tc>
        <w:tc>
          <w:tcPr>
            <w:tcW w:w="2070" w:type="dxa"/>
            <w:gridSpan w:val="2"/>
            <w:tcBorders>
              <w:top w:val="single" w:sz="4" w:space="0" w:color="auto"/>
              <w:left w:val="single" w:sz="18" w:space="0" w:color="FFFFFF" w:themeColor="background1"/>
              <w:bottom w:val="single" w:sz="4" w:space="0" w:color="auto"/>
            </w:tcBorders>
            <w:shd w:val="clear" w:color="auto" w:fill="auto"/>
            <w:noWrap/>
            <w:vAlign w:val="center"/>
          </w:tcPr>
          <w:p w14:paraId="3638C3A4" w14:textId="77777777" w:rsidR="009E79A8" w:rsidRPr="00A70B59" w:rsidRDefault="009E79A8" w:rsidP="009B2832">
            <w:pPr>
              <w:jc w:val="center"/>
              <w:rPr>
                <w:rFonts w:eastAsia="Times New Roman" w:cstheme="minorHAnsi"/>
                <w:b/>
                <w:bCs/>
                <w:color w:val="000000"/>
                <w:sz w:val="20"/>
                <w:szCs w:val="20"/>
                <w:lang w:val="es-CR" w:eastAsia="es-CR"/>
              </w:rPr>
            </w:pPr>
            <w:r>
              <w:rPr>
                <w:rFonts w:eastAsia="Times New Roman" w:cstheme="minorHAnsi"/>
                <w:b/>
                <w:bCs/>
                <w:color w:val="000000"/>
                <w:sz w:val="20"/>
                <w:szCs w:val="20"/>
                <w:lang w:val="es-CR" w:eastAsia="es-CR"/>
              </w:rPr>
              <w:t>Dólares</w:t>
            </w:r>
          </w:p>
        </w:tc>
        <w:tc>
          <w:tcPr>
            <w:tcW w:w="1148" w:type="dxa"/>
            <w:gridSpan w:val="2"/>
            <w:tcBorders>
              <w:top w:val="single" w:sz="4" w:space="0" w:color="auto"/>
              <w:left w:val="single" w:sz="18" w:space="0" w:color="FFFFFF" w:themeColor="background1"/>
              <w:bottom w:val="single" w:sz="4" w:space="0" w:color="auto"/>
            </w:tcBorders>
          </w:tcPr>
          <w:p w14:paraId="3AB63C7A" w14:textId="77777777" w:rsidR="009E79A8" w:rsidRDefault="009E79A8" w:rsidP="009B2832">
            <w:pPr>
              <w:jc w:val="center"/>
              <w:rPr>
                <w:rFonts w:eastAsia="Times New Roman" w:cstheme="minorHAnsi"/>
                <w:b/>
                <w:bCs/>
                <w:color w:val="000000"/>
                <w:sz w:val="20"/>
                <w:szCs w:val="20"/>
                <w:lang w:val="es-CR" w:eastAsia="es-CR"/>
              </w:rPr>
            </w:pPr>
          </w:p>
        </w:tc>
      </w:tr>
      <w:tr w:rsidR="00796F85" w:rsidRPr="005623BA" w14:paraId="19FBC52A" w14:textId="77777777" w:rsidTr="00DA5F2B">
        <w:trPr>
          <w:trHeight w:val="300"/>
          <w:tblHeader/>
          <w:jc w:val="center"/>
        </w:trPr>
        <w:tc>
          <w:tcPr>
            <w:tcW w:w="1843" w:type="dxa"/>
            <w:vMerge/>
            <w:tcBorders>
              <w:bottom w:val="single" w:sz="4" w:space="0" w:color="auto"/>
            </w:tcBorders>
            <w:shd w:val="clear" w:color="auto" w:fill="auto"/>
            <w:noWrap/>
            <w:vAlign w:val="center"/>
            <w:hideMark/>
          </w:tcPr>
          <w:p w14:paraId="79206B79" w14:textId="77777777" w:rsidR="00E42CD7" w:rsidRPr="00A70B59" w:rsidRDefault="00E42CD7" w:rsidP="002B0029">
            <w:pPr>
              <w:rPr>
                <w:rFonts w:eastAsia="Times New Roman" w:cstheme="minorHAnsi"/>
                <w:b/>
                <w:bCs/>
                <w:color w:val="000000"/>
                <w:sz w:val="20"/>
                <w:szCs w:val="20"/>
                <w:lang w:val="es-CR" w:eastAsia="es-CR"/>
              </w:rPr>
            </w:pPr>
          </w:p>
        </w:tc>
        <w:tc>
          <w:tcPr>
            <w:tcW w:w="1234" w:type="dxa"/>
            <w:tcBorders>
              <w:top w:val="single" w:sz="4" w:space="0" w:color="auto"/>
              <w:bottom w:val="single" w:sz="4" w:space="0" w:color="auto"/>
            </w:tcBorders>
            <w:shd w:val="clear" w:color="auto" w:fill="auto"/>
            <w:noWrap/>
            <w:vAlign w:val="center"/>
            <w:hideMark/>
          </w:tcPr>
          <w:p w14:paraId="6BC7F445" w14:textId="77777777" w:rsidR="00E42CD7" w:rsidRPr="00A70B59" w:rsidRDefault="00E42CD7" w:rsidP="00DA5F2B">
            <w:pPr>
              <w:jc w:val="center"/>
              <w:rPr>
                <w:rFonts w:eastAsia="Times New Roman" w:cstheme="minorHAnsi"/>
                <w:b/>
                <w:bCs/>
                <w:color w:val="000000"/>
                <w:sz w:val="20"/>
                <w:szCs w:val="20"/>
                <w:lang w:val="es-CR" w:eastAsia="es-CR"/>
              </w:rPr>
            </w:pPr>
            <w:r>
              <w:rPr>
                <w:rFonts w:eastAsia="Times New Roman" w:cstheme="minorHAnsi"/>
                <w:b/>
                <w:bCs/>
                <w:color w:val="000000"/>
                <w:sz w:val="20"/>
                <w:szCs w:val="20"/>
                <w:lang w:val="es-CR" w:eastAsia="es-CR"/>
              </w:rPr>
              <w:t>2020</w:t>
            </w:r>
          </w:p>
        </w:tc>
        <w:tc>
          <w:tcPr>
            <w:tcW w:w="1176" w:type="dxa"/>
            <w:tcBorders>
              <w:top w:val="single" w:sz="4" w:space="0" w:color="auto"/>
              <w:bottom w:val="single" w:sz="4" w:space="0" w:color="auto"/>
            </w:tcBorders>
            <w:shd w:val="clear" w:color="auto" w:fill="auto"/>
            <w:noWrap/>
            <w:vAlign w:val="center"/>
            <w:hideMark/>
          </w:tcPr>
          <w:p w14:paraId="70F2E9E2" w14:textId="77777777" w:rsidR="00E42CD7" w:rsidRPr="00A70B59" w:rsidRDefault="00E42CD7" w:rsidP="003C28E9">
            <w:pPr>
              <w:jc w:val="center"/>
              <w:rPr>
                <w:rFonts w:eastAsia="Times New Roman" w:cstheme="minorHAnsi"/>
                <w:b/>
                <w:bCs/>
                <w:color w:val="000000"/>
                <w:sz w:val="20"/>
                <w:szCs w:val="20"/>
                <w:lang w:val="es-CR" w:eastAsia="es-CR"/>
              </w:rPr>
            </w:pPr>
            <w:r>
              <w:rPr>
                <w:rFonts w:eastAsia="Times New Roman" w:cstheme="minorHAnsi"/>
                <w:b/>
                <w:bCs/>
                <w:color w:val="000000"/>
                <w:sz w:val="20"/>
                <w:szCs w:val="20"/>
                <w:lang w:val="es-CR" w:eastAsia="es-CR"/>
              </w:rPr>
              <w:t>2021</w:t>
            </w:r>
          </w:p>
        </w:tc>
        <w:tc>
          <w:tcPr>
            <w:tcW w:w="1148" w:type="dxa"/>
            <w:tcBorders>
              <w:top w:val="single" w:sz="4" w:space="0" w:color="auto"/>
              <w:bottom w:val="single" w:sz="4" w:space="0" w:color="auto"/>
              <w:right w:val="single" w:sz="18" w:space="0" w:color="FFFFFF" w:themeColor="background1"/>
            </w:tcBorders>
          </w:tcPr>
          <w:p w14:paraId="320375D1" w14:textId="77777777" w:rsidR="00E42CD7" w:rsidRDefault="00E42CD7" w:rsidP="00DC36DA">
            <w:pPr>
              <w:jc w:val="center"/>
              <w:rPr>
                <w:rFonts w:eastAsia="Times New Roman" w:cstheme="minorHAnsi"/>
                <w:b/>
                <w:bCs/>
                <w:color w:val="000000"/>
                <w:sz w:val="20"/>
                <w:szCs w:val="20"/>
                <w:lang w:val="es-CR" w:eastAsia="es-CR"/>
              </w:rPr>
            </w:pPr>
            <w:r>
              <w:rPr>
                <w:rFonts w:eastAsia="Times New Roman" w:cstheme="minorHAnsi"/>
                <w:b/>
                <w:bCs/>
                <w:color w:val="000000"/>
                <w:sz w:val="20"/>
                <w:szCs w:val="20"/>
                <w:lang w:val="es-CR" w:eastAsia="es-CR"/>
              </w:rPr>
              <w:t>Crecimiento</w:t>
            </w:r>
          </w:p>
        </w:tc>
        <w:tc>
          <w:tcPr>
            <w:tcW w:w="1147" w:type="dxa"/>
            <w:gridSpan w:val="2"/>
            <w:tcBorders>
              <w:top w:val="single" w:sz="4" w:space="0" w:color="auto"/>
              <w:left w:val="single" w:sz="18" w:space="0" w:color="FFFFFF" w:themeColor="background1"/>
              <w:bottom w:val="single" w:sz="4" w:space="0" w:color="auto"/>
            </w:tcBorders>
            <w:shd w:val="clear" w:color="auto" w:fill="auto"/>
            <w:noWrap/>
            <w:vAlign w:val="center"/>
            <w:hideMark/>
          </w:tcPr>
          <w:p w14:paraId="49CBB05C" w14:textId="77777777" w:rsidR="00E42CD7" w:rsidRPr="00A70B59" w:rsidRDefault="00E42CD7" w:rsidP="00DC36DA">
            <w:pPr>
              <w:jc w:val="center"/>
              <w:rPr>
                <w:rFonts w:eastAsia="Times New Roman" w:cstheme="minorHAnsi"/>
                <w:b/>
                <w:bCs/>
                <w:color w:val="000000"/>
                <w:sz w:val="20"/>
                <w:szCs w:val="20"/>
                <w:lang w:val="es-CR" w:eastAsia="es-CR"/>
              </w:rPr>
            </w:pPr>
            <w:r>
              <w:rPr>
                <w:rFonts w:eastAsia="Times New Roman" w:cstheme="minorHAnsi"/>
                <w:b/>
                <w:bCs/>
                <w:color w:val="000000"/>
                <w:sz w:val="20"/>
                <w:szCs w:val="20"/>
                <w:lang w:val="es-CR" w:eastAsia="es-CR"/>
              </w:rPr>
              <w:t>2020</w:t>
            </w:r>
          </w:p>
        </w:tc>
        <w:tc>
          <w:tcPr>
            <w:tcW w:w="965" w:type="dxa"/>
            <w:gridSpan w:val="2"/>
            <w:tcBorders>
              <w:top w:val="single" w:sz="4" w:space="0" w:color="auto"/>
              <w:bottom w:val="single" w:sz="4" w:space="0" w:color="auto"/>
            </w:tcBorders>
            <w:shd w:val="clear" w:color="auto" w:fill="auto"/>
            <w:noWrap/>
            <w:vAlign w:val="center"/>
            <w:hideMark/>
          </w:tcPr>
          <w:p w14:paraId="2639A6AB" w14:textId="77777777" w:rsidR="00E42CD7" w:rsidRPr="00A70B59" w:rsidRDefault="00E42CD7" w:rsidP="00DC36DA">
            <w:pPr>
              <w:jc w:val="center"/>
              <w:rPr>
                <w:rFonts w:eastAsia="Times New Roman" w:cstheme="minorHAnsi"/>
                <w:b/>
                <w:bCs/>
                <w:color w:val="000000"/>
                <w:sz w:val="20"/>
                <w:szCs w:val="20"/>
                <w:lang w:val="es-CR" w:eastAsia="es-CR"/>
              </w:rPr>
            </w:pPr>
            <w:r>
              <w:rPr>
                <w:rFonts w:eastAsia="Times New Roman" w:cstheme="minorHAnsi"/>
                <w:b/>
                <w:bCs/>
                <w:color w:val="000000"/>
                <w:sz w:val="20"/>
                <w:szCs w:val="20"/>
                <w:lang w:val="es-CR" w:eastAsia="es-CR"/>
              </w:rPr>
              <w:t>2021</w:t>
            </w:r>
          </w:p>
        </w:tc>
        <w:tc>
          <w:tcPr>
            <w:tcW w:w="1148" w:type="dxa"/>
            <w:gridSpan w:val="2"/>
            <w:tcBorders>
              <w:top w:val="single" w:sz="4" w:space="0" w:color="auto"/>
              <w:bottom w:val="single" w:sz="4" w:space="0" w:color="auto"/>
            </w:tcBorders>
          </w:tcPr>
          <w:p w14:paraId="0CBBC185" w14:textId="77777777" w:rsidR="00E42CD7" w:rsidRDefault="00E42CD7" w:rsidP="00DC36DA">
            <w:pPr>
              <w:jc w:val="center"/>
              <w:rPr>
                <w:rFonts w:eastAsia="Times New Roman" w:cstheme="minorHAnsi"/>
                <w:b/>
                <w:bCs/>
                <w:color w:val="000000"/>
                <w:sz w:val="20"/>
                <w:szCs w:val="20"/>
                <w:lang w:val="es-CR" w:eastAsia="es-CR"/>
              </w:rPr>
            </w:pPr>
            <w:r>
              <w:rPr>
                <w:rFonts w:eastAsia="Times New Roman" w:cstheme="minorHAnsi"/>
                <w:b/>
                <w:bCs/>
                <w:color w:val="000000"/>
                <w:sz w:val="20"/>
                <w:szCs w:val="20"/>
                <w:lang w:val="es-CR" w:eastAsia="es-CR"/>
              </w:rPr>
              <w:t>Crecimiento</w:t>
            </w:r>
          </w:p>
        </w:tc>
      </w:tr>
      <w:tr w:rsidR="00DC36DA" w:rsidRPr="005623BA" w14:paraId="3F90DCB9" w14:textId="77777777" w:rsidTr="00DC36DA">
        <w:trPr>
          <w:trHeight w:val="334"/>
          <w:jc w:val="center"/>
        </w:trPr>
        <w:tc>
          <w:tcPr>
            <w:tcW w:w="1843" w:type="dxa"/>
            <w:tcBorders>
              <w:top w:val="single" w:sz="4" w:space="0" w:color="auto"/>
            </w:tcBorders>
            <w:shd w:val="clear" w:color="auto" w:fill="auto"/>
            <w:noWrap/>
            <w:vAlign w:val="bottom"/>
            <w:hideMark/>
          </w:tcPr>
          <w:p w14:paraId="6AC7986C" w14:textId="77777777" w:rsidR="00F35C59" w:rsidRPr="005623BA" w:rsidRDefault="00F35C59" w:rsidP="00F35C59">
            <w:pPr>
              <w:rPr>
                <w:rFonts w:eastAsia="Times New Roman" w:cstheme="minorHAnsi"/>
                <w:color w:val="000000"/>
                <w:sz w:val="20"/>
                <w:szCs w:val="20"/>
                <w:lang w:val="es-CR" w:eastAsia="es-CR"/>
              </w:rPr>
            </w:pPr>
            <w:r>
              <w:rPr>
                <w:rFonts w:ascii="Calibri" w:hAnsi="Calibri" w:cs="Calibri"/>
                <w:color w:val="000000"/>
              </w:rPr>
              <w:t>BCR-PENSION</w:t>
            </w:r>
          </w:p>
        </w:tc>
        <w:tc>
          <w:tcPr>
            <w:tcW w:w="1234" w:type="dxa"/>
            <w:tcBorders>
              <w:top w:val="single" w:sz="4" w:space="0" w:color="auto"/>
            </w:tcBorders>
            <w:shd w:val="clear" w:color="auto" w:fill="auto"/>
            <w:noWrap/>
            <w:hideMark/>
          </w:tcPr>
          <w:p w14:paraId="062F61F9" w14:textId="77777777" w:rsidR="00F35C59" w:rsidRPr="00DA5F2B" w:rsidRDefault="00F35C59" w:rsidP="00DC36DA">
            <w:pPr>
              <w:ind w:right="181"/>
              <w:jc w:val="center"/>
              <w:rPr>
                <w:rFonts w:ascii="Calibri" w:hAnsi="Calibri" w:cs="Calibri"/>
                <w:color w:val="000000"/>
                <w:sz w:val="20"/>
                <w:szCs w:val="20"/>
              </w:rPr>
            </w:pPr>
            <w:r w:rsidRPr="00DA5F2B">
              <w:rPr>
                <w:rFonts w:ascii="Calibri" w:hAnsi="Calibri" w:cs="Calibri"/>
                <w:color w:val="000000"/>
                <w:sz w:val="20"/>
                <w:szCs w:val="20"/>
              </w:rPr>
              <w:t>22304</w:t>
            </w:r>
            <w:r w:rsidR="00DC0C91">
              <w:rPr>
                <w:rFonts w:ascii="Calibri" w:hAnsi="Calibri" w:cs="Calibri"/>
                <w:color w:val="000000"/>
                <w:sz w:val="20"/>
                <w:szCs w:val="20"/>
              </w:rPr>
              <w:t>,49</w:t>
            </w:r>
          </w:p>
        </w:tc>
        <w:tc>
          <w:tcPr>
            <w:tcW w:w="1176" w:type="dxa"/>
            <w:tcBorders>
              <w:top w:val="single" w:sz="4" w:space="0" w:color="auto"/>
              <w:right w:val="single" w:sz="18" w:space="0" w:color="FFFFFF" w:themeColor="background1"/>
            </w:tcBorders>
            <w:shd w:val="clear" w:color="auto" w:fill="auto"/>
            <w:noWrap/>
            <w:hideMark/>
          </w:tcPr>
          <w:p w14:paraId="62CE2EF3" w14:textId="77777777" w:rsidR="00F35C59" w:rsidRPr="00DA5F2B" w:rsidRDefault="00F35C59" w:rsidP="00DC36DA">
            <w:pPr>
              <w:tabs>
                <w:tab w:val="left" w:pos="1311"/>
              </w:tabs>
              <w:ind w:right="320"/>
              <w:jc w:val="center"/>
              <w:rPr>
                <w:rFonts w:ascii="Calibri" w:hAnsi="Calibri" w:cs="Calibri"/>
                <w:color w:val="000000"/>
                <w:sz w:val="20"/>
                <w:szCs w:val="20"/>
              </w:rPr>
            </w:pPr>
            <w:r w:rsidRPr="00DA5F2B">
              <w:rPr>
                <w:rFonts w:ascii="Calibri" w:hAnsi="Calibri" w:cs="Calibri"/>
                <w:color w:val="000000"/>
                <w:sz w:val="20"/>
                <w:szCs w:val="20"/>
              </w:rPr>
              <w:t>30838</w:t>
            </w:r>
            <w:r w:rsidR="003C28E9">
              <w:rPr>
                <w:rFonts w:ascii="Calibri" w:hAnsi="Calibri" w:cs="Calibri"/>
                <w:color w:val="000000"/>
                <w:sz w:val="20"/>
                <w:szCs w:val="20"/>
              </w:rPr>
              <w:t>,00</w:t>
            </w:r>
          </w:p>
        </w:tc>
        <w:tc>
          <w:tcPr>
            <w:tcW w:w="1148" w:type="dxa"/>
            <w:tcBorders>
              <w:top w:val="single" w:sz="4" w:space="0" w:color="auto"/>
              <w:right w:val="single" w:sz="18" w:space="0" w:color="FFFFFF" w:themeColor="background1"/>
            </w:tcBorders>
          </w:tcPr>
          <w:p w14:paraId="1AEC0189" w14:textId="77777777" w:rsidR="00F35C59" w:rsidRPr="00DE5862"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38,26%</w:t>
            </w:r>
          </w:p>
        </w:tc>
        <w:tc>
          <w:tcPr>
            <w:tcW w:w="1147" w:type="dxa"/>
            <w:gridSpan w:val="2"/>
            <w:tcBorders>
              <w:top w:val="single" w:sz="4" w:space="0" w:color="auto"/>
              <w:left w:val="single" w:sz="18" w:space="0" w:color="FFFFFF" w:themeColor="background1"/>
            </w:tcBorders>
            <w:shd w:val="clear" w:color="auto" w:fill="auto"/>
            <w:noWrap/>
            <w:hideMark/>
          </w:tcPr>
          <w:p w14:paraId="6B03B5C4" w14:textId="77777777" w:rsidR="00F35C59" w:rsidRPr="00DA5F2B"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9,72</w:t>
            </w:r>
          </w:p>
        </w:tc>
        <w:tc>
          <w:tcPr>
            <w:tcW w:w="965" w:type="dxa"/>
            <w:gridSpan w:val="2"/>
            <w:tcBorders>
              <w:top w:val="single" w:sz="4" w:space="0" w:color="auto"/>
            </w:tcBorders>
            <w:shd w:val="clear" w:color="auto" w:fill="auto"/>
            <w:noWrap/>
            <w:hideMark/>
          </w:tcPr>
          <w:p w14:paraId="0861079C" w14:textId="77777777" w:rsidR="00F35C59" w:rsidRPr="00DA5F2B"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11,56</w:t>
            </w:r>
          </w:p>
        </w:tc>
        <w:tc>
          <w:tcPr>
            <w:tcW w:w="1148" w:type="dxa"/>
            <w:gridSpan w:val="2"/>
            <w:tcBorders>
              <w:top w:val="single" w:sz="4" w:space="0" w:color="auto"/>
            </w:tcBorders>
          </w:tcPr>
          <w:p w14:paraId="0D6D9243" w14:textId="77777777" w:rsidR="00F35C59" w:rsidRPr="007B6FB0"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18,93%</w:t>
            </w:r>
          </w:p>
        </w:tc>
      </w:tr>
      <w:tr w:rsidR="00DC36DA" w:rsidRPr="005623BA" w14:paraId="47C5E3C3" w14:textId="77777777" w:rsidTr="00DC36DA">
        <w:trPr>
          <w:trHeight w:val="300"/>
          <w:jc w:val="center"/>
        </w:trPr>
        <w:tc>
          <w:tcPr>
            <w:tcW w:w="1843" w:type="dxa"/>
            <w:shd w:val="clear" w:color="auto" w:fill="auto"/>
            <w:noWrap/>
            <w:vAlign w:val="bottom"/>
            <w:hideMark/>
          </w:tcPr>
          <w:p w14:paraId="33706A84" w14:textId="77777777" w:rsidR="00F35C59" w:rsidRPr="005623BA" w:rsidRDefault="00F35C59" w:rsidP="00F35C59">
            <w:pPr>
              <w:rPr>
                <w:rFonts w:eastAsia="Times New Roman" w:cstheme="minorHAnsi"/>
                <w:color w:val="000000"/>
                <w:sz w:val="20"/>
                <w:szCs w:val="20"/>
                <w:lang w:val="es-CR" w:eastAsia="es-CR"/>
              </w:rPr>
            </w:pPr>
            <w:r>
              <w:rPr>
                <w:rFonts w:ascii="Calibri" w:hAnsi="Calibri" w:cs="Calibri"/>
                <w:color w:val="000000"/>
              </w:rPr>
              <w:t>BN-VITAL</w:t>
            </w:r>
          </w:p>
        </w:tc>
        <w:tc>
          <w:tcPr>
            <w:tcW w:w="1234" w:type="dxa"/>
            <w:shd w:val="clear" w:color="auto" w:fill="auto"/>
            <w:noWrap/>
            <w:hideMark/>
          </w:tcPr>
          <w:p w14:paraId="7AB32477" w14:textId="77777777" w:rsidR="00F35C59" w:rsidRPr="00DA5F2B" w:rsidRDefault="00F35C59" w:rsidP="00DC36DA">
            <w:pPr>
              <w:ind w:right="181"/>
              <w:jc w:val="center"/>
              <w:rPr>
                <w:rFonts w:ascii="Calibri" w:hAnsi="Calibri" w:cs="Calibri"/>
                <w:color w:val="000000"/>
                <w:sz w:val="20"/>
                <w:szCs w:val="20"/>
              </w:rPr>
            </w:pPr>
            <w:r w:rsidRPr="00DA5F2B">
              <w:rPr>
                <w:rFonts w:ascii="Calibri" w:hAnsi="Calibri" w:cs="Calibri"/>
                <w:color w:val="000000"/>
                <w:sz w:val="20"/>
                <w:szCs w:val="20"/>
              </w:rPr>
              <w:t>1307</w:t>
            </w:r>
            <w:r w:rsidR="00DC36DA">
              <w:rPr>
                <w:rFonts w:ascii="Calibri" w:hAnsi="Calibri" w:cs="Calibri"/>
                <w:color w:val="000000"/>
                <w:sz w:val="20"/>
                <w:szCs w:val="20"/>
              </w:rPr>
              <w:t>69</w:t>
            </w:r>
            <w:r w:rsidR="003C28E9">
              <w:rPr>
                <w:rFonts w:ascii="Calibri" w:hAnsi="Calibri" w:cs="Calibri"/>
                <w:color w:val="000000"/>
                <w:sz w:val="20"/>
                <w:szCs w:val="20"/>
              </w:rPr>
              <w:t>,81</w:t>
            </w:r>
          </w:p>
        </w:tc>
        <w:tc>
          <w:tcPr>
            <w:tcW w:w="1176" w:type="dxa"/>
            <w:tcBorders>
              <w:right w:val="single" w:sz="18" w:space="0" w:color="FFFFFF" w:themeColor="background1"/>
            </w:tcBorders>
            <w:shd w:val="clear" w:color="auto" w:fill="auto"/>
            <w:noWrap/>
            <w:hideMark/>
          </w:tcPr>
          <w:p w14:paraId="458AD341" w14:textId="77777777" w:rsidR="00F35C59" w:rsidRPr="00DA5F2B" w:rsidRDefault="00F35C59" w:rsidP="00DC36DA">
            <w:pPr>
              <w:ind w:right="320"/>
              <w:jc w:val="center"/>
              <w:rPr>
                <w:rFonts w:ascii="Calibri" w:hAnsi="Calibri" w:cs="Calibri"/>
                <w:color w:val="000000"/>
                <w:sz w:val="20"/>
                <w:szCs w:val="20"/>
              </w:rPr>
            </w:pPr>
            <w:r w:rsidRPr="00DA5F2B">
              <w:rPr>
                <w:rFonts w:ascii="Calibri" w:hAnsi="Calibri" w:cs="Calibri"/>
                <w:color w:val="000000"/>
                <w:sz w:val="20"/>
                <w:szCs w:val="20"/>
              </w:rPr>
              <w:t>194562</w:t>
            </w:r>
            <w:r w:rsidR="003C28E9">
              <w:rPr>
                <w:rFonts w:ascii="Calibri" w:hAnsi="Calibri" w:cs="Calibri"/>
                <w:color w:val="000000"/>
                <w:sz w:val="20"/>
                <w:szCs w:val="20"/>
              </w:rPr>
              <w:t>,</w:t>
            </w:r>
            <w:r w:rsidR="00796F85">
              <w:rPr>
                <w:rFonts w:ascii="Calibri" w:hAnsi="Calibri" w:cs="Calibri"/>
                <w:color w:val="000000"/>
                <w:sz w:val="20"/>
                <w:szCs w:val="20"/>
              </w:rPr>
              <w:t>96</w:t>
            </w:r>
          </w:p>
        </w:tc>
        <w:tc>
          <w:tcPr>
            <w:tcW w:w="1148" w:type="dxa"/>
            <w:tcBorders>
              <w:right w:val="single" w:sz="18" w:space="0" w:color="FFFFFF" w:themeColor="background1"/>
            </w:tcBorders>
          </w:tcPr>
          <w:p w14:paraId="79D73F59" w14:textId="77777777" w:rsidR="00F35C59" w:rsidRPr="00DE5862"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48,78%</w:t>
            </w:r>
          </w:p>
        </w:tc>
        <w:tc>
          <w:tcPr>
            <w:tcW w:w="1147" w:type="dxa"/>
            <w:gridSpan w:val="2"/>
            <w:tcBorders>
              <w:left w:val="single" w:sz="18" w:space="0" w:color="FFFFFF" w:themeColor="background1"/>
            </w:tcBorders>
            <w:shd w:val="clear" w:color="auto" w:fill="auto"/>
            <w:noWrap/>
            <w:hideMark/>
          </w:tcPr>
          <w:p w14:paraId="51A63843" w14:textId="77777777" w:rsidR="00F35C59" w:rsidRPr="00DA5F2B"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45,49</w:t>
            </w:r>
          </w:p>
        </w:tc>
        <w:tc>
          <w:tcPr>
            <w:tcW w:w="965" w:type="dxa"/>
            <w:gridSpan w:val="2"/>
            <w:shd w:val="clear" w:color="auto" w:fill="auto"/>
            <w:noWrap/>
            <w:hideMark/>
          </w:tcPr>
          <w:p w14:paraId="70C930CA" w14:textId="77777777" w:rsidR="00F35C59" w:rsidRPr="00DA5F2B"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74,87</w:t>
            </w:r>
          </w:p>
        </w:tc>
        <w:tc>
          <w:tcPr>
            <w:tcW w:w="1148" w:type="dxa"/>
            <w:gridSpan w:val="2"/>
          </w:tcPr>
          <w:p w14:paraId="7161960A" w14:textId="77777777" w:rsidR="00F35C59" w:rsidRPr="007B6FB0"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64,59%</w:t>
            </w:r>
          </w:p>
        </w:tc>
      </w:tr>
      <w:tr w:rsidR="00DC36DA" w:rsidRPr="005623BA" w14:paraId="75E9435C" w14:textId="77777777" w:rsidTr="00DC36DA">
        <w:trPr>
          <w:trHeight w:val="300"/>
          <w:jc w:val="center"/>
        </w:trPr>
        <w:tc>
          <w:tcPr>
            <w:tcW w:w="1843" w:type="dxa"/>
            <w:shd w:val="clear" w:color="auto" w:fill="auto"/>
            <w:noWrap/>
            <w:vAlign w:val="bottom"/>
            <w:hideMark/>
          </w:tcPr>
          <w:p w14:paraId="0DBF797F" w14:textId="77777777" w:rsidR="00F35C59" w:rsidRPr="005623BA" w:rsidRDefault="00F35C59" w:rsidP="00F35C59">
            <w:pPr>
              <w:rPr>
                <w:rFonts w:eastAsia="Times New Roman" w:cstheme="minorHAnsi"/>
                <w:color w:val="000000"/>
                <w:sz w:val="20"/>
                <w:szCs w:val="20"/>
                <w:lang w:val="es-CR" w:eastAsia="es-CR"/>
              </w:rPr>
            </w:pPr>
            <w:r>
              <w:rPr>
                <w:rFonts w:ascii="Calibri" w:hAnsi="Calibri" w:cs="Calibri"/>
                <w:color w:val="000000"/>
              </w:rPr>
              <w:t>POPULAR</w:t>
            </w:r>
          </w:p>
        </w:tc>
        <w:tc>
          <w:tcPr>
            <w:tcW w:w="1234" w:type="dxa"/>
            <w:shd w:val="clear" w:color="auto" w:fill="auto"/>
            <w:noWrap/>
            <w:hideMark/>
          </w:tcPr>
          <w:p w14:paraId="05A4C5D2" w14:textId="77777777" w:rsidR="00F35C59" w:rsidRPr="00DA5F2B" w:rsidRDefault="00F35C59" w:rsidP="00DC36DA">
            <w:pPr>
              <w:ind w:right="181"/>
              <w:jc w:val="center"/>
              <w:rPr>
                <w:rFonts w:ascii="Calibri" w:hAnsi="Calibri" w:cs="Calibri"/>
                <w:color w:val="000000"/>
                <w:sz w:val="20"/>
                <w:szCs w:val="20"/>
              </w:rPr>
            </w:pPr>
            <w:r w:rsidRPr="00DA5F2B">
              <w:rPr>
                <w:rFonts w:ascii="Calibri" w:hAnsi="Calibri" w:cs="Calibri"/>
                <w:color w:val="000000"/>
                <w:sz w:val="20"/>
                <w:szCs w:val="20"/>
              </w:rPr>
              <w:t>162043</w:t>
            </w:r>
            <w:r w:rsidR="003C28E9">
              <w:rPr>
                <w:rFonts w:ascii="Calibri" w:hAnsi="Calibri" w:cs="Calibri"/>
                <w:color w:val="000000"/>
                <w:sz w:val="20"/>
                <w:szCs w:val="20"/>
              </w:rPr>
              <w:t>,17</w:t>
            </w:r>
          </w:p>
        </w:tc>
        <w:tc>
          <w:tcPr>
            <w:tcW w:w="1176" w:type="dxa"/>
            <w:tcBorders>
              <w:right w:val="single" w:sz="4" w:space="0" w:color="FFFFFF" w:themeColor="background1"/>
            </w:tcBorders>
            <w:shd w:val="clear" w:color="auto" w:fill="auto"/>
            <w:noWrap/>
            <w:hideMark/>
          </w:tcPr>
          <w:p w14:paraId="1D45C41C" w14:textId="77777777" w:rsidR="00F35C59" w:rsidRPr="00DA5F2B" w:rsidRDefault="00F35C59" w:rsidP="00DC36DA">
            <w:pPr>
              <w:ind w:right="320"/>
              <w:jc w:val="center"/>
              <w:rPr>
                <w:rFonts w:ascii="Calibri" w:hAnsi="Calibri" w:cs="Calibri"/>
                <w:color w:val="000000"/>
                <w:sz w:val="20"/>
                <w:szCs w:val="20"/>
              </w:rPr>
            </w:pPr>
            <w:r w:rsidRPr="00DA5F2B">
              <w:rPr>
                <w:rFonts w:ascii="Calibri" w:hAnsi="Calibri" w:cs="Calibri"/>
                <w:color w:val="000000"/>
                <w:sz w:val="20"/>
                <w:szCs w:val="20"/>
              </w:rPr>
              <w:t>183510</w:t>
            </w:r>
            <w:r w:rsidR="00796F85">
              <w:rPr>
                <w:rFonts w:ascii="Calibri" w:hAnsi="Calibri" w:cs="Calibri"/>
                <w:color w:val="000000"/>
                <w:sz w:val="20"/>
                <w:szCs w:val="20"/>
              </w:rPr>
              <w:t>,25</w:t>
            </w:r>
          </w:p>
        </w:tc>
        <w:tc>
          <w:tcPr>
            <w:tcW w:w="1148" w:type="dxa"/>
            <w:tcBorders>
              <w:right w:val="single" w:sz="4" w:space="0" w:color="FFFFFF" w:themeColor="background1"/>
            </w:tcBorders>
          </w:tcPr>
          <w:p w14:paraId="18813034" w14:textId="77777777" w:rsidR="00F35C59" w:rsidRPr="00DE5862"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13,25%</w:t>
            </w:r>
          </w:p>
        </w:tc>
        <w:tc>
          <w:tcPr>
            <w:tcW w:w="1147" w:type="dxa"/>
            <w:gridSpan w:val="2"/>
            <w:tcBorders>
              <w:left w:val="single" w:sz="4" w:space="0" w:color="FFFFFF" w:themeColor="background1"/>
            </w:tcBorders>
            <w:shd w:val="clear" w:color="auto" w:fill="auto"/>
            <w:noWrap/>
            <w:hideMark/>
          </w:tcPr>
          <w:p w14:paraId="2F23000D" w14:textId="77777777" w:rsidR="00F35C59" w:rsidRPr="00DA5F2B"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52,52</w:t>
            </w:r>
          </w:p>
        </w:tc>
        <w:tc>
          <w:tcPr>
            <w:tcW w:w="965" w:type="dxa"/>
            <w:gridSpan w:val="2"/>
            <w:shd w:val="clear" w:color="auto" w:fill="auto"/>
            <w:noWrap/>
            <w:hideMark/>
          </w:tcPr>
          <w:p w14:paraId="6CC5BF4C" w14:textId="77777777" w:rsidR="00F35C59" w:rsidRPr="00DA5F2B"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58,19</w:t>
            </w:r>
          </w:p>
        </w:tc>
        <w:tc>
          <w:tcPr>
            <w:tcW w:w="1148" w:type="dxa"/>
            <w:gridSpan w:val="2"/>
          </w:tcPr>
          <w:p w14:paraId="7948B8DF" w14:textId="77777777" w:rsidR="00F35C59" w:rsidRPr="007B6FB0"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10,80%</w:t>
            </w:r>
          </w:p>
        </w:tc>
      </w:tr>
      <w:tr w:rsidR="00DC36DA" w:rsidRPr="005623BA" w14:paraId="6471AAAF" w14:textId="77777777" w:rsidTr="00DC36DA">
        <w:trPr>
          <w:trHeight w:val="300"/>
          <w:jc w:val="center"/>
        </w:trPr>
        <w:tc>
          <w:tcPr>
            <w:tcW w:w="1843" w:type="dxa"/>
            <w:shd w:val="clear" w:color="auto" w:fill="auto"/>
            <w:noWrap/>
            <w:vAlign w:val="bottom"/>
            <w:hideMark/>
          </w:tcPr>
          <w:p w14:paraId="10CA2679" w14:textId="77777777" w:rsidR="00F35C59" w:rsidRPr="005623BA" w:rsidRDefault="00F35C59" w:rsidP="00F35C59">
            <w:pPr>
              <w:rPr>
                <w:rFonts w:eastAsia="Times New Roman" w:cstheme="minorHAnsi"/>
                <w:color w:val="000000"/>
                <w:sz w:val="20"/>
                <w:szCs w:val="20"/>
                <w:lang w:val="es-CR" w:eastAsia="es-CR"/>
              </w:rPr>
            </w:pPr>
            <w:r>
              <w:rPr>
                <w:rFonts w:ascii="Calibri" w:hAnsi="Calibri" w:cs="Calibri"/>
                <w:color w:val="000000"/>
              </w:rPr>
              <w:t>SJ-PENSIONES</w:t>
            </w:r>
          </w:p>
        </w:tc>
        <w:tc>
          <w:tcPr>
            <w:tcW w:w="1234" w:type="dxa"/>
            <w:shd w:val="clear" w:color="auto" w:fill="auto"/>
            <w:noWrap/>
            <w:hideMark/>
          </w:tcPr>
          <w:p w14:paraId="3632A1C9" w14:textId="77777777" w:rsidR="00F35C59" w:rsidRPr="00DA5F2B" w:rsidRDefault="00F35C59" w:rsidP="00DC36DA">
            <w:pPr>
              <w:ind w:right="181"/>
              <w:jc w:val="center"/>
              <w:rPr>
                <w:rFonts w:ascii="Calibri" w:hAnsi="Calibri" w:cs="Calibri"/>
                <w:color w:val="000000"/>
                <w:sz w:val="20"/>
                <w:szCs w:val="20"/>
              </w:rPr>
            </w:pPr>
            <w:r w:rsidRPr="00DA5F2B">
              <w:rPr>
                <w:rFonts w:ascii="Calibri" w:hAnsi="Calibri" w:cs="Calibri"/>
                <w:color w:val="000000"/>
                <w:sz w:val="20"/>
                <w:szCs w:val="20"/>
              </w:rPr>
              <w:t>3322</w:t>
            </w:r>
            <w:r w:rsidR="00DC36DA">
              <w:rPr>
                <w:rFonts w:ascii="Calibri" w:hAnsi="Calibri" w:cs="Calibri"/>
                <w:color w:val="000000"/>
                <w:sz w:val="20"/>
                <w:szCs w:val="20"/>
              </w:rPr>
              <w:t>5</w:t>
            </w:r>
            <w:r w:rsidR="003C28E9">
              <w:rPr>
                <w:rFonts w:ascii="Calibri" w:hAnsi="Calibri" w:cs="Calibri"/>
                <w:color w:val="000000"/>
                <w:sz w:val="20"/>
                <w:szCs w:val="20"/>
              </w:rPr>
              <w:t>,63</w:t>
            </w:r>
          </w:p>
        </w:tc>
        <w:tc>
          <w:tcPr>
            <w:tcW w:w="1176" w:type="dxa"/>
            <w:tcBorders>
              <w:right w:val="single" w:sz="4" w:space="0" w:color="FFFFFF" w:themeColor="background1"/>
            </w:tcBorders>
            <w:shd w:val="clear" w:color="auto" w:fill="auto"/>
            <w:noWrap/>
            <w:hideMark/>
          </w:tcPr>
          <w:p w14:paraId="4F756DD7" w14:textId="77777777" w:rsidR="00F35C59" w:rsidRPr="00DA5F2B" w:rsidRDefault="00F35C59" w:rsidP="00DC36DA">
            <w:pPr>
              <w:ind w:right="320"/>
              <w:jc w:val="center"/>
              <w:rPr>
                <w:rFonts w:ascii="Calibri" w:hAnsi="Calibri" w:cs="Calibri"/>
                <w:color w:val="000000"/>
                <w:sz w:val="20"/>
                <w:szCs w:val="20"/>
              </w:rPr>
            </w:pPr>
            <w:r w:rsidRPr="00DA5F2B">
              <w:rPr>
                <w:rFonts w:ascii="Calibri" w:hAnsi="Calibri" w:cs="Calibri"/>
                <w:color w:val="000000"/>
                <w:sz w:val="20"/>
                <w:szCs w:val="20"/>
              </w:rPr>
              <w:t>385</w:t>
            </w:r>
            <w:r w:rsidR="00796F85">
              <w:rPr>
                <w:rFonts w:ascii="Calibri" w:hAnsi="Calibri" w:cs="Calibri"/>
                <w:color w:val="000000"/>
                <w:sz w:val="20"/>
                <w:szCs w:val="20"/>
              </w:rPr>
              <w:t>49,69</w:t>
            </w:r>
          </w:p>
        </w:tc>
        <w:tc>
          <w:tcPr>
            <w:tcW w:w="1148" w:type="dxa"/>
            <w:tcBorders>
              <w:right w:val="single" w:sz="4" w:space="0" w:color="FFFFFF" w:themeColor="background1"/>
            </w:tcBorders>
          </w:tcPr>
          <w:p w14:paraId="6703B86E" w14:textId="77777777" w:rsidR="00F35C59" w:rsidRPr="007B6FB0"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16,02%</w:t>
            </w:r>
          </w:p>
        </w:tc>
        <w:tc>
          <w:tcPr>
            <w:tcW w:w="1147" w:type="dxa"/>
            <w:gridSpan w:val="2"/>
            <w:tcBorders>
              <w:left w:val="single" w:sz="4" w:space="0" w:color="FFFFFF" w:themeColor="background1"/>
            </w:tcBorders>
            <w:shd w:val="clear" w:color="auto" w:fill="auto"/>
            <w:noWrap/>
            <w:hideMark/>
          </w:tcPr>
          <w:p w14:paraId="14C7404F" w14:textId="77777777" w:rsidR="00F35C59" w:rsidRPr="00DA5F2B"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38,61</w:t>
            </w:r>
          </w:p>
        </w:tc>
        <w:tc>
          <w:tcPr>
            <w:tcW w:w="965" w:type="dxa"/>
            <w:gridSpan w:val="2"/>
            <w:shd w:val="clear" w:color="auto" w:fill="auto"/>
            <w:noWrap/>
            <w:hideMark/>
          </w:tcPr>
          <w:p w14:paraId="3AFAE334" w14:textId="77777777" w:rsidR="00F35C59" w:rsidRPr="00DA5F2B"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43,28</w:t>
            </w:r>
          </w:p>
        </w:tc>
        <w:tc>
          <w:tcPr>
            <w:tcW w:w="1148" w:type="dxa"/>
            <w:gridSpan w:val="2"/>
          </w:tcPr>
          <w:p w14:paraId="45EB06D3" w14:textId="77777777" w:rsidR="00F35C59" w:rsidRPr="007B6FB0" w:rsidRDefault="00F35C59" w:rsidP="00DC36DA">
            <w:pPr>
              <w:jc w:val="center"/>
              <w:rPr>
                <w:rFonts w:ascii="Calibri" w:hAnsi="Calibri" w:cs="Calibri"/>
                <w:color w:val="000000"/>
                <w:sz w:val="20"/>
                <w:szCs w:val="20"/>
              </w:rPr>
            </w:pPr>
            <w:r w:rsidRPr="00DA5F2B">
              <w:rPr>
                <w:rFonts w:ascii="Calibri" w:hAnsi="Calibri" w:cs="Calibri"/>
                <w:color w:val="000000"/>
                <w:sz w:val="20"/>
                <w:szCs w:val="20"/>
              </w:rPr>
              <w:t>12,10%</w:t>
            </w:r>
          </w:p>
        </w:tc>
      </w:tr>
      <w:tr w:rsidR="00EF5A07" w:rsidRPr="005623BA" w14:paraId="08B262CF" w14:textId="77777777" w:rsidTr="00DC36DA">
        <w:trPr>
          <w:gridAfter w:val="1"/>
          <w:wAfter w:w="7" w:type="dxa"/>
          <w:trHeight w:val="300"/>
          <w:jc w:val="center"/>
        </w:trPr>
        <w:tc>
          <w:tcPr>
            <w:tcW w:w="1843" w:type="dxa"/>
            <w:tcBorders>
              <w:bottom w:val="single" w:sz="4" w:space="0" w:color="auto"/>
            </w:tcBorders>
            <w:shd w:val="clear" w:color="auto" w:fill="auto"/>
            <w:noWrap/>
            <w:vAlign w:val="bottom"/>
            <w:hideMark/>
          </w:tcPr>
          <w:p w14:paraId="77ADFA33" w14:textId="77777777" w:rsidR="00EF5A07" w:rsidRPr="005623BA" w:rsidRDefault="00EF5A07" w:rsidP="00EF5A07">
            <w:pPr>
              <w:rPr>
                <w:rFonts w:eastAsia="Times New Roman" w:cstheme="minorHAnsi"/>
                <w:color w:val="000000"/>
                <w:sz w:val="20"/>
                <w:szCs w:val="20"/>
                <w:lang w:val="es-CR" w:eastAsia="es-CR"/>
              </w:rPr>
            </w:pPr>
            <w:r>
              <w:rPr>
                <w:rFonts w:ascii="Calibri" w:hAnsi="Calibri" w:cs="Calibri"/>
                <w:color w:val="000000"/>
              </w:rPr>
              <w:t>VIDA PLENA</w:t>
            </w:r>
          </w:p>
        </w:tc>
        <w:tc>
          <w:tcPr>
            <w:tcW w:w="1234" w:type="dxa"/>
            <w:tcBorders>
              <w:bottom w:val="single" w:sz="4" w:space="0" w:color="auto"/>
            </w:tcBorders>
            <w:shd w:val="clear" w:color="auto" w:fill="auto"/>
            <w:noWrap/>
            <w:hideMark/>
          </w:tcPr>
          <w:p w14:paraId="686475AE" w14:textId="77777777" w:rsidR="00EF5A07" w:rsidRPr="00DA5F2B" w:rsidRDefault="00EF5A07" w:rsidP="00DC36DA">
            <w:pPr>
              <w:ind w:right="181"/>
              <w:jc w:val="center"/>
              <w:rPr>
                <w:rFonts w:ascii="Calibri" w:hAnsi="Calibri" w:cs="Calibri"/>
                <w:color w:val="000000"/>
                <w:sz w:val="20"/>
                <w:szCs w:val="20"/>
              </w:rPr>
            </w:pPr>
            <w:r w:rsidRPr="00DA5F2B">
              <w:rPr>
                <w:rFonts w:ascii="Calibri" w:hAnsi="Calibri" w:cs="Calibri"/>
                <w:color w:val="000000"/>
                <w:sz w:val="20"/>
                <w:szCs w:val="20"/>
              </w:rPr>
              <w:t>1635</w:t>
            </w:r>
            <w:r w:rsidR="00DC36DA">
              <w:rPr>
                <w:rFonts w:ascii="Calibri" w:hAnsi="Calibri" w:cs="Calibri"/>
                <w:color w:val="000000"/>
                <w:sz w:val="20"/>
                <w:szCs w:val="20"/>
              </w:rPr>
              <w:t>0</w:t>
            </w:r>
            <w:r w:rsidR="003C28E9">
              <w:rPr>
                <w:rFonts w:ascii="Calibri" w:hAnsi="Calibri" w:cs="Calibri"/>
                <w:color w:val="000000"/>
                <w:sz w:val="20"/>
                <w:szCs w:val="20"/>
              </w:rPr>
              <w:t>,6</w:t>
            </w:r>
            <w:r w:rsidR="00DC36DA">
              <w:rPr>
                <w:rFonts w:ascii="Calibri" w:hAnsi="Calibri" w:cs="Calibri"/>
                <w:color w:val="000000"/>
                <w:sz w:val="20"/>
                <w:szCs w:val="20"/>
              </w:rPr>
              <w:t>4</w:t>
            </w:r>
          </w:p>
        </w:tc>
        <w:tc>
          <w:tcPr>
            <w:tcW w:w="1176" w:type="dxa"/>
            <w:tcBorders>
              <w:bottom w:val="single" w:sz="4" w:space="0" w:color="auto"/>
              <w:right w:val="single" w:sz="4" w:space="0" w:color="FFFFFF" w:themeColor="background1"/>
            </w:tcBorders>
            <w:shd w:val="clear" w:color="auto" w:fill="auto"/>
            <w:noWrap/>
            <w:hideMark/>
          </w:tcPr>
          <w:p w14:paraId="7103777D" w14:textId="77777777" w:rsidR="00EF5A07" w:rsidRPr="00DA5F2B" w:rsidRDefault="00EF5A07" w:rsidP="00DC36DA">
            <w:pPr>
              <w:ind w:right="320"/>
              <w:jc w:val="center"/>
              <w:rPr>
                <w:rFonts w:ascii="Calibri" w:hAnsi="Calibri" w:cs="Calibri"/>
                <w:color w:val="000000"/>
                <w:sz w:val="20"/>
                <w:szCs w:val="20"/>
              </w:rPr>
            </w:pPr>
            <w:r w:rsidRPr="00DA5F2B">
              <w:rPr>
                <w:rFonts w:ascii="Calibri" w:hAnsi="Calibri" w:cs="Calibri"/>
                <w:color w:val="000000"/>
                <w:sz w:val="20"/>
                <w:szCs w:val="20"/>
              </w:rPr>
              <w:t>1923</w:t>
            </w:r>
            <w:r w:rsidR="00796F85">
              <w:rPr>
                <w:rFonts w:ascii="Calibri" w:hAnsi="Calibri" w:cs="Calibri"/>
                <w:color w:val="000000"/>
                <w:sz w:val="20"/>
                <w:szCs w:val="20"/>
              </w:rPr>
              <w:t>0,74</w:t>
            </w:r>
          </w:p>
        </w:tc>
        <w:tc>
          <w:tcPr>
            <w:tcW w:w="1148" w:type="dxa"/>
            <w:tcBorders>
              <w:bottom w:val="single" w:sz="4" w:space="0" w:color="auto"/>
              <w:right w:val="single" w:sz="4" w:space="0" w:color="FFFFFF" w:themeColor="background1"/>
            </w:tcBorders>
          </w:tcPr>
          <w:p w14:paraId="2D0BEA1A" w14:textId="77777777" w:rsidR="00EF5A07" w:rsidRPr="00DA5F2B" w:rsidRDefault="00EF5A07" w:rsidP="00DC36DA">
            <w:pPr>
              <w:jc w:val="center"/>
              <w:rPr>
                <w:rFonts w:ascii="Calibri" w:hAnsi="Calibri" w:cs="Calibri"/>
                <w:color w:val="000000"/>
                <w:sz w:val="20"/>
                <w:szCs w:val="20"/>
              </w:rPr>
            </w:pPr>
            <w:r w:rsidRPr="00DA5F2B">
              <w:rPr>
                <w:rFonts w:ascii="Calibri" w:hAnsi="Calibri" w:cs="Calibri"/>
                <w:color w:val="000000"/>
                <w:sz w:val="20"/>
                <w:szCs w:val="20"/>
              </w:rPr>
              <w:t>17,61%</w:t>
            </w:r>
          </w:p>
        </w:tc>
        <w:tc>
          <w:tcPr>
            <w:tcW w:w="2105" w:type="dxa"/>
            <w:gridSpan w:val="3"/>
            <w:tcBorders>
              <w:left w:val="single" w:sz="4" w:space="0" w:color="FFFFFF" w:themeColor="background1"/>
              <w:bottom w:val="single" w:sz="4" w:space="0" w:color="auto"/>
            </w:tcBorders>
            <w:shd w:val="clear" w:color="auto" w:fill="auto"/>
            <w:noWrap/>
            <w:vAlign w:val="bottom"/>
          </w:tcPr>
          <w:p w14:paraId="3D20AC4E" w14:textId="77777777" w:rsidR="00EF5A07" w:rsidRPr="007B6FB0" w:rsidRDefault="00EF5A07" w:rsidP="00DA5F2B">
            <w:pPr>
              <w:jc w:val="center"/>
              <w:rPr>
                <w:rFonts w:eastAsia="Times New Roman" w:cstheme="minorHAnsi"/>
                <w:color w:val="000000"/>
                <w:sz w:val="20"/>
                <w:szCs w:val="20"/>
                <w:lang w:val="es-CR" w:eastAsia="es-CR"/>
              </w:rPr>
            </w:pPr>
            <w:r w:rsidRPr="007B6FB0">
              <w:rPr>
                <w:rFonts w:eastAsia="Times New Roman" w:cstheme="minorHAnsi"/>
                <w:color w:val="000000"/>
                <w:sz w:val="20"/>
                <w:szCs w:val="20"/>
                <w:lang w:val="es-CR" w:eastAsia="es-CR"/>
              </w:rPr>
              <w:t>No aplica</w:t>
            </w:r>
          </w:p>
        </w:tc>
        <w:tc>
          <w:tcPr>
            <w:tcW w:w="1148" w:type="dxa"/>
            <w:gridSpan w:val="2"/>
            <w:tcBorders>
              <w:left w:val="single" w:sz="4" w:space="0" w:color="FFFFFF" w:themeColor="background1"/>
              <w:bottom w:val="single" w:sz="4" w:space="0" w:color="auto"/>
            </w:tcBorders>
          </w:tcPr>
          <w:p w14:paraId="297F0368" w14:textId="77777777" w:rsidR="00EF5A07" w:rsidRPr="007B6FB0" w:rsidRDefault="00EF5A07" w:rsidP="00DC36DA">
            <w:pPr>
              <w:jc w:val="center"/>
              <w:rPr>
                <w:rFonts w:eastAsia="Times New Roman" w:cstheme="minorHAnsi"/>
                <w:color w:val="000000"/>
                <w:sz w:val="20"/>
                <w:szCs w:val="20"/>
                <w:lang w:val="es-CR" w:eastAsia="es-CR"/>
              </w:rPr>
            </w:pPr>
          </w:p>
        </w:tc>
      </w:tr>
    </w:tbl>
    <w:p w14:paraId="3E855140" w14:textId="77777777" w:rsidR="00584743" w:rsidRPr="00CB5F11" w:rsidRDefault="00584743">
      <w:pPr>
        <w:tabs>
          <w:tab w:val="left" w:pos="1056"/>
        </w:tabs>
        <w:rPr>
          <w:rFonts w:cstheme="minorHAnsi"/>
          <w:b/>
          <w:bCs/>
          <w:iCs/>
          <w:sz w:val="20"/>
          <w:szCs w:val="20"/>
        </w:rPr>
      </w:pPr>
      <w:r w:rsidRPr="00CB5F11">
        <w:rPr>
          <w:rFonts w:cstheme="minorHAnsi"/>
          <w:b/>
          <w:bCs/>
          <w:iCs/>
          <w:sz w:val="20"/>
          <w:szCs w:val="20"/>
        </w:rPr>
        <w:t>1/</w:t>
      </w:r>
      <w:r w:rsidR="0047395C">
        <w:rPr>
          <w:rFonts w:cstheme="minorHAnsi"/>
          <w:b/>
          <w:bCs/>
          <w:iCs/>
          <w:sz w:val="20"/>
          <w:szCs w:val="20"/>
        </w:rPr>
        <w:t xml:space="preserve"> Valores en</w:t>
      </w:r>
      <w:r w:rsidR="00C045AE">
        <w:rPr>
          <w:rFonts w:cstheme="minorHAnsi"/>
          <w:b/>
          <w:bCs/>
          <w:iCs/>
          <w:sz w:val="20"/>
          <w:szCs w:val="20"/>
        </w:rPr>
        <w:t xml:space="preserve"> millones y en</w:t>
      </w:r>
      <w:r w:rsidR="0047395C">
        <w:rPr>
          <w:rFonts w:cstheme="minorHAnsi"/>
          <w:b/>
          <w:bCs/>
          <w:iCs/>
          <w:sz w:val="20"/>
          <w:szCs w:val="20"/>
        </w:rPr>
        <w:t xml:space="preserve"> la moneda del fondo</w:t>
      </w:r>
      <w:r>
        <w:rPr>
          <w:rFonts w:cstheme="minorHAnsi"/>
          <w:b/>
          <w:bCs/>
          <w:iCs/>
          <w:sz w:val="20"/>
          <w:szCs w:val="20"/>
        </w:rPr>
        <w:t>.</w:t>
      </w:r>
    </w:p>
    <w:p w14:paraId="1B8AEAFB" w14:textId="77777777" w:rsidR="00673436" w:rsidRDefault="00584743" w:rsidP="00C846BA">
      <w:pPr>
        <w:jc w:val="both"/>
        <w:rPr>
          <w:rFonts w:ascii="Times New Roman" w:hAnsi="Times New Roman" w:cs="Times New Roman"/>
          <w:b/>
          <w:bCs/>
          <w:iCs/>
          <w:sz w:val="20"/>
          <w:szCs w:val="20"/>
        </w:rPr>
      </w:pPr>
      <w:r w:rsidRPr="00CB5F11">
        <w:rPr>
          <w:rFonts w:cstheme="minorHAnsi"/>
          <w:b/>
          <w:bCs/>
          <w:iCs/>
          <w:sz w:val="20"/>
          <w:szCs w:val="20"/>
        </w:rPr>
        <w:t>Fuente: Elaboración propia</w:t>
      </w:r>
      <w:r w:rsidRPr="00CB5F11">
        <w:rPr>
          <w:rFonts w:ascii="Times New Roman" w:hAnsi="Times New Roman" w:cs="Times New Roman"/>
          <w:b/>
          <w:bCs/>
          <w:iCs/>
          <w:sz w:val="20"/>
          <w:szCs w:val="20"/>
        </w:rPr>
        <w:t>.</w:t>
      </w:r>
    </w:p>
    <w:p w14:paraId="3B6553C9" w14:textId="77777777" w:rsidR="003D0BEA" w:rsidRDefault="003D0BEA">
      <w:pPr>
        <w:jc w:val="both"/>
      </w:pPr>
    </w:p>
    <w:p w14:paraId="394C0D21" w14:textId="77777777" w:rsidR="00344B57" w:rsidRDefault="00344B57" w:rsidP="009D13CA">
      <w:pPr>
        <w:pStyle w:val="Ttulo3"/>
        <w:numPr>
          <w:ilvl w:val="2"/>
          <w:numId w:val="18"/>
        </w:numPr>
      </w:pPr>
      <w:bookmarkStart w:id="11" w:name="_Toc96614861"/>
      <w:r>
        <w:t>Libre transferencia</w:t>
      </w:r>
      <w:bookmarkEnd w:id="11"/>
    </w:p>
    <w:p w14:paraId="35A06CED" w14:textId="77777777" w:rsidR="00344B57" w:rsidRDefault="00344B57" w:rsidP="00F40CD9">
      <w:pPr>
        <w:jc w:val="both"/>
      </w:pPr>
    </w:p>
    <w:p w14:paraId="667F93F1" w14:textId="77777777" w:rsidR="003D44DB" w:rsidRDefault="004B3A84" w:rsidP="00F40CD9">
      <w:pPr>
        <w:jc w:val="both"/>
      </w:pPr>
      <w:r>
        <w:t xml:space="preserve">La </w:t>
      </w:r>
      <w:r w:rsidR="00AF06C6">
        <w:t>tendencia alcista de los movimientos por libre transferencia se mantuvo en el cuarto trimestre de 2021</w:t>
      </w:r>
      <w:r w:rsidR="00C9410D">
        <w:t>, finalizando el año con el</w:t>
      </w:r>
      <w:r w:rsidR="00E16C0E">
        <w:t xml:space="preserve"> mayor </w:t>
      </w:r>
      <w:r w:rsidR="00C9410D">
        <w:t xml:space="preserve">volumen de traslados </w:t>
      </w:r>
      <w:r w:rsidR="00E16C0E">
        <w:t>desde 2013 (gráfico 3)</w:t>
      </w:r>
    </w:p>
    <w:p w14:paraId="475B6835" w14:textId="77777777" w:rsidR="00493871" w:rsidRDefault="00493871" w:rsidP="00F40CD9">
      <w:pPr>
        <w:jc w:val="both"/>
      </w:pPr>
    </w:p>
    <w:p w14:paraId="18B98310" w14:textId="77777777" w:rsidR="00C4127C" w:rsidRPr="00C4127C" w:rsidRDefault="00C4127C" w:rsidP="00C4127C">
      <w:pPr>
        <w:jc w:val="both"/>
        <w:rPr>
          <w:b/>
          <w:bCs/>
        </w:rPr>
      </w:pPr>
      <w:r w:rsidRPr="00C4127C">
        <w:rPr>
          <w:b/>
          <w:bCs/>
        </w:rPr>
        <w:t>Gráfico 3.</w:t>
      </w:r>
    </w:p>
    <w:p w14:paraId="1FE5AD12" w14:textId="77777777" w:rsidR="00C4127C" w:rsidRDefault="00C4127C" w:rsidP="00C4127C">
      <w:pPr>
        <w:jc w:val="both"/>
        <w:rPr>
          <w:b/>
          <w:bCs/>
        </w:rPr>
      </w:pPr>
      <w:r w:rsidRPr="00C4127C">
        <w:rPr>
          <w:b/>
          <w:bCs/>
        </w:rPr>
        <w:t xml:space="preserve">Libre transferencia: cantidad de traslados </w:t>
      </w:r>
      <w:r w:rsidR="00E16C0E">
        <w:rPr>
          <w:b/>
          <w:bCs/>
        </w:rPr>
        <w:t>por año</w:t>
      </w:r>
      <w:r w:rsidRPr="00C4127C">
        <w:rPr>
          <w:b/>
          <w:bCs/>
        </w:rPr>
        <w:t>, 201</w:t>
      </w:r>
      <w:r w:rsidR="00E16C0E">
        <w:rPr>
          <w:b/>
          <w:bCs/>
        </w:rPr>
        <w:t>0</w:t>
      </w:r>
      <w:r>
        <w:rPr>
          <w:b/>
          <w:bCs/>
        </w:rPr>
        <w:t>-</w:t>
      </w:r>
      <w:r w:rsidRPr="00C4127C">
        <w:rPr>
          <w:b/>
          <w:bCs/>
        </w:rPr>
        <w:t>2021.</w:t>
      </w:r>
    </w:p>
    <w:p w14:paraId="492D3E1E" w14:textId="77777777" w:rsidR="00C4127C" w:rsidRPr="00C4127C" w:rsidRDefault="002D3D74" w:rsidP="002D3D74">
      <w:pPr>
        <w:jc w:val="center"/>
        <w:rPr>
          <w:b/>
          <w:bCs/>
        </w:rPr>
      </w:pPr>
      <w:r>
        <w:rPr>
          <w:noProof/>
        </w:rPr>
        <w:drawing>
          <wp:inline distT="0" distB="0" distL="0" distR="0" wp14:anchorId="5ADB2301" wp14:editId="23DABF85">
            <wp:extent cx="5158740" cy="2381250"/>
            <wp:effectExtent l="0" t="0" r="0" b="0"/>
            <wp:docPr id="4" name="Gráfico 4">
              <a:extLst xmlns:a="http://schemas.openxmlformats.org/drawingml/2006/main">
                <a:ext uri="{FF2B5EF4-FFF2-40B4-BE49-F238E27FC236}">
                  <a16:creationId xmlns:a16="http://schemas.microsoft.com/office/drawing/2014/main" id="{BF679296-63C3-485A-BF60-B58B8AFB7A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7B4CFAD" w14:textId="77777777" w:rsidR="00C10365" w:rsidRDefault="00C10365" w:rsidP="008101C5">
      <w:pPr>
        <w:jc w:val="center"/>
      </w:pPr>
    </w:p>
    <w:p w14:paraId="1E900454" w14:textId="77777777" w:rsidR="00C4127C" w:rsidRPr="00C106B1" w:rsidRDefault="00C4127C" w:rsidP="00C4127C">
      <w:pPr>
        <w:jc w:val="both"/>
        <w:rPr>
          <w:b/>
          <w:bCs/>
          <w:sz w:val="18"/>
          <w:szCs w:val="18"/>
          <w:lang w:val="es-CR"/>
        </w:rPr>
      </w:pPr>
      <w:r w:rsidRPr="00C106B1">
        <w:rPr>
          <w:b/>
          <w:bCs/>
          <w:sz w:val="18"/>
          <w:szCs w:val="18"/>
        </w:rPr>
        <w:t>Fuente: Elaboración propia.</w:t>
      </w:r>
    </w:p>
    <w:p w14:paraId="1602D43F" w14:textId="77777777" w:rsidR="00C4127C" w:rsidRDefault="00C4127C" w:rsidP="00F40CD9">
      <w:pPr>
        <w:jc w:val="both"/>
      </w:pPr>
    </w:p>
    <w:p w14:paraId="0595448A" w14:textId="77777777" w:rsidR="00493871" w:rsidRDefault="00286972" w:rsidP="00F40CD9">
      <w:pPr>
        <w:jc w:val="both"/>
      </w:pPr>
      <w:r>
        <w:t xml:space="preserve">Las razones apuntadas en el Informe de Coyuntura del tercer trimestre se mantuvieron </w:t>
      </w:r>
      <w:r w:rsidR="007415C4">
        <w:t xml:space="preserve">invariables: 1) </w:t>
      </w:r>
      <w:r w:rsidR="009C2C8E">
        <w:t>un esquema de afiliación en entidad origen y destino, a</w:t>
      </w:r>
      <w:r w:rsidR="00375EB8">
        <w:t xml:space="preserve"> partir de </w:t>
      </w:r>
      <w:r w:rsidR="00614DE2">
        <w:t>2020</w:t>
      </w:r>
      <w:r w:rsidR="00223DA2">
        <w:t xml:space="preserve"> y </w:t>
      </w:r>
      <w:r w:rsidR="00614DE2">
        <w:t xml:space="preserve">2) </w:t>
      </w:r>
      <w:r w:rsidR="00C80E13">
        <w:t xml:space="preserve">la reactivación de la </w:t>
      </w:r>
      <w:r w:rsidR="009F7163">
        <w:t>actividad económica</w:t>
      </w:r>
      <w:r w:rsidR="0041160C">
        <w:t xml:space="preserve"> y </w:t>
      </w:r>
      <w:r w:rsidR="00C80E13">
        <w:t>el relajamiento de las</w:t>
      </w:r>
      <w:r w:rsidR="00CC006E">
        <w:t xml:space="preserve"> restricciones a la movilidad</w:t>
      </w:r>
      <w:r w:rsidR="0065777A">
        <w:t>.</w:t>
      </w:r>
      <w:r w:rsidR="003055DB" w:rsidDel="003055DB">
        <w:t xml:space="preserve"> </w:t>
      </w:r>
    </w:p>
    <w:p w14:paraId="4A7318D5" w14:textId="77777777" w:rsidR="00EE4B28" w:rsidRDefault="00EE4B28" w:rsidP="00F40CD9">
      <w:pPr>
        <w:jc w:val="both"/>
      </w:pPr>
    </w:p>
    <w:p w14:paraId="3C8C6DC9" w14:textId="77777777" w:rsidR="00EE4B28" w:rsidRDefault="00EE4B28" w:rsidP="00F40CD9">
      <w:pPr>
        <w:jc w:val="both"/>
      </w:pPr>
      <w:r>
        <w:t xml:space="preserve">El primer </w:t>
      </w:r>
      <w:r w:rsidR="00C07955">
        <w:t>aspecto (el esquema de afiliación) es el que repercute en mayor medida sobre el</w:t>
      </w:r>
      <w:r w:rsidR="00804448">
        <w:t xml:space="preserve"> volumen de libre transferencia. </w:t>
      </w:r>
      <w:r w:rsidR="00C74ACC">
        <w:t>E</w:t>
      </w:r>
      <w:r w:rsidR="00B6491E">
        <w:t xml:space="preserve">l periodo 2010 – 2012 correspondía al esquema de afiliación basado en entidad destino, esto es, el afiliado solicitaba el traslado en la entidad a la que quería trasladarse. </w:t>
      </w:r>
      <w:r w:rsidR="00712D2D">
        <w:t xml:space="preserve">A partir de 2013 hasta 2020, el esquema utilizado era el de entidad origen, con lo cual, el afiliado debía solicitar a la entidad a la que estaba </w:t>
      </w:r>
      <w:r w:rsidR="00712D2D">
        <w:lastRenderedPageBreak/>
        <w:t xml:space="preserve">afiliado el traslado hacia otra administradora. </w:t>
      </w:r>
      <w:r w:rsidR="0088524A">
        <w:t xml:space="preserve">Este periodo se caracterizó por el volumen más bajo de solicitudes de traslados. </w:t>
      </w:r>
      <w:r w:rsidR="00637E88">
        <w:t>A partir de 2020, el esquema es mixto (entidad origen o entidad destino)</w:t>
      </w:r>
      <w:r w:rsidR="00111658">
        <w:t>, periodo que evidencia un aumento de la libre transferencia.</w:t>
      </w:r>
    </w:p>
    <w:p w14:paraId="725C79A7" w14:textId="77777777" w:rsidR="00B23679" w:rsidRDefault="00B23679" w:rsidP="00907667"/>
    <w:p w14:paraId="60B4005D" w14:textId="77777777" w:rsidR="002E03D0" w:rsidRDefault="009574AD" w:rsidP="009D13CA">
      <w:pPr>
        <w:pStyle w:val="Ttulo3"/>
        <w:numPr>
          <w:ilvl w:val="2"/>
          <w:numId w:val="18"/>
        </w:numPr>
      </w:pPr>
      <w:bookmarkStart w:id="12" w:name="_Toc96614862"/>
      <w:r>
        <w:t>Inversiones</w:t>
      </w:r>
      <w:bookmarkEnd w:id="12"/>
    </w:p>
    <w:p w14:paraId="747EE3FF" w14:textId="77777777" w:rsidR="00930EC2" w:rsidRDefault="00930EC2" w:rsidP="009B481B">
      <w:pPr>
        <w:tabs>
          <w:tab w:val="left" w:pos="1560"/>
        </w:tabs>
        <w:jc w:val="both"/>
      </w:pPr>
    </w:p>
    <w:p w14:paraId="42FDA346" w14:textId="77777777" w:rsidR="009B481B" w:rsidRPr="007919F2" w:rsidRDefault="005063DB" w:rsidP="009B481B">
      <w:pPr>
        <w:tabs>
          <w:tab w:val="left" w:pos="1560"/>
        </w:tabs>
        <w:jc w:val="both"/>
        <w:rPr>
          <w:color w:val="FF0000"/>
          <w:highlight w:val="yellow"/>
        </w:rPr>
      </w:pPr>
      <w:r>
        <w:t xml:space="preserve">Al cierre del 2021, </w:t>
      </w:r>
      <w:r w:rsidR="009B481B" w:rsidRPr="005C413A">
        <w:t>las inversiones</w:t>
      </w:r>
      <w:r w:rsidR="00502240">
        <w:rPr>
          <w:rStyle w:val="Refdenotaalpie"/>
        </w:rPr>
        <w:footnoteReference w:id="6"/>
      </w:r>
      <w:r w:rsidR="009B481B" w:rsidRPr="005C413A">
        <w:t xml:space="preserve"> del SNP y el FCL </w:t>
      </w:r>
      <w:r w:rsidR="00E34262">
        <w:t>suman</w:t>
      </w:r>
      <w:r w:rsidR="009B481B" w:rsidRPr="005C413A">
        <w:t xml:space="preserve"> ₡1</w:t>
      </w:r>
      <w:r w:rsidR="009F288E" w:rsidRPr="005C413A">
        <w:t>7</w:t>
      </w:r>
      <w:r w:rsidR="009B481B" w:rsidRPr="005C413A">
        <w:t>,</w:t>
      </w:r>
      <w:r w:rsidR="00930836">
        <w:t>6</w:t>
      </w:r>
      <w:r w:rsidR="009B481B" w:rsidRPr="005C413A">
        <w:t xml:space="preserve"> billones</w:t>
      </w:r>
      <w:r w:rsidR="001757BE">
        <w:t>, 2,56% más con respecto a</w:t>
      </w:r>
      <w:r w:rsidR="00380E24">
        <w:t>l</w:t>
      </w:r>
      <w:r w:rsidR="001757BE">
        <w:t xml:space="preserve"> tercer trimestre del año.</w:t>
      </w:r>
      <w:r w:rsidR="009B481B" w:rsidRPr="005C413A">
        <w:t xml:space="preserve"> </w:t>
      </w:r>
      <w:r w:rsidR="001757BE">
        <w:t xml:space="preserve">El cuadro </w:t>
      </w:r>
      <w:r w:rsidR="00D15B1D">
        <w:t>3</w:t>
      </w:r>
      <w:r w:rsidR="001757BE">
        <w:t xml:space="preserve"> presenta la distribución por sector.</w:t>
      </w:r>
    </w:p>
    <w:p w14:paraId="620032D7" w14:textId="77777777" w:rsidR="009B481B" w:rsidRPr="007919F2" w:rsidRDefault="009B481B" w:rsidP="009B481B">
      <w:pPr>
        <w:jc w:val="both"/>
        <w:rPr>
          <w:color w:val="FF0000"/>
          <w:highlight w:val="yellow"/>
        </w:rPr>
      </w:pPr>
    </w:p>
    <w:p w14:paraId="3CAB3FFE" w14:textId="77777777" w:rsidR="00584743" w:rsidRPr="00A06D77" w:rsidRDefault="00584743">
      <w:pPr>
        <w:rPr>
          <w:rFonts w:ascii="Calibri" w:eastAsia="Times New Roman" w:hAnsi="Calibri" w:cs="Calibri"/>
          <w:b/>
          <w:bCs/>
          <w:lang w:val="es-CR" w:eastAsia="es-CR"/>
        </w:rPr>
      </w:pPr>
      <w:r w:rsidRPr="00A06D77">
        <w:rPr>
          <w:rFonts w:ascii="Calibri" w:eastAsia="Times New Roman" w:hAnsi="Calibri" w:cs="Calibri"/>
          <w:b/>
          <w:bCs/>
          <w:lang w:val="es-CR" w:eastAsia="es-CR"/>
        </w:rPr>
        <w:t xml:space="preserve">Cuadro </w:t>
      </w:r>
      <w:r w:rsidR="00D15B1D">
        <w:rPr>
          <w:rFonts w:ascii="Calibri" w:eastAsia="Times New Roman" w:hAnsi="Calibri" w:cs="Calibri"/>
          <w:b/>
          <w:bCs/>
          <w:lang w:val="es-CR" w:eastAsia="es-CR"/>
        </w:rPr>
        <w:t>3</w:t>
      </w:r>
      <w:r w:rsidRPr="00A06D77">
        <w:rPr>
          <w:rFonts w:ascii="Calibri" w:eastAsia="Times New Roman" w:hAnsi="Calibri" w:cs="Calibri"/>
          <w:b/>
          <w:bCs/>
          <w:lang w:val="es-CR" w:eastAsia="es-CR"/>
        </w:rPr>
        <w:t xml:space="preserve">. </w:t>
      </w:r>
    </w:p>
    <w:p w14:paraId="10C2BD9B" w14:textId="77777777" w:rsidR="00361A1F" w:rsidRPr="007919F2" w:rsidRDefault="00584743">
      <w:pPr>
        <w:jc w:val="both"/>
        <w:rPr>
          <w:color w:val="FF0000"/>
        </w:rPr>
      </w:pPr>
      <w:r w:rsidRPr="00A06D77">
        <w:rPr>
          <w:rFonts w:ascii="Calibri" w:eastAsia="Times New Roman" w:hAnsi="Calibri" w:cs="Calibri"/>
          <w:b/>
          <w:bCs/>
          <w:lang w:val="es-CR" w:eastAsia="es-CR"/>
        </w:rPr>
        <w:t xml:space="preserve">Sistema Nacional de Pensiones: </w:t>
      </w:r>
      <w:r>
        <w:rPr>
          <w:rFonts w:ascii="Calibri" w:eastAsia="Times New Roman" w:hAnsi="Calibri" w:cs="Calibri"/>
          <w:b/>
          <w:bCs/>
          <w:lang w:val="es-CR" w:eastAsia="es-CR"/>
        </w:rPr>
        <w:t>monto</w:t>
      </w:r>
      <w:r w:rsidRPr="00EB008C">
        <w:rPr>
          <w:rFonts w:ascii="Calibri" w:eastAsia="Times New Roman" w:hAnsi="Calibri" w:cs="Calibri"/>
          <w:b/>
          <w:bCs/>
          <w:vertAlign w:val="superscript"/>
          <w:lang w:val="es-CR" w:eastAsia="es-CR"/>
        </w:rPr>
        <w:t>1/</w:t>
      </w:r>
      <w:r>
        <w:rPr>
          <w:rFonts w:ascii="Calibri" w:eastAsia="Times New Roman" w:hAnsi="Calibri" w:cs="Calibri"/>
          <w:b/>
          <w:bCs/>
          <w:lang w:val="es-CR" w:eastAsia="es-CR"/>
        </w:rPr>
        <w:t xml:space="preserve"> de las </w:t>
      </w:r>
      <w:r w:rsidRPr="00A06D77">
        <w:rPr>
          <w:rFonts w:ascii="Calibri" w:eastAsia="Times New Roman" w:hAnsi="Calibri" w:cs="Calibri"/>
          <w:b/>
          <w:bCs/>
          <w:lang w:val="es-CR" w:eastAsia="es-CR"/>
        </w:rPr>
        <w:t>inversiones</w:t>
      </w:r>
      <w:r>
        <w:rPr>
          <w:rFonts w:ascii="Calibri" w:eastAsia="Times New Roman" w:hAnsi="Calibri" w:cs="Calibri"/>
          <w:b/>
          <w:bCs/>
          <w:lang w:val="es-CR" w:eastAsia="es-CR"/>
        </w:rPr>
        <w:t xml:space="preserve"> </w:t>
      </w:r>
      <w:r w:rsidRPr="00A06D77">
        <w:rPr>
          <w:rFonts w:ascii="Calibri" w:eastAsia="Times New Roman" w:hAnsi="Calibri" w:cs="Calibri"/>
          <w:b/>
          <w:bCs/>
          <w:lang w:val="es-CR" w:eastAsia="es-CR"/>
        </w:rPr>
        <w:t xml:space="preserve">por régimen según sector, </w:t>
      </w:r>
      <w:r w:rsidR="00A87E44">
        <w:rPr>
          <w:rFonts w:ascii="Calibri" w:eastAsia="Times New Roman" w:hAnsi="Calibri" w:cs="Calibri"/>
          <w:b/>
          <w:bCs/>
          <w:lang w:val="es-CR" w:eastAsia="es-CR"/>
        </w:rPr>
        <w:t>diciembre</w:t>
      </w:r>
      <w:r w:rsidRPr="00A06D77">
        <w:rPr>
          <w:rFonts w:ascii="Calibri" w:eastAsia="Times New Roman" w:hAnsi="Calibri" w:cs="Calibri"/>
          <w:b/>
          <w:bCs/>
          <w:lang w:val="es-CR" w:eastAsia="es-CR"/>
        </w:rPr>
        <w:t xml:space="preserve"> 2021</w:t>
      </w:r>
    </w:p>
    <w:tbl>
      <w:tblPr>
        <w:tblW w:w="8812" w:type="dxa"/>
        <w:jc w:val="center"/>
        <w:tblCellMar>
          <w:left w:w="70" w:type="dxa"/>
          <w:right w:w="70" w:type="dxa"/>
        </w:tblCellMar>
        <w:tblLook w:val="04A0" w:firstRow="1" w:lastRow="0" w:firstColumn="1" w:lastColumn="0" w:noHBand="0" w:noVBand="1"/>
      </w:tblPr>
      <w:tblGrid>
        <w:gridCol w:w="1843"/>
        <w:gridCol w:w="992"/>
        <w:gridCol w:w="851"/>
        <w:gridCol w:w="1130"/>
        <w:gridCol w:w="850"/>
        <w:gridCol w:w="1134"/>
        <w:gridCol w:w="743"/>
        <w:gridCol w:w="1269"/>
      </w:tblGrid>
      <w:tr w:rsidR="008A13C6" w:rsidRPr="00A918AB" w14:paraId="3BCA401B" w14:textId="77777777" w:rsidTr="004D7577">
        <w:trPr>
          <w:trHeight w:val="315"/>
          <w:jc w:val="center"/>
        </w:trPr>
        <w:tc>
          <w:tcPr>
            <w:tcW w:w="1843" w:type="dxa"/>
            <w:vMerge w:val="restart"/>
            <w:tcBorders>
              <w:top w:val="single" w:sz="4" w:space="0" w:color="auto"/>
            </w:tcBorders>
            <w:shd w:val="clear" w:color="auto" w:fill="auto"/>
            <w:noWrap/>
            <w:vAlign w:val="center"/>
            <w:hideMark/>
          </w:tcPr>
          <w:p w14:paraId="19F09DFB" w14:textId="77777777" w:rsidR="00851B9B" w:rsidRPr="00A918AB" w:rsidRDefault="00A930F2" w:rsidP="00A918AB">
            <w:pPr>
              <w:rPr>
                <w:rFonts w:ascii="Calibri" w:eastAsia="Times New Roman" w:hAnsi="Calibri" w:cs="Calibri"/>
                <w:b/>
                <w:bCs/>
                <w:sz w:val="20"/>
                <w:szCs w:val="20"/>
                <w:lang w:val="es-CR" w:eastAsia="es-CR"/>
              </w:rPr>
            </w:pPr>
            <w:r>
              <w:rPr>
                <w:rFonts w:ascii="Calibri" w:eastAsia="Times New Roman" w:hAnsi="Calibri" w:cs="Calibri"/>
                <w:b/>
                <w:bCs/>
                <w:sz w:val="20"/>
                <w:szCs w:val="20"/>
                <w:lang w:val="es-CR" w:eastAsia="es-CR"/>
              </w:rPr>
              <w:t>Régimen</w:t>
            </w:r>
          </w:p>
        </w:tc>
        <w:tc>
          <w:tcPr>
            <w:tcW w:w="1843" w:type="dxa"/>
            <w:gridSpan w:val="2"/>
            <w:tcBorders>
              <w:top w:val="single" w:sz="4" w:space="0" w:color="auto"/>
              <w:bottom w:val="single" w:sz="4" w:space="0" w:color="auto"/>
              <w:right w:val="single" w:sz="18" w:space="0" w:color="FFFFFF" w:themeColor="background1"/>
            </w:tcBorders>
            <w:shd w:val="clear" w:color="auto" w:fill="auto"/>
            <w:noWrap/>
            <w:vAlign w:val="center"/>
            <w:hideMark/>
          </w:tcPr>
          <w:p w14:paraId="3EE96247"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Extranjero</w:t>
            </w:r>
          </w:p>
        </w:tc>
        <w:tc>
          <w:tcPr>
            <w:tcW w:w="1980" w:type="dxa"/>
            <w:gridSpan w:val="2"/>
            <w:tcBorders>
              <w:top w:val="single" w:sz="4" w:space="0" w:color="auto"/>
              <w:left w:val="single" w:sz="18" w:space="0" w:color="FFFFFF" w:themeColor="background1"/>
              <w:bottom w:val="single" w:sz="4" w:space="0" w:color="auto"/>
              <w:right w:val="single" w:sz="18" w:space="0" w:color="FFFFFF" w:themeColor="background1"/>
            </w:tcBorders>
            <w:shd w:val="clear" w:color="auto" w:fill="auto"/>
            <w:noWrap/>
            <w:vAlign w:val="center"/>
            <w:hideMark/>
          </w:tcPr>
          <w:p w14:paraId="1A6C0B32"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   Privado</w:t>
            </w:r>
          </w:p>
        </w:tc>
        <w:tc>
          <w:tcPr>
            <w:tcW w:w="1877" w:type="dxa"/>
            <w:gridSpan w:val="2"/>
            <w:tcBorders>
              <w:top w:val="single" w:sz="4" w:space="0" w:color="auto"/>
              <w:left w:val="single" w:sz="18" w:space="0" w:color="FFFFFF" w:themeColor="background1"/>
              <w:bottom w:val="single" w:sz="4" w:space="0" w:color="auto"/>
            </w:tcBorders>
            <w:shd w:val="clear" w:color="auto" w:fill="auto"/>
            <w:vAlign w:val="center"/>
            <w:hideMark/>
          </w:tcPr>
          <w:p w14:paraId="3DF648FE"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Público</w:t>
            </w:r>
          </w:p>
        </w:tc>
        <w:tc>
          <w:tcPr>
            <w:tcW w:w="1242" w:type="dxa"/>
            <w:vMerge w:val="restart"/>
            <w:tcBorders>
              <w:top w:val="single" w:sz="4" w:space="0" w:color="auto"/>
            </w:tcBorders>
            <w:shd w:val="clear" w:color="auto" w:fill="auto"/>
            <w:noWrap/>
            <w:vAlign w:val="center"/>
            <w:hideMark/>
          </w:tcPr>
          <w:p w14:paraId="2C5B0B38"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Total</w:t>
            </w:r>
          </w:p>
        </w:tc>
      </w:tr>
      <w:tr w:rsidR="008A13C6" w:rsidRPr="00A918AB" w14:paraId="34F2267B" w14:textId="77777777" w:rsidTr="004D7577">
        <w:trPr>
          <w:trHeight w:val="315"/>
          <w:jc w:val="center"/>
        </w:trPr>
        <w:tc>
          <w:tcPr>
            <w:tcW w:w="1843" w:type="dxa"/>
            <w:vMerge/>
            <w:tcBorders>
              <w:bottom w:val="single" w:sz="4" w:space="0" w:color="auto"/>
            </w:tcBorders>
            <w:shd w:val="clear" w:color="auto" w:fill="auto"/>
            <w:vAlign w:val="center"/>
            <w:hideMark/>
          </w:tcPr>
          <w:p w14:paraId="590A20B3" w14:textId="77777777" w:rsidR="00851B9B" w:rsidRPr="00A918AB" w:rsidRDefault="00851B9B" w:rsidP="00A918AB">
            <w:pPr>
              <w:rPr>
                <w:rFonts w:ascii="Calibri" w:eastAsia="Times New Roman" w:hAnsi="Calibri" w:cs="Calibri"/>
                <w:b/>
                <w:bCs/>
                <w:sz w:val="20"/>
                <w:szCs w:val="20"/>
                <w:lang w:val="es-CR" w:eastAsia="es-CR"/>
              </w:rPr>
            </w:pPr>
          </w:p>
        </w:tc>
        <w:tc>
          <w:tcPr>
            <w:tcW w:w="992" w:type="dxa"/>
            <w:tcBorders>
              <w:top w:val="single" w:sz="4" w:space="0" w:color="auto"/>
              <w:bottom w:val="single" w:sz="4" w:space="0" w:color="auto"/>
            </w:tcBorders>
            <w:shd w:val="clear" w:color="auto" w:fill="auto"/>
            <w:noWrap/>
            <w:vAlign w:val="center"/>
            <w:hideMark/>
          </w:tcPr>
          <w:p w14:paraId="74956B82"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Monto</w:t>
            </w:r>
          </w:p>
        </w:tc>
        <w:tc>
          <w:tcPr>
            <w:tcW w:w="851" w:type="dxa"/>
            <w:tcBorders>
              <w:top w:val="single" w:sz="4" w:space="0" w:color="auto"/>
              <w:bottom w:val="single" w:sz="4" w:space="0" w:color="auto"/>
              <w:right w:val="single" w:sz="18" w:space="0" w:color="FFFFFF" w:themeColor="background1"/>
            </w:tcBorders>
            <w:shd w:val="clear" w:color="auto" w:fill="auto"/>
            <w:noWrap/>
            <w:vAlign w:val="center"/>
            <w:hideMark/>
          </w:tcPr>
          <w:p w14:paraId="234A5D6E"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w:t>
            </w:r>
          </w:p>
        </w:tc>
        <w:tc>
          <w:tcPr>
            <w:tcW w:w="1130" w:type="dxa"/>
            <w:tcBorders>
              <w:top w:val="single" w:sz="4" w:space="0" w:color="auto"/>
              <w:left w:val="single" w:sz="18" w:space="0" w:color="FFFFFF" w:themeColor="background1"/>
              <w:bottom w:val="single" w:sz="4" w:space="0" w:color="auto"/>
            </w:tcBorders>
            <w:shd w:val="clear" w:color="auto" w:fill="auto"/>
            <w:noWrap/>
            <w:vAlign w:val="center"/>
            <w:hideMark/>
          </w:tcPr>
          <w:p w14:paraId="76EEFA88"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Monto</w:t>
            </w:r>
          </w:p>
        </w:tc>
        <w:tc>
          <w:tcPr>
            <w:tcW w:w="850" w:type="dxa"/>
            <w:tcBorders>
              <w:top w:val="single" w:sz="4" w:space="0" w:color="auto"/>
              <w:bottom w:val="single" w:sz="4" w:space="0" w:color="auto"/>
              <w:right w:val="single" w:sz="18" w:space="0" w:color="FFFFFF" w:themeColor="background1"/>
            </w:tcBorders>
            <w:shd w:val="clear" w:color="auto" w:fill="auto"/>
            <w:noWrap/>
            <w:vAlign w:val="center"/>
            <w:hideMark/>
          </w:tcPr>
          <w:p w14:paraId="490E2EBD"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w:t>
            </w:r>
          </w:p>
        </w:tc>
        <w:tc>
          <w:tcPr>
            <w:tcW w:w="1134" w:type="dxa"/>
            <w:tcBorders>
              <w:top w:val="single" w:sz="4" w:space="0" w:color="auto"/>
              <w:left w:val="single" w:sz="18" w:space="0" w:color="FFFFFF" w:themeColor="background1"/>
              <w:bottom w:val="single" w:sz="4" w:space="0" w:color="auto"/>
            </w:tcBorders>
            <w:shd w:val="clear" w:color="auto" w:fill="auto"/>
            <w:noWrap/>
            <w:vAlign w:val="center"/>
            <w:hideMark/>
          </w:tcPr>
          <w:p w14:paraId="4023E1E6"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Monto</w:t>
            </w:r>
          </w:p>
        </w:tc>
        <w:tc>
          <w:tcPr>
            <w:tcW w:w="743" w:type="dxa"/>
            <w:tcBorders>
              <w:top w:val="single" w:sz="4" w:space="0" w:color="auto"/>
              <w:bottom w:val="single" w:sz="4" w:space="0" w:color="auto"/>
            </w:tcBorders>
            <w:shd w:val="clear" w:color="auto" w:fill="auto"/>
            <w:noWrap/>
            <w:vAlign w:val="center"/>
            <w:hideMark/>
          </w:tcPr>
          <w:p w14:paraId="3B9E1B35" w14:textId="77777777" w:rsidR="00851B9B" w:rsidRPr="00A918AB" w:rsidRDefault="00851B9B" w:rsidP="00A918AB">
            <w:pPr>
              <w:jc w:val="cente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w:t>
            </w:r>
          </w:p>
        </w:tc>
        <w:tc>
          <w:tcPr>
            <w:tcW w:w="1242" w:type="dxa"/>
            <w:vMerge/>
            <w:tcBorders>
              <w:bottom w:val="single" w:sz="4" w:space="0" w:color="auto"/>
            </w:tcBorders>
            <w:shd w:val="clear" w:color="auto" w:fill="auto"/>
            <w:noWrap/>
            <w:vAlign w:val="center"/>
            <w:hideMark/>
          </w:tcPr>
          <w:p w14:paraId="3B869440" w14:textId="77777777" w:rsidR="00851B9B" w:rsidRPr="00A918AB" w:rsidRDefault="00851B9B" w:rsidP="00A918AB">
            <w:pPr>
              <w:jc w:val="center"/>
              <w:rPr>
                <w:rFonts w:ascii="Calibri" w:eastAsia="Times New Roman" w:hAnsi="Calibri" w:cs="Calibri"/>
                <w:b/>
                <w:bCs/>
                <w:sz w:val="20"/>
                <w:szCs w:val="20"/>
                <w:lang w:val="es-CR" w:eastAsia="es-CR"/>
              </w:rPr>
            </w:pPr>
          </w:p>
        </w:tc>
      </w:tr>
      <w:tr w:rsidR="008A13C6" w:rsidRPr="00A918AB" w14:paraId="3FB82834" w14:textId="77777777" w:rsidTr="004D7577">
        <w:trPr>
          <w:trHeight w:val="315"/>
          <w:jc w:val="center"/>
        </w:trPr>
        <w:tc>
          <w:tcPr>
            <w:tcW w:w="1843" w:type="dxa"/>
            <w:tcBorders>
              <w:top w:val="single" w:sz="4" w:space="0" w:color="auto"/>
            </w:tcBorders>
            <w:shd w:val="clear" w:color="auto" w:fill="auto"/>
            <w:noWrap/>
            <w:vAlign w:val="center"/>
            <w:hideMark/>
          </w:tcPr>
          <w:p w14:paraId="48BAFE3F" w14:textId="77777777"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IVM</w:t>
            </w:r>
          </w:p>
        </w:tc>
        <w:tc>
          <w:tcPr>
            <w:tcW w:w="992" w:type="dxa"/>
            <w:tcBorders>
              <w:top w:val="single" w:sz="4" w:space="0" w:color="auto"/>
            </w:tcBorders>
            <w:shd w:val="clear" w:color="auto" w:fill="auto"/>
            <w:noWrap/>
            <w:vAlign w:val="center"/>
            <w:hideMark/>
          </w:tcPr>
          <w:p w14:paraId="48B88E41"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p>
        </w:tc>
        <w:tc>
          <w:tcPr>
            <w:tcW w:w="851" w:type="dxa"/>
            <w:tcBorders>
              <w:top w:val="single" w:sz="4" w:space="0" w:color="auto"/>
            </w:tcBorders>
            <w:shd w:val="clear" w:color="auto" w:fill="auto"/>
            <w:noWrap/>
            <w:vAlign w:val="center"/>
            <w:hideMark/>
          </w:tcPr>
          <w:p w14:paraId="6B362582"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p>
        </w:tc>
        <w:tc>
          <w:tcPr>
            <w:tcW w:w="1130" w:type="dxa"/>
            <w:tcBorders>
              <w:top w:val="single" w:sz="4" w:space="0" w:color="auto"/>
            </w:tcBorders>
            <w:shd w:val="clear" w:color="auto" w:fill="auto"/>
            <w:noWrap/>
            <w:vAlign w:val="center"/>
            <w:hideMark/>
          </w:tcPr>
          <w:p w14:paraId="1749DA86" w14:textId="77777777" w:rsidR="00A918AB" w:rsidRPr="00A918AB" w:rsidRDefault="001B407E" w:rsidP="00A918AB">
            <w:pPr>
              <w:jc w:val="right"/>
              <w:rPr>
                <w:rFonts w:ascii="Calibri" w:eastAsia="Times New Roman" w:hAnsi="Calibri" w:cs="Calibri"/>
                <w:sz w:val="20"/>
                <w:szCs w:val="20"/>
                <w:lang w:val="es-CR" w:eastAsia="es-CR"/>
              </w:rPr>
            </w:pPr>
            <w:r w:rsidRPr="001B407E">
              <w:rPr>
                <w:rFonts w:ascii="Calibri" w:eastAsia="Times New Roman" w:hAnsi="Calibri" w:cs="Calibri"/>
                <w:sz w:val="20"/>
                <w:szCs w:val="20"/>
                <w:lang w:val="es-CR" w:eastAsia="es-CR"/>
              </w:rPr>
              <w:t>87</w:t>
            </w:r>
            <w:r w:rsidR="000B2B50">
              <w:rPr>
                <w:rFonts w:ascii="Calibri" w:eastAsia="Times New Roman" w:hAnsi="Calibri" w:cs="Calibri"/>
                <w:sz w:val="20"/>
                <w:szCs w:val="20"/>
                <w:lang w:val="es-CR" w:eastAsia="es-CR"/>
              </w:rPr>
              <w:t> </w:t>
            </w:r>
            <w:r w:rsidRPr="001B407E">
              <w:rPr>
                <w:rFonts w:ascii="Calibri" w:eastAsia="Times New Roman" w:hAnsi="Calibri" w:cs="Calibri"/>
                <w:sz w:val="20"/>
                <w:szCs w:val="20"/>
                <w:lang w:val="es-CR" w:eastAsia="es-CR"/>
              </w:rPr>
              <w:t>622</w:t>
            </w:r>
          </w:p>
        </w:tc>
        <w:tc>
          <w:tcPr>
            <w:tcW w:w="850" w:type="dxa"/>
            <w:tcBorders>
              <w:top w:val="single" w:sz="4" w:space="0" w:color="auto"/>
            </w:tcBorders>
            <w:shd w:val="clear" w:color="auto" w:fill="auto"/>
            <w:noWrap/>
            <w:vAlign w:val="center"/>
            <w:hideMark/>
          </w:tcPr>
          <w:p w14:paraId="0751088C"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3,</w:t>
            </w:r>
            <w:r w:rsidR="006A6F3A">
              <w:rPr>
                <w:rFonts w:ascii="Calibri" w:eastAsia="Times New Roman" w:hAnsi="Calibri" w:cs="Calibri"/>
                <w:sz w:val="20"/>
                <w:szCs w:val="20"/>
                <w:lang w:val="es-CR" w:eastAsia="es-CR"/>
              </w:rPr>
              <w:t>39</w:t>
            </w:r>
            <w:r w:rsidRPr="00A918AB">
              <w:rPr>
                <w:rFonts w:ascii="Calibri" w:eastAsia="Times New Roman" w:hAnsi="Calibri" w:cs="Calibri"/>
                <w:sz w:val="20"/>
                <w:szCs w:val="20"/>
                <w:lang w:val="es-CR" w:eastAsia="es-CR"/>
              </w:rPr>
              <w:t>%</w:t>
            </w:r>
          </w:p>
        </w:tc>
        <w:tc>
          <w:tcPr>
            <w:tcW w:w="1134" w:type="dxa"/>
            <w:tcBorders>
              <w:top w:val="single" w:sz="4" w:space="0" w:color="auto"/>
            </w:tcBorders>
            <w:shd w:val="clear" w:color="auto" w:fill="auto"/>
            <w:noWrap/>
            <w:vAlign w:val="center"/>
            <w:hideMark/>
          </w:tcPr>
          <w:p w14:paraId="4AC1895F" w14:textId="77777777" w:rsidR="00A918AB" w:rsidRPr="00A918AB" w:rsidRDefault="002A4AA8" w:rsidP="00A918AB">
            <w:pPr>
              <w:jc w:val="right"/>
              <w:rPr>
                <w:rFonts w:ascii="Calibri" w:eastAsia="Times New Roman" w:hAnsi="Calibri" w:cs="Calibri"/>
                <w:sz w:val="20"/>
                <w:szCs w:val="20"/>
                <w:lang w:val="es-CR" w:eastAsia="es-CR"/>
              </w:rPr>
            </w:pPr>
            <w:r w:rsidRPr="002A4AA8">
              <w:rPr>
                <w:rFonts w:ascii="Calibri" w:eastAsia="Times New Roman" w:hAnsi="Calibri" w:cs="Calibri"/>
                <w:sz w:val="20"/>
                <w:szCs w:val="20"/>
                <w:lang w:val="es-CR" w:eastAsia="es-CR"/>
              </w:rPr>
              <w:t>2</w:t>
            </w:r>
            <w:r>
              <w:rPr>
                <w:rFonts w:ascii="Calibri" w:eastAsia="Times New Roman" w:hAnsi="Calibri" w:cs="Calibri"/>
                <w:sz w:val="20"/>
                <w:szCs w:val="20"/>
                <w:lang w:val="es-CR" w:eastAsia="es-CR"/>
              </w:rPr>
              <w:t xml:space="preserve"> </w:t>
            </w:r>
            <w:r w:rsidRPr="002A4AA8">
              <w:rPr>
                <w:rFonts w:ascii="Calibri" w:eastAsia="Times New Roman" w:hAnsi="Calibri" w:cs="Calibri"/>
                <w:sz w:val="20"/>
                <w:szCs w:val="20"/>
                <w:lang w:val="es-CR" w:eastAsia="es-CR"/>
              </w:rPr>
              <w:t>499</w:t>
            </w:r>
            <w:r w:rsidR="00D82BF9">
              <w:rPr>
                <w:rFonts w:ascii="Calibri" w:eastAsia="Times New Roman" w:hAnsi="Calibri" w:cs="Calibri"/>
                <w:sz w:val="20"/>
                <w:szCs w:val="20"/>
                <w:lang w:val="es-CR" w:eastAsia="es-CR"/>
              </w:rPr>
              <w:t> </w:t>
            </w:r>
            <w:r w:rsidRPr="002A4AA8">
              <w:rPr>
                <w:rFonts w:ascii="Calibri" w:eastAsia="Times New Roman" w:hAnsi="Calibri" w:cs="Calibri"/>
                <w:sz w:val="20"/>
                <w:szCs w:val="20"/>
                <w:lang w:val="es-CR" w:eastAsia="es-CR"/>
              </w:rPr>
              <w:t>301</w:t>
            </w:r>
          </w:p>
        </w:tc>
        <w:tc>
          <w:tcPr>
            <w:tcW w:w="743" w:type="dxa"/>
            <w:tcBorders>
              <w:top w:val="single" w:sz="4" w:space="0" w:color="auto"/>
            </w:tcBorders>
            <w:shd w:val="clear" w:color="auto" w:fill="auto"/>
            <w:noWrap/>
            <w:vAlign w:val="center"/>
            <w:hideMark/>
          </w:tcPr>
          <w:p w14:paraId="7DBFE949" w14:textId="77777777" w:rsidR="00A918AB" w:rsidRPr="00A918AB" w:rsidRDefault="001D61CE"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96,61</w:t>
            </w:r>
            <w:r w:rsidR="00A918AB" w:rsidRPr="00A918AB">
              <w:rPr>
                <w:rFonts w:ascii="Calibri" w:eastAsia="Times New Roman" w:hAnsi="Calibri" w:cs="Calibri"/>
                <w:sz w:val="20"/>
                <w:szCs w:val="20"/>
                <w:lang w:val="es-CR" w:eastAsia="es-CR"/>
              </w:rPr>
              <w:t>%</w:t>
            </w:r>
          </w:p>
        </w:tc>
        <w:tc>
          <w:tcPr>
            <w:tcW w:w="1242" w:type="dxa"/>
            <w:tcBorders>
              <w:top w:val="single" w:sz="4" w:space="0" w:color="auto"/>
            </w:tcBorders>
            <w:shd w:val="clear" w:color="auto" w:fill="auto"/>
            <w:noWrap/>
            <w:vAlign w:val="center"/>
            <w:hideMark/>
          </w:tcPr>
          <w:p w14:paraId="46658550" w14:textId="77777777" w:rsidR="00A918AB" w:rsidRPr="00A918AB" w:rsidRDefault="00B44B8D" w:rsidP="00A918AB">
            <w:pPr>
              <w:jc w:val="right"/>
              <w:rPr>
                <w:rFonts w:ascii="Calibri" w:eastAsia="Times New Roman" w:hAnsi="Calibri" w:cs="Calibri"/>
                <w:sz w:val="20"/>
                <w:szCs w:val="20"/>
                <w:lang w:val="es-CR" w:eastAsia="es-CR"/>
              </w:rPr>
            </w:pPr>
            <w:r w:rsidRPr="00B44B8D">
              <w:rPr>
                <w:rFonts w:ascii="Calibri" w:eastAsia="Times New Roman" w:hAnsi="Calibri" w:cs="Calibri"/>
                <w:sz w:val="20"/>
                <w:szCs w:val="20"/>
                <w:lang w:val="es-CR" w:eastAsia="es-CR"/>
              </w:rPr>
              <w:t>2</w:t>
            </w:r>
            <w:r>
              <w:rPr>
                <w:rFonts w:ascii="Calibri" w:eastAsia="Times New Roman" w:hAnsi="Calibri" w:cs="Calibri"/>
                <w:sz w:val="20"/>
                <w:szCs w:val="20"/>
                <w:lang w:val="es-CR" w:eastAsia="es-CR"/>
              </w:rPr>
              <w:t xml:space="preserve"> </w:t>
            </w:r>
            <w:r w:rsidRPr="00B44B8D">
              <w:rPr>
                <w:rFonts w:ascii="Calibri" w:eastAsia="Times New Roman" w:hAnsi="Calibri" w:cs="Calibri"/>
                <w:sz w:val="20"/>
                <w:szCs w:val="20"/>
                <w:lang w:val="es-CR" w:eastAsia="es-CR"/>
              </w:rPr>
              <w:t>586</w:t>
            </w:r>
            <w:r>
              <w:rPr>
                <w:rFonts w:ascii="Calibri" w:eastAsia="Times New Roman" w:hAnsi="Calibri" w:cs="Calibri"/>
                <w:sz w:val="20"/>
                <w:szCs w:val="20"/>
                <w:lang w:val="es-CR" w:eastAsia="es-CR"/>
              </w:rPr>
              <w:t xml:space="preserve"> </w:t>
            </w:r>
            <w:r w:rsidRPr="00B44B8D">
              <w:rPr>
                <w:rFonts w:ascii="Calibri" w:eastAsia="Times New Roman" w:hAnsi="Calibri" w:cs="Calibri"/>
                <w:sz w:val="20"/>
                <w:szCs w:val="20"/>
                <w:lang w:val="es-CR" w:eastAsia="es-CR"/>
              </w:rPr>
              <w:t>923</w:t>
            </w:r>
          </w:p>
        </w:tc>
      </w:tr>
      <w:tr w:rsidR="0073533A" w:rsidRPr="00A918AB" w14:paraId="545413CF" w14:textId="77777777" w:rsidTr="004D7577">
        <w:trPr>
          <w:trHeight w:val="315"/>
          <w:jc w:val="center"/>
        </w:trPr>
        <w:tc>
          <w:tcPr>
            <w:tcW w:w="8812" w:type="dxa"/>
            <w:gridSpan w:val="8"/>
            <w:shd w:val="clear" w:color="auto" w:fill="auto"/>
            <w:noWrap/>
            <w:vAlign w:val="center"/>
            <w:hideMark/>
          </w:tcPr>
          <w:p w14:paraId="16EB1A13" w14:textId="77777777"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Básicos Sustitutos</w:t>
            </w:r>
          </w:p>
        </w:tc>
      </w:tr>
      <w:tr w:rsidR="008A13C6" w:rsidRPr="00A918AB" w14:paraId="3114CF0F" w14:textId="77777777" w:rsidTr="004D7577">
        <w:trPr>
          <w:trHeight w:val="315"/>
          <w:jc w:val="center"/>
        </w:trPr>
        <w:tc>
          <w:tcPr>
            <w:tcW w:w="1843" w:type="dxa"/>
            <w:shd w:val="clear" w:color="auto" w:fill="auto"/>
            <w:noWrap/>
            <w:vAlign w:val="center"/>
            <w:hideMark/>
          </w:tcPr>
          <w:p w14:paraId="3888BBEC" w14:textId="77777777" w:rsidR="00A918AB" w:rsidRPr="00A918AB" w:rsidRDefault="00A918AB" w:rsidP="00A918AB">
            <w:pPr>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     RCCMN</w:t>
            </w:r>
          </w:p>
        </w:tc>
        <w:tc>
          <w:tcPr>
            <w:tcW w:w="992" w:type="dxa"/>
            <w:shd w:val="clear" w:color="auto" w:fill="auto"/>
            <w:noWrap/>
            <w:vAlign w:val="center"/>
            <w:hideMark/>
          </w:tcPr>
          <w:p w14:paraId="709E30C3"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p>
        </w:tc>
        <w:tc>
          <w:tcPr>
            <w:tcW w:w="851" w:type="dxa"/>
            <w:shd w:val="clear" w:color="auto" w:fill="auto"/>
            <w:noWrap/>
            <w:vAlign w:val="center"/>
            <w:hideMark/>
          </w:tcPr>
          <w:p w14:paraId="7FC1957B"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0,00%</w:t>
            </w:r>
          </w:p>
        </w:tc>
        <w:tc>
          <w:tcPr>
            <w:tcW w:w="1130" w:type="dxa"/>
            <w:shd w:val="clear" w:color="auto" w:fill="auto"/>
            <w:noWrap/>
            <w:vAlign w:val="center"/>
            <w:hideMark/>
          </w:tcPr>
          <w:p w14:paraId="40909E92" w14:textId="77777777" w:rsidR="001A01F9" w:rsidRPr="00A918AB" w:rsidRDefault="001A01F9" w:rsidP="00A918AB">
            <w:pPr>
              <w:jc w:val="right"/>
              <w:rPr>
                <w:rFonts w:ascii="Calibri" w:eastAsia="Times New Roman" w:hAnsi="Calibri" w:cs="Calibri"/>
                <w:sz w:val="20"/>
                <w:szCs w:val="20"/>
                <w:lang w:val="es-CR" w:eastAsia="es-CR"/>
              </w:rPr>
            </w:pPr>
            <w:r w:rsidRPr="001A01F9">
              <w:rPr>
                <w:rFonts w:ascii="Calibri" w:eastAsia="Times New Roman" w:hAnsi="Calibri" w:cs="Calibri"/>
                <w:sz w:val="20"/>
                <w:szCs w:val="20"/>
                <w:lang w:val="es-CR" w:eastAsia="es-CR"/>
              </w:rPr>
              <w:t>454</w:t>
            </w:r>
            <w:r w:rsidR="000B2B50">
              <w:rPr>
                <w:rFonts w:ascii="Calibri" w:eastAsia="Times New Roman" w:hAnsi="Calibri" w:cs="Calibri"/>
                <w:sz w:val="20"/>
                <w:szCs w:val="20"/>
                <w:lang w:val="es-CR" w:eastAsia="es-CR"/>
              </w:rPr>
              <w:t> </w:t>
            </w:r>
            <w:r w:rsidRPr="001A01F9">
              <w:rPr>
                <w:rFonts w:ascii="Calibri" w:eastAsia="Times New Roman" w:hAnsi="Calibri" w:cs="Calibri"/>
                <w:sz w:val="20"/>
                <w:szCs w:val="20"/>
                <w:lang w:val="es-CR" w:eastAsia="es-CR"/>
              </w:rPr>
              <w:t>92</w:t>
            </w:r>
            <w:r w:rsidR="004E1ED2">
              <w:rPr>
                <w:rFonts w:ascii="Calibri" w:eastAsia="Times New Roman" w:hAnsi="Calibri" w:cs="Calibri"/>
                <w:sz w:val="20"/>
                <w:szCs w:val="20"/>
                <w:lang w:val="es-CR" w:eastAsia="es-CR"/>
              </w:rPr>
              <w:t>7</w:t>
            </w:r>
          </w:p>
        </w:tc>
        <w:tc>
          <w:tcPr>
            <w:tcW w:w="850" w:type="dxa"/>
            <w:shd w:val="clear" w:color="auto" w:fill="auto"/>
            <w:noWrap/>
            <w:vAlign w:val="center"/>
            <w:hideMark/>
          </w:tcPr>
          <w:p w14:paraId="07202FDE" w14:textId="77777777" w:rsidR="00A918AB" w:rsidRPr="00A918AB" w:rsidRDefault="006A6F3A" w:rsidP="006A6F3A">
            <w:pPr>
              <w:jc w:val="center"/>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13,14</w:t>
            </w:r>
            <w:r w:rsidR="00A918AB" w:rsidRPr="00A918AB">
              <w:rPr>
                <w:rFonts w:ascii="Calibri" w:eastAsia="Times New Roman" w:hAnsi="Calibri" w:cs="Calibri"/>
                <w:sz w:val="20"/>
                <w:szCs w:val="20"/>
                <w:lang w:val="es-CR" w:eastAsia="es-CR"/>
              </w:rPr>
              <w:t>%</w:t>
            </w:r>
          </w:p>
        </w:tc>
        <w:tc>
          <w:tcPr>
            <w:tcW w:w="1134" w:type="dxa"/>
            <w:shd w:val="clear" w:color="auto" w:fill="auto"/>
            <w:noWrap/>
            <w:vAlign w:val="center"/>
            <w:hideMark/>
          </w:tcPr>
          <w:p w14:paraId="78D90F8B" w14:textId="77777777" w:rsidR="004E1ED2" w:rsidRPr="00A918AB" w:rsidRDefault="004E1ED2" w:rsidP="00A918AB">
            <w:pPr>
              <w:jc w:val="right"/>
              <w:rPr>
                <w:rFonts w:ascii="Calibri" w:eastAsia="Times New Roman" w:hAnsi="Calibri" w:cs="Calibri"/>
                <w:sz w:val="20"/>
                <w:szCs w:val="20"/>
                <w:lang w:val="es-CR" w:eastAsia="es-CR"/>
              </w:rPr>
            </w:pPr>
            <w:r w:rsidRPr="004E1ED2">
              <w:rPr>
                <w:rFonts w:ascii="Calibri" w:eastAsia="Times New Roman" w:hAnsi="Calibri" w:cs="Calibri"/>
                <w:sz w:val="20"/>
                <w:szCs w:val="20"/>
                <w:lang w:val="es-CR" w:eastAsia="es-CR"/>
              </w:rPr>
              <w:t>3</w:t>
            </w:r>
            <w:r w:rsidR="00140BEC">
              <w:rPr>
                <w:rFonts w:ascii="Calibri" w:eastAsia="Times New Roman" w:hAnsi="Calibri" w:cs="Calibri"/>
                <w:sz w:val="20"/>
                <w:szCs w:val="20"/>
                <w:lang w:val="es-CR" w:eastAsia="es-CR"/>
              </w:rPr>
              <w:t xml:space="preserve"> </w:t>
            </w:r>
            <w:r w:rsidRPr="004E1ED2">
              <w:rPr>
                <w:rFonts w:ascii="Calibri" w:eastAsia="Times New Roman" w:hAnsi="Calibri" w:cs="Calibri"/>
                <w:sz w:val="20"/>
                <w:szCs w:val="20"/>
                <w:lang w:val="es-CR" w:eastAsia="es-CR"/>
              </w:rPr>
              <w:t>006</w:t>
            </w:r>
            <w:r w:rsidR="000B2B50">
              <w:rPr>
                <w:rFonts w:ascii="Calibri" w:eastAsia="Times New Roman" w:hAnsi="Calibri" w:cs="Calibri"/>
                <w:sz w:val="20"/>
                <w:szCs w:val="20"/>
                <w:lang w:val="es-CR" w:eastAsia="es-CR"/>
              </w:rPr>
              <w:t> </w:t>
            </w:r>
            <w:r w:rsidRPr="004E1ED2">
              <w:rPr>
                <w:rFonts w:ascii="Calibri" w:eastAsia="Times New Roman" w:hAnsi="Calibri" w:cs="Calibri"/>
                <w:sz w:val="20"/>
                <w:szCs w:val="20"/>
                <w:lang w:val="es-CR" w:eastAsia="es-CR"/>
              </w:rPr>
              <w:t>26</w:t>
            </w:r>
            <w:r>
              <w:rPr>
                <w:rFonts w:ascii="Calibri" w:eastAsia="Times New Roman" w:hAnsi="Calibri" w:cs="Calibri"/>
                <w:sz w:val="20"/>
                <w:szCs w:val="20"/>
                <w:lang w:val="es-CR" w:eastAsia="es-CR"/>
              </w:rPr>
              <w:t>9</w:t>
            </w:r>
          </w:p>
        </w:tc>
        <w:tc>
          <w:tcPr>
            <w:tcW w:w="743" w:type="dxa"/>
            <w:shd w:val="clear" w:color="auto" w:fill="auto"/>
            <w:noWrap/>
            <w:vAlign w:val="center"/>
            <w:hideMark/>
          </w:tcPr>
          <w:p w14:paraId="3A3634AB" w14:textId="77777777" w:rsidR="00A918AB" w:rsidRPr="00A918AB" w:rsidRDefault="001D61CE"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86,86</w:t>
            </w:r>
            <w:r w:rsidR="00A918AB" w:rsidRPr="00A918AB">
              <w:rPr>
                <w:rFonts w:ascii="Calibri" w:eastAsia="Times New Roman" w:hAnsi="Calibri" w:cs="Calibri"/>
                <w:sz w:val="20"/>
                <w:szCs w:val="20"/>
                <w:lang w:val="es-CR" w:eastAsia="es-CR"/>
              </w:rPr>
              <w:t>%</w:t>
            </w:r>
          </w:p>
        </w:tc>
        <w:tc>
          <w:tcPr>
            <w:tcW w:w="1242" w:type="dxa"/>
            <w:shd w:val="clear" w:color="auto" w:fill="auto"/>
            <w:noWrap/>
            <w:vAlign w:val="center"/>
            <w:hideMark/>
          </w:tcPr>
          <w:p w14:paraId="4C8F509F" w14:textId="77777777" w:rsidR="00A918AB" w:rsidRPr="00A918AB" w:rsidRDefault="0045353A" w:rsidP="00A918AB">
            <w:pPr>
              <w:jc w:val="right"/>
              <w:rPr>
                <w:rFonts w:ascii="Calibri" w:eastAsia="Times New Roman" w:hAnsi="Calibri" w:cs="Calibri"/>
                <w:sz w:val="20"/>
                <w:szCs w:val="20"/>
                <w:lang w:val="es-CR" w:eastAsia="es-CR"/>
              </w:rPr>
            </w:pPr>
            <w:r w:rsidRPr="0045353A">
              <w:rPr>
                <w:rFonts w:ascii="Calibri" w:eastAsia="Times New Roman" w:hAnsi="Calibri" w:cs="Calibri"/>
                <w:sz w:val="20"/>
                <w:szCs w:val="20"/>
                <w:lang w:val="es-CR" w:eastAsia="es-CR"/>
              </w:rPr>
              <w:t>3</w:t>
            </w:r>
            <w:r>
              <w:rPr>
                <w:rFonts w:ascii="Calibri" w:eastAsia="Times New Roman" w:hAnsi="Calibri" w:cs="Calibri"/>
                <w:sz w:val="20"/>
                <w:szCs w:val="20"/>
                <w:lang w:val="es-CR" w:eastAsia="es-CR"/>
              </w:rPr>
              <w:t xml:space="preserve"> </w:t>
            </w:r>
            <w:r w:rsidRPr="0045353A">
              <w:rPr>
                <w:rFonts w:ascii="Calibri" w:eastAsia="Times New Roman" w:hAnsi="Calibri" w:cs="Calibri"/>
                <w:sz w:val="20"/>
                <w:szCs w:val="20"/>
                <w:lang w:val="es-CR" w:eastAsia="es-CR"/>
              </w:rPr>
              <w:t>461</w:t>
            </w:r>
            <w:r>
              <w:rPr>
                <w:rFonts w:ascii="Calibri" w:eastAsia="Times New Roman" w:hAnsi="Calibri" w:cs="Calibri"/>
                <w:sz w:val="20"/>
                <w:szCs w:val="20"/>
                <w:lang w:val="es-CR" w:eastAsia="es-CR"/>
              </w:rPr>
              <w:t xml:space="preserve"> </w:t>
            </w:r>
            <w:r w:rsidRPr="0045353A">
              <w:rPr>
                <w:rFonts w:ascii="Calibri" w:eastAsia="Times New Roman" w:hAnsi="Calibri" w:cs="Calibri"/>
                <w:sz w:val="20"/>
                <w:szCs w:val="20"/>
                <w:lang w:val="es-CR" w:eastAsia="es-CR"/>
              </w:rPr>
              <w:t>196</w:t>
            </w:r>
          </w:p>
        </w:tc>
      </w:tr>
      <w:tr w:rsidR="008A13C6" w:rsidRPr="00A918AB" w14:paraId="7A6E7012" w14:textId="77777777" w:rsidTr="004D7577">
        <w:trPr>
          <w:trHeight w:val="315"/>
          <w:jc w:val="center"/>
        </w:trPr>
        <w:tc>
          <w:tcPr>
            <w:tcW w:w="1843" w:type="dxa"/>
            <w:shd w:val="clear" w:color="auto" w:fill="auto"/>
            <w:noWrap/>
            <w:vAlign w:val="center"/>
            <w:hideMark/>
          </w:tcPr>
          <w:p w14:paraId="0658507D" w14:textId="77777777" w:rsidR="00A918AB" w:rsidRPr="00A918AB" w:rsidRDefault="00A918AB" w:rsidP="00A918AB">
            <w:pPr>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     FPJ</w:t>
            </w:r>
          </w:p>
        </w:tc>
        <w:tc>
          <w:tcPr>
            <w:tcW w:w="992" w:type="dxa"/>
            <w:shd w:val="clear" w:color="auto" w:fill="auto"/>
            <w:noWrap/>
            <w:vAlign w:val="center"/>
            <w:hideMark/>
          </w:tcPr>
          <w:p w14:paraId="05147D51" w14:textId="77777777" w:rsidR="00A918AB" w:rsidRPr="00A918AB" w:rsidRDefault="00140BEC" w:rsidP="00A918AB">
            <w:pPr>
              <w:jc w:val="right"/>
              <w:rPr>
                <w:rFonts w:ascii="Calibri" w:eastAsia="Times New Roman" w:hAnsi="Calibri" w:cs="Calibri"/>
                <w:sz w:val="20"/>
                <w:szCs w:val="20"/>
                <w:lang w:val="es-CR" w:eastAsia="es-CR"/>
              </w:rPr>
            </w:pPr>
            <w:r w:rsidRPr="00140BEC">
              <w:rPr>
                <w:rFonts w:ascii="Calibri" w:eastAsia="Times New Roman" w:hAnsi="Calibri" w:cs="Calibri"/>
                <w:sz w:val="20"/>
                <w:szCs w:val="20"/>
                <w:lang w:val="es-CR" w:eastAsia="es-CR"/>
              </w:rPr>
              <w:t>14</w:t>
            </w:r>
            <w:r w:rsidR="000B2B50">
              <w:rPr>
                <w:rFonts w:ascii="Calibri" w:eastAsia="Times New Roman" w:hAnsi="Calibri" w:cs="Calibri"/>
                <w:sz w:val="20"/>
                <w:szCs w:val="20"/>
                <w:lang w:val="es-CR" w:eastAsia="es-CR"/>
              </w:rPr>
              <w:t> </w:t>
            </w:r>
            <w:r w:rsidRPr="00140BEC">
              <w:rPr>
                <w:rFonts w:ascii="Calibri" w:eastAsia="Times New Roman" w:hAnsi="Calibri" w:cs="Calibri"/>
                <w:sz w:val="20"/>
                <w:szCs w:val="20"/>
                <w:lang w:val="es-CR" w:eastAsia="es-CR"/>
              </w:rPr>
              <w:t>258</w:t>
            </w:r>
          </w:p>
        </w:tc>
        <w:tc>
          <w:tcPr>
            <w:tcW w:w="851" w:type="dxa"/>
            <w:shd w:val="clear" w:color="auto" w:fill="auto"/>
            <w:noWrap/>
            <w:vAlign w:val="center"/>
            <w:hideMark/>
          </w:tcPr>
          <w:p w14:paraId="7E183ED9" w14:textId="77777777" w:rsidR="00A918AB" w:rsidRPr="00A918AB" w:rsidRDefault="0065622C"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2,04</w:t>
            </w:r>
            <w:r w:rsidR="00A918AB" w:rsidRPr="00A918AB">
              <w:rPr>
                <w:rFonts w:ascii="Calibri" w:eastAsia="Times New Roman" w:hAnsi="Calibri" w:cs="Calibri"/>
                <w:sz w:val="20"/>
                <w:szCs w:val="20"/>
                <w:lang w:val="es-CR" w:eastAsia="es-CR"/>
              </w:rPr>
              <w:t>%</w:t>
            </w:r>
          </w:p>
        </w:tc>
        <w:tc>
          <w:tcPr>
            <w:tcW w:w="1130" w:type="dxa"/>
            <w:shd w:val="clear" w:color="auto" w:fill="auto"/>
            <w:noWrap/>
            <w:vAlign w:val="center"/>
            <w:hideMark/>
          </w:tcPr>
          <w:p w14:paraId="03301468" w14:textId="77777777" w:rsidR="00D4773D" w:rsidRPr="00A918AB" w:rsidRDefault="00D4773D" w:rsidP="00A918AB">
            <w:pPr>
              <w:jc w:val="right"/>
              <w:rPr>
                <w:rFonts w:ascii="Calibri" w:eastAsia="Times New Roman" w:hAnsi="Calibri" w:cs="Calibri"/>
                <w:sz w:val="20"/>
                <w:szCs w:val="20"/>
                <w:lang w:val="es-CR" w:eastAsia="es-CR"/>
              </w:rPr>
            </w:pPr>
            <w:r w:rsidRPr="00D4773D">
              <w:rPr>
                <w:rFonts w:ascii="Calibri" w:eastAsia="Times New Roman" w:hAnsi="Calibri" w:cs="Calibri"/>
                <w:sz w:val="20"/>
                <w:szCs w:val="20"/>
                <w:lang w:val="es-CR" w:eastAsia="es-CR"/>
              </w:rPr>
              <w:t>133</w:t>
            </w:r>
            <w:r w:rsidR="000B2B50">
              <w:rPr>
                <w:rFonts w:ascii="Calibri" w:eastAsia="Times New Roman" w:hAnsi="Calibri" w:cs="Calibri"/>
                <w:sz w:val="20"/>
                <w:szCs w:val="20"/>
                <w:lang w:val="es-CR" w:eastAsia="es-CR"/>
              </w:rPr>
              <w:t> </w:t>
            </w:r>
            <w:r w:rsidRPr="00D4773D">
              <w:rPr>
                <w:rFonts w:ascii="Calibri" w:eastAsia="Times New Roman" w:hAnsi="Calibri" w:cs="Calibri"/>
                <w:sz w:val="20"/>
                <w:szCs w:val="20"/>
                <w:lang w:val="es-CR" w:eastAsia="es-CR"/>
              </w:rPr>
              <w:t>99</w:t>
            </w:r>
            <w:r>
              <w:rPr>
                <w:rFonts w:ascii="Calibri" w:eastAsia="Times New Roman" w:hAnsi="Calibri" w:cs="Calibri"/>
                <w:sz w:val="20"/>
                <w:szCs w:val="20"/>
                <w:lang w:val="es-CR" w:eastAsia="es-CR"/>
              </w:rPr>
              <w:t>3</w:t>
            </w:r>
          </w:p>
        </w:tc>
        <w:tc>
          <w:tcPr>
            <w:tcW w:w="850" w:type="dxa"/>
            <w:shd w:val="clear" w:color="auto" w:fill="auto"/>
            <w:noWrap/>
            <w:vAlign w:val="center"/>
            <w:hideMark/>
          </w:tcPr>
          <w:p w14:paraId="668B79C6" w14:textId="77777777" w:rsidR="00A918AB" w:rsidRPr="00A918AB" w:rsidRDefault="006A6F3A"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19,21</w:t>
            </w:r>
            <w:r w:rsidR="00A918AB" w:rsidRPr="00A918AB">
              <w:rPr>
                <w:rFonts w:ascii="Calibri" w:eastAsia="Times New Roman" w:hAnsi="Calibri" w:cs="Calibri"/>
                <w:sz w:val="20"/>
                <w:szCs w:val="20"/>
                <w:lang w:val="es-CR" w:eastAsia="es-CR"/>
              </w:rPr>
              <w:t>%</w:t>
            </w:r>
          </w:p>
        </w:tc>
        <w:tc>
          <w:tcPr>
            <w:tcW w:w="1134" w:type="dxa"/>
            <w:shd w:val="clear" w:color="auto" w:fill="auto"/>
            <w:noWrap/>
            <w:vAlign w:val="center"/>
            <w:hideMark/>
          </w:tcPr>
          <w:p w14:paraId="0FCB9047" w14:textId="77777777" w:rsidR="001E0F70" w:rsidRPr="00A918AB" w:rsidRDefault="001E0F70" w:rsidP="00A918AB">
            <w:pPr>
              <w:jc w:val="right"/>
              <w:rPr>
                <w:rFonts w:ascii="Calibri" w:eastAsia="Times New Roman" w:hAnsi="Calibri" w:cs="Calibri"/>
                <w:sz w:val="20"/>
                <w:szCs w:val="20"/>
                <w:lang w:val="es-CR" w:eastAsia="es-CR"/>
              </w:rPr>
            </w:pPr>
            <w:r w:rsidRPr="001E0F70">
              <w:rPr>
                <w:rFonts w:ascii="Calibri" w:eastAsia="Times New Roman" w:hAnsi="Calibri" w:cs="Calibri"/>
                <w:sz w:val="20"/>
                <w:szCs w:val="20"/>
                <w:lang w:val="es-CR" w:eastAsia="es-CR"/>
              </w:rPr>
              <w:t>549</w:t>
            </w:r>
            <w:r w:rsidR="000B2B50">
              <w:rPr>
                <w:rFonts w:ascii="Calibri" w:eastAsia="Times New Roman" w:hAnsi="Calibri" w:cs="Calibri"/>
                <w:sz w:val="20"/>
                <w:szCs w:val="20"/>
                <w:lang w:val="es-CR" w:eastAsia="es-CR"/>
              </w:rPr>
              <w:t> </w:t>
            </w:r>
            <w:r w:rsidRPr="001E0F70">
              <w:rPr>
                <w:rFonts w:ascii="Calibri" w:eastAsia="Times New Roman" w:hAnsi="Calibri" w:cs="Calibri"/>
                <w:sz w:val="20"/>
                <w:szCs w:val="20"/>
                <w:lang w:val="es-CR" w:eastAsia="es-CR"/>
              </w:rPr>
              <w:t>422</w:t>
            </w:r>
          </w:p>
        </w:tc>
        <w:tc>
          <w:tcPr>
            <w:tcW w:w="743" w:type="dxa"/>
            <w:shd w:val="clear" w:color="auto" w:fill="auto"/>
            <w:noWrap/>
            <w:vAlign w:val="center"/>
            <w:hideMark/>
          </w:tcPr>
          <w:p w14:paraId="0F6ABB21" w14:textId="77777777" w:rsidR="00A918AB" w:rsidRPr="00A918AB" w:rsidRDefault="001D61CE"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78,75</w:t>
            </w:r>
            <w:r w:rsidR="00A918AB" w:rsidRPr="00A918AB">
              <w:rPr>
                <w:rFonts w:ascii="Calibri" w:eastAsia="Times New Roman" w:hAnsi="Calibri" w:cs="Calibri"/>
                <w:sz w:val="20"/>
                <w:szCs w:val="20"/>
                <w:lang w:val="es-CR" w:eastAsia="es-CR"/>
              </w:rPr>
              <w:t>%</w:t>
            </w:r>
          </w:p>
        </w:tc>
        <w:tc>
          <w:tcPr>
            <w:tcW w:w="1242" w:type="dxa"/>
            <w:shd w:val="clear" w:color="auto" w:fill="auto"/>
            <w:noWrap/>
            <w:vAlign w:val="center"/>
            <w:hideMark/>
          </w:tcPr>
          <w:p w14:paraId="0C999178" w14:textId="77777777" w:rsidR="00A918AB" w:rsidRPr="00A918AB" w:rsidRDefault="0045353A" w:rsidP="0045353A">
            <w:pPr>
              <w:jc w:val="right"/>
              <w:rPr>
                <w:rFonts w:ascii="Calibri" w:eastAsia="Times New Roman" w:hAnsi="Calibri" w:cs="Calibri"/>
                <w:sz w:val="20"/>
                <w:szCs w:val="20"/>
                <w:lang w:val="es-CR" w:eastAsia="es-CR"/>
              </w:rPr>
            </w:pPr>
            <w:r w:rsidRPr="0045353A">
              <w:rPr>
                <w:rFonts w:ascii="Calibri" w:eastAsia="Times New Roman" w:hAnsi="Calibri" w:cs="Calibri"/>
                <w:sz w:val="20"/>
                <w:szCs w:val="20"/>
                <w:lang w:val="es-CR" w:eastAsia="es-CR"/>
              </w:rPr>
              <w:t>697</w:t>
            </w:r>
            <w:r>
              <w:rPr>
                <w:rFonts w:ascii="Calibri" w:eastAsia="Times New Roman" w:hAnsi="Calibri" w:cs="Calibri"/>
                <w:sz w:val="20"/>
                <w:szCs w:val="20"/>
                <w:lang w:val="es-CR" w:eastAsia="es-CR"/>
              </w:rPr>
              <w:t xml:space="preserve"> </w:t>
            </w:r>
            <w:r w:rsidRPr="0045353A">
              <w:rPr>
                <w:rFonts w:ascii="Calibri" w:eastAsia="Times New Roman" w:hAnsi="Calibri" w:cs="Calibri"/>
                <w:sz w:val="20"/>
                <w:szCs w:val="20"/>
                <w:lang w:val="es-CR" w:eastAsia="es-CR"/>
              </w:rPr>
              <w:t>673</w:t>
            </w:r>
          </w:p>
        </w:tc>
      </w:tr>
      <w:tr w:rsidR="008A13C6" w:rsidRPr="00A918AB" w14:paraId="75BAEC75" w14:textId="77777777" w:rsidTr="004D7577">
        <w:trPr>
          <w:trHeight w:val="315"/>
          <w:jc w:val="center"/>
        </w:trPr>
        <w:tc>
          <w:tcPr>
            <w:tcW w:w="1843" w:type="dxa"/>
            <w:shd w:val="clear" w:color="auto" w:fill="auto"/>
            <w:noWrap/>
            <w:vAlign w:val="center"/>
            <w:hideMark/>
          </w:tcPr>
          <w:p w14:paraId="79CE6DAD" w14:textId="77777777" w:rsidR="00A918AB" w:rsidRPr="00A918AB" w:rsidRDefault="00A918AB" w:rsidP="00A918AB">
            <w:pPr>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     FBOMBEROS</w:t>
            </w:r>
          </w:p>
        </w:tc>
        <w:tc>
          <w:tcPr>
            <w:tcW w:w="992" w:type="dxa"/>
            <w:shd w:val="clear" w:color="auto" w:fill="auto"/>
            <w:noWrap/>
            <w:vAlign w:val="center"/>
            <w:hideMark/>
          </w:tcPr>
          <w:p w14:paraId="7F5291E3"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p>
        </w:tc>
        <w:tc>
          <w:tcPr>
            <w:tcW w:w="851" w:type="dxa"/>
            <w:shd w:val="clear" w:color="auto" w:fill="auto"/>
            <w:noWrap/>
            <w:vAlign w:val="center"/>
            <w:hideMark/>
          </w:tcPr>
          <w:p w14:paraId="1DB39E0A"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0,00%</w:t>
            </w:r>
          </w:p>
        </w:tc>
        <w:tc>
          <w:tcPr>
            <w:tcW w:w="1130" w:type="dxa"/>
            <w:shd w:val="clear" w:color="auto" w:fill="auto"/>
            <w:noWrap/>
            <w:vAlign w:val="center"/>
            <w:hideMark/>
          </w:tcPr>
          <w:p w14:paraId="0EC2A0C1" w14:textId="77777777" w:rsidR="00D70A04" w:rsidRPr="00A918AB" w:rsidRDefault="00D70A04" w:rsidP="00A918AB">
            <w:pPr>
              <w:jc w:val="right"/>
              <w:rPr>
                <w:rFonts w:ascii="Calibri" w:eastAsia="Times New Roman" w:hAnsi="Calibri" w:cs="Calibri"/>
                <w:sz w:val="20"/>
                <w:szCs w:val="20"/>
                <w:lang w:val="es-CR" w:eastAsia="es-CR"/>
              </w:rPr>
            </w:pPr>
            <w:r w:rsidRPr="00D70A04">
              <w:rPr>
                <w:rFonts w:ascii="Calibri" w:eastAsia="Times New Roman" w:hAnsi="Calibri" w:cs="Calibri"/>
                <w:sz w:val="20"/>
                <w:szCs w:val="20"/>
                <w:lang w:val="es-CR" w:eastAsia="es-CR"/>
              </w:rPr>
              <w:t>18</w:t>
            </w:r>
            <w:r w:rsidR="000B2B50">
              <w:rPr>
                <w:rFonts w:ascii="Calibri" w:eastAsia="Times New Roman" w:hAnsi="Calibri" w:cs="Calibri"/>
                <w:sz w:val="20"/>
                <w:szCs w:val="20"/>
                <w:lang w:val="es-CR" w:eastAsia="es-CR"/>
              </w:rPr>
              <w:t> </w:t>
            </w:r>
            <w:r w:rsidRPr="00D70A04">
              <w:rPr>
                <w:rFonts w:ascii="Calibri" w:eastAsia="Times New Roman" w:hAnsi="Calibri" w:cs="Calibri"/>
                <w:sz w:val="20"/>
                <w:szCs w:val="20"/>
                <w:lang w:val="es-CR" w:eastAsia="es-CR"/>
              </w:rPr>
              <w:t>49</w:t>
            </w:r>
            <w:r>
              <w:rPr>
                <w:rFonts w:ascii="Calibri" w:eastAsia="Times New Roman" w:hAnsi="Calibri" w:cs="Calibri"/>
                <w:sz w:val="20"/>
                <w:szCs w:val="20"/>
                <w:lang w:val="es-CR" w:eastAsia="es-CR"/>
              </w:rPr>
              <w:t>7</w:t>
            </w:r>
          </w:p>
        </w:tc>
        <w:tc>
          <w:tcPr>
            <w:tcW w:w="850" w:type="dxa"/>
            <w:shd w:val="clear" w:color="auto" w:fill="auto"/>
            <w:noWrap/>
            <w:vAlign w:val="center"/>
            <w:hideMark/>
          </w:tcPr>
          <w:p w14:paraId="5B9DCBA7" w14:textId="77777777" w:rsidR="00A918AB" w:rsidRPr="00A918AB" w:rsidRDefault="006A6F3A"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37,71</w:t>
            </w:r>
            <w:r w:rsidR="00A918AB" w:rsidRPr="00A918AB">
              <w:rPr>
                <w:rFonts w:ascii="Calibri" w:eastAsia="Times New Roman" w:hAnsi="Calibri" w:cs="Calibri"/>
                <w:sz w:val="20"/>
                <w:szCs w:val="20"/>
                <w:lang w:val="es-CR" w:eastAsia="es-CR"/>
              </w:rPr>
              <w:t>%</w:t>
            </w:r>
          </w:p>
        </w:tc>
        <w:tc>
          <w:tcPr>
            <w:tcW w:w="1134" w:type="dxa"/>
            <w:shd w:val="clear" w:color="auto" w:fill="auto"/>
            <w:noWrap/>
            <w:vAlign w:val="center"/>
            <w:hideMark/>
          </w:tcPr>
          <w:p w14:paraId="4F9AA0B5" w14:textId="77777777" w:rsidR="005860E2" w:rsidRPr="00A918AB" w:rsidRDefault="005860E2" w:rsidP="005860E2">
            <w:pPr>
              <w:jc w:val="right"/>
              <w:rPr>
                <w:rFonts w:ascii="Calibri" w:eastAsia="Times New Roman" w:hAnsi="Calibri" w:cs="Calibri"/>
                <w:sz w:val="20"/>
                <w:szCs w:val="20"/>
                <w:lang w:val="es-CR" w:eastAsia="es-CR"/>
              </w:rPr>
            </w:pPr>
            <w:r w:rsidRPr="005860E2">
              <w:rPr>
                <w:rFonts w:ascii="Calibri" w:eastAsia="Times New Roman" w:hAnsi="Calibri" w:cs="Calibri"/>
                <w:sz w:val="20"/>
                <w:szCs w:val="20"/>
                <w:lang w:val="es-CR" w:eastAsia="es-CR"/>
              </w:rPr>
              <w:t>30</w:t>
            </w:r>
            <w:r w:rsidR="000B2B50">
              <w:rPr>
                <w:rFonts w:ascii="Calibri" w:eastAsia="Times New Roman" w:hAnsi="Calibri" w:cs="Calibri"/>
                <w:sz w:val="20"/>
                <w:szCs w:val="20"/>
                <w:lang w:val="es-CR" w:eastAsia="es-CR"/>
              </w:rPr>
              <w:t> </w:t>
            </w:r>
            <w:r w:rsidRPr="005860E2">
              <w:rPr>
                <w:rFonts w:ascii="Calibri" w:eastAsia="Times New Roman" w:hAnsi="Calibri" w:cs="Calibri"/>
                <w:sz w:val="20"/>
                <w:szCs w:val="20"/>
                <w:lang w:val="es-CR" w:eastAsia="es-CR"/>
              </w:rPr>
              <w:t>55</w:t>
            </w:r>
            <w:r>
              <w:rPr>
                <w:rFonts w:ascii="Calibri" w:eastAsia="Times New Roman" w:hAnsi="Calibri" w:cs="Calibri"/>
                <w:sz w:val="20"/>
                <w:szCs w:val="20"/>
                <w:lang w:val="es-CR" w:eastAsia="es-CR"/>
              </w:rPr>
              <w:t>9</w:t>
            </w:r>
          </w:p>
        </w:tc>
        <w:tc>
          <w:tcPr>
            <w:tcW w:w="743" w:type="dxa"/>
            <w:shd w:val="clear" w:color="auto" w:fill="auto"/>
            <w:noWrap/>
            <w:vAlign w:val="center"/>
            <w:hideMark/>
          </w:tcPr>
          <w:p w14:paraId="7A140DD3" w14:textId="77777777" w:rsidR="00A918AB" w:rsidRPr="00A918AB" w:rsidRDefault="001D61CE"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62,29</w:t>
            </w:r>
            <w:r w:rsidR="00A918AB" w:rsidRPr="00A918AB">
              <w:rPr>
                <w:rFonts w:ascii="Calibri" w:eastAsia="Times New Roman" w:hAnsi="Calibri" w:cs="Calibri"/>
                <w:sz w:val="20"/>
                <w:szCs w:val="20"/>
                <w:lang w:val="es-CR" w:eastAsia="es-CR"/>
              </w:rPr>
              <w:t>%</w:t>
            </w:r>
          </w:p>
        </w:tc>
        <w:tc>
          <w:tcPr>
            <w:tcW w:w="1242" w:type="dxa"/>
            <w:shd w:val="clear" w:color="auto" w:fill="auto"/>
            <w:noWrap/>
            <w:vAlign w:val="center"/>
            <w:hideMark/>
          </w:tcPr>
          <w:p w14:paraId="6E636231" w14:textId="77777777" w:rsidR="00A918AB" w:rsidRPr="00A918AB" w:rsidRDefault="0045353A" w:rsidP="00A918AB">
            <w:pPr>
              <w:jc w:val="right"/>
              <w:rPr>
                <w:rFonts w:ascii="Calibri" w:eastAsia="Times New Roman" w:hAnsi="Calibri" w:cs="Calibri"/>
                <w:sz w:val="20"/>
                <w:szCs w:val="20"/>
                <w:lang w:val="es-CR" w:eastAsia="es-CR"/>
              </w:rPr>
            </w:pPr>
            <w:r w:rsidRPr="0045353A">
              <w:rPr>
                <w:rFonts w:ascii="Calibri" w:eastAsia="Times New Roman" w:hAnsi="Calibri" w:cs="Calibri"/>
                <w:sz w:val="20"/>
                <w:szCs w:val="20"/>
                <w:lang w:val="es-CR" w:eastAsia="es-CR"/>
              </w:rPr>
              <w:t>49</w:t>
            </w:r>
            <w:r>
              <w:rPr>
                <w:rFonts w:ascii="Calibri" w:eastAsia="Times New Roman" w:hAnsi="Calibri" w:cs="Calibri"/>
                <w:sz w:val="20"/>
                <w:szCs w:val="20"/>
                <w:lang w:val="es-CR" w:eastAsia="es-CR"/>
              </w:rPr>
              <w:t xml:space="preserve"> </w:t>
            </w:r>
            <w:r w:rsidRPr="0045353A">
              <w:rPr>
                <w:rFonts w:ascii="Calibri" w:eastAsia="Times New Roman" w:hAnsi="Calibri" w:cs="Calibri"/>
                <w:sz w:val="20"/>
                <w:szCs w:val="20"/>
                <w:lang w:val="es-CR" w:eastAsia="es-CR"/>
              </w:rPr>
              <w:t>056</w:t>
            </w:r>
          </w:p>
        </w:tc>
      </w:tr>
      <w:tr w:rsidR="008A13C6" w:rsidRPr="00A918AB" w14:paraId="3E0BF899" w14:textId="77777777" w:rsidTr="004D7577">
        <w:trPr>
          <w:trHeight w:val="315"/>
          <w:jc w:val="center"/>
        </w:trPr>
        <w:tc>
          <w:tcPr>
            <w:tcW w:w="1843" w:type="dxa"/>
            <w:shd w:val="clear" w:color="auto" w:fill="auto"/>
            <w:noWrap/>
            <w:vAlign w:val="center"/>
            <w:hideMark/>
          </w:tcPr>
          <w:p w14:paraId="1F0E2BAF" w14:textId="77777777"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Ocupacionales</w:t>
            </w:r>
          </w:p>
        </w:tc>
        <w:tc>
          <w:tcPr>
            <w:tcW w:w="992" w:type="dxa"/>
            <w:shd w:val="clear" w:color="auto" w:fill="auto"/>
            <w:noWrap/>
            <w:vAlign w:val="center"/>
            <w:hideMark/>
          </w:tcPr>
          <w:p w14:paraId="7DAE90B1" w14:textId="77777777" w:rsidR="0007328F" w:rsidRPr="00A918AB" w:rsidRDefault="0007328F" w:rsidP="00A918AB">
            <w:pPr>
              <w:jc w:val="right"/>
              <w:rPr>
                <w:rFonts w:ascii="Calibri" w:eastAsia="Times New Roman" w:hAnsi="Calibri" w:cs="Calibri"/>
                <w:sz w:val="20"/>
                <w:szCs w:val="20"/>
                <w:lang w:val="es-CR" w:eastAsia="es-CR"/>
              </w:rPr>
            </w:pPr>
            <w:r w:rsidRPr="0007328F">
              <w:rPr>
                <w:rFonts w:ascii="Calibri" w:eastAsia="Times New Roman" w:hAnsi="Calibri" w:cs="Calibri"/>
                <w:sz w:val="20"/>
                <w:szCs w:val="20"/>
                <w:lang w:val="es-CR" w:eastAsia="es-CR"/>
              </w:rPr>
              <w:t>7</w:t>
            </w:r>
            <w:r w:rsidR="000B2B50">
              <w:rPr>
                <w:rFonts w:ascii="Calibri" w:eastAsia="Times New Roman" w:hAnsi="Calibri" w:cs="Calibri"/>
                <w:sz w:val="20"/>
                <w:szCs w:val="20"/>
                <w:lang w:val="es-CR" w:eastAsia="es-CR"/>
              </w:rPr>
              <w:t> </w:t>
            </w:r>
            <w:r w:rsidRPr="0007328F">
              <w:rPr>
                <w:rFonts w:ascii="Calibri" w:eastAsia="Times New Roman" w:hAnsi="Calibri" w:cs="Calibri"/>
                <w:sz w:val="20"/>
                <w:szCs w:val="20"/>
                <w:lang w:val="es-CR" w:eastAsia="es-CR"/>
              </w:rPr>
              <w:t>365</w:t>
            </w:r>
          </w:p>
        </w:tc>
        <w:tc>
          <w:tcPr>
            <w:tcW w:w="851" w:type="dxa"/>
            <w:shd w:val="clear" w:color="auto" w:fill="auto"/>
            <w:noWrap/>
            <w:vAlign w:val="center"/>
            <w:hideMark/>
          </w:tcPr>
          <w:p w14:paraId="2CF1D861"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0,</w:t>
            </w:r>
            <w:r w:rsidR="00D31137">
              <w:rPr>
                <w:rFonts w:ascii="Calibri" w:eastAsia="Times New Roman" w:hAnsi="Calibri" w:cs="Calibri"/>
                <w:sz w:val="20"/>
                <w:szCs w:val="20"/>
                <w:lang w:val="es-CR" w:eastAsia="es-CR"/>
              </w:rPr>
              <w:t>74</w:t>
            </w:r>
            <w:r w:rsidRPr="00A918AB">
              <w:rPr>
                <w:rFonts w:ascii="Calibri" w:eastAsia="Times New Roman" w:hAnsi="Calibri" w:cs="Calibri"/>
                <w:sz w:val="20"/>
                <w:szCs w:val="20"/>
                <w:lang w:val="es-CR" w:eastAsia="es-CR"/>
              </w:rPr>
              <w:t>%</w:t>
            </w:r>
          </w:p>
        </w:tc>
        <w:tc>
          <w:tcPr>
            <w:tcW w:w="1130" w:type="dxa"/>
            <w:shd w:val="clear" w:color="auto" w:fill="auto"/>
            <w:noWrap/>
            <w:vAlign w:val="center"/>
            <w:hideMark/>
          </w:tcPr>
          <w:p w14:paraId="5506C14D" w14:textId="77777777" w:rsidR="003D526A" w:rsidRPr="00A918AB" w:rsidRDefault="003D526A" w:rsidP="003D526A">
            <w:pPr>
              <w:jc w:val="right"/>
              <w:rPr>
                <w:rFonts w:ascii="Calibri" w:eastAsia="Times New Roman" w:hAnsi="Calibri" w:cs="Calibri"/>
                <w:sz w:val="20"/>
                <w:szCs w:val="20"/>
                <w:lang w:val="es-CR" w:eastAsia="es-CR"/>
              </w:rPr>
            </w:pPr>
            <w:r w:rsidRPr="003D526A">
              <w:rPr>
                <w:rFonts w:ascii="Calibri" w:eastAsia="Times New Roman" w:hAnsi="Calibri" w:cs="Calibri"/>
                <w:sz w:val="20"/>
                <w:szCs w:val="20"/>
                <w:lang w:val="es-CR" w:eastAsia="es-CR"/>
              </w:rPr>
              <w:t>200</w:t>
            </w:r>
            <w:r>
              <w:rPr>
                <w:rFonts w:ascii="Calibri" w:eastAsia="Times New Roman" w:hAnsi="Calibri" w:cs="Calibri"/>
                <w:sz w:val="20"/>
                <w:szCs w:val="20"/>
                <w:lang w:val="es-CR" w:eastAsia="es-CR"/>
              </w:rPr>
              <w:t> </w:t>
            </w:r>
            <w:r w:rsidRPr="003D526A">
              <w:rPr>
                <w:rFonts w:ascii="Calibri" w:eastAsia="Times New Roman" w:hAnsi="Calibri" w:cs="Calibri"/>
                <w:sz w:val="20"/>
                <w:szCs w:val="20"/>
                <w:lang w:val="es-CR" w:eastAsia="es-CR"/>
              </w:rPr>
              <w:t>13</w:t>
            </w:r>
            <w:r>
              <w:rPr>
                <w:rFonts w:ascii="Calibri" w:eastAsia="Times New Roman" w:hAnsi="Calibri" w:cs="Calibri"/>
                <w:sz w:val="20"/>
                <w:szCs w:val="20"/>
                <w:lang w:val="es-CR" w:eastAsia="es-CR"/>
              </w:rPr>
              <w:t>5</w:t>
            </w:r>
          </w:p>
        </w:tc>
        <w:tc>
          <w:tcPr>
            <w:tcW w:w="850" w:type="dxa"/>
            <w:shd w:val="clear" w:color="auto" w:fill="auto"/>
            <w:noWrap/>
            <w:vAlign w:val="center"/>
            <w:hideMark/>
          </w:tcPr>
          <w:p w14:paraId="7F328C6C" w14:textId="77777777" w:rsidR="00A918AB" w:rsidRPr="00A918AB" w:rsidRDefault="0081780B"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20,21</w:t>
            </w:r>
            <w:r w:rsidR="00A918AB" w:rsidRPr="00A918AB">
              <w:rPr>
                <w:rFonts w:ascii="Calibri" w:eastAsia="Times New Roman" w:hAnsi="Calibri" w:cs="Calibri"/>
                <w:sz w:val="20"/>
                <w:szCs w:val="20"/>
                <w:lang w:val="es-CR" w:eastAsia="es-CR"/>
              </w:rPr>
              <w:t>%</w:t>
            </w:r>
          </w:p>
        </w:tc>
        <w:tc>
          <w:tcPr>
            <w:tcW w:w="1134" w:type="dxa"/>
            <w:shd w:val="clear" w:color="auto" w:fill="auto"/>
            <w:noWrap/>
            <w:vAlign w:val="center"/>
            <w:hideMark/>
          </w:tcPr>
          <w:p w14:paraId="51420930" w14:textId="77777777" w:rsidR="0041117A" w:rsidRPr="00A918AB" w:rsidRDefault="0041117A" w:rsidP="0041117A">
            <w:pPr>
              <w:jc w:val="right"/>
              <w:rPr>
                <w:rFonts w:ascii="Calibri" w:eastAsia="Times New Roman" w:hAnsi="Calibri" w:cs="Calibri"/>
                <w:sz w:val="20"/>
                <w:szCs w:val="20"/>
                <w:lang w:val="es-CR" w:eastAsia="es-CR"/>
              </w:rPr>
            </w:pPr>
            <w:r w:rsidRPr="0041117A">
              <w:rPr>
                <w:rFonts w:ascii="Calibri" w:eastAsia="Times New Roman" w:hAnsi="Calibri" w:cs="Calibri"/>
                <w:sz w:val="20"/>
                <w:szCs w:val="20"/>
                <w:lang w:val="es-CR" w:eastAsia="es-CR"/>
              </w:rPr>
              <w:t>782</w:t>
            </w:r>
            <w:r w:rsidR="00F6103D">
              <w:rPr>
                <w:rFonts w:ascii="Calibri" w:eastAsia="Times New Roman" w:hAnsi="Calibri" w:cs="Calibri"/>
                <w:sz w:val="20"/>
                <w:szCs w:val="20"/>
                <w:lang w:val="es-CR" w:eastAsia="es-CR"/>
              </w:rPr>
              <w:t> </w:t>
            </w:r>
            <w:r w:rsidRPr="0041117A">
              <w:rPr>
                <w:rFonts w:ascii="Calibri" w:eastAsia="Times New Roman" w:hAnsi="Calibri" w:cs="Calibri"/>
                <w:sz w:val="20"/>
                <w:szCs w:val="20"/>
                <w:lang w:val="es-CR" w:eastAsia="es-CR"/>
              </w:rPr>
              <w:t>817</w:t>
            </w:r>
          </w:p>
        </w:tc>
        <w:tc>
          <w:tcPr>
            <w:tcW w:w="743" w:type="dxa"/>
            <w:shd w:val="clear" w:color="auto" w:fill="auto"/>
            <w:noWrap/>
            <w:vAlign w:val="center"/>
            <w:hideMark/>
          </w:tcPr>
          <w:p w14:paraId="6D675D50" w14:textId="77777777" w:rsidR="00A918AB" w:rsidRPr="00A918AB" w:rsidRDefault="001D61CE"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79,05</w:t>
            </w:r>
            <w:r w:rsidR="00A918AB" w:rsidRPr="00A918AB">
              <w:rPr>
                <w:rFonts w:ascii="Calibri" w:eastAsia="Times New Roman" w:hAnsi="Calibri" w:cs="Calibri"/>
                <w:sz w:val="20"/>
                <w:szCs w:val="20"/>
                <w:lang w:val="es-CR" w:eastAsia="es-CR"/>
              </w:rPr>
              <w:t>%</w:t>
            </w:r>
          </w:p>
        </w:tc>
        <w:tc>
          <w:tcPr>
            <w:tcW w:w="1242" w:type="dxa"/>
            <w:shd w:val="clear" w:color="auto" w:fill="auto"/>
            <w:noWrap/>
            <w:vAlign w:val="center"/>
            <w:hideMark/>
          </w:tcPr>
          <w:p w14:paraId="3173AEF7" w14:textId="77777777" w:rsidR="00A918AB" w:rsidRPr="00A918AB" w:rsidRDefault="00E36A74" w:rsidP="00A918AB">
            <w:pPr>
              <w:jc w:val="right"/>
              <w:rPr>
                <w:rFonts w:ascii="Calibri" w:eastAsia="Times New Roman" w:hAnsi="Calibri" w:cs="Calibri"/>
                <w:sz w:val="20"/>
                <w:szCs w:val="20"/>
                <w:lang w:val="es-CR" w:eastAsia="es-CR"/>
              </w:rPr>
            </w:pPr>
            <w:r w:rsidRPr="00E36A74">
              <w:rPr>
                <w:rFonts w:ascii="Calibri" w:eastAsia="Times New Roman" w:hAnsi="Calibri" w:cs="Calibri"/>
                <w:sz w:val="20"/>
                <w:szCs w:val="20"/>
                <w:lang w:val="es-CR" w:eastAsia="es-CR"/>
              </w:rPr>
              <w:t>990</w:t>
            </w:r>
            <w:r>
              <w:rPr>
                <w:rFonts w:ascii="Calibri" w:eastAsia="Times New Roman" w:hAnsi="Calibri" w:cs="Calibri"/>
                <w:sz w:val="20"/>
                <w:szCs w:val="20"/>
                <w:lang w:val="es-CR" w:eastAsia="es-CR"/>
              </w:rPr>
              <w:t xml:space="preserve"> </w:t>
            </w:r>
            <w:r w:rsidRPr="00E36A74">
              <w:rPr>
                <w:rFonts w:ascii="Calibri" w:eastAsia="Times New Roman" w:hAnsi="Calibri" w:cs="Calibri"/>
                <w:sz w:val="20"/>
                <w:szCs w:val="20"/>
                <w:lang w:val="es-CR" w:eastAsia="es-CR"/>
              </w:rPr>
              <w:t>317</w:t>
            </w:r>
          </w:p>
        </w:tc>
      </w:tr>
      <w:tr w:rsidR="008A13C6" w:rsidRPr="00A918AB" w14:paraId="3A68A7D8" w14:textId="77777777" w:rsidTr="004D7577">
        <w:trPr>
          <w:trHeight w:val="315"/>
          <w:jc w:val="center"/>
        </w:trPr>
        <w:tc>
          <w:tcPr>
            <w:tcW w:w="1843" w:type="dxa"/>
            <w:shd w:val="clear" w:color="auto" w:fill="auto"/>
            <w:noWrap/>
            <w:vAlign w:val="center"/>
            <w:hideMark/>
          </w:tcPr>
          <w:p w14:paraId="6C4CC844" w14:textId="77777777"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R</w:t>
            </w:r>
            <w:r w:rsidR="00880D6D">
              <w:rPr>
                <w:rFonts w:ascii="Calibri" w:eastAsia="Times New Roman" w:hAnsi="Calibri" w:cs="Calibri"/>
                <w:b/>
                <w:bCs/>
                <w:sz w:val="20"/>
                <w:szCs w:val="20"/>
                <w:lang w:val="es-CR" w:eastAsia="es-CR"/>
              </w:rPr>
              <w:t>OP</w:t>
            </w:r>
          </w:p>
        </w:tc>
        <w:tc>
          <w:tcPr>
            <w:tcW w:w="992" w:type="dxa"/>
            <w:shd w:val="clear" w:color="auto" w:fill="auto"/>
            <w:noWrap/>
            <w:vAlign w:val="center"/>
            <w:hideMark/>
          </w:tcPr>
          <w:p w14:paraId="58ABCBDE" w14:textId="77777777" w:rsidR="0041117A" w:rsidRPr="00A918AB" w:rsidRDefault="0041117A" w:rsidP="00A918AB">
            <w:pPr>
              <w:jc w:val="right"/>
              <w:rPr>
                <w:rFonts w:ascii="Calibri" w:eastAsia="Times New Roman" w:hAnsi="Calibri" w:cs="Calibri"/>
                <w:sz w:val="20"/>
                <w:szCs w:val="20"/>
                <w:lang w:val="es-CR" w:eastAsia="es-CR"/>
              </w:rPr>
            </w:pPr>
            <w:r w:rsidRPr="0041117A">
              <w:rPr>
                <w:rFonts w:ascii="Calibri" w:eastAsia="Times New Roman" w:hAnsi="Calibri" w:cs="Calibri"/>
                <w:sz w:val="20"/>
                <w:szCs w:val="20"/>
                <w:lang w:val="es-CR" w:eastAsia="es-CR"/>
              </w:rPr>
              <w:t>2</w:t>
            </w:r>
            <w:r>
              <w:rPr>
                <w:rFonts w:ascii="Calibri" w:eastAsia="Times New Roman" w:hAnsi="Calibri" w:cs="Calibri"/>
                <w:sz w:val="20"/>
                <w:szCs w:val="20"/>
                <w:lang w:val="es-CR" w:eastAsia="es-CR"/>
              </w:rPr>
              <w:t xml:space="preserve"> </w:t>
            </w:r>
            <w:r w:rsidRPr="0041117A">
              <w:rPr>
                <w:rFonts w:ascii="Calibri" w:eastAsia="Times New Roman" w:hAnsi="Calibri" w:cs="Calibri"/>
                <w:sz w:val="20"/>
                <w:szCs w:val="20"/>
                <w:lang w:val="es-CR" w:eastAsia="es-CR"/>
              </w:rPr>
              <w:t>783</w:t>
            </w:r>
            <w:r w:rsidR="00F6103D">
              <w:rPr>
                <w:rFonts w:ascii="Calibri" w:eastAsia="Times New Roman" w:hAnsi="Calibri" w:cs="Calibri"/>
                <w:sz w:val="20"/>
                <w:szCs w:val="20"/>
                <w:lang w:val="es-CR" w:eastAsia="es-CR"/>
              </w:rPr>
              <w:t> </w:t>
            </w:r>
            <w:r w:rsidRPr="0041117A">
              <w:rPr>
                <w:rFonts w:ascii="Calibri" w:eastAsia="Times New Roman" w:hAnsi="Calibri" w:cs="Calibri"/>
                <w:sz w:val="20"/>
                <w:szCs w:val="20"/>
                <w:lang w:val="es-CR" w:eastAsia="es-CR"/>
              </w:rPr>
              <w:t>7</w:t>
            </w:r>
            <w:r>
              <w:rPr>
                <w:rFonts w:ascii="Calibri" w:eastAsia="Times New Roman" w:hAnsi="Calibri" w:cs="Calibri"/>
                <w:sz w:val="20"/>
                <w:szCs w:val="20"/>
                <w:lang w:val="es-CR" w:eastAsia="es-CR"/>
              </w:rPr>
              <w:t>10</w:t>
            </w:r>
          </w:p>
        </w:tc>
        <w:tc>
          <w:tcPr>
            <w:tcW w:w="851" w:type="dxa"/>
            <w:shd w:val="clear" w:color="auto" w:fill="auto"/>
            <w:noWrap/>
            <w:vAlign w:val="center"/>
            <w:hideMark/>
          </w:tcPr>
          <w:p w14:paraId="51B8E488" w14:textId="77777777" w:rsidR="00A918AB" w:rsidRPr="00A918AB" w:rsidRDefault="00D31137"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31,34</w:t>
            </w:r>
            <w:r w:rsidR="00A918AB" w:rsidRPr="00A918AB">
              <w:rPr>
                <w:rFonts w:ascii="Calibri" w:eastAsia="Times New Roman" w:hAnsi="Calibri" w:cs="Calibri"/>
                <w:sz w:val="20"/>
                <w:szCs w:val="20"/>
                <w:lang w:val="es-CR" w:eastAsia="es-CR"/>
              </w:rPr>
              <w:t>%</w:t>
            </w:r>
          </w:p>
        </w:tc>
        <w:tc>
          <w:tcPr>
            <w:tcW w:w="1130" w:type="dxa"/>
            <w:shd w:val="clear" w:color="auto" w:fill="auto"/>
            <w:noWrap/>
            <w:vAlign w:val="center"/>
            <w:hideMark/>
          </w:tcPr>
          <w:p w14:paraId="3D2409ED" w14:textId="77777777" w:rsidR="0073533A" w:rsidRPr="00A918AB" w:rsidRDefault="0073533A" w:rsidP="0073533A">
            <w:pPr>
              <w:jc w:val="right"/>
              <w:rPr>
                <w:rFonts w:ascii="Calibri" w:eastAsia="Times New Roman" w:hAnsi="Calibri" w:cs="Calibri"/>
                <w:sz w:val="20"/>
                <w:szCs w:val="20"/>
                <w:lang w:val="es-CR" w:eastAsia="es-CR"/>
              </w:rPr>
            </w:pPr>
            <w:r w:rsidRPr="0073533A">
              <w:rPr>
                <w:rFonts w:ascii="Calibri" w:eastAsia="Times New Roman" w:hAnsi="Calibri" w:cs="Calibri"/>
                <w:sz w:val="20"/>
                <w:szCs w:val="20"/>
                <w:lang w:val="es-CR" w:eastAsia="es-CR"/>
              </w:rPr>
              <w:t>731</w:t>
            </w:r>
            <w:r w:rsidR="00F6103D">
              <w:rPr>
                <w:rFonts w:ascii="Calibri" w:eastAsia="Times New Roman" w:hAnsi="Calibri" w:cs="Calibri"/>
                <w:sz w:val="20"/>
                <w:szCs w:val="20"/>
                <w:lang w:val="es-CR" w:eastAsia="es-CR"/>
              </w:rPr>
              <w:t> </w:t>
            </w:r>
            <w:r w:rsidRPr="0073533A">
              <w:rPr>
                <w:rFonts w:ascii="Calibri" w:eastAsia="Times New Roman" w:hAnsi="Calibri" w:cs="Calibri"/>
                <w:sz w:val="20"/>
                <w:szCs w:val="20"/>
                <w:lang w:val="es-CR" w:eastAsia="es-CR"/>
              </w:rPr>
              <w:t>29</w:t>
            </w:r>
            <w:r>
              <w:rPr>
                <w:rFonts w:ascii="Calibri" w:eastAsia="Times New Roman" w:hAnsi="Calibri" w:cs="Calibri"/>
                <w:sz w:val="20"/>
                <w:szCs w:val="20"/>
                <w:lang w:val="es-CR" w:eastAsia="es-CR"/>
              </w:rPr>
              <w:t>7</w:t>
            </w:r>
          </w:p>
        </w:tc>
        <w:tc>
          <w:tcPr>
            <w:tcW w:w="850" w:type="dxa"/>
            <w:shd w:val="clear" w:color="auto" w:fill="auto"/>
            <w:noWrap/>
            <w:vAlign w:val="center"/>
            <w:hideMark/>
          </w:tcPr>
          <w:p w14:paraId="2A9D9EBE" w14:textId="77777777" w:rsidR="00A918AB" w:rsidRPr="00A918AB" w:rsidRDefault="0081780B"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8,23</w:t>
            </w:r>
            <w:r w:rsidR="00A918AB" w:rsidRPr="00A918AB">
              <w:rPr>
                <w:rFonts w:ascii="Calibri" w:eastAsia="Times New Roman" w:hAnsi="Calibri" w:cs="Calibri"/>
                <w:sz w:val="20"/>
                <w:szCs w:val="20"/>
                <w:lang w:val="es-CR" w:eastAsia="es-CR"/>
              </w:rPr>
              <w:t>%</w:t>
            </w:r>
          </w:p>
        </w:tc>
        <w:tc>
          <w:tcPr>
            <w:tcW w:w="1134" w:type="dxa"/>
            <w:shd w:val="clear" w:color="auto" w:fill="auto"/>
            <w:noWrap/>
            <w:vAlign w:val="center"/>
            <w:hideMark/>
          </w:tcPr>
          <w:p w14:paraId="7BDFAA19" w14:textId="77777777" w:rsidR="00EB3F75" w:rsidRPr="00A918AB" w:rsidRDefault="00EB3F75" w:rsidP="00A918AB">
            <w:pPr>
              <w:jc w:val="right"/>
              <w:rPr>
                <w:rFonts w:ascii="Calibri" w:eastAsia="Times New Roman" w:hAnsi="Calibri" w:cs="Calibri"/>
                <w:sz w:val="20"/>
                <w:szCs w:val="20"/>
                <w:lang w:val="es-CR" w:eastAsia="es-CR"/>
              </w:rPr>
            </w:pPr>
            <w:r w:rsidRPr="00EB3F75">
              <w:rPr>
                <w:rFonts w:ascii="Calibri" w:eastAsia="Times New Roman" w:hAnsi="Calibri" w:cs="Calibri"/>
                <w:sz w:val="20"/>
                <w:szCs w:val="20"/>
                <w:lang w:val="es-CR" w:eastAsia="es-CR"/>
              </w:rPr>
              <w:t>5</w:t>
            </w:r>
            <w:r>
              <w:rPr>
                <w:rFonts w:ascii="Calibri" w:eastAsia="Times New Roman" w:hAnsi="Calibri" w:cs="Calibri"/>
                <w:sz w:val="20"/>
                <w:szCs w:val="20"/>
                <w:lang w:val="es-CR" w:eastAsia="es-CR"/>
              </w:rPr>
              <w:t xml:space="preserve"> </w:t>
            </w:r>
            <w:r w:rsidRPr="00EB3F75">
              <w:rPr>
                <w:rFonts w:ascii="Calibri" w:eastAsia="Times New Roman" w:hAnsi="Calibri" w:cs="Calibri"/>
                <w:sz w:val="20"/>
                <w:szCs w:val="20"/>
                <w:lang w:val="es-CR" w:eastAsia="es-CR"/>
              </w:rPr>
              <w:t>367</w:t>
            </w:r>
            <w:r w:rsidR="00F6103D">
              <w:rPr>
                <w:rFonts w:ascii="Calibri" w:eastAsia="Times New Roman" w:hAnsi="Calibri" w:cs="Calibri"/>
                <w:sz w:val="20"/>
                <w:szCs w:val="20"/>
                <w:lang w:val="es-CR" w:eastAsia="es-CR"/>
              </w:rPr>
              <w:t> </w:t>
            </w:r>
            <w:r w:rsidRPr="00EB3F75">
              <w:rPr>
                <w:rFonts w:ascii="Calibri" w:eastAsia="Times New Roman" w:hAnsi="Calibri" w:cs="Calibri"/>
                <w:sz w:val="20"/>
                <w:szCs w:val="20"/>
                <w:lang w:val="es-CR" w:eastAsia="es-CR"/>
              </w:rPr>
              <w:t>301</w:t>
            </w:r>
          </w:p>
        </w:tc>
        <w:tc>
          <w:tcPr>
            <w:tcW w:w="743" w:type="dxa"/>
            <w:shd w:val="clear" w:color="auto" w:fill="auto"/>
            <w:noWrap/>
            <w:vAlign w:val="center"/>
            <w:hideMark/>
          </w:tcPr>
          <w:p w14:paraId="4E8D816F" w14:textId="77777777" w:rsidR="00A918AB" w:rsidRPr="00A918AB" w:rsidRDefault="001D61CE"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60,43</w:t>
            </w:r>
            <w:r w:rsidR="00A918AB" w:rsidRPr="00A918AB">
              <w:rPr>
                <w:rFonts w:ascii="Calibri" w:eastAsia="Times New Roman" w:hAnsi="Calibri" w:cs="Calibri"/>
                <w:sz w:val="20"/>
                <w:szCs w:val="20"/>
                <w:lang w:val="es-CR" w:eastAsia="es-CR"/>
              </w:rPr>
              <w:t>%</w:t>
            </w:r>
          </w:p>
        </w:tc>
        <w:tc>
          <w:tcPr>
            <w:tcW w:w="1242" w:type="dxa"/>
            <w:shd w:val="clear" w:color="auto" w:fill="auto"/>
            <w:noWrap/>
            <w:vAlign w:val="center"/>
            <w:hideMark/>
          </w:tcPr>
          <w:p w14:paraId="25AB5F02" w14:textId="77777777" w:rsidR="00A918AB" w:rsidRPr="00A918AB" w:rsidRDefault="00E36A74" w:rsidP="00A918AB">
            <w:pPr>
              <w:jc w:val="right"/>
              <w:rPr>
                <w:rFonts w:ascii="Calibri" w:eastAsia="Times New Roman" w:hAnsi="Calibri" w:cs="Calibri"/>
                <w:sz w:val="20"/>
                <w:szCs w:val="20"/>
                <w:lang w:val="es-CR" w:eastAsia="es-CR"/>
              </w:rPr>
            </w:pPr>
            <w:r w:rsidRPr="00E36A74">
              <w:rPr>
                <w:rFonts w:ascii="Calibri" w:eastAsia="Times New Roman" w:hAnsi="Calibri" w:cs="Calibri"/>
                <w:sz w:val="20"/>
                <w:szCs w:val="20"/>
                <w:lang w:val="es-CR" w:eastAsia="es-CR"/>
              </w:rPr>
              <w:t>8</w:t>
            </w:r>
            <w:r>
              <w:rPr>
                <w:rFonts w:ascii="Calibri" w:eastAsia="Times New Roman" w:hAnsi="Calibri" w:cs="Calibri"/>
                <w:sz w:val="20"/>
                <w:szCs w:val="20"/>
                <w:lang w:val="es-CR" w:eastAsia="es-CR"/>
              </w:rPr>
              <w:t xml:space="preserve"> </w:t>
            </w:r>
            <w:r w:rsidRPr="00E36A74">
              <w:rPr>
                <w:rFonts w:ascii="Calibri" w:eastAsia="Times New Roman" w:hAnsi="Calibri" w:cs="Calibri"/>
                <w:sz w:val="20"/>
                <w:szCs w:val="20"/>
                <w:lang w:val="es-CR" w:eastAsia="es-CR"/>
              </w:rPr>
              <w:t>882</w:t>
            </w:r>
            <w:r>
              <w:rPr>
                <w:rFonts w:ascii="Calibri" w:eastAsia="Times New Roman" w:hAnsi="Calibri" w:cs="Calibri"/>
                <w:sz w:val="20"/>
                <w:szCs w:val="20"/>
                <w:lang w:val="es-CR" w:eastAsia="es-CR"/>
              </w:rPr>
              <w:t xml:space="preserve"> </w:t>
            </w:r>
            <w:r w:rsidRPr="00E36A74">
              <w:rPr>
                <w:rFonts w:ascii="Calibri" w:eastAsia="Times New Roman" w:hAnsi="Calibri" w:cs="Calibri"/>
                <w:sz w:val="20"/>
                <w:szCs w:val="20"/>
                <w:lang w:val="es-CR" w:eastAsia="es-CR"/>
              </w:rPr>
              <w:t>308</w:t>
            </w:r>
          </w:p>
        </w:tc>
      </w:tr>
      <w:tr w:rsidR="008A13C6" w:rsidRPr="00A918AB" w14:paraId="56C4884E" w14:textId="77777777" w:rsidTr="004D7577">
        <w:trPr>
          <w:trHeight w:val="315"/>
          <w:jc w:val="center"/>
        </w:trPr>
        <w:tc>
          <w:tcPr>
            <w:tcW w:w="1843" w:type="dxa"/>
            <w:shd w:val="clear" w:color="auto" w:fill="auto"/>
            <w:noWrap/>
            <w:vAlign w:val="center"/>
            <w:hideMark/>
          </w:tcPr>
          <w:p w14:paraId="5BFBD452" w14:textId="77777777"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Voluntario</w:t>
            </w:r>
          </w:p>
        </w:tc>
        <w:tc>
          <w:tcPr>
            <w:tcW w:w="992" w:type="dxa"/>
            <w:shd w:val="clear" w:color="auto" w:fill="auto"/>
            <w:noWrap/>
            <w:vAlign w:val="center"/>
            <w:hideMark/>
          </w:tcPr>
          <w:p w14:paraId="670D393C" w14:textId="77777777" w:rsidR="00A918AB" w:rsidRPr="00A918AB" w:rsidRDefault="0062748C" w:rsidP="00A918AB">
            <w:pPr>
              <w:jc w:val="right"/>
              <w:rPr>
                <w:rFonts w:ascii="Calibri" w:eastAsia="Times New Roman" w:hAnsi="Calibri" w:cs="Calibri"/>
                <w:sz w:val="20"/>
                <w:szCs w:val="20"/>
                <w:lang w:val="es-CR" w:eastAsia="es-CR"/>
              </w:rPr>
            </w:pPr>
            <w:r w:rsidRPr="0062748C">
              <w:rPr>
                <w:rFonts w:ascii="Calibri" w:eastAsia="Times New Roman" w:hAnsi="Calibri" w:cs="Calibri"/>
                <w:sz w:val="20"/>
                <w:szCs w:val="20"/>
                <w:lang w:val="es-CR" w:eastAsia="es-CR"/>
              </w:rPr>
              <w:t>99</w:t>
            </w:r>
            <w:r w:rsidR="00CF1A8E">
              <w:rPr>
                <w:rFonts w:ascii="Calibri" w:eastAsia="Times New Roman" w:hAnsi="Calibri" w:cs="Calibri"/>
                <w:sz w:val="20"/>
                <w:szCs w:val="20"/>
                <w:lang w:val="es-CR" w:eastAsia="es-CR"/>
              </w:rPr>
              <w:t> </w:t>
            </w:r>
            <w:r w:rsidRPr="0062748C">
              <w:rPr>
                <w:rFonts w:ascii="Calibri" w:eastAsia="Times New Roman" w:hAnsi="Calibri" w:cs="Calibri"/>
                <w:sz w:val="20"/>
                <w:szCs w:val="20"/>
                <w:lang w:val="es-CR" w:eastAsia="es-CR"/>
              </w:rPr>
              <w:t>24</w:t>
            </w:r>
            <w:r>
              <w:rPr>
                <w:rFonts w:ascii="Calibri" w:eastAsia="Times New Roman" w:hAnsi="Calibri" w:cs="Calibri"/>
                <w:sz w:val="20"/>
                <w:szCs w:val="20"/>
                <w:lang w:val="es-CR" w:eastAsia="es-CR"/>
              </w:rPr>
              <w:t>5</w:t>
            </w:r>
          </w:p>
        </w:tc>
        <w:tc>
          <w:tcPr>
            <w:tcW w:w="851" w:type="dxa"/>
            <w:shd w:val="clear" w:color="auto" w:fill="auto"/>
            <w:noWrap/>
            <w:vAlign w:val="center"/>
            <w:hideMark/>
          </w:tcPr>
          <w:p w14:paraId="01599EC6" w14:textId="77777777" w:rsidR="00A918AB" w:rsidRPr="00A918AB" w:rsidRDefault="00D31137"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19,96</w:t>
            </w:r>
            <w:r w:rsidR="00A918AB" w:rsidRPr="00A918AB">
              <w:rPr>
                <w:rFonts w:ascii="Calibri" w:eastAsia="Times New Roman" w:hAnsi="Calibri" w:cs="Calibri"/>
                <w:sz w:val="20"/>
                <w:szCs w:val="20"/>
                <w:lang w:val="es-CR" w:eastAsia="es-CR"/>
              </w:rPr>
              <w:t>%</w:t>
            </w:r>
          </w:p>
        </w:tc>
        <w:tc>
          <w:tcPr>
            <w:tcW w:w="1130" w:type="dxa"/>
            <w:shd w:val="clear" w:color="auto" w:fill="auto"/>
            <w:noWrap/>
            <w:vAlign w:val="center"/>
            <w:hideMark/>
          </w:tcPr>
          <w:p w14:paraId="662CBB96" w14:textId="77777777" w:rsidR="00EF649D" w:rsidRPr="00A918AB" w:rsidRDefault="00EF649D" w:rsidP="00EF649D">
            <w:pPr>
              <w:jc w:val="right"/>
              <w:rPr>
                <w:rFonts w:ascii="Calibri" w:eastAsia="Times New Roman" w:hAnsi="Calibri" w:cs="Calibri"/>
                <w:sz w:val="20"/>
                <w:szCs w:val="20"/>
                <w:lang w:val="es-CR" w:eastAsia="es-CR"/>
              </w:rPr>
            </w:pPr>
            <w:r w:rsidRPr="00EF649D">
              <w:rPr>
                <w:rFonts w:ascii="Calibri" w:eastAsia="Times New Roman" w:hAnsi="Calibri" w:cs="Calibri"/>
                <w:sz w:val="20"/>
                <w:szCs w:val="20"/>
                <w:lang w:val="es-CR" w:eastAsia="es-CR"/>
              </w:rPr>
              <w:t>90</w:t>
            </w:r>
            <w:r w:rsidR="00CF1A8E">
              <w:rPr>
                <w:rFonts w:ascii="Calibri" w:eastAsia="Times New Roman" w:hAnsi="Calibri" w:cs="Calibri"/>
                <w:sz w:val="20"/>
                <w:szCs w:val="20"/>
                <w:lang w:val="es-CR" w:eastAsia="es-CR"/>
              </w:rPr>
              <w:t> </w:t>
            </w:r>
            <w:r w:rsidRPr="00EF649D">
              <w:rPr>
                <w:rFonts w:ascii="Calibri" w:eastAsia="Times New Roman" w:hAnsi="Calibri" w:cs="Calibri"/>
                <w:sz w:val="20"/>
                <w:szCs w:val="20"/>
                <w:lang w:val="es-CR" w:eastAsia="es-CR"/>
              </w:rPr>
              <w:t>542</w:t>
            </w:r>
          </w:p>
        </w:tc>
        <w:tc>
          <w:tcPr>
            <w:tcW w:w="850" w:type="dxa"/>
            <w:shd w:val="clear" w:color="auto" w:fill="auto"/>
            <w:noWrap/>
            <w:vAlign w:val="center"/>
            <w:hideMark/>
          </w:tcPr>
          <w:p w14:paraId="5D256965" w14:textId="77777777" w:rsidR="00A918AB" w:rsidRPr="00A918AB" w:rsidRDefault="0081780B" w:rsidP="0081780B">
            <w:pPr>
              <w:jc w:val="center"/>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18,21</w:t>
            </w:r>
            <w:r w:rsidR="00A918AB" w:rsidRPr="00A918AB">
              <w:rPr>
                <w:rFonts w:ascii="Calibri" w:eastAsia="Times New Roman" w:hAnsi="Calibri" w:cs="Calibri"/>
                <w:sz w:val="20"/>
                <w:szCs w:val="20"/>
                <w:lang w:val="es-CR" w:eastAsia="es-CR"/>
              </w:rPr>
              <w:t>%</w:t>
            </w:r>
          </w:p>
        </w:tc>
        <w:tc>
          <w:tcPr>
            <w:tcW w:w="1134" w:type="dxa"/>
            <w:shd w:val="clear" w:color="auto" w:fill="auto"/>
            <w:noWrap/>
            <w:vAlign w:val="center"/>
            <w:hideMark/>
          </w:tcPr>
          <w:p w14:paraId="7F492F50" w14:textId="77777777" w:rsidR="008A13C6" w:rsidRPr="00A918AB" w:rsidRDefault="008A13C6" w:rsidP="00A918AB">
            <w:pPr>
              <w:jc w:val="right"/>
              <w:rPr>
                <w:rFonts w:ascii="Calibri" w:eastAsia="Times New Roman" w:hAnsi="Calibri" w:cs="Calibri"/>
                <w:sz w:val="20"/>
                <w:szCs w:val="20"/>
                <w:lang w:val="es-CR" w:eastAsia="es-CR"/>
              </w:rPr>
            </w:pPr>
            <w:r w:rsidRPr="008A13C6">
              <w:rPr>
                <w:rFonts w:ascii="Calibri" w:eastAsia="Times New Roman" w:hAnsi="Calibri" w:cs="Calibri"/>
                <w:sz w:val="20"/>
                <w:szCs w:val="20"/>
                <w:lang w:val="es-CR" w:eastAsia="es-CR"/>
              </w:rPr>
              <w:t>307</w:t>
            </w:r>
            <w:r w:rsidR="00CF1A8E">
              <w:rPr>
                <w:rFonts w:ascii="Calibri" w:eastAsia="Times New Roman" w:hAnsi="Calibri" w:cs="Calibri"/>
                <w:sz w:val="20"/>
                <w:szCs w:val="20"/>
                <w:lang w:val="es-CR" w:eastAsia="es-CR"/>
              </w:rPr>
              <w:t> </w:t>
            </w:r>
            <w:r w:rsidRPr="008A13C6">
              <w:rPr>
                <w:rFonts w:ascii="Calibri" w:eastAsia="Times New Roman" w:hAnsi="Calibri" w:cs="Calibri"/>
                <w:sz w:val="20"/>
                <w:szCs w:val="20"/>
                <w:lang w:val="es-CR" w:eastAsia="es-CR"/>
              </w:rPr>
              <w:t>49</w:t>
            </w:r>
            <w:r>
              <w:rPr>
                <w:rFonts w:ascii="Calibri" w:eastAsia="Times New Roman" w:hAnsi="Calibri" w:cs="Calibri"/>
                <w:sz w:val="20"/>
                <w:szCs w:val="20"/>
                <w:lang w:val="es-CR" w:eastAsia="es-CR"/>
              </w:rPr>
              <w:t>8</w:t>
            </w:r>
          </w:p>
        </w:tc>
        <w:tc>
          <w:tcPr>
            <w:tcW w:w="743" w:type="dxa"/>
            <w:shd w:val="clear" w:color="auto" w:fill="auto"/>
            <w:noWrap/>
            <w:vAlign w:val="center"/>
            <w:hideMark/>
          </w:tcPr>
          <w:p w14:paraId="35A91848" w14:textId="77777777" w:rsidR="00A918AB" w:rsidRPr="00A918AB" w:rsidRDefault="001D61CE"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61,84</w:t>
            </w:r>
            <w:r w:rsidR="00A918AB" w:rsidRPr="00A918AB">
              <w:rPr>
                <w:rFonts w:ascii="Calibri" w:eastAsia="Times New Roman" w:hAnsi="Calibri" w:cs="Calibri"/>
                <w:sz w:val="20"/>
                <w:szCs w:val="20"/>
                <w:lang w:val="es-CR" w:eastAsia="es-CR"/>
              </w:rPr>
              <w:t>%</w:t>
            </w:r>
          </w:p>
        </w:tc>
        <w:tc>
          <w:tcPr>
            <w:tcW w:w="1242" w:type="dxa"/>
            <w:shd w:val="clear" w:color="auto" w:fill="auto"/>
            <w:noWrap/>
            <w:vAlign w:val="center"/>
            <w:hideMark/>
          </w:tcPr>
          <w:p w14:paraId="331564B0" w14:textId="77777777" w:rsidR="00A918AB" w:rsidRPr="00A918AB" w:rsidRDefault="00E36A74" w:rsidP="00A918AB">
            <w:pPr>
              <w:jc w:val="right"/>
              <w:rPr>
                <w:rFonts w:ascii="Calibri" w:eastAsia="Times New Roman" w:hAnsi="Calibri" w:cs="Calibri"/>
                <w:sz w:val="20"/>
                <w:szCs w:val="20"/>
                <w:lang w:val="es-CR" w:eastAsia="es-CR"/>
              </w:rPr>
            </w:pPr>
            <w:r w:rsidRPr="00E36A74">
              <w:rPr>
                <w:rFonts w:ascii="Calibri" w:eastAsia="Times New Roman" w:hAnsi="Calibri" w:cs="Calibri"/>
                <w:sz w:val="20"/>
                <w:szCs w:val="20"/>
                <w:lang w:val="es-CR" w:eastAsia="es-CR"/>
              </w:rPr>
              <w:t>497</w:t>
            </w:r>
            <w:r>
              <w:rPr>
                <w:rFonts w:ascii="Calibri" w:eastAsia="Times New Roman" w:hAnsi="Calibri" w:cs="Calibri"/>
                <w:sz w:val="20"/>
                <w:szCs w:val="20"/>
                <w:lang w:val="es-CR" w:eastAsia="es-CR"/>
              </w:rPr>
              <w:t xml:space="preserve"> </w:t>
            </w:r>
            <w:r w:rsidRPr="00E36A74">
              <w:rPr>
                <w:rFonts w:ascii="Calibri" w:eastAsia="Times New Roman" w:hAnsi="Calibri" w:cs="Calibri"/>
                <w:sz w:val="20"/>
                <w:szCs w:val="20"/>
                <w:lang w:val="es-CR" w:eastAsia="es-CR"/>
              </w:rPr>
              <w:t>285</w:t>
            </w:r>
          </w:p>
        </w:tc>
      </w:tr>
      <w:tr w:rsidR="008A13C6" w:rsidRPr="00A918AB" w14:paraId="45B1B86B" w14:textId="77777777" w:rsidTr="004D7577">
        <w:trPr>
          <w:trHeight w:val="315"/>
          <w:jc w:val="center"/>
        </w:trPr>
        <w:tc>
          <w:tcPr>
            <w:tcW w:w="1843" w:type="dxa"/>
            <w:tcBorders>
              <w:bottom w:val="single" w:sz="4" w:space="0" w:color="auto"/>
            </w:tcBorders>
            <w:shd w:val="clear" w:color="auto" w:fill="auto"/>
            <w:noWrap/>
            <w:vAlign w:val="center"/>
            <w:hideMark/>
          </w:tcPr>
          <w:p w14:paraId="4CAE0668" w14:textId="77777777"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F</w:t>
            </w:r>
            <w:r w:rsidR="00880D6D">
              <w:rPr>
                <w:rFonts w:ascii="Calibri" w:eastAsia="Times New Roman" w:hAnsi="Calibri" w:cs="Calibri"/>
                <w:b/>
                <w:bCs/>
                <w:sz w:val="20"/>
                <w:szCs w:val="20"/>
                <w:lang w:val="es-CR" w:eastAsia="es-CR"/>
              </w:rPr>
              <w:t>CL</w:t>
            </w:r>
          </w:p>
        </w:tc>
        <w:tc>
          <w:tcPr>
            <w:tcW w:w="992" w:type="dxa"/>
            <w:tcBorders>
              <w:bottom w:val="single" w:sz="4" w:space="0" w:color="auto"/>
            </w:tcBorders>
            <w:shd w:val="clear" w:color="auto" w:fill="auto"/>
            <w:noWrap/>
            <w:vAlign w:val="center"/>
            <w:hideMark/>
          </w:tcPr>
          <w:p w14:paraId="4B38971A" w14:textId="77777777" w:rsidR="008A13C6" w:rsidRPr="00A918AB" w:rsidRDefault="008A13C6" w:rsidP="00A918AB">
            <w:pPr>
              <w:jc w:val="right"/>
              <w:rPr>
                <w:rFonts w:ascii="Calibri" w:eastAsia="Times New Roman" w:hAnsi="Calibri" w:cs="Calibri"/>
                <w:sz w:val="20"/>
                <w:szCs w:val="20"/>
                <w:lang w:val="es-CR" w:eastAsia="es-CR"/>
              </w:rPr>
            </w:pPr>
            <w:r w:rsidRPr="008A13C6">
              <w:rPr>
                <w:rFonts w:ascii="Calibri" w:eastAsia="Times New Roman" w:hAnsi="Calibri" w:cs="Calibri"/>
                <w:sz w:val="20"/>
                <w:szCs w:val="20"/>
                <w:lang w:val="es-CR" w:eastAsia="es-CR"/>
              </w:rPr>
              <w:t>92</w:t>
            </w:r>
            <w:r w:rsidR="00066E36">
              <w:rPr>
                <w:rFonts w:ascii="Calibri" w:eastAsia="Times New Roman" w:hAnsi="Calibri" w:cs="Calibri"/>
                <w:sz w:val="20"/>
                <w:szCs w:val="20"/>
                <w:lang w:val="es-CR" w:eastAsia="es-CR"/>
              </w:rPr>
              <w:t> </w:t>
            </w:r>
            <w:r w:rsidRPr="008A13C6">
              <w:rPr>
                <w:rFonts w:ascii="Calibri" w:eastAsia="Times New Roman" w:hAnsi="Calibri" w:cs="Calibri"/>
                <w:sz w:val="20"/>
                <w:szCs w:val="20"/>
                <w:lang w:val="es-CR" w:eastAsia="es-CR"/>
              </w:rPr>
              <w:t>468</w:t>
            </w:r>
          </w:p>
        </w:tc>
        <w:tc>
          <w:tcPr>
            <w:tcW w:w="851" w:type="dxa"/>
            <w:tcBorders>
              <w:bottom w:val="single" w:sz="4" w:space="0" w:color="auto"/>
            </w:tcBorders>
            <w:shd w:val="clear" w:color="auto" w:fill="auto"/>
            <w:noWrap/>
            <w:vAlign w:val="center"/>
            <w:hideMark/>
          </w:tcPr>
          <w:p w14:paraId="550999AF" w14:textId="77777777" w:rsidR="00A918AB" w:rsidRPr="00A918AB" w:rsidRDefault="00A918AB" w:rsidP="00A918AB">
            <w:pPr>
              <w:jc w:val="right"/>
              <w:rPr>
                <w:rFonts w:ascii="Calibri" w:eastAsia="Times New Roman" w:hAnsi="Calibri" w:cs="Calibri"/>
                <w:sz w:val="20"/>
                <w:szCs w:val="20"/>
                <w:lang w:val="es-CR" w:eastAsia="es-CR"/>
              </w:rPr>
            </w:pPr>
            <w:r w:rsidRPr="00A918AB">
              <w:rPr>
                <w:rFonts w:ascii="Calibri" w:eastAsia="Times New Roman" w:hAnsi="Calibri" w:cs="Calibri"/>
                <w:sz w:val="20"/>
                <w:szCs w:val="20"/>
                <w:lang w:val="es-CR" w:eastAsia="es-CR"/>
              </w:rPr>
              <w:t>1</w:t>
            </w:r>
            <w:r w:rsidR="00D31137">
              <w:rPr>
                <w:rFonts w:ascii="Calibri" w:eastAsia="Times New Roman" w:hAnsi="Calibri" w:cs="Calibri"/>
                <w:sz w:val="20"/>
                <w:szCs w:val="20"/>
                <w:lang w:val="es-CR" w:eastAsia="es-CR"/>
              </w:rPr>
              <w:t>7,98</w:t>
            </w:r>
            <w:r w:rsidRPr="00A918AB">
              <w:rPr>
                <w:rFonts w:ascii="Calibri" w:eastAsia="Times New Roman" w:hAnsi="Calibri" w:cs="Calibri"/>
                <w:sz w:val="20"/>
                <w:szCs w:val="20"/>
                <w:lang w:val="es-CR" w:eastAsia="es-CR"/>
              </w:rPr>
              <w:t>%</w:t>
            </w:r>
          </w:p>
        </w:tc>
        <w:tc>
          <w:tcPr>
            <w:tcW w:w="1130" w:type="dxa"/>
            <w:tcBorders>
              <w:bottom w:val="single" w:sz="4" w:space="0" w:color="auto"/>
            </w:tcBorders>
            <w:shd w:val="clear" w:color="auto" w:fill="auto"/>
            <w:noWrap/>
            <w:vAlign w:val="center"/>
            <w:hideMark/>
          </w:tcPr>
          <w:p w14:paraId="6C59B539" w14:textId="77777777" w:rsidR="00D05EF8" w:rsidRPr="00A918AB" w:rsidRDefault="00D05EF8" w:rsidP="00D05EF8">
            <w:pPr>
              <w:jc w:val="right"/>
              <w:rPr>
                <w:rFonts w:ascii="Calibri" w:eastAsia="Times New Roman" w:hAnsi="Calibri" w:cs="Calibri"/>
                <w:sz w:val="20"/>
                <w:szCs w:val="20"/>
                <w:lang w:val="es-CR" w:eastAsia="es-CR"/>
              </w:rPr>
            </w:pPr>
            <w:r w:rsidRPr="00D05EF8">
              <w:rPr>
                <w:rFonts w:ascii="Calibri" w:eastAsia="Times New Roman" w:hAnsi="Calibri" w:cs="Calibri"/>
                <w:sz w:val="20"/>
                <w:szCs w:val="20"/>
                <w:lang w:val="es-CR" w:eastAsia="es-CR"/>
              </w:rPr>
              <w:t>81</w:t>
            </w:r>
            <w:r w:rsidR="00066E36">
              <w:rPr>
                <w:rFonts w:ascii="Calibri" w:eastAsia="Times New Roman" w:hAnsi="Calibri" w:cs="Calibri"/>
                <w:sz w:val="20"/>
                <w:szCs w:val="20"/>
                <w:lang w:val="es-CR" w:eastAsia="es-CR"/>
              </w:rPr>
              <w:t> </w:t>
            </w:r>
            <w:r w:rsidRPr="00D05EF8">
              <w:rPr>
                <w:rFonts w:ascii="Calibri" w:eastAsia="Times New Roman" w:hAnsi="Calibri" w:cs="Calibri"/>
                <w:sz w:val="20"/>
                <w:szCs w:val="20"/>
                <w:lang w:val="es-CR" w:eastAsia="es-CR"/>
              </w:rPr>
              <w:t>48</w:t>
            </w:r>
            <w:r>
              <w:rPr>
                <w:rFonts w:ascii="Calibri" w:eastAsia="Times New Roman" w:hAnsi="Calibri" w:cs="Calibri"/>
                <w:sz w:val="20"/>
                <w:szCs w:val="20"/>
                <w:lang w:val="es-CR" w:eastAsia="es-CR"/>
              </w:rPr>
              <w:t>8</w:t>
            </w:r>
          </w:p>
        </w:tc>
        <w:tc>
          <w:tcPr>
            <w:tcW w:w="850" w:type="dxa"/>
            <w:tcBorders>
              <w:bottom w:val="single" w:sz="4" w:space="0" w:color="auto"/>
            </w:tcBorders>
            <w:shd w:val="clear" w:color="auto" w:fill="auto"/>
            <w:noWrap/>
            <w:vAlign w:val="center"/>
            <w:hideMark/>
          </w:tcPr>
          <w:p w14:paraId="488A4611" w14:textId="77777777" w:rsidR="00A918AB" w:rsidRPr="00A918AB" w:rsidRDefault="0081780B"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15,85</w:t>
            </w:r>
            <w:r w:rsidR="00A918AB" w:rsidRPr="00A918AB">
              <w:rPr>
                <w:rFonts w:ascii="Calibri" w:eastAsia="Times New Roman" w:hAnsi="Calibri" w:cs="Calibri"/>
                <w:sz w:val="20"/>
                <w:szCs w:val="20"/>
                <w:lang w:val="es-CR" w:eastAsia="es-CR"/>
              </w:rPr>
              <w:t>%</w:t>
            </w:r>
          </w:p>
        </w:tc>
        <w:tc>
          <w:tcPr>
            <w:tcW w:w="1134" w:type="dxa"/>
            <w:tcBorders>
              <w:bottom w:val="single" w:sz="4" w:space="0" w:color="auto"/>
            </w:tcBorders>
            <w:shd w:val="clear" w:color="auto" w:fill="auto"/>
            <w:noWrap/>
            <w:vAlign w:val="center"/>
            <w:hideMark/>
          </w:tcPr>
          <w:p w14:paraId="7BAEC57A" w14:textId="77777777" w:rsidR="00D05EF8" w:rsidRPr="00A918AB" w:rsidRDefault="00D05EF8" w:rsidP="00D05EF8">
            <w:pPr>
              <w:jc w:val="right"/>
              <w:rPr>
                <w:rFonts w:ascii="Calibri" w:eastAsia="Times New Roman" w:hAnsi="Calibri" w:cs="Calibri"/>
                <w:sz w:val="20"/>
                <w:szCs w:val="20"/>
                <w:lang w:val="es-CR" w:eastAsia="es-CR"/>
              </w:rPr>
            </w:pPr>
            <w:r w:rsidRPr="00D05EF8">
              <w:rPr>
                <w:rFonts w:ascii="Calibri" w:eastAsia="Times New Roman" w:hAnsi="Calibri" w:cs="Calibri"/>
                <w:sz w:val="20"/>
                <w:szCs w:val="20"/>
                <w:lang w:val="es-CR" w:eastAsia="es-CR"/>
              </w:rPr>
              <w:t>340</w:t>
            </w:r>
            <w:r w:rsidR="00066E36">
              <w:rPr>
                <w:rFonts w:ascii="Calibri" w:eastAsia="Times New Roman" w:hAnsi="Calibri" w:cs="Calibri"/>
                <w:sz w:val="20"/>
                <w:szCs w:val="20"/>
                <w:lang w:val="es-CR" w:eastAsia="es-CR"/>
              </w:rPr>
              <w:t> </w:t>
            </w:r>
            <w:r w:rsidRPr="00D05EF8">
              <w:rPr>
                <w:rFonts w:ascii="Calibri" w:eastAsia="Times New Roman" w:hAnsi="Calibri" w:cs="Calibri"/>
                <w:sz w:val="20"/>
                <w:szCs w:val="20"/>
                <w:lang w:val="es-CR" w:eastAsia="es-CR"/>
              </w:rPr>
              <w:t>316</w:t>
            </w:r>
          </w:p>
        </w:tc>
        <w:tc>
          <w:tcPr>
            <w:tcW w:w="743" w:type="dxa"/>
            <w:tcBorders>
              <w:bottom w:val="single" w:sz="4" w:space="0" w:color="auto"/>
            </w:tcBorders>
            <w:shd w:val="clear" w:color="auto" w:fill="auto"/>
            <w:noWrap/>
            <w:vAlign w:val="center"/>
            <w:hideMark/>
          </w:tcPr>
          <w:p w14:paraId="7ADAC836" w14:textId="77777777" w:rsidR="00A918AB" w:rsidRPr="00A918AB" w:rsidRDefault="00FE4473" w:rsidP="00A918AB">
            <w:pPr>
              <w:jc w:val="right"/>
              <w:rPr>
                <w:rFonts w:ascii="Calibri" w:eastAsia="Times New Roman" w:hAnsi="Calibri" w:cs="Calibri"/>
                <w:sz w:val="20"/>
                <w:szCs w:val="20"/>
                <w:lang w:val="es-CR" w:eastAsia="es-CR"/>
              </w:rPr>
            </w:pPr>
            <w:r>
              <w:rPr>
                <w:rFonts w:ascii="Calibri" w:eastAsia="Times New Roman" w:hAnsi="Calibri" w:cs="Calibri"/>
                <w:sz w:val="20"/>
                <w:szCs w:val="20"/>
                <w:lang w:val="es-CR" w:eastAsia="es-CR"/>
              </w:rPr>
              <w:t>66,17</w:t>
            </w:r>
            <w:r w:rsidR="00A918AB" w:rsidRPr="00A918AB">
              <w:rPr>
                <w:rFonts w:ascii="Calibri" w:eastAsia="Times New Roman" w:hAnsi="Calibri" w:cs="Calibri"/>
                <w:sz w:val="20"/>
                <w:szCs w:val="20"/>
                <w:lang w:val="es-CR" w:eastAsia="es-CR"/>
              </w:rPr>
              <w:t>%</w:t>
            </w:r>
          </w:p>
        </w:tc>
        <w:tc>
          <w:tcPr>
            <w:tcW w:w="1242" w:type="dxa"/>
            <w:tcBorders>
              <w:bottom w:val="single" w:sz="4" w:space="0" w:color="auto"/>
            </w:tcBorders>
            <w:shd w:val="clear" w:color="auto" w:fill="auto"/>
            <w:noWrap/>
            <w:vAlign w:val="center"/>
            <w:hideMark/>
          </w:tcPr>
          <w:p w14:paraId="363FB93A" w14:textId="77777777" w:rsidR="00A918AB" w:rsidRPr="00A918AB" w:rsidRDefault="00E36A74" w:rsidP="00A918AB">
            <w:pPr>
              <w:jc w:val="right"/>
              <w:rPr>
                <w:rFonts w:ascii="Calibri" w:eastAsia="Times New Roman" w:hAnsi="Calibri" w:cs="Calibri"/>
                <w:sz w:val="20"/>
                <w:szCs w:val="20"/>
                <w:lang w:val="es-CR" w:eastAsia="es-CR"/>
              </w:rPr>
            </w:pPr>
            <w:r w:rsidRPr="00E36A74">
              <w:rPr>
                <w:rFonts w:ascii="Calibri" w:eastAsia="Times New Roman" w:hAnsi="Calibri" w:cs="Calibri"/>
                <w:sz w:val="20"/>
                <w:szCs w:val="20"/>
                <w:lang w:val="es-CR" w:eastAsia="es-CR"/>
              </w:rPr>
              <w:t>514</w:t>
            </w:r>
            <w:r>
              <w:rPr>
                <w:rFonts w:ascii="Calibri" w:eastAsia="Times New Roman" w:hAnsi="Calibri" w:cs="Calibri"/>
                <w:sz w:val="20"/>
                <w:szCs w:val="20"/>
                <w:lang w:val="es-CR" w:eastAsia="es-CR"/>
              </w:rPr>
              <w:t xml:space="preserve"> </w:t>
            </w:r>
            <w:r w:rsidRPr="00E36A74">
              <w:rPr>
                <w:rFonts w:ascii="Calibri" w:eastAsia="Times New Roman" w:hAnsi="Calibri" w:cs="Calibri"/>
                <w:sz w:val="20"/>
                <w:szCs w:val="20"/>
                <w:lang w:val="es-CR" w:eastAsia="es-CR"/>
              </w:rPr>
              <w:t>272</w:t>
            </w:r>
          </w:p>
        </w:tc>
      </w:tr>
      <w:tr w:rsidR="008A13C6" w:rsidRPr="00A918AB" w14:paraId="4CC281E7" w14:textId="77777777" w:rsidTr="004D7577">
        <w:trPr>
          <w:trHeight w:val="330"/>
          <w:jc w:val="center"/>
        </w:trPr>
        <w:tc>
          <w:tcPr>
            <w:tcW w:w="1843" w:type="dxa"/>
            <w:tcBorders>
              <w:top w:val="single" w:sz="4" w:space="0" w:color="auto"/>
              <w:bottom w:val="single" w:sz="4" w:space="0" w:color="auto"/>
            </w:tcBorders>
            <w:shd w:val="clear" w:color="auto" w:fill="auto"/>
            <w:noWrap/>
            <w:vAlign w:val="center"/>
            <w:hideMark/>
          </w:tcPr>
          <w:p w14:paraId="4DFCAC40" w14:textId="77777777" w:rsidR="00A918AB" w:rsidRPr="00A918AB" w:rsidRDefault="00A918AB" w:rsidP="00A918AB">
            <w:pPr>
              <w:rPr>
                <w:rFonts w:ascii="Calibri" w:eastAsia="Times New Roman" w:hAnsi="Calibri" w:cs="Calibri"/>
                <w:b/>
                <w:bCs/>
                <w:sz w:val="20"/>
                <w:szCs w:val="20"/>
                <w:lang w:val="es-CR" w:eastAsia="es-CR"/>
              </w:rPr>
            </w:pPr>
            <w:r w:rsidRPr="00A918AB">
              <w:rPr>
                <w:rFonts w:ascii="Calibri" w:eastAsia="Times New Roman" w:hAnsi="Calibri" w:cs="Calibri"/>
                <w:b/>
                <w:bCs/>
                <w:sz w:val="20"/>
                <w:szCs w:val="20"/>
                <w:lang w:val="es-CR" w:eastAsia="es-CR"/>
              </w:rPr>
              <w:t>Total</w:t>
            </w:r>
          </w:p>
        </w:tc>
        <w:tc>
          <w:tcPr>
            <w:tcW w:w="992" w:type="dxa"/>
            <w:tcBorders>
              <w:top w:val="single" w:sz="4" w:space="0" w:color="auto"/>
              <w:bottom w:val="single" w:sz="4" w:space="0" w:color="auto"/>
            </w:tcBorders>
            <w:shd w:val="clear" w:color="auto" w:fill="auto"/>
            <w:noWrap/>
            <w:vAlign w:val="center"/>
            <w:hideMark/>
          </w:tcPr>
          <w:p w14:paraId="7168E2BF" w14:textId="77777777" w:rsidR="00A918AB" w:rsidRPr="00A918AB" w:rsidRDefault="004C5AE5" w:rsidP="00A918AB">
            <w:pPr>
              <w:jc w:val="right"/>
              <w:rPr>
                <w:rFonts w:ascii="Calibri" w:eastAsia="Times New Roman" w:hAnsi="Calibri" w:cs="Calibri"/>
                <w:b/>
                <w:bCs/>
                <w:sz w:val="20"/>
                <w:szCs w:val="20"/>
                <w:lang w:val="es-CR" w:eastAsia="es-CR"/>
              </w:rPr>
            </w:pPr>
            <w:r w:rsidRPr="004C5AE5">
              <w:rPr>
                <w:rFonts w:ascii="Calibri" w:eastAsia="Times New Roman" w:hAnsi="Calibri" w:cs="Calibri"/>
                <w:b/>
                <w:bCs/>
                <w:sz w:val="20"/>
                <w:szCs w:val="20"/>
                <w:lang w:val="es-CR" w:eastAsia="es-CR"/>
              </w:rPr>
              <w:t>2</w:t>
            </w:r>
            <w:r>
              <w:rPr>
                <w:rFonts w:ascii="Calibri" w:eastAsia="Times New Roman" w:hAnsi="Calibri" w:cs="Calibri"/>
                <w:b/>
                <w:bCs/>
                <w:sz w:val="20"/>
                <w:szCs w:val="20"/>
                <w:lang w:val="es-CR" w:eastAsia="es-CR"/>
              </w:rPr>
              <w:t xml:space="preserve"> </w:t>
            </w:r>
            <w:r w:rsidRPr="004C5AE5">
              <w:rPr>
                <w:rFonts w:ascii="Calibri" w:eastAsia="Times New Roman" w:hAnsi="Calibri" w:cs="Calibri"/>
                <w:b/>
                <w:bCs/>
                <w:sz w:val="20"/>
                <w:szCs w:val="20"/>
                <w:lang w:val="es-CR" w:eastAsia="es-CR"/>
              </w:rPr>
              <w:t>997</w:t>
            </w:r>
            <w:r>
              <w:rPr>
                <w:rFonts w:ascii="Calibri" w:eastAsia="Times New Roman" w:hAnsi="Calibri" w:cs="Calibri"/>
                <w:b/>
                <w:bCs/>
                <w:sz w:val="20"/>
                <w:szCs w:val="20"/>
                <w:lang w:val="es-CR" w:eastAsia="es-CR"/>
              </w:rPr>
              <w:t xml:space="preserve"> </w:t>
            </w:r>
            <w:r w:rsidRPr="004C5AE5">
              <w:rPr>
                <w:rFonts w:ascii="Calibri" w:eastAsia="Times New Roman" w:hAnsi="Calibri" w:cs="Calibri"/>
                <w:b/>
                <w:bCs/>
                <w:sz w:val="20"/>
                <w:szCs w:val="20"/>
                <w:lang w:val="es-CR" w:eastAsia="es-CR"/>
              </w:rPr>
              <w:t>046</w:t>
            </w:r>
          </w:p>
        </w:tc>
        <w:tc>
          <w:tcPr>
            <w:tcW w:w="851" w:type="dxa"/>
            <w:tcBorders>
              <w:top w:val="single" w:sz="4" w:space="0" w:color="auto"/>
              <w:bottom w:val="single" w:sz="4" w:space="0" w:color="auto"/>
            </w:tcBorders>
            <w:shd w:val="clear" w:color="auto" w:fill="auto"/>
            <w:noWrap/>
            <w:vAlign w:val="center"/>
            <w:hideMark/>
          </w:tcPr>
          <w:p w14:paraId="5FCFAEDF" w14:textId="77777777" w:rsidR="00A918AB" w:rsidRPr="00A918AB" w:rsidRDefault="00FE4473" w:rsidP="00A918AB">
            <w:pPr>
              <w:jc w:val="right"/>
              <w:rPr>
                <w:rFonts w:ascii="Calibri" w:eastAsia="Times New Roman" w:hAnsi="Calibri" w:cs="Calibri"/>
                <w:b/>
                <w:bCs/>
                <w:sz w:val="20"/>
                <w:szCs w:val="20"/>
                <w:lang w:val="es-CR" w:eastAsia="es-CR"/>
              </w:rPr>
            </w:pPr>
            <w:r>
              <w:rPr>
                <w:rFonts w:ascii="Calibri" w:eastAsia="Times New Roman" w:hAnsi="Calibri" w:cs="Calibri"/>
                <w:b/>
                <w:bCs/>
                <w:sz w:val="20"/>
                <w:szCs w:val="20"/>
                <w:lang w:val="es-CR" w:eastAsia="es-CR"/>
              </w:rPr>
              <w:t>16,95</w:t>
            </w:r>
            <w:r w:rsidR="00A918AB" w:rsidRPr="00A918AB">
              <w:rPr>
                <w:rFonts w:ascii="Calibri" w:eastAsia="Times New Roman" w:hAnsi="Calibri" w:cs="Calibri"/>
                <w:b/>
                <w:bCs/>
                <w:sz w:val="20"/>
                <w:szCs w:val="20"/>
                <w:lang w:val="es-CR" w:eastAsia="es-CR"/>
              </w:rPr>
              <w:t>%</w:t>
            </w:r>
          </w:p>
        </w:tc>
        <w:tc>
          <w:tcPr>
            <w:tcW w:w="1130" w:type="dxa"/>
            <w:tcBorders>
              <w:top w:val="single" w:sz="4" w:space="0" w:color="auto"/>
              <w:bottom w:val="single" w:sz="4" w:space="0" w:color="auto"/>
            </w:tcBorders>
            <w:shd w:val="clear" w:color="auto" w:fill="auto"/>
            <w:noWrap/>
            <w:vAlign w:val="center"/>
            <w:hideMark/>
          </w:tcPr>
          <w:p w14:paraId="3D749A05" w14:textId="77777777" w:rsidR="00A918AB" w:rsidRPr="00A918AB" w:rsidRDefault="004C5AE5" w:rsidP="00A918AB">
            <w:pPr>
              <w:jc w:val="right"/>
              <w:rPr>
                <w:rFonts w:ascii="Calibri" w:eastAsia="Times New Roman" w:hAnsi="Calibri" w:cs="Calibri"/>
                <w:b/>
                <w:bCs/>
                <w:sz w:val="20"/>
                <w:szCs w:val="20"/>
                <w:lang w:val="es-CR" w:eastAsia="es-CR"/>
              </w:rPr>
            </w:pPr>
            <w:r w:rsidRPr="004C5AE5">
              <w:rPr>
                <w:rFonts w:ascii="Calibri" w:eastAsia="Times New Roman" w:hAnsi="Calibri" w:cs="Calibri"/>
                <w:b/>
                <w:bCs/>
                <w:sz w:val="20"/>
                <w:szCs w:val="20"/>
                <w:lang w:val="es-CR" w:eastAsia="es-CR"/>
              </w:rPr>
              <w:t>1</w:t>
            </w:r>
            <w:r>
              <w:rPr>
                <w:rFonts w:ascii="Calibri" w:eastAsia="Times New Roman" w:hAnsi="Calibri" w:cs="Calibri"/>
                <w:b/>
                <w:bCs/>
                <w:sz w:val="20"/>
                <w:szCs w:val="20"/>
                <w:lang w:val="es-CR" w:eastAsia="es-CR"/>
              </w:rPr>
              <w:t xml:space="preserve"> </w:t>
            </w:r>
            <w:r w:rsidRPr="004C5AE5">
              <w:rPr>
                <w:rFonts w:ascii="Calibri" w:eastAsia="Times New Roman" w:hAnsi="Calibri" w:cs="Calibri"/>
                <w:b/>
                <w:bCs/>
                <w:sz w:val="20"/>
                <w:szCs w:val="20"/>
                <w:lang w:val="es-CR" w:eastAsia="es-CR"/>
              </w:rPr>
              <w:t>798</w:t>
            </w:r>
            <w:r>
              <w:rPr>
                <w:rFonts w:ascii="Calibri" w:eastAsia="Times New Roman" w:hAnsi="Calibri" w:cs="Calibri"/>
                <w:b/>
                <w:bCs/>
                <w:sz w:val="20"/>
                <w:szCs w:val="20"/>
                <w:lang w:val="es-CR" w:eastAsia="es-CR"/>
              </w:rPr>
              <w:t xml:space="preserve"> </w:t>
            </w:r>
            <w:r w:rsidRPr="004C5AE5">
              <w:rPr>
                <w:rFonts w:ascii="Calibri" w:eastAsia="Times New Roman" w:hAnsi="Calibri" w:cs="Calibri"/>
                <w:b/>
                <w:bCs/>
                <w:sz w:val="20"/>
                <w:szCs w:val="20"/>
                <w:lang w:val="es-CR" w:eastAsia="es-CR"/>
              </w:rPr>
              <w:t>501</w:t>
            </w:r>
          </w:p>
        </w:tc>
        <w:tc>
          <w:tcPr>
            <w:tcW w:w="850" w:type="dxa"/>
            <w:tcBorders>
              <w:top w:val="single" w:sz="4" w:space="0" w:color="auto"/>
              <w:bottom w:val="single" w:sz="4" w:space="0" w:color="auto"/>
            </w:tcBorders>
            <w:shd w:val="clear" w:color="auto" w:fill="auto"/>
            <w:noWrap/>
            <w:vAlign w:val="center"/>
            <w:hideMark/>
          </w:tcPr>
          <w:p w14:paraId="3D459911" w14:textId="77777777" w:rsidR="00A918AB" w:rsidRPr="00A918AB" w:rsidRDefault="00FE4473" w:rsidP="00A918AB">
            <w:pPr>
              <w:jc w:val="right"/>
              <w:rPr>
                <w:rFonts w:ascii="Calibri" w:eastAsia="Times New Roman" w:hAnsi="Calibri" w:cs="Calibri"/>
                <w:b/>
                <w:bCs/>
                <w:sz w:val="20"/>
                <w:szCs w:val="20"/>
                <w:lang w:val="es-CR" w:eastAsia="es-CR"/>
              </w:rPr>
            </w:pPr>
            <w:r>
              <w:rPr>
                <w:rFonts w:ascii="Calibri" w:eastAsia="Times New Roman" w:hAnsi="Calibri" w:cs="Calibri"/>
                <w:b/>
                <w:bCs/>
                <w:sz w:val="20"/>
                <w:szCs w:val="20"/>
                <w:lang w:val="es-CR" w:eastAsia="es-CR"/>
              </w:rPr>
              <w:t>10,17</w:t>
            </w:r>
            <w:r w:rsidR="00A918AB" w:rsidRPr="00A918AB">
              <w:rPr>
                <w:rFonts w:ascii="Calibri" w:eastAsia="Times New Roman" w:hAnsi="Calibri" w:cs="Calibri"/>
                <w:b/>
                <w:bCs/>
                <w:sz w:val="20"/>
                <w:szCs w:val="20"/>
                <w:lang w:val="es-CR" w:eastAsia="es-CR"/>
              </w:rPr>
              <w:t>%</w:t>
            </w:r>
          </w:p>
        </w:tc>
        <w:tc>
          <w:tcPr>
            <w:tcW w:w="1134" w:type="dxa"/>
            <w:tcBorders>
              <w:top w:val="single" w:sz="4" w:space="0" w:color="auto"/>
              <w:bottom w:val="single" w:sz="4" w:space="0" w:color="auto"/>
            </w:tcBorders>
            <w:shd w:val="clear" w:color="auto" w:fill="auto"/>
            <w:noWrap/>
            <w:vAlign w:val="center"/>
            <w:hideMark/>
          </w:tcPr>
          <w:p w14:paraId="320E068E" w14:textId="77777777" w:rsidR="00A918AB" w:rsidRPr="00A918AB" w:rsidRDefault="00C44F60" w:rsidP="00A918AB">
            <w:pPr>
              <w:jc w:val="right"/>
              <w:rPr>
                <w:rFonts w:ascii="Calibri" w:eastAsia="Times New Roman" w:hAnsi="Calibri" w:cs="Calibri"/>
                <w:b/>
                <w:bCs/>
                <w:sz w:val="20"/>
                <w:szCs w:val="20"/>
                <w:lang w:val="es-CR" w:eastAsia="es-CR"/>
              </w:rPr>
            </w:pPr>
            <w:r w:rsidRPr="00C44F60">
              <w:rPr>
                <w:rFonts w:ascii="Calibri" w:eastAsia="Times New Roman" w:hAnsi="Calibri" w:cs="Calibri"/>
                <w:b/>
                <w:bCs/>
                <w:sz w:val="20"/>
                <w:szCs w:val="20"/>
                <w:lang w:val="es-CR" w:eastAsia="es-CR"/>
              </w:rPr>
              <w:t>12</w:t>
            </w:r>
            <w:r>
              <w:rPr>
                <w:rFonts w:ascii="Calibri" w:eastAsia="Times New Roman" w:hAnsi="Calibri" w:cs="Calibri"/>
                <w:b/>
                <w:bCs/>
                <w:sz w:val="20"/>
                <w:szCs w:val="20"/>
                <w:lang w:val="es-CR" w:eastAsia="es-CR"/>
              </w:rPr>
              <w:t xml:space="preserve"> </w:t>
            </w:r>
            <w:r w:rsidRPr="00C44F60">
              <w:rPr>
                <w:rFonts w:ascii="Calibri" w:eastAsia="Times New Roman" w:hAnsi="Calibri" w:cs="Calibri"/>
                <w:b/>
                <w:bCs/>
                <w:sz w:val="20"/>
                <w:szCs w:val="20"/>
                <w:lang w:val="es-CR" w:eastAsia="es-CR"/>
              </w:rPr>
              <w:t>883</w:t>
            </w:r>
            <w:r>
              <w:rPr>
                <w:rFonts w:ascii="Calibri" w:eastAsia="Times New Roman" w:hAnsi="Calibri" w:cs="Calibri"/>
                <w:b/>
                <w:bCs/>
                <w:sz w:val="20"/>
                <w:szCs w:val="20"/>
                <w:lang w:val="es-CR" w:eastAsia="es-CR"/>
              </w:rPr>
              <w:t xml:space="preserve"> </w:t>
            </w:r>
            <w:r w:rsidRPr="00C44F60">
              <w:rPr>
                <w:rFonts w:ascii="Calibri" w:eastAsia="Times New Roman" w:hAnsi="Calibri" w:cs="Calibri"/>
                <w:b/>
                <w:bCs/>
                <w:sz w:val="20"/>
                <w:szCs w:val="20"/>
                <w:lang w:val="es-CR" w:eastAsia="es-CR"/>
              </w:rPr>
              <w:t>483</w:t>
            </w:r>
          </w:p>
        </w:tc>
        <w:tc>
          <w:tcPr>
            <w:tcW w:w="743" w:type="dxa"/>
            <w:tcBorders>
              <w:top w:val="single" w:sz="4" w:space="0" w:color="auto"/>
              <w:bottom w:val="single" w:sz="4" w:space="0" w:color="auto"/>
            </w:tcBorders>
            <w:shd w:val="clear" w:color="auto" w:fill="auto"/>
            <w:noWrap/>
            <w:vAlign w:val="center"/>
            <w:hideMark/>
          </w:tcPr>
          <w:p w14:paraId="5F1E4635" w14:textId="77777777" w:rsidR="00A918AB" w:rsidRPr="00A918AB" w:rsidRDefault="00FE4473" w:rsidP="00A918AB">
            <w:pPr>
              <w:jc w:val="right"/>
              <w:rPr>
                <w:rFonts w:ascii="Calibri" w:eastAsia="Times New Roman" w:hAnsi="Calibri" w:cs="Calibri"/>
                <w:b/>
                <w:bCs/>
                <w:sz w:val="20"/>
                <w:szCs w:val="20"/>
                <w:lang w:val="es-CR" w:eastAsia="es-CR"/>
              </w:rPr>
            </w:pPr>
            <w:r>
              <w:rPr>
                <w:rFonts w:ascii="Calibri" w:eastAsia="Times New Roman" w:hAnsi="Calibri" w:cs="Calibri"/>
                <w:b/>
                <w:bCs/>
                <w:sz w:val="20"/>
                <w:szCs w:val="20"/>
                <w:lang w:val="es-CR" w:eastAsia="es-CR"/>
              </w:rPr>
              <w:t>72,87</w:t>
            </w:r>
            <w:r w:rsidR="00A918AB" w:rsidRPr="00A918AB">
              <w:rPr>
                <w:rFonts w:ascii="Calibri" w:eastAsia="Times New Roman" w:hAnsi="Calibri" w:cs="Calibri"/>
                <w:b/>
                <w:bCs/>
                <w:sz w:val="20"/>
                <w:szCs w:val="20"/>
                <w:lang w:val="es-CR" w:eastAsia="es-CR"/>
              </w:rPr>
              <w:t>%</w:t>
            </w:r>
          </w:p>
        </w:tc>
        <w:tc>
          <w:tcPr>
            <w:tcW w:w="1242" w:type="dxa"/>
            <w:tcBorders>
              <w:top w:val="single" w:sz="4" w:space="0" w:color="auto"/>
              <w:bottom w:val="single" w:sz="4" w:space="0" w:color="auto"/>
            </w:tcBorders>
            <w:shd w:val="clear" w:color="auto" w:fill="auto"/>
            <w:noWrap/>
            <w:vAlign w:val="center"/>
            <w:hideMark/>
          </w:tcPr>
          <w:p w14:paraId="27784A2E" w14:textId="77777777" w:rsidR="00A918AB" w:rsidRPr="00A918AB" w:rsidRDefault="00C44F60" w:rsidP="00A918AB">
            <w:pPr>
              <w:jc w:val="right"/>
              <w:rPr>
                <w:rFonts w:ascii="Calibri" w:eastAsia="Times New Roman" w:hAnsi="Calibri" w:cs="Calibri"/>
                <w:b/>
                <w:bCs/>
                <w:sz w:val="20"/>
                <w:szCs w:val="20"/>
                <w:lang w:val="es-CR" w:eastAsia="es-CR"/>
              </w:rPr>
            </w:pPr>
            <w:r w:rsidRPr="00C44F60">
              <w:rPr>
                <w:rFonts w:ascii="Calibri" w:eastAsia="Times New Roman" w:hAnsi="Calibri" w:cs="Calibri"/>
                <w:b/>
                <w:bCs/>
                <w:sz w:val="20"/>
                <w:szCs w:val="20"/>
                <w:lang w:val="es-CR" w:eastAsia="es-CR"/>
              </w:rPr>
              <w:t>17</w:t>
            </w:r>
            <w:r>
              <w:rPr>
                <w:rFonts w:ascii="Calibri" w:eastAsia="Times New Roman" w:hAnsi="Calibri" w:cs="Calibri"/>
                <w:b/>
                <w:bCs/>
                <w:sz w:val="20"/>
                <w:szCs w:val="20"/>
                <w:lang w:val="es-CR" w:eastAsia="es-CR"/>
              </w:rPr>
              <w:t xml:space="preserve"> </w:t>
            </w:r>
            <w:r w:rsidRPr="00C44F60">
              <w:rPr>
                <w:rFonts w:ascii="Calibri" w:eastAsia="Times New Roman" w:hAnsi="Calibri" w:cs="Calibri"/>
                <w:b/>
                <w:bCs/>
                <w:sz w:val="20"/>
                <w:szCs w:val="20"/>
                <w:lang w:val="es-CR" w:eastAsia="es-CR"/>
              </w:rPr>
              <w:t>679</w:t>
            </w:r>
            <w:r>
              <w:rPr>
                <w:rFonts w:ascii="Calibri" w:eastAsia="Times New Roman" w:hAnsi="Calibri" w:cs="Calibri"/>
                <w:b/>
                <w:bCs/>
                <w:sz w:val="20"/>
                <w:szCs w:val="20"/>
                <w:lang w:val="es-CR" w:eastAsia="es-CR"/>
              </w:rPr>
              <w:t xml:space="preserve"> </w:t>
            </w:r>
            <w:r w:rsidRPr="00C44F60">
              <w:rPr>
                <w:rFonts w:ascii="Calibri" w:eastAsia="Times New Roman" w:hAnsi="Calibri" w:cs="Calibri"/>
                <w:b/>
                <w:bCs/>
                <w:sz w:val="20"/>
                <w:szCs w:val="20"/>
                <w:lang w:val="es-CR" w:eastAsia="es-CR"/>
              </w:rPr>
              <w:t>030</w:t>
            </w:r>
          </w:p>
        </w:tc>
      </w:tr>
    </w:tbl>
    <w:p w14:paraId="5CFE67CA" w14:textId="77777777" w:rsidR="00584743" w:rsidRDefault="00584743">
      <w:pPr>
        <w:rPr>
          <w:rFonts w:ascii="Calibri" w:eastAsia="Times New Roman" w:hAnsi="Calibri" w:cs="Calibri"/>
          <w:b/>
          <w:bCs/>
          <w:sz w:val="20"/>
          <w:szCs w:val="20"/>
          <w:lang w:val="es-CR" w:eastAsia="es-CR"/>
        </w:rPr>
      </w:pPr>
      <w:r>
        <w:rPr>
          <w:rFonts w:ascii="Calibri" w:eastAsia="Times New Roman" w:hAnsi="Calibri" w:cs="Calibri"/>
          <w:b/>
          <w:bCs/>
          <w:sz w:val="20"/>
          <w:szCs w:val="20"/>
          <w:lang w:val="es-CR" w:eastAsia="es-CR"/>
        </w:rPr>
        <w:t>Fuente: elaboración propia.</w:t>
      </w:r>
    </w:p>
    <w:p w14:paraId="26E0874D" w14:textId="77777777" w:rsidR="003C66BC" w:rsidRDefault="00584743">
      <w:pPr>
        <w:jc w:val="both"/>
        <w:rPr>
          <w:rFonts w:ascii="Calibri" w:eastAsia="Times New Roman" w:hAnsi="Calibri" w:cs="Calibri"/>
          <w:b/>
          <w:bCs/>
          <w:sz w:val="20"/>
          <w:szCs w:val="20"/>
          <w:lang w:val="es-CR" w:eastAsia="es-CR"/>
        </w:rPr>
      </w:pPr>
      <w:r>
        <w:rPr>
          <w:rFonts w:ascii="Calibri" w:eastAsia="Times New Roman" w:hAnsi="Calibri" w:cs="Calibri"/>
          <w:b/>
          <w:bCs/>
          <w:sz w:val="20"/>
          <w:szCs w:val="20"/>
          <w:lang w:val="es-CR" w:eastAsia="es-CR"/>
        </w:rPr>
        <w:t>1/ En millones de colones.</w:t>
      </w:r>
    </w:p>
    <w:p w14:paraId="0EB3636D" w14:textId="77777777" w:rsidR="003C5D9E" w:rsidRDefault="003C5D9E">
      <w:pPr>
        <w:jc w:val="both"/>
        <w:rPr>
          <w:rFonts w:ascii="Calibri" w:eastAsia="Times New Roman" w:hAnsi="Calibri" w:cs="Calibri"/>
          <w:b/>
          <w:bCs/>
          <w:sz w:val="20"/>
          <w:szCs w:val="20"/>
          <w:lang w:val="es-CR" w:eastAsia="es-CR"/>
        </w:rPr>
      </w:pPr>
    </w:p>
    <w:p w14:paraId="12FA06E5" w14:textId="77777777" w:rsidR="00D82067" w:rsidRDefault="006F5C1A" w:rsidP="00F40CD9">
      <w:pPr>
        <w:jc w:val="both"/>
      </w:pPr>
      <w:r>
        <w:t xml:space="preserve">Destaca </w:t>
      </w:r>
      <w:r w:rsidR="00375CA5">
        <w:t xml:space="preserve">en </w:t>
      </w:r>
      <w:r>
        <w:t>este trimestre</w:t>
      </w:r>
      <w:r w:rsidR="00375CA5">
        <w:t>,</w:t>
      </w:r>
      <w:r>
        <w:t xml:space="preserve"> la primera incursión del fondo administrado por el Poder Judicial</w:t>
      </w:r>
      <w:r w:rsidR="001E3E97">
        <w:t xml:space="preserve"> en mercados internacionales, cuyo monto al cierre del 2021 era de 14 258 </w:t>
      </w:r>
      <w:r w:rsidR="00840A5F">
        <w:t xml:space="preserve">millones de colones (2, 04% de </w:t>
      </w:r>
      <w:r w:rsidR="00502960">
        <w:t xml:space="preserve">su </w:t>
      </w:r>
      <w:r w:rsidR="00840A5F">
        <w:t>cartera de inversiones</w:t>
      </w:r>
      <w:r w:rsidR="00264FFD">
        <w:t>)</w:t>
      </w:r>
      <w:r w:rsidR="00840A5F">
        <w:t>.</w:t>
      </w:r>
      <w:r w:rsidR="00E428E5">
        <w:t xml:space="preserve"> Esta asignación en el mercado internacional </w:t>
      </w:r>
      <w:r w:rsidR="002C6488">
        <w:t>le permite al fondo disminuir su concentración en el sector público</w:t>
      </w:r>
      <w:r w:rsidR="005960E3">
        <w:t xml:space="preserve"> (</w:t>
      </w:r>
      <w:r w:rsidR="00837E27">
        <w:t xml:space="preserve">81% en </w:t>
      </w:r>
      <w:r w:rsidR="00D6140E">
        <w:t>2020)</w:t>
      </w:r>
      <w:r w:rsidR="000F16B6">
        <w:t>, y aprovechar las oportunidades de diversificación.</w:t>
      </w:r>
      <w:r w:rsidR="001248B8">
        <w:t xml:space="preserve"> </w:t>
      </w:r>
      <w:r w:rsidR="005704BE">
        <w:t xml:space="preserve">Por otra parte, el </w:t>
      </w:r>
      <w:r w:rsidR="00DC38B3">
        <w:t>FRCCMN</w:t>
      </w:r>
      <w:r w:rsidR="005704BE">
        <w:t>, que cuenta con la</w:t>
      </w:r>
      <w:r w:rsidR="0034392B">
        <w:t xml:space="preserve"> posibilidad de invertir</w:t>
      </w:r>
      <w:r w:rsidR="00DC38B3">
        <w:t xml:space="preserve"> en mercados internacionales, de con</w:t>
      </w:r>
      <w:r w:rsidR="008628EF">
        <w:t>formidad con la</w:t>
      </w:r>
      <w:r w:rsidR="00FC25C9">
        <w:t xml:space="preserve"> reciente modificación a la</w:t>
      </w:r>
      <w:r w:rsidR="00405A9D">
        <w:t xml:space="preserve"> </w:t>
      </w:r>
      <w:r w:rsidR="006F5904" w:rsidRPr="006F5904">
        <w:t>Ley de Pensiones y Jubilaciones del Magisterio Nacional</w:t>
      </w:r>
      <w:r w:rsidR="006F5904">
        <w:t xml:space="preserve"> (</w:t>
      </w:r>
      <w:r w:rsidR="00264F10">
        <w:t>L</w:t>
      </w:r>
      <w:r w:rsidR="00405A9D">
        <w:t>ey</w:t>
      </w:r>
      <w:r w:rsidR="00A1682C">
        <w:t xml:space="preserve"> 2248</w:t>
      </w:r>
      <w:r w:rsidR="006F5904">
        <w:t>)</w:t>
      </w:r>
      <w:r w:rsidR="00FC25C9">
        <w:t>;</w:t>
      </w:r>
      <w:r w:rsidR="00EB30D2">
        <w:t xml:space="preserve"> sin </w:t>
      </w:r>
      <w:r w:rsidR="00564CB8">
        <w:t>embargo, no</w:t>
      </w:r>
      <w:r w:rsidR="00EF145F">
        <w:t xml:space="preserve"> ha realizado inversiones foráneas.</w:t>
      </w:r>
      <w:r w:rsidR="00A63A38">
        <w:t xml:space="preserve"> </w:t>
      </w:r>
    </w:p>
    <w:p w14:paraId="1CE73ECF" w14:textId="77777777" w:rsidR="006F5904" w:rsidRDefault="006F5904" w:rsidP="00F40CD9">
      <w:pPr>
        <w:jc w:val="both"/>
      </w:pPr>
    </w:p>
    <w:p w14:paraId="6E6146D7" w14:textId="5A856560" w:rsidR="00F53832" w:rsidRDefault="002E1288" w:rsidP="00F40CD9">
      <w:pPr>
        <w:jc w:val="both"/>
      </w:pPr>
      <w:r>
        <w:t>En el caso de las</w:t>
      </w:r>
      <w:r w:rsidR="00F26920">
        <w:t xml:space="preserve"> Operadoras de Pensiones</w:t>
      </w:r>
      <w:r>
        <w:t>, estas</w:t>
      </w:r>
      <w:r w:rsidR="00F26920">
        <w:t xml:space="preserve"> han seguido estrategia</w:t>
      </w:r>
      <w:r w:rsidR="00F81836">
        <w:t>s</w:t>
      </w:r>
      <w:r w:rsidR="00F26920">
        <w:t xml:space="preserve"> de</w:t>
      </w:r>
      <w:r>
        <w:t xml:space="preserve"> aumento en la</w:t>
      </w:r>
      <w:r w:rsidR="00F26920">
        <w:t xml:space="preserve"> asignaci</w:t>
      </w:r>
      <w:r w:rsidR="00744BDB">
        <w:t xml:space="preserve">ón de inversiones en mercados internacionales, </w:t>
      </w:r>
      <w:r w:rsidR="00F81836">
        <w:t xml:space="preserve">lo que produce </w:t>
      </w:r>
      <w:r w:rsidR="00190BF6">
        <w:t xml:space="preserve">mayores </w:t>
      </w:r>
      <w:r w:rsidR="002E0024">
        <w:t>posiciones en</w:t>
      </w:r>
      <w:r w:rsidR="00422431">
        <w:t xml:space="preserve"> dólares </w:t>
      </w:r>
      <w:r w:rsidR="002E0024">
        <w:t>con respecto a los activos totales del fondo</w:t>
      </w:r>
      <w:r w:rsidR="00BA29E1">
        <w:t>, en aprovech</w:t>
      </w:r>
      <w:r w:rsidR="003135B3">
        <w:t xml:space="preserve">ando </w:t>
      </w:r>
      <w:r w:rsidR="00503334">
        <w:t>d</w:t>
      </w:r>
      <w:r w:rsidR="00AC6C40">
        <w:t>el rendimiento ob</w:t>
      </w:r>
      <w:r w:rsidR="00503334">
        <w:t xml:space="preserve">servado en esa plaza y </w:t>
      </w:r>
      <w:r w:rsidR="00FA738C">
        <w:t>las oportunidades de diversificación del portafolio</w:t>
      </w:r>
      <w:r w:rsidR="007A064B">
        <w:t>.</w:t>
      </w:r>
    </w:p>
    <w:p w14:paraId="24E7966D" w14:textId="77777777" w:rsidR="00BF5F43" w:rsidRDefault="00BF5F43">
      <w:pPr>
        <w:rPr>
          <w:rFonts w:ascii="Calibri" w:eastAsia="Times New Roman" w:hAnsi="Calibri" w:cs="Calibri"/>
          <w:b/>
          <w:lang w:val="es-CR" w:eastAsia="es-CR"/>
        </w:rPr>
      </w:pPr>
    </w:p>
    <w:p w14:paraId="638291DC" w14:textId="77777777" w:rsidR="00AF5BB2" w:rsidRDefault="00AF5BB2">
      <w:pPr>
        <w:rPr>
          <w:rFonts w:ascii="Calibri" w:eastAsia="Times New Roman" w:hAnsi="Calibri" w:cs="Calibri"/>
          <w:b/>
          <w:lang w:val="es-CR" w:eastAsia="es-CR"/>
        </w:rPr>
      </w:pPr>
    </w:p>
    <w:p w14:paraId="2322A2F4" w14:textId="77777777" w:rsidR="00AF5BB2" w:rsidRDefault="00AF5BB2">
      <w:pPr>
        <w:rPr>
          <w:rFonts w:ascii="Calibri" w:eastAsia="Times New Roman" w:hAnsi="Calibri" w:cs="Calibri"/>
          <w:b/>
          <w:lang w:val="es-CR" w:eastAsia="es-CR"/>
        </w:rPr>
      </w:pPr>
    </w:p>
    <w:p w14:paraId="02D878B7" w14:textId="77777777" w:rsidR="001C0301" w:rsidRDefault="001C0301" w:rsidP="006A170E">
      <w:pPr>
        <w:ind w:left="142"/>
        <w:jc w:val="both"/>
      </w:pPr>
    </w:p>
    <w:p w14:paraId="459BACDE" w14:textId="77777777" w:rsidR="0035730F" w:rsidRDefault="00183C41" w:rsidP="009D13CA">
      <w:pPr>
        <w:pStyle w:val="Ttulo3"/>
        <w:numPr>
          <w:ilvl w:val="2"/>
          <w:numId w:val="18"/>
        </w:numPr>
      </w:pPr>
      <w:bookmarkStart w:id="13" w:name="_Toc96614863"/>
      <w:r>
        <w:t>Rentabilidad, i</w:t>
      </w:r>
      <w:r w:rsidR="0035730F">
        <w:t>nversiones en mercados internacionales</w:t>
      </w:r>
      <w:r w:rsidR="00CF5ED7">
        <w:t xml:space="preserve"> y</w:t>
      </w:r>
      <w:r w:rsidR="00C53469">
        <w:t xml:space="preserve"> </w:t>
      </w:r>
      <w:r w:rsidR="0035730F">
        <w:t>dolarización de los portafolio</w:t>
      </w:r>
      <w:r w:rsidR="005D3843">
        <w:t>s</w:t>
      </w:r>
      <w:bookmarkEnd w:id="13"/>
    </w:p>
    <w:p w14:paraId="004396D3" w14:textId="77777777" w:rsidR="0035730F" w:rsidRDefault="0035730F" w:rsidP="0035730F">
      <w:pPr>
        <w:tabs>
          <w:tab w:val="left" w:pos="1056"/>
        </w:tabs>
        <w:jc w:val="both"/>
        <w:rPr>
          <w:rFonts w:cstheme="minorHAnsi"/>
        </w:rPr>
      </w:pPr>
    </w:p>
    <w:p w14:paraId="3BFDBC6C" w14:textId="77777777" w:rsidR="005B472A" w:rsidRDefault="00183C41" w:rsidP="00183C41">
      <w:pPr>
        <w:jc w:val="both"/>
      </w:pPr>
      <w:r>
        <w:t xml:space="preserve">A finales de setiembre, en el informe de coyuntura correspondiente al tercer trimestre, el mercado financiero en las principales plazas foráneas mostraba un desempeño hacia la baja. No obstante, el tercer trimestre, los índices bursátiles tuvieron desempeños mixtos, con </w:t>
      </w:r>
      <w:r w:rsidR="00F869E0">
        <w:t xml:space="preserve">dos </w:t>
      </w:r>
      <w:r>
        <w:t>meses positivos (octubre</w:t>
      </w:r>
      <w:r w:rsidR="00547FBF">
        <w:t xml:space="preserve"> y diciembre</w:t>
      </w:r>
      <w:r>
        <w:t>)</w:t>
      </w:r>
      <w:r w:rsidR="00F84D79">
        <w:t xml:space="preserve"> y</w:t>
      </w:r>
      <w:r>
        <w:t xml:space="preserve"> </w:t>
      </w:r>
      <w:r w:rsidR="00282624">
        <w:t>uno negativo</w:t>
      </w:r>
      <w:r>
        <w:t xml:space="preserve"> (noviembre). </w:t>
      </w:r>
      <w:r w:rsidR="00585409">
        <w:t>L</w:t>
      </w:r>
      <w:r>
        <w:t>a actividad económica continuó su recuperación, sin embargo, la aparición de la nueva variante del COVID 19 volvió a encender las alarmar</w:t>
      </w:r>
      <w:r w:rsidR="00585409">
        <w:t xml:space="preserve"> </w:t>
      </w:r>
      <w:r w:rsidR="00821906">
        <w:t>en las autoridades sanitarias</w:t>
      </w:r>
      <w:r>
        <w:t xml:space="preserve">, provocando nuevas restricciones a la movilidad, sobre todo en Europa, dada la alta transmisibilidad de </w:t>
      </w:r>
      <w:r w:rsidR="00282624">
        <w:t>Ómicron</w:t>
      </w:r>
      <w:r w:rsidR="00A81E70">
        <w:t>, lo que podr</w:t>
      </w:r>
      <w:r w:rsidR="0068733A">
        <w:t>ía provocar nuevas contracciones a la actividad económica</w:t>
      </w:r>
      <w:r w:rsidR="001A71DE">
        <w:t xml:space="preserve"> relacionadas al consumo</w:t>
      </w:r>
      <w:r>
        <w:t>.</w:t>
      </w:r>
    </w:p>
    <w:p w14:paraId="103255AD" w14:textId="77777777" w:rsidR="00DC01F1" w:rsidRDefault="00DC01F1" w:rsidP="00183C41">
      <w:pPr>
        <w:jc w:val="both"/>
      </w:pPr>
    </w:p>
    <w:p w14:paraId="760D98EC" w14:textId="77777777" w:rsidR="00183C41" w:rsidRDefault="00183C41" w:rsidP="00183C41">
      <w:pPr>
        <w:jc w:val="both"/>
      </w:pPr>
      <w:r w:rsidRPr="00EB5F86">
        <w:t>En el mercado local, desde finales de junio hasta el cierre de setiembre se presentaron desplazamientos hacia abajo en todos los plazos de las curvas en colones</w:t>
      </w:r>
      <w:r w:rsidRPr="00EB5F86">
        <w:rPr>
          <w:rStyle w:val="Refdenotaalpie"/>
        </w:rPr>
        <w:footnoteReference w:id="7"/>
      </w:r>
      <w:r w:rsidRPr="00EB5F86">
        <w:t>, afectando de manera positiva el valor de las inversiones locales de los portafolios de pensiones.</w:t>
      </w:r>
    </w:p>
    <w:p w14:paraId="4B7AA9AD" w14:textId="77777777" w:rsidR="00640BB6" w:rsidRDefault="00640BB6" w:rsidP="00183C41">
      <w:pPr>
        <w:jc w:val="both"/>
      </w:pPr>
    </w:p>
    <w:p w14:paraId="3BCC29F7" w14:textId="77777777" w:rsidR="00183C41" w:rsidRDefault="00183C41" w:rsidP="00183C41">
      <w:pPr>
        <w:jc w:val="both"/>
      </w:pPr>
      <w:r>
        <w:t>En el ROP, la curva de rendimiento a 10 años sigue su camino alcista, aunque en el tercer trimestre es evidente la desaceleración del crecimiento vía rendimiento, por las razones anotadas en párrafos anteriores.</w:t>
      </w:r>
    </w:p>
    <w:p w14:paraId="2272CA97" w14:textId="77777777" w:rsidR="00183C41" w:rsidRDefault="00183C41" w:rsidP="00183C41">
      <w:pPr>
        <w:jc w:val="both"/>
      </w:pPr>
    </w:p>
    <w:p w14:paraId="28D2BEE0" w14:textId="77777777" w:rsidR="00183C41" w:rsidRDefault="00183C41" w:rsidP="00183C41">
      <w:pPr>
        <w:contextualSpacing/>
        <w:jc w:val="both"/>
        <w:rPr>
          <w:b/>
          <w:bCs/>
          <w:lang w:val="es-CR"/>
        </w:rPr>
      </w:pPr>
      <w:r w:rsidRPr="009D33F8">
        <w:rPr>
          <w:b/>
          <w:bCs/>
          <w:lang w:val="es-CR"/>
        </w:rPr>
        <w:t xml:space="preserve">Gráfico </w:t>
      </w:r>
      <w:r w:rsidR="003014A1">
        <w:rPr>
          <w:b/>
          <w:bCs/>
          <w:lang w:val="es-CR"/>
        </w:rPr>
        <w:t>4</w:t>
      </w:r>
      <w:r w:rsidRPr="009D33F8">
        <w:rPr>
          <w:b/>
          <w:bCs/>
          <w:lang w:val="es-CR"/>
        </w:rPr>
        <w:t>.</w:t>
      </w:r>
    </w:p>
    <w:p w14:paraId="37F15DCF" w14:textId="77777777" w:rsidR="00183C41" w:rsidRPr="009D33F8" w:rsidRDefault="00183C41" w:rsidP="00183C41">
      <w:pPr>
        <w:contextualSpacing/>
        <w:jc w:val="both"/>
        <w:rPr>
          <w:b/>
          <w:bCs/>
          <w:lang w:val="es-CR"/>
        </w:rPr>
      </w:pPr>
      <w:r w:rsidRPr="009D33F8">
        <w:rPr>
          <w:b/>
          <w:bCs/>
          <w:lang w:val="es-CR"/>
        </w:rPr>
        <w:t>ROP: rendimiento a 10 años por OPC, octubre 2020 a setiembre 2021</w:t>
      </w:r>
    </w:p>
    <w:p w14:paraId="41A89E26" w14:textId="77777777" w:rsidR="00183C41" w:rsidRDefault="00183C41" w:rsidP="00183C41">
      <w:pPr>
        <w:contextualSpacing/>
        <w:jc w:val="center"/>
        <w:rPr>
          <w:b/>
          <w:bCs/>
          <w:lang w:val="es-CR"/>
        </w:rPr>
      </w:pPr>
      <w:r>
        <w:rPr>
          <w:noProof/>
        </w:rPr>
        <w:drawing>
          <wp:inline distT="0" distB="0" distL="0" distR="0" wp14:anchorId="19F22936" wp14:editId="7A23B290">
            <wp:extent cx="5241290" cy="2775097"/>
            <wp:effectExtent l="0" t="0" r="0" b="0"/>
            <wp:docPr id="10" name="Gráfico 10">
              <a:extLst xmlns:a="http://schemas.openxmlformats.org/drawingml/2006/main">
                <a:ext uri="{FF2B5EF4-FFF2-40B4-BE49-F238E27FC236}">
                  <a16:creationId xmlns:a16="http://schemas.microsoft.com/office/drawing/2014/main" id="{DE4F1C14-3B5E-43C4-B4DE-A787B41A08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CC7EA5F" w14:textId="77777777" w:rsidR="00183C41" w:rsidRPr="00E12EFC" w:rsidRDefault="00183C41" w:rsidP="00183C41">
      <w:pPr>
        <w:rPr>
          <w:b/>
          <w:bCs/>
          <w:sz w:val="18"/>
          <w:szCs w:val="18"/>
        </w:rPr>
      </w:pPr>
      <w:r w:rsidRPr="00E12EFC">
        <w:rPr>
          <w:b/>
          <w:bCs/>
          <w:sz w:val="18"/>
          <w:szCs w:val="18"/>
        </w:rPr>
        <w:t>Fuente: elaboración propia.</w:t>
      </w:r>
    </w:p>
    <w:p w14:paraId="1C774529" w14:textId="77777777" w:rsidR="000A420E" w:rsidRDefault="000A420E" w:rsidP="0035730F">
      <w:pPr>
        <w:tabs>
          <w:tab w:val="left" w:pos="1056"/>
        </w:tabs>
        <w:jc w:val="both"/>
        <w:rPr>
          <w:rFonts w:cstheme="minorHAnsi"/>
        </w:rPr>
      </w:pPr>
    </w:p>
    <w:p w14:paraId="26A4F91B" w14:textId="77777777" w:rsidR="0035730F" w:rsidRDefault="00084174" w:rsidP="00F14B16">
      <w:pPr>
        <w:tabs>
          <w:tab w:val="left" w:pos="1056"/>
        </w:tabs>
        <w:jc w:val="both"/>
        <w:rPr>
          <w:rFonts w:cstheme="minorHAnsi"/>
        </w:rPr>
      </w:pPr>
      <w:r>
        <w:rPr>
          <w:rFonts w:cstheme="minorHAnsi"/>
        </w:rPr>
        <w:t>Con respecto al mercado internacional, l</w:t>
      </w:r>
      <w:r w:rsidR="0080687E">
        <w:rPr>
          <w:rFonts w:cstheme="minorHAnsi"/>
        </w:rPr>
        <w:t>as entidades administradoras de</w:t>
      </w:r>
      <w:r w:rsidR="00F60564">
        <w:rPr>
          <w:rFonts w:cstheme="minorHAnsi"/>
        </w:rPr>
        <w:t xml:space="preserve"> los</w:t>
      </w:r>
      <w:r w:rsidR="0080687E">
        <w:rPr>
          <w:rFonts w:cstheme="minorHAnsi"/>
        </w:rPr>
        <w:t xml:space="preserve"> fondos de pensiones aumentaron su participación. </w:t>
      </w:r>
      <w:r w:rsidR="006103BE">
        <w:rPr>
          <w:rFonts w:cstheme="minorHAnsi"/>
        </w:rPr>
        <w:t xml:space="preserve">El aumento </w:t>
      </w:r>
      <w:r w:rsidR="00C11D67">
        <w:rPr>
          <w:rFonts w:cstheme="minorHAnsi"/>
        </w:rPr>
        <w:t xml:space="preserve">se justifica </w:t>
      </w:r>
      <w:r w:rsidR="009B5D20">
        <w:rPr>
          <w:rFonts w:cstheme="minorHAnsi"/>
        </w:rPr>
        <w:t xml:space="preserve">por tres factores (2 de ellos inerciales): </w:t>
      </w:r>
      <w:r w:rsidR="008F6853">
        <w:rPr>
          <w:rFonts w:cstheme="minorHAnsi"/>
        </w:rPr>
        <w:t>la adquisición de nuevas inversiones</w:t>
      </w:r>
      <w:r w:rsidR="007A3D38">
        <w:rPr>
          <w:rFonts w:cstheme="minorHAnsi"/>
        </w:rPr>
        <w:t>;</w:t>
      </w:r>
      <w:r w:rsidR="008F6853">
        <w:rPr>
          <w:rFonts w:cstheme="minorHAnsi"/>
        </w:rPr>
        <w:t xml:space="preserve"> el aumento del valor de mercado de los instrumentos foráneos</w:t>
      </w:r>
      <w:r w:rsidR="007A3D38">
        <w:rPr>
          <w:rFonts w:cstheme="minorHAnsi"/>
        </w:rPr>
        <w:t>, es decir, rentabilidad;</w:t>
      </w:r>
      <w:r w:rsidR="008F6853">
        <w:rPr>
          <w:rFonts w:cstheme="minorHAnsi"/>
        </w:rPr>
        <w:t xml:space="preserve"> </w:t>
      </w:r>
      <w:r w:rsidR="008F6853">
        <w:rPr>
          <w:rFonts w:cstheme="minorHAnsi"/>
        </w:rPr>
        <w:lastRenderedPageBreak/>
        <w:t xml:space="preserve">y </w:t>
      </w:r>
      <w:r w:rsidR="00E85ED4">
        <w:rPr>
          <w:rFonts w:cstheme="minorHAnsi"/>
        </w:rPr>
        <w:t>la traducción de esas inversiones a colones</w:t>
      </w:r>
      <w:r w:rsidR="005B052F">
        <w:rPr>
          <w:rFonts w:cstheme="minorHAnsi"/>
        </w:rPr>
        <w:t xml:space="preserve"> (h</w:t>
      </w:r>
      <w:r w:rsidR="00E85ED4">
        <w:rPr>
          <w:rFonts w:cstheme="minorHAnsi"/>
        </w:rPr>
        <w:t>ay que recordar, que el tipo de cambio tuvo un incremento con respecto a 2020 de 4</w:t>
      </w:r>
      <w:r w:rsidR="006B7161">
        <w:rPr>
          <w:rFonts w:cstheme="minorHAnsi"/>
        </w:rPr>
        <w:t>%</w:t>
      </w:r>
      <w:r w:rsidR="005B052F">
        <w:rPr>
          <w:rFonts w:cstheme="minorHAnsi"/>
        </w:rPr>
        <w:t>)</w:t>
      </w:r>
      <w:r w:rsidR="006B7161">
        <w:rPr>
          <w:rFonts w:cstheme="minorHAnsi"/>
        </w:rPr>
        <w:t>.</w:t>
      </w:r>
      <w:r w:rsidR="00F14B16">
        <w:rPr>
          <w:rFonts w:cstheme="minorHAnsi"/>
        </w:rPr>
        <w:t xml:space="preserve"> Este sector</w:t>
      </w:r>
      <w:r w:rsidR="00BF7D69">
        <w:rPr>
          <w:rFonts w:cstheme="minorHAnsi"/>
        </w:rPr>
        <w:t xml:space="preserve"> ha tenido un mejor desempeño que </w:t>
      </w:r>
      <w:r w:rsidR="003C3AB6">
        <w:rPr>
          <w:rFonts w:cstheme="minorHAnsi"/>
        </w:rPr>
        <w:t>el local</w:t>
      </w:r>
      <w:r w:rsidR="00DB5DB4">
        <w:rPr>
          <w:rFonts w:cstheme="minorHAnsi"/>
        </w:rPr>
        <w:t>;</w:t>
      </w:r>
      <w:r w:rsidR="00F14B16">
        <w:rPr>
          <w:rFonts w:cstheme="minorHAnsi"/>
        </w:rPr>
        <w:t xml:space="preserve"> l</w:t>
      </w:r>
      <w:r w:rsidR="001D7C6C">
        <w:rPr>
          <w:rFonts w:cstheme="minorHAnsi"/>
        </w:rPr>
        <w:t xml:space="preserve">o anterior, justifica en buena medida la dolarización de los portafolios y </w:t>
      </w:r>
      <w:r w:rsidR="00AE02F0">
        <w:rPr>
          <w:rFonts w:cstheme="minorHAnsi"/>
        </w:rPr>
        <w:t>su internacionalización.</w:t>
      </w:r>
    </w:p>
    <w:p w14:paraId="21F55807" w14:textId="77777777" w:rsidR="0035293F" w:rsidRDefault="0035293F" w:rsidP="0035730F">
      <w:pPr>
        <w:tabs>
          <w:tab w:val="left" w:pos="1056"/>
        </w:tabs>
        <w:jc w:val="both"/>
        <w:rPr>
          <w:rFonts w:cstheme="minorHAnsi"/>
        </w:rPr>
      </w:pPr>
    </w:p>
    <w:p w14:paraId="5C3EC880" w14:textId="77777777" w:rsidR="00AE02F0" w:rsidRDefault="00D900EE" w:rsidP="0035730F">
      <w:pPr>
        <w:tabs>
          <w:tab w:val="left" w:pos="1056"/>
        </w:tabs>
        <w:jc w:val="both"/>
        <w:rPr>
          <w:rFonts w:cstheme="minorHAnsi"/>
        </w:rPr>
      </w:pPr>
      <w:r>
        <w:rPr>
          <w:rFonts w:cstheme="minorHAnsi"/>
        </w:rPr>
        <w:t>E</w:t>
      </w:r>
      <w:r w:rsidR="005D06C3">
        <w:rPr>
          <w:rFonts w:cstheme="minorHAnsi"/>
        </w:rPr>
        <w:t>l sector</w:t>
      </w:r>
      <w:r>
        <w:rPr>
          <w:rFonts w:cstheme="minorHAnsi"/>
        </w:rPr>
        <w:t xml:space="preserve"> local</w:t>
      </w:r>
      <w:r w:rsidR="005D06C3">
        <w:rPr>
          <w:rFonts w:cstheme="minorHAnsi"/>
        </w:rPr>
        <w:t xml:space="preserve"> privado en dólares</w:t>
      </w:r>
      <w:r w:rsidR="00310292">
        <w:rPr>
          <w:rFonts w:cstheme="minorHAnsi"/>
        </w:rPr>
        <w:t xml:space="preserve"> </w:t>
      </w:r>
      <w:r w:rsidR="005D06C3">
        <w:rPr>
          <w:rFonts w:cstheme="minorHAnsi"/>
        </w:rPr>
        <w:t xml:space="preserve">no ha tenido un desempeño favorable en 2021. </w:t>
      </w:r>
      <w:r w:rsidR="00782C1A">
        <w:rPr>
          <w:rFonts w:cstheme="minorHAnsi"/>
        </w:rPr>
        <w:t xml:space="preserve">En esta clasificación se incluye principalmente, fondos de inversión inmobiliario, </w:t>
      </w:r>
      <w:r w:rsidR="006330D2">
        <w:rPr>
          <w:rFonts w:cstheme="minorHAnsi"/>
        </w:rPr>
        <w:t xml:space="preserve">compuestos por edificios de oficina o locales comerciales, los cuales, desde la pandemia han mantenido altas tasas de desocupación. </w:t>
      </w:r>
    </w:p>
    <w:p w14:paraId="6F9ECD09" w14:textId="7E8E37C4" w:rsidR="009D4A83" w:rsidRDefault="009D4A83">
      <w:pPr>
        <w:spacing w:after="200" w:line="276" w:lineRule="auto"/>
        <w:rPr>
          <w:rFonts w:cstheme="minorHAnsi"/>
          <w:b/>
          <w:bCs/>
        </w:rPr>
      </w:pPr>
    </w:p>
    <w:p w14:paraId="3A2CB9BF" w14:textId="77777777" w:rsidR="003F1CCD" w:rsidRDefault="003F1CCD" w:rsidP="001B5250">
      <w:pPr>
        <w:tabs>
          <w:tab w:val="left" w:pos="1056"/>
        </w:tabs>
        <w:jc w:val="both"/>
        <w:rPr>
          <w:rFonts w:cstheme="minorHAnsi"/>
          <w:b/>
          <w:bCs/>
        </w:rPr>
      </w:pPr>
    </w:p>
    <w:p w14:paraId="60DEA861" w14:textId="77777777" w:rsidR="001B5250" w:rsidRPr="001B5250" w:rsidRDefault="001B5250" w:rsidP="001B5250">
      <w:pPr>
        <w:tabs>
          <w:tab w:val="left" w:pos="1056"/>
        </w:tabs>
        <w:jc w:val="both"/>
        <w:rPr>
          <w:rFonts w:cstheme="minorHAnsi"/>
          <w:b/>
          <w:bCs/>
        </w:rPr>
      </w:pPr>
      <w:r w:rsidRPr="001B5250">
        <w:rPr>
          <w:rFonts w:cstheme="minorHAnsi"/>
          <w:b/>
          <w:bCs/>
        </w:rPr>
        <w:t xml:space="preserve">Gráfico </w:t>
      </w:r>
      <w:r w:rsidR="009D4A83">
        <w:rPr>
          <w:rFonts w:cstheme="minorHAnsi"/>
          <w:b/>
          <w:bCs/>
        </w:rPr>
        <w:t>5</w:t>
      </w:r>
      <w:r w:rsidRPr="001B5250">
        <w:rPr>
          <w:rFonts w:cstheme="minorHAnsi"/>
          <w:b/>
          <w:bCs/>
        </w:rPr>
        <w:t>.</w:t>
      </w:r>
    </w:p>
    <w:p w14:paraId="58EE82D4" w14:textId="77777777" w:rsidR="001B5250" w:rsidRPr="001B5250" w:rsidRDefault="009A530A" w:rsidP="001B5250">
      <w:pPr>
        <w:tabs>
          <w:tab w:val="left" w:pos="1056"/>
        </w:tabs>
        <w:jc w:val="both"/>
        <w:rPr>
          <w:rFonts w:cstheme="minorHAnsi"/>
          <w:b/>
          <w:bCs/>
        </w:rPr>
      </w:pPr>
      <w:r>
        <w:rPr>
          <w:rFonts w:cstheme="minorHAnsi"/>
          <w:b/>
          <w:bCs/>
        </w:rPr>
        <w:t xml:space="preserve">ROP: </w:t>
      </w:r>
      <w:r w:rsidR="001B5250" w:rsidRPr="001B5250">
        <w:rPr>
          <w:rFonts w:cstheme="minorHAnsi"/>
          <w:b/>
          <w:bCs/>
        </w:rPr>
        <w:t>porcentaje</w:t>
      </w:r>
      <w:r>
        <w:rPr>
          <w:rFonts w:cstheme="minorHAnsi"/>
          <w:b/>
          <w:bCs/>
        </w:rPr>
        <w:t xml:space="preserve"> del activo invertido según sector y moneda, 2021</w:t>
      </w:r>
    </w:p>
    <w:p w14:paraId="511DE6F1" w14:textId="77777777" w:rsidR="0035730F" w:rsidRDefault="008F16FF" w:rsidP="0035730F">
      <w:pPr>
        <w:tabs>
          <w:tab w:val="left" w:pos="1056"/>
        </w:tabs>
        <w:jc w:val="center"/>
        <w:rPr>
          <w:rFonts w:cstheme="minorHAnsi"/>
        </w:rPr>
      </w:pPr>
      <w:r>
        <w:rPr>
          <w:noProof/>
        </w:rPr>
        <w:drawing>
          <wp:inline distT="0" distB="0" distL="0" distR="0" wp14:anchorId="4B13A2A1" wp14:editId="4B52E75C">
            <wp:extent cx="4572000" cy="2743200"/>
            <wp:effectExtent l="0" t="0" r="0" b="0"/>
            <wp:docPr id="1" name="Gráfico 1">
              <a:extLst xmlns:a="http://schemas.openxmlformats.org/drawingml/2006/main">
                <a:ext uri="{FF2B5EF4-FFF2-40B4-BE49-F238E27FC236}">
                  <a16:creationId xmlns:a16="http://schemas.microsoft.com/office/drawing/2014/main" id="{75D8ECEE-69FA-46E8-968B-650DB01E30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33182EC" w14:textId="77777777" w:rsidR="00597946" w:rsidRDefault="00597946" w:rsidP="001B5250">
      <w:pPr>
        <w:tabs>
          <w:tab w:val="left" w:pos="1056"/>
        </w:tabs>
        <w:jc w:val="both"/>
        <w:rPr>
          <w:rFonts w:cstheme="minorHAnsi"/>
        </w:rPr>
      </w:pPr>
    </w:p>
    <w:p w14:paraId="1D784345" w14:textId="77777777" w:rsidR="001B5250" w:rsidRPr="001B5250" w:rsidRDefault="001B5250" w:rsidP="001B5250">
      <w:pPr>
        <w:tabs>
          <w:tab w:val="left" w:pos="1056"/>
        </w:tabs>
        <w:jc w:val="both"/>
        <w:rPr>
          <w:rFonts w:cstheme="minorHAnsi"/>
          <w:b/>
          <w:bCs/>
          <w:sz w:val="18"/>
          <w:szCs w:val="18"/>
        </w:rPr>
      </w:pPr>
      <w:r w:rsidRPr="001B5250">
        <w:rPr>
          <w:rFonts w:cstheme="minorHAnsi"/>
          <w:b/>
          <w:bCs/>
          <w:sz w:val="18"/>
          <w:szCs w:val="18"/>
        </w:rPr>
        <w:t xml:space="preserve">Nota: </w:t>
      </w:r>
      <w:r w:rsidR="005408DA">
        <w:rPr>
          <w:rFonts w:cstheme="minorHAnsi"/>
          <w:b/>
          <w:bCs/>
          <w:sz w:val="18"/>
          <w:szCs w:val="18"/>
        </w:rPr>
        <w:t>las tramas corresponden a inversiones en dólares</w:t>
      </w:r>
      <w:r w:rsidRPr="001B5250">
        <w:rPr>
          <w:rFonts w:cstheme="minorHAnsi"/>
          <w:b/>
          <w:bCs/>
          <w:sz w:val="18"/>
          <w:szCs w:val="18"/>
        </w:rPr>
        <w:t>.</w:t>
      </w:r>
    </w:p>
    <w:p w14:paraId="29B97600" w14:textId="77777777" w:rsidR="001B5250" w:rsidRPr="001B5250" w:rsidRDefault="001B5250" w:rsidP="001B5250">
      <w:pPr>
        <w:tabs>
          <w:tab w:val="left" w:pos="1056"/>
        </w:tabs>
        <w:jc w:val="both"/>
        <w:rPr>
          <w:rFonts w:cstheme="minorHAnsi"/>
          <w:b/>
          <w:bCs/>
          <w:sz w:val="18"/>
          <w:szCs w:val="18"/>
        </w:rPr>
      </w:pPr>
      <w:r w:rsidRPr="001B5250">
        <w:rPr>
          <w:rFonts w:cstheme="minorHAnsi"/>
          <w:b/>
          <w:bCs/>
          <w:sz w:val="18"/>
          <w:szCs w:val="18"/>
        </w:rPr>
        <w:t>Fuente: Elaboración propia.</w:t>
      </w:r>
    </w:p>
    <w:p w14:paraId="0FA42676" w14:textId="77777777" w:rsidR="00067C90" w:rsidRDefault="00067C90" w:rsidP="0035730F"/>
    <w:p w14:paraId="534DA593" w14:textId="77777777" w:rsidR="00AE0513" w:rsidRDefault="00AE0513" w:rsidP="00F40CD9">
      <w:pPr>
        <w:jc w:val="both"/>
      </w:pPr>
    </w:p>
    <w:p w14:paraId="64D5DDA1" w14:textId="77777777" w:rsidR="00F338A7" w:rsidRDefault="006245BE" w:rsidP="00841903">
      <w:pPr>
        <w:pStyle w:val="Ttulo2"/>
        <w:numPr>
          <w:ilvl w:val="1"/>
          <w:numId w:val="18"/>
        </w:numPr>
        <w:ind w:left="709" w:hanging="709"/>
      </w:pPr>
      <w:bookmarkStart w:id="14" w:name="_Toc96614864"/>
      <w:r>
        <w:t>Desempeño de los gestores</w:t>
      </w:r>
      <w:r w:rsidR="007D6EDC">
        <w:t>: resultado financiero</w:t>
      </w:r>
      <w:bookmarkEnd w:id="14"/>
    </w:p>
    <w:p w14:paraId="7BA45289" w14:textId="77777777" w:rsidR="009D13CA" w:rsidRDefault="009D13CA" w:rsidP="009D13CA">
      <w:pPr>
        <w:pStyle w:val="Ttulo2"/>
        <w:ind w:left="709"/>
      </w:pPr>
    </w:p>
    <w:p w14:paraId="69FF44EF" w14:textId="77777777" w:rsidR="00757E6E" w:rsidRDefault="009D0BC1" w:rsidP="004B2733">
      <w:pPr>
        <w:jc w:val="both"/>
        <w:rPr>
          <w:rFonts w:cstheme="minorHAnsi"/>
        </w:rPr>
      </w:pPr>
      <w:r>
        <w:rPr>
          <w:rFonts w:cstheme="minorHAnsi"/>
        </w:rPr>
        <w:t>L</w:t>
      </w:r>
      <w:r w:rsidR="00E86441">
        <w:rPr>
          <w:rFonts w:cstheme="minorHAnsi"/>
        </w:rPr>
        <w:t xml:space="preserve">as operadoras de pensiones complementarias </w:t>
      </w:r>
      <w:r w:rsidR="001C0E22">
        <w:rPr>
          <w:rFonts w:cstheme="minorHAnsi"/>
        </w:rPr>
        <w:t xml:space="preserve">incrementaron sus ingresos operativos </w:t>
      </w:r>
      <w:r w:rsidR="00F5755D">
        <w:rPr>
          <w:rFonts w:cstheme="minorHAnsi"/>
        </w:rPr>
        <w:t xml:space="preserve">en 14,7% con respecto al 2020, </w:t>
      </w:r>
      <w:r w:rsidR="00F22BCC">
        <w:rPr>
          <w:rFonts w:cstheme="minorHAnsi"/>
        </w:rPr>
        <w:t xml:space="preserve">a pesar </w:t>
      </w:r>
      <w:r w:rsidR="00E86441">
        <w:rPr>
          <w:rFonts w:cstheme="minorHAnsi"/>
        </w:rPr>
        <w:t>de la disminución de</w:t>
      </w:r>
      <w:r w:rsidR="00F22BCC">
        <w:rPr>
          <w:rFonts w:cstheme="minorHAnsi"/>
        </w:rPr>
        <w:t xml:space="preserve">l porcentaje </w:t>
      </w:r>
      <w:r w:rsidR="00E7062E">
        <w:rPr>
          <w:rFonts w:cstheme="minorHAnsi"/>
        </w:rPr>
        <w:t xml:space="preserve">de comisión </w:t>
      </w:r>
      <w:r w:rsidR="00E86441">
        <w:rPr>
          <w:rFonts w:cstheme="minorHAnsi"/>
        </w:rPr>
        <w:t>por administración</w:t>
      </w:r>
      <w:r w:rsidR="00B31C5C">
        <w:rPr>
          <w:rFonts w:cstheme="minorHAnsi"/>
        </w:rPr>
        <w:t xml:space="preserve"> </w:t>
      </w:r>
      <w:r w:rsidR="00E7062E">
        <w:rPr>
          <w:rFonts w:cstheme="minorHAnsi"/>
        </w:rPr>
        <w:t>(</w:t>
      </w:r>
      <w:r w:rsidR="00B31C5C">
        <w:rPr>
          <w:rFonts w:cstheme="minorHAnsi"/>
        </w:rPr>
        <w:t>de 0</w:t>
      </w:r>
      <w:r w:rsidR="00167070">
        <w:rPr>
          <w:rFonts w:cstheme="minorHAnsi"/>
        </w:rPr>
        <w:t>,</w:t>
      </w:r>
      <w:r w:rsidR="00B31C5C">
        <w:rPr>
          <w:rFonts w:cstheme="minorHAnsi"/>
        </w:rPr>
        <w:t>5% a 0,35% en enero de 2020</w:t>
      </w:r>
      <w:r w:rsidR="00E86441">
        <w:rPr>
          <w:rFonts w:cstheme="minorHAnsi"/>
        </w:rPr>
        <w:t>)</w:t>
      </w:r>
      <w:r w:rsidR="00BD2E52">
        <w:rPr>
          <w:rFonts w:cstheme="minorHAnsi"/>
        </w:rPr>
        <w:t>.</w:t>
      </w:r>
      <w:r w:rsidR="00D861F6">
        <w:rPr>
          <w:rFonts w:cstheme="minorHAnsi"/>
        </w:rPr>
        <w:t xml:space="preserve"> </w:t>
      </w:r>
      <w:r w:rsidR="00660A90">
        <w:rPr>
          <w:rFonts w:cstheme="minorHAnsi"/>
        </w:rPr>
        <w:t xml:space="preserve">Este resultado tiene su explicación dado el crecimiento logrado </w:t>
      </w:r>
      <w:r w:rsidR="009D517F">
        <w:rPr>
          <w:rFonts w:cstheme="minorHAnsi"/>
        </w:rPr>
        <w:t xml:space="preserve">por </w:t>
      </w:r>
      <w:r w:rsidR="00660A90">
        <w:rPr>
          <w:rFonts w:cstheme="minorHAnsi"/>
        </w:rPr>
        <w:t>los fondos; por ejemplo, en el ROP, el activo neto (diferencia del activo total y</w:t>
      </w:r>
      <w:r w:rsidR="00DC6B3B">
        <w:rPr>
          <w:rFonts w:cstheme="minorHAnsi"/>
        </w:rPr>
        <w:t xml:space="preserve"> el pasivo) creció </w:t>
      </w:r>
      <w:r w:rsidR="00EF3655">
        <w:rPr>
          <w:rFonts w:cstheme="minorHAnsi"/>
        </w:rPr>
        <w:t xml:space="preserve">en 2021 </w:t>
      </w:r>
      <w:r w:rsidR="00DC6B3B">
        <w:rPr>
          <w:rFonts w:cstheme="minorHAnsi"/>
        </w:rPr>
        <w:t xml:space="preserve">en </w:t>
      </w:r>
      <w:r w:rsidR="007B79D4">
        <w:rPr>
          <w:rFonts w:cstheme="minorHAnsi"/>
        </w:rPr>
        <w:t>promedio 22% con respecto al periodo anterior</w:t>
      </w:r>
      <w:r w:rsidR="00506929">
        <w:rPr>
          <w:rFonts w:cstheme="minorHAnsi"/>
        </w:rPr>
        <w:t xml:space="preserve">, y a su vez, </w:t>
      </w:r>
      <w:r w:rsidR="00F6069A">
        <w:rPr>
          <w:rFonts w:cstheme="minorHAnsi"/>
        </w:rPr>
        <w:t>este crecimiento se explica por l</w:t>
      </w:r>
      <w:r w:rsidR="002174DD">
        <w:rPr>
          <w:rFonts w:cstheme="minorHAnsi"/>
        </w:rPr>
        <w:t xml:space="preserve">os resultados financieros de los portafolios y las nuevas aportaciones. </w:t>
      </w:r>
      <w:r w:rsidR="00757E6E">
        <w:rPr>
          <w:rFonts w:cstheme="minorHAnsi"/>
        </w:rPr>
        <w:t>D</w:t>
      </w:r>
      <w:r w:rsidR="004E5C0A">
        <w:rPr>
          <w:rFonts w:cstheme="minorHAnsi"/>
        </w:rPr>
        <w:t xml:space="preserve">icho en otras palabras, el crecimiento del saldo acumulado desde enero de 2020 a diciembre 2021 alcanzó un crecimiento </w:t>
      </w:r>
      <w:r w:rsidR="00700F7B">
        <w:rPr>
          <w:rFonts w:cstheme="minorHAnsi"/>
        </w:rPr>
        <w:t>capaz de compensar la diferencia en el porcentaje de cobr</w:t>
      </w:r>
      <w:r w:rsidR="00CD2E23">
        <w:rPr>
          <w:rFonts w:cstheme="minorHAnsi"/>
        </w:rPr>
        <w:t>o</w:t>
      </w:r>
      <w:r w:rsidR="00700F7B">
        <w:rPr>
          <w:rFonts w:cstheme="minorHAnsi"/>
        </w:rPr>
        <w:t xml:space="preserve"> de comisión.</w:t>
      </w:r>
    </w:p>
    <w:p w14:paraId="010465B6" w14:textId="77777777" w:rsidR="009457E1" w:rsidRDefault="009457E1" w:rsidP="004B2733">
      <w:pPr>
        <w:jc w:val="both"/>
        <w:rPr>
          <w:rFonts w:cstheme="minorHAnsi"/>
        </w:rPr>
      </w:pPr>
    </w:p>
    <w:p w14:paraId="2755FE7C" w14:textId="77777777" w:rsidR="00B17957" w:rsidRDefault="00B17957" w:rsidP="00270676">
      <w:pPr>
        <w:contextualSpacing/>
        <w:jc w:val="both"/>
        <w:rPr>
          <w:rFonts w:cstheme="minorHAnsi"/>
          <w:b/>
          <w:bCs/>
        </w:rPr>
      </w:pPr>
    </w:p>
    <w:p w14:paraId="20BEA546" w14:textId="0106997F" w:rsidR="00270676" w:rsidRPr="00B02633" w:rsidRDefault="00270676" w:rsidP="00270676">
      <w:pPr>
        <w:contextualSpacing/>
        <w:jc w:val="both"/>
        <w:rPr>
          <w:rFonts w:cstheme="minorHAnsi"/>
          <w:b/>
          <w:bCs/>
        </w:rPr>
      </w:pPr>
      <w:r w:rsidRPr="00B02633">
        <w:rPr>
          <w:rFonts w:cstheme="minorHAnsi"/>
          <w:b/>
          <w:bCs/>
        </w:rPr>
        <w:lastRenderedPageBreak/>
        <w:t xml:space="preserve">Cuadro </w:t>
      </w:r>
      <w:r w:rsidR="00B17957">
        <w:rPr>
          <w:rFonts w:cstheme="minorHAnsi"/>
          <w:b/>
          <w:bCs/>
        </w:rPr>
        <w:t>4</w:t>
      </w:r>
      <w:r w:rsidRPr="00B02633">
        <w:rPr>
          <w:rFonts w:cstheme="minorHAnsi"/>
          <w:b/>
          <w:bCs/>
        </w:rPr>
        <w:t xml:space="preserve">. </w:t>
      </w:r>
    </w:p>
    <w:p w14:paraId="4CD74413" w14:textId="77777777" w:rsidR="006245BE" w:rsidRPr="00B02633" w:rsidRDefault="00270676" w:rsidP="00270676">
      <w:pPr>
        <w:rPr>
          <w:b/>
          <w:bCs/>
        </w:rPr>
      </w:pPr>
      <w:r w:rsidRPr="00B02633">
        <w:rPr>
          <w:rFonts w:cstheme="minorHAnsi"/>
          <w:b/>
          <w:bCs/>
        </w:rPr>
        <w:t>Operadoras de pensiones: resultado financiero</w:t>
      </w:r>
      <w:r w:rsidR="00381EA9" w:rsidRPr="00B02633">
        <w:rPr>
          <w:rFonts w:cstheme="minorHAnsi"/>
          <w:b/>
          <w:bCs/>
          <w:vertAlign w:val="superscript"/>
        </w:rPr>
        <w:t>1/</w:t>
      </w:r>
      <w:r w:rsidRPr="00B02633">
        <w:rPr>
          <w:rFonts w:cstheme="minorHAnsi"/>
          <w:b/>
          <w:bCs/>
        </w:rPr>
        <w:t>, 2016-2021</w:t>
      </w:r>
    </w:p>
    <w:tbl>
      <w:tblPr>
        <w:tblStyle w:val="Tablaconcuadrcula4-nfasis1"/>
        <w:tblW w:w="8197" w:type="dxa"/>
        <w:jc w:val="center"/>
        <w:tblLook w:val="04A0" w:firstRow="1" w:lastRow="0" w:firstColumn="1" w:lastColumn="0" w:noHBand="0" w:noVBand="1"/>
      </w:tblPr>
      <w:tblGrid>
        <w:gridCol w:w="1694"/>
        <w:gridCol w:w="1500"/>
        <w:gridCol w:w="1275"/>
        <w:gridCol w:w="1134"/>
        <w:gridCol w:w="1134"/>
        <w:gridCol w:w="1460"/>
      </w:tblGrid>
      <w:tr w:rsidR="007D5AE5" w:rsidRPr="00E3523C" w14:paraId="03B6A8A2" w14:textId="77777777" w:rsidTr="00803CD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auto"/>
              <w:left w:val="nil"/>
              <w:bottom w:val="single" w:sz="4" w:space="0" w:color="auto"/>
            </w:tcBorders>
            <w:shd w:val="clear" w:color="auto" w:fill="auto"/>
            <w:noWrap/>
            <w:vAlign w:val="center"/>
            <w:hideMark/>
          </w:tcPr>
          <w:p w14:paraId="795B637B" w14:textId="77777777" w:rsidR="007D5AE5" w:rsidRPr="009B6A5E" w:rsidRDefault="007D5AE5" w:rsidP="00A46A72">
            <w:pPr>
              <w:rPr>
                <w:rFonts w:eastAsia="Times New Roman" w:cs="Calibri"/>
                <w:b w:val="0"/>
                <w:bCs w:val="0"/>
                <w:color w:val="auto"/>
                <w:lang w:val="es-CR"/>
              </w:rPr>
            </w:pPr>
            <w:r w:rsidRPr="009B6A5E">
              <w:rPr>
                <w:rFonts w:eastAsia="Times New Roman" w:cs="Calibri"/>
                <w:color w:val="auto"/>
                <w:lang w:val="es-CR"/>
              </w:rPr>
              <w:t>Año</w:t>
            </w:r>
          </w:p>
        </w:tc>
        <w:tc>
          <w:tcPr>
            <w:tcW w:w="1500" w:type="dxa"/>
            <w:tcBorders>
              <w:top w:val="single" w:sz="4" w:space="0" w:color="auto"/>
              <w:bottom w:val="single" w:sz="4" w:space="0" w:color="auto"/>
            </w:tcBorders>
            <w:shd w:val="clear" w:color="auto" w:fill="auto"/>
            <w:noWrap/>
            <w:vAlign w:val="center"/>
            <w:hideMark/>
          </w:tcPr>
          <w:p w14:paraId="42044E49" w14:textId="77777777"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Ingresos Operativos</w:t>
            </w:r>
          </w:p>
        </w:tc>
        <w:tc>
          <w:tcPr>
            <w:tcW w:w="1275" w:type="dxa"/>
            <w:tcBorders>
              <w:top w:val="single" w:sz="4" w:space="0" w:color="auto"/>
              <w:bottom w:val="single" w:sz="4" w:space="0" w:color="auto"/>
            </w:tcBorders>
            <w:shd w:val="clear" w:color="auto" w:fill="auto"/>
            <w:noWrap/>
            <w:vAlign w:val="center"/>
            <w:hideMark/>
          </w:tcPr>
          <w:p w14:paraId="3A3C0FE0" w14:textId="77777777"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Gastos Operativos</w:t>
            </w:r>
          </w:p>
        </w:tc>
        <w:tc>
          <w:tcPr>
            <w:tcW w:w="1134" w:type="dxa"/>
            <w:tcBorders>
              <w:top w:val="single" w:sz="4" w:space="0" w:color="auto"/>
              <w:bottom w:val="single" w:sz="4" w:space="0" w:color="auto"/>
            </w:tcBorders>
            <w:shd w:val="clear" w:color="auto" w:fill="auto"/>
            <w:noWrap/>
            <w:vAlign w:val="center"/>
            <w:hideMark/>
          </w:tcPr>
          <w:p w14:paraId="2D39D78C" w14:textId="77777777"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Resultado Operativo</w:t>
            </w:r>
          </w:p>
        </w:tc>
        <w:tc>
          <w:tcPr>
            <w:tcW w:w="1134" w:type="dxa"/>
            <w:tcBorders>
              <w:top w:val="single" w:sz="4" w:space="0" w:color="auto"/>
              <w:bottom w:val="single" w:sz="4" w:space="0" w:color="auto"/>
            </w:tcBorders>
            <w:shd w:val="clear" w:color="auto" w:fill="auto"/>
            <w:noWrap/>
            <w:vAlign w:val="center"/>
            <w:hideMark/>
          </w:tcPr>
          <w:p w14:paraId="1F0EE12A" w14:textId="77777777"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Resultado Neto</w:t>
            </w:r>
          </w:p>
        </w:tc>
        <w:tc>
          <w:tcPr>
            <w:tcW w:w="1460" w:type="dxa"/>
            <w:tcBorders>
              <w:top w:val="single" w:sz="4" w:space="0" w:color="auto"/>
              <w:bottom w:val="single" w:sz="4" w:space="0" w:color="auto"/>
              <w:right w:val="nil"/>
            </w:tcBorders>
            <w:shd w:val="clear" w:color="auto" w:fill="auto"/>
            <w:noWrap/>
            <w:vAlign w:val="center"/>
            <w:hideMark/>
          </w:tcPr>
          <w:p w14:paraId="18E0D0CB" w14:textId="77777777" w:rsidR="007D5AE5" w:rsidRPr="009B6A5E" w:rsidRDefault="007D5AE5" w:rsidP="00A46A72">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auto"/>
                <w:lang w:val="es-CR"/>
              </w:rPr>
            </w:pPr>
            <w:r w:rsidRPr="009B6A5E">
              <w:rPr>
                <w:rFonts w:eastAsia="Times New Roman" w:cs="Calibri"/>
                <w:color w:val="auto"/>
                <w:lang w:val="es-CR"/>
              </w:rPr>
              <w:t>Resultado Neto</w:t>
            </w:r>
            <w:r w:rsidR="00EE3AA9" w:rsidRPr="009B6A5E">
              <w:rPr>
                <w:rFonts w:eastAsia="Times New Roman" w:cs="Calibri"/>
                <w:color w:val="auto"/>
                <w:vertAlign w:val="superscript"/>
                <w:lang w:val="es-CR"/>
              </w:rPr>
              <w:t>2/</w:t>
            </w:r>
          </w:p>
        </w:tc>
      </w:tr>
      <w:tr w:rsidR="007D5AE5" w:rsidRPr="00E3523C" w14:paraId="781BB2D8" w14:textId="77777777" w:rsidTr="00803CD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single" w:sz="4" w:space="0" w:color="auto"/>
              <w:left w:val="nil"/>
              <w:bottom w:val="nil"/>
              <w:right w:val="nil"/>
            </w:tcBorders>
            <w:shd w:val="clear" w:color="auto" w:fill="auto"/>
            <w:noWrap/>
          </w:tcPr>
          <w:p w14:paraId="116FFAC3" w14:textId="77777777" w:rsidR="007D5AE5" w:rsidRPr="00E3523C" w:rsidRDefault="007D5AE5" w:rsidP="00A46A72">
            <w:pPr>
              <w:jc w:val="center"/>
              <w:rPr>
                <w:rFonts w:eastAsia="Times New Roman" w:cs="Calibri"/>
                <w:color w:val="000000"/>
                <w:lang w:val="es-CR"/>
              </w:rPr>
            </w:pPr>
            <w:r w:rsidRPr="00E3523C">
              <w:t>2016</w:t>
            </w:r>
          </w:p>
        </w:tc>
        <w:tc>
          <w:tcPr>
            <w:tcW w:w="1500" w:type="dxa"/>
            <w:tcBorders>
              <w:top w:val="single" w:sz="4" w:space="0" w:color="auto"/>
              <w:left w:val="nil"/>
              <w:bottom w:val="nil"/>
              <w:right w:val="nil"/>
            </w:tcBorders>
            <w:shd w:val="clear" w:color="auto" w:fill="auto"/>
            <w:noWrap/>
          </w:tcPr>
          <w:p w14:paraId="0FF3CF41"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8A119E">
              <w:t>42 700</w:t>
            </w:r>
          </w:p>
        </w:tc>
        <w:tc>
          <w:tcPr>
            <w:tcW w:w="1275" w:type="dxa"/>
            <w:tcBorders>
              <w:top w:val="single" w:sz="4" w:space="0" w:color="auto"/>
              <w:left w:val="nil"/>
              <w:bottom w:val="nil"/>
              <w:right w:val="nil"/>
            </w:tcBorders>
            <w:shd w:val="clear" w:color="auto" w:fill="auto"/>
            <w:noWrap/>
          </w:tcPr>
          <w:p w14:paraId="17629DDF"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8A119E">
              <w:t>30 542</w:t>
            </w:r>
          </w:p>
        </w:tc>
        <w:tc>
          <w:tcPr>
            <w:tcW w:w="1134" w:type="dxa"/>
            <w:tcBorders>
              <w:top w:val="single" w:sz="4" w:space="0" w:color="auto"/>
              <w:left w:val="nil"/>
              <w:bottom w:val="nil"/>
              <w:right w:val="nil"/>
            </w:tcBorders>
            <w:shd w:val="clear" w:color="auto" w:fill="auto"/>
            <w:noWrap/>
          </w:tcPr>
          <w:p w14:paraId="3D4F42C3"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8A119E">
              <w:t>12 157</w:t>
            </w:r>
          </w:p>
        </w:tc>
        <w:tc>
          <w:tcPr>
            <w:tcW w:w="1134" w:type="dxa"/>
            <w:tcBorders>
              <w:top w:val="single" w:sz="4" w:space="0" w:color="auto"/>
              <w:left w:val="nil"/>
              <w:bottom w:val="nil"/>
              <w:right w:val="nil"/>
            </w:tcBorders>
            <w:shd w:val="clear" w:color="auto" w:fill="auto"/>
            <w:noWrap/>
          </w:tcPr>
          <w:p w14:paraId="24C10902"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8A119E">
              <w:t>6 612</w:t>
            </w:r>
          </w:p>
        </w:tc>
        <w:tc>
          <w:tcPr>
            <w:tcW w:w="1460" w:type="dxa"/>
            <w:tcBorders>
              <w:top w:val="single" w:sz="4" w:space="0" w:color="auto"/>
              <w:left w:val="nil"/>
              <w:bottom w:val="nil"/>
              <w:right w:val="nil"/>
            </w:tcBorders>
            <w:shd w:val="clear" w:color="auto" w:fill="auto"/>
            <w:noWrap/>
          </w:tcPr>
          <w:p w14:paraId="1C836739" w14:textId="77777777" w:rsidR="007D5AE5" w:rsidRPr="00E3523C" w:rsidRDefault="007D5AE5" w:rsidP="00A46A72">
            <w:pPr>
              <w:jc w:val="right"/>
              <w:cnfStyle w:val="000000100000" w:firstRow="0" w:lastRow="0" w:firstColumn="0" w:lastColumn="0" w:oddVBand="0" w:evenVBand="0" w:oddHBand="1" w:evenHBand="0" w:firstRowFirstColumn="0" w:firstRowLastColumn="0" w:lastRowFirstColumn="0" w:lastRowLastColumn="0"/>
            </w:pPr>
            <w:r w:rsidRPr="00E3523C">
              <w:t>15 214</w:t>
            </w:r>
          </w:p>
        </w:tc>
      </w:tr>
      <w:tr w:rsidR="007D5AE5" w:rsidRPr="00E3523C" w14:paraId="7736F53F" w14:textId="77777777" w:rsidTr="005D5F24">
        <w:trPr>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nil"/>
              <w:right w:val="nil"/>
            </w:tcBorders>
            <w:shd w:val="clear" w:color="auto" w:fill="auto"/>
            <w:noWrap/>
          </w:tcPr>
          <w:p w14:paraId="59A91110" w14:textId="77777777" w:rsidR="007D5AE5" w:rsidRPr="00E3523C" w:rsidRDefault="007D5AE5" w:rsidP="00A46A72">
            <w:pPr>
              <w:jc w:val="center"/>
              <w:rPr>
                <w:rFonts w:eastAsia="Times New Roman" w:cs="Calibri"/>
                <w:color w:val="000000"/>
                <w:lang w:val="es-CR"/>
              </w:rPr>
            </w:pPr>
            <w:r w:rsidRPr="00E3523C">
              <w:t>2017</w:t>
            </w:r>
          </w:p>
        </w:tc>
        <w:tc>
          <w:tcPr>
            <w:tcW w:w="1500" w:type="dxa"/>
            <w:tcBorders>
              <w:top w:val="nil"/>
              <w:left w:val="nil"/>
              <w:bottom w:val="nil"/>
              <w:right w:val="nil"/>
            </w:tcBorders>
            <w:shd w:val="clear" w:color="auto" w:fill="auto"/>
            <w:noWrap/>
          </w:tcPr>
          <w:p w14:paraId="460071BF"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8A119E">
              <w:t>37 791</w:t>
            </w:r>
          </w:p>
        </w:tc>
        <w:tc>
          <w:tcPr>
            <w:tcW w:w="1275" w:type="dxa"/>
            <w:tcBorders>
              <w:top w:val="nil"/>
              <w:left w:val="nil"/>
              <w:bottom w:val="nil"/>
              <w:right w:val="nil"/>
            </w:tcBorders>
            <w:shd w:val="clear" w:color="auto" w:fill="auto"/>
            <w:noWrap/>
          </w:tcPr>
          <w:p w14:paraId="1A188B8C"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8A119E">
              <w:t>30 184</w:t>
            </w:r>
          </w:p>
        </w:tc>
        <w:tc>
          <w:tcPr>
            <w:tcW w:w="1134" w:type="dxa"/>
            <w:tcBorders>
              <w:top w:val="nil"/>
              <w:left w:val="nil"/>
              <w:bottom w:val="nil"/>
              <w:right w:val="nil"/>
            </w:tcBorders>
            <w:shd w:val="clear" w:color="auto" w:fill="auto"/>
            <w:noWrap/>
          </w:tcPr>
          <w:p w14:paraId="3AAE4790"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8A119E">
              <w:t>7 606</w:t>
            </w:r>
          </w:p>
        </w:tc>
        <w:tc>
          <w:tcPr>
            <w:tcW w:w="1134" w:type="dxa"/>
            <w:tcBorders>
              <w:top w:val="nil"/>
              <w:left w:val="nil"/>
              <w:bottom w:val="nil"/>
              <w:right w:val="nil"/>
            </w:tcBorders>
            <w:shd w:val="clear" w:color="auto" w:fill="auto"/>
            <w:noWrap/>
          </w:tcPr>
          <w:p w14:paraId="4AFC20A6"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8A119E">
              <w:t>4 521</w:t>
            </w:r>
          </w:p>
        </w:tc>
        <w:tc>
          <w:tcPr>
            <w:tcW w:w="1460" w:type="dxa"/>
            <w:tcBorders>
              <w:top w:val="nil"/>
              <w:left w:val="nil"/>
              <w:bottom w:val="nil"/>
              <w:right w:val="nil"/>
            </w:tcBorders>
            <w:shd w:val="clear" w:color="auto" w:fill="auto"/>
            <w:noWrap/>
          </w:tcPr>
          <w:p w14:paraId="457D6921" w14:textId="77777777" w:rsidR="007D5AE5" w:rsidRPr="00E3523C" w:rsidRDefault="007D5AE5" w:rsidP="00A46A72">
            <w:pPr>
              <w:jc w:val="right"/>
              <w:cnfStyle w:val="000000000000" w:firstRow="0" w:lastRow="0" w:firstColumn="0" w:lastColumn="0" w:oddVBand="0" w:evenVBand="0" w:oddHBand="0" w:evenHBand="0" w:firstRowFirstColumn="0" w:firstRowLastColumn="0" w:lastRowFirstColumn="0" w:lastRowLastColumn="0"/>
            </w:pPr>
            <w:r w:rsidRPr="00E3523C">
              <w:t>10 430</w:t>
            </w:r>
          </w:p>
        </w:tc>
      </w:tr>
      <w:tr w:rsidR="007D5AE5" w:rsidRPr="00E3523C" w14:paraId="08C6782B" w14:textId="77777777" w:rsidTr="005D5F2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nil"/>
              <w:right w:val="nil"/>
            </w:tcBorders>
            <w:shd w:val="clear" w:color="auto" w:fill="auto"/>
            <w:noWrap/>
            <w:hideMark/>
          </w:tcPr>
          <w:p w14:paraId="126B5F0F" w14:textId="77777777" w:rsidR="007D5AE5" w:rsidRPr="00E3523C" w:rsidRDefault="007D5AE5" w:rsidP="00A46A72">
            <w:pPr>
              <w:jc w:val="center"/>
              <w:rPr>
                <w:rFonts w:eastAsia="Times New Roman" w:cs="Calibri"/>
                <w:color w:val="000000"/>
                <w:lang w:val="es-CR"/>
              </w:rPr>
            </w:pPr>
            <w:r w:rsidRPr="00E3523C">
              <w:t>2018</w:t>
            </w:r>
          </w:p>
        </w:tc>
        <w:tc>
          <w:tcPr>
            <w:tcW w:w="1500" w:type="dxa"/>
            <w:tcBorders>
              <w:top w:val="nil"/>
              <w:left w:val="nil"/>
              <w:bottom w:val="nil"/>
              <w:right w:val="nil"/>
            </w:tcBorders>
            <w:shd w:val="clear" w:color="auto" w:fill="auto"/>
            <w:noWrap/>
            <w:hideMark/>
          </w:tcPr>
          <w:p w14:paraId="3C2A8EF4"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42 730</w:t>
            </w:r>
          </w:p>
        </w:tc>
        <w:tc>
          <w:tcPr>
            <w:tcW w:w="1275" w:type="dxa"/>
            <w:tcBorders>
              <w:top w:val="nil"/>
              <w:left w:val="nil"/>
              <w:bottom w:val="nil"/>
              <w:right w:val="nil"/>
            </w:tcBorders>
            <w:shd w:val="clear" w:color="auto" w:fill="auto"/>
            <w:noWrap/>
            <w:hideMark/>
          </w:tcPr>
          <w:p w14:paraId="47BAEB93"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31 963</w:t>
            </w:r>
          </w:p>
        </w:tc>
        <w:tc>
          <w:tcPr>
            <w:tcW w:w="1134" w:type="dxa"/>
            <w:tcBorders>
              <w:top w:val="nil"/>
              <w:left w:val="nil"/>
              <w:bottom w:val="nil"/>
              <w:right w:val="nil"/>
            </w:tcBorders>
            <w:shd w:val="clear" w:color="auto" w:fill="auto"/>
            <w:noWrap/>
            <w:hideMark/>
          </w:tcPr>
          <w:p w14:paraId="68EC446F"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10 767</w:t>
            </w:r>
          </w:p>
        </w:tc>
        <w:tc>
          <w:tcPr>
            <w:tcW w:w="1134" w:type="dxa"/>
            <w:tcBorders>
              <w:top w:val="nil"/>
              <w:left w:val="nil"/>
              <w:bottom w:val="nil"/>
              <w:right w:val="nil"/>
            </w:tcBorders>
            <w:shd w:val="clear" w:color="auto" w:fill="auto"/>
            <w:noWrap/>
            <w:hideMark/>
          </w:tcPr>
          <w:p w14:paraId="4B0A54F4"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6 548</w:t>
            </w:r>
          </w:p>
        </w:tc>
        <w:tc>
          <w:tcPr>
            <w:tcW w:w="1460" w:type="dxa"/>
            <w:tcBorders>
              <w:top w:val="nil"/>
              <w:left w:val="nil"/>
              <w:bottom w:val="nil"/>
              <w:right w:val="nil"/>
            </w:tcBorders>
            <w:shd w:val="clear" w:color="auto" w:fill="auto"/>
            <w:noWrap/>
            <w:hideMark/>
          </w:tcPr>
          <w:p w14:paraId="6669ED6E" w14:textId="77777777" w:rsidR="007D5AE5" w:rsidRPr="00E3523C"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15 094</w:t>
            </w:r>
          </w:p>
        </w:tc>
      </w:tr>
      <w:tr w:rsidR="007D5AE5" w:rsidRPr="00E3523C" w14:paraId="308FF6C3" w14:textId="77777777" w:rsidTr="005D5F24">
        <w:trPr>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nil"/>
              <w:right w:val="nil"/>
            </w:tcBorders>
            <w:shd w:val="clear" w:color="auto" w:fill="auto"/>
            <w:noWrap/>
            <w:hideMark/>
          </w:tcPr>
          <w:p w14:paraId="40FCCFFB" w14:textId="77777777" w:rsidR="007D5AE5" w:rsidRPr="00E3523C" w:rsidRDefault="007D5AE5" w:rsidP="00A46A72">
            <w:pPr>
              <w:jc w:val="center"/>
              <w:rPr>
                <w:rFonts w:eastAsia="Times New Roman" w:cs="Calibri"/>
                <w:color w:val="000000"/>
                <w:lang w:val="es-CR"/>
              </w:rPr>
            </w:pPr>
            <w:r w:rsidRPr="00E3523C">
              <w:t>2019</w:t>
            </w:r>
          </w:p>
        </w:tc>
        <w:tc>
          <w:tcPr>
            <w:tcW w:w="1500" w:type="dxa"/>
            <w:tcBorders>
              <w:top w:val="nil"/>
              <w:left w:val="nil"/>
              <w:bottom w:val="nil"/>
              <w:right w:val="nil"/>
            </w:tcBorders>
            <w:shd w:val="clear" w:color="auto" w:fill="auto"/>
            <w:noWrap/>
            <w:hideMark/>
          </w:tcPr>
          <w:p w14:paraId="3DC3992A"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t>49 847</w:t>
            </w:r>
          </w:p>
        </w:tc>
        <w:tc>
          <w:tcPr>
            <w:tcW w:w="1275" w:type="dxa"/>
            <w:tcBorders>
              <w:top w:val="nil"/>
              <w:left w:val="nil"/>
              <w:bottom w:val="nil"/>
              <w:right w:val="nil"/>
            </w:tcBorders>
            <w:shd w:val="clear" w:color="auto" w:fill="auto"/>
            <w:noWrap/>
            <w:hideMark/>
          </w:tcPr>
          <w:p w14:paraId="13D7B6F4"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t>34 584</w:t>
            </w:r>
          </w:p>
        </w:tc>
        <w:tc>
          <w:tcPr>
            <w:tcW w:w="1134" w:type="dxa"/>
            <w:tcBorders>
              <w:top w:val="nil"/>
              <w:left w:val="nil"/>
              <w:bottom w:val="nil"/>
              <w:right w:val="nil"/>
            </w:tcBorders>
            <w:shd w:val="clear" w:color="auto" w:fill="auto"/>
            <w:noWrap/>
            <w:hideMark/>
          </w:tcPr>
          <w:p w14:paraId="5592682F"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t>15 263</w:t>
            </w:r>
          </w:p>
        </w:tc>
        <w:tc>
          <w:tcPr>
            <w:tcW w:w="1134" w:type="dxa"/>
            <w:tcBorders>
              <w:top w:val="nil"/>
              <w:left w:val="nil"/>
              <w:bottom w:val="nil"/>
              <w:right w:val="nil"/>
            </w:tcBorders>
            <w:shd w:val="clear" w:color="auto" w:fill="auto"/>
            <w:noWrap/>
            <w:hideMark/>
          </w:tcPr>
          <w:p w14:paraId="6CB3C018" w14:textId="77777777" w:rsidR="007D5AE5" w:rsidRPr="008A119E"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8A119E">
              <w:t>8 408</w:t>
            </w:r>
          </w:p>
        </w:tc>
        <w:tc>
          <w:tcPr>
            <w:tcW w:w="1460" w:type="dxa"/>
            <w:tcBorders>
              <w:top w:val="nil"/>
              <w:left w:val="nil"/>
              <w:bottom w:val="nil"/>
              <w:right w:val="nil"/>
            </w:tcBorders>
            <w:shd w:val="clear" w:color="auto" w:fill="auto"/>
            <w:noWrap/>
            <w:hideMark/>
          </w:tcPr>
          <w:p w14:paraId="46DD3D92" w14:textId="77777777" w:rsidR="007D5AE5" w:rsidRPr="00E3523C" w:rsidRDefault="007D5AE5" w:rsidP="00A46A72">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20 535</w:t>
            </w:r>
          </w:p>
        </w:tc>
      </w:tr>
      <w:tr w:rsidR="007D5AE5" w:rsidRPr="00E3523C" w14:paraId="19FE867D" w14:textId="77777777" w:rsidTr="00803CD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nil"/>
              <w:right w:val="nil"/>
            </w:tcBorders>
            <w:shd w:val="clear" w:color="auto" w:fill="auto"/>
            <w:noWrap/>
            <w:hideMark/>
          </w:tcPr>
          <w:p w14:paraId="1DFA5FD3" w14:textId="77777777" w:rsidR="007D5AE5" w:rsidRPr="00E3523C" w:rsidRDefault="007D5AE5" w:rsidP="00A46A72">
            <w:pPr>
              <w:jc w:val="center"/>
              <w:rPr>
                <w:rFonts w:eastAsia="Times New Roman" w:cs="Calibri"/>
                <w:color w:val="000000"/>
                <w:lang w:val="es-CR"/>
              </w:rPr>
            </w:pPr>
            <w:r w:rsidRPr="00E3523C">
              <w:t>2020</w:t>
            </w:r>
          </w:p>
        </w:tc>
        <w:tc>
          <w:tcPr>
            <w:tcW w:w="1500" w:type="dxa"/>
            <w:tcBorders>
              <w:top w:val="nil"/>
              <w:left w:val="nil"/>
              <w:bottom w:val="nil"/>
              <w:right w:val="nil"/>
            </w:tcBorders>
            <w:shd w:val="clear" w:color="auto" w:fill="auto"/>
            <w:noWrap/>
            <w:hideMark/>
          </w:tcPr>
          <w:p w14:paraId="293AD1FC"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45 196</w:t>
            </w:r>
          </w:p>
        </w:tc>
        <w:tc>
          <w:tcPr>
            <w:tcW w:w="1275" w:type="dxa"/>
            <w:tcBorders>
              <w:top w:val="nil"/>
              <w:left w:val="nil"/>
              <w:bottom w:val="nil"/>
              <w:right w:val="nil"/>
            </w:tcBorders>
            <w:shd w:val="clear" w:color="auto" w:fill="auto"/>
            <w:noWrap/>
            <w:hideMark/>
          </w:tcPr>
          <w:p w14:paraId="50966A17"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34 492</w:t>
            </w:r>
          </w:p>
        </w:tc>
        <w:tc>
          <w:tcPr>
            <w:tcW w:w="1134" w:type="dxa"/>
            <w:tcBorders>
              <w:top w:val="nil"/>
              <w:left w:val="nil"/>
              <w:bottom w:val="nil"/>
              <w:right w:val="nil"/>
            </w:tcBorders>
            <w:shd w:val="clear" w:color="auto" w:fill="auto"/>
            <w:noWrap/>
            <w:hideMark/>
          </w:tcPr>
          <w:p w14:paraId="3570E161"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10 704</w:t>
            </w:r>
          </w:p>
        </w:tc>
        <w:tc>
          <w:tcPr>
            <w:tcW w:w="1134" w:type="dxa"/>
            <w:tcBorders>
              <w:top w:val="nil"/>
              <w:left w:val="nil"/>
              <w:bottom w:val="nil"/>
              <w:right w:val="nil"/>
            </w:tcBorders>
            <w:shd w:val="clear" w:color="auto" w:fill="auto"/>
            <w:noWrap/>
            <w:hideMark/>
          </w:tcPr>
          <w:p w14:paraId="468304BA" w14:textId="77777777" w:rsidR="007D5AE5" w:rsidRPr="008A119E"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lang w:val="es-CR"/>
              </w:rPr>
            </w:pPr>
            <w:r w:rsidRPr="008A119E">
              <w:t>6 633</w:t>
            </w:r>
          </w:p>
        </w:tc>
        <w:tc>
          <w:tcPr>
            <w:tcW w:w="1460" w:type="dxa"/>
            <w:tcBorders>
              <w:top w:val="nil"/>
              <w:left w:val="nil"/>
              <w:bottom w:val="nil"/>
              <w:right w:val="nil"/>
            </w:tcBorders>
            <w:shd w:val="clear" w:color="auto" w:fill="auto"/>
            <w:noWrap/>
            <w:hideMark/>
          </w:tcPr>
          <w:p w14:paraId="2B594025" w14:textId="77777777" w:rsidR="007D5AE5" w:rsidRPr="00E3523C" w:rsidRDefault="007D5AE5" w:rsidP="00A46A7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16 743</w:t>
            </w:r>
          </w:p>
        </w:tc>
      </w:tr>
      <w:tr w:rsidR="00DB1D4A" w:rsidRPr="00E3523C" w14:paraId="3DF6A51F" w14:textId="77777777" w:rsidTr="002E309B">
        <w:trPr>
          <w:trHeight w:val="300"/>
          <w:jc w:val="center"/>
        </w:trPr>
        <w:tc>
          <w:tcPr>
            <w:cnfStyle w:val="001000000000" w:firstRow="0" w:lastRow="0" w:firstColumn="1" w:lastColumn="0" w:oddVBand="0" w:evenVBand="0" w:oddHBand="0" w:evenHBand="0" w:firstRowFirstColumn="0" w:firstRowLastColumn="0" w:lastRowFirstColumn="0" w:lastRowLastColumn="0"/>
            <w:tcW w:w="1694" w:type="dxa"/>
            <w:tcBorders>
              <w:top w:val="nil"/>
              <w:left w:val="nil"/>
              <w:bottom w:val="single" w:sz="4" w:space="0" w:color="auto"/>
              <w:right w:val="nil"/>
            </w:tcBorders>
            <w:shd w:val="clear" w:color="auto" w:fill="auto"/>
            <w:noWrap/>
            <w:hideMark/>
          </w:tcPr>
          <w:p w14:paraId="547A21FB" w14:textId="77777777" w:rsidR="00DB1D4A" w:rsidRPr="00E3523C" w:rsidRDefault="00DB1D4A" w:rsidP="00DB1D4A">
            <w:pPr>
              <w:jc w:val="center"/>
              <w:rPr>
                <w:rFonts w:eastAsia="Times New Roman" w:cs="Calibri"/>
                <w:color w:val="000000"/>
                <w:lang w:val="es-CR"/>
              </w:rPr>
            </w:pPr>
            <w:r w:rsidRPr="00E3523C">
              <w:t>2021</w:t>
            </w:r>
            <w:r>
              <w:rPr>
                <w:vertAlign w:val="superscript"/>
              </w:rPr>
              <w:t>3/</w:t>
            </w:r>
          </w:p>
        </w:tc>
        <w:tc>
          <w:tcPr>
            <w:tcW w:w="1500" w:type="dxa"/>
            <w:tcBorders>
              <w:top w:val="nil"/>
              <w:left w:val="nil"/>
              <w:bottom w:val="single" w:sz="4" w:space="0" w:color="auto"/>
              <w:right w:val="nil"/>
            </w:tcBorders>
            <w:shd w:val="clear" w:color="auto" w:fill="auto"/>
            <w:noWrap/>
            <w:hideMark/>
          </w:tcPr>
          <w:p w14:paraId="6C767957" w14:textId="77777777" w:rsidR="00DB1D4A" w:rsidRPr="008A119E" w:rsidRDefault="00DB1D4A" w:rsidP="00DB1D4A">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9463B9">
              <w:t xml:space="preserve"> 51 831 </w:t>
            </w:r>
          </w:p>
        </w:tc>
        <w:tc>
          <w:tcPr>
            <w:tcW w:w="1275" w:type="dxa"/>
            <w:tcBorders>
              <w:top w:val="nil"/>
              <w:left w:val="nil"/>
              <w:bottom w:val="single" w:sz="4" w:space="0" w:color="auto"/>
              <w:right w:val="nil"/>
            </w:tcBorders>
            <w:shd w:val="clear" w:color="auto" w:fill="auto"/>
            <w:noWrap/>
            <w:hideMark/>
          </w:tcPr>
          <w:p w14:paraId="1819F2AC" w14:textId="77777777" w:rsidR="00DB1D4A" w:rsidRPr="008A119E" w:rsidRDefault="00DB1D4A" w:rsidP="00DB1D4A">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9463B9">
              <w:t xml:space="preserve"> 37 819 </w:t>
            </w:r>
          </w:p>
        </w:tc>
        <w:tc>
          <w:tcPr>
            <w:tcW w:w="1134" w:type="dxa"/>
            <w:tcBorders>
              <w:top w:val="nil"/>
              <w:left w:val="nil"/>
              <w:bottom w:val="single" w:sz="4" w:space="0" w:color="auto"/>
              <w:right w:val="nil"/>
            </w:tcBorders>
            <w:shd w:val="clear" w:color="auto" w:fill="auto"/>
            <w:noWrap/>
            <w:hideMark/>
          </w:tcPr>
          <w:p w14:paraId="367F71E6" w14:textId="77777777" w:rsidR="00DB1D4A" w:rsidRPr="008A119E" w:rsidRDefault="00DB1D4A" w:rsidP="00DB1D4A">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9463B9">
              <w:t xml:space="preserve"> 14 012 </w:t>
            </w:r>
          </w:p>
        </w:tc>
        <w:tc>
          <w:tcPr>
            <w:tcW w:w="1134" w:type="dxa"/>
            <w:tcBorders>
              <w:top w:val="nil"/>
              <w:left w:val="nil"/>
              <w:bottom w:val="single" w:sz="4" w:space="0" w:color="auto"/>
              <w:right w:val="nil"/>
            </w:tcBorders>
            <w:shd w:val="clear" w:color="auto" w:fill="auto"/>
            <w:noWrap/>
            <w:hideMark/>
          </w:tcPr>
          <w:p w14:paraId="52414DFC" w14:textId="77777777" w:rsidR="00DB1D4A" w:rsidRPr="008A119E" w:rsidRDefault="00DB1D4A" w:rsidP="00DB1D4A">
            <w:pPr>
              <w:jc w:val="right"/>
              <w:cnfStyle w:val="000000000000" w:firstRow="0" w:lastRow="0" w:firstColumn="0" w:lastColumn="0" w:oddVBand="0" w:evenVBand="0" w:oddHBand="0" w:evenHBand="0" w:firstRowFirstColumn="0" w:firstRowLastColumn="0" w:lastRowFirstColumn="0" w:lastRowLastColumn="0"/>
              <w:rPr>
                <w:rFonts w:eastAsia="Times New Roman" w:cs="Calibri"/>
                <w:lang w:val="es-CR"/>
              </w:rPr>
            </w:pPr>
            <w:r w:rsidRPr="009463B9">
              <w:t xml:space="preserve"> 8 498 </w:t>
            </w:r>
          </w:p>
        </w:tc>
        <w:tc>
          <w:tcPr>
            <w:tcW w:w="1460" w:type="dxa"/>
            <w:tcBorders>
              <w:top w:val="nil"/>
              <w:left w:val="nil"/>
              <w:bottom w:val="single" w:sz="4" w:space="0" w:color="auto"/>
              <w:right w:val="nil"/>
            </w:tcBorders>
            <w:shd w:val="clear" w:color="auto" w:fill="auto"/>
            <w:noWrap/>
            <w:hideMark/>
          </w:tcPr>
          <w:p w14:paraId="2E5996B0" w14:textId="77777777" w:rsidR="00DB1D4A" w:rsidRPr="00E3523C" w:rsidRDefault="00DB1D4A" w:rsidP="00DB1D4A">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9463B9">
              <w:t xml:space="preserve"> 20 232 </w:t>
            </w:r>
          </w:p>
        </w:tc>
      </w:tr>
    </w:tbl>
    <w:p w14:paraId="3A295F2B" w14:textId="77777777" w:rsidR="00C86534" w:rsidRDefault="00C86534" w:rsidP="00270676">
      <w:pPr>
        <w:rPr>
          <w:b/>
          <w:bCs/>
          <w:sz w:val="18"/>
          <w:szCs w:val="18"/>
        </w:rPr>
      </w:pPr>
      <w:r>
        <w:rPr>
          <w:b/>
          <w:bCs/>
          <w:sz w:val="18"/>
          <w:szCs w:val="18"/>
        </w:rPr>
        <w:t>1/ En millones de colones</w:t>
      </w:r>
      <w:r w:rsidR="000137E8">
        <w:rPr>
          <w:b/>
          <w:bCs/>
          <w:sz w:val="18"/>
          <w:szCs w:val="18"/>
        </w:rPr>
        <w:t>.</w:t>
      </w:r>
    </w:p>
    <w:p w14:paraId="6034C458" w14:textId="77777777" w:rsidR="00270676" w:rsidRPr="00B02633" w:rsidRDefault="00C86534" w:rsidP="00270676">
      <w:pPr>
        <w:rPr>
          <w:b/>
          <w:bCs/>
          <w:sz w:val="18"/>
          <w:szCs w:val="18"/>
        </w:rPr>
      </w:pPr>
      <w:r>
        <w:rPr>
          <w:b/>
          <w:bCs/>
          <w:sz w:val="18"/>
          <w:szCs w:val="18"/>
        </w:rPr>
        <w:t>2</w:t>
      </w:r>
      <w:r w:rsidR="00270676" w:rsidRPr="00B02633">
        <w:rPr>
          <w:b/>
          <w:bCs/>
          <w:sz w:val="18"/>
          <w:szCs w:val="18"/>
        </w:rPr>
        <w:t>/ Antes de impuestos y participaciones.</w:t>
      </w:r>
    </w:p>
    <w:p w14:paraId="635D47FF" w14:textId="77777777" w:rsidR="00C86534" w:rsidRPr="00EB008C" w:rsidRDefault="00C86534" w:rsidP="00C86534">
      <w:pPr>
        <w:pStyle w:val="Descripcin"/>
        <w:spacing w:after="0"/>
        <w:rPr>
          <w:b/>
          <w:bCs/>
          <w:i w:val="0"/>
          <w:iCs w:val="0"/>
          <w:color w:val="auto"/>
        </w:rPr>
      </w:pPr>
      <w:r>
        <w:rPr>
          <w:b/>
          <w:bCs/>
          <w:i w:val="0"/>
          <w:iCs w:val="0"/>
          <w:color w:val="auto"/>
        </w:rPr>
        <w:t>3</w:t>
      </w:r>
      <w:r w:rsidRPr="00EB008C">
        <w:rPr>
          <w:b/>
          <w:bCs/>
          <w:i w:val="0"/>
          <w:iCs w:val="0"/>
          <w:color w:val="auto"/>
        </w:rPr>
        <w:t xml:space="preserve">/ Datos acumulados a </w:t>
      </w:r>
      <w:r w:rsidR="005B62E6">
        <w:rPr>
          <w:b/>
          <w:bCs/>
          <w:i w:val="0"/>
          <w:iCs w:val="0"/>
          <w:color w:val="auto"/>
        </w:rPr>
        <w:t>diciembre</w:t>
      </w:r>
      <w:r w:rsidRPr="00EB008C">
        <w:rPr>
          <w:b/>
          <w:bCs/>
          <w:i w:val="0"/>
          <w:iCs w:val="0"/>
          <w:color w:val="auto"/>
        </w:rPr>
        <w:t xml:space="preserve"> 2021.</w:t>
      </w:r>
    </w:p>
    <w:p w14:paraId="0C9FEE49" w14:textId="77777777" w:rsidR="00270676" w:rsidRDefault="00270676" w:rsidP="00270676">
      <w:pPr>
        <w:spacing w:after="200" w:line="276" w:lineRule="auto"/>
        <w:jc w:val="both"/>
        <w:rPr>
          <w:b/>
          <w:bCs/>
          <w:sz w:val="18"/>
          <w:szCs w:val="18"/>
        </w:rPr>
      </w:pPr>
      <w:r w:rsidRPr="00B02633">
        <w:rPr>
          <w:b/>
          <w:bCs/>
          <w:sz w:val="18"/>
          <w:szCs w:val="18"/>
        </w:rPr>
        <w:t>Fuente: Elaboración propia.</w:t>
      </w:r>
    </w:p>
    <w:p w14:paraId="6E852887" w14:textId="77777777" w:rsidR="002E7939" w:rsidRDefault="006059FB" w:rsidP="002E7939">
      <w:pPr>
        <w:jc w:val="both"/>
        <w:rPr>
          <w:rFonts w:cstheme="minorHAnsi"/>
        </w:rPr>
      </w:pPr>
      <w:r>
        <w:rPr>
          <w:rFonts w:cstheme="minorHAnsi"/>
        </w:rPr>
        <w:t xml:space="preserve">Los resultados </w:t>
      </w:r>
      <w:r w:rsidR="0068332E">
        <w:rPr>
          <w:rFonts w:cstheme="minorHAnsi"/>
        </w:rPr>
        <w:t>operativos</w:t>
      </w:r>
      <w:r>
        <w:rPr>
          <w:rFonts w:cstheme="minorHAnsi"/>
        </w:rPr>
        <w:t xml:space="preserve"> expuestos, </w:t>
      </w:r>
      <w:r w:rsidR="00D97DE0">
        <w:rPr>
          <w:rFonts w:cstheme="minorHAnsi"/>
        </w:rPr>
        <w:t xml:space="preserve">tienen su reflejo en </w:t>
      </w:r>
      <w:r w:rsidR="00615536">
        <w:rPr>
          <w:rFonts w:cstheme="minorHAnsi"/>
        </w:rPr>
        <w:t xml:space="preserve">rendimiento sobre el patrimonio. </w:t>
      </w:r>
      <w:r w:rsidR="009F1E5D">
        <w:rPr>
          <w:rFonts w:cstheme="minorHAnsi"/>
        </w:rPr>
        <w:t>En este sentido, el patrimonio de las entidades creció en 16,65%</w:t>
      </w:r>
      <w:r w:rsidR="004C4639">
        <w:rPr>
          <w:rFonts w:cstheme="minorHAnsi"/>
        </w:rPr>
        <w:t xml:space="preserve"> con respecto a 2020</w:t>
      </w:r>
      <w:r w:rsidR="0068332E">
        <w:rPr>
          <w:rFonts w:cstheme="minorHAnsi"/>
        </w:rPr>
        <w:t>. No obstante, el crecimiento de los ingresos por cobro de comisión y los resultados de las inversiones propias de la entidad les permitieron lograr</w:t>
      </w:r>
      <w:r w:rsidR="00AB00EB">
        <w:rPr>
          <w:rFonts w:cstheme="minorHAnsi"/>
        </w:rPr>
        <w:t>, en la mayoría de los casos, superar los resultados del año previo.</w:t>
      </w:r>
      <w:r w:rsidR="002B2A84">
        <w:rPr>
          <w:rFonts w:cstheme="minorHAnsi"/>
        </w:rPr>
        <w:t xml:space="preserve"> </w:t>
      </w:r>
    </w:p>
    <w:p w14:paraId="0570C439" w14:textId="77777777" w:rsidR="002E7939" w:rsidRDefault="002E7939" w:rsidP="009D4A83">
      <w:pPr>
        <w:spacing w:after="200" w:line="276" w:lineRule="auto"/>
        <w:rPr>
          <w:rFonts w:cstheme="minorHAnsi"/>
          <w:b/>
          <w:bCs/>
        </w:rPr>
      </w:pPr>
    </w:p>
    <w:p w14:paraId="522477E0" w14:textId="614A1869" w:rsidR="00270676" w:rsidRPr="0001207D" w:rsidRDefault="00270676" w:rsidP="00270676">
      <w:pPr>
        <w:contextualSpacing/>
        <w:jc w:val="both"/>
        <w:rPr>
          <w:rFonts w:cstheme="minorHAnsi"/>
          <w:b/>
          <w:bCs/>
        </w:rPr>
      </w:pPr>
      <w:r w:rsidRPr="0001207D">
        <w:rPr>
          <w:rFonts w:cstheme="minorHAnsi"/>
          <w:b/>
          <w:bCs/>
        </w:rPr>
        <w:t xml:space="preserve">Cuadro </w:t>
      </w:r>
      <w:r w:rsidR="00472CEE">
        <w:rPr>
          <w:rFonts w:cstheme="minorHAnsi"/>
          <w:b/>
          <w:bCs/>
        </w:rPr>
        <w:t>5</w:t>
      </w:r>
      <w:r w:rsidRPr="0001207D">
        <w:rPr>
          <w:rFonts w:cstheme="minorHAnsi"/>
          <w:b/>
          <w:bCs/>
        </w:rPr>
        <w:t xml:space="preserve">. </w:t>
      </w:r>
    </w:p>
    <w:p w14:paraId="5C17BCEA" w14:textId="77777777" w:rsidR="00270676" w:rsidRPr="0001207D" w:rsidRDefault="00270676" w:rsidP="00270676">
      <w:pPr>
        <w:contextualSpacing/>
        <w:rPr>
          <w:rFonts w:cstheme="minorHAnsi"/>
          <w:b/>
          <w:bCs/>
        </w:rPr>
      </w:pPr>
      <w:r w:rsidRPr="0001207D">
        <w:rPr>
          <w:rFonts w:cstheme="minorHAnsi"/>
          <w:b/>
          <w:bCs/>
        </w:rPr>
        <w:t xml:space="preserve">Operadoras de pensiones: </w:t>
      </w:r>
      <w:r>
        <w:rPr>
          <w:rFonts w:cstheme="minorHAnsi"/>
          <w:b/>
          <w:bCs/>
        </w:rPr>
        <w:t>r</w:t>
      </w:r>
      <w:r w:rsidRPr="0001207D">
        <w:rPr>
          <w:rFonts w:cstheme="minorHAnsi"/>
          <w:b/>
          <w:bCs/>
        </w:rPr>
        <w:t>endimiento sobre patrimonio, 2018-2021</w:t>
      </w:r>
    </w:p>
    <w:tbl>
      <w:tblPr>
        <w:tblW w:w="7513" w:type="dxa"/>
        <w:jc w:val="center"/>
        <w:tblLayout w:type="fixed"/>
        <w:tblCellMar>
          <w:left w:w="70" w:type="dxa"/>
          <w:right w:w="70" w:type="dxa"/>
        </w:tblCellMar>
        <w:tblLook w:val="04A0" w:firstRow="1" w:lastRow="0" w:firstColumn="1" w:lastColumn="0" w:noHBand="0" w:noVBand="1"/>
      </w:tblPr>
      <w:tblGrid>
        <w:gridCol w:w="851"/>
        <w:gridCol w:w="960"/>
        <w:gridCol w:w="1078"/>
        <w:gridCol w:w="1080"/>
        <w:gridCol w:w="1276"/>
        <w:gridCol w:w="1134"/>
        <w:gridCol w:w="1134"/>
      </w:tblGrid>
      <w:tr w:rsidR="00F64ECB" w:rsidRPr="0001207D" w14:paraId="153BB1C2" w14:textId="77777777" w:rsidTr="009A21D8">
        <w:trPr>
          <w:trHeight w:val="182"/>
          <w:jc w:val="center"/>
        </w:trPr>
        <w:tc>
          <w:tcPr>
            <w:tcW w:w="851" w:type="dxa"/>
            <w:tcBorders>
              <w:top w:val="single" w:sz="4" w:space="0" w:color="auto"/>
              <w:bottom w:val="single" w:sz="4" w:space="0" w:color="auto"/>
            </w:tcBorders>
            <w:shd w:val="clear" w:color="auto" w:fill="auto"/>
            <w:noWrap/>
            <w:vAlign w:val="center"/>
            <w:hideMark/>
          </w:tcPr>
          <w:p w14:paraId="15B75678" w14:textId="77777777" w:rsidR="00F64ECB" w:rsidRPr="006E56E2" w:rsidRDefault="00F64ECB" w:rsidP="00F64ECB">
            <w:pPr>
              <w:rPr>
                <w:rFonts w:ascii="Calibri" w:eastAsia="Times New Roman" w:hAnsi="Calibri" w:cs="Calibri"/>
                <w:b/>
                <w:bCs/>
                <w:sz w:val="20"/>
                <w:szCs w:val="20"/>
                <w:lang w:val="es-CR" w:eastAsia="es-CR"/>
              </w:rPr>
            </w:pPr>
            <w:r w:rsidRPr="006E56E2">
              <w:rPr>
                <w:rFonts w:ascii="Calibri" w:eastAsia="Times New Roman" w:hAnsi="Calibri" w:cs="Calibri"/>
                <w:b/>
                <w:bCs/>
                <w:sz w:val="20"/>
                <w:szCs w:val="20"/>
                <w:lang w:val="es-CR" w:eastAsia="es-CR"/>
              </w:rPr>
              <w:t>Año</w:t>
            </w:r>
          </w:p>
        </w:tc>
        <w:tc>
          <w:tcPr>
            <w:tcW w:w="960" w:type="dxa"/>
            <w:tcBorders>
              <w:top w:val="single" w:sz="4" w:space="0" w:color="auto"/>
              <w:bottom w:val="single" w:sz="4" w:space="0" w:color="auto"/>
            </w:tcBorders>
            <w:shd w:val="clear" w:color="auto" w:fill="auto"/>
            <w:noWrap/>
            <w:vAlign w:val="bottom"/>
            <w:hideMark/>
          </w:tcPr>
          <w:p w14:paraId="357CFDEE" w14:textId="77777777" w:rsidR="00F64ECB" w:rsidRPr="006E56E2" w:rsidRDefault="00F64ECB" w:rsidP="00F64ECB">
            <w:pPr>
              <w:rPr>
                <w:rFonts w:ascii="Calibri" w:eastAsia="Times New Roman" w:hAnsi="Calibri" w:cs="Calibri"/>
                <w:sz w:val="20"/>
                <w:szCs w:val="20"/>
                <w:lang w:val="es-CR" w:eastAsia="es-CR"/>
              </w:rPr>
            </w:pPr>
            <w:r w:rsidRPr="00691A6B">
              <w:rPr>
                <w:rFonts w:eastAsia="Times New Roman" w:cstheme="minorHAnsi"/>
                <w:b/>
                <w:bCs/>
                <w:color w:val="000000"/>
                <w:sz w:val="20"/>
                <w:szCs w:val="20"/>
                <w:lang w:val="es-CR" w:eastAsia="es-CR"/>
              </w:rPr>
              <w:t xml:space="preserve">BCR Pensión </w:t>
            </w:r>
          </w:p>
        </w:tc>
        <w:tc>
          <w:tcPr>
            <w:tcW w:w="1078" w:type="dxa"/>
            <w:tcBorders>
              <w:top w:val="single" w:sz="4" w:space="0" w:color="auto"/>
              <w:bottom w:val="single" w:sz="4" w:space="0" w:color="auto"/>
            </w:tcBorders>
            <w:shd w:val="clear" w:color="auto" w:fill="auto"/>
            <w:noWrap/>
            <w:vAlign w:val="bottom"/>
            <w:hideMark/>
          </w:tcPr>
          <w:p w14:paraId="1726601E" w14:textId="77777777" w:rsidR="00F64ECB" w:rsidRPr="006E56E2" w:rsidRDefault="00F64ECB" w:rsidP="00F64ECB">
            <w:pPr>
              <w:rPr>
                <w:rFonts w:ascii="Calibri" w:eastAsia="Times New Roman" w:hAnsi="Calibri" w:cs="Calibri"/>
                <w:sz w:val="20"/>
                <w:szCs w:val="20"/>
                <w:lang w:val="es-CR" w:eastAsia="es-CR"/>
              </w:rPr>
            </w:pPr>
            <w:r w:rsidRPr="00691A6B">
              <w:rPr>
                <w:rFonts w:eastAsia="Times New Roman" w:cstheme="minorHAnsi"/>
                <w:b/>
                <w:bCs/>
                <w:color w:val="000000"/>
                <w:sz w:val="20"/>
                <w:szCs w:val="20"/>
                <w:lang w:val="es-CR" w:eastAsia="es-CR"/>
              </w:rPr>
              <w:t>BN Vital</w:t>
            </w:r>
          </w:p>
        </w:tc>
        <w:tc>
          <w:tcPr>
            <w:tcW w:w="1080" w:type="dxa"/>
            <w:tcBorders>
              <w:top w:val="single" w:sz="4" w:space="0" w:color="auto"/>
              <w:bottom w:val="single" w:sz="4" w:space="0" w:color="auto"/>
            </w:tcBorders>
            <w:shd w:val="clear" w:color="auto" w:fill="auto"/>
            <w:noWrap/>
            <w:vAlign w:val="bottom"/>
            <w:hideMark/>
          </w:tcPr>
          <w:p w14:paraId="36420B68" w14:textId="77777777" w:rsidR="00F64ECB" w:rsidRPr="006E56E2" w:rsidRDefault="00F64ECB" w:rsidP="00F64ECB">
            <w:pPr>
              <w:rPr>
                <w:rFonts w:ascii="Calibri" w:eastAsia="Times New Roman" w:hAnsi="Calibri" w:cs="Calibri"/>
                <w:sz w:val="20"/>
                <w:szCs w:val="20"/>
                <w:lang w:val="es-CR" w:eastAsia="es-CR"/>
              </w:rPr>
            </w:pPr>
            <w:r w:rsidRPr="00691A6B">
              <w:rPr>
                <w:rFonts w:eastAsia="Times New Roman" w:cstheme="minorHAnsi"/>
                <w:b/>
                <w:bCs/>
                <w:color w:val="000000"/>
                <w:sz w:val="20"/>
                <w:szCs w:val="20"/>
                <w:lang w:val="es-CR" w:eastAsia="es-CR"/>
              </w:rPr>
              <w:t>OPC CCSS</w:t>
            </w:r>
          </w:p>
        </w:tc>
        <w:tc>
          <w:tcPr>
            <w:tcW w:w="1276" w:type="dxa"/>
            <w:tcBorders>
              <w:top w:val="single" w:sz="4" w:space="0" w:color="auto"/>
              <w:bottom w:val="single" w:sz="4" w:space="0" w:color="auto"/>
            </w:tcBorders>
            <w:shd w:val="clear" w:color="auto" w:fill="auto"/>
            <w:noWrap/>
            <w:vAlign w:val="bottom"/>
            <w:hideMark/>
          </w:tcPr>
          <w:p w14:paraId="1EBC6A94" w14:textId="77777777" w:rsidR="00F64ECB" w:rsidRPr="006E56E2" w:rsidRDefault="00F64ECB" w:rsidP="00F64ECB">
            <w:pPr>
              <w:rPr>
                <w:rFonts w:ascii="Calibri" w:eastAsia="Times New Roman" w:hAnsi="Calibri" w:cs="Calibri"/>
                <w:sz w:val="20"/>
                <w:szCs w:val="20"/>
                <w:lang w:val="es-CR" w:eastAsia="es-CR"/>
              </w:rPr>
            </w:pPr>
            <w:r w:rsidRPr="00691A6B">
              <w:rPr>
                <w:rFonts w:eastAsia="Times New Roman" w:cstheme="minorHAnsi"/>
                <w:b/>
                <w:bCs/>
                <w:color w:val="000000"/>
                <w:sz w:val="20"/>
                <w:szCs w:val="20"/>
                <w:lang w:val="es-CR" w:eastAsia="es-CR"/>
              </w:rPr>
              <w:t>Popular Pensiones</w:t>
            </w:r>
          </w:p>
        </w:tc>
        <w:tc>
          <w:tcPr>
            <w:tcW w:w="1134" w:type="dxa"/>
            <w:tcBorders>
              <w:top w:val="single" w:sz="4" w:space="0" w:color="auto"/>
              <w:bottom w:val="single" w:sz="4" w:space="0" w:color="auto"/>
            </w:tcBorders>
            <w:shd w:val="clear" w:color="auto" w:fill="auto"/>
            <w:noWrap/>
            <w:vAlign w:val="bottom"/>
            <w:hideMark/>
          </w:tcPr>
          <w:p w14:paraId="3D51626B" w14:textId="77777777" w:rsidR="00F64ECB" w:rsidRPr="006E56E2" w:rsidRDefault="00F64ECB" w:rsidP="00F64ECB">
            <w:pPr>
              <w:rPr>
                <w:rFonts w:ascii="Calibri" w:eastAsia="Times New Roman" w:hAnsi="Calibri" w:cs="Calibri"/>
                <w:sz w:val="20"/>
                <w:szCs w:val="20"/>
                <w:lang w:val="es-CR" w:eastAsia="es-CR"/>
              </w:rPr>
            </w:pPr>
            <w:r w:rsidRPr="00691A6B">
              <w:rPr>
                <w:rFonts w:eastAsia="Times New Roman" w:cstheme="minorHAnsi"/>
                <w:b/>
                <w:bCs/>
                <w:color w:val="000000"/>
                <w:sz w:val="20"/>
                <w:szCs w:val="20"/>
                <w:lang w:val="es-CR" w:eastAsia="es-CR"/>
              </w:rPr>
              <w:t>BAC Pensiones</w:t>
            </w:r>
          </w:p>
        </w:tc>
        <w:tc>
          <w:tcPr>
            <w:tcW w:w="1134" w:type="dxa"/>
            <w:tcBorders>
              <w:top w:val="single" w:sz="4" w:space="0" w:color="auto"/>
              <w:bottom w:val="single" w:sz="4" w:space="0" w:color="auto"/>
            </w:tcBorders>
            <w:shd w:val="clear" w:color="auto" w:fill="auto"/>
            <w:noWrap/>
            <w:vAlign w:val="bottom"/>
            <w:hideMark/>
          </w:tcPr>
          <w:p w14:paraId="7639749D" w14:textId="77777777" w:rsidR="00F64ECB" w:rsidRPr="006E56E2" w:rsidRDefault="00F64ECB" w:rsidP="00F64ECB">
            <w:pPr>
              <w:rPr>
                <w:rFonts w:ascii="Calibri" w:eastAsia="Times New Roman" w:hAnsi="Calibri" w:cs="Calibri"/>
                <w:sz w:val="20"/>
                <w:szCs w:val="20"/>
                <w:lang w:val="es-CR" w:eastAsia="es-CR"/>
              </w:rPr>
            </w:pPr>
            <w:r w:rsidRPr="00691A6B">
              <w:rPr>
                <w:rFonts w:eastAsia="Times New Roman" w:cstheme="minorHAnsi"/>
                <w:b/>
                <w:bCs/>
                <w:color w:val="000000"/>
                <w:sz w:val="20"/>
                <w:szCs w:val="20"/>
                <w:lang w:val="es-CR" w:eastAsia="es-CR"/>
              </w:rPr>
              <w:t>Vida Plena</w:t>
            </w:r>
          </w:p>
        </w:tc>
      </w:tr>
      <w:tr w:rsidR="0001207D" w:rsidRPr="0001207D" w14:paraId="70943769" w14:textId="77777777" w:rsidTr="009A21D8">
        <w:trPr>
          <w:trHeight w:val="57"/>
          <w:jc w:val="center"/>
        </w:trPr>
        <w:tc>
          <w:tcPr>
            <w:tcW w:w="851" w:type="dxa"/>
            <w:tcBorders>
              <w:top w:val="single" w:sz="4" w:space="0" w:color="auto"/>
            </w:tcBorders>
            <w:shd w:val="clear" w:color="auto" w:fill="auto"/>
            <w:noWrap/>
            <w:vAlign w:val="center"/>
            <w:hideMark/>
          </w:tcPr>
          <w:p w14:paraId="2E1F29BB" w14:textId="77777777" w:rsidR="00064059" w:rsidRPr="006E56E2" w:rsidRDefault="00064059" w:rsidP="00A46A72">
            <w:pPr>
              <w:jc w:val="center"/>
              <w:rPr>
                <w:rFonts w:ascii="Calibri" w:eastAsia="Times New Roman" w:hAnsi="Calibri" w:cs="Calibri"/>
                <w:b/>
                <w:bCs/>
                <w:sz w:val="20"/>
                <w:szCs w:val="20"/>
                <w:lang w:val="es-CR" w:eastAsia="es-CR"/>
              </w:rPr>
            </w:pPr>
            <w:r w:rsidRPr="006E56E2">
              <w:rPr>
                <w:rFonts w:ascii="Calibri" w:eastAsia="Times New Roman" w:hAnsi="Calibri" w:cs="Calibri"/>
                <w:b/>
                <w:bCs/>
                <w:sz w:val="20"/>
                <w:szCs w:val="20"/>
                <w:lang w:val="es-CR" w:eastAsia="es-CR"/>
              </w:rPr>
              <w:t>2018</w:t>
            </w:r>
          </w:p>
        </w:tc>
        <w:tc>
          <w:tcPr>
            <w:tcW w:w="960" w:type="dxa"/>
            <w:tcBorders>
              <w:top w:val="single" w:sz="4" w:space="0" w:color="auto"/>
            </w:tcBorders>
            <w:shd w:val="clear" w:color="auto" w:fill="auto"/>
            <w:noWrap/>
            <w:hideMark/>
          </w:tcPr>
          <w:p w14:paraId="7C90C4FE"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46,8%</w:t>
            </w:r>
          </w:p>
        </w:tc>
        <w:tc>
          <w:tcPr>
            <w:tcW w:w="1078" w:type="dxa"/>
            <w:tcBorders>
              <w:top w:val="single" w:sz="4" w:space="0" w:color="auto"/>
            </w:tcBorders>
            <w:shd w:val="clear" w:color="auto" w:fill="auto"/>
            <w:noWrap/>
            <w:hideMark/>
          </w:tcPr>
          <w:p w14:paraId="58E25136"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42,4%</w:t>
            </w:r>
          </w:p>
        </w:tc>
        <w:tc>
          <w:tcPr>
            <w:tcW w:w="1080" w:type="dxa"/>
            <w:tcBorders>
              <w:top w:val="single" w:sz="4" w:space="0" w:color="auto"/>
            </w:tcBorders>
            <w:shd w:val="clear" w:color="auto" w:fill="auto"/>
            <w:noWrap/>
            <w:hideMark/>
          </w:tcPr>
          <w:p w14:paraId="7D527814"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12,7%</w:t>
            </w:r>
          </w:p>
        </w:tc>
        <w:tc>
          <w:tcPr>
            <w:tcW w:w="1276" w:type="dxa"/>
            <w:tcBorders>
              <w:top w:val="single" w:sz="4" w:space="0" w:color="auto"/>
            </w:tcBorders>
            <w:shd w:val="clear" w:color="auto" w:fill="auto"/>
            <w:noWrap/>
            <w:hideMark/>
          </w:tcPr>
          <w:p w14:paraId="5FD593F2"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37,4%</w:t>
            </w:r>
          </w:p>
        </w:tc>
        <w:tc>
          <w:tcPr>
            <w:tcW w:w="1134" w:type="dxa"/>
            <w:tcBorders>
              <w:top w:val="single" w:sz="4" w:space="0" w:color="auto"/>
            </w:tcBorders>
            <w:shd w:val="clear" w:color="auto" w:fill="auto"/>
            <w:noWrap/>
            <w:hideMark/>
          </w:tcPr>
          <w:p w14:paraId="1F998E59"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19,5%</w:t>
            </w:r>
          </w:p>
        </w:tc>
        <w:tc>
          <w:tcPr>
            <w:tcW w:w="1134" w:type="dxa"/>
            <w:tcBorders>
              <w:top w:val="single" w:sz="4" w:space="0" w:color="auto"/>
            </w:tcBorders>
            <w:shd w:val="clear" w:color="auto" w:fill="auto"/>
            <w:noWrap/>
            <w:hideMark/>
          </w:tcPr>
          <w:p w14:paraId="60F6A13B"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16,0%</w:t>
            </w:r>
          </w:p>
        </w:tc>
      </w:tr>
      <w:tr w:rsidR="0001207D" w:rsidRPr="0001207D" w14:paraId="29F9BD07" w14:textId="77777777" w:rsidTr="009A21D8">
        <w:trPr>
          <w:trHeight w:val="187"/>
          <w:jc w:val="center"/>
        </w:trPr>
        <w:tc>
          <w:tcPr>
            <w:tcW w:w="851" w:type="dxa"/>
            <w:shd w:val="clear" w:color="auto" w:fill="auto"/>
            <w:noWrap/>
            <w:vAlign w:val="center"/>
            <w:hideMark/>
          </w:tcPr>
          <w:p w14:paraId="011EB554" w14:textId="77777777" w:rsidR="00064059" w:rsidRPr="006E56E2" w:rsidRDefault="00064059" w:rsidP="00A46A72">
            <w:pPr>
              <w:jc w:val="center"/>
              <w:rPr>
                <w:rFonts w:ascii="Calibri" w:eastAsia="Times New Roman" w:hAnsi="Calibri" w:cs="Calibri"/>
                <w:b/>
                <w:bCs/>
                <w:sz w:val="20"/>
                <w:szCs w:val="20"/>
                <w:lang w:val="es-CR" w:eastAsia="es-CR"/>
              </w:rPr>
            </w:pPr>
            <w:r w:rsidRPr="006E56E2">
              <w:rPr>
                <w:rFonts w:ascii="Calibri" w:eastAsia="Times New Roman" w:hAnsi="Calibri" w:cs="Calibri"/>
                <w:b/>
                <w:bCs/>
                <w:sz w:val="20"/>
                <w:szCs w:val="20"/>
                <w:lang w:val="es-CR" w:eastAsia="es-CR"/>
              </w:rPr>
              <w:t>2019</w:t>
            </w:r>
          </w:p>
        </w:tc>
        <w:tc>
          <w:tcPr>
            <w:tcW w:w="960" w:type="dxa"/>
            <w:shd w:val="clear" w:color="auto" w:fill="auto"/>
            <w:noWrap/>
            <w:hideMark/>
          </w:tcPr>
          <w:p w14:paraId="121F0680"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51,1%</w:t>
            </w:r>
          </w:p>
        </w:tc>
        <w:tc>
          <w:tcPr>
            <w:tcW w:w="1078" w:type="dxa"/>
            <w:shd w:val="clear" w:color="auto" w:fill="auto"/>
            <w:noWrap/>
            <w:hideMark/>
          </w:tcPr>
          <w:p w14:paraId="4B490BB5"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50,5%</w:t>
            </w:r>
          </w:p>
        </w:tc>
        <w:tc>
          <w:tcPr>
            <w:tcW w:w="1080" w:type="dxa"/>
            <w:shd w:val="clear" w:color="auto" w:fill="auto"/>
            <w:noWrap/>
            <w:hideMark/>
          </w:tcPr>
          <w:p w14:paraId="4C52EE5D"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9,4%</w:t>
            </w:r>
          </w:p>
        </w:tc>
        <w:tc>
          <w:tcPr>
            <w:tcW w:w="1276" w:type="dxa"/>
            <w:shd w:val="clear" w:color="auto" w:fill="auto"/>
            <w:noWrap/>
            <w:hideMark/>
          </w:tcPr>
          <w:p w14:paraId="248F5295"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46,5%</w:t>
            </w:r>
          </w:p>
        </w:tc>
        <w:tc>
          <w:tcPr>
            <w:tcW w:w="1134" w:type="dxa"/>
            <w:shd w:val="clear" w:color="auto" w:fill="auto"/>
            <w:noWrap/>
            <w:hideMark/>
          </w:tcPr>
          <w:p w14:paraId="295FEE14"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14,1%</w:t>
            </w:r>
          </w:p>
        </w:tc>
        <w:tc>
          <w:tcPr>
            <w:tcW w:w="1134" w:type="dxa"/>
            <w:shd w:val="clear" w:color="auto" w:fill="auto"/>
            <w:noWrap/>
            <w:hideMark/>
          </w:tcPr>
          <w:p w14:paraId="603D47D6"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10,6%</w:t>
            </w:r>
          </w:p>
        </w:tc>
      </w:tr>
      <w:tr w:rsidR="0001207D" w:rsidRPr="0001207D" w14:paraId="028CC5A8" w14:textId="77777777" w:rsidTr="009A21D8">
        <w:trPr>
          <w:trHeight w:val="187"/>
          <w:jc w:val="center"/>
        </w:trPr>
        <w:tc>
          <w:tcPr>
            <w:tcW w:w="851" w:type="dxa"/>
            <w:shd w:val="clear" w:color="auto" w:fill="auto"/>
            <w:noWrap/>
            <w:vAlign w:val="center"/>
            <w:hideMark/>
          </w:tcPr>
          <w:p w14:paraId="6CD578AD" w14:textId="77777777" w:rsidR="00064059" w:rsidRPr="006E56E2" w:rsidRDefault="00064059" w:rsidP="00A46A72">
            <w:pPr>
              <w:jc w:val="center"/>
              <w:rPr>
                <w:rFonts w:ascii="Calibri" w:eastAsia="Times New Roman" w:hAnsi="Calibri" w:cs="Calibri"/>
                <w:b/>
                <w:bCs/>
                <w:sz w:val="20"/>
                <w:szCs w:val="20"/>
                <w:lang w:val="es-CR" w:eastAsia="es-CR"/>
              </w:rPr>
            </w:pPr>
            <w:r w:rsidRPr="006E56E2">
              <w:rPr>
                <w:rFonts w:ascii="Calibri" w:eastAsia="Times New Roman" w:hAnsi="Calibri" w:cs="Calibri"/>
                <w:b/>
                <w:bCs/>
                <w:sz w:val="20"/>
                <w:szCs w:val="20"/>
                <w:lang w:val="es-CR" w:eastAsia="es-CR"/>
              </w:rPr>
              <w:t>2020</w:t>
            </w:r>
          </w:p>
        </w:tc>
        <w:tc>
          <w:tcPr>
            <w:tcW w:w="960" w:type="dxa"/>
            <w:shd w:val="clear" w:color="auto" w:fill="auto"/>
            <w:noWrap/>
            <w:hideMark/>
          </w:tcPr>
          <w:p w14:paraId="54837B75"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45,0%</w:t>
            </w:r>
          </w:p>
        </w:tc>
        <w:tc>
          <w:tcPr>
            <w:tcW w:w="1078" w:type="dxa"/>
            <w:shd w:val="clear" w:color="auto" w:fill="auto"/>
            <w:noWrap/>
            <w:hideMark/>
          </w:tcPr>
          <w:p w14:paraId="53242606"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41,6%</w:t>
            </w:r>
          </w:p>
        </w:tc>
        <w:tc>
          <w:tcPr>
            <w:tcW w:w="1080" w:type="dxa"/>
            <w:shd w:val="clear" w:color="auto" w:fill="auto"/>
            <w:noWrap/>
            <w:hideMark/>
          </w:tcPr>
          <w:p w14:paraId="2CD38AF3"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3,7%</w:t>
            </w:r>
          </w:p>
        </w:tc>
        <w:tc>
          <w:tcPr>
            <w:tcW w:w="1276" w:type="dxa"/>
            <w:shd w:val="clear" w:color="auto" w:fill="auto"/>
            <w:noWrap/>
            <w:hideMark/>
          </w:tcPr>
          <w:p w14:paraId="4A864CCA"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30,6%</w:t>
            </w:r>
          </w:p>
        </w:tc>
        <w:tc>
          <w:tcPr>
            <w:tcW w:w="1134" w:type="dxa"/>
            <w:shd w:val="clear" w:color="auto" w:fill="auto"/>
            <w:noWrap/>
            <w:hideMark/>
          </w:tcPr>
          <w:p w14:paraId="1D3CCA49"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18,1%</w:t>
            </w:r>
          </w:p>
        </w:tc>
        <w:tc>
          <w:tcPr>
            <w:tcW w:w="1134" w:type="dxa"/>
            <w:shd w:val="clear" w:color="auto" w:fill="auto"/>
            <w:noWrap/>
            <w:hideMark/>
          </w:tcPr>
          <w:p w14:paraId="40291162" w14:textId="77777777" w:rsidR="00064059" w:rsidRPr="006E56E2" w:rsidRDefault="00064059" w:rsidP="00A46A72">
            <w:pPr>
              <w:jc w:val="center"/>
              <w:rPr>
                <w:rFonts w:ascii="Calibri" w:eastAsia="Times New Roman" w:hAnsi="Calibri" w:cs="Calibri"/>
                <w:sz w:val="20"/>
                <w:szCs w:val="20"/>
                <w:lang w:val="es-CR" w:eastAsia="es-CR"/>
              </w:rPr>
            </w:pPr>
            <w:r w:rsidRPr="006E56E2">
              <w:rPr>
                <w:sz w:val="20"/>
                <w:szCs w:val="20"/>
              </w:rPr>
              <w:t>4,9%</w:t>
            </w:r>
          </w:p>
        </w:tc>
      </w:tr>
      <w:tr w:rsidR="008234F4" w:rsidRPr="0001207D" w14:paraId="52156900" w14:textId="77777777" w:rsidTr="002E309B">
        <w:trPr>
          <w:trHeight w:val="187"/>
          <w:jc w:val="center"/>
        </w:trPr>
        <w:tc>
          <w:tcPr>
            <w:tcW w:w="851" w:type="dxa"/>
            <w:tcBorders>
              <w:bottom w:val="single" w:sz="4" w:space="0" w:color="auto"/>
            </w:tcBorders>
            <w:shd w:val="clear" w:color="auto" w:fill="auto"/>
            <w:noWrap/>
            <w:vAlign w:val="center"/>
            <w:hideMark/>
          </w:tcPr>
          <w:p w14:paraId="6D876478" w14:textId="77777777" w:rsidR="008234F4" w:rsidRPr="006E56E2" w:rsidRDefault="008234F4" w:rsidP="008234F4">
            <w:pPr>
              <w:jc w:val="center"/>
              <w:rPr>
                <w:rFonts w:ascii="Calibri" w:eastAsia="Times New Roman" w:hAnsi="Calibri" w:cs="Calibri"/>
                <w:b/>
                <w:bCs/>
                <w:sz w:val="20"/>
                <w:szCs w:val="20"/>
                <w:lang w:val="es-CR" w:eastAsia="es-CR"/>
              </w:rPr>
            </w:pPr>
            <w:r w:rsidRPr="006E56E2">
              <w:rPr>
                <w:rFonts w:ascii="Calibri" w:eastAsia="Times New Roman" w:hAnsi="Calibri" w:cs="Calibri"/>
                <w:b/>
                <w:bCs/>
                <w:sz w:val="20"/>
                <w:szCs w:val="20"/>
                <w:lang w:val="es-CR" w:eastAsia="es-CR"/>
              </w:rPr>
              <w:t>2021</w:t>
            </w:r>
            <w:r w:rsidRPr="006E56E2">
              <w:rPr>
                <w:rFonts w:ascii="Calibri" w:eastAsia="Times New Roman" w:hAnsi="Calibri" w:cs="Calibri"/>
                <w:b/>
                <w:bCs/>
                <w:sz w:val="20"/>
                <w:szCs w:val="20"/>
                <w:vertAlign w:val="superscript"/>
                <w:lang w:val="es-CR" w:eastAsia="es-CR"/>
              </w:rPr>
              <w:t>1/</w:t>
            </w:r>
          </w:p>
        </w:tc>
        <w:tc>
          <w:tcPr>
            <w:tcW w:w="960" w:type="dxa"/>
            <w:tcBorders>
              <w:bottom w:val="single" w:sz="4" w:space="0" w:color="auto"/>
            </w:tcBorders>
            <w:shd w:val="clear" w:color="auto" w:fill="auto"/>
            <w:noWrap/>
            <w:hideMark/>
          </w:tcPr>
          <w:p w14:paraId="7E263066" w14:textId="77777777" w:rsidR="008234F4" w:rsidRPr="008234F4" w:rsidRDefault="008234F4" w:rsidP="008234F4">
            <w:pPr>
              <w:jc w:val="center"/>
              <w:rPr>
                <w:sz w:val="20"/>
                <w:szCs w:val="20"/>
              </w:rPr>
            </w:pPr>
            <w:r w:rsidRPr="008234F4">
              <w:rPr>
                <w:sz w:val="20"/>
                <w:szCs w:val="20"/>
              </w:rPr>
              <w:t>49,4%</w:t>
            </w:r>
          </w:p>
        </w:tc>
        <w:tc>
          <w:tcPr>
            <w:tcW w:w="1078" w:type="dxa"/>
            <w:tcBorders>
              <w:bottom w:val="single" w:sz="4" w:space="0" w:color="auto"/>
            </w:tcBorders>
            <w:shd w:val="clear" w:color="auto" w:fill="auto"/>
            <w:noWrap/>
            <w:hideMark/>
          </w:tcPr>
          <w:p w14:paraId="1A1BC40D" w14:textId="77777777" w:rsidR="008234F4" w:rsidRPr="008234F4" w:rsidRDefault="008234F4" w:rsidP="008234F4">
            <w:pPr>
              <w:jc w:val="center"/>
              <w:rPr>
                <w:sz w:val="20"/>
                <w:szCs w:val="20"/>
              </w:rPr>
            </w:pPr>
            <w:r w:rsidRPr="008234F4">
              <w:rPr>
                <w:sz w:val="20"/>
                <w:szCs w:val="20"/>
              </w:rPr>
              <w:t>42,0%</w:t>
            </w:r>
          </w:p>
        </w:tc>
        <w:tc>
          <w:tcPr>
            <w:tcW w:w="1080" w:type="dxa"/>
            <w:tcBorders>
              <w:bottom w:val="single" w:sz="4" w:space="0" w:color="auto"/>
            </w:tcBorders>
            <w:shd w:val="clear" w:color="auto" w:fill="auto"/>
            <w:noWrap/>
            <w:hideMark/>
          </w:tcPr>
          <w:p w14:paraId="363CD81A" w14:textId="77777777" w:rsidR="008234F4" w:rsidRPr="008234F4" w:rsidRDefault="008234F4" w:rsidP="008234F4">
            <w:pPr>
              <w:jc w:val="center"/>
              <w:rPr>
                <w:sz w:val="20"/>
                <w:szCs w:val="20"/>
              </w:rPr>
            </w:pPr>
            <w:r w:rsidRPr="008234F4">
              <w:rPr>
                <w:sz w:val="20"/>
                <w:szCs w:val="20"/>
              </w:rPr>
              <w:t>15,3%</w:t>
            </w:r>
          </w:p>
        </w:tc>
        <w:tc>
          <w:tcPr>
            <w:tcW w:w="1276" w:type="dxa"/>
            <w:tcBorders>
              <w:bottom w:val="single" w:sz="4" w:space="0" w:color="auto"/>
            </w:tcBorders>
            <w:shd w:val="clear" w:color="auto" w:fill="auto"/>
            <w:noWrap/>
            <w:hideMark/>
          </w:tcPr>
          <w:p w14:paraId="573B2BD2" w14:textId="77777777" w:rsidR="008234F4" w:rsidRPr="008234F4" w:rsidRDefault="008234F4" w:rsidP="008234F4">
            <w:pPr>
              <w:jc w:val="center"/>
              <w:rPr>
                <w:sz w:val="20"/>
                <w:szCs w:val="20"/>
              </w:rPr>
            </w:pPr>
            <w:r w:rsidRPr="008234F4">
              <w:rPr>
                <w:sz w:val="20"/>
                <w:szCs w:val="20"/>
              </w:rPr>
              <w:t>26,2%</w:t>
            </w:r>
          </w:p>
        </w:tc>
        <w:tc>
          <w:tcPr>
            <w:tcW w:w="1134" w:type="dxa"/>
            <w:tcBorders>
              <w:bottom w:val="single" w:sz="4" w:space="0" w:color="auto"/>
            </w:tcBorders>
            <w:shd w:val="clear" w:color="auto" w:fill="auto"/>
            <w:noWrap/>
            <w:hideMark/>
          </w:tcPr>
          <w:p w14:paraId="140CF0FB" w14:textId="77777777" w:rsidR="008234F4" w:rsidRPr="008234F4" w:rsidRDefault="008234F4" w:rsidP="008234F4">
            <w:pPr>
              <w:jc w:val="center"/>
              <w:rPr>
                <w:sz w:val="20"/>
                <w:szCs w:val="20"/>
              </w:rPr>
            </w:pPr>
            <w:r w:rsidRPr="008234F4">
              <w:rPr>
                <w:sz w:val="20"/>
                <w:szCs w:val="20"/>
              </w:rPr>
              <w:t>20,2%</w:t>
            </w:r>
          </w:p>
        </w:tc>
        <w:tc>
          <w:tcPr>
            <w:tcW w:w="1134" w:type="dxa"/>
            <w:tcBorders>
              <w:bottom w:val="single" w:sz="4" w:space="0" w:color="auto"/>
            </w:tcBorders>
            <w:shd w:val="clear" w:color="auto" w:fill="auto"/>
            <w:noWrap/>
            <w:hideMark/>
          </w:tcPr>
          <w:p w14:paraId="4F8590EB" w14:textId="77777777" w:rsidR="008234F4" w:rsidRPr="008234F4" w:rsidRDefault="008234F4" w:rsidP="008234F4">
            <w:pPr>
              <w:jc w:val="center"/>
              <w:rPr>
                <w:sz w:val="20"/>
                <w:szCs w:val="20"/>
              </w:rPr>
            </w:pPr>
            <w:r w:rsidRPr="008234F4">
              <w:rPr>
                <w:sz w:val="20"/>
                <w:szCs w:val="20"/>
              </w:rPr>
              <w:t>8,5%</w:t>
            </w:r>
          </w:p>
        </w:tc>
      </w:tr>
    </w:tbl>
    <w:p w14:paraId="1A6A18D7" w14:textId="77777777" w:rsidR="00270676" w:rsidRPr="009A21D8" w:rsidRDefault="00270676" w:rsidP="00270676">
      <w:pPr>
        <w:pStyle w:val="Descripcin"/>
        <w:spacing w:after="0"/>
        <w:rPr>
          <w:b/>
          <w:bCs/>
          <w:i w:val="0"/>
          <w:iCs w:val="0"/>
          <w:color w:val="auto"/>
        </w:rPr>
      </w:pPr>
      <w:r w:rsidRPr="009A21D8">
        <w:rPr>
          <w:b/>
          <w:bCs/>
          <w:i w:val="0"/>
          <w:iCs w:val="0"/>
          <w:color w:val="auto"/>
        </w:rPr>
        <w:t xml:space="preserve">1/ Datos acumulados a </w:t>
      </w:r>
      <w:r w:rsidR="0054296B">
        <w:rPr>
          <w:b/>
          <w:bCs/>
          <w:i w:val="0"/>
          <w:iCs w:val="0"/>
          <w:color w:val="auto"/>
        </w:rPr>
        <w:t>diciembre de</w:t>
      </w:r>
      <w:r w:rsidRPr="009A21D8">
        <w:rPr>
          <w:b/>
          <w:bCs/>
          <w:i w:val="0"/>
          <w:iCs w:val="0"/>
          <w:color w:val="auto"/>
        </w:rPr>
        <w:t xml:space="preserve"> 2021.</w:t>
      </w:r>
    </w:p>
    <w:p w14:paraId="7347C2E6" w14:textId="77777777" w:rsidR="00F304E3" w:rsidRPr="009A21D8" w:rsidRDefault="00270676" w:rsidP="00270676">
      <w:pPr>
        <w:spacing w:after="200" w:line="276" w:lineRule="auto"/>
        <w:jc w:val="both"/>
        <w:rPr>
          <w:rFonts w:cstheme="minorHAnsi"/>
          <w:sz w:val="20"/>
          <w:szCs w:val="20"/>
        </w:rPr>
      </w:pPr>
      <w:r w:rsidRPr="009A21D8">
        <w:rPr>
          <w:b/>
          <w:bCs/>
          <w:sz w:val="18"/>
          <w:szCs w:val="18"/>
        </w:rPr>
        <w:t>Fuente: Elaboración propia.</w:t>
      </w:r>
    </w:p>
    <w:p w14:paraId="230CE6BF" w14:textId="77777777" w:rsidR="00F266B1" w:rsidRDefault="00F266B1" w:rsidP="009A21D8">
      <w:pPr>
        <w:spacing w:after="200" w:line="276" w:lineRule="auto"/>
        <w:jc w:val="both"/>
        <w:rPr>
          <w:rFonts w:cstheme="minorHAnsi"/>
          <w:b/>
          <w:bCs/>
          <w:sz w:val="24"/>
          <w:szCs w:val="24"/>
        </w:rPr>
      </w:pPr>
    </w:p>
    <w:p w14:paraId="40FCE429" w14:textId="77777777" w:rsidR="007D6EDC" w:rsidRDefault="007D6EDC">
      <w:pPr>
        <w:spacing w:after="200" w:line="276" w:lineRule="auto"/>
        <w:rPr>
          <w:rFonts w:asciiTheme="majorHAnsi" w:eastAsiaTheme="majorEastAsia" w:hAnsiTheme="majorHAnsi" w:cstheme="majorBidi"/>
          <w:color w:val="365F91" w:themeColor="accent1" w:themeShade="BF"/>
          <w:sz w:val="36"/>
          <w:szCs w:val="36"/>
        </w:rPr>
      </w:pPr>
      <w:r>
        <w:br w:type="page"/>
      </w:r>
    </w:p>
    <w:p w14:paraId="5042A00F" w14:textId="77777777" w:rsidR="003A671B" w:rsidRDefault="00F944CB" w:rsidP="00D97917">
      <w:pPr>
        <w:pStyle w:val="Ttulo1"/>
        <w:rPr>
          <w:lang w:val="es-CR"/>
        </w:rPr>
      </w:pPr>
      <w:bookmarkStart w:id="15" w:name="_Toc96614865"/>
      <w:r>
        <w:rPr>
          <w:lang w:val="es-CR"/>
        </w:rPr>
        <w:lastRenderedPageBreak/>
        <w:t>Abreviaturas</w:t>
      </w:r>
      <w:bookmarkEnd w:id="15"/>
    </w:p>
    <w:p w14:paraId="27034B93" w14:textId="77777777" w:rsidR="00F944CB" w:rsidRPr="00453EB6" w:rsidRDefault="00F944CB" w:rsidP="003A671B">
      <w:pPr>
        <w:rPr>
          <w:rFonts w:ascii="Times New Roman" w:hAnsi="Times New Roman" w:cs="Times New Roman"/>
          <w:sz w:val="24"/>
          <w:lang w:val="es-CR"/>
        </w:rPr>
      </w:pPr>
    </w:p>
    <w:p w14:paraId="4476FE00" w14:textId="77777777" w:rsidR="005B30C0" w:rsidRPr="00966E1F" w:rsidRDefault="005B30C0" w:rsidP="003A671B">
      <w:pPr>
        <w:rPr>
          <w:rFonts w:cs="Times New Roman"/>
          <w:lang w:val="es-CR"/>
        </w:rPr>
      </w:pPr>
      <w:r w:rsidRPr="00966E1F">
        <w:rPr>
          <w:rFonts w:cs="Times New Roman"/>
          <w:lang w:val="es-CR"/>
        </w:rPr>
        <w:t>BNCR: Banco Nacional de Costa Rica</w:t>
      </w:r>
    </w:p>
    <w:p w14:paraId="23FB174D" w14:textId="77777777" w:rsidR="00C97709" w:rsidRPr="00966E1F" w:rsidRDefault="00C97709" w:rsidP="00C97709">
      <w:pPr>
        <w:rPr>
          <w:rFonts w:cs="Times New Roman"/>
          <w:lang w:val="es-CR"/>
        </w:rPr>
      </w:pPr>
      <w:r w:rsidRPr="00966E1F">
        <w:rPr>
          <w:rFonts w:cs="Times New Roman"/>
          <w:lang w:val="es-CR"/>
        </w:rPr>
        <w:t>FBCR: Fondo de Jubilaciones de los Empleados del Banco de Costa Rica</w:t>
      </w:r>
    </w:p>
    <w:p w14:paraId="72B99B85" w14:textId="77777777" w:rsidR="003A671B" w:rsidRPr="00966E1F" w:rsidRDefault="003A671B" w:rsidP="003A671B">
      <w:pPr>
        <w:rPr>
          <w:rFonts w:cs="Times New Roman"/>
          <w:lang w:val="es-CR"/>
        </w:rPr>
      </w:pPr>
      <w:r w:rsidRPr="00966E1F">
        <w:rPr>
          <w:rFonts w:cs="Times New Roman"/>
          <w:lang w:val="es-CR"/>
        </w:rPr>
        <w:t xml:space="preserve">FBNCR </w:t>
      </w:r>
      <w:r w:rsidR="00C528E8" w:rsidRPr="00966E1F">
        <w:rPr>
          <w:rFonts w:cs="Times New Roman"/>
          <w:lang w:val="es-CR"/>
        </w:rPr>
        <w:t>Fondo de Garantías y Jubilaciones del BNCR</w:t>
      </w:r>
    </w:p>
    <w:p w14:paraId="55902025" w14:textId="77777777" w:rsidR="003A671B" w:rsidRPr="00966E1F" w:rsidRDefault="003A671B" w:rsidP="003A671B">
      <w:pPr>
        <w:rPr>
          <w:rFonts w:cs="Times New Roman"/>
        </w:rPr>
      </w:pPr>
      <w:r w:rsidRPr="00966E1F">
        <w:rPr>
          <w:rFonts w:cs="Times New Roman"/>
        </w:rPr>
        <w:t>FBOMBEROS: Fondo de Pensiones del Benemérito Cuerpo de Bombero</w:t>
      </w:r>
    </w:p>
    <w:p w14:paraId="152E1BC3" w14:textId="77777777" w:rsidR="00A50FE6" w:rsidRPr="00966E1F" w:rsidRDefault="00A50FE6" w:rsidP="004250B7">
      <w:pPr>
        <w:jc w:val="both"/>
      </w:pPr>
      <w:r w:rsidRPr="00966E1F">
        <w:t xml:space="preserve">FCL: Fondo de Capitalización Laboral. </w:t>
      </w:r>
    </w:p>
    <w:p w14:paraId="24EBC608" w14:textId="77777777" w:rsidR="005B30C0" w:rsidRPr="00966E1F" w:rsidRDefault="003A671B" w:rsidP="003A671B">
      <w:pPr>
        <w:rPr>
          <w:rFonts w:cs="Times New Roman"/>
          <w:lang w:val="es-CR"/>
        </w:rPr>
      </w:pPr>
      <w:r w:rsidRPr="00966E1F">
        <w:rPr>
          <w:rFonts w:cs="Times New Roman"/>
          <w:lang w:val="es-CR"/>
        </w:rPr>
        <w:t xml:space="preserve">FICE: </w:t>
      </w:r>
      <w:r w:rsidR="005B30C0" w:rsidRPr="00966E1F">
        <w:rPr>
          <w:rFonts w:cs="Times New Roman"/>
          <w:lang w:val="es-CR"/>
        </w:rPr>
        <w:t>Fondo de Garantías y Jubilaciones del BNCR</w:t>
      </w:r>
    </w:p>
    <w:p w14:paraId="0418F19C" w14:textId="77777777" w:rsidR="00C97709" w:rsidRPr="00966E1F" w:rsidRDefault="00C97709" w:rsidP="00C97709">
      <w:pPr>
        <w:rPr>
          <w:rFonts w:cs="Times New Roman"/>
          <w:lang w:val="es-CR"/>
        </w:rPr>
      </w:pPr>
      <w:r w:rsidRPr="00966E1F">
        <w:rPr>
          <w:rFonts w:cs="Times New Roman"/>
          <w:lang w:val="es-CR"/>
        </w:rPr>
        <w:t>FICT: Fondo de Empleados del Instituto Costarricense de Turismo</w:t>
      </w:r>
    </w:p>
    <w:p w14:paraId="4BF992D6" w14:textId="77777777" w:rsidR="003A671B" w:rsidRPr="00966E1F" w:rsidRDefault="003A671B" w:rsidP="003A671B">
      <w:pPr>
        <w:rPr>
          <w:rFonts w:cs="Times New Roman"/>
        </w:rPr>
      </w:pPr>
      <w:r w:rsidRPr="00966E1F">
        <w:rPr>
          <w:rFonts w:cs="Times New Roman"/>
        </w:rPr>
        <w:t>FPJ: Fondo de Jubilaciones y Pensiones del Poder Judicial</w:t>
      </w:r>
    </w:p>
    <w:p w14:paraId="4082F92E" w14:textId="77777777" w:rsidR="00C97709" w:rsidRPr="00966E1F" w:rsidRDefault="00C97709" w:rsidP="00C97709">
      <w:pPr>
        <w:rPr>
          <w:rFonts w:cs="Times New Roman"/>
          <w:lang w:val="es-CR"/>
        </w:rPr>
      </w:pPr>
      <w:r w:rsidRPr="00966E1F">
        <w:rPr>
          <w:rFonts w:cs="Times New Roman"/>
          <w:lang w:val="es-CR"/>
        </w:rPr>
        <w:t>FRE: Fondo de Retiro de los Empleados de la Caja Costarricense de Seguro Social.</w:t>
      </w:r>
    </w:p>
    <w:p w14:paraId="7B9E2097" w14:textId="77777777" w:rsidR="00C97709" w:rsidRPr="00966E1F" w:rsidRDefault="00C97709" w:rsidP="00C97709">
      <w:pPr>
        <w:rPr>
          <w:rFonts w:cs="Times New Roman"/>
          <w:lang w:val="es-CR"/>
        </w:rPr>
      </w:pPr>
      <w:r w:rsidRPr="00966E1F">
        <w:rPr>
          <w:rFonts w:cs="Times New Roman"/>
          <w:lang w:val="es-CR"/>
        </w:rPr>
        <w:t>FVENTLOT: Fondo de Jubilaciones y Pensiones de los Vendedores de Lotería.</w:t>
      </w:r>
    </w:p>
    <w:p w14:paraId="7C553A9C" w14:textId="77777777" w:rsidR="00015663" w:rsidRPr="00966E1F" w:rsidRDefault="00015663" w:rsidP="00015663">
      <w:pPr>
        <w:jc w:val="both"/>
      </w:pPr>
      <w:r w:rsidRPr="00966E1F">
        <w:t>IVM: Régimen de Invalidez, Vejez y Muerte de la Caja Costarricense de Seguro Social.</w:t>
      </w:r>
    </w:p>
    <w:p w14:paraId="6CB67951" w14:textId="77777777" w:rsidR="00BB7031" w:rsidRPr="00966E1F" w:rsidRDefault="00BB7031" w:rsidP="003A671B">
      <w:pPr>
        <w:rPr>
          <w:rFonts w:cs="Times New Roman"/>
        </w:rPr>
      </w:pPr>
      <w:r w:rsidRPr="00966E1F">
        <w:rPr>
          <w:rFonts w:cs="Times New Roman"/>
        </w:rPr>
        <w:t>LTP: Ley de Protección al Trabajador.</w:t>
      </w:r>
    </w:p>
    <w:p w14:paraId="2F590200" w14:textId="77777777" w:rsidR="000D46DB" w:rsidRPr="00966E1F" w:rsidRDefault="000D46DB" w:rsidP="003A671B">
      <w:pPr>
        <w:rPr>
          <w:rFonts w:cs="Times New Roman"/>
        </w:rPr>
      </w:pPr>
      <w:r w:rsidRPr="00966E1F">
        <w:rPr>
          <w:rFonts w:cs="Times New Roman"/>
        </w:rPr>
        <w:t>OPC: Operadora de Pensiones Complementaria</w:t>
      </w:r>
      <w:r w:rsidR="00017958" w:rsidRPr="00966E1F">
        <w:rPr>
          <w:rFonts w:cs="Times New Roman"/>
        </w:rPr>
        <w:t xml:space="preserve"> u operadoras de pensiones complementarias.</w:t>
      </w:r>
    </w:p>
    <w:p w14:paraId="04AE914C" w14:textId="77777777" w:rsidR="00E4478C" w:rsidRPr="00966E1F" w:rsidRDefault="00E4478C" w:rsidP="003A671B">
      <w:pPr>
        <w:rPr>
          <w:rFonts w:cs="Times New Roman"/>
        </w:rPr>
      </w:pPr>
      <w:r w:rsidRPr="00966E1F">
        <w:rPr>
          <w:rFonts w:cs="Times New Roman"/>
        </w:rPr>
        <w:t>PIB: Producto Interno Bruto</w:t>
      </w:r>
    </w:p>
    <w:p w14:paraId="3808B52D" w14:textId="77777777" w:rsidR="003A671B" w:rsidRPr="00966E1F" w:rsidRDefault="003A671B" w:rsidP="003A671B">
      <w:pPr>
        <w:rPr>
          <w:rFonts w:cs="Times New Roman"/>
        </w:rPr>
      </w:pPr>
      <w:r w:rsidRPr="00966E1F">
        <w:rPr>
          <w:rFonts w:cs="Times New Roman"/>
        </w:rPr>
        <w:t>RCCMN: Régimen de Capitalización Colectiva del Magisterio Nacional.</w:t>
      </w:r>
    </w:p>
    <w:p w14:paraId="411B4B66" w14:textId="77777777" w:rsidR="004250B7" w:rsidRPr="00966E1F" w:rsidRDefault="00015663" w:rsidP="004250B7">
      <w:pPr>
        <w:jc w:val="both"/>
      </w:pPr>
      <w:r w:rsidRPr="00966E1F">
        <w:t>R</w:t>
      </w:r>
      <w:r w:rsidR="004250B7" w:rsidRPr="00966E1F">
        <w:t>IVM: Régimen de Invalidez, Vejez y Muerte de la Caja Costarricense de Seguro Social.</w:t>
      </w:r>
    </w:p>
    <w:p w14:paraId="4F286FE8" w14:textId="77777777" w:rsidR="004250B7" w:rsidRPr="00966E1F" w:rsidRDefault="00B51E0B" w:rsidP="004250B7">
      <w:pPr>
        <w:jc w:val="both"/>
      </w:pPr>
      <w:r w:rsidRPr="00966E1F">
        <w:t>SNP: Sistema Nacional de Pensiones.</w:t>
      </w:r>
    </w:p>
    <w:p w14:paraId="5D59E7AE" w14:textId="77777777" w:rsidR="00E271BE" w:rsidRPr="00966E1F" w:rsidRDefault="00E271BE" w:rsidP="004250B7">
      <w:pPr>
        <w:jc w:val="both"/>
      </w:pPr>
      <w:r w:rsidRPr="00966E1F">
        <w:t>SUPEN: Superintendencia de Pensiones.</w:t>
      </w:r>
    </w:p>
    <w:p w14:paraId="5D19D43A" w14:textId="77777777" w:rsidR="00C97709" w:rsidRDefault="00C97709">
      <w:pPr>
        <w:rPr>
          <w:rFonts w:ascii="Times New Roman" w:hAnsi="Times New Roman" w:cs="Times New Roman"/>
          <w:sz w:val="24"/>
          <w:lang w:val="es-CR"/>
        </w:rPr>
      </w:pPr>
    </w:p>
    <w:p w14:paraId="42EFA2FE" w14:textId="77777777" w:rsidR="002D18E9" w:rsidRPr="00C97709" w:rsidRDefault="002D18E9">
      <w:pPr>
        <w:rPr>
          <w:rFonts w:ascii="Times New Roman" w:hAnsi="Times New Roman" w:cs="Times New Roman"/>
          <w:sz w:val="24"/>
          <w:lang w:val="es-CR"/>
        </w:rPr>
      </w:pPr>
    </w:p>
    <w:sectPr w:rsidR="002D18E9" w:rsidRPr="00C97709" w:rsidSect="00C85BB5">
      <w:headerReference w:type="default" r:id="rId24"/>
      <w:footerReference w:type="default" r:id="rId25"/>
      <w:pgSz w:w="12240" w:h="15840"/>
      <w:pgMar w:top="1417" w:right="1325"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965106" w14:textId="77777777" w:rsidR="009B470B" w:rsidRDefault="009B470B" w:rsidP="00907FB5">
      <w:r>
        <w:separator/>
      </w:r>
    </w:p>
  </w:endnote>
  <w:endnote w:type="continuationSeparator" w:id="0">
    <w:p w14:paraId="075BDF1D" w14:textId="77777777" w:rsidR="009B470B" w:rsidRDefault="009B470B" w:rsidP="00907FB5">
      <w:r>
        <w:continuationSeparator/>
      </w:r>
    </w:p>
  </w:endnote>
  <w:endnote w:type="continuationNotice" w:id="1">
    <w:p w14:paraId="711F968A" w14:textId="77777777" w:rsidR="009B470B" w:rsidRDefault="009B47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55112" w14:textId="77777777" w:rsidR="00F721B1" w:rsidRDefault="00F721B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5A3A1" w14:textId="77777777" w:rsidR="00F721B1" w:rsidRDefault="00F721B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34445" w14:textId="77777777" w:rsidR="00F721B1" w:rsidRDefault="00F721B1">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3C8AE" w14:textId="77777777" w:rsidR="00F721B1" w:rsidRPr="00BE078A" w:rsidRDefault="00F721B1" w:rsidP="0099659B">
    <w:pPr>
      <w:pStyle w:val="Piedepgina"/>
      <w:pBdr>
        <w:top w:val="single" w:sz="4" w:space="1" w:color="auto"/>
      </w:pBdr>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2B86A95B" w14:textId="77777777" w:rsidR="00F721B1" w:rsidRDefault="00F721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4F4F31" w14:textId="77777777" w:rsidR="009B470B" w:rsidRDefault="009B470B" w:rsidP="00907FB5">
      <w:r>
        <w:separator/>
      </w:r>
    </w:p>
  </w:footnote>
  <w:footnote w:type="continuationSeparator" w:id="0">
    <w:p w14:paraId="4AFD68E6" w14:textId="77777777" w:rsidR="009B470B" w:rsidRDefault="009B470B" w:rsidP="00907FB5">
      <w:r>
        <w:continuationSeparator/>
      </w:r>
    </w:p>
  </w:footnote>
  <w:footnote w:type="continuationNotice" w:id="1">
    <w:p w14:paraId="0FFCEA46" w14:textId="77777777" w:rsidR="009B470B" w:rsidRDefault="009B470B"/>
  </w:footnote>
  <w:footnote w:id="2">
    <w:p w14:paraId="2167C699" w14:textId="77777777" w:rsidR="00F721B1" w:rsidRPr="005D57EC" w:rsidRDefault="00F721B1">
      <w:pPr>
        <w:pStyle w:val="Textonotapie"/>
      </w:pPr>
      <w:r>
        <w:rPr>
          <w:rStyle w:val="Refdenotaalpie"/>
        </w:rPr>
        <w:footnoteRef/>
      </w:r>
      <w:r>
        <w:t xml:space="preserve"> INEC, Encuesta Continua de Empleo, consultada el 20 de enero de 2022 en www.inec.cr.</w:t>
      </w:r>
    </w:p>
  </w:footnote>
  <w:footnote w:id="3">
    <w:p w14:paraId="253AAC48" w14:textId="77777777" w:rsidR="00F721B1" w:rsidRPr="005323CE" w:rsidRDefault="00F721B1">
      <w:pPr>
        <w:pStyle w:val="Textonotapie"/>
      </w:pPr>
      <w:r>
        <w:rPr>
          <w:rStyle w:val="Refdenotaalpie"/>
        </w:rPr>
        <w:footnoteRef/>
      </w:r>
      <w:r>
        <w:t xml:space="preserve"> </w:t>
      </w:r>
      <w:r w:rsidRPr="0066719C">
        <w:t>Retiro programado: por medio de esta modalidad de pensión el pensionado acuerda recibir una renta periódica que surge de dividir, cada año, el capital para la pensión entre el valor presente de una unidad de pensión de acuerdo con la tabla de mortalidad vigente</w:t>
      </w:r>
      <w:r>
        <w:t xml:space="preserve"> (inciso b del artículo 25 de la Ley de Protección al Trabajador).</w:t>
      </w:r>
    </w:p>
  </w:footnote>
  <w:footnote w:id="4">
    <w:p w14:paraId="56F011AF" w14:textId="77777777" w:rsidR="00F721B1" w:rsidRPr="00D876C3" w:rsidRDefault="00F721B1" w:rsidP="00AE0B9C">
      <w:pPr>
        <w:jc w:val="both"/>
      </w:pPr>
      <w:r>
        <w:rPr>
          <w:rStyle w:val="Refdenotaalpie"/>
        </w:rPr>
        <w:footnoteRef/>
      </w:r>
      <w:r>
        <w:t xml:space="preserve"> Publicada</w:t>
      </w:r>
      <w:r w:rsidRPr="00D876C3">
        <w:t xml:space="preserve"> en el Diario Oficial La Gaceta el 11 de enero de 2022.</w:t>
      </w:r>
    </w:p>
    <w:p w14:paraId="52E34402" w14:textId="77777777" w:rsidR="00F721B1" w:rsidRPr="00AE0B9C" w:rsidRDefault="00F721B1">
      <w:pPr>
        <w:pStyle w:val="Textonotapie"/>
      </w:pPr>
    </w:p>
  </w:footnote>
  <w:footnote w:id="5">
    <w:p w14:paraId="73B4EDF8" w14:textId="77777777" w:rsidR="00F721B1" w:rsidRPr="00E064AE" w:rsidRDefault="00F721B1" w:rsidP="00C3232E">
      <w:pPr>
        <w:pStyle w:val="Textonotapie"/>
        <w:spacing w:line="240" w:lineRule="auto"/>
      </w:pPr>
      <w:r>
        <w:rPr>
          <w:rStyle w:val="Refdenotaalpie"/>
        </w:rPr>
        <w:footnoteRef/>
      </w:r>
      <w:r>
        <w:t xml:space="preserve"> Fe de errata: en informes de coyuntura anteriores, se consignó 17,7 billones de colones en activos en 2020 y 20,1 billones para el tercer trimestre de 2021, siendo lo correcto 17,1 y 19,3 para 2020 y el tercer trimestre de 2021 respectivamente. El error consistió una doble contabilización para efectos de estas estadísticas del activo del fondo del Poder Judicial, hecho ya subsanado.</w:t>
      </w:r>
    </w:p>
  </w:footnote>
  <w:footnote w:id="6">
    <w:p w14:paraId="7F1A3CD9" w14:textId="77777777" w:rsidR="00F721B1" w:rsidRPr="00575802" w:rsidRDefault="00F721B1">
      <w:pPr>
        <w:pStyle w:val="Textonotapie"/>
        <w:rPr>
          <w:sz w:val="18"/>
          <w:szCs w:val="18"/>
          <w:lang w:val="es-CR"/>
        </w:rPr>
      </w:pPr>
      <w:r>
        <w:rPr>
          <w:rStyle w:val="Refdenotaalpie"/>
        </w:rPr>
        <w:footnoteRef/>
      </w:r>
      <w:r>
        <w:t xml:space="preserve"> </w:t>
      </w:r>
      <w:r w:rsidRPr="00575802">
        <w:rPr>
          <w:sz w:val="18"/>
          <w:szCs w:val="18"/>
        </w:rPr>
        <w:t>No considera las carteras crediticias de los fondos que otorgan crédito a sus cotizantes.</w:t>
      </w:r>
    </w:p>
  </w:footnote>
  <w:footnote w:id="7">
    <w:p w14:paraId="2C9D577B" w14:textId="77777777" w:rsidR="00F721B1" w:rsidRPr="00B07492" w:rsidRDefault="00F721B1" w:rsidP="00183C41">
      <w:pPr>
        <w:pStyle w:val="Textonotapie"/>
        <w:jc w:val="both"/>
        <w:rPr>
          <w:sz w:val="18"/>
          <w:szCs w:val="18"/>
        </w:rPr>
      </w:pPr>
      <w:r>
        <w:rPr>
          <w:rStyle w:val="Refdenotaalpie"/>
        </w:rPr>
        <w:footnoteRef/>
      </w:r>
      <w:r>
        <w:t xml:space="preserve"> </w:t>
      </w:r>
      <w:r w:rsidRPr="00B07492">
        <w:rPr>
          <w:sz w:val="18"/>
          <w:szCs w:val="18"/>
        </w:rPr>
        <w:t>Motivado entre otras razones, por la estrategia de financiamiento del Gobierno y los ajustes en materia fiscal emprendid</w:t>
      </w:r>
      <w:r>
        <w:rPr>
          <w:sz w:val="18"/>
          <w:szCs w:val="18"/>
        </w:rPr>
        <w:t>o</w:t>
      </w:r>
      <w:r w:rsidRPr="00B07492">
        <w:rPr>
          <w:sz w:val="18"/>
          <w:szCs w:val="18"/>
        </w:rPr>
        <w:t>s por el Ministerio de Hacienda.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78A3D" w14:textId="77777777" w:rsidR="00F721B1" w:rsidRDefault="00F721B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90E2E" w14:textId="77777777" w:rsidR="00F721B1" w:rsidRDefault="00F721B1" w:rsidP="006C61CB">
    <w:pPr>
      <w:pStyle w:val="Encabezado"/>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4BDFB" w14:textId="77777777" w:rsidR="00F721B1" w:rsidRDefault="00F721B1">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A931E" w14:textId="77777777" w:rsidR="00F721B1" w:rsidRDefault="00F721B1" w:rsidP="006C61CB">
    <w:pPr>
      <w:pStyle w:val="Encabezado"/>
      <w:jc w:val="both"/>
    </w:pPr>
    <w:r>
      <w:rPr>
        <w:noProof/>
      </w:rPr>
      <w:drawing>
        <wp:anchor distT="0" distB="0" distL="114300" distR="114300" simplePos="0" relativeHeight="251658241" behindDoc="0" locked="0" layoutInCell="1" allowOverlap="1" wp14:anchorId="5F03793E" wp14:editId="234F2833">
          <wp:simplePos x="0" y="0"/>
          <wp:positionH relativeFrom="margin">
            <wp:align>right</wp:align>
          </wp:positionH>
          <wp:positionV relativeFrom="paragraph">
            <wp:posOffset>-164694</wp:posOffset>
          </wp:positionV>
          <wp:extent cx="950595" cy="615315"/>
          <wp:effectExtent l="0" t="0" r="1905"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r>
      <w:rPr>
        <w:noProof/>
        <w:lang w:eastAsia="es-ES"/>
      </w:rPr>
      <w:drawing>
        <wp:anchor distT="0" distB="0" distL="114300" distR="114300" simplePos="0" relativeHeight="251658240" behindDoc="1" locked="0" layoutInCell="1" allowOverlap="1" wp14:anchorId="2EC5FCDA" wp14:editId="7C82063E">
          <wp:simplePos x="0" y="0"/>
          <wp:positionH relativeFrom="page">
            <wp:posOffset>812165</wp:posOffset>
          </wp:positionH>
          <wp:positionV relativeFrom="page">
            <wp:posOffset>184150</wp:posOffset>
          </wp:positionV>
          <wp:extent cx="1945005" cy="899795"/>
          <wp:effectExtent l="0" t="0" r="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8997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76898"/>
    <w:multiLevelType w:val="hybridMultilevel"/>
    <w:tmpl w:val="11D0BBE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B207FDB"/>
    <w:multiLevelType w:val="multilevel"/>
    <w:tmpl w:val="C4186102"/>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CA12102"/>
    <w:multiLevelType w:val="multilevel"/>
    <w:tmpl w:val="E9BC6D2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AE85C0D"/>
    <w:multiLevelType w:val="multilevel"/>
    <w:tmpl w:val="655CED9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CCA2EFB"/>
    <w:multiLevelType w:val="hybridMultilevel"/>
    <w:tmpl w:val="EFC04248"/>
    <w:lvl w:ilvl="0" w:tplc="1A2A469A">
      <w:start w:val="936"/>
      <w:numFmt w:val="bullet"/>
      <w:lvlText w:val=""/>
      <w:lvlJc w:val="left"/>
      <w:pPr>
        <w:ind w:left="720" w:hanging="360"/>
      </w:pPr>
      <w:rPr>
        <w:rFonts w:ascii="Symbol" w:eastAsiaTheme="minorHAnsi" w:hAnsi="Symbol" w:cstheme="minorHAns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E097A8C"/>
    <w:multiLevelType w:val="multilevel"/>
    <w:tmpl w:val="C4186102"/>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1E8A4EEE"/>
    <w:multiLevelType w:val="multilevel"/>
    <w:tmpl w:val="7A605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366925"/>
    <w:multiLevelType w:val="hybridMultilevel"/>
    <w:tmpl w:val="2160BEA4"/>
    <w:lvl w:ilvl="0" w:tplc="CC325416">
      <w:start w:val="1"/>
      <w:numFmt w:val="decimal"/>
      <w:lvlText w:val="%1."/>
      <w:lvlJc w:val="left"/>
      <w:pPr>
        <w:ind w:left="360" w:hanging="360"/>
      </w:pPr>
      <w:rPr>
        <w:rFonts w:asciiTheme="minorHAnsi" w:hAnsiTheme="minorHAnsi" w:cstheme="minorBidi"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8" w15:restartNumberingAfterBreak="0">
    <w:nsid w:val="2C405A3E"/>
    <w:multiLevelType w:val="multilevel"/>
    <w:tmpl w:val="70248FCA"/>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9" w15:restartNumberingAfterBreak="0">
    <w:nsid w:val="2EF640E0"/>
    <w:multiLevelType w:val="multilevel"/>
    <w:tmpl w:val="05502D30"/>
    <w:lvl w:ilvl="0">
      <w:start w:val="3"/>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0EB544A"/>
    <w:multiLevelType w:val="multilevel"/>
    <w:tmpl w:val="A09AC7F0"/>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7E50EC5"/>
    <w:multiLevelType w:val="multilevel"/>
    <w:tmpl w:val="8A4287E4"/>
    <w:lvl w:ilvl="0">
      <w:start w:val="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2" w15:restartNumberingAfterBreak="0">
    <w:nsid w:val="39F93CC1"/>
    <w:multiLevelType w:val="hybridMultilevel"/>
    <w:tmpl w:val="3F58631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AB01EBC"/>
    <w:multiLevelType w:val="hybridMultilevel"/>
    <w:tmpl w:val="CE22A402"/>
    <w:lvl w:ilvl="0" w:tplc="490E24A2">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3B4D3AB7"/>
    <w:multiLevelType w:val="hybridMultilevel"/>
    <w:tmpl w:val="D3F4D44E"/>
    <w:lvl w:ilvl="0" w:tplc="654CA942">
      <w:start w:val="1"/>
      <w:numFmt w:val="decimal"/>
      <w:lvlText w:val="%1."/>
      <w:lvlJc w:val="left"/>
      <w:pPr>
        <w:ind w:left="720" w:hanging="360"/>
      </w:pPr>
      <w:rPr>
        <w:rFonts w:hint="default"/>
        <w:b/>
        <w:bCs/>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3F8B0596"/>
    <w:multiLevelType w:val="multilevel"/>
    <w:tmpl w:val="627A5038"/>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414A6C90"/>
    <w:multiLevelType w:val="multilevel"/>
    <w:tmpl w:val="52BA2E38"/>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19F35AA"/>
    <w:multiLevelType w:val="multilevel"/>
    <w:tmpl w:val="8A4287E4"/>
    <w:lvl w:ilvl="0">
      <w:start w:val="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487B6AEF"/>
    <w:multiLevelType w:val="hybridMultilevel"/>
    <w:tmpl w:val="A2400E90"/>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9" w15:restartNumberingAfterBreak="0">
    <w:nsid w:val="4D807E60"/>
    <w:multiLevelType w:val="hybridMultilevel"/>
    <w:tmpl w:val="B7860E1C"/>
    <w:lvl w:ilvl="0" w:tplc="EB467486">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3D716CA"/>
    <w:multiLevelType w:val="multilevel"/>
    <w:tmpl w:val="661E1244"/>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55283919"/>
    <w:multiLevelType w:val="hybridMultilevel"/>
    <w:tmpl w:val="174AF766"/>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2" w15:restartNumberingAfterBreak="0">
    <w:nsid w:val="5822545E"/>
    <w:multiLevelType w:val="multilevel"/>
    <w:tmpl w:val="8956289A"/>
    <w:lvl w:ilvl="0">
      <w:start w:val="2"/>
      <w:numFmt w:val="decimal"/>
      <w:lvlText w:val="%1."/>
      <w:lvlJc w:val="left"/>
      <w:pPr>
        <w:ind w:left="1188" w:hanging="48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508" w:hanging="1080"/>
      </w:pPr>
      <w:rPr>
        <w:rFonts w:hint="default"/>
      </w:rPr>
    </w:lvl>
    <w:lvl w:ilvl="3">
      <w:start w:val="1"/>
      <w:numFmt w:val="decimal"/>
      <w:lvlText w:val="%1.%2.%3.%4."/>
      <w:lvlJc w:val="left"/>
      <w:pPr>
        <w:ind w:left="2868" w:hanging="1080"/>
      </w:pPr>
      <w:rPr>
        <w:rFonts w:hint="default"/>
      </w:rPr>
    </w:lvl>
    <w:lvl w:ilvl="4">
      <w:start w:val="1"/>
      <w:numFmt w:val="decimal"/>
      <w:lvlText w:val="%1.%2.%3.%4.%5."/>
      <w:lvlJc w:val="left"/>
      <w:pPr>
        <w:ind w:left="3588" w:hanging="1440"/>
      </w:pPr>
      <w:rPr>
        <w:rFonts w:hint="default"/>
      </w:rPr>
    </w:lvl>
    <w:lvl w:ilvl="5">
      <w:start w:val="1"/>
      <w:numFmt w:val="decimal"/>
      <w:lvlText w:val="%1.%2.%3.%4.%5.%6."/>
      <w:lvlJc w:val="left"/>
      <w:pPr>
        <w:ind w:left="4308" w:hanging="1800"/>
      </w:pPr>
      <w:rPr>
        <w:rFonts w:hint="default"/>
      </w:rPr>
    </w:lvl>
    <w:lvl w:ilvl="6">
      <w:start w:val="1"/>
      <w:numFmt w:val="decimal"/>
      <w:lvlText w:val="%1.%2.%3.%4.%5.%6.%7."/>
      <w:lvlJc w:val="left"/>
      <w:pPr>
        <w:ind w:left="5028" w:hanging="2160"/>
      </w:pPr>
      <w:rPr>
        <w:rFonts w:hint="default"/>
      </w:rPr>
    </w:lvl>
    <w:lvl w:ilvl="7">
      <w:start w:val="1"/>
      <w:numFmt w:val="decimal"/>
      <w:lvlText w:val="%1.%2.%3.%4.%5.%6.%7.%8."/>
      <w:lvlJc w:val="left"/>
      <w:pPr>
        <w:ind w:left="5388" w:hanging="2160"/>
      </w:pPr>
      <w:rPr>
        <w:rFonts w:hint="default"/>
      </w:rPr>
    </w:lvl>
    <w:lvl w:ilvl="8">
      <w:start w:val="1"/>
      <w:numFmt w:val="decimal"/>
      <w:lvlText w:val="%1.%2.%3.%4.%5.%6.%7.%8.%9."/>
      <w:lvlJc w:val="left"/>
      <w:pPr>
        <w:ind w:left="6108" w:hanging="2520"/>
      </w:pPr>
      <w:rPr>
        <w:rFonts w:hint="default"/>
      </w:rPr>
    </w:lvl>
  </w:abstractNum>
  <w:abstractNum w:abstractNumId="23" w15:restartNumberingAfterBreak="0">
    <w:nsid w:val="59137D6D"/>
    <w:multiLevelType w:val="multilevel"/>
    <w:tmpl w:val="4A065894"/>
    <w:lvl w:ilvl="0">
      <w:start w:val="3"/>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59BF3CD4"/>
    <w:multiLevelType w:val="hybridMultilevel"/>
    <w:tmpl w:val="0E00963E"/>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5" w15:restartNumberingAfterBreak="0">
    <w:nsid w:val="5A2C1698"/>
    <w:multiLevelType w:val="multilevel"/>
    <w:tmpl w:val="8A4287E4"/>
    <w:lvl w:ilvl="0">
      <w:start w:val="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6" w15:restartNumberingAfterBreak="0">
    <w:nsid w:val="5AD43879"/>
    <w:multiLevelType w:val="multilevel"/>
    <w:tmpl w:val="4F32CA42"/>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B1B6856"/>
    <w:multiLevelType w:val="multilevel"/>
    <w:tmpl w:val="D066544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5F6F6B49"/>
    <w:multiLevelType w:val="hybridMultilevel"/>
    <w:tmpl w:val="2B98B7E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5A95F12"/>
    <w:multiLevelType w:val="multilevel"/>
    <w:tmpl w:val="F25E9CD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65DC7537"/>
    <w:multiLevelType w:val="multilevel"/>
    <w:tmpl w:val="3698C3F0"/>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865496D"/>
    <w:multiLevelType w:val="hybridMultilevel"/>
    <w:tmpl w:val="0E00963E"/>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2" w15:restartNumberingAfterBreak="0">
    <w:nsid w:val="6AA63BC5"/>
    <w:multiLevelType w:val="hybridMultilevel"/>
    <w:tmpl w:val="5168619E"/>
    <w:lvl w:ilvl="0" w:tplc="EB467486">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6F084E1E"/>
    <w:multiLevelType w:val="hybridMultilevel"/>
    <w:tmpl w:val="F73E9E9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0FB2565"/>
    <w:multiLevelType w:val="multilevel"/>
    <w:tmpl w:val="8956289A"/>
    <w:lvl w:ilvl="0">
      <w:start w:val="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35" w15:restartNumberingAfterBreak="0">
    <w:nsid w:val="740D6A11"/>
    <w:multiLevelType w:val="hybridMultilevel"/>
    <w:tmpl w:val="BEC66CF2"/>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7C0E0110"/>
    <w:multiLevelType w:val="hybridMultilevel"/>
    <w:tmpl w:val="41246452"/>
    <w:lvl w:ilvl="0" w:tplc="1CD8DB46">
      <w:start w:val="1"/>
      <w:numFmt w:val="decimal"/>
      <w:lvlText w:val="(%1)"/>
      <w:lvlJc w:val="left"/>
      <w:pPr>
        <w:ind w:left="644" w:hanging="360"/>
      </w:pPr>
      <w:rPr>
        <w:sz w:val="22"/>
        <w:szCs w:val="22"/>
        <w:vertAlign w:val="superscript"/>
      </w:rPr>
    </w:lvl>
    <w:lvl w:ilvl="1" w:tplc="140A0019">
      <w:start w:val="1"/>
      <w:numFmt w:val="lowerLetter"/>
      <w:lvlText w:val="%2."/>
      <w:lvlJc w:val="left"/>
      <w:pPr>
        <w:ind w:left="1364" w:hanging="360"/>
      </w:pPr>
    </w:lvl>
    <w:lvl w:ilvl="2" w:tplc="140A001B">
      <w:start w:val="1"/>
      <w:numFmt w:val="lowerRoman"/>
      <w:lvlText w:val="%3."/>
      <w:lvlJc w:val="right"/>
      <w:pPr>
        <w:ind w:left="2084" w:hanging="180"/>
      </w:pPr>
    </w:lvl>
    <w:lvl w:ilvl="3" w:tplc="140A000F">
      <w:start w:val="1"/>
      <w:numFmt w:val="decimal"/>
      <w:lvlText w:val="%4."/>
      <w:lvlJc w:val="left"/>
      <w:pPr>
        <w:ind w:left="2804" w:hanging="360"/>
      </w:pPr>
    </w:lvl>
    <w:lvl w:ilvl="4" w:tplc="140A0019">
      <w:start w:val="1"/>
      <w:numFmt w:val="lowerLetter"/>
      <w:lvlText w:val="%5."/>
      <w:lvlJc w:val="left"/>
      <w:pPr>
        <w:ind w:left="3524" w:hanging="360"/>
      </w:pPr>
    </w:lvl>
    <w:lvl w:ilvl="5" w:tplc="140A001B">
      <w:start w:val="1"/>
      <w:numFmt w:val="lowerRoman"/>
      <w:lvlText w:val="%6."/>
      <w:lvlJc w:val="right"/>
      <w:pPr>
        <w:ind w:left="4244" w:hanging="180"/>
      </w:pPr>
    </w:lvl>
    <w:lvl w:ilvl="6" w:tplc="140A000F">
      <w:start w:val="1"/>
      <w:numFmt w:val="decimal"/>
      <w:lvlText w:val="%7."/>
      <w:lvlJc w:val="left"/>
      <w:pPr>
        <w:ind w:left="4964" w:hanging="360"/>
      </w:pPr>
    </w:lvl>
    <w:lvl w:ilvl="7" w:tplc="140A0019">
      <w:start w:val="1"/>
      <w:numFmt w:val="lowerLetter"/>
      <w:lvlText w:val="%8."/>
      <w:lvlJc w:val="left"/>
      <w:pPr>
        <w:ind w:left="5684" w:hanging="360"/>
      </w:pPr>
    </w:lvl>
    <w:lvl w:ilvl="8" w:tplc="140A001B">
      <w:start w:val="1"/>
      <w:numFmt w:val="lowerRoman"/>
      <w:lvlText w:val="%9."/>
      <w:lvlJc w:val="right"/>
      <w:pPr>
        <w:ind w:left="6404" w:hanging="180"/>
      </w:pPr>
    </w:lvl>
  </w:abstractNum>
  <w:abstractNum w:abstractNumId="37" w15:restartNumberingAfterBreak="0">
    <w:nsid w:val="7C105077"/>
    <w:multiLevelType w:val="hybridMultilevel"/>
    <w:tmpl w:val="3C2852E4"/>
    <w:lvl w:ilvl="0" w:tplc="C096DDB4">
      <w:numFmt w:val="bullet"/>
      <w:lvlText w:val=""/>
      <w:lvlJc w:val="left"/>
      <w:pPr>
        <w:ind w:left="1065" w:hanging="705"/>
      </w:pPr>
      <w:rPr>
        <w:rFonts w:ascii="Symbol" w:eastAsiaTheme="minorHAnsi" w:hAnsi="Symbol" w:cstheme="minorHAnsi"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num w:numId="1">
    <w:abstractNumId w:val="14"/>
  </w:num>
  <w:num w:numId="2">
    <w:abstractNumId w:val="33"/>
  </w:num>
  <w:num w:numId="3">
    <w:abstractNumId w:val="12"/>
  </w:num>
  <w:num w:numId="4">
    <w:abstractNumId w:val="13"/>
  </w:num>
  <w:num w:numId="5">
    <w:abstractNumId w:val="4"/>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6"/>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7"/>
  </w:num>
  <w:num w:numId="12">
    <w:abstractNumId w:val="20"/>
  </w:num>
  <w:num w:numId="13">
    <w:abstractNumId w:val="16"/>
  </w:num>
  <w:num w:numId="14">
    <w:abstractNumId w:val="26"/>
  </w:num>
  <w:num w:numId="15">
    <w:abstractNumId w:val="2"/>
  </w:num>
  <w:num w:numId="16">
    <w:abstractNumId w:val="35"/>
  </w:num>
  <w:num w:numId="17">
    <w:abstractNumId w:val="8"/>
  </w:num>
  <w:num w:numId="18">
    <w:abstractNumId w:val="34"/>
  </w:num>
  <w:num w:numId="19">
    <w:abstractNumId w:val="22"/>
  </w:num>
  <w:num w:numId="20">
    <w:abstractNumId w:val="5"/>
  </w:num>
  <w:num w:numId="21">
    <w:abstractNumId w:val="3"/>
  </w:num>
  <w:num w:numId="22">
    <w:abstractNumId w:val="29"/>
  </w:num>
  <w:num w:numId="23">
    <w:abstractNumId w:val="15"/>
  </w:num>
  <w:num w:numId="24">
    <w:abstractNumId w:val="10"/>
  </w:num>
  <w:num w:numId="25">
    <w:abstractNumId w:val="23"/>
  </w:num>
  <w:num w:numId="26">
    <w:abstractNumId w:val="9"/>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37"/>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19"/>
  </w:num>
  <w:num w:numId="33">
    <w:abstractNumId w:val="32"/>
  </w:num>
  <w:num w:numId="34">
    <w:abstractNumId w:val="1"/>
  </w:num>
  <w:num w:numId="35">
    <w:abstractNumId w:val="30"/>
  </w:num>
  <w:num w:numId="36">
    <w:abstractNumId w:val="11"/>
  </w:num>
  <w:num w:numId="37">
    <w:abstractNumId w:val="25"/>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D3"/>
    <w:rsid w:val="00000268"/>
    <w:rsid w:val="00000E39"/>
    <w:rsid w:val="000015C8"/>
    <w:rsid w:val="00001F7F"/>
    <w:rsid w:val="0000325C"/>
    <w:rsid w:val="000047DA"/>
    <w:rsid w:val="00004F14"/>
    <w:rsid w:val="00005551"/>
    <w:rsid w:val="000057E0"/>
    <w:rsid w:val="00005E2B"/>
    <w:rsid w:val="00006931"/>
    <w:rsid w:val="00006B17"/>
    <w:rsid w:val="00007A19"/>
    <w:rsid w:val="00007C9D"/>
    <w:rsid w:val="00007EE8"/>
    <w:rsid w:val="00010F60"/>
    <w:rsid w:val="0001207D"/>
    <w:rsid w:val="00012C7F"/>
    <w:rsid w:val="000137E8"/>
    <w:rsid w:val="00013E77"/>
    <w:rsid w:val="000154A4"/>
    <w:rsid w:val="00015663"/>
    <w:rsid w:val="00016EB3"/>
    <w:rsid w:val="00017958"/>
    <w:rsid w:val="00017EF0"/>
    <w:rsid w:val="000202B3"/>
    <w:rsid w:val="00020C40"/>
    <w:rsid w:val="00023312"/>
    <w:rsid w:val="000241A9"/>
    <w:rsid w:val="00025A9B"/>
    <w:rsid w:val="00026208"/>
    <w:rsid w:val="0003198B"/>
    <w:rsid w:val="00031CFE"/>
    <w:rsid w:val="00032290"/>
    <w:rsid w:val="00033280"/>
    <w:rsid w:val="00033E51"/>
    <w:rsid w:val="00034BF4"/>
    <w:rsid w:val="000353C3"/>
    <w:rsid w:val="000357D8"/>
    <w:rsid w:val="00035FAC"/>
    <w:rsid w:val="00036631"/>
    <w:rsid w:val="00036862"/>
    <w:rsid w:val="0003714F"/>
    <w:rsid w:val="00037AE3"/>
    <w:rsid w:val="00037C9B"/>
    <w:rsid w:val="000401A5"/>
    <w:rsid w:val="00040503"/>
    <w:rsid w:val="00040BEE"/>
    <w:rsid w:val="00043771"/>
    <w:rsid w:val="000475A6"/>
    <w:rsid w:val="000477B8"/>
    <w:rsid w:val="00050357"/>
    <w:rsid w:val="000510ED"/>
    <w:rsid w:val="000516E9"/>
    <w:rsid w:val="0005192A"/>
    <w:rsid w:val="00051A8E"/>
    <w:rsid w:val="00051C99"/>
    <w:rsid w:val="000527A7"/>
    <w:rsid w:val="000530F1"/>
    <w:rsid w:val="0005331D"/>
    <w:rsid w:val="00053857"/>
    <w:rsid w:val="00054230"/>
    <w:rsid w:val="00054769"/>
    <w:rsid w:val="00054DD3"/>
    <w:rsid w:val="0005512B"/>
    <w:rsid w:val="00055814"/>
    <w:rsid w:val="00055B5B"/>
    <w:rsid w:val="00055C74"/>
    <w:rsid w:val="000561A2"/>
    <w:rsid w:val="00057B15"/>
    <w:rsid w:val="00060CD9"/>
    <w:rsid w:val="00060E44"/>
    <w:rsid w:val="00061688"/>
    <w:rsid w:val="00061AD5"/>
    <w:rsid w:val="000622E2"/>
    <w:rsid w:val="00062764"/>
    <w:rsid w:val="000636AC"/>
    <w:rsid w:val="00064059"/>
    <w:rsid w:val="0006445B"/>
    <w:rsid w:val="0006447B"/>
    <w:rsid w:val="0006483D"/>
    <w:rsid w:val="00066547"/>
    <w:rsid w:val="00066E36"/>
    <w:rsid w:val="00067569"/>
    <w:rsid w:val="000676D8"/>
    <w:rsid w:val="000679BC"/>
    <w:rsid w:val="00067B7C"/>
    <w:rsid w:val="00067C90"/>
    <w:rsid w:val="00070E62"/>
    <w:rsid w:val="00071378"/>
    <w:rsid w:val="00071515"/>
    <w:rsid w:val="00071915"/>
    <w:rsid w:val="00071A35"/>
    <w:rsid w:val="00072C2A"/>
    <w:rsid w:val="00072DAC"/>
    <w:rsid w:val="0007328F"/>
    <w:rsid w:val="000741B2"/>
    <w:rsid w:val="00074837"/>
    <w:rsid w:val="00075CC7"/>
    <w:rsid w:val="00076111"/>
    <w:rsid w:val="00076125"/>
    <w:rsid w:val="000765E8"/>
    <w:rsid w:val="00080298"/>
    <w:rsid w:val="00080334"/>
    <w:rsid w:val="00080411"/>
    <w:rsid w:val="00080588"/>
    <w:rsid w:val="00081454"/>
    <w:rsid w:val="00082144"/>
    <w:rsid w:val="0008219A"/>
    <w:rsid w:val="00082498"/>
    <w:rsid w:val="000826B3"/>
    <w:rsid w:val="000831A2"/>
    <w:rsid w:val="00083684"/>
    <w:rsid w:val="0008376C"/>
    <w:rsid w:val="00084174"/>
    <w:rsid w:val="00084CDB"/>
    <w:rsid w:val="00085C6D"/>
    <w:rsid w:val="00090427"/>
    <w:rsid w:val="000904CC"/>
    <w:rsid w:val="000905BF"/>
    <w:rsid w:val="00091D8D"/>
    <w:rsid w:val="00091F22"/>
    <w:rsid w:val="00092044"/>
    <w:rsid w:val="00092F74"/>
    <w:rsid w:val="0009427F"/>
    <w:rsid w:val="000943E1"/>
    <w:rsid w:val="000949E2"/>
    <w:rsid w:val="000959A1"/>
    <w:rsid w:val="00095A91"/>
    <w:rsid w:val="00096A0E"/>
    <w:rsid w:val="00096ABF"/>
    <w:rsid w:val="00096E7B"/>
    <w:rsid w:val="000A01F2"/>
    <w:rsid w:val="000A063B"/>
    <w:rsid w:val="000A08BA"/>
    <w:rsid w:val="000A1AD4"/>
    <w:rsid w:val="000A2C6A"/>
    <w:rsid w:val="000A3BDC"/>
    <w:rsid w:val="000A420E"/>
    <w:rsid w:val="000A4B71"/>
    <w:rsid w:val="000A66D9"/>
    <w:rsid w:val="000A787A"/>
    <w:rsid w:val="000B0608"/>
    <w:rsid w:val="000B0D7B"/>
    <w:rsid w:val="000B0DE3"/>
    <w:rsid w:val="000B12F9"/>
    <w:rsid w:val="000B229E"/>
    <w:rsid w:val="000B2ACF"/>
    <w:rsid w:val="000B2B50"/>
    <w:rsid w:val="000B339E"/>
    <w:rsid w:val="000B33A1"/>
    <w:rsid w:val="000B5DDA"/>
    <w:rsid w:val="000B60CF"/>
    <w:rsid w:val="000B65E0"/>
    <w:rsid w:val="000B69D9"/>
    <w:rsid w:val="000B6BDA"/>
    <w:rsid w:val="000B6FFF"/>
    <w:rsid w:val="000B762D"/>
    <w:rsid w:val="000B76F2"/>
    <w:rsid w:val="000B7921"/>
    <w:rsid w:val="000C02FB"/>
    <w:rsid w:val="000C09B8"/>
    <w:rsid w:val="000C0B0F"/>
    <w:rsid w:val="000C0B9A"/>
    <w:rsid w:val="000C19AF"/>
    <w:rsid w:val="000C1F2F"/>
    <w:rsid w:val="000C23A4"/>
    <w:rsid w:val="000C240E"/>
    <w:rsid w:val="000C32F8"/>
    <w:rsid w:val="000C4D01"/>
    <w:rsid w:val="000C5168"/>
    <w:rsid w:val="000C6389"/>
    <w:rsid w:val="000C6D8F"/>
    <w:rsid w:val="000C70DC"/>
    <w:rsid w:val="000C7F04"/>
    <w:rsid w:val="000D1F04"/>
    <w:rsid w:val="000D23AA"/>
    <w:rsid w:val="000D2A2A"/>
    <w:rsid w:val="000D2DC1"/>
    <w:rsid w:val="000D3D6D"/>
    <w:rsid w:val="000D3DCB"/>
    <w:rsid w:val="000D42DB"/>
    <w:rsid w:val="000D451D"/>
    <w:rsid w:val="000D46DB"/>
    <w:rsid w:val="000D4746"/>
    <w:rsid w:val="000D4CAA"/>
    <w:rsid w:val="000D4CED"/>
    <w:rsid w:val="000D5FBD"/>
    <w:rsid w:val="000D68BD"/>
    <w:rsid w:val="000D6AB0"/>
    <w:rsid w:val="000E0513"/>
    <w:rsid w:val="000E121B"/>
    <w:rsid w:val="000E16A1"/>
    <w:rsid w:val="000E2E9F"/>
    <w:rsid w:val="000E34B0"/>
    <w:rsid w:val="000E3CCD"/>
    <w:rsid w:val="000E55CD"/>
    <w:rsid w:val="000E57CB"/>
    <w:rsid w:val="000E62BC"/>
    <w:rsid w:val="000E6B81"/>
    <w:rsid w:val="000E713B"/>
    <w:rsid w:val="000F00AF"/>
    <w:rsid w:val="000F0ECC"/>
    <w:rsid w:val="000F1063"/>
    <w:rsid w:val="000F10C6"/>
    <w:rsid w:val="000F16B6"/>
    <w:rsid w:val="000F1831"/>
    <w:rsid w:val="000F23B6"/>
    <w:rsid w:val="000F2C4C"/>
    <w:rsid w:val="000F30F8"/>
    <w:rsid w:val="000F39B7"/>
    <w:rsid w:val="000F3A20"/>
    <w:rsid w:val="000F3F6C"/>
    <w:rsid w:val="000F4A88"/>
    <w:rsid w:val="000F5A75"/>
    <w:rsid w:val="000F6671"/>
    <w:rsid w:val="00100DC4"/>
    <w:rsid w:val="00100F10"/>
    <w:rsid w:val="0010149D"/>
    <w:rsid w:val="00101848"/>
    <w:rsid w:val="0010189D"/>
    <w:rsid w:val="00101907"/>
    <w:rsid w:val="00102227"/>
    <w:rsid w:val="001025A2"/>
    <w:rsid w:val="001028CA"/>
    <w:rsid w:val="00102D30"/>
    <w:rsid w:val="0010407E"/>
    <w:rsid w:val="00104C5F"/>
    <w:rsid w:val="00104F71"/>
    <w:rsid w:val="00111658"/>
    <w:rsid w:val="0011196A"/>
    <w:rsid w:val="001131B9"/>
    <w:rsid w:val="0011322B"/>
    <w:rsid w:val="001134ED"/>
    <w:rsid w:val="00113A3E"/>
    <w:rsid w:val="00113E63"/>
    <w:rsid w:val="001143B2"/>
    <w:rsid w:val="00114D1E"/>
    <w:rsid w:val="00115108"/>
    <w:rsid w:val="001158A6"/>
    <w:rsid w:val="00116690"/>
    <w:rsid w:val="001167E1"/>
    <w:rsid w:val="00117732"/>
    <w:rsid w:val="00117C1A"/>
    <w:rsid w:val="001218E1"/>
    <w:rsid w:val="00122376"/>
    <w:rsid w:val="00122CE3"/>
    <w:rsid w:val="00123A40"/>
    <w:rsid w:val="001248B8"/>
    <w:rsid w:val="001248C4"/>
    <w:rsid w:val="00124D85"/>
    <w:rsid w:val="001253DB"/>
    <w:rsid w:val="00127068"/>
    <w:rsid w:val="0012736C"/>
    <w:rsid w:val="00130777"/>
    <w:rsid w:val="00131B90"/>
    <w:rsid w:val="001321E7"/>
    <w:rsid w:val="00132FAB"/>
    <w:rsid w:val="001355A1"/>
    <w:rsid w:val="00135936"/>
    <w:rsid w:val="00135D73"/>
    <w:rsid w:val="001364FD"/>
    <w:rsid w:val="00137B6F"/>
    <w:rsid w:val="0014068E"/>
    <w:rsid w:val="00140BEC"/>
    <w:rsid w:val="00141152"/>
    <w:rsid w:val="001417F5"/>
    <w:rsid w:val="001436FE"/>
    <w:rsid w:val="001437F4"/>
    <w:rsid w:val="00145E1C"/>
    <w:rsid w:val="0014617B"/>
    <w:rsid w:val="00146827"/>
    <w:rsid w:val="00146CF4"/>
    <w:rsid w:val="0015033C"/>
    <w:rsid w:val="00150743"/>
    <w:rsid w:val="001523D1"/>
    <w:rsid w:val="00153460"/>
    <w:rsid w:val="001538A3"/>
    <w:rsid w:val="00155147"/>
    <w:rsid w:val="001553A6"/>
    <w:rsid w:val="001556A6"/>
    <w:rsid w:val="00156584"/>
    <w:rsid w:val="00156D0D"/>
    <w:rsid w:val="00156E25"/>
    <w:rsid w:val="00157C55"/>
    <w:rsid w:val="001610AB"/>
    <w:rsid w:val="001620E5"/>
    <w:rsid w:val="00164294"/>
    <w:rsid w:val="00165AF9"/>
    <w:rsid w:val="00165DAD"/>
    <w:rsid w:val="0016628F"/>
    <w:rsid w:val="00167070"/>
    <w:rsid w:val="00167866"/>
    <w:rsid w:val="00167EDC"/>
    <w:rsid w:val="001704F1"/>
    <w:rsid w:val="0017180C"/>
    <w:rsid w:val="001719D5"/>
    <w:rsid w:val="00172D4F"/>
    <w:rsid w:val="0017350F"/>
    <w:rsid w:val="00173952"/>
    <w:rsid w:val="0017412B"/>
    <w:rsid w:val="00174161"/>
    <w:rsid w:val="00174960"/>
    <w:rsid w:val="0017521C"/>
    <w:rsid w:val="001757BE"/>
    <w:rsid w:val="00175C79"/>
    <w:rsid w:val="00176609"/>
    <w:rsid w:val="001776AC"/>
    <w:rsid w:val="00177F1D"/>
    <w:rsid w:val="0018000A"/>
    <w:rsid w:val="00180111"/>
    <w:rsid w:val="0018244A"/>
    <w:rsid w:val="00182AA0"/>
    <w:rsid w:val="00183051"/>
    <w:rsid w:val="001833F2"/>
    <w:rsid w:val="00183A3B"/>
    <w:rsid w:val="00183C41"/>
    <w:rsid w:val="001840B6"/>
    <w:rsid w:val="001841E3"/>
    <w:rsid w:val="00185865"/>
    <w:rsid w:val="00185FEE"/>
    <w:rsid w:val="00186052"/>
    <w:rsid w:val="00187EDC"/>
    <w:rsid w:val="00190037"/>
    <w:rsid w:val="00190BF6"/>
    <w:rsid w:val="0019154C"/>
    <w:rsid w:val="0019211F"/>
    <w:rsid w:val="001925AC"/>
    <w:rsid w:val="0019492F"/>
    <w:rsid w:val="001956B8"/>
    <w:rsid w:val="001973FF"/>
    <w:rsid w:val="00197C15"/>
    <w:rsid w:val="00197E35"/>
    <w:rsid w:val="00197E42"/>
    <w:rsid w:val="001A01F9"/>
    <w:rsid w:val="001A0652"/>
    <w:rsid w:val="001A06BF"/>
    <w:rsid w:val="001A1390"/>
    <w:rsid w:val="001A225E"/>
    <w:rsid w:val="001A2ED4"/>
    <w:rsid w:val="001A2FD7"/>
    <w:rsid w:val="001A35ED"/>
    <w:rsid w:val="001A3C95"/>
    <w:rsid w:val="001A4964"/>
    <w:rsid w:val="001A4CDF"/>
    <w:rsid w:val="001A6375"/>
    <w:rsid w:val="001A6B21"/>
    <w:rsid w:val="001A6D3B"/>
    <w:rsid w:val="001A71DE"/>
    <w:rsid w:val="001B0301"/>
    <w:rsid w:val="001B1468"/>
    <w:rsid w:val="001B1B1F"/>
    <w:rsid w:val="001B1CDD"/>
    <w:rsid w:val="001B2043"/>
    <w:rsid w:val="001B2158"/>
    <w:rsid w:val="001B2D8B"/>
    <w:rsid w:val="001B30F7"/>
    <w:rsid w:val="001B407E"/>
    <w:rsid w:val="001B418F"/>
    <w:rsid w:val="001B4296"/>
    <w:rsid w:val="001B42F4"/>
    <w:rsid w:val="001B4A0C"/>
    <w:rsid w:val="001B5250"/>
    <w:rsid w:val="001B5E24"/>
    <w:rsid w:val="001B5FFB"/>
    <w:rsid w:val="001B6C3D"/>
    <w:rsid w:val="001C0301"/>
    <w:rsid w:val="001C0E22"/>
    <w:rsid w:val="001C12C1"/>
    <w:rsid w:val="001C2098"/>
    <w:rsid w:val="001C2BE3"/>
    <w:rsid w:val="001C41EC"/>
    <w:rsid w:val="001C4DDA"/>
    <w:rsid w:val="001C50BB"/>
    <w:rsid w:val="001C62C3"/>
    <w:rsid w:val="001C7581"/>
    <w:rsid w:val="001C7DB1"/>
    <w:rsid w:val="001D0EC5"/>
    <w:rsid w:val="001D2DC3"/>
    <w:rsid w:val="001D31E9"/>
    <w:rsid w:val="001D3E84"/>
    <w:rsid w:val="001D43D4"/>
    <w:rsid w:val="001D4DCF"/>
    <w:rsid w:val="001D61CE"/>
    <w:rsid w:val="001D6EA8"/>
    <w:rsid w:val="001D7260"/>
    <w:rsid w:val="001D79AF"/>
    <w:rsid w:val="001D7C6C"/>
    <w:rsid w:val="001D7D8D"/>
    <w:rsid w:val="001E0766"/>
    <w:rsid w:val="001E0F70"/>
    <w:rsid w:val="001E12D8"/>
    <w:rsid w:val="001E2804"/>
    <w:rsid w:val="001E33DB"/>
    <w:rsid w:val="001E3E97"/>
    <w:rsid w:val="001E50BA"/>
    <w:rsid w:val="001E71BD"/>
    <w:rsid w:val="001F1D57"/>
    <w:rsid w:val="001F1DB6"/>
    <w:rsid w:val="001F2888"/>
    <w:rsid w:val="001F2C14"/>
    <w:rsid w:val="001F4072"/>
    <w:rsid w:val="001F43EF"/>
    <w:rsid w:val="001F48C0"/>
    <w:rsid w:val="001F6256"/>
    <w:rsid w:val="00200006"/>
    <w:rsid w:val="00200629"/>
    <w:rsid w:val="00200A54"/>
    <w:rsid w:val="00201F6A"/>
    <w:rsid w:val="0020221D"/>
    <w:rsid w:val="002025E2"/>
    <w:rsid w:val="00202DC2"/>
    <w:rsid w:val="00204355"/>
    <w:rsid w:val="00205C06"/>
    <w:rsid w:val="002060B5"/>
    <w:rsid w:val="002071C6"/>
    <w:rsid w:val="00207BC4"/>
    <w:rsid w:val="002101FD"/>
    <w:rsid w:val="00210257"/>
    <w:rsid w:val="002109F5"/>
    <w:rsid w:val="00211237"/>
    <w:rsid w:val="002114F3"/>
    <w:rsid w:val="002124C9"/>
    <w:rsid w:val="00212FAE"/>
    <w:rsid w:val="00213DAD"/>
    <w:rsid w:val="00215EFD"/>
    <w:rsid w:val="002166E7"/>
    <w:rsid w:val="0021685D"/>
    <w:rsid w:val="00216B1F"/>
    <w:rsid w:val="00216D70"/>
    <w:rsid w:val="002174DD"/>
    <w:rsid w:val="00217A45"/>
    <w:rsid w:val="00220200"/>
    <w:rsid w:val="00220632"/>
    <w:rsid w:val="00221E94"/>
    <w:rsid w:val="0022267D"/>
    <w:rsid w:val="002232A7"/>
    <w:rsid w:val="00223D4B"/>
    <w:rsid w:val="00223DA2"/>
    <w:rsid w:val="00224CCC"/>
    <w:rsid w:val="00225902"/>
    <w:rsid w:val="00225DBA"/>
    <w:rsid w:val="002275C1"/>
    <w:rsid w:val="0023083D"/>
    <w:rsid w:val="0023122C"/>
    <w:rsid w:val="00232AED"/>
    <w:rsid w:val="00233A3E"/>
    <w:rsid w:val="00233F84"/>
    <w:rsid w:val="00233F9E"/>
    <w:rsid w:val="002343F8"/>
    <w:rsid w:val="00235C0B"/>
    <w:rsid w:val="00235E29"/>
    <w:rsid w:val="00235F64"/>
    <w:rsid w:val="00240E67"/>
    <w:rsid w:val="002410F7"/>
    <w:rsid w:val="00241A91"/>
    <w:rsid w:val="0024399B"/>
    <w:rsid w:val="00243F1D"/>
    <w:rsid w:val="00243FC4"/>
    <w:rsid w:val="002450B4"/>
    <w:rsid w:val="002454FE"/>
    <w:rsid w:val="00246B91"/>
    <w:rsid w:val="0024709D"/>
    <w:rsid w:val="00247566"/>
    <w:rsid w:val="00250B3A"/>
    <w:rsid w:val="00250BFD"/>
    <w:rsid w:val="00250FB2"/>
    <w:rsid w:val="00251555"/>
    <w:rsid w:val="0025327C"/>
    <w:rsid w:val="00253595"/>
    <w:rsid w:val="002537BC"/>
    <w:rsid w:val="00253B4B"/>
    <w:rsid w:val="00253C49"/>
    <w:rsid w:val="00253DFE"/>
    <w:rsid w:val="0025548A"/>
    <w:rsid w:val="00255FAE"/>
    <w:rsid w:val="00256C5C"/>
    <w:rsid w:val="00256FB6"/>
    <w:rsid w:val="0025754C"/>
    <w:rsid w:val="00257B7E"/>
    <w:rsid w:val="00257C5E"/>
    <w:rsid w:val="002603A2"/>
    <w:rsid w:val="00261CB6"/>
    <w:rsid w:val="0026240C"/>
    <w:rsid w:val="002625CB"/>
    <w:rsid w:val="00264830"/>
    <w:rsid w:val="00264F10"/>
    <w:rsid w:val="00264F81"/>
    <w:rsid w:val="00264FFD"/>
    <w:rsid w:val="002650F8"/>
    <w:rsid w:val="00265AC6"/>
    <w:rsid w:val="00267520"/>
    <w:rsid w:val="00267923"/>
    <w:rsid w:val="00267B12"/>
    <w:rsid w:val="0027025E"/>
    <w:rsid w:val="00270676"/>
    <w:rsid w:val="00270856"/>
    <w:rsid w:val="00271877"/>
    <w:rsid w:val="002723B7"/>
    <w:rsid w:val="002727F7"/>
    <w:rsid w:val="002732ED"/>
    <w:rsid w:val="0027404E"/>
    <w:rsid w:val="0027515E"/>
    <w:rsid w:val="0027539F"/>
    <w:rsid w:val="00275C55"/>
    <w:rsid w:val="002773C6"/>
    <w:rsid w:val="00280C5A"/>
    <w:rsid w:val="002813E1"/>
    <w:rsid w:val="00281E19"/>
    <w:rsid w:val="00281E4C"/>
    <w:rsid w:val="00281F4C"/>
    <w:rsid w:val="00282624"/>
    <w:rsid w:val="0028264B"/>
    <w:rsid w:val="00282877"/>
    <w:rsid w:val="00283F01"/>
    <w:rsid w:val="00283F44"/>
    <w:rsid w:val="00284855"/>
    <w:rsid w:val="00286195"/>
    <w:rsid w:val="0028670F"/>
    <w:rsid w:val="002868D1"/>
    <w:rsid w:val="00286972"/>
    <w:rsid w:val="00286D36"/>
    <w:rsid w:val="0029005C"/>
    <w:rsid w:val="0029016A"/>
    <w:rsid w:val="00290851"/>
    <w:rsid w:val="00292B8A"/>
    <w:rsid w:val="00292C1A"/>
    <w:rsid w:val="002942E0"/>
    <w:rsid w:val="0029536C"/>
    <w:rsid w:val="00296665"/>
    <w:rsid w:val="00296832"/>
    <w:rsid w:val="00297392"/>
    <w:rsid w:val="0029755F"/>
    <w:rsid w:val="002A028E"/>
    <w:rsid w:val="002A0781"/>
    <w:rsid w:val="002A07FA"/>
    <w:rsid w:val="002A0CB4"/>
    <w:rsid w:val="002A0E1F"/>
    <w:rsid w:val="002A14CC"/>
    <w:rsid w:val="002A2352"/>
    <w:rsid w:val="002A31CA"/>
    <w:rsid w:val="002A39D2"/>
    <w:rsid w:val="002A4001"/>
    <w:rsid w:val="002A4AA8"/>
    <w:rsid w:val="002A4B5C"/>
    <w:rsid w:val="002A4CF0"/>
    <w:rsid w:val="002A4E29"/>
    <w:rsid w:val="002A580F"/>
    <w:rsid w:val="002A6325"/>
    <w:rsid w:val="002A7015"/>
    <w:rsid w:val="002B0029"/>
    <w:rsid w:val="002B0CD2"/>
    <w:rsid w:val="002B11AE"/>
    <w:rsid w:val="002B2A84"/>
    <w:rsid w:val="002B2F50"/>
    <w:rsid w:val="002B399E"/>
    <w:rsid w:val="002B3CFD"/>
    <w:rsid w:val="002B42CC"/>
    <w:rsid w:val="002B432A"/>
    <w:rsid w:val="002B47AF"/>
    <w:rsid w:val="002B4E5E"/>
    <w:rsid w:val="002B5B00"/>
    <w:rsid w:val="002C00AE"/>
    <w:rsid w:val="002C068A"/>
    <w:rsid w:val="002C0B66"/>
    <w:rsid w:val="002C16DD"/>
    <w:rsid w:val="002C44ED"/>
    <w:rsid w:val="002C4D60"/>
    <w:rsid w:val="002C5238"/>
    <w:rsid w:val="002C5A57"/>
    <w:rsid w:val="002C6260"/>
    <w:rsid w:val="002C6488"/>
    <w:rsid w:val="002C677E"/>
    <w:rsid w:val="002C6D13"/>
    <w:rsid w:val="002C7D43"/>
    <w:rsid w:val="002D18E9"/>
    <w:rsid w:val="002D1D17"/>
    <w:rsid w:val="002D2046"/>
    <w:rsid w:val="002D27C4"/>
    <w:rsid w:val="002D2869"/>
    <w:rsid w:val="002D2A30"/>
    <w:rsid w:val="002D2A95"/>
    <w:rsid w:val="002D342F"/>
    <w:rsid w:val="002D3D06"/>
    <w:rsid w:val="002D3D74"/>
    <w:rsid w:val="002D4203"/>
    <w:rsid w:val="002D422C"/>
    <w:rsid w:val="002D4414"/>
    <w:rsid w:val="002D4A81"/>
    <w:rsid w:val="002D4BED"/>
    <w:rsid w:val="002D53BE"/>
    <w:rsid w:val="002D5D54"/>
    <w:rsid w:val="002D6BC7"/>
    <w:rsid w:val="002D72E4"/>
    <w:rsid w:val="002D7900"/>
    <w:rsid w:val="002E0024"/>
    <w:rsid w:val="002E03D0"/>
    <w:rsid w:val="002E1288"/>
    <w:rsid w:val="002E1948"/>
    <w:rsid w:val="002E2A29"/>
    <w:rsid w:val="002E309B"/>
    <w:rsid w:val="002E3576"/>
    <w:rsid w:val="002E49E1"/>
    <w:rsid w:val="002E51F6"/>
    <w:rsid w:val="002E5806"/>
    <w:rsid w:val="002E604B"/>
    <w:rsid w:val="002E61FC"/>
    <w:rsid w:val="002E69DD"/>
    <w:rsid w:val="002E7005"/>
    <w:rsid w:val="002E75DC"/>
    <w:rsid w:val="002E7939"/>
    <w:rsid w:val="002F05FF"/>
    <w:rsid w:val="002F0A69"/>
    <w:rsid w:val="002F0D4A"/>
    <w:rsid w:val="002F0DD7"/>
    <w:rsid w:val="002F1032"/>
    <w:rsid w:val="002F14FA"/>
    <w:rsid w:val="002F1E2A"/>
    <w:rsid w:val="002F2179"/>
    <w:rsid w:val="002F4AB6"/>
    <w:rsid w:val="002F4FA0"/>
    <w:rsid w:val="002F5C42"/>
    <w:rsid w:val="00301229"/>
    <w:rsid w:val="003014A1"/>
    <w:rsid w:val="00301D1F"/>
    <w:rsid w:val="00303AF8"/>
    <w:rsid w:val="003044AC"/>
    <w:rsid w:val="003044F1"/>
    <w:rsid w:val="0030524B"/>
    <w:rsid w:val="00305389"/>
    <w:rsid w:val="00305422"/>
    <w:rsid w:val="00305560"/>
    <w:rsid w:val="003055DB"/>
    <w:rsid w:val="0030675A"/>
    <w:rsid w:val="00307DC7"/>
    <w:rsid w:val="00310292"/>
    <w:rsid w:val="0031041E"/>
    <w:rsid w:val="00310856"/>
    <w:rsid w:val="00310B02"/>
    <w:rsid w:val="00310C29"/>
    <w:rsid w:val="00310C90"/>
    <w:rsid w:val="00311FDD"/>
    <w:rsid w:val="00311FE6"/>
    <w:rsid w:val="00313058"/>
    <w:rsid w:val="00313182"/>
    <w:rsid w:val="003135B3"/>
    <w:rsid w:val="00313642"/>
    <w:rsid w:val="003136BC"/>
    <w:rsid w:val="003141DA"/>
    <w:rsid w:val="00314A4F"/>
    <w:rsid w:val="00315210"/>
    <w:rsid w:val="00317017"/>
    <w:rsid w:val="00317485"/>
    <w:rsid w:val="00320111"/>
    <w:rsid w:val="00320273"/>
    <w:rsid w:val="00321715"/>
    <w:rsid w:val="00321836"/>
    <w:rsid w:val="0032190B"/>
    <w:rsid w:val="00321A52"/>
    <w:rsid w:val="00322CB0"/>
    <w:rsid w:val="003231BB"/>
    <w:rsid w:val="003234BB"/>
    <w:rsid w:val="00323A51"/>
    <w:rsid w:val="00324644"/>
    <w:rsid w:val="00324A91"/>
    <w:rsid w:val="00324EE0"/>
    <w:rsid w:val="00325C3A"/>
    <w:rsid w:val="00326122"/>
    <w:rsid w:val="00326C19"/>
    <w:rsid w:val="00326F92"/>
    <w:rsid w:val="00327F7B"/>
    <w:rsid w:val="00330AD8"/>
    <w:rsid w:val="00333151"/>
    <w:rsid w:val="003334D0"/>
    <w:rsid w:val="003340DF"/>
    <w:rsid w:val="00334249"/>
    <w:rsid w:val="00334AC8"/>
    <w:rsid w:val="00334CB2"/>
    <w:rsid w:val="003356E0"/>
    <w:rsid w:val="00335F8E"/>
    <w:rsid w:val="00336BB6"/>
    <w:rsid w:val="003377D4"/>
    <w:rsid w:val="003377E6"/>
    <w:rsid w:val="00337AF2"/>
    <w:rsid w:val="00337C7B"/>
    <w:rsid w:val="00340456"/>
    <w:rsid w:val="00340E7E"/>
    <w:rsid w:val="003412EF"/>
    <w:rsid w:val="00342894"/>
    <w:rsid w:val="0034309C"/>
    <w:rsid w:val="0034392B"/>
    <w:rsid w:val="00344B57"/>
    <w:rsid w:val="003454BE"/>
    <w:rsid w:val="00346208"/>
    <w:rsid w:val="00346543"/>
    <w:rsid w:val="00347166"/>
    <w:rsid w:val="003478E0"/>
    <w:rsid w:val="00352046"/>
    <w:rsid w:val="00352363"/>
    <w:rsid w:val="00352626"/>
    <w:rsid w:val="0035293F"/>
    <w:rsid w:val="00352D4C"/>
    <w:rsid w:val="0035324B"/>
    <w:rsid w:val="00353343"/>
    <w:rsid w:val="0035500A"/>
    <w:rsid w:val="00355216"/>
    <w:rsid w:val="00355ACE"/>
    <w:rsid w:val="00356127"/>
    <w:rsid w:val="00356215"/>
    <w:rsid w:val="00356618"/>
    <w:rsid w:val="0035730F"/>
    <w:rsid w:val="00357F6F"/>
    <w:rsid w:val="003608A6"/>
    <w:rsid w:val="00361A1F"/>
    <w:rsid w:val="0036238B"/>
    <w:rsid w:val="003629D5"/>
    <w:rsid w:val="003631C8"/>
    <w:rsid w:val="00363743"/>
    <w:rsid w:val="00363E10"/>
    <w:rsid w:val="00364397"/>
    <w:rsid w:val="00364753"/>
    <w:rsid w:val="00364A36"/>
    <w:rsid w:val="0036555D"/>
    <w:rsid w:val="00365C65"/>
    <w:rsid w:val="00366687"/>
    <w:rsid w:val="00371546"/>
    <w:rsid w:val="00372326"/>
    <w:rsid w:val="00372635"/>
    <w:rsid w:val="00373B27"/>
    <w:rsid w:val="00373F2D"/>
    <w:rsid w:val="003743A5"/>
    <w:rsid w:val="00374BC1"/>
    <w:rsid w:val="00374EE8"/>
    <w:rsid w:val="00375CA5"/>
    <w:rsid w:val="00375EB8"/>
    <w:rsid w:val="00376191"/>
    <w:rsid w:val="00377FF8"/>
    <w:rsid w:val="00380037"/>
    <w:rsid w:val="003803A1"/>
    <w:rsid w:val="00380AF3"/>
    <w:rsid w:val="00380E24"/>
    <w:rsid w:val="003813B6"/>
    <w:rsid w:val="00381EA9"/>
    <w:rsid w:val="00381F24"/>
    <w:rsid w:val="00382E24"/>
    <w:rsid w:val="0038366C"/>
    <w:rsid w:val="00383815"/>
    <w:rsid w:val="00383B49"/>
    <w:rsid w:val="00383DE2"/>
    <w:rsid w:val="00383E4F"/>
    <w:rsid w:val="00384D8F"/>
    <w:rsid w:val="00385088"/>
    <w:rsid w:val="003851A4"/>
    <w:rsid w:val="003852D5"/>
    <w:rsid w:val="00385360"/>
    <w:rsid w:val="003876CC"/>
    <w:rsid w:val="00387DC6"/>
    <w:rsid w:val="00390BF3"/>
    <w:rsid w:val="00390C2D"/>
    <w:rsid w:val="003912F1"/>
    <w:rsid w:val="00392033"/>
    <w:rsid w:val="0039252D"/>
    <w:rsid w:val="003926AF"/>
    <w:rsid w:val="00392A2B"/>
    <w:rsid w:val="00393D4E"/>
    <w:rsid w:val="00394C4B"/>
    <w:rsid w:val="00395298"/>
    <w:rsid w:val="00396391"/>
    <w:rsid w:val="003964CF"/>
    <w:rsid w:val="00396D2D"/>
    <w:rsid w:val="00397C45"/>
    <w:rsid w:val="003A0A5D"/>
    <w:rsid w:val="003A0DE4"/>
    <w:rsid w:val="003A43DC"/>
    <w:rsid w:val="003A47D7"/>
    <w:rsid w:val="003A593D"/>
    <w:rsid w:val="003A5B3F"/>
    <w:rsid w:val="003A671B"/>
    <w:rsid w:val="003A76C7"/>
    <w:rsid w:val="003A7DFF"/>
    <w:rsid w:val="003B001A"/>
    <w:rsid w:val="003B0138"/>
    <w:rsid w:val="003B0AF6"/>
    <w:rsid w:val="003B124B"/>
    <w:rsid w:val="003B1C64"/>
    <w:rsid w:val="003B1E61"/>
    <w:rsid w:val="003B2C13"/>
    <w:rsid w:val="003B3DFB"/>
    <w:rsid w:val="003B41E6"/>
    <w:rsid w:val="003B4861"/>
    <w:rsid w:val="003B4C55"/>
    <w:rsid w:val="003B547D"/>
    <w:rsid w:val="003B54BD"/>
    <w:rsid w:val="003B6A32"/>
    <w:rsid w:val="003B6EEA"/>
    <w:rsid w:val="003B7644"/>
    <w:rsid w:val="003C1D95"/>
    <w:rsid w:val="003C28E9"/>
    <w:rsid w:val="003C326B"/>
    <w:rsid w:val="003C3AB6"/>
    <w:rsid w:val="003C41D8"/>
    <w:rsid w:val="003C55DF"/>
    <w:rsid w:val="003C5A51"/>
    <w:rsid w:val="003C5B63"/>
    <w:rsid w:val="003C5D9E"/>
    <w:rsid w:val="003C66BC"/>
    <w:rsid w:val="003D0BEA"/>
    <w:rsid w:val="003D0C37"/>
    <w:rsid w:val="003D0C44"/>
    <w:rsid w:val="003D1423"/>
    <w:rsid w:val="003D1DBC"/>
    <w:rsid w:val="003D20DF"/>
    <w:rsid w:val="003D22FE"/>
    <w:rsid w:val="003D28C1"/>
    <w:rsid w:val="003D29E9"/>
    <w:rsid w:val="003D2DB5"/>
    <w:rsid w:val="003D3850"/>
    <w:rsid w:val="003D43F8"/>
    <w:rsid w:val="003D44DB"/>
    <w:rsid w:val="003D45F0"/>
    <w:rsid w:val="003D474B"/>
    <w:rsid w:val="003D48D8"/>
    <w:rsid w:val="003D4BF1"/>
    <w:rsid w:val="003D4CF2"/>
    <w:rsid w:val="003D4E24"/>
    <w:rsid w:val="003D526A"/>
    <w:rsid w:val="003D671A"/>
    <w:rsid w:val="003D7BBE"/>
    <w:rsid w:val="003E06C5"/>
    <w:rsid w:val="003E1278"/>
    <w:rsid w:val="003E1279"/>
    <w:rsid w:val="003E12F5"/>
    <w:rsid w:val="003E190C"/>
    <w:rsid w:val="003E20DC"/>
    <w:rsid w:val="003E2ECC"/>
    <w:rsid w:val="003E37B6"/>
    <w:rsid w:val="003E441B"/>
    <w:rsid w:val="003E6708"/>
    <w:rsid w:val="003E6A1A"/>
    <w:rsid w:val="003E750E"/>
    <w:rsid w:val="003E7814"/>
    <w:rsid w:val="003F0307"/>
    <w:rsid w:val="003F0816"/>
    <w:rsid w:val="003F146F"/>
    <w:rsid w:val="003F1CCD"/>
    <w:rsid w:val="003F237E"/>
    <w:rsid w:val="003F29B8"/>
    <w:rsid w:val="003F2D23"/>
    <w:rsid w:val="003F3DEA"/>
    <w:rsid w:val="003F59FE"/>
    <w:rsid w:val="003F64A7"/>
    <w:rsid w:val="003F6C5E"/>
    <w:rsid w:val="003F6CEA"/>
    <w:rsid w:val="003F788C"/>
    <w:rsid w:val="003F7D0E"/>
    <w:rsid w:val="003F7EDC"/>
    <w:rsid w:val="00400771"/>
    <w:rsid w:val="004007C9"/>
    <w:rsid w:val="00400E1E"/>
    <w:rsid w:val="00401135"/>
    <w:rsid w:val="0040249B"/>
    <w:rsid w:val="0040303C"/>
    <w:rsid w:val="00403198"/>
    <w:rsid w:val="0040340E"/>
    <w:rsid w:val="00403641"/>
    <w:rsid w:val="0040403C"/>
    <w:rsid w:val="00404D46"/>
    <w:rsid w:val="00404D78"/>
    <w:rsid w:val="00405A9D"/>
    <w:rsid w:val="00405B43"/>
    <w:rsid w:val="00406309"/>
    <w:rsid w:val="00406CDE"/>
    <w:rsid w:val="004073D6"/>
    <w:rsid w:val="00407A4B"/>
    <w:rsid w:val="00407A93"/>
    <w:rsid w:val="0041023B"/>
    <w:rsid w:val="0041117A"/>
    <w:rsid w:val="0041160C"/>
    <w:rsid w:val="00411F55"/>
    <w:rsid w:val="00412D9B"/>
    <w:rsid w:val="00413094"/>
    <w:rsid w:val="004134A4"/>
    <w:rsid w:val="00414135"/>
    <w:rsid w:val="00414A6E"/>
    <w:rsid w:val="00416C9C"/>
    <w:rsid w:val="00416DC9"/>
    <w:rsid w:val="00420188"/>
    <w:rsid w:val="0042019E"/>
    <w:rsid w:val="004207F3"/>
    <w:rsid w:val="00420988"/>
    <w:rsid w:val="00420CD9"/>
    <w:rsid w:val="00421C8F"/>
    <w:rsid w:val="00421E82"/>
    <w:rsid w:val="00422431"/>
    <w:rsid w:val="004234BD"/>
    <w:rsid w:val="00424377"/>
    <w:rsid w:val="004250B7"/>
    <w:rsid w:val="00425290"/>
    <w:rsid w:val="00425C88"/>
    <w:rsid w:val="00425E18"/>
    <w:rsid w:val="00426403"/>
    <w:rsid w:val="00426BA4"/>
    <w:rsid w:val="00427CA4"/>
    <w:rsid w:val="00427CE4"/>
    <w:rsid w:val="00427E03"/>
    <w:rsid w:val="004307B5"/>
    <w:rsid w:val="00430DB7"/>
    <w:rsid w:val="00430FE1"/>
    <w:rsid w:val="004330F7"/>
    <w:rsid w:val="00433142"/>
    <w:rsid w:val="004335EA"/>
    <w:rsid w:val="00433694"/>
    <w:rsid w:val="00433DB3"/>
    <w:rsid w:val="00434563"/>
    <w:rsid w:val="00434DEA"/>
    <w:rsid w:val="00434E8F"/>
    <w:rsid w:val="00434F74"/>
    <w:rsid w:val="00436813"/>
    <w:rsid w:val="00436C88"/>
    <w:rsid w:val="00436FA0"/>
    <w:rsid w:val="00437BF6"/>
    <w:rsid w:val="00440227"/>
    <w:rsid w:val="004405ED"/>
    <w:rsid w:val="00440B10"/>
    <w:rsid w:val="00441241"/>
    <w:rsid w:val="00442657"/>
    <w:rsid w:val="00442A4F"/>
    <w:rsid w:val="00442B8C"/>
    <w:rsid w:val="00443607"/>
    <w:rsid w:val="00443846"/>
    <w:rsid w:val="00443C41"/>
    <w:rsid w:val="004451B5"/>
    <w:rsid w:val="00445703"/>
    <w:rsid w:val="00446424"/>
    <w:rsid w:val="004464FF"/>
    <w:rsid w:val="004515CA"/>
    <w:rsid w:val="0045162B"/>
    <w:rsid w:val="0045353A"/>
    <w:rsid w:val="00453821"/>
    <w:rsid w:val="00453EB6"/>
    <w:rsid w:val="00454622"/>
    <w:rsid w:val="004549B6"/>
    <w:rsid w:val="00455854"/>
    <w:rsid w:val="00455855"/>
    <w:rsid w:val="004565E0"/>
    <w:rsid w:val="004566B9"/>
    <w:rsid w:val="00456EDB"/>
    <w:rsid w:val="00460934"/>
    <w:rsid w:val="00461275"/>
    <w:rsid w:val="00461656"/>
    <w:rsid w:val="00462319"/>
    <w:rsid w:val="00462881"/>
    <w:rsid w:val="00462DFD"/>
    <w:rsid w:val="00463133"/>
    <w:rsid w:val="00464458"/>
    <w:rsid w:val="0046546A"/>
    <w:rsid w:val="00466EF3"/>
    <w:rsid w:val="00467ED5"/>
    <w:rsid w:val="004711B8"/>
    <w:rsid w:val="00471AF8"/>
    <w:rsid w:val="00472CEE"/>
    <w:rsid w:val="00472DD6"/>
    <w:rsid w:val="0047395C"/>
    <w:rsid w:val="00473F1E"/>
    <w:rsid w:val="00474487"/>
    <w:rsid w:val="004747AC"/>
    <w:rsid w:val="00474C3D"/>
    <w:rsid w:val="0047612E"/>
    <w:rsid w:val="00476545"/>
    <w:rsid w:val="00476ABD"/>
    <w:rsid w:val="00476E5C"/>
    <w:rsid w:val="004774AE"/>
    <w:rsid w:val="00477912"/>
    <w:rsid w:val="00480EBA"/>
    <w:rsid w:val="00481CE0"/>
    <w:rsid w:val="0048250C"/>
    <w:rsid w:val="00482941"/>
    <w:rsid w:val="00483814"/>
    <w:rsid w:val="00483AFA"/>
    <w:rsid w:val="0048412A"/>
    <w:rsid w:val="0048428E"/>
    <w:rsid w:val="00484551"/>
    <w:rsid w:val="00484DD3"/>
    <w:rsid w:val="00485D1B"/>
    <w:rsid w:val="004868CE"/>
    <w:rsid w:val="00487FF0"/>
    <w:rsid w:val="004906DC"/>
    <w:rsid w:val="0049156B"/>
    <w:rsid w:val="00491764"/>
    <w:rsid w:val="004917CF"/>
    <w:rsid w:val="004929BC"/>
    <w:rsid w:val="0049351D"/>
    <w:rsid w:val="00493871"/>
    <w:rsid w:val="0049475E"/>
    <w:rsid w:val="00494F8E"/>
    <w:rsid w:val="00495255"/>
    <w:rsid w:val="00497712"/>
    <w:rsid w:val="004A017C"/>
    <w:rsid w:val="004A070A"/>
    <w:rsid w:val="004A2149"/>
    <w:rsid w:val="004A3925"/>
    <w:rsid w:val="004A40E9"/>
    <w:rsid w:val="004A4E9F"/>
    <w:rsid w:val="004A593F"/>
    <w:rsid w:val="004A61AA"/>
    <w:rsid w:val="004A620A"/>
    <w:rsid w:val="004A6857"/>
    <w:rsid w:val="004A6D4E"/>
    <w:rsid w:val="004A6F18"/>
    <w:rsid w:val="004A7544"/>
    <w:rsid w:val="004A7B9C"/>
    <w:rsid w:val="004B01E8"/>
    <w:rsid w:val="004B0279"/>
    <w:rsid w:val="004B1263"/>
    <w:rsid w:val="004B2733"/>
    <w:rsid w:val="004B2885"/>
    <w:rsid w:val="004B29E9"/>
    <w:rsid w:val="004B2F5F"/>
    <w:rsid w:val="004B3168"/>
    <w:rsid w:val="004B3290"/>
    <w:rsid w:val="004B3A84"/>
    <w:rsid w:val="004B3F5A"/>
    <w:rsid w:val="004B425F"/>
    <w:rsid w:val="004B49C7"/>
    <w:rsid w:val="004B4E12"/>
    <w:rsid w:val="004B547C"/>
    <w:rsid w:val="004B6C5D"/>
    <w:rsid w:val="004B7B19"/>
    <w:rsid w:val="004C0381"/>
    <w:rsid w:val="004C04CB"/>
    <w:rsid w:val="004C0D3F"/>
    <w:rsid w:val="004C0DF1"/>
    <w:rsid w:val="004C17E6"/>
    <w:rsid w:val="004C239D"/>
    <w:rsid w:val="004C249D"/>
    <w:rsid w:val="004C3704"/>
    <w:rsid w:val="004C45C1"/>
    <w:rsid w:val="004C4639"/>
    <w:rsid w:val="004C5AE5"/>
    <w:rsid w:val="004C6976"/>
    <w:rsid w:val="004D0928"/>
    <w:rsid w:val="004D0F88"/>
    <w:rsid w:val="004D10A5"/>
    <w:rsid w:val="004D1A50"/>
    <w:rsid w:val="004D1DD1"/>
    <w:rsid w:val="004D2C2E"/>
    <w:rsid w:val="004D3CFB"/>
    <w:rsid w:val="004D51D3"/>
    <w:rsid w:val="004D53A6"/>
    <w:rsid w:val="004D6632"/>
    <w:rsid w:val="004D695B"/>
    <w:rsid w:val="004D7577"/>
    <w:rsid w:val="004D7ADC"/>
    <w:rsid w:val="004D7CDC"/>
    <w:rsid w:val="004E069C"/>
    <w:rsid w:val="004E06F2"/>
    <w:rsid w:val="004E1065"/>
    <w:rsid w:val="004E1557"/>
    <w:rsid w:val="004E1ED2"/>
    <w:rsid w:val="004E2D10"/>
    <w:rsid w:val="004E4252"/>
    <w:rsid w:val="004E49FE"/>
    <w:rsid w:val="004E4AAB"/>
    <w:rsid w:val="004E5C0A"/>
    <w:rsid w:val="004E6426"/>
    <w:rsid w:val="004E684C"/>
    <w:rsid w:val="004E6B9A"/>
    <w:rsid w:val="004E7D89"/>
    <w:rsid w:val="004F1542"/>
    <w:rsid w:val="004F1F12"/>
    <w:rsid w:val="004F2209"/>
    <w:rsid w:val="004F23B0"/>
    <w:rsid w:val="004F2B5E"/>
    <w:rsid w:val="004F326C"/>
    <w:rsid w:val="004F398A"/>
    <w:rsid w:val="004F3A22"/>
    <w:rsid w:val="004F6B1C"/>
    <w:rsid w:val="004F7638"/>
    <w:rsid w:val="004F798A"/>
    <w:rsid w:val="00500576"/>
    <w:rsid w:val="00502240"/>
    <w:rsid w:val="0050273C"/>
    <w:rsid w:val="00502960"/>
    <w:rsid w:val="005032BB"/>
    <w:rsid w:val="00503334"/>
    <w:rsid w:val="00503E2F"/>
    <w:rsid w:val="0050455A"/>
    <w:rsid w:val="00504EB0"/>
    <w:rsid w:val="00505145"/>
    <w:rsid w:val="00505C04"/>
    <w:rsid w:val="005062AC"/>
    <w:rsid w:val="005063DB"/>
    <w:rsid w:val="0050682D"/>
    <w:rsid w:val="00506929"/>
    <w:rsid w:val="0050717A"/>
    <w:rsid w:val="0050766E"/>
    <w:rsid w:val="00510F97"/>
    <w:rsid w:val="0051151E"/>
    <w:rsid w:val="00511CC3"/>
    <w:rsid w:val="00511CFC"/>
    <w:rsid w:val="005128E6"/>
    <w:rsid w:val="00512C60"/>
    <w:rsid w:val="005132C1"/>
    <w:rsid w:val="005136D0"/>
    <w:rsid w:val="0051416E"/>
    <w:rsid w:val="005151E6"/>
    <w:rsid w:val="005153AB"/>
    <w:rsid w:val="00515DCB"/>
    <w:rsid w:val="00520865"/>
    <w:rsid w:val="00520EC9"/>
    <w:rsid w:val="00520F32"/>
    <w:rsid w:val="00521A67"/>
    <w:rsid w:val="00522FF0"/>
    <w:rsid w:val="0052330E"/>
    <w:rsid w:val="00523CDE"/>
    <w:rsid w:val="00524623"/>
    <w:rsid w:val="0052564E"/>
    <w:rsid w:val="00526554"/>
    <w:rsid w:val="005273A3"/>
    <w:rsid w:val="005309D9"/>
    <w:rsid w:val="00530AE8"/>
    <w:rsid w:val="005313A3"/>
    <w:rsid w:val="00531E19"/>
    <w:rsid w:val="005323CE"/>
    <w:rsid w:val="005331B7"/>
    <w:rsid w:val="00534832"/>
    <w:rsid w:val="00534949"/>
    <w:rsid w:val="00534EEC"/>
    <w:rsid w:val="00535053"/>
    <w:rsid w:val="0053517D"/>
    <w:rsid w:val="00535890"/>
    <w:rsid w:val="00536451"/>
    <w:rsid w:val="00537A9B"/>
    <w:rsid w:val="005408DA"/>
    <w:rsid w:val="00540C4E"/>
    <w:rsid w:val="00540E94"/>
    <w:rsid w:val="00541248"/>
    <w:rsid w:val="005414BB"/>
    <w:rsid w:val="00542693"/>
    <w:rsid w:val="0054296B"/>
    <w:rsid w:val="005442D3"/>
    <w:rsid w:val="005458B6"/>
    <w:rsid w:val="005459B8"/>
    <w:rsid w:val="00545FED"/>
    <w:rsid w:val="0054646E"/>
    <w:rsid w:val="005465B4"/>
    <w:rsid w:val="0054722F"/>
    <w:rsid w:val="005476CA"/>
    <w:rsid w:val="00547FBF"/>
    <w:rsid w:val="00550509"/>
    <w:rsid w:val="00550AD5"/>
    <w:rsid w:val="00553968"/>
    <w:rsid w:val="005551A8"/>
    <w:rsid w:val="00556488"/>
    <w:rsid w:val="005564FB"/>
    <w:rsid w:val="00556864"/>
    <w:rsid w:val="005568C4"/>
    <w:rsid w:val="005573B3"/>
    <w:rsid w:val="00557DFA"/>
    <w:rsid w:val="00560B2C"/>
    <w:rsid w:val="0056179F"/>
    <w:rsid w:val="005623BA"/>
    <w:rsid w:val="00563909"/>
    <w:rsid w:val="00564CB8"/>
    <w:rsid w:val="00565265"/>
    <w:rsid w:val="00565A3E"/>
    <w:rsid w:val="00567658"/>
    <w:rsid w:val="00567AF8"/>
    <w:rsid w:val="0057038C"/>
    <w:rsid w:val="005704BE"/>
    <w:rsid w:val="0057078B"/>
    <w:rsid w:val="00570964"/>
    <w:rsid w:val="00570D7B"/>
    <w:rsid w:val="00571469"/>
    <w:rsid w:val="00572A54"/>
    <w:rsid w:val="005736E5"/>
    <w:rsid w:val="00575802"/>
    <w:rsid w:val="00575EA8"/>
    <w:rsid w:val="00576471"/>
    <w:rsid w:val="0057685A"/>
    <w:rsid w:val="005773DC"/>
    <w:rsid w:val="00577ECF"/>
    <w:rsid w:val="0058021C"/>
    <w:rsid w:val="005802A3"/>
    <w:rsid w:val="00580596"/>
    <w:rsid w:val="00580B10"/>
    <w:rsid w:val="005837D7"/>
    <w:rsid w:val="0058407B"/>
    <w:rsid w:val="005842AB"/>
    <w:rsid w:val="00584743"/>
    <w:rsid w:val="005848CB"/>
    <w:rsid w:val="00584981"/>
    <w:rsid w:val="00585409"/>
    <w:rsid w:val="005860E2"/>
    <w:rsid w:val="0058713A"/>
    <w:rsid w:val="0058761E"/>
    <w:rsid w:val="00590E25"/>
    <w:rsid w:val="00590E8D"/>
    <w:rsid w:val="00591AA4"/>
    <w:rsid w:val="00591C55"/>
    <w:rsid w:val="00592669"/>
    <w:rsid w:val="00592BC5"/>
    <w:rsid w:val="0059552F"/>
    <w:rsid w:val="005955CC"/>
    <w:rsid w:val="005957E5"/>
    <w:rsid w:val="005960D3"/>
    <w:rsid w:val="005960E3"/>
    <w:rsid w:val="00596261"/>
    <w:rsid w:val="00596BFE"/>
    <w:rsid w:val="00596D62"/>
    <w:rsid w:val="005973B8"/>
    <w:rsid w:val="00597946"/>
    <w:rsid w:val="00597A7B"/>
    <w:rsid w:val="005A0626"/>
    <w:rsid w:val="005A3AFD"/>
    <w:rsid w:val="005A3BBC"/>
    <w:rsid w:val="005A4228"/>
    <w:rsid w:val="005A4B13"/>
    <w:rsid w:val="005A4E93"/>
    <w:rsid w:val="005A523D"/>
    <w:rsid w:val="005A5576"/>
    <w:rsid w:val="005A5763"/>
    <w:rsid w:val="005A5939"/>
    <w:rsid w:val="005A6736"/>
    <w:rsid w:val="005A71BE"/>
    <w:rsid w:val="005A75A6"/>
    <w:rsid w:val="005B02A2"/>
    <w:rsid w:val="005B052F"/>
    <w:rsid w:val="005B118C"/>
    <w:rsid w:val="005B22D4"/>
    <w:rsid w:val="005B23A9"/>
    <w:rsid w:val="005B2744"/>
    <w:rsid w:val="005B29A8"/>
    <w:rsid w:val="005B29B5"/>
    <w:rsid w:val="005B30C0"/>
    <w:rsid w:val="005B331C"/>
    <w:rsid w:val="005B472A"/>
    <w:rsid w:val="005B4B31"/>
    <w:rsid w:val="005B5724"/>
    <w:rsid w:val="005B62E6"/>
    <w:rsid w:val="005B63BB"/>
    <w:rsid w:val="005B6AE8"/>
    <w:rsid w:val="005B6D77"/>
    <w:rsid w:val="005B6E42"/>
    <w:rsid w:val="005B753D"/>
    <w:rsid w:val="005B789A"/>
    <w:rsid w:val="005C07E2"/>
    <w:rsid w:val="005C0BBF"/>
    <w:rsid w:val="005C1B03"/>
    <w:rsid w:val="005C3209"/>
    <w:rsid w:val="005C413A"/>
    <w:rsid w:val="005C442F"/>
    <w:rsid w:val="005C50A1"/>
    <w:rsid w:val="005C5D3E"/>
    <w:rsid w:val="005C62A5"/>
    <w:rsid w:val="005C65F4"/>
    <w:rsid w:val="005D06C3"/>
    <w:rsid w:val="005D12EF"/>
    <w:rsid w:val="005D131D"/>
    <w:rsid w:val="005D1A14"/>
    <w:rsid w:val="005D1AF2"/>
    <w:rsid w:val="005D317A"/>
    <w:rsid w:val="005D352E"/>
    <w:rsid w:val="005D364E"/>
    <w:rsid w:val="005D3843"/>
    <w:rsid w:val="005D427C"/>
    <w:rsid w:val="005D4AD2"/>
    <w:rsid w:val="005D5199"/>
    <w:rsid w:val="005D57EC"/>
    <w:rsid w:val="005D5F24"/>
    <w:rsid w:val="005D5F4B"/>
    <w:rsid w:val="005D662F"/>
    <w:rsid w:val="005E0AFF"/>
    <w:rsid w:val="005E0DD1"/>
    <w:rsid w:val="005E11EF"/>
    <w:rsid w:val="005E13F8"/>
    <w:rsid w:val="005E3146"/>
    <w:rsid w:val="005E3265"/>
    <w:rsid w:val="005E32BF"/>
    <w:rsid w:val="005E3704"/>
    <w:rsid w:val="005E3E07"/>
    <w:rsid w:val="005E468E"/>
    <w:rsid w:val="005E49C7"/>
    <w:rsid w:val="005E4BAD"/>
    <w:rsid w:val="005E5BD0"/>
    <w:rsid w:val="005E6001"/>
    <w:rsid w:val="005E60D8"/>
    <w:rsid w:val="005E6BE5"/>
    <w:rsid w:val="005E777B"/>
    <w:rsid w:val="005F034D"/>
    <w:rsid w:val="005F039B"/>
    <w:rsid w:val="005F068F"/>
    <w:rsid w:val="005F07A8"/>
    <w:rsid w:val="005F09EC"/>
    <w:rsid w:val="005F1507"/>
    <w:rsid w:val="005F1677"/>
    <w:rsid w:val="005F233C"/>
    <w:rsid w:val="005F24D1"/>
    <w:rsid w:val="005F2582"/>
    <w:rsid w:val="005F2815"/>
    <w:rsid w:val="005F3049"/>
    <w:rsid w:val="005F315B"/>
    <w:rsid w:val="005F325B"/>
    <w:rsid w:val="005F350F"/>
    <w:rsid w:val="005F3F93"/>
    <w:rsid w:val="005F428D"/>
    <w:rsid w:val="005F42F4"/>
    <w:rsid w:val="005F495D"/>
    <w:rsid w:val="005F5B43"/>
    <w:rsid w:val="005F6077"/>
    <w:rsid w:val="005F6476"/>
    <w:rsid w:val="005F79FF"/>
    <w:rsid w:val="005F7B6A"/>
    <w:rsid w:val="005F7C0B"/>
    <w:rsid w:val="00600EE8"/>
    <w:rsid w:val="00600FE4"/>
    <w:rsid w:val="00601083"/>
    <w:rsid w:val="006023D3"/>
    <w:rsid w:val="006027AE"/>
    <w:rsid w:val="00602AC6"/>
    <w:rsid w:val="006034EF"/>
    <w:rsid w:val="00603554"/>
    <w:rsid w:val="00603BD3"/>
    <w:rsid w:val="0060430E"/>
    <w:rsid w:val="006043B5"/>
    <w:rsid w:val="00604E59"/>
    <w:rsid w:val="006059FB"/>
    <w:rsid w:val="00605F16"/>
    <w:rsid w:val="00610260"/>
    <w:rsid w:val="006103BE"/>
    <w:rsid w:val="006106D6"/>
    <w:rsid w:val="00611B66"/>
    <w:rsid w:val="00611BBA"/>
    <w:rsid w:val="00612229"/>
    <w:rsid w:val="006134D4"/>
    <w:rsid w:val="00614DE2"/>
    <w:rsid w:val="00615536"/>
    <w:rsid w:val="00615DDE"/>
    <w:rsid w:val="00615E3D"/>
    <w:rsid w:val="00616706"/>
    <w:rsid w:val="00616BA9"/>
    <w:rsid w:val="00616D0F"/>
    <w:rsid w:val="006170B5"/>
    <w:rsid w:val="0061784C"/>
    <w:rsid w:val="006216FA"/>
    <w:rsid w:val="00622717"/>
    <w:rsid w:val="00622B42"/>
    <w:rsid w:val="006243A8"/>
    <w:rsid w:val="006245BE"/>
    <w:rsid w:val="006246AC"/>
    <w:rsid w:val="00624AF9"/>
    <w:rsid w:val="00624C85"/>
    <w:rsid w:val="00625728"/>
    <w:rsid w:val="00625A88"/>
    <w:rsid w:val="0062638F"/>
    <w:rsid w:val="006268B0"/>
    <w:rsid w:val="00626A3A"/>
    <w:rsid w:val="00627079"/>
    <w:rsid w:val="0062748C"/>
    <w:rsid w:val="00627CEB"/>
    <w:rsid w:val="0063053B"/>
    <w:rsid w:val="00630954"/>
    <w:rsid w:val="00630BC1"/>
    <w:rsid w:val="00631740"/>
    <w:rsid w:val="00632F79"/>
    <w:rsid w:val="006330D2"/>
    <w:rsid w:val="00633EA5"/>
    <w:rsid w:val="006352DF"/>
    <w:rsid w:val="006370AE"/>
    <w:rsid w:val="00637442"/>
    <w:rsid w:val="00637E88"/>
    <w:rsid w:val="0064034B"/>
    <w:rsid w:val="00640566"/>
    <w:rsid w:val="00640BB6"/>
    <w:rsid w:val="00640CC8"/>
    <w:rsid w:val="00640E5D"/>
    <w:rsid w:val="00640FC7"/>
    <w:rsid w:val="0064127D"/>
    <w:rsid w:val="00644003"/>
    <w:rsid w:val="0064431D"/>
    <w:rsid w:val="00645BBA"/>
    <w:rsid w:val="0064684F"/>
    <w:rsid w:val="006470D0"/>
    <w:rsid w:val="00651CBC"/>
    <w:rsid w:val="00651ED1"/>
    <w:rsid w:val="00652E3D"/>
    <w:rsid w:val="00654BB0"/>
    <w:rsid w:val="00655EFD"/>
    <w:rsid w:val="00655FF7"/>
    <w:rsid w:val="0065622C"/>
    <w:rsid w:val="006564B4"/>
    <w:rsid w:val="00656589"/>
    <w:rsid w:val="0065777A"/>
    <w:rsid w:val="006603B5"/>
    <w:rsid w:val="00660A90"/>
    <w:rsid w:val="006617E8"/>
    <w:rsid w:val="00661D12"/>
    <w:rsid w:val="00661E2E"/>
    <w:rsid w:val="00662DF0"/>
    <w:rsid w:val="00663B9C"/>
    <w:rsid w:val="00663BE6"/>
    <w:rsid w:val="00664025"/>
    <w:rsid w:val="006648B8"/>
    <w:rsid w:val="00664B95"/>
    <w:rsid w:val="0066597D"/>
    <w:rsid w:val="006660FF"/>
    <w:rsid w:val="006662EA"/>
    <w:rsid w:val="0066719C"/>
    <w:rsid w:val="00667F79"/>
    <w:rsid w:val="00667F83"/>
    <w:rsid w:val="00670334"/>
    <w:rsid w:val="00670685"/>
    <w:rsid w:val="0067103F"/>
    <w:rsid w:val="00671499"/>
    <w:rsid w:val="006719F6"/>
    <w:rsid w:val="006720A4"/>
    <w:rsid w:val="00673436"/>
    <w:rsid w:val="00673466"/>
    <w:rsid w:val="0067379F"/>
    <w:rsid w:val="00673999"/>
    <w:rsid w:val="0067465B"/>
    <w:rsid w:val="00675764"/>
    <w:rsid w:val="006764F3"/>
    <w:rsid w:val="006769E8"/>
    <w:rsid w:val="0067767E"/>
    <w:rsid w:val="0068062D"/>
    <w:rsid w:val="00680B63"/>
    <w:rsid w:val="00681145"/>
    <w:rsid w:val="006814E2"/>
    <w:rsid w:val="006820A8"/>
    <w:rsid w:val="00682485"/>
    <w:rsid w:val="006825AF"/>
    <w:rsid w:val="00682E84"/>
    <w:rsid w:val="0068332E"/>
    <w:rsid w:val="00683697"/>
    <w:rsid w:val="00683D27"/>
    <w:rsid w:val="006845AB"/>
    <w:rsid w:val="006852E1"/>
    <w:rsid w:val="00685877"/>
    <w:rsid w:val="00685FC8"/>
    <w:rsid w:val="0068733A"/>
    <w:rsid w:val="00687B97"/>
    <w:rsid w:val="00687D6A"/>
    <w:rsid w:val="0069103D"/>
    <w:rsid w:val="00691527"/>
    <w:rsid w:val="00691A6B"/>
    <w:rsid w:val="00691EAB"/>
    <w:rsid w:val="00692B1F"/>
    <w:rsid w:val="00694252"/>
    <w:rsid w:val="00694BBA"/>
    <w:rsid w:val="006958FA"/>
    <w:rsid w:val="00695F0C"/>
    <w:rsid w:val="00696862"/>
    <w:rsid w:val="00697EF2"/>
    <w:rsid w:val="006A0EBC"/>
    <w:rsid w:val="006A170E"/>
    <w:rsid w:val="006A2434"/>
    <w:rsid w:val="006A4CF4"/>
    <w:rsid w:val="006A5CF3"/>
    <w:rsid w:val="006A6111"/>
    <w:rsid w:val="006A6F3A"/>
    <w:rsid w:val="006A75EC"/>
    <w:rsid w:val="006A76EA"/>
    <w:rsid w:val="006B0E15"/>
    <w:rsid w:val="006B17D1"/>
    <w:rsid w:val="006B454A"/>
    <w:rsid w:val="006B5743"/>
    <w:rsid w:val="006B61A5"/>
    <w:rsid w:val="006B61B8"/>
    <w:rsid w:val="006B6BC8"/>
    <w:rsid w:val="006B7161"/>
    <w:rsid w:val="006B741E"/>
    <w:rsid w:val="006B75EA"/>
    <w:rsid w:val="006B76F1"/>
    <w:rsid w:val="006B7898"/>
    <w:rsid w:val="006C131D"/>
    <w:rsid w:val="006C17AF"/>
    <w:rsid w:val="006C17C1"/>
    <w:rsid w:val="006C2FDA"/>
    <w:rsid w:val="006C3440"/>
    <w:rsid w:val="006C4A91"/>
    <w:rsid w:val="006C5FCD"/>
    <w:rsid w:val="006C61CB"/>
    <w:rsid w:val="006C657C"/>
    <w:rsid w:val="006C69A8"/>
    <w:rsid w:val="006C6A12"/>
    <w:rsid w:val="006C6C28"/>
    <w:rsid w:val="006C6E32"/>
    <w:rsid w:val="006D0281"/>
    <w:rsid w:val="006D065F"/>
    <w:rsid w:val="006D1EA5"/>
    <w:rsid w:val="006D20E2"/>
    <w:rsid w:val="006D281E"/>
    <w:rsid w:val="006D296F"/>
    <w:rsid w:val="006D315B"/>
    <w:rsid w:val="006D380A"/>
    <w:rsid w:val="006D3F8F"/>
    <w:rsid w:val="006D4152"/>
    <w:rsid w:val="006D4741"/>
    <w:rsid w:val="006D5048"/>
    <w:rsid w:val="006D5654"/>
    <w:rsid w:val="006D5882"/>
    <w:rsid w:val="006D630A"/>
    <w:rsid w:val="006D7521"/>
    <w:rsid w:val="006E022A"/>
    <w:rsid w:val="006E04C2"/>
    <w:rsid w:val="006E04FF"/>
    <w:rsid w:val="006E0E71"/>
    <w:rsid w:val="006E2313"/>
    <w:rsid w:val="006E25E6"/>
    <w:rsid w:val="006E35A4"/>
    <w:rsid w:val="006E3A55"/>
    <w:rsid w:val="006E40F0"/>
    <w:rsid w:val="006E56E2"/>
    <w:rsid w:val="006E5CCF"/>
    <w:rsid w:val="006E6257"/>
    <w:rsid w:val="006E6D72"/>
    <w:rsid w:val="006F01EE"/>
    <w:rsid w:val="006F0575"/>
    <w:rsid w:val="006F087A"/>
    <w:rsid w:val="006F11B4"/>
    <w:rsid w:val="006F14E3"/>
    <w:rsid w:val="006F15EE"/>
    <w:rsid w:val="006F1964"/>
    <w:rsid w:val="006F2AA6"/>
    <w:rsid w:val="006F4CFE"/>
    <w:rsid w:val="006F5336"/>
    <w:rsid w:val="006F5904"/>
    <w:rsid w:val="006F5C1A"/>
    <w:rsid w:val="006F64F0"/>
    <w:rsid w:val="006F705A"/>
    <w:rsid w:val="006F7CD1"/>
    <w:rsid w:val="006F7D0B"/>
    <w:rsid w:val="00700688"/>
    <w:rsid w:val="00700F7B"/>
    <w:rsid w:val="00703060"/>
    <w:rsid w:val="007050FD"/>
    <w:rsid w:val="007051BD"/>
    <w:rsid w:val="00705E20"/>
    <w:rsid w:val="00706B8E"/>
    <w:rsid w:val="007071A1"/>
    <w:rsid w:val="00707242"/>
    <w:rsid w:val="007078D2"/>
    <w:rsid w:val="00707B13"/>
    <w:rsid w:val="00711A2A"/>
    <w:rsid w:val="00711BD5"/>
    <w:rsid w:val="0071221C"/>
    <w:rsid w:val="0071230C"/>
    <w:rsid w:val="00712D2D"/>
    <w:rsid w:val="00713719"/>
    <w:rsid w:val="00713878"/>
    <w:rsid w:val="007142F7"/>
    <w:rsid w:val="007144FE"/>
    <w:rsid w:val="00715215"/>
    <w:rsid w:val="00717260"/>
    <w:rsid w:val="007219D9"/>
    <w:rsid w:val="00721D6B"/>
    <w:rsid w:val="00721E7E"/>
    <w:rsid w:val="00722D6A"/>
    <w:rsid w:val="00722DE4"/>
    <w:rsid w:val="0072337B"/>
    <w:rsid w:val="00723C85"/>
    <w:rsid w:val="0072497F"/>
    <w:rsid w:val="007258E9"/>
    <w:rsid w:val="00725F0A"/>
    <w:rsid w:val="0072779C"/>
    <w:rsid w:val="00730191"/>
    <w:rsid w:val="007306B4"/>
    <w:rsid w:val="0073190C"/>
    <w:rsid w:val="00731B1C"/>
    <w:rsid w:val="00731DA2"/>
    <w:rsid w:val="00732B4B"/>
    <w:rsid w:val="00732E91"/>
    <w:rsid w:val="00732FF5"/>
    <w:rsid w:val="00734FFA"/>
    <w:rsid w:val="0073533A"/>
    <w:rsid w:val="00736C9B"/>
    <w:rsid w:val="00736EEC"/>
    <w:rsid w:val="00736F6D"/>
    <w:rsid w:val="007374F9"/>
    <w:rsid w:val="00737805"/>
    <w:rsid w:val="007379AD"/>
    <w:rsid w:val="00740EA3"/>
    <w:rsid w:val="007415C4"/>
    <w:rsid w:val="0074188B"/>
    <w:rsid w:val="00741CB6"/>
    <w:rsid w:val="007420E0"/>
    <w:rsid w:val="0074265C"/>
    <w:rsid w:val="00743ADF"/>
    <w:rsid w:val="0074497F"/>
    <w:rsid w:val="00744BDB"/>
    <w:rsid w:val="00744E06"/>
    <w:rsid w:val="00745BAB"/>
    <w:rsid w:val="00745E49"/>
    <w:rsid w:val="0074650D"/>
    <w:rsid w:val="00746626"/>
    <w:rsid w:val="00746988"/>
    <w:rsid w:val="0075013D"/>
    <w:rsid w:val="007502F7"/>
    <w:rsid w:val="0075104F"/>
    <w:rsid w:val="007514D8"/>
    <w:rsid w:val="00751AE9"/>
    <w:rsid w:val="00751B65"/>
    <w:rsid w:val="00751C91"/>
    <w:rsid w:val="0075289C"/>
    <w:rsid w:val="00753FB0"/>
    <w:rsid w:val="0075537C"/>
    <w:rsid w:val="007568A0"/>
    <w:rsid w:val="007573C4"/>
    <w:rsid w:val="007575E9"/>
    <w:rsid w:val="00757E6E"/>
    <w:rsid w:val="00760573"/>
    <w:rsid w:val="00761B15"/>
    <w:rsid w:val="007629EA"/>
    <w:rsid w:val="00762C04"/>
    <w:rsid w:val="0076653C"/>
    <w:rsid w:val="0076661B"/>
    <w:rsid w:val="0076777C"/>
    <w:rsid w:val="007677D9"/>
    <w:rsid w:val="007705B8"/>
    <w:rsid w:val="00771EBB"/>
    <w:rsid w:val="00773825"/>
    <w:rsid w:val="007755E6"/>
    <w:rsid w:val="0077561E"/>
    <w:rsid w:val="00775BA4"/>
    <w:rsid w:val="00776A97"/>
    <w:rsid w:val="007775D6"/>
    <w:rsid w:val="00780234"/>
    <w:rsid w:val="00780F6D"/>
    <w:rsid w:val="007816FC"/>
    <w:rsid w:val="00781B12"/>
    <w:rsid w:val="00782224"/>
    <w:rsid w:val="00782C1A"/>
    <w:rsid w:val="00782EB7"/>
    <w:rsid w:val="00783110"/>
    <w:rsid w:val="00783380"/>
    <w:rsid w:val="00783DA0"/>
    <w:rsid w:val="00783F49"/>
    <w:rsid w:val="00784F8B"/>
    <w:rsid w:val="00785449"/>
    <w:rsid w:val="007872F7"/>
    <w:rsid w:val="00790DF9"/>
    <w:rsid w:val="00791578"/>
    <w:rsid w:val="007919F2"/>
    <w:rsid w:val="00791DC8"/>
    <w:rsid w:val="0079266F"/>
    <w:rsid w:val="007926B7"/>
    <w:rsid w:val="00792855"/>
    <w:rsid w:val="0079287C"/>
    <w:rsid w:val="007928D8"/>
    <w:rsid w:val="00792BCD"/>
    <w:rsid w:val="00792C3D"/>
    <w:rsid w:val="00792EC3"/>
    <w:rsid w:val="007934E1"/>
    <w:rsid w:val="0079409D"/>
    <w:rsid w:val="0079419C"/>
    <w:rsid w:val="0079474E"/>
    <w:rsid w:val="0079491B"/>
    <w:rsid w:val="007952F9"/>
    <w:rsid w:val="00795A6B"/>
    <w:rsid w:val="00796F85"/>
    <w:rsid w:val="007A064B"/>
    <w:rsid w:val="007A3D38"/>
    <w:rsid w:val="007A45AD"/>
    <w:rsid w:val="007A5129"/>
    <w:rsid w:val="007A5C85"/>
    <w:rsid w:val="007A5E60"/>
    <w:rsid w:val="007A662C"/>
    <w:rsid w:val="007A684E"/>
    <w:rsid w:val="007A6E2E"/>
    <w:rsid w:val="007B03B2"/>
    <w:rsid w:val="007B03D8"/>
    <w:rsid w:val="007B09C1"/>
    <w:rsid w:val="007B14F2"/>
    <w:rsid w:val="007B1B41"/>
    <w:rsid w:val="007B1B48"/>
    <w:rsid w:val="007B3012"/>
    <w:rsid w:val="007B3255"/>
    <w:rsid w:val="007B3579"/>
    <w:rsid w:val="007B3E18"/>
    <w:rsid w:val="007B56B3"/>
    <w:rsid w:val="007B5BF5"/>
    <w:rsid w:val="007B644B"/>
    <w:rsid w:val="007B6676"/>
    <w:rsid w:val="007B6DB4"/>
    <w:rsid w:val="007B6FB0"/>
    <w:rsid w:val="007B7567"/>
    <w:rsid w:val="007B79D4"/>
    <w:rsid w:val="007C000C"/>
    <w:rsid w:val="007C046B"/>
    <w:rsid w:val="007C0782"/>
    <w:rsid w:val="007C2EC4"/>
    <w:rsid w:val="007C3375"/>
    <w:rsid w:val="007C4653"/>
    <w:rsid w:val="007C46BD"/>
    <w:rsid w:val="007C4A20"/>
    <w:rsid w:val="007C5524"/>
    <w:rsid w:val="007C61F7"/>
    <w:rsid w:val="007C6272"/>
    <w:rsid w:val="007C746B"/>
    <w:rsid w:val="007C7867"/>
    <w:rsid w:val="007D0160"/>
    <w:rsid w:val="007D0901"/>
    <w:rsid w:val="007D091F"/>
    <w:rsid w:val="007D0A11"/>
    <w:rsid w:val="007D0A56"/>
    <w:rsid w:val="007D1240"/>
    <w:rsid w:val="007D1279"/>
    <w:rsid w:val="007D20D8"/>
    <w:rsid w:val="007D23E1"/>
    <w:rsid w:val="007D267C"/>
    <w:rsid w:val="007D26BC"/>
    <w:rsid w:val="007D2889"/>
    <w:rsid w:val="007D37B0"/>
    <w:rsid w:val="007D3C02"/>
    <w:rsid w:val="007D4FFB"/>
    <w:rsid w:val="007D5A8E"/>
    <w:rsid w:val="007D5AE5"/>
    <w:rsid w:val="007D5DF8"/>
    <w:rsid w:val="007D67A9"/>
    <w:rsid w:val="007D685A"/>
    <w:rsid w:val="007D6EDC"/>
    <w:rsid w:val="007D7F16"/>
    <w:rsid w:val="007E02E9"/>
    <w:rsid w:val="007E1275"/>
    <w:rsid w:val="007E14DC"/>
    <w:rsid w:val="007E15EE"/>
    <w:rsid w:val="007E17C8"/>
    <w:rsid w:val="007E1BBB"/>
    <w:rsid w:val="007E1ECD"/>
    <w:rsid w:val="007E2924"/>
    <w:rsid w:val="007E2CD3"/>
    <w:rsid w:val="007E2FC1"/>
    <w:rsid w:val="007E37DA"/>
    <w:rsid w:val="007E3AB0"/>
    <w:rsid w:val="007E44A8"/>
    <w:rsid w:val="007E4926"/>
    <w:rsid w:val="007E4AAE"/>
    <w:rsid w:val="007E5462"/>
    <w:rsid w:val="007E5D86"/>
    <w:rsid w:val="007E688D"/>
    <w:rsid w:val="007E6AFF"/>
    <w:rsid w:val="007E7135"/>
    <w:rsid w:val="007F0491"/>
    <w:rsid w:val="007F095B"/>
    <w:rsid w:val="007F0FC3"/>
    <w:rsid w:val="007F2400"/>
    <w:rsid w:val="007F260C"/>
    <w:rsid w:val="007F2757"/>
    <w:rsid w:val="007F328F"/>
    <w:rsid w:val="007F514B"/>
    <w:rsid w:val="007F6DB4"/>
    <w:rsid w:val="007F7515"/>
    <w:rsid w:val="007F7577"/>
    <w:rsid w:val="00800093"/>
    <w:rsid w:val="00802B2A"/>
    <w:rsid w:val="008031C3"/>
    <w:rsid w:val="00803B09"/>
    <w:rsid w:val="00803CD9"/>
    <w:rsid w:val="0080405C"/>
    <w:rsid w:val="00804196"/>
    <w:rsid w:val="00804448"/>
    <w:rsid w:val="00804483"/>
    <w:rsid w:val="00804A8E"/>
    <w:rsid w:val="00804B93"/>
    <w:rsid w:val="00804E4A"/>
    <w:rsid w:val="008059B6"/>
    <w:rsid w:val="00805E89"/>
    <w:rsid w:val="008062CF"/>
    <w:rsid w:val="008064BA"/>
    <w:rsid w:val="0080687E"/>
    <w:rsid w:val="008101AC"/>
    <w:rsid w:val="008101C5"/>
    <w:rsid w:val="00812122"/>
    <w:rsid w:val="008121CA"/>
    <w:rsid w:val="00813D26"/>
    <w:rsid w:val="00815D19"/>
    <w:rsid w:val="0081780B"/>
    <w:rsid w:val="00817A98"/>
    <w:rsid w:val="008200AE"/>
    <w:rsid w:val="00820FD5"/>
    <w:rsid w:val="00821906"/>
    <w:rsid w:val="00822019"/>
    <w:rsid w:val="0082227F"/>
    <w:rsid w:val="0082262D"/>
    <w:rsid w:val="00822C4C"/>
    <w:rsid w:val="008231A6"/>
    <w:rsid w:val="008234F4"/>
    <w:rsid w:val="00823576"/>
    <w:rsid w:val="008239F6"/>
    <w:rsid w:val="00823B68"/>
    <w:rsid w:val="00824652"/>
    <w:rsid w:val="0082489A"/>
    <w:rsid w:val="008262BA"/>
    <w:rsid w:val="00826C49"/>
    <w:rsid w:val="008303DB"/>
    <w:rsid w:val="00830EE0"/>
    <w:rsid w:val="00831676"/>
    <w:rsid w:val="00832360"/>
    <w:rsid w:val="00832D83"/>
    <w:rsid w:val="00833914"/>
    <w:rsid w:val="00833F10"/>
    <w:rsid w:val="00835564"/>
    <w:rsid w:val="008362C1"/>
    <w:rsid w:val="0083791C"/>
    <w:rsid w:val="00837E27"/>
    <w:rsid w:val="00840235"/>
    <w:rsid w:val="00840240"/>
    <w:rsid w:val="00840A5F"/>
    <w:rsid w:val="008418D7"/>
    <w:rsid w:val="00841903"/>
    <w:rsid w:val="00841A7E"/>
    <w:rsid w:val="00841ACE"/>
    <w:rsid w:val="008420E7"/>
    <w:rsid w:val="008421ED"/>
    <w:rsid w:val="00842FE4"/>
    <w:rsid w:val="00843C8A"/>
    <w:rsid w:val="008448AC"/>
    <w:rsid w:val="008454C6"/>
    <w:rsid w:val="008466FA"/>
    <w:rsid w:val="0085044F"/>
    <w:rsid w:val="00851B9B"/>
    <w:rsid w:val="00851E54"/>
    <w:rsid w:val="0085234C"/>
    <w:rsid w:val="008526E6"/>
    <w:rsid w:val="0085271B"/>
    <w:rsid w:val="00852F91"/>
    <w:rsid w:val="00853669"/>
    <w:rsid w:val="00853FFC"/>
    <w:rsid w:val="008551F3"/>
    <w:rsid w:val="00856600"/>
    <w:rsid w:val="0085676B"/>
    <w:rsid w:val="0085733D"/>
    <w:rsid w:val="0086021F"/>
    <w:rsid w:val="00861307"/>
    <w:rsid w:val="00861B8B"/>
    <w:rsid w:val="0086207B"/>
    <w:rsid w:val="00862494"/>
    <w:rsid w:val="008628EF"/>
    <w:rsid w:val="00863B97"/>
    <w:rsid w:val="00864448"/>
    <w:rsid w:val="008644FF"/>
    <w:rsid w:val="00864E94"/>
    <w:rsid w:val="00865759"/>
    <w:rsid w:val="00865942"/>
    <w:rsid w:val="0086650B"/>
    <w:rsid w:val="00867047"/>
    <w:rsid w:val="008707B4"/>
    <w:rsid w:val="00870FC5"/>
    <w:rsid w:val="008712CE"/>
    <w:rsid w:val="00871DAE"/>
    <w:rsid w:val="008728DA"/>
    <w:rsid w:val="00872F50"/>
    <w:rsid w:val="00873009"/>
    <w:rsid w:val="008736F9"/>
    <w:rsid w:val="00873D6A"/>
    <w:rsid w:val="008749C0"/>
    <w:rsid w:val="008753E8"/>
    <w:rsid w:val="008754C9"/>
    <w:rsid w:val="00875EA7"/>
    <w:rsid w:val="00876F07"/>
    <w:rsid w:val="00876F34"/>
    <w:rsid w:val="008776F0"/>
    <w:rsid w:val="008776FD"/>
    <w:rsid w:val="00880D6D"/>
    <w:rsid w:val="008810D5"/>
    <w:rsid w:val="008814D8"/>
    <w:rsid w:val="00881C90"/>
    <w:rsid w:val="008833E5"/>
    <w:rsid w:val="00883544"/>
    <w:rsid w:val="008835FC"/>
    <w:rsid w:val="008839DB"/>
    <w:rsid w:val="00883F38"/>
    <w:rsid w:val="00884011"/>
    <w:rsid w:val="00884441"/>
    <w:rsid w:val="0088524A"/>
    <w:rsid w:val="00886698"/>
    <w:rsid w:val="00886AAA"/>
    <w:rsid w:val="00886B8E"/>
    <w:rsid w:val="008870A5"/>
    <w:rsid w:val="00887533"/>
    <w:rsid w:val="008914A0"/>
    <w:rsid w:val="00891722"/>
    <w:rsid w:val="0089404B"/>
    <w:rsid w:val="00894301"/>
    <w:rsid w:val="008950DF"/>
    <w:rsid w:val="00897216"/>
    <w:rsid w:val="00897526"/>
    <w:rsid w:val="008A053C"/>
    <w:rsid w:val="008A0AA3"/>
    <w:rsid w:val="008A0D35"/>
    <w:rsid w:val="008A0E10"/>
    <w:rsid w:val="008A119E"/>
    <w:rsid w:val="008A11DC"/>
    <w:rsid w:val="008A1395"/>
    <w:rsid w:val="008A13C6"/>
    <w:rsid w:val="008A23C9"/>
    <w:rsid w:val="008A2E76"/>
    <w:rsid w:val="008A3455"/>
    <w:rsid w:val="008A3CFB"/>
    <w:rsid w:val="008A4535"/>
    <w:rsid w:val="008A4610"/>
    <w:rsid w:val="008A476C"/>
    <w:rsid w:val="008A4AE6"/>
    <w:rsid w:val="008A572D"/>
    <w:rsid w:val="008A5EDB"/>
    <w:rsid w:val="008A68D5"/>
    <w:rsid w:val="008A7A87"/>
    <w:rsid w:val="008B00BB"/>
    <w:rsid w:val="008B0F64"/>
    <w:rsid w:val="008B1322"/>
    <w:rsid w:val="008B1F09"/>
    <w:rsid w:val="008B206D"/>
    <w:rsid w:val="008B20D7"/>
    <w:rsid w:val="008B328B"/>
    <w:rsid w:val="008B32C9"/>
    <w:rsid w:val="008B3462"/>
    <w:rsid w:val="008B4FC2"/>
    <w:rsid w:val="008B5E7F"/>
    <w:rsid w:val="008B63E6"/>
    <w:rsid w:val="008B7641"/>
    <w:rsid w:val="008B7BE2"/>
    <w:rsid w:val="008C0E01"/>
    <w:rsid w:val="008C1263"/>
    <w:rsid w:val="008C44A9"/>
    <w:rsid w:val="008C5642"/>
    <w:rsid w:val="008C5B87"/>
    <w:rsid w:val="008C5E1E"/>
    <w:rsid w:val="008C7471"/>
    <w:rsid w:val="008C7E55"/>
    <w:rsid w:val="008D0AE1"/>
    <w:rsid w:val="008D130C"/>
    <w:rsid w:val="008D2333"/>
    <w:rsid w:val="008D32D0"/>
    <w:rsid w:val="008D4346"/>
    <w:rsid w:val="008D44FE"/>
    <w:rsid w:val="008D4975"/>
    <w:rsid w:val="008D4ED6"/>
    <w:rsid w:val="008D5DC1"/>
    <w:rsid w:val="008D7BFE"/>
    <w:rsid w:val="008E100A"/>
    <w:rsid w:val="008E1436"/>
    <w:rsid w:val="008E189A"/>
    <w:rsid w:val="008E1C51"/>
    <w:rsid w:val="008E1CD1"/>
    <w:rsid w:val="008E1D7E"/>
    <w:rsid w:val="008E2D10"/>
    <w:rsid w:val="008E3355"/>
    <w:rsid w:val="008E3617"/>
    <w:rsid w:val="008E3DB1"/>
    <w:rsid w:val="008E4844"/>
    <w:rsid w:val="008E4A37"/>
    <w:rsid w:val="008E4EAE"/>
    <w:rsid w:val="008E6A6D"/>
    <w:rsid w:val="008E6D5E"/>
    <w:rsid w:val="008E70A1"/>
    <w:rsid w:val="008E72F2"/>
    <w:rsid w:val="008E77E4"/>
    <w:rsid w:val="008E7BF2"/>
    <w:rsid w:val="008F0657"/>
    <w:rsid w:val="008F0A4A"/>
    <w:rsid w:val="008F1412"/>
    <w:rsid w:val="008F16FF"/>
    <w:rsid w:val="008F2167"/>
    <w:rsid w:val="008F271A"/>
    <w:rsid w:val="008F35C1"/>
    <w:rsid w:val="008F387B"/>
    <w:rsid w:val="008F3D2E"/>
    <w:rsid w:val="008F4070"/>
    <w:rsid w:val="008F4DDA"/>
    <w:rsid w:val="008F5CBC"/>
    <w:rsid w:val="008F684D"/>
    <w:rsid w:val="008F6853"/>
    <w:rsid w:val="008F7311"/>
    <w:rsid w:val="008F73F1"/>
    <w:rsid w:val="008F7A1E"/>
    <w:rsid w:val="00900DC5"/>
    <w:rsid w:val="00900DF2"/>
    <w:rsid w:val="00900F4C"/>
    <w:rsid w:val="0090138A"/>
    <w:rsid w:val="00901B0C"/>
    <w:rsid w:val="00902190"/>
    <w:rsid w:val="009026F9"/>
    <w:rsid w:val="00903BDA"/>
    <w:rsid w:val="00903E89"/>
    <w:rsid w:val="00904447"/>
    <w:rsid w:val="009057B3"/>
    <w:rsid w:val="0090587F"/>
    <w:rsid w:val="00905D4C"/>
    <w:rsid w:val="00906111"/>
    <w:rsid w:val="00906205"/>
    <w:rsid w:val="00906556"/>
    <w:rsid w:val="00906B5B"/>
    <w:rsid w:val="00906CA9"/>
    <w:rsid w:val="00906D5D"/>
    <w:rsid w:val="00907667"/>
    <w:rsid w:val="00907CA3"/>
    <w:rsid w:val="00907FB5"/>
    <w:rsid w:val="0091045C"/>
    <w:rsid w:val="00910FA7"/>
    <w:rsid w:val="009110E0"/>
    <w:rsid w:val="009111C6"/>
    <w:rsid w:val="00911625"/>
    <w:rsid w:val="00911CD7"/>
    <w:rsid w:val="00912497"/>
    <w:rsid w:val="009124B3"/>
    <w:rsid w:val="00912806"/>
    <w:rsid w:val="00912A83"/>
    <w:rsid w:val="00913179"/>
    <w:rsid w:val="009138C2"/>
    <w:rsid w:val="009139FA"/>
    <w:rsid w:val="00913A25"/>
    <w:rsid w:val="00913BBD"/>
    <w:rsid w:val="00914809"/>
    <w:rsid w:val="00914CD6"/>
    <w:rsid w:val="00914F1B"/>
    <w:rsid w:val="00915DA5"/>
    <w:rsid w:val="009160DE"/>
    <w:rsid w:val="00916E6C"/>
    <w:rsid w:val="009174A4"/>
    <w:rsid w:val="0092088F"/>
    <w:rsid w:val="00921514"/>
    <w:rsid w:val="00921723"/>
    <w:rsid w:val="00922E7F"/>
    <w:rsid w:val="00924300"/>
    <w:rsid w:val="00924A81"/>
    <w:rsid w:val="00925399"/>
    <w:rsid w:val="00926604"/>
    <w:rsid w:val="0092665C"/>
    <w:rsid w:val="009266CC"/>
    <w:rsid w:val="00926BD0"/>
    <w:rsid w:val="0092722C"/>
    <w:rsid w:val="00930836"/>
    <w:rsid w:val="00930CEF"/>
    <w:rsid w:val="00930EC2"/>
    <w:rsid w:val="009312F7"/>
    <w:rsid w:val="00931744"/>
    <w:rsid w:val="00931970"/>
    <w:rsid w:val="00931A10"/>
    <w:rsid w:val="00931E36"/>
    <w:rsid w:val="00932391"/>
    <w:rsid w:val="009329C5"/>
    <w:rsid w:val="00932ED7"/>
    <w:rsid w:val="009330BD"/>
    <w:rsid w:val="00933AC7"/>
    <w:rsid w:val="00933B6F"/>
    <w:rsid w:val="009340A9"/>
    <w:rsid w:val="00934661"/>
    <w:rsid w:val="00935BD9"/>
    <w:rsid w:val="00935CEF"/>
    <w:rsid w:val="00935E51"/>
    <w:rsid w:val="009360BF"/>
    <w:rsid w:val="00936B58"/>
    <w:rsid w:val="00936C79"/>
    <w:rsid w:val="00936EB8"/>
    <w:rsid w:val="00936FEF"/>
    <w:rsid w:val="0093781D"/>
    <w:rsid w:val="0093792F"/>
    <w:rsid w:val="00941D1A"/>
    <w:rsid w:val="00941E74"/>
    <w:rsid w:val="0094323C"/>
    <w:rsid w:val="0094374D"/>
    <w:rsid w:val="009437DB"/>
    <w:rsid w:val="0094414B"/>
    <w:rsid w:val="00944A8F"/>
    <w:rsid w:val="009457E1"/>
    <w:rsid w:val="009458DD"/>
    <w:rsid w:val="00946914"/>
    <w:rsid w:val="00946A98"/>
    <w:rsid w:val="00946DF7"/>
    <w:rsid w:val="0094763B"/>
    <w:rsid w:val="00947CC2"/>
    <w:rsid w:val="00951ECA"/>
    <w:rsid w:val="00953194"/>
    <w:rsid w:val="0095337F"/>
    <w:rsid w:val="00953C2C"/>
    <w:rsid w:val="00955EF8"/>
    <w:rsid w:val="0095658A"/>
    <w:rsid w:val="0095699F"/>
    <w:rsid w:val="00956EAD"/>
    <w:rsid w:val="009574AD"/>
    <w:rsid w:val="009577D1"/>
    <w:rsid w:val="00960674"/>
    <w:rsid w:val="009616CE"/>
    <w:rsid w:val="0096170E"/>
    <w:rsid w:val="00961C89"/>
    <w:rsid w:val="00961DF1"/>
    <w:rsid w:val="0096210C"/>
    <w:rsid w:val="009628C8"/>
    <w:rsid w:val="0096333C"/>
    <w:rsid w:val="009633D5"/>
    <w:rsid w:val="0096385A"/>
    <w:rsid w:val="0096397A"/>
    <w:rsid w:val="00963C56"/>
    <w:rsid w:val="00964128"/>
    <w:rsid w:val="00964517"/>
    <w:rsid w:val="00964FBB"/>
    <w:rsid w:val="009659CA"/>
    <w:rsid w:val="00965DA6"/>
    <w:rsid w:val="0096613A"/>
    <w:rsid w:val="00966E1F"/>
    <w:rsid w:val="00967410"/>
    <w:rsid w:val="0096794C"/>
    <w:rsid w:val="00967EBC"/>
    <w:rsid w:val="0097049F"/>
    <w:rsid w:val="00970D07"/>
    <w:rsid w:val="0097101A"/>
    <w:rsid w:val="00971F5D"/>
    <w:rsid w:val="009722E8"/>
    <w:rsid w:val="009740D8"/>
    <w:rsid w:val="009745BD"/>
    <w:rsid w:val="009748E5"/>
    <w:rsid w:val="00974C62"/>
    <w:rsid w:val="00975050"/>
    <w:rsid w:val="00975171"/>
    <w:rsid w:val="00975428"/>
    <w:rsid w:val="0097556B"/>
    <w:rsid w:val="00976776"/>
    <w:rsid w:val="00977224"/>
    <w:rsid w:val="00977AD4"/>
    <w:rsid w:val="009813C5"/>
    <w:rsid w:val="00981FF6"/>
    <w:rsid w:val="00982404"/>
    <w:rsid w:val="00983281"/>
    <w:rsid w:val="00983FFB"/>
    <w:rsid w:val="0098518E"/>
    <w:rsid w:val="00985488"/>
    <w:rsid w:val="009855BB"/>
    <w:rsid w:val="0098590B"/>
    <w:rsid w:val="00986845"/>
    <w:rsid w:val="0098791E"/>
    <w:rsid w:val="00987E57"/>
    <w:rsid w:val="009904D9"/>
    <w:rsid w:val="00991126"/>
    <w:rsid w:val="00991F0D"/>
    <w:rsid w:val="00992D5C"/>
    <w:rsid w:val="00992F51"/>
    <w:rsid w:val="009931A5"/>
    <w:rsid w:val="00993327"/>
    <w:rsid w:val="00993718"/>
    <w:rsid w:val="0099471E"/>
    <w:rsid w:val="00994998"/>
    <w:rsid w:val="00994C0B"/>
    <w:rsid w:val="009964D7"/>
    <w:rsid w:val="0099659B"/>
    <w:rsid w:val="009966DF"/>
    <w:rsid w:val="00996DA2"/>
    <w:rsid w:val="00997403"/>
    <w:rsid w:val="009A09D7"/>
    <w:rsid w:val="009A1A75"/>
    <w:rsid w:val="009A21D2"/>
    <w:rsid w:val="009A21D8"/>
    <w:rsid w:val="009A2291"/>
    <w:rsid w:val="009A2D76"/>
    <w:rsid w:val="009A3FB6"/>
    <w:rsid w:val="009A41D4"/>
    <w:rsid w:val="009A4CD7"/>
    <w:rsid w:val="009A4D3B"/>
    <w:rsid w:val="009A530A"/>
    <w:rsid w:val="009A5762"/>
    <w:rsid w:val="009A63E5"/>
    <w:rsid w:val="009A659D"/>
    <w:rsid w:val="009A6FD0"/>
    <w:rsid w:val="009A714F"/>
    <w:rsid w:val="009A78F4"/>
    <w:rsid w:val="009B11AE"/>
    <w:rsid w:val="009B1769"/>
    <w:rsid w:val="009B17F3"/>
    <w:rsid w:val="009B2832"/>
    <w:rsid w:val="009B2894"/>
    <w:rsid w:val="009B29B8"/>
    <w:rsid w:val="009B31A7"/>
    <w:rsid w:val="009B40BD"/>
    <w:rsid w:val="009B470B"/>
    <w:rsid w:val="009B481B"/>
    <w:rsid w:val="009B4DC0"/>
    <w:rsid w:val="009B51B0"/>
    <w:rsid w:val="009B53F9"/>
    <w:rsid w:val="009B5A8C"/>
    <w:rsid w:val="009B5B95"/>
    <w:rsid w:val="009B5D20"/>
    <w:rsid w:val="009B5FD4"/>
    <w:rsid w:val="009B6232"/>
    <w:rsid w:val="009B6A5E"/>
    <w:rsid w:val="009B7194"/>
    <w:rsid w:val="009B7BA2"/>
    <w:rsid w:val="009C0397"/>
    <w:rsid w:val="009C0B79"/>
    <w:rsid w:val="009C0C72"/>
    <w:rsid w:val="009C15CC"/>
    <w:rsid w:val="009C1EDF"/>
    <w:rsid w:val="009C21A2"/>
    <w:rsid w:val="009C224A"/>
    <w:rsid w:val="009C24DE"/>
    <w:rsid w:val="009C2C8E"/>
    <w:rsid w:val="009C2F44"/>
    <w:rsid w:val="009C3D0F"/>
    <w:rsid w:val="009C50ED"/>
    <w:rsid w:val="009C56E5"/>
    <w:rsid w:val="009C66C9"/>
    <w:rsid w:val="009C7EC1"/>
    <w:rsid w:val="009D0BC1"/>
    <w:rsid w:val="009D13BD"/>
    <w:rsid w:val="009D13CA"/>
    <w:rsid w:val="009D1520"/>
    <w:rsid w:val="009D1817"/>
    <w:rsid w:val="009D1EA1"/>
    <w:rsid w:val="009D2E7F"/>
    <w:rsid w:val="009D30B5"/>
    <w:rsid w:val="009D33F8"/>
    <w:rsid w:val="009D35A2"/>
    <w:rsid w:val="009D3DAB"/>
    <w:rsid w:val="009D4067"/>
    <w:rsid w:val="009D49BC"/>
    <w:rsid w:val="009D4A66"/>
    <w:rsid w:val="009D4A83"/>
    <w:rsid w:val="009D4BAC"/>
    <w:rsid w:val="009D517F"/>
    <w:rsid w:val="009D659D"/>
    <w:rsid w:val="009D65F5"/>
    <w:rsid w:val="009D75A3"/>
    <w:rsid w:val="009D7E97"/>
    <w:rsid w:val="009E0B34"/>
    <w:rsid w:val="009E28EB"/>
    <w:rsid w:val="009E3409"/>
    <w:rsid w:val="009E34D1"/>
    <w:rsid w:val="009E3ADB"/>
    <w:rsid w:val="009E404E"/>
    <w:rsid w:val="009E4257"/>
    <w:rsid w:val="009E462A"/>
    <w:rsid w:val="009E4E0E"/>
    <w:rsid w:val="009E6130"/>
    <w:rsid w:val="009E67D7"/>
    <w:rsid w:val="009E70DB"/>
    <w:rsid w:val="009E781B"/>
    <w:rsid w:val="009E79A8"/>
    <w:rsid w:val="009E7D1B"/>
    <w:rsid w:val="009F0FA1"/>
    <w:rsid w:val="009F1348"/>
    <w:rsid w:val="009F1967"/>
    <w:rsid w:val="009F1E5D"/>
    <w:rsid w:val="009F2733"/>
    <w:rsid w:val="009F288E"/>
    <w:rsid w:val="009F2C93"/>
    <w:rsid w:val="009F2F14"/>
    <w:rsid w:val="009F3370"/>
    <w:rsid w:val="009F561F"/>
    <w:rsid w:val="009F5826"/>
    <w:rsid w:val="009F6321"/>
    <w:rsid w:val="009F6497"/>
    <w:rsid w:val="009F6A31"/>
    <w:rsid w:val="009F7163"/>
    <w:rsid w:val="009F7AC9"/>
    <w:rsid w:val="009F7DDA"/>
    <w:rsid w:val="00A00244"/>
    <w:rsid w:val="00A01F7D"/>
    <w:rsid w:val="00A02140"/>
    <w:rsid w:val="00A03395"/>
    <w:rsid w:val="00A03854"/>
    <w:rsid w:val="00A03A3D"/>
    <w:rsid w:val="00A03E62"/>
    <w:rsid w:val="00A03EAF"/>
    <w:rsid w:val="00A04162"/>
    <w:rsid w:val="00A04BDA"/>
    <w:rsid w:val="00A04C81"/>
    <w:rsid w:val="00A05883"/>
    <w:rsid w:val="00A06553"/>
    <w:rsid w:val="00A06B02"/>
    <w:rsid w:val="00A06D77"/>
    <w:rsid w:val="00A101C3"/>
    <w:rsid w:val="00A108DB"/>
    <w:rsid w:val="00A1100C"/>
    <w:rsid w:val="00A115EC"/>
    <w:rsid w:val="00A12023"/>
    <w:rsid w:val="00A12AA3"/>
    <w:rsid w:val="00A1391E"/>
    <w:rsid w:val="00A14329"/>
    <w:rsid w:val="00A150BF"/>
    <w:rsid w:val="00A1640B"/>
    <w:rsid w:val="00A1682C"/>
    <w:rsid w:val="00A20241"/>
    <w:rsid w:val="00A209A6"/>
    <w:rsid w:val="00A2111D"/>
    <w:rsid w:val="00A21146"/>
    <w:rsid w:val="00A21369"/>
    <w:rsid w:val="00A222E3"/>
    <w:rsid w:val="00A224E5"/>
    <w:rsid w:val="00A228D6"/>
    <w:rsid w:val="00A22C69"/>
    <w:rsid w:val="00A2300F"/>
    <w:rsid w:val="00A23426"/>
    <w:rsid w:val="00A23E44"/>
    <w:rsid w:val="00A24F00"/>
    <w:rsid w:val="00A256C9"/>
    <w:rsid w:val="00A25761"/>
    <w:rsid w:val="00A26036"/>
    <w:rsid w:val="00A27064"/>
    <w:rsid w:val="00A3067B"/>
    <w:rsid w:val="00A31270"/>
    <w:rsid w:val="00A32545"/>
    <w:rsid w:val="00A34186"/>
    <w:rsid w:val="00A34878"/>
    <w:rsid w:val="00A34B33"/>
    <w:rsid w:val="00A34E05"/>
    <w:rsid w:val="00A350A3"/>
    <w:rsid w:val="00A36F35"/>
    <w:rsid w:val="00A37C90"/>
    <w:rsid w:val="00A401ED"/>
    <w:rsid w:val="00A404EF"/>
    <w:rsid w:val="00A40D37"/>
    <w:rsid w:val="00A40F00"/>
    <w:rsid w:val="00A4197B"/>
    <w:rsid w:val="00A41F31"/>
    <w:rsid w:val="00A4261A"/>
    <w:rsid w:val="00A428CA"/>
    <w:rsid w:val="00A43D4E"/>
    <w:rsid w:val="00A44106"/>
    <w:rsid w:val="00A46A72"/>
    <w:rsid w:val="00A46B8D"/>
    <w:rsid w:val="00A46F02"/>
    <w:rsid w:val="00A4770B"/>
    <w:rsid w:val="00A47D07"/>
    <w:rsid w:val="00A507B4"/>
    <w:rsid w:val="00A50FCB"/>
    <w:rsid w:val="00A50FE6"/>
    <w:rsid w:val="00A51C9F"/>
    <w:rsid w:val="00A52098"/>
    <w:rsid w:val="00A520DD"/>
    <w:rsid w:val="00A53F0B"/>
    <w:rsid w:val="00A547C1"/>
    <w:rsid w:val="00A54A54"/>
    <w:rsid w:val="00A54AF8"/>
    <w:rsid w:val="00A54C0D"/>
    <w:rsid w:val="00A54FB7"/>
    <w:rsid w:val="00A5569D"/>
    <w:rsid w:val="00A55959"/>
    <w:rsid w:val="00A55BF8"/>
    <w:rsid w:val="00A573D4"/>
    <w:rsid w:val="00A576CF"/>
    <w:rsid w:val="00A57A1F"/>
    <w:rsid w:val="00A60760"/>
    <w:rsid w:val="00A609EB"/>
    <w:rsid w:val="00A60B9F"/>
    <w:rsid w:val="00A60E81"/>
    <w:rsid w:val="00A61774"/>
    <w:rsid w:val="00A617BB"/>
    <w:rsid w:val="00A63586"/>
    <w:rsid w:val="00A63A38"/>
    <w:rsid w:val="00A64A27"/>
    <w:rsid w:val="00A64BA4"/>
    <w:rsid w:val="00A64D1E"/>
    <w:rsid w:val="00A65DA9"/>
    <w:rsid w:val="00A6726A"/>
    <w:rsid w:val="00A67596"/>
    <w:rsid w:val="00A67A7C"/>
    <w:rsid w:val="00A67D02"/>
    <w:rsid w:val="00A700F8"/>
    <w:rsid w:val="00A70126"/>
    <w:rsid w:val="00A70809"/>
    <w:rsid w:val="00A70B59"/>
    <w:rsid w:val="00A71552"/>
    <w:rsid w:val="00A71A5D"/>
    <w:rsid w:val="00A722A2"/>
    <w:rsid w:val="00A72799"/>
    <w:rsid w:val="00A72E33"/>
    <w:rsid w:val="00A73499"/>
    <w:rsid w:val="00A73CC6"/>
    <w:rsid w:val="00A73E09"/>
    <w:rsid w:val="00A74BE4"/>
    <w:rsid w:val="00A7502D"/>
    <w:rsid w:val="00A75694"/>
    <w:rsid w:val="00A7576E"/>
    <w:rsid w:val="00A764EB"/>
    <w:rsid w:val="00A77DDC"/>
    <w:rsid w:val="00A77FB0"/>
    <w:rsid w:val="00A80841"/>
    <w:rsid w:val="00A80AB4"/>
    <w:rsid w:val="00A81282"/>
    <w:rsid w:val="00A81E70"/>
    <w:rsid w:val="00A82320"/>
    <w:rsid w:val="00A8266F"/>
    <w:rsid w:val="00A83161"/>
    <w:rsid w:val="00A831BD"/>
    <w:rsid w:val="00A840DC"/>
    <w:rsid w:val="00A85868"/>
    <w:rsid w:val="00A875AF"/>
    <w:rsid w:val="00A87D92"/>
    <w:rsid w:val="00A87E44"/>
    <w:rsid w:val="00A87F1A"/>
    <w:rsid w:val="00A87FC1"/>
    <w:rsid w:val="00A90DAE"/>
    <w:rsid w:val="00A9164B"/>
    <w:rsid w:val="00A918AB"/>
    <w:rsid w:val="00A92908"/>
    <w:rsid w:val="00A93046"/>
    <w:rsid w:val="00A930F2"/>
    <w:rsid w:val="00A936DE"/>
    <w:rsid w:val="00A938AB"/>
    <w:rsid w:val="00A93DB3"/>
    <w:rsid w:val="00A93FA2"/>
    <w:rsid w:val="00A94416"/>
    <w:rsid w:val="00A947F6"/>
    <w:rsid w:val="00A95239"/>
    <w:rsid w:val="00AA0B11"/>
    <w:rsid w:val="00AA1A76"/>
    <w:rsid w:val="00AA210B"/>
    <w:rsid w:val="00AA2F66"/>
    <w:rsid w:val="00AA3B1E"/>
    <w:rsid w:val="00AA4209"/>
    <w:rsid w:val="00AA4E0C"/>
    <w:rsid w:val="00AA6670"/>
    <w:rsid w:val="00AA71B8"/>
    <w:rsid w:val="00AA7AD9"/>
    <w:rsid w:val="00AB00EB"/>
    <w:rsid w:val="00AB0DA8"/>
    <w:rsid w:val="00AB1367"/>
    <w:rsid w:val="00AB2D43"/>
    <w:rsid w:val="00AB2DB2"/>
    <w:rsid w:val="00AB3461"/>
    <w:rsid w:val="00AB4E7C"/>
    <w:rsid w:val="00AB5DF2"/>
    <w:rsid w:val="00AB6AB8"/>
    <w:rsid w:val="00AB7AF9"/>
    <w:rsid w:val="00AC0263"/>
    <w:rsid w:val="00AC05C9"/>
    <w:rsid w:val="00AC097F"/>
    <w:rsid w:val="00AC0B98"/>
    <w:rsid w:val="00AC14E2"/>
    <w:rsid w:val="00AC38E8"/>
    <w:rsid w:val="00AC3A95"/>
    <w:rsid w:val="00AC5A07"/>
    <w:rsid w:val="00AC5C2D"/>
    <w:rsid w:val="00AC65DE"/>
    <w:rsid w:val="00AC6C40"/>
    <w:rsid w:val="00AC7221"/>
    <w:rsid w:val="00AD0336"/>
    <w:rsid w:val="00AD1815"/>
    <w:rsid w:val="00AD1C54"/>
    <w:rsid w:val="00AD2458"/>
    <w:rsid w:val="00AD372D"/>
    <w:rsid w:val="00AD4167"/>
    <w:rsid w:val="00AD5C09"/>
    <w:rsid w:val="00AD6815"/>
    <w:rsid w:val="00AD69B9"/>
    <w:rsid w:val="00AD6D3B"/>
    <w:rsid w:val="00AD6DC3"/>
    <w:rsid w:val="00AD6E7A"/>
    <w:rsid w:val="00AD76CE"/>
    <w:rsid w:val="00AD7848"/>
    <w:rsid w:val="00AE0173"/>
    <w:rsid w:val="00AE02F0"/>
    <w:rsid w:val="00AE0513"/>
    <w:rsid w:val="00AE0B9C"/>
    <w:rsid w:val="00AE1B7A"/>
    <w:rsid w:val="00AE28F4"/>
    <w:rsid w:val="00AE4083"/>
    <w:rsid w:val="00AE4185"/>
    <w:rsid w:val="00AE588E"/>
    <w:rsid w:val="00AE6E48"/>
    <w:rsid w:val="00AE71A1"/>
    <w:rsid w:val="00AF06C6"/>
    <w:rsid w:val="00AF0D06"/>
    <w:rsid w:val="00AF33C9"/>
    <w:rsid w:val="00AF4083"/>
    <w:rsid w:val="00AF44A5"/>
    <w:rsid w:val="00AF5BB2"/>
    <w:rsid w:val="00AF6C9A"/>
    <w:rsid w:val="00AF76E2"/>
    <w:rsid w:val="00AF7F71"/>
    <w:rsid w:val="00B017BB"/>
    <w:rsid w:val="00B01E3F"/>
    <w:rsid w:val="00B02633"/>
    <w:rsid w:val="00B027E1"/>
    <w:rsid w:val="00B032BC"/>
    <w:rsid w:val="00B03500"/>
    <w:rsid w:val="00B035E3"/>
    <w:rsid w:val="00B03651"/>
    <w:rsid w:val="00B0391D"/>
    <w:rsid w:val="00B03F6E"/>
    <w:rsid w:val="00B041F6"/>
    <w:rsid w:val="00B04649"/>
    <w:rsid w:val="00B04E62"/>
    <w:rsid w:val="00B0556E"/>
    <w:rsid w:val="00B06397"/>
    <w:rsid w:val="00B063D5"/>
    <w:rsid w:val="00B07492"/>
    <w:rsid w:val="00B11103"/>
    <w:rsid w:val="00B11285"/>
    <w:rsid w:val="00B11EC1"/>
    <w:rsid w:val="00B130E3"/>
    <w:rsid w:val="00B13FC5"/>
    <w:rsid w:val="00B1514C"/>
    <w:rsid w:val="00B15541"/>
    <w:rsid w:val="00B163ED"/>
    <w:rsid w:val="00B17957"/>
    <w:rsid w:val="00B20571"/>
    <w:rsid w:val="00B20B28"/>
    <w:rsid w:val="00B21406"/>
    <w:rsid w:val="00B215CC"/>
    <w:rsid w:val="00B21990"/>
    <w:rsid w:val="00B21C22"/>
    <w:rsid w:val="00B23354"/>
    <w:rsid w:val="00B23679"/>
    <w:rsid w:val="00B24846"/>
    <w:rsid w:val="00B24873"/>
    <w:rsid w:val="00B24D89"/>
    <w:rsid w:val="00B25670"/>
    <w:rsid w:val="00B269F7"/>
    <w:rsid w:val="00B26E62"/>
    <w:rsid w:val="00B274B1"/>
    <w:rsid w:val="00B305A9"/>
    <w:rsid w:val="00B305C4"/>
    <w:rsid w:val="00B30D83"/>
    <w:rsid w:val="00B31960"/>
    <w:rsid w:val="00B31C5C"/>
    <w:rsid w:val="00B3223C"/>
    <w:rsid w:val="00B3230D"/>
    <w:rsid w:val="00B335C9"/>
    <w:rsid w:val="00B33DD9"/>
    <w:rsid w:val="00B33FB4"/>
    <w:rsid w:val="00B35796"/>
    <w:rsid w:val="00B402C7"/>
    <w:rsid w:val="00B40997"/>
    <w:rsid w:val="00B41C49"/>
    <w:rsid w:val="00B420F4"/>
    <w:rsid w:val="00B42981"/>
    <w:rsid w:val="00B42DF5"/>
    <w:rsid w:val="00B42EFB"/>
    <w:rsid w:val="00B42F0E"/>
    <w:rsid w:val="00B439FA"/>
    <w:rsid w:val="00B43BEE"/>
    <w:rsid w:val="00B440C0"/>
    <w:rsid w:val="00B4457B"/>
    <w:rsid w:val="00B44B8D"/>
    <w:rsid w:val="00B45149"/>
    <w:rsid w:val="00B45E35"/>
    <w:rsid w:val="00B461EB"/>
    <w:rsid w:val="00B465BA"/>
    <w:rsid w:val="00B46A84"/>
    <w:rsid w:val="00B47648"/>
    <w:rsid w:val="00B477E1"/>
    <w:rsid w:val="00B47CC8"/>
    <w:rsid w:val="00B50A80"/>
    <w:rsid w:val="00B51E0B"/>
    <w:rsid w:val="00B51F96"/>
    <w:rsid w:val="00B5273D"/>
    <w:rsid w:val="00B52B36"/>
    <w:rsid w:val="00B55C22"/>
    <w:rsid w:val="00B55D34"/>
    <w:rsid w:val="00B56094"/>
    <w:rsid w:val="00B568E0"/>
    <w:rsid w:val="00B56A66"/>
    <w:rsid w:val="00B56E3D"/>
    <w:rsid w:val="00B57359"/>
    <w:rsid w:val="00B60148"/>
    <w:rsid w:val="00B60A45"/>
    <w:rsid w:val="00B60F00"/>
    <w:rsid w:val="00B6131C"/>
    <w:rsid w:val="00B62079"/>
    <w:rsid w:val="00B6226D"/>
    <w:rsid w:val="00B625F7"/>
    <w:rsid w:val="00B63513"/>
    <w:rsid w:val="00B6388E"/>
    <w:rsid w:val="00B6491E"/>
    <w:rsid w:val="00B66AF7"/>
    <w:rsid w:val="00B674EA"/>
    <w:rsid w:val="00B70AA7"/>
    <w:rsid w:val="00B720C7"/>
    <w:rsid w:val="00B73000"/>
    <w:rsid w:val="00B7300C"/>
    <w:rsid w:val="00B73CD9"/>
    <w:rsid w:val="00B73FFA"/>
    <w:rsid w:val="00B7402B"/>
    <w:rsid w:val="00B7432D"/>
    <w:rsid w:val="00B74A73"/>
    <w:rsid w:val="00B74CE7"/>
    <w:rsid w:val="00B7561D"/>
    <w:rsid w:val="00B75C8E"/>
    <w:rsid w:val="00B7637A"/>
    <w:rsid w:val="00B763E9"/>
    <w:rsid w:val="00B76946"/>
    <w:rsid w:val="00B77103"/>
    <w:rsid w:val="00B77FF3"/>
    <w:rsid w:val="00B805DC"/>
    <w:rsid w:val="00B81571"/>
    <w:rsid w:val="00B82492"/>
    <w:rsid w:val="00B8343B"/>
    <w:rsid w:val="00B83E11"/>
    <w:rsid w:val="00B84D55"/>
    <w:rsid w:val="00B853A4"/>
    <w:rsid w:val="00B860F4"/>
    <w:rsid w:val="00B86328"/>
    <w:rsid w:val="00B8756C"/>
    <w:rsid w:val="00B87840"/>
    <w:rsid w:val="00B90DB1"/>
    <w:rsid w:val="00B911FF"/>
    <w:rsid w:val="00B91F15"/>
    <w:rsid w:val="00B9252B"/>
    <w:rsid w:val="00B931F5"/>
    <w:rsid w:val="00B94B47"/>
    <w:rsid w:val="00B95323"/>
    <w:rsid w:val="00B962F7"/>
    <w:rsid w:val="00B9644E"/>
    <w:rsid w:val="00B96AC5"/>
    <w:rsid w:val="00B96B07"/>
    <w:rsid w:val="00B973AF"/>
    <w:rsid w:val="00BA012F"/>
    <w:rsid w:val="00BA06BA"/>
    <w:rsid w:val="00BA0B4D"/>
    <w:rsid w:val="00BA12A9"/>
    <w:rsid w:val="00BA29E1"/>
    <w:rsid w:val="00BA2F2B"/>
    <w:rsid w:val="00BA3503"/>
    <w:rsid w:val="00BA355A"/>
    <w:rsid w:val="00BA36C0"/>
    <w:rsid w:val="00BA4193"/>
    <w:rsid w:val="00BA42C6"/>
    <w:rsid w:val="00BA45BC"/>
    <w:rsid w:val="00BA4733"/>
    <w:rsid w:val="00BA4D75"/>
    <w:rsid w:val="00BA6C1C"/>
    <w:rsid w:val="00BA7250"/>
    <w:rsid w:val="00BA786C"/>
    <w:rsid w:val="00BA7AAC"/>
    <w:rsid w:val="00BB0072"/>
    <w:rsid w:val="00BB09CB"/>
    <w:rsid w:val="00BB0F90"/>
    <w:rsid w:val="00BB19B3"/>
    <w:rsid w:val="00BB2501"/>
    <w:rsid w:val="00BB2669"/>
    <w:rsid w:val="00BB3C43"/>
    <w:rsid w:val="00BB461D"/>
    <w:rsid w:val="00BB5DDB"/>
    <w:rsid w:val="00BB657D"/>
    <w:rsid w:val="00BB67F3"/>
    <w:rsid w:val="00BB7031"/>
    <w:rsid w:val="00BB78A3"/>
    <w:rsid w:val="00BB79BE"/>
    <w:rsid w:val="00BB7ECD"/>
    <w:rsid w:val="00BC06B5"/>
    <w:rsid w:val="00BC06BD"/>
    <w:rsid w:val="00BC1536"/>
    <w:rsid w:val="00BC3769"/>
    <w:rsid w:val="00BC52D3"/>
    <w:rsid w:val="00BC6A51"/>
    <w:rsid w:val="00BC7FE3"/>
    <w:rsid w:val="00BD00CE"/>
    <w:rsid w:val="00BD13A5"/>
    <w:rsid w:val="00BD2B93"/>
    <w:rsid w:val="00BD2E52"/>
    <w:rsid w:val="00BD2F94"/>
    <w:rsid w:val="00BD4E09"/>
    <w:rsid w:val="00BD5B90"/>
    <w:rsid w:val="00BD60C2"/>
    <w:rsid w:val="00BD66F7"/>
    <w:rsid w:val="00BD6DFD"/>
    <w:rsid w:val="00BD7A88"/>
    <w:rsid w:val="00BD7AAE"/>
    <w:rsid w:val="00BE03FE"/>
    <w:rsid w:val="00BE0B38"/>
    <w:rsid w:val="00BE0FCB"/>
    <w:rsid w:val="00BE2911"/>
    <w:rsid w:val="00BE3DC8"/>
    <w:rsid w:val="00BE4A7B"/>
    <w:rsid w:val="00BE54C8"/>
    <w:rsid w:val="00BE5B87"/>
    <w:rsid w:val="00BE7440"/>
    <w:rsid w:val="00BE7B56"/>
    <w:rsid w:val="00BF02F7"/>
    <w:rsid w:val="00BF0574"/>
    <w:rsid w:val="00BF0FCE"/>
    <w:rsid w:val="00BF141F"/>
    <w:rsid w:val="00BF1898"/>
    <w:rsid w:val="00BF1935"/>
    <w:rsid w:val="00BF1B4E"/>
    <w:rsid w:val="00BF1EA2"/>
    <w:rsid w:val="00BF29B3"/>
    <w:rsid w:val="00BF2B71"/>
    <w:rsid w:val="00BF2F3E"/>
    <w:rsid w:val="00BF3AC9"/>
    <w:rsid w:val="00BF3DA7"/>
    <w:rsid w:val="00BF592A"/>
    <w:rsid w:val="00BF5933"/>
    <w:rsid w:val="00BF5F43"/>
    <w:rsid w:val="00BF6236"/>
    <w:rsid w:val="00BF6C19"/>
    <w:rsid w:val="00BF72CF"/>
    <w:rsid w:val="00BF7398"/>
    <w:rsid w:val="00BF7D69"/>
    <w:rsid w:val="00C00B95"/>
    <w:rsid w:val="00C01541"/>
    <w:rsid w:val="00C01814"/>
    <w:rsid w:val="00C01DA6"/>
    <w:rsid w:val="00C0207A"/>
    <w:rsid w:val="00C0218B"/>
    <w:rsid w:val="00C024E1"/>
    <w:rsid w:val="00C02D50"/>
    <w:rsid w:val="00C02FD3"/>
    <w:rsid w:val="00C045AE"/>
    <w:rsid w:val="00C04D26"/>
    <w:rsid w:val="00C0565F"/>
    <w:rsid w:val="00C0624E"/>
    <w:rsid w:val="00C06724"/>
    <w:rsid w:val="00C07955"/>
    <w:rsid w:val="00C07DB6"/>
    <w:rsid w:val="00C10365"/>
    <w:rsid w:val="00C103E9"/>
    <w:rsid w:val="00C106B1"/>
    <w:rsid w:val="00C10F40"/>
    <w:rsid w:val="00C11D67"/>
    <w:rsid w:val="00C123AC"/>
    <w:rsid w:val="00C12BE4"/>
    <w:rsid w:val="00C13129"/>
    <w:rsid w:val="00C15653"/>
    <w:rsid w:val="00C1662D"/>
    <w:rsid w:val="00C17122"/>
    <w:rsid w:val="00C175BE"/>
    <w:rsid w:val="00C215C8"/>
    <w:rsid w:val="00C220BB"/>
    <w:rsid w:val="00C226DC"/>
    <w:rsid w:val="00C2346C"/>
    <w:rsid w:val="00C24D96"/>
    <w:rsid w:val="00C24F11"/>
    <w:rsid w:val="00C25210"/>
    <w:rsid w:val="00C25677"/>
    <w:rsid w:val="00C27081"/>
    <w:rsid w:val="00C27749"/>
    <w:rsid w:val="00C30D0C"/>
    <w:rsid w:val="00C310AE"/>
    <w:rsid w:val="00C311EC"/>
    <w:rsid w:val="00C3232E"/>
    <w:rsid w:val="00C32778"/>
    <w:rsid w:val="00C33C75"/>
    <w:rsid w:val="00C34609"/>
    <w:rsid w:val="00C34940"/>
    <w:rsid w:val="00C354A5"/>
    <w:rsid w:val="00C357B0"/>
    <w:rsid w:val="00C3692D"/>
    <w:rsid w:val="00C36A22"/>
    <w:rsid w:val="00C36E1D"/>
    <w:rsid w:val="00C3755D"/>
    <w:rsid w:val="00C4127C"/>
    <w:rsid w:val="00C42132"/>
    <w:rsid w:val="00C4276A"/>
    <w:rsid w:val="00C43B76"/>
    <w:rsid w:val="00C43EA9"/>
    <w:rsid w:val="00C44F60"/>
    <w:rsid w:val="00C45B7C"/>
    <w:rsid w:val="00C45E17"/>
    <w:rsid w:val="00C4674C"/>
    <w:rsid w:val="00C467CF"/>
    <w:rsid w:val="00C47517"/>
    <w:rsid w:val="00C4756D"/>
    <w:rsid w:val="00C5040E"/>
    <w:rsid w:val="00C504DA"/>
    <w:rsid w:val="00C50CA5"/>
    <w:rsid w:val="00C50F61"/>
    <w:rsid w:val="00C522B8"/>
    <w:rsid w:val="00C528E8"/>
    <w:rsid w:val="00C530D4"/>
    <w:rsid w:val="00C53469"/>
    <w:rsid w:val="00C5445D"/>
    <w:rsid w:val="00C54543"/>
    <w:rsid w:val="00C549F4"/>
    <w:rsid w:val="00C5554C"/>
    <w:rsid w:val="00C57652"/>
    <w:rsid w:val="00C616CF"/>
    <w:rsid w:val="00C617A3"/>
    <w:rsid w:val="00C62486"/>
    <w:rsid w:val="00C628B5"/>
    <w:rsid w:val="00C62E4C"/>
    <w:rsid w:val="00C62EE6"/>
    <w:rsid w:val="00C655DA"/>
    <w:rsid w:val="00C6583B"/>
    <w:rsid w:val="00C6679E"/>
    <w:rsid w:val="00C6759C"/>
    <w:rsid w:val="00C6788F"/>
    <w:rsid w:val="00C67CF3"/>
    <w:rsid w:val="00C67D71"/>
    <w:rsid w:val="00C67F69"/>
    <w:rsid w:val="00C70253"/>
    <w:rsid w:val="00C718AB"/>
    <w:rsid w:val="00C72B2B"/>
    <w:rsid w:val="00C72D01"/>
    <w:rsid w:val="00C73487"/>
    <w:rsid w:val="00C73C1C"/>
    <w:rsid w:val="00C74ACC"/>
    <w:rsid w:val="00C7535E"/>
    <w:rsid w:val="00C75AD9"/>
    <w:rsid w:val="00C76646"/>
    <w:rsid w:val="00C7675B"/>
    <w:rsid w:val="00C76DF5"/>
    <w:rsid w:val="00C77976"/>
    <w:rsid w:val="00C77CF3"/>
    <w:rsid w:val="00C77EBE"/>
    <w:rsid w:val="00C80E13"/>
    <w:rsid w:val="00C818BD"/>
    <w:rsid w:val="00C81CF8"/>
    <w:rsid w:val="00C81DB7"/>
    <w:rsid w:val="00C81E5F"/>
    <w:rsid w:val="00C83DCA"/>
    <w:rsid w:val="00C846BA"/>
    <w:rsid w:val="00C85BB5"/>
    <w:rsid w:val="00C86534"/>
    <w:rsid w:val="00C867F1"/>
    <w:rsid w:val="00C86EA2"/>
    <w:rsid w:val="00C87A46"/>
    <w:rsid w:val="00C90688"/>
    <w:rsid w:val="00C90E42"/>
    <w:rsid w:val="00C935C1"/>
    <w:rsid w:val="00C93AB9"/>
    <w:rsid w:val="00C93B02"/>
    <w:rsid w:val="00C9410D"/>
    <w:rsid w:val="00C9492F"/>
    <w:rsid w:val="00C95785"/>
    <w:rsid w:val="00C958F2"/>
    <w:rsid w:val="00C95951"/>
    <w:rsid w:val="00C966A7"/>
    <w:rsid w:val="00C97709"/>
    <w:rsid w:val="00CA13A6"/>
    <w:rsid w:val="00CA1CE1"/>
    <w:rsid w:val="00CA1E65"/>
    <w:rsid w:val="00CA2004"/>
    <w:rsid w:val="00CA2275"/>
    <w:rsid w:val="00CA25F4"/>
    <w:rsid w:val="00CA2CF4"/>
    <w:rsid w:val="00CA30BE"/>
    <w:rsid w:val="00CA3162"/>
    <w:rsid w:val="00CA43CA"/>
    <w:rsid w:val="00CA5275"/>
    <w:rsid w:val="00CA5298"/>
    <w:rsid w:val="00CA55A7"/>
    <w:rsid w:val="00CA6AA6"/>
    <w:rsid w:val="00CB02EF"/>
    <w:rsid w:val="00CB0454"/>
    <w:rsid w:val="00CB0AE0"/>
    <w:rsid w:val="00CB0FEA"/>
    <w:rsid w:val="00CB35BA"/>
    <w:rsid w:val="00CB394A"/>
    <w:rsid w:val="00CB40CF"/>
    <w:rsid w:val="00CB43F5"/>
    <w:rsid w:val="00CB5F11"/>
    <w:rsid w:val="00CB65AF"/>
    <w:rsid w:val="00CB692C"/>
    <w:rsid w:val="00CB6999"/>
    <w:rsid w:val="00CC006E"/>
    <w:rsid w:val="00CC0121"/>
    <w:rsid w:val="00CC01D9"/>
    <w:rsid w:val="00CC058B"/>
    <w:rsid w:val="00CC178E"/>
    <w:rsid w:val="00CC22B0"/>
    <w:rsid w:val="00CC2B2D"/>
    <w:rsid w:val="00CC2C96"/>
    <w:rsid w:val="00CC39DB"/>
    <w:rsid w:val="00CC48A6"/>
    <w:rsid w:val="00CC4FE3"/>
    <w:rsid w:val="00CC52F8"/>
    <w:rsid w:val="00CC5B08"/>
    <w:rsid w:val="00CC61BE"/>
    <w:rsid w:val="00CC6915"/>
    <w:rsid w:val="00CD1E46"/>
    <w:rsid w:val="00CD2987"/>
    <w:rsid w:val="00CD2E23"/>
    <w:rsid w:val="00CD3931"/>
    <w:rsid w:val="00CD3B6A"/>
    <w:rsid w:val="00CD3F11"/>
    <w:rsid w:val="00CD3F39"/>
    <w:rsid w:val="00CD4322"/>
    <w:rsid w:val="00CD537B"/>
    <w:rsid w:val="00CD571E"/>
    <w:rsid w:val="00CD577C"/>
    <w:rsid w:val="00CD6FDC"/>
    <w:rsid w:val="00CD7740"/>
    <w:rsid w:val="00CE02AE"/>
    <w:rsid w:val="00CE04BE"/>
    <w:rsid w:val="00CE09A6"/>
    <w:rsid w:val="00CE2A69"/>
    <w:rsid w:val="00CE2F6C"/>
    <w:rsid w:val="00CE47B3"/>
    <w:rsid w:val="00CE47E8"/>
    <w:rsid w:val="00CE5037"/>
    <w:rsid w:val="00CE5057"/>
    <w:rsid w:val="00CE5449"/>
    <w:rsid w:val="00CE6575"/>
    <w:rsid w:val="00CE6840"/>
    <w:rsid w:val="00CE6F0D"/>
    <w:rsid w:val="00CE76F4"/>
    <w:rsid w:val="00CE7E42"/>
    <w:rsid w:val="00CF0329"/>
    <w:rsid w:val="00CF0819"/>
    <w:rsid w:val="00CF1A8E"/>
    <w:rsid w:val="00CF2955"/>
    <w:rsid w:val="00CF3CEA"/>
    <w:rsid w:val="00CF4548"/>
    <w:rsid w:val="00CF479B"/>
    <w:rsid w:val="00CF5ED7"/>
    <w:rsid w:val="00CF66DC"/>
    <w:rsid w:val="00CF75A1"/>
    <w:rsid w:val="00D00570"/>
    <w:rsid w:val="00D00CFD"/>
    <w:rsid w:val="00D01541"/>
    <w:rsid w:val="00D02572"/>
    <w:rsid w:val="00D04D24"/>
    <w:rsid w:val="00D05015"/>
    <w:rsid w:val="00D05480"/>
    <w:rsid w:val="00D05EF8"/>
    <w:rsid w:val="00D0619C"/>
    <w:rsid w:val="00D0666A"/>
    <w:rsid w:val="00D069A8"/>
    <w:rsid w:val="00D06A4F"/>
    <w:rsid w:val="00D06E26"/>
    <w:rsid w:val="00D06E3F"/>
    <w:rsid w:val="00D077AD"/>
    <w:rsid w:val="00D07C48"/>
    <w:rsid w:val="00D07DA6"/>
    <w:rsid w:val="00D1042C"/>
    <w:rsid w:val="00D10673"/>
    <w:rsid w:val="00D11C94"/>
    <w:rsid w:val="00D1240C"/>
    <w:rsid w:val="00D124D5"/>
    <w:rsid w:val="00D12C80"/>
    <w:rsid w:val="00D12CDD"/>
    <w:rsid w:val="00D12F92"/>
    <w:rsid w:val="00D14337"/>
    <w:rsid w:val="00D1455F"/>
    <w:rsid w:val="00D15460"/>
    <w:rsid w:val="00D15B1D"/>
    <w:rsid w:val="00D1623E"/>
    <w:rsid w:val="00D167DF"/>
    <w:rsid w:val="00D215B1"/>
    <w:rsid w:val="00D21F87"/>
    <w:rsid w:val="00D22496"/>
    <w:rsid w:val="00D226EE"/>
    <w:rsid w:val="00D22724"/>
    <w:rsid w:val="00D227FE"/>
    <w:rsid w:val="00D22A73"/>
    <w:rsid w:val="00D22DDC"/>
    <w:rsid w:val="00D22E6F"/>
    <w:rsid w:val="00D23059"/>
    <w:rsid w:val="00D25108"/>
    <w:rsid w:val="00D26228"/>
    <w:rsid w:val="00D26C61"/>
    <w:rsid w:val="00D304F2"/>
    <w:rsid w:val="00D31137"/>
    <w:rsid w:val="00D31211"/>
    <w:rsid w:val="00D33606"/>
    <w:rsid w:val="00D33784"/>
    <w:rsid w:val="00D3384A"/>
    <w:rsid w:val="00D34366"/>
    <w:rsid w:val="00D34CE8"/>
    <w:rsid w:val="00D364EE"/>
    <w:rsid w:val="00D371FE"/>
    <w:rsid w:val="00D37EA3"/>
    <w:rsid w:val="00D415C1"/>
    <w:rsid w:val="00D4169B"/>
    <w:rsid w:val="00D41A9F"/>
    <w:rsid w:val="00D42A65"/>
    <w:rsid w:val="00D42C5E"/>
    <w:rsid w:val="00D42C70"/>
    <w:rsid w:val="00D43157"/>
    <w:rsid w:val="00D434A2"/>
    <w:rsid w:val="00D44098"/>
    <w:rsid w:val="00D45121"/>
    <w:rsid w:val="00D4558A"/>
    <w:rsid w:val="00D45D80"/>
    <w:rsid w:val="00D45EF1"/>
    <w:rsid w:val="00D4624F"/>
    <w:rsid w:val="00D466FB"/>
    <w:rsid w:val="00D46E6D"/>
    <w:rsid w:val="00D473E9"/>
    <w:rsid w:val="00D476CD"/>
    <w:rsid w:val="00D4773D"/>
    <w:rsid w:val="00D477D0"/>
    <w:rsid w:val="00D479D9"/>
    <w:rsid w:val="00D50EE6"/>
    <w:rsid w:val="00D51261"/>
    <w:rsid w:val="00D523CD"/>
    <w:rsid w:val="00D535C5"/>
    <w:rsid w:val="00D53C1A"/>
    <w:rsid w:val="00D53CD2"/>
    <w:rsid w:val="00D54401"/>
    <w:rsid w:val="00D54B0F"/>
    <w:rsid w:val="00D54DE0"/>
    <w:rsid w:val="00D551D9"/>
    <w:rsid w:val="00D55D57"/>
    <w:rsid w:val="00D55DD2"/>
    <w:rsid w:val="00D55DD5"/>
    <w:rsid w:val="00D579E5"/>
    <w:rsid w:val="00D57BFB"/>
    <w:rsid w:val="00D60685"/>
    <w:rsid w:val="00D6140E"/>
    <w:rsid w:val="00D6232F"/>
    <w:rsid w:val="00D624C5"/>
    <w:rsid w:val="00D625E2"/>
    <w:rsid w:val="00D62B4F"/>
    <w:rsid w:val="00D63A51"/>
    <w:rsid w:val="00D64863"/>
    <w:rsid w:val="00D6501A"/>
    <w:rsid w:val="00D65141"/>
    <w:rsid w:val="00D65E5D"/>
    <w:rsid w:val="00D67BD7"/>
    <w:rsid w:val="00D701B5"/>
    <w:rsid w:val="00D706A0"/>
    <w:rsid w:val="00D7088F"/>
    <w:rsid w:val="00D70A04"/>
    <w:rsid w:val="00D70A11"/>
    <w:rsid w:val="00D71842"/>
    <w:rsid w:val="00D7187D"/>
    <w:rsid w:val="00D71A0E"/>
    <w:rsid w:val="00D72460"/>
    <w:rsid w:val="00D725ED"/>
    <w:rsid w:val="00D73055"/>
    <w:rsid w:val="00D762C3"/>
    <w:rsid w:val="00D76683"/>
    <w:rsid w:val="00D76E0D"/>
    <w:rsid w:val="00D76E2A"/>
    <w:rsid w:val="00D81E89"/>
    <w:rsid w:val="00D82067"/>
    <w:rsid w:val="00D82BF9"/>
    <w:rsid w:val="00D839E8"/>
    <w:rsid w:val="00D83F08"/>
    <w:rsid w:val="00D84490"/>
    <w:rsid w:val="00D84631"/>
    <w:rsid w:val="00D84B03"/>
    <w:rsid w:val="00D861F6"/>
    <w:rsid w:val="00D86A2C"/>
    <w:rsid w:val="00D876C3"/>
    <w:rsid w:val="00D900EE"/>
    <w:rsid w:val="00D90537"/>
    <w:rsid w:val="00D90B26"/>
    <w:rsid w:val="00D90BDA"/>
    <w:rsid w:val="00D91606"/>
    <w:rsid w:val="00D92257"/>
    <w:rsid w:val="00D926C4"/>
    <w:rsid w:val="00D94785"/>
    <w:rsid w:val="00D94F5B"/>
    <w:rsid w:val="00D94F66"/>
    <w:rsid w:val="00D9587E"/>
    <w:rsid w:val="00D95DCD"/>
    <w:rsid w:val="00D95DFA"/>
    <w:rsid w:val="00D9609E"/>
    <w:rsid w:val="00D97055"/>
    <w:rsid w:val="00D97917"/>
    <w:rsid w:val="00D97C1E"/>
    <w:rsid w:val="00D97DE0"/>
    <w:rsid w:val="00D97E01"/>
    <w:rsid w:val="00DA0096"/>
    <w:rsid w:val="00DA05D3"/>
    <w:rsid w:val="00DA0855"/>
    <w:rsid w:val="00DA0F77"/>
    <w:rsid w:val="00DA101C"/>
    <w:rsid w:val="00DA10D8"/>
    <w:rsid w:val="00DA3DB9"/>
    <w:rsid w:val="00DA44C9"/>
    <w:rsid w:val="00DA4574"/>
    <w:rsid w:val="00DA4C77"/>
    <w:rsid w:val="00DA4F7A"/>
    <w:rsid w:val="00DA5047"/>
    <w:rsid w:val="00DA538E"/>
    <w:rsid w:val="00DA59AF"/>
    <w:rsid w:val="00DA5F2B"/>
    <w:rsid w:val="00DA60B1"/>
    <w:rsid w:val="00DA6C7D"/>
    <w:rsid w:val="00DA70C9"/>
    <w:rsid w:val="00DA7D2A"/>
    <w:rsid w:val="00DB1335"/>
    <w:rsid w:val="00DB1D4A"/>
    <w:rsid w:val="00DB343A"/>
    <w:rsid w:val="00DB3C0E"/>
    <w:rsid w:val="00DB3EA2"/>
    <w:rsid w:val="00DB3FDC"/>
    <w:rsid w:val="00DB4415"/>
    <w:rsid w:val="00DB4482"/>
    <w:rsid w:val="00DB4E94"/>
    <w:rsid w:val="00DB52D5"/>
    <w:rsid w:val="00DB534B"/>
    <w:rsid w:val="00DB56EF"/>
    <w:rsid w:val="00DB5B60"/>
    <w:rsid w:val="00DB5DB4"/>
    <w:rsid w:val="00DB61A9"/>
    <w:rsid w:val="00DB74F8"/>
    <w:rsid w:val="00DB7505"/>
    <w:rsid w:val="00DC01F1"/>
    <w:rsid w:val="00DC04C5"/>
    <w:rsid w:val="00DC0C91"/>
    <w:rsid w:val="00DC27D5"/>
    <w:rsid w:val="00DC36DA"/>
    <w:rsid w:val="00DC38B3"/>
    <w:rsid w:val="00DC41D1"/>
    <w:rsid w:val="00DC432D"/>
    <w:rsid w:val="00DC459B"/>
    <w:rsid w:val="00DC4777"/>
    <w:rsid w:val="00DC4AEE"/>
    <w:rsid w:val="00DC5039"/>
    <w:rsid w:val="00DC52B4"/>
    <w:rsid w:val="00DC6361"/>
    <w:rsid w:val="00DC65F3"/>
    <w:rsid w:val="00DC6B3B"/>
    <w:rsid w:val="00DC6CE3"/>
    <w:rsid w:val="00DC7777"/>
    <w:rsid w:val="00DC7D84"/>
    <w:rsid w:val="00DD03EB"/>
    <w:rsid w:val="00DD07E8"/>
    <w:rsid w:val="00DD1041"/>
    <w:rsid w:val="00DD3215"/>
    <w:rsid w:val="00DD399E"/>
    <w:rsid w:val="00DD39A0"/>
    <w:rsid w:val="00DD3FB6"/>
    <w:rsid w:val="00DD42E3"/>
    <w:rsid w:val="00DD4330"/>
    <w:rsid w:val="00DD448D"/>
    <w:rsid w:val="00DD53A7"/>
    <w:rsid w:val="00DD5BBE"/>
    <w:rsid w:val="00DD5BF9"/>
    <w:rsid w:val="00DD5D3D"/>
    <w:rsid w:val="00DD5EE2"/>
    <w:rsid w:val="00DD630E"/>
    <w:rsid w:val="00DD7728"/>
    <w:rsid w:val="00DE05EA"/>
    <w:rsid w:val="00DE068E"/>
    <w:rsid w:val="00DE0705"/>
    <w:rsid w:val="00DE0A29"/>
    <w:rsid w:val="00DE0E03"/>
    <w:rsid w:val="00DE1A27"/>
    <w:rsid w:val="00DE1BE3"/>
    <w:rsid w:val="00DE1C16"/>
    <w:rsid w:val="00DE26BE"/>
    <w:rsid w:val="00DE2E23"/>
    <w:rsid w:val="00DE37C7"/>
    <w:rsid w:val="00DE4396"/>
    <w:rsid w:val="00DE5862"/>
    <w:rsid w:val="00DE682A"/>
    <w:rsid w:val="00DE682D"/>
    <w:rsid w:val="00DE6DC7"/>
    <w:rsid w:val="00DF1711"/>
    <w:rsid w:val="00DF2474"/>
    <w:rsid w:val="00DF258C"/>
    <w:rsid w:val="00DF2760"/>
    <w:rsid w:val="00DF293A"/>
    <w:rsid w:val="00DF2A4B"/>
    <w:rsid w:val="00DF3224"/>
    <w:rsid w:val="00DF481B"/>
    <w:rsid w:val="00DF4ECD"/>
    <w:rsid w:val="00DF58ED"/>
    <w:rsid w:val="00DF62C5"/>
    <w:rsid w:val="00DF6B2E"/>
    <w:rsid w:val="00DF72B9"/>
    <w:rsid w:val="00DF7AB1"/>
    <w:rsid w:val="00E020DC"/>
    <w:rsid w:val="00E02222"/>
    <w:rsid w:val="00E03BE6"/>
    <w:rsid w:val="00E03C79"/>
    <w:rsid w:val="00E04D78"/>
    <w:rsid w:val="00E04DC2"/>
    <w:rsid w:val="00E050E7"/>
    <w:rsid w:val="00E05EBB"/>
    <w:rsid w:val="00E0632D"/>
    <w:rsid w:val="00E064AE"/>
    <w:rsid w:val="00E0687B"/>
    <w:rsid w:val="00E07FB1"/>
    <w:rsid w:val="00E10158"/>
    <w:rsid w:val="00E10C64"/>
    <w:rsid w:val="00E10CDE"/>
    <w:rsid w:val="00E12E82"/>
    <w:rsid w:val="00E12EFC"/>
    <w:rsid w:val="00E1339A"/>
    <w:rsid w:val="00E1368D"/>
    <w:rsid w:val="00E14276"/>
    <w:rsid w:val="00E150C2"/>
    <w:rsid w:val="00E152AF"/>
    <w:rsid w:val="00E1577D"/>
    <w:rsid w:val="00E165F1"/>
    <w:rsid w:val="00E16C0E"/>
    <w:rsid w:val="00E172D1"/>
    <w:rsid w:val="00E202EE"/>
    <w:rsid w:val="00E2030C"/>
    <w:rsid w:val="00E2151D"/>
    <w:rsid w:val="00E22A79"/>
    <w:rsid w:val="00E2327E"/>
    <w:rsid w:val="00E23432"/>
    <w:rsid w:val="00E23F62"/>
    <w:rsid w:val="00E23F8C"/>
    <w:rsid w:val="00E25106"/>
    <w:rsid w:val="00E264F0"/>
    <w:rsid w:val="00E266F5"/>
    <w:rsid w:val="00E26893"/>
    <w:rsid w:val="00E26E0F"/>
    <w:rsid w:val="00E27121"/>
    <w:rsid w:val="00E271BE"/>
    <w:rsid w:val="00E276F2"/>
    <w:rsid w:val="00E27BC6"/>
    <w:rsid w:val="00E304E9"/>
    <w:rsid w:val="00E31991"/>
    <w:rsid w:val="00E32665"/>
    <w:rsid w:val="00E34262"/>
    <w:rsid w:val="00E3428D"/>
    <w:rsid w:val="00E347AB"/>
    <w:rsid w:val="00E34CF3"/>
    <w:rsid w:val="00E35062"/>
    <w:rsid w:val="00E355B4"/>
    <w:rsid w:val="00E35747"/>
    <w:rsid w:val="00E35F18"/>
    <w:rsid w:val="00E365BF"/>
    <w:rsid w:val="00E36A74"/>
    <w:rsid w:val="00E36C6F"/>
    <w:rsid w:val="00E3771E"/>
    <w:rsid w:val="00E37CBF"/>
    <w:rsid w:val="00E37CE5"/>
    <w:rsid w:val="00E40164"/>
    <w:rsid w:val="00E407CB"/>
    <w:rsid w:val="00E40D8A"/>
    <w:rsid w:val="00E40E37"/>
    <w:rsid w:val="00E40F3B"/>
    <w:rsid w:val="00E416B0"/>
    <w:rsid w:val="00E4207A"/>
    <w:rsid w:val="00E42139"/>
    <w:rsid w:val="00E428E5"/>
    <w:rsid w:val="00E42CD7"/>
    <w:rsid w:val="00E4304A"/>
    <w:rsid w:val="00E4350A"/>
    <w:rsid w:val="00E4476C"/>
    <w:rsid w:val="00E4478C"/>
    <w:rsid w:val="00E44E9D"/>
    <w:rsid w:val="00E44FEE"/>
    <w:rsid w:val="00E459A7"/>
    <w:rsid w:val="00E45C6B"/>
    <w:rsid w:val="00E45DA4"/>
    <w:rsid w:val="00E46013"/>
    <w:rsid w:val="00E46618"/>
    <w:rsid w:val="00E4788C"/>
    <w:rsid w:val="00E47B5F"/>
    <w:rsid w:val="00E51FF3"/>
    <w:rsid w:val="00E53041"/>
    <w:rsid w:val="00E53CF4"/>
    <w:rsid w:val="00E552B3"/>
    <w:rsid w:val="00E5537E"/>
    <w:rsid w:val="00E55901"/>
    <w:rsid w:val="00E55CA1"/>
    <w:rsid w:val="00E55DDE"/>
    <w:rsid w:val="00E57691"/>
    <w:rsid w:val="00E57D3A"/>
    <w:rsid w:val="00E6044B"/>
    <w:rsid w:val="00E6054D"/>
    <w:rsid w:val="00E6093F"/>
    <w:rsid w:val="00E60FB9"/>
    <w:rsid w:val="00E616E5"/>
    <w:rsid w:val="00E62572"/>
    <w:rsid w:val="00E629DC"/>
    <w:rsid w:val="00E62F21"/>
    <w:rsid w:val="00E62F96"/>
    <w:rsid w:val="00E631CF"/>
    <w:rsid w:val="00E634AB"/>
    <w:rsid w:val="00E63A9D"/>
    <w:rsid w:val="00E6534C"/>
    <w:rsid w:val="00E6781C"/>
    <w:rsid w:val="00E7062E"/>
    <w:rsid w:val="00E70960"/>
    <w:rsid w:val="00E70DE7"/>
    <w:rsid w:val="00E71D10"/>
    <w:rsid w:val="00E72043"/>
    <w:rsid w:val="00E724AC"/>
    <w:rsid w:val="00E7254B"/>
    <w:rsid w:val="00E728C0"/>
    <w:rsid w:val="00E72D4C"/>
    <w:rsid w:val="00E72DB6"/>
    <w:rsid w:val="00E749C6"/>
    <w:rsid w:val="00E74B56"/>
    <w:rsid w:val="00E75282"/>
    <w:rsid w:val="00E753F5"/>
    <w:rsid w:val="00E75C10"/>
    <w:rsid w:val="00E766E3"/>
    <w:rsid w:val="00E76B3B"/>
    <w:rsid w:val="00E77E4F"/>
    <w:rsid w:val="00E77E6B"/>
    <w:rsid w:val="00E77F32"/>
    <w:rsid w:val="00E8011A"/>
    <w:rsid w:val="00E813AA"/>
    <w:rsid w:val="00E81D0C"/>
    <w:rsid w:val="00E82459"/>
    <w:rsid w:val="00E82FC5"/>
    <w:rsid w:val="00E83ADD"/>
    <w:rsid w:val="00E84D6A"/>
    <w:rsid w:val="00E84D76"/>
    <w:rsid w:val="00E84EED"/>
    <w:rsid w:val="00E85251"/>
    <w:rsid w:val="00E8540F"/>
    <w:rsid w:val="00E85648"/>
    <w:rsid w:val="00E85778"/>
    <w:rsid w:val="00E85ED4"/>
    <w:rsid w:val="00E86441"/>
    <w:rsid w:val="00E903F8"/>
    <w:rsid w:val="00E90E00"/>
    <w:rsid w:val="00E914A2"/>
    <w:rsid w:val="00E9152A"/>
    <w:rsid w:val="00E91D17"/>
    <w:rsid w:val="00E9208B"/>
    <w:rsid w:val="00E920A7"/>
    <w:rsid w:val="00E92793"/>
    <w:rsid w:val="00E92E92"/>
    <w:rsid w:val="00E94658"/>
    <w:rsid w:val="00E9481E"/>
    <w:rsid w:val="00E9545E"/>
    <w:rsid w:val="00E95644"/>
    <w:rsid w:val="00E96538"/>
    <w:rsid w:val="00EA01E3"/>
    <w:rsid w:val="00EA03A4"/>
    <w:rsid w:val="00EA058C"/>
    <w:rsid w:val="00EA0AF6"/>
    <w:rsid w:val="00EA0B5D"/>
    <w:rsid w:val="00EA28FB"/>
    <w:rsid w:val="00EA3474"/>
    <w:rsid w:val="00EA3798"/>
    <w:rsid w:val="00EA4C18"/>
    <w:rsid w:val="00EA5087"/>
    <w:rsid w:val="00EA5146"/>
    <w:rsid w:val="00EA5FBB"/>
    <w:rsid w:val="00EA5FC9"/>
    <w:rsid w:val="00EA65BD"/>
    <w:rsid w:val="00EA7691"/>
    <w:rsid w:val="00EB1F23"/>
    <w:rsid w:val="00EB2AF2"/>
    <w:rsid w:val="00EB30D2"/>
    <w:rsid w:val="00EB3F75"/>
    <w:rsid w:val="00EB4DA9"/>
    <w:rsid w:val="00EB4F91"/>
    <w:rsid w:val="00EB5E92"/>
    <w:rsid w:val="00EB5F86"/>
    <w:rsid w:val="00EB604E"/>
    <w:rsid w:val="00EB7228"/>
    <w:rsid w:val="00EB79A1"/>
    <w:rsid w:val="00EB7A3A"/>
    <w:rsid w:val="00EB7C17"/>
    <w:rsid w:val="00EC0504"/>
    <w:rsid w:val="00EC08E1"/>
    <w:rsid w:val="00EC12F0"/>
    <w:rsid w:val="00EC1568"/>
    <w:rsid w:val="00EC1677"/>
    <w:rsid w:val="00EC2F53"/>
    <w:rsid w:val="00EC372F"/>
    <w:rsid w:val="00EC37B8"/>
    <w:rsid w:val="00EC4246"/>
    <w:rsid w:val="00EC4978"/>
    <w:rsid w:val="00EC4D2A"/>
    <w:rsid w:val="00EC4D47"/>
    <w:rsid w:val="00EC4D6C"/>
    <w:rsid w:val="00EC60D0"/>
    <w:rsid w:val="00EC64C2"/>
    <w:rsid w:val="00EC7E92"/>
    <w:rsid w:val="00EC7FAA"/>
    <w:rsid w:val="00ED02A6"/>
    <w:rsid w:val="00ED02E9"/>
    <w:rsid w:val="00ED0476"/>
    <w:rsid w:val="00ED0982"/>
    <w:rsid w:val="00ED09EF"/>
    <w:rsid w:val="00ED13C3"/>
    <w:rsid w:val="00ED1EFA"/>
    <w:rsid w:val="00ED2796"/>
    <w:rsid w:val="00ED497F"/>
    <w:rsid w:val="00ED65D2"/>
    <w:rsid w:val="00ED6DF0"/>
    <w:rsid w:val="00ED7EA7"/>
    <w:rsid w:val="00EE0208"/>
    <w:rsid w:val="00EE04D5"/>
    <w:rsid w:val="00EE10C9"/>
    <w:rsid w:val="00EE11D9"/>
    <w:rsid w:val="00EE1324"/>
    <w:rsid w:val="00EE1789"/>
    <w:rsid w:val="00EE262A"/>
    <w:rsid w:val="00EE2A3B"/>
    <w:rsid w:val="00EE3AA9"/>
    <w:rsid w:val="00EE3EDE"/>
    <w:rsid w:val="00EE41C5"/>
    <w:rsid w:val="00EE42B2"/>
    <w:rsid w:val="00EE4489"/>
    <w:rsid w:val="00EE4B28"/>
    <w:rsid w:val="00EE4CB8"/>
    <w:rsid w:val="00EE5276"/>
    <w:rsid w:val="00EE6848"/>
    <w:rsid w:val="00EE6B69"/>
    <w:rsid w:val="00EE7642"/>
    <w:rsid w:val="00EE7ECF"/>
    <w:rsid w:val="00EF01D5"/>
    <w:rsid w:val="00EF145F"/>
    <w:rsid w:val="00EF1743"/>
    <w:rsid w:val="00EF1F5A"/>
    <w:rsid w:val="00EF2087"/>
    <w:rsid w:val="00EF2172"/>
    <w:rsid w:val="00EF33B6"/>
    <w:rsid w:val="00EF3655"/>
    <w:rsid w:val="00EF4AE2"/>
    <w:rsid w:val="00EF5A07"/>
    <w:rsid w:val="00EF5D11"/>
    <w:rsid w:val="00EF5D3E"/>
    <w:rsid w:val="00EF649D"/>
    <w:rsid w:val="00EF6E90"/>
    <w:rsid w:val="00EF7527"/>
    <w:rsid w:val="00EF7A28"/>
    <w:rsid w:val="00EF7C40"/>
    <w:rsid w:val="00F00167"/>
    <w:rsid w:val="00F00776"/>
    <w:rsid w:val="00F00CA7"/>
    <w:rsid w:val="00F021A8"/>
    <w:rsid w:val="00F0243E"/>
    <w:rsid w:val="00F025B3"/>
    <w:rsid w:val="00F036DC"/>
    <w:rsid w:val="00F043D2"/>
    <w:rsid w:val="00F05125"/>
    <w:rsid w:val="00F052EA"/>
    <w:rsid w:val="00F06B38"/>
    <w:rsid w:val="00F06EF1"/>
    <w:rsid w:val="00F0735F"/>
    <w:rsid w:val="00F073F9"/>
    <w:rsid w:val="00F07AA1"/>
    <w:rsid w:val="00F07B17"/>
    <w:rsid w:val="00F07F02"/>
    <w:rsid w:val="00F1191E"/>
    <w:rsid w:val="00F11B87"/>
    <w:rsid w:val="00F11EF9"/>
    <w:rsid w:val="00F14B16"/>
    <w:rsid w:val="00F15B6D"/>
    <w:rsid w:val="00F16503"/>
    <w:rsid w:val="00F1654A"/>
    <w:rsid w:val="00F16696"/>
    <w:rsid w:val="00F17158"/>
    <w:rsid w:val="00F17554"/>
    <w:rsid w:val="00F175F1"/>
    <w:rsid w:val="00F17A17"/>
    <w:rsid w:val="00F17F16"/>
    <w:rsid w:val="00F21BF5"/>
    <w:rsid w:val="00F22BCC"/>
    <w:rsid w:val="00F22D69"/>
    <w:rsid w:val="00F233E0"/>
    <w:rsid w:val="00F246AE"/>
    <w:rsid w:val="00F248F1"/>
    <w:rsid w:val="00F24D1E"/>
    <w:rsid w:val="00F24DF9"/>
    <w:rsid w:val="00F25969"/>
    <w:rsid w:val="00F266B1"/>
    <w:rsid w:val="00F266FB"/>
    <w:rsid w:val="00F26920"/>
    <w:rsid w:val="00F27244"/>
    <w:rsid w:val="00F27467"/>
    <w:rsid w:val="00F277AF"/>
    <w:rsid w:val="00F27BB3"/>
    <w:rsid w:val="00F301E1"/>
    <w:rsid w:val="00F304E3"/>
    <w:rsid w:val="00F30D23"/>
    <w:rsid w:val="00F311CA"/>
    <w:rsid w:val="00F31885"/>
    <w:rsid w:val="00F31E09"/>
    <w:rsid w:val="00F33457"/>
    <w:rsid w:val="00F338A7"/>
    <w:rsid w:val="00F33A35"/>
    <w:rsid w:val="00F33CCB"/>
    <w:rsid w:val="00F34681"/>
    <w:rsid w:val="00F351B6"/>
    <w:rsid w:val="00F35C59"/>
    <w:rsid w:val="00F365C4"/>
    <w:rsid w:val="00F36600"/>
    <w:rsid w:val="00F37648"/>
    <w:rsid w:val="00F37B5E"/>
    <w:rsid w:val="00F40C65"/>
    <w:rsid w:val="00F40CD9"/>
    <w:rsid w:val="00F43886"/>
    <w:rsid w:val="00F44550"/>
    <w:rsid w:val="00F4476F"/>
    <w:rsid w:val="00F448BB"/>
    <w:rsid w:val="00F44F67"/>
    <w:rsid w:val="00F456D6"/>
    <w:rsid w:val="00F45B29"/>
    <w:rsid w:val="00F46166"/>
    <w:rsid w:val="00F4625E"/>
    <w:rsid w:val="00F4654C"/>
    <w:rsid w:val="00F518C9"/>
    <w:rsid w:val="00F51AA9"/>
    <w:rsid w:val="00F51FD9"/>
    <w:rsid w:val="00F52118"/>
    <w:rsid w:val="00F52B3B"/>
    <w:rsid w:val="00F52B87"/>
    <w:rsid w:val="00F53073"/>
    <w:rsid w:val="00F53240"/>
    <w:rsid w:val="00F533C8"/>
    <w:rsid w:val="00F53538"/>
    <w:rsid w:val="00F53832"/>
    <w:rsid w:val="00F539B7"/>
    <w:rsid w:val="00F53B85"/>
    <w:rsid w:val="00F559D5"/>
    <w:rsid w:val="00F55DA9"/>
    <w:rsid w:val="00F56345"/>
    <w:rsid w:val="00F563AD"/>
    <w:rsid w:val="00F5755D"/>
    <w:rsid w:val="00F57FC8"/>
    <w:rsid w:val="00F6040A"/>
    <w:rsid w:val="00F60564"/>
    <w:rsid w:val="00F6069A"/>
    <w:rsid w:val="00F606FD"/>
    <w:rsid w:val="00F607BF"/>
    <w:rsid w:val="00F6103D"/>
    <w:rsid w:val="00F621DB"/>
    <w:rsid w:val="00F621F4"/>
    <w:rsid w:val="00F622DC"/>
    <w:rsid w:val="00F62ACC"/>
    <w:rsid w:val="00F63B03"/>
    <w:rsid w:val="00F64C3D"/>
    <w:rsid w:val="00F64ECB"/>
    <w:rsid w:val="00F65ADA"/>
    <w:rsid w:val="00F66805"/>
    <w:rsid w:val="00F66CB1"/>
    <w:rsid w:val="00F67E29"/>
    <w:rsid w:val="00F715DE"/>
    <w:rsid w:val="00F71A1A"/>
    <w:rsid w:val="00F71AA3"/>
    <w:rsid w:val="00F71D0B"/>
    <w:rsid w:val="00F721B1"/>
    <w:rsid w:val="00F725AA"/>
    <w:rsid w:val="00F72A37"/>
    <w:rsid w:val="00F759C6"/>
    <w:rsid w:val="00F761E2"/>
    <w:rsid w:val="00F763D3"/>
    <w:rsid w:val="00F768DD"/>
    <w:rsid w:val="00F7694B"/>
    <w:rsid w:val="00F76EBF"/>
    <w:rsid w:val="00F76FF7"/>
    <w:rsid w:val="00F7793F"/>
    <w:rsid w:val="00F8081C"/>
    <w:rsid w:val="00F809C5"/>
    <w:rsid w:val="00F81473"/>
    <w:rsid w:val="00F81836"/>
    <w:rsid w:val="00F81866"/>
    <w:rsid w:val="00F82B01"/>
    <w:rsid w:val="00F82F1A"/>
    <w:rsid w:val="00F83F3C"/>
    <w:rsid w:val="00F84D79"/>
    <w:rsid w:val="00F84FB2"/>
    <w:rsid w:val="00F85E3B"/>
    <w:rsid w:val="00F860F2"/>
    <w:rsid w:val="00F8684C"/>
    <w:rsid w:val="00F868DA"/>
    <w:rsid w:val="00F869E0"/>
    <w:rsid w:val="00F86AC4"/>
    <w:rsid w:val="00F86BA7"/>
    <w:rsid w:val="00F872D8"/>
    <w:rsid w:val="00F873AF"/>
    <w:rsid w:val="00F87488"/>
    <w:rsid w:val="00F87E78"/>
    <w:rsid w:val="00F9042B"/>
    <w:rsid w:val="00F90993"/>
    <w:rsid w:val="00F92394"/>
    <w:rsid w:val="00F92BC9"/>
    <w:rsid w:val="00F92DFF"/>
    <w:rsid w:val="00F938D7"/>
    <w:rsid w:val="00F9409F"/>
    <w:rsid w:val="00F94296"/>
    <w:rsid w:val="00F944CB"/>
    <w:rsid w:val="00F95006"/>
    <w:rsid w:val="00F95D70"/>
    <w:rsid w:val="00F966D7"/>
    <w:rsid w:val="00F96DBC"/>
    <w:rsid w:val="00F96E8A"/>
    <w:rsid w:val="00F97A99"/>
    <w:rsid w:val="00FA03AC"/>
    <w:rsid w:val="00FA15BA"/>
    <w:rsid w:val="00FA22F7"/>
    <w:rsid w:val="00FA283A"/>
    <w:rsid w:val="00FA39C6"/>
    <w:rsid w:val="00FA3DE4"/>
    <w:rsid w:val="00FA46DF"/>
    <w:rsid w:val="00FA56D8"/>
    <w:rsid w:val="00FA599B"/>
    <w:rsid w:val="00FA62F4"/>
    <w:rsid w:val="00FA6886"/>
    <w:rsid w:val="00FA738C"/>
    <w:rsid w:val="00FA7AD6"/>
    <w:rsid w:val="00FA7E73"/>
    <w:rsid w:val="00FB025E"/>
    <w:rsid w:val="00FB0918"/>
    <w:rsid w:val="00FB0A66"/>
    <w:rsid w:val="00FB1331"/>
    <w:rsid w:val="00FB1BCB"/>
    <w:rsid w:val="00FB1E7D"/>
    <w:rsid w:val="00FB1EE5"/>
    <w:rsid w:val="00FB1F02"/>
    <w:rsid w:val="00FB2DC1"/>
    <w:rsid w:val="00FB424F"/>
    <w:rsid w:val="00FB4AAC"/>
    <w:rsid w:val="00FB53C6"/>
    <w:rsid w:val="00FB54D7"/>
    <w:rsid w:val="00FB6C80"/>
    <w:rsid w:val="00FB703B"/>
    <w:rsid w:val="00FB7709"/>
    <w:rsid w:val="00FB7922"/>
    <w:rsid w:val="00FC0B2D"/>
    <w:rsid w:val="00FC0E50"/>
    <w:rsid w:val="00FC11BC"/>
    <w:rsid w:val="00FC23F3"/>
    <w:rsid w:val="00FC25C9"/>
    <w:rsid w:val="00FC2C9A"/>
    <w:rsid w:val="00FC2D61"/>
    <w:rsid w:val="00FC3570"/>
    <w:rsid w:val="00FC4D69"/>
    <w:rsid w:val="00FC4F6F"/>
    <w:rsid w:val="00FC5980"/>
    <w:rsid w:val="00FC5EB5"/>
    <w:rsid w:val="00FC6992"/>
    <w:rsid w:val="00FD032B"/>
    <w:rsid w:val="00FD0EB2"/>
    <w:rsid w:val="00FD0FE8"/>
    <w:rsid w:val="00FD15FC"/>
    <w:rsid w:val="00FD17AB"/>
    <w:rsid w:val="00FD260F"/>
    <w:rsid w:val="00FD26B3"/>
    <w:rsid w:val="00FD2DE0"/>
    <w:rsid w:val="00FD2EAD"/>
    <w:rsid w:val="00FD383D"/>
    <w:rsid w:val="00FD4885"/>
    <w:rsid w:val="00FD4FDF"/>
    <w:rsid w:val="00FD5870"/>
    <w:rsid w:val="00FD5ABF"/>
    <w:rsid w:val="00FD67B9"/>
    <w:rsid w:val="00FD7248"/>
    <w:rsid w:val="00FD7912"/>
    <w:rsid w:val="00FD7A34"/>
    <w:rsid w:val="00FE000C"/>
    <w:rsid w:val="00FE0948"/>
    <w:rsid w:val="00FE0A81"/>
    <w:rsid w:val="00FE0DC5"/>
    <w:rsid w:val="00FE1D5D"/>
    <w:rsid w:val="00FE1E36"/>
    <w:rsid w:val="00FE2E5F"/>
    <w:rsid w:val="00FE43D6"/>
    <w:rsid w:val="00FE4473"/>
    <w:rsid w:val="00FE47C0"/>
    <w:rsid w:val="00FE5764"/>
    <w:rsid w:val="00FE667B"/>
    <w:rsid w:val="00FE75E4"/>
    <w:rsid w:val="00FE7A88"/>
    <w:rsid w:val="00FE7D58"/>
    <w:rsid w:val="00FF13F8"/>
    <w:rsid w:val="00FF18B2"/>
    <w:rsid w:val="00FF3348"/>
    <w:rsid w:val="00FF3BC9"/>
    <w:rsid w:val="00FF52D6"/>
    <w:rsid w:val="00FF5663"/>
    <w:rsid w:val="00FF61C7"/>
    <w:rsid w:val="00FF62E5"/>
    <w:rsid w:val="00FF6B6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AD6A0"/>
  <w15:chartTrackingRefBased/>
  <w15:docId w15:val="{6183C341-AB11-4B65-8DD1-2C3BDE060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3A5"/>
    <w:pPr>
      <w:spacing w:after="0" w:line="240" w:lineRule="auto"/>
    </w:pPr>
    <w:rPr>
      <w:lang w:val="es-ES"/>
    </w:rPr>
  </w:style>
  <w:style w:type="paragraph" w:styleId="Ttulo1">
    <w:name w:val="heading 1"/>
    <w:basedOn w:val="Normal"/>
    <w:next w:val="Normal"/>
    <w:link w:val="Ttulo1Car"/>
    <w:uiPriority w:val="9"/>
    <w:qFormat/>
    <w:rsid w:val="00FD032B"/>
    <w:pPr>
      <w:keepNext/>
      <w:keepLines/>
      <w:contextualSpacing/>
      <w:outlineLvl w:val="0"/>
    </w:pPr>
    <w:rPr>
      <w:rFonts w:asciiTheme="majorHAnsi" w:eastAsiaTheme="majorEastAsia" w:hAnsiTheme="majorHAnsi" w:cstheme="majorBidi"/>
      <w:color w:val="365F91" w:themeColor="accent1" w:themeShade="BF"/>
      <w:sz w:val="36"/>
      <w:szCs w:val="36"/>
    </w:rPr>
  </w:style>
  <w:style w:type="paragraph" w:styleId="Ttulo2">
    <w:name w:val="heading 2"/>
    <w:basedOn w:val="Ttulo1"/>
    <w:next w:val="Normal"/>
    <w:link w:val="Ttulo2Car"/>
    <w:uiPriority w:val="9"/>
    <w:unhideWhenUsed/>
    <w:qFormat/>
    <w:rsid w:val="00054DD3"/>
    <w:pPr>
      <w:outlineLvl w:val="1"/>
    </w:pPr>
    <w:rPr>
      <w:sz w:val="32"/>
      <w:szCs w:val="32"/>
    </w:rPr>
  </w:style>
  <w:style w:type="paragraph" w:styleId="Ttulo3">
    <w:name w:val="heading 3"/>
    <w:basedOn w:val="Ttulo2"/>
    <w:next w:val="Normal"/>
    <w:link w:val="Ttulo3Car"/>
    <w:uiPriority w:val="9"/>
    <w:unhideWhenUsed/>
    <w:qFormat/>
    <w:rsid w:val="00F338A7"/>
    <w:pPr>
      <w:outlineLvl w:val="2"/>
    </w:pPr>
    <w:rPr>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07FB5"/>
    <w:pPr>
      <w:tabs>
        <w:tab w:val="center" w:pos="4252"/>
        <w:tab w:val="right" w:pos="8504"/>
      </w:tabs>
    </w:pPr>
  </w:style>
  <w:style w:type="character" w:customStyle="1" w:styleId="EncabezadoCar">
    <w:name w:val="Encabezado Car"/>
    <w:basedOn w:val="Fuentedeprrafopredeter"/>
    <w:link w:val="Encabezado"/>
    <w:rsid w:val="00907FB5"/>
    <w:rPr>
      <w:lang w:val="es-ES"/>
    </w:rPr>
  </w:style>
  <w:style w:type="paragraph" w:styleId="Piedepgina">
    <w:name w:val="footer"/>
    <w:basedOn w:val="Normal"/>
    <w:link w:val="PiedepginaCar"/>
    <w:uiPriority w:val="99"/>
    <w:unhideWhenUsed/>
    <w:rsid w:val="00907FB5"/>
    <w:pPr>
      <w:tabs>
        <w:tab w:val="center" w:pos="4252"/>
        <w:tab w:val="right" w:pos="8504"/>
      </w:tabs>
    </w:pPr>
  </w:style>
  <w:style w:type="character" w:customStyle="1" w:styleId="PiedepginaCar">
    <w:name w:val="Pie de página Car"/>
    <w:basedOn w:val="Fuentedeprrafopredeter"/>
    <w:link w:val="Piedepgina"/>
    <w:uiPriority w:val="99"/>
    <w:rsid w:val="00907FB5"/>
    <w:rPr>
      <w:lang w:val="es-ES"/>
    </w:rPr>
  </w:style>
  <w:style w:type="character" w:styleId="Hipervnculo">
    <w:name w:val="Hyperlink"/>
    <w:basedOn w:val="Fuentedeprrafopredeter"/>
    <w:uiPriority w:val="99"/>
    <w:rsid w:val="00907FB5"/>
    <w:rPr>
      <w:color w:val="0000FF"/>
      <w:u w:val="single"/>
    </w:rPr>
  </w:style>
  <w:style w:type="paragraph" w:styleId="Prrafodelista">
    <w:name w:val="List Paragraph"/>
    <w:aliases w:val="Informe"/>
    <w:basedOn w:val="Normal"/>
    <w:link w:val="PrrafodelistaCar"/>
    <w:uiPriority w:val="34"/>
    <w:qFormat/>
    <w:rsid w:val="006023D3"/>
    <w:pPr>
      <w:ind w:left="720"/>
      <w:contextualSpacing/>
    </w:pPr>
  </w:style>
  <w:style w:type="paragraph" w:styleId="Sinespaciado">
    <w:name w:val="No Spacing"/>
    <w:link w:val="SinespaciadoCar"/>
    <w:uiPriority w:val="1"/>
    <w:qFormat/>
    <w:rsid w:val="006023D3"/>
    <w:pPr>
      <w:spacing w:after="0" w:line="240" w:lineRule="auto"/>
    </w:pPr>
    <w:rPr>
      <w:lang w:val="es-ES"/>
    </w:rPr>
  </w:style>
  <w:style w:type="character" w:customStyle="1" w:styleId="PrrafodelistaCar">
    <w:name w:val="Párrafo de lista Car"/>
    <w:aliases w:val="Informe Car"/>
    <w:link w:val="Prrafodelista"/>
    <w:uiPriority w:val="34"/>
    <w:rsid w:val="006023D3"/>
    <w:rPr>
      <w:lang w:val="es-ES"/>
    </w:rPr>
  </w:style>
  <w:style w:type="character" w:customStyle="1" w:styleId="SinespaciadoCar">
    <w:name w:val="Sin espaciado Car"/>
    <w:basedOn w:val="Fuentedeprrafopredeter"/>
    <w:link w:val="Sinespaciado"/>
    <w:uiPriority w:val="1"/>
    <w:rsid w:val="006023D3"/>
    <w:rPr>
      <w:lang w:val="es-ES"/>
    </w:rPr>
  </w:style>
  <w:style w:type="table" w:styleId="Tablaconcuadrcula">
    <w:name w:val="Table Grid"/>
    <w:basedOn w:val="Tablanormal"/>
    <w:uiPriority w:val="59"/>
    <w:rsid w:val="0060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6concolores-nfasis1">
    <w:name w:val="Grid Table 6 Colorful Accent 1"/>
    <w:basedOn w:val="Tablanormal"/>
    <w:uiPriority w:val="51"/>
    <w:rsid w:val="006023D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1">
    <w:name w:val="normaltextrun1"/>
    <w:basedOn w:val="Fuentedeprrafopredeter"/>
    <w:rsid w:val="00664025"/>
  </w:style>
  <w:style w:type="character" w:customStyle="1" w:styleId="eop">
    <w:name w:val="eop"/>
    <w:basedOn w:val="Fuentedeprrafopredeter"/>
    <w:rsid w:val="00664025"/>
  </w:style>
  <w:style w:type="character" w:customStyle="1" w:styleId="Ttulo1Car">
    <w:name w:val="Título 1 Car"/>
    <w:basedOn w:val="Fuentedeprrafopredeter"/>
    <w:link w:val="Ttulo1"/>
    <w:uiPriority w:val="9"/>
    <w:rsid w:val="00FD032B"/>
    <w:rPr>
      <w:rFonts w:asciiTheme="majorHAnsi" w:eastAsiaTheme="majorEastAsia" w:hAnsiTheme="majorHAnsi" w:cstheme="majorBidi"/>
      <w:color w:val="365F91" w:themeColor="accent1" w:themeShade="BF"/>
      <w:sz w:val="36"/>
      <w:szCs w:val="36"/>
      <w:lang w:val="es-ES"/>
    </w:rPr>
  </w:style>
  <w:style w:type="character" w:styleId="Mencinsinresolver">
    <w:name w:val="Unresolved Mention"/>
    <w:basedOn w:val="Fuentedeprrafopredeter"/>
    <w:uiPriority w:val="99"/>
    <w:semiHidden/>
    <w:unhideWhenUsed/>
    <w:rsid w:val="00E62F96"/>
    <w:rPr>
      <w:color w:val="605E5C"/>
      <w:shd w:val="clear" w:color="auto" w:fill="E1DFDD"/>
    </w:rPr>
  </w:style>
  <w:style w:type="character" w:customStyle="1" w:styleId="Ttulo2Car">
    <w:name w:val="Título 2 Car"/>
    <w:basedOn w:val="Fuentedeprrafopredeter"/>
    <w:link w:val="Ttulo2"/>
    <w:uiPriority w:val="9"/>
    <w:rsid w:val="00054DD3"/>
    <w:rPr>
      <w:rFonts w:asciiTheme="majorHAnsi" w:eastAsiaTheme="majorEastAsia" w:hAnsiTheme="majorHAnsi" w:cstheme="majorBidi"/>
      <w:color w:val="365F91" w:themeColor="accent1" w:themeShade="BF"/>
      <w:sz w:val="32"/>
      <w:szCs w:val="32"/>
      <w:lang w:val="es-ES"/>
    </w:rPr>
  </w:style>
  <w:style w:type="paragraph" w:styleId="Descripcin">
    <w:name w:val="caption"/>
    <w:basedOn w:val="Normal"/>
    <w:next w:val="Normal"/>
    <w:uiPriority w:val="35"/>
    <w:unhideWhenUsed/>
    <w:qFormat/>
    <w:rsid w:val="005C62A5"/>
    <w:pPr>
      <w:spacing w:after="200"/>
    </w:pPr>
    <w:rPr>
      <w:i/>
      <w:iCs/>
      <w:color w:val="1F497D" w:themeColor="text2"/>
      <w:sz w:val="18"/>
      <w:szCs w:val="18"/>
    </w:rPr>
  </w:style>
  <w:style w:type="paragraph" w:styleId="Textonotapie">
    <w:name w:val="footnote text"/>
    <w:basedOn w:val="Normal"/>
    <w:link w:val="TextonotapieCar"/>
    <w:uiPriority w:val="99"/>
    <w:semiHidden/>
    <w:unhideWhenUsed/>
    <w:rsid w:val="009B481B"/>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9B481B"/>
    <w:rPr>
      <w:rFonts w:ascii="Calibri" w:eastAsia="Calibri" w:hAnsi="Calibri" w:cs="Times New Roman"/>
      <w:sz w:val="20"/>
      <w:szCs w:val="20"/>
      <w:lang w:val="es-ES"/>
    </w:rPr>
  </w:style>
  <w:style w:type="character" w:styleId="Refdenotaalpie">
    <w:name w:val="footnote reference"/>
    <w:uiPriority w:val="99"/>
    <w:semiHidden/>
    <w:unhideWhenUsed/>
    <w:rsid w:val="009B481B"/>
    <w:rPr>
      <w:vertAlign w:val="superscript"/>
    </w:rPr>
  </w:style>
  <w:style w:type="paragraph" w:styleId="TtuloTDC">
    <w:name w:val="TOC Heading"/>
    <w:basedOn w:val="Ttulo1"/>
    <w:next w:val="Normal"/>
    <w:uiPriority w:val="39"/>
    <w:unhideWhenUsed/>
    <w:qFormat/>
    <w:rsid w:val="00C7675B"/>
    <w:pPr>
      <w:spacing w:before="240" w:line="259" w:lineRule="auto"/>
      <w:contextualSpacing w:val="0"/>
      <w:outlineLvl w:val="9"/>
    </w:pPr>
    <w:rPr>
      <w:sz w:val="32"/>
      <w:szCs w:val="32"/>
      <w:lang w:val="es-CR" w:eastAsia="es-CR"/>
    </w:rPr>
  </w:style>
  <w:style w:type="paragraph" w:styleId="TDC1">
    <w:name w:val="toc 1"/>
    <w:basedOn w:val="Normal"/>
    <w:next w:val="Normal"/>
    <w:autoRedefine/>
    <w:uiPriority w:val="39"/>
    <w:unhideWhenUsed/>
    <w:rsid w:val="00C7675B"/>
    <w:pPr>
      <w:spacing w:after="100"/>
    </w:pPr>
  </w:style>
  <w:style w:type="paragraph" w:styleId="TDC2">
    <w:name w:val="toc 2"/>
    <w:basedOn w:val="Normal"/>
    <w:next w:val="Normal"/>
    <w:autoRedefine/>
    <w:uiPriority w:val="39"/>
    <w:unhideWhenUsed/>
    <w:rsid w:val="00C7675B"/>
    <w:pPr>
      <w:spacing w:after="100"/>
      <w:ind w:left="220"/>
    </w:pPr>
  </w:style>
  <w:style w:type="table" w:styleId="Tablaconcuadrcula4-nfasis1">
    <w:name w:val="Grid Table 4 Accent 1"/>
    <w:basedOn w:val="Tablanormal"/>
    <w:uiPriority w:val="49"/>
    <w:rsid w:val="007D5AE5"/>
    <w:pPr>
      <w:spacing w:after="0" w:line="240" w:lineRule="auto"/>
    </w:pPr>
    <w:rPr>
      <w:rFonts w:ascii="Calibri" w:eastAsia="Calibri" w:hAnsi="Calibri" w:cs="Times New Roman"/>
      <w:sz w:val="20"/>
      <w:szCs w:val="20"/>
      <w:lang w:eastAsia="es-C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3Car">
    <w:name w:val="Título 3 Car"/>
    <w:basedOn w:val="Fuentedeprrafopredeter"/>
    <w:link w:val="Ttulo3"/>
    <w:uiPriority w:val="9"/>
    <w:rsid w:val="00F338A7"/>
    <w:rPr>
      <w:rFonts w:asciiTheme="majorHAnsi" w:eastAsiaTheme="majorEastAsia" w:hAnsiTheme="majorHAnsi" w:cstheme="majorBidi"/>
      <w:color w:val="365F91" w:themeColor="accent1" w:themeShade="BF"/>
      <w:sz w:val="28"/>
      <w:szCs w:val="28"/>
      <w:lang w:val="es-ES"/>
    </w:rPr>
  </w:style>
  <w:style w:type="paragraph" w:styleId="TDC3">
    <w:name w:val="toc 3"/>
    <w:basedOn w:val="Normal"/>
    <w:next w:val="Normal"/>
    <w:autoRedefine/>
    <w:uiPriority w:val="39"/>
    <w:unhideWhenUsed/>
    <w:rsid w:val="00286D36"/>
    <w:pPr>
      <w:spacing w:after="100"/>
      <w:ind w:left="440"/>
    </w:pPr>
  </w:style>
  <w:style w:type="character" w:styleId="Refdecomentario">
    <w:name w:val="annotation reference"/>
    <w:basedOn w:val="Fuentedeprrafopredeter"/>
    <w:uiPriority w:val="99"/>
    <w:semiHidden/>
    <w:unhideWhenUsed/>
    <w:rsid w:val="00D84631"/>
    <w:rPr>
      <w:sz w:val="16"/>
      <w:szCs w:val="16"/>
    </w:rPr>
  </w:style>
  <w:style w:type="paragraph" w:styleId="Textocomentario">
    <w:name w:val="annotation text"/>
    <w:basedOn w:val="Normal"/>
    <w:link w:val="TextocomentarioCar"/>
    <w:uiPriority w:val="99"/>
    <w:unhideWhenUsed/>
    <w:rsid w:val="00D84631"/>
    <w:rPr>
      <w:sz w:val="20"/>
      <w:szCs w:val="20"/>
    </w:rPr>
  </w:style>
  <w:style w:type="character" w:customStyle="1" w:styleId="TextocomentarioCar">
    <w:name w:val="Texto comentario Car"/>
    <w:basedOn w:val="Fuentedeprrafopredeter"/>
    <w:link w:val="Textocomentario"/>
    <w:uiPriority w:val="99"/>
    <w:rsid w:val="00D84631"/>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D84631"/>
    <w:rPr>
      <w:b/>
      <w:bCs/>
    </w:rPr>
  </w:style>
  <w:style w:type="character" w:customStyle="1" w:styleId="AsuntodelcomentarioCar">
    <w:name w:val="Asunto del comentario Car"/>
    <w:basedOn w:val="TextocomentarioCar"/>
    <w:link w:val="Asuntodelcomentario"/>
    <w:uiPriority w:val="99"/>
    <w:semiHidden/>
    <w:rsid w:val="00D84631"/>
    <w:rPr>
      <w:b/>
      <w:bCs/>
      <w:sz w:val="20"/>
      <w:szCs w:val="20"/>
      <w:lang w:val="es-ES"/>
    </w:rPr>
  </w:style>
  <w:style w:type="paragraph" w:styleId="Textodeglobo">
    <w:name w:val="Balloon Text"/>
    <w:basedOn w:val="Normal"/>
    <w:link w:val="TextodegloboCar"/>
    <w:uiPriority w:val="99"/>
    <w:semiHidden/>
    <w:unhideWhenUsed/>
    <w:rsid w:val="00D8463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4631"/>
    <w:rPr>
      <w:rFonts w:ascii="Segoe UI" w:hAnsi="Segoe UI" w:cs="Segoe UI"/>
      <w:sz w:val="18"/>
      <w:szCs w:val="18"/>
      <w:lang w:val="es-ES"/>
    </w:rPr>
  </w:style>
  <w:style w:type="character" w:styleId="Hipervnculovisitado">
    <w:name w:val="FollowedHyperlink"/>
    <w:basedOn w:val="Fuentedeprrafopredeter"/>
    <w:uiPriority w:val="99"/>
    <w:semiHidden/>
    <w:unhideWhenUsed/>
    <w:rsid w:val="00EB7C17"/>
    <w:rPr>
      <w:color w:val="800080" w:themeColor="followedHyperlink"/>
      <w:u w:val="single"/>
    </w:rPr>
  </w:style>
  <w:style w:type="paragraph" w:customStyle="1" w:styleId="paragraph">
    <w:name w:val="paragraph"/>
    <w:basedOn w:val="Normal"/>
    <w:rsid w:val="00C43EA9"/>
    <w:rPr>
      <w:rFonts w:ascii="Times New Roman" w:eastAsia="Times New Roman" w:hAnsi="Times New Roman" w:cs="Times New Roman"/>
      <w:sz w:val="24"/>
      <w:szCs w:val="24"/>
      <w:lang w:val="es-CR" w:eastAsia="es-CR"/>
    </w:rPr>
  </w:style>
  <w:style w:type="paragraph" w:styleId="Revisin">
    <w:name w:val="Revision"/>
    <w:hidden/>
    <w:uiPriority w:val="99"/>
    <w:semiHidden/>
    <w:rsid w:val="007D5DF8"/>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80722">
      <w:bodyDiv w:val="1"/>
      <w:marLeft w:val="0"/>
      <w:marRight w:val="0"/>
      <w:marTop w:val="0"/>
      <w:marBottom w:val="0"/>
      <w:divBdr>
        <w:top w:val="none" w:sz="0" w:space="0" w:color="auto"/>
        <w:left w:val="none" w:sz="0" w:space="0" w:color="auto"/>
        <w:bottom w:val="none" w:sz="0" w:space="0" w:color="auto"/>
        <w:right w:val="none" w:sz="0" w:space="0" w:color="auto"/>
      </w:divBdr>
    </w:div>
    <w:div w:id="176620733">
      <w:bodyDiv w:val="1"/>
      <w:marLeft w:val="0"/>
      <w:marRight w:val="0"/>
      <w:marTop w:val="0"/>
      <w:marBottom w:val="0"/>
      <w:divBdr>
        <w:top w:val="none" w:sz="0" w:space="0" w:color="auto"/>
        <w:left w:val="none" w:sz="0" w:space="0" w:color="auto"/>
        <w:bottom w:val="none" w:sz="0" w:space="0" w:color="auto"/>
        <w:right w:val="none" w:sz="0" w:space="0" w:color="auto"/>
      </w:divBdr>
    </w:div>
    <w:div w:id="329991549">
      <w:bodyDiv w:val="1"/>
      <w:marLeft w:val="0"/>
      <w:marRight w:val="0"/>
      <w:marTop w:val="0"/>
      <w:marBottom w:val="0"/>
      <w:divBdr>
        <w:top w:val="none" w:sz="0" w:space="0" w:color="auto"/>
        <w:left w:val="none" w:sz="0" w:space="0" w:color="auto"/>
        <w:bottom w:val="none" w:sz="0" w:space="0" w:color="auto"/>
        <w:right w:val="none" w:sz="0" w:space="0" w:color="auto"/>
      </w:divBdr>
    </w:div>
    <w:div w:id="381171638">
      <w:bodyDiv w:val="1"/>
      <w:marLeft w:val="0"/>
      <w:marRight w:val="0"/>
      <w:marTop w:val="0"/>
      <w:marBottom w:val="0"/>
      <w:divBdr>
        <w:top w:val="none" w:sz="0" w:space="0" w:color="auto"/>
        <w:left w:val="none" w:sz="0" w:space="0" w:color="auto"/>
        <w:bottom w:val="none" w:sz="0" w:space="0" w:color="auto"/>
        <w:right w:val="none" w:sz="0" w:space="0" w:color="auto"/>
      </w:divBdr>
    </w:div>
    <w:div w:id="417799252">
      <w:bodyDiv w:val="1"/>
      <w:marLeft w:val="0"/>
      <w:marRight w:val="0"/>
      <w:marTop w:val="0"/>
      <w:marBottom w:val="0"/>
      <w:divBdr>
        <w:top w:val="none" w:sz="0" w:space="0" w:color="auto"/>
        <w:left w:val="none" w:sz="0" w:space="0" w:color="auto"/>
        <w:bottom w:val="none" w:sz="0" w:space="0" w:color="auto"/>
        <w:right w:val="none" w:sz="0" w:space="0" w:color="auto"/>
      </w:divBdr>
    </w:div>
    <w:div w:id="439573509">
      <w:bodyDiv w:val="1"/>
      <w:marLeft w:val="0"/>
      <w:marRight w:val="0"/>
      <w:marTop w:val="0"/>
      <w:marBottom w:val="0"/>
      <w:divBdr>
        <w:top w:val="none" w:sz="0" w:space="0" w:color="auto"/>
        <w:left w:val="none" w:sz="0" w:space="0" w:color="auto"/>
        <w:bottom w:val="none" w:sz="0" w:space="0" w:color="auto"/>
        <w:right w:val="none" w:sz="0" w:space="0" w:color="auto"/>
      </w:divBdr>
    </w:div>
    <w:div w:id="485363879">
      <w:bodyDiv w:val="1"/>
      <w:marLeft w:val="0"/>
      <w:marRight w:val="0"/>
      <w:marTop w:val="0"/>
      <w:marBottom w:val="0"/>
      <w:divBdr>
        <w:top w:val="none" w:sz="0" w:space="0" w:color="auto"/>
        <w:left w:val="none" w:sz="0" w:space="0" w:color="auto"/>
        <w:bottom w:val="none" w:sz="0" w:space="0" w:color="auto"/>
        <w:right w:val="none" w:sz="0" w:space="0" w:color="auto"/>
      </w:divBdr>
    </w:div>
    <w:div w:id="507865749">
      <w:bodyDiv w:val="1"/>
      <w:marLeft w:val="0"/>
      <w:marRight w:val="0"/>
      <w:marTop w:val="0"/>
      <w:marBottom w:val="0"/>
      <w:divBdr>
        <w:top w:val="none" w:sz="0" w:space="0" w:color="auto"/>
        <w:left w:val="none" w:sz="0" w:space="0" w:color="auto"/>
        <w:bottom w:val="none" w:sz="0" w:space="0" w:color="auto"/>
        <w:right w:val="none" w:sz="0" w:space="0" w:color="auto"/>
      </w:divBdr>
    </w:div>
    <w:div w:id="525942942">
      <w:bodyDiv w:val="1"/>
      <w:marLeft w:val="0"/>
      <w:marRight w:val="0"/>
      <w:marTop w:val="0"/>
      <w:marBottom w:val="0"/>
      <w:divBdr>
        <w:top w:val="none" w:sz="0" w:space="0" w:color="auto"/>
        <w:left w:val="none" w:sz="0" w:space="0" w:color="auto"/>
        <w:bottom w:val="none" w:sz="0" w:space="0" w:color="auto"/>
        <w:right w:val="none" w:sz="0" w:space="0" w:color="auto"/>
      </w:divBdr>
    </w:div>
    <w:div w:id="550731254">
      <w:bodyDiv w:val="1"/>
      <w:marLeft w:val="0"/>
      <w:marRight w:val="0"/>
      <w:marTop w:val="0"/>
      <w:marBottom w:val="0"/>
      <w:divBdr>
        <w:top w:val="none" w:sz="0" w:space="0" w:color="auto"/>
        <w:left w:val="none" w:sz="0" w:space="0" w:color="auto"/>
        <w:bottom w:val="none" w:sz="0" w:space="0" w:color="auto"/>
        <w:right w:val="none" w:sz="0" w:space="0" w:color="auto"/>
      </w:divBdr>
    </w:div>
    <w:div w:id="583690153">
      <w:bodyDiv w:val="1"/>
      <w:marLeft w:val="0"/>
      <w:marRight w:val="0"/>
      <w:marTop w:val="0"/>
      <w:marBottom w:val="0"/>
      <w:divBdr>
        <w:top w:val="none" w:sz="0" w:space="0" w:color="auto"/>
        <w:left w:val="none" w:sz="0" w:space="0" w:color="auto"/>
        <w:bottom w:val="none" w:sz="0" w:space="0" w:color="auto"/>
        <w:right w:val="none" w:sz="0" w:space="0" w:color="auto"/>
      </w:divBdr>
    </w:div>
    <w:div w:id="603457406">
      <w:bodyDiv w:val="1"/>
      <w:marLeft w:val="0"/>
      <w:marRight w:val="0"/>
      <w:marTop w:val="0"/>
      <w:marBottom w:val="0"/>
      <w:divBdr>
        <w:top w:val="none" w:sz="0" w:space="0" w:color="auto"/>
        <w:left w:val="none" w:sz="0" w:space="0" w:color="auto"/>
        <w:bottom w:val="none" w:sz="0" w:space="0" w:color="auto"/>
        <w:right w:val="none" w:sz="0" w:space="0" w:color="auto"/>
      </w:divBdr>
    </w:div>
    <w:div w:id="662468424">
      <w:bodyDiv w:val="1"/>
      <w:marLeft w:val="0"/>
      <w:marRight w:val="0"/>
      <w:marTop w:val="0"/>
      <w:marBottom w:val="0"/>
      <w:divBdr>
        <w:top w:val="none" w:sz="0" w:space="0" w:color="auto"/>
        <w:left w:val="none" w:sz="0" w:space="0" w:color="auto"/>
        <w:bottom w:val="none" w:sz="0" w:space="0" w:color="auto"/>
        <w:right w:val="none" w:sz="0" w:space="0" w:color="auto"/>
      </w:divBdr>
    </w:div>
    <w:div w:id="675115471">
      <w:bodyDiv w:val="1"/>
      <w:marLeft w:val="0"/>
      <w:marRight w:val="0"/>
      <w:marTop w:val="0"/>
      <w:marBottom w:val="0"/>
      <w:divBdr>
        <w:top w:val="none" w:sz="0" w:space="0" w:color="auto"/>
        <w:left w:val="none" w:sz="0" w:space="0" w:color="auto"/>
        <w:bottom w:val="none" w:sz="0" w:space="0" w:color="auto"/>
        <w:right w:val="none" w:sz="0" w:space="0" w:color="auto"/>
      </w:divBdr>
    </w:div>
    <w:div w:id="780102476">
      <w:bodyDiv w:val="1"/>
      <w:marLeft w:val="0"/>
      <w:marRight w:val="0"/>
      <w:marTop w:val="0"/>
      <w:marBottom w:val="0"/>
      <w:divBdr>
        <w:top w:val="none" w:sz="0" w:space="0" w:color="auto"/>
        <w:left w:val="none" w:sz="0" w:space="0" w:color="auto"/>
        <w:bottom w:val="none" w:sz="0" w:space="0" w:color="auto"/>
        <w:right w:val="none" w:sz="0" w:space="0" w:color="auto"/>
      </w:divBdr>
    </w:div>
    <w:div w:id="793711530">
      <w:bodyDiv w:val="1"/>
      <w:marLeft w:val="0"/>
      <w:marRight w:val="0"/>
      <w:marTop w:val="0"/>
      <w:marBottom w:val="0"/>
      <w:divBdr>
        <w:top w:val="none" w:sz="0" w:space="0" w:color="auto"/>
        <w:left w:val="none" w:sz="0" w:space="0" w:color="auto"/>
        <w:bottom w:val="none" w:sz="0" w:space="0" w:color="auto"/>
        <w:right w:val="none" w:sz="0" w:space="0" w:color="auto"/>
      </w:divBdr>
    </w:div>
    <w:div w:id="848368640">
      <w:bodyDiv w:val="1"/>
      <w:marLeft w:val="0"/>
      <w:marRight w:val="0"/>
      <w:marTop w:val="0"/>
      <w:marBottom w:val="0"/>
      <w:divBdr>
        <w:top w:val="none" w:sz="0" w:space="0" w:color="auto"/>
        <w:left w:val="none" w:sz="0" w:space="0" w:color="auto"/>
        <w:bottom w:val="none" w:sz="0" w:space="0" w:color="auto"/>
        <w:right w:val="none" w:sz="0" w:space="0" w:color="auto"/>
      </w:divBdr>
    </w:div>
    <w:div w:id="883753592">
      <w:bodyDiv w:val="1"/>
      <w:marLeft w:val="0"/>
      <w:marRight w:val="0"/>
      <w:marTop w:val="0"/>
      <w:marBottom w:val="0"/>
      <w:divBdr>
        <w:top w:val="none" w:sz="0" w:space="0" w:color="auto"/>
        <w:left w:val="none" w:sz="0" w:space="0" w:color="auto"/>
        <w:bottom w:val="none" w:sz="0" w:space="0" w:color="auto"/>
        <w:right w:val="none" w:sz="0" w:space="0" w:color="auto"/>
      </w:divBdr>
    </w:div>
    <w:div w:id="950555554">
      <w:bodyDiv w:val="1"/>
      <w:marLeft w:val="0"/>
      <w:marRight w:val="0"/>
      <w:marTop w:val="0"/>
      <w:marBottom w:val="0"/>
      <w:divBdr>
        <w:top w:val="none" w:sz="0" w:space="0" w:color="auto"/>
        <w:left w:val="none" w:sz="0" w:space="0" w:color="auto"/>
        <w:bottom w:val="none" w:sz="0" w:space="0" w:color="auto"/>
        <w:right w:val="none" w:sz="0" w:space="0" w:color="auto"/>
      </w:divBdr>
    </w:div>
    <w:div w:id="1045987317">
      <w:bodyDiv w:val="1"/>
      <w:marLeft w:val="0"/>
      <w:marRight w:val="0"/>
      <w:marTop w:val="0"/>
      <w:marBottom w:val="0"/>
      <w:divBdr>
        <w:top w:val="none" w:sz="0" w:space="0" w:color="auto"/>
        <w:left w:val="none" w:sz="0" w:space="0" w:color="auto"/>
        <w:bottom w:val="none" w:sz="0" w:space="0" w:color="auto"/>
        <w:right w:val="none" w:sz="0" w:space="0" w:color="auto"/>
      </w:divBdr>
    </w:div>
    <w:div w:id="1127353237">
      <w:bodyDiv w:val="1"/>
      <w:marLeft w:val="0"/>
      <w:marRight w:val="0"/>
      <w:marTop w:val="0"/>
      <w:marBottom w:val="0"/>
      <w:divBdr>
        <w:top w:val="none" w:sz="0" w:space="0" w:color="auto"/>
        <w:left w:val="none" w:sz="0" w:space="0" w:color="auto"/>
        <w:bottom w:val="none" w:sz="0" w:space="0" w:color="auto"/>
        <w:right w:val="none" w:sz="0" w:space="0" w:color="auto"/>
      </w:divBdr>
    </w:div>
    <w:div w:id="1239443107">
      <w:bodyDiv w:val="1"/>
      <w:marLeft w:val="0"/>
      <w:marRight w:val="0"/>
      <w:marTop w:val="0"/>
      <w:marBottom w:val="0"/>
      <w:divBdr>
        <w:top w:val="none" w:sz="0" w:space="0" w:color="auto"/>
        <w:left w:val="none" w:sz="0" w:space="0" w:color="auto"/>
        <w:bottom w:val="none" w:sz="0" w:space="0" w:color="auto"/>
        <w:right w:val="none" w:sz="0" w:space="0" w:color="auto"/>
      </w:divBdr>
    </w:div>
    <w:div w:id="1266960768">
      <w:bodyDiv w:val="1"/>
      <w:marLeft w:val="0"/>
      <w:marRight w:val="0"/>
      <w:marTop w:val="0"/>
      <w:marBottom w:val="0"/>
      <w:divBdr>
        <w:top w:val="none" w:sz="0" w:space="0" w:color="auto"/>
        <w:left w:val="none" w:sz="0" w:space="0" w:color="auto"/>
        <w:bottom w:val="none" w:sz="0" w:space="0" w:color="auto"/>
        <w:right w:val="none" w:sz="0" w:space="0" w:color="auto"/>
      </w:divBdr>
    </w:div>
    <w:div w:id="1346126889">
      <w:bodyDiv w:val="1"/>
      <w:marLeft w:val="0"/>
      <w:marRight w:val="0"/>
      <w:marTop w:val="0"/>
      <w:marBottom w:val="0"/>
      <w:divBdr>
        <w:top w:val="none" w:sz="0" w:space="0" w:color="auto"/>
        <w:left w:val="none" w:sz="0" w:space="0" w:color="auto"/>
        <w:bottom w:val="none" w:sz="0" w:space="0" w:color="auto"/>
        <w:right w:val="none" w:sz="0" w:space="0" w:color="auto"/>
      </w:divBdr>
    </w:div>
    <w:div w:id="1419137417">
      <w:bodyDiv w:val="1"/>
      <w:marLeft w:val="0"/>
      <w:marRight w:val="0"/>
      <w:marTop w:val="0"/>
      <w:marBottom w:val="0"/>
      <w:divBdr>
        <w:top w:val="none" w:sz="0" w:space="0" w:color="auto"/>
        <w:left w:val="none" w:sz="0" w:space="0" w:color="auto"/>
        <w:bottom w:val="none" w:sz="0" w:space="0" w:color="auto"/>
        <w:right w:val="none" w:sz="0" w:space="0" w:color="auto"/>
      </w:divBdr>
    </w:div>
    <w:div w:id="1438596481">
      <w:bodyDiv w:val="1"/>
      <w:marLeft w:val="0"/>
      <w:marRight w:val="0"/>
      <w:marTop w:val="0"/>
      <w:marBottom w:val="0"/>
      <w:divBdr>
        <w:top w:val="none" w:sz="0" w:space="0" w:color="auto"/>
        <w:left w:val="none" w:sz="0" w:space="0" w:color="auto"/>
        <w:bottom w:val="none" w:sz="0" w:space="0" w:color="auto"/>
        <w:right w:val="none" w:sz="0" w:space="0" w:color="auto"/>
      </w:divBdr>
    </w:div>
    <w:div w:id="1451165384">
      <w:bodyDiv w:val="1"/>
      <w:marLeft w:val="0"/>
      <w:marRight w:val="0"/>
      <w:marTop w:val="0"/>
      <w:marBottom w:val="0"/>
      <w:divBdr>
        <w:top w:val="none" w:sz="0" w:space="0" w:color="auto"/>
        <w:left w:val="none" w:sz="0" w:space="0" w:color="auto"/>
        <w:bottom w:val="none" w:sz="0" w:space="0" w:color="auto"/>
        <w:right w:val="none" w:sz="0" w:space="0" w:color="auto"/>
      </w:divBdr>
    </w:div>
    <w:div w:id="1474179269">
      <w:bodyDiv w:val="1"/>
      <w:marLeft w:val="0"/>
      <w:marRight w:val="0"/>
      <w:marTop w:val="0"/>
      <w:marBottom w:val="0"/>
      <w:divBdr>
        <w:top w:val="none" w:sz="0" w:space="0" w:color="auto"/>
        <w:left w:val="none" w:sz="0" w:space="0" w:color="auto"/>
        <w:bottom w:val="none" w:sz="0" w:space="0" w:color="auto"/>
        <w:right w:val="none" w:sz="0" w:space="0" w:color="auto"/>
      </w:divBdr>
    </w:div>
    <w:div w:id="1484928191">
      <w:bodyDiv w:val="1"/>
      <w:marLeft w:val="0"/>
      <w:marRight w:val="0"/>
      <w:marTop w:val="0"/>
      <w:marBottom w:val="0"/>
      <w:divBdr>
        <w:top w:val="none" w:sz="0" w:space="0" w:color="auto"/>
        <w:left w:val="none" w:sz="0" w:space="0" w:color="auto"/>
        <w:bottom w:val="none" w:sz="0" w:space="0" w:color="auto"/>
        <w:right w:val="none" w:sz="0" w:space="0" w:color="auto"/>
      </w:divBdr>
    </w:div>
    <w:div w:id="1522626137">
      <w:bodyDiv w:val="1"/>
      <w:marLeft w:val="0"/>
      <w:marRight w:val="0"/>
      <w:marTop w:val="0"/>
      <w:marBottom w:val="0"/>
      <w:divBdr>
        <w:top w:val="none" w:sz="0" w:space="0" w:color="auto"/>
        <w:left w:val="none" w:sz="0" w:space="0" w:color="auto"/>
        <w:bottom w:val="none" w:sz="0" w:space="0" w:color="auto"/>
        <w:right w:val="none" w:sz="0" w:space="0" w:color="auto"/>
      </w:divBdr>
    </w:div>
    <w:div w:id="1598520495">
      <w:bodyDiv w:val="1"/>
      <w:marLeft w:val="0"/>
      <w:marRight w:val="0"/>
      <w:marTop w:val="0"/>
      <w:marBottom w:val="0"/>
      <w:divBdr>
        <w:top w:val="none" w:sz="0" w:space="0" w:color="auto"/>
        <w:left w:val="none" w:sz="0" w:space="0" w:color="auto"/>
        <w:bottom w:val="none" w:sz="0" w:space="0" w:color="auto"/>
        <w:right w:val="none" w:sz="0" w:space="0" w:color="auto"/>
      </w:divBdr>
    </w:div>
    <w:div w:id="1688284793">
      <w:bodyDiv w:val="1"/>
      <w:marLeft w:val="0"/>
      <w:marRight w:val="0"/>
      <w:marTop w:val="0"/>
      <w:marBottom w:val="0"/>
      <w:divBdr>
        <w:top w:val="none" w:sz="0" w:space="0" w:color="auto"/>
        <w:left w:val="none" w:sz="0" w:space="0" w:color="auto"/>
        <w:bottom w:val="none" w:sz="0" w:space="0" w:color="auto"/>
        <w:right w:val="none" w:sz="0" w:space="0" w:color="auto"/>
      </w:divBdr>
    </w:div>
    <w:div w:id="1690986098">
      <w:bodyDiv w:val="1"/>
      <w:marLeft w:val="0"/>
      <w:marRight w:val="0"/>
      <w:marTop w:val="0"/>
      <w:marBottom w:val="0"/>
      <w:divBdr>
        <w:top w:val="none" w:sz="0" w:space="0" w:color="auto"/>
        <w:left w:val="none" w:sz="0" w:space="0" w:color="auto"/>
        <w:bottom w:val="none" w:sz="0" w:space="0" w:color="auto"/>
        <w:right w:val="none" w:sz="0" w:space="0" w:color="auto"/>
      </w:divBdr>
    </w:div>
    <w:div w:id="1699970090">
      <w:bodyDiv w:val="1"/>
      <w:marLeft w:val="0"/>
      <w:marRight w:val="0"/>
      <w:marTop w:val="0"/>
      <w:marBottom w:val="0"/>
      <w:divBdr>
        <w:top w:val="none" w:sz="0" w:space="0" w:color="auto"/>
        <w:left w:val="none" w:sz="0" w:space="0" w:color="auto"/>
        <w:bottom w:val="none" w:sz="0" w:space="0" w:color="auto"/>
        <w:right w:val="none" w:sz="0" w:space="0" w:color="auto"/>
      </w:divBdr>
    </w:div>
    <w:div w:id="1793745507">
      <w:bodyDiv w:val="1"/>
      <w:marLeft w:val="0"/>
      <w:marRight w:val="0"/>
      <w:marTop w:val="0"/>
      <w:marBottom w:val="0"/>
      <w:divBdr>
        <w:top w:val="none" w:sz="0" w:space="0" w:color="auto"/>
        <w:left w:val="none" w:sz="0" w:space="0" w:color="auto"/>
        <w:bottom w:val="none" w:sz="0" w:space="0" w:color="auto"/>
        <w:right w:val="none" w:sz="0" w:space="0" w:color="auto"/>
      </w:divBdr>
    </w:div>
    <w:div w:id="1810202278">
      <w:bodyDiv w:val="1"/>
      <w:marLeft w:val="0"/>
      <w:marRight w:val="0"/>
      <w:marTop w:val="0"/>
      <w:marBottom w:val="0"/>
      <w:divBdr>
        <w:top w:val="none" w:sz="0" w:space="0" w:color="auto"/>
        <w:left w:val="none" w:sz="0" w:space="0" w:color="auto"/>
        <w:bottom w:val="none" w:sz="0" w:space="0" w:color="auto"/>
        <w:right w:val="none" w:sz="0" w:space="0" w:color="auto"/>
      </w:divBdr>
    </w:div>
    <w:div w:id="1810629180">
      <w:bodyDiv w:val="1"/>
      <w:marLeft w:val="0"/>
      <w:marRight w:val="0"/>
      <w:marTop w:val="0"/>
      <w:marBottom w:val="0"/>
      <w:divBdr>
        <w:top w:val="none" w:sz="0" w:space="0" w:color="auto"/>
        <w:left w:val="none" w:sz="0" w:space="0" w:color="auto"/>
        <w:bottom w:val="none" w:sz="0" w:space="0" w:color="auto"/>
        <w:right w:val="none" w:sz="0" w:space="0" w:color="auto"/>
      </w:divBdr>
    </w:div>
    <w:div w:id="1830900483">
      <w:bodyDiv w:val="1"/>
      <w:marLeft w:val="0"/>
      <w:marRight w:val="0"/>
      <w:marTop w:val="0"/>
      <w:marBottom w:val="0"/>
      <w:divBdr>
        <w:top w:val="none" w:sz="0" w:space="0" w:color="auto"/>
        <w:left w:val="none" w:sz="0" w:space="0" w:color="auto"/>
        <w:bottom w:val="none" w:sz="0" w:space="0" w:color="auto"/>
        <w:right w:val="none" w:sz="0" w:space="0" w:color="auto"/>
      </w:divBdr>
    </w:div>
    <w:div w:id="1885284941">
      <w:bodyDiv w:val="1"/>
      <w:marLeft w:val="0"/>
      <w:marRight w:val="0"/>
      <w:marTop w:val="0"/>
      <w:marBottom w:val="0"/>
      <w:divBdr>
        <w:top w:val="none" w:sz="0" w:space="0" w:color="auto"/>
        <w:left w:val="none" w:sz="0" w:space="0" w:color="auto"/>
        <w:bottom w:val="none" w:sz="0" w:space="0" w:color="auto"/>
        <w:right w:val="none" w:sz="0" w:space="0" w:color="auto"/>
      </w:divBdr>
    </w:div>
    <w:div w:id="2010331745">
      <w:bodyDiv w:val="1"/>
      <w:marLeft w:val="0"/>
      <w:marRight w:val="0"/>
      <w:marTop w:val="0"/>
      <w:marBottom w:val="0"/>
      <w:divBdr>
        <w:top w:val="none" w:sz="0" w:space="0" w:color="auto"/>
        <w:left w:val="none" w:sz="0" w:space="0" w:color="auto"/>
        <w:bottom w:val="none" w:sz="0" w:space="0" w:color="auto"/>
        <w:right w:val="none" w:sz="0" w:space="0" w:color="auto"/>
      </w:divBdr>
    </w:div>
    <w:div w:id="2038038876">
      <w:bodyDiv w:val="1"/>
      <w:marLeft w:val="0"/>
      <w:marRight w:val="0"/>
      <w:marTop w:val="0"/>
      <w:marBottom w:val="0"/>
      <w:divBdr>
        <w:top w:val="none" w:sz="0" w:space="0" w:color="auto"/>
        <w:left w:val="none" w:sz="0" w:space="0" w:color="auto"/>
        <w:bottom w:val="none" w:sz="0" w:space="0" w:color="auto"/>
        <w:right w:val="none" w:sz="0" w:space="0" w:color="auto"/>
      </w:divBdr>
    </w:div>
    <w:div w:id="2041515968">
      <w:bodyDiv w:val="1"/>
      <w:marLeft w:val="0"/>
      <w:marRight w:val="0"/>
      <w:marTop w:val="0"/>
      <w:marBottom w:val="0"/>
      <w:divBdr>
        <w:top w:val="none" w:sz="0" w:space="0" w:color="auto"/>
        <w:left w:val="none" w:sz="0" w:space="0" w:color="auto"/>
        <w:bottom w:val="none" w:sz="0" w:space="0" w:color="auto"/>
        <w:right w:val="none" w:sz="0" w:space="0" w:color="auto"/>
      </w:divBdr>
    </w:div>
    <w:div w:id="2044552040">
      <w:bodyDiv w:val="1"/>
      <w:marLeft w:val="0"/>
      <w:marRight w:val="0"/>
      <w:marTop w:val="0"/>
      <w:marBottom w:val="0"/>
      <w:divBdr>
        <w:top w:val="none" w:sz="0" w:space="0" w:color="auto"/>
        <w:left w:val="none" w:sz="0" w:space="0" w:color="auto"/>
        <w:bottom w:val="none" w:sz="0" w:space="0" w:color="auto"/>
        <w:right w:val="none" w:sz="0" w:space="0" w:color="auto"/>
      </w:divBdr>
    </w:div>
    <w:div w:id="2068651599">
      <w:bodyDiv w:val="1"/>
      <w:marLeft w:val="0"/>
      <w:marRight w:val="0"/>
      <w:marTop w:val="0"/>
      <w:marBottom w:val="0"/>
      <w:divBdr>
        <w:top w:val="none" w:sz="0" w:space="0" w:color="auto"/>
        <w:left w:val="none" w:sz="0" w:space="0" w:color="auto"/>
        <w:bottom w:val="none" w:sz="0" w:space="0" w:color="auto"/>
        <w:right w:val="none" w:sz="0" w:space="0" w:color="auto"/>
      </w:divBdr>
    </w:div>
    <w:div w:id="2091462379">
      <w:bodyDiv w:val="1"/>
      <w:marLeft w:val="0"/>
      <w:marRight w:val="0"/>
      <w:marTop w:val="0"/>
      <w:marBottom w:val="0"/>
      <w:divBdr>
        <w:top w:val="none" w:sz="0" w:space="0" w:color="auto"/>
        <w:left w:val="none" w:sz="0" w:space="0" w:color="auto"/>
        <w:bottom w:val="none" w:sz="0" w:space="0" w:color="auto"/>
        <w:right w:val="none" w:sz="0" w:space="0" w:color="auto"/>
      </w:divBdr>
    </w:div>
    <w:div w:id="211543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SUPEN@SUPEN.fi.c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hart" Target="charts/chart5.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chart" Target="charts/chart4.xml"/><Relationship Id="rId27"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head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ralesvr\AppData\Roaming\Microsoft\Templates\Hoja%20SUPEN.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Documentos%20Usuarios\hernandezba\Desktop\Estad&#237;stica%20IC%20IV%20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ocumentos%20Usuarios\hernandezba\Desktop\Estad&#237;stica%20IC%20IV%20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ernandezba\OneDrive%20-%20Banco%20Central%20de%20Costa%20Rica\Proyectos\Informe%20conyutura\Informe%20Coyuntura%20IV%20T\Estudio%20sobre%20libre%20transferencia\Cantidad_total%20por%20A&#241;o%20ROP.csv"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Documentos%20Usuarios\hernandezba\Desktop\Estad&#237;stica%20IC%20IV%20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bccr-my.sharepoint.com/personal/hernandezba_supen_fi_cr/Documents/Proyectos/Contribuci&#243;n%20a%20la%20rentabilidad/Contribucion%202019-2021/Consolidado.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769978916034196E-2"/>
          <c:y val="4.0493281796429227E-2"/>
          <c:w val="0.59733562716425148"/>
          <c:h val="0.87410908258223663"/>
        </c:manualLayout>
      </c:layout>
      <c:barChart>
        <c:barDir val="col"/>
        <c:grouping val="stacked"/>
        <c:varyColors val="0"/>
        <c:ser>
          <c:idx val="0"/>
          <c:order val="0"/>
          <c:tx>
            <c:strRef>
              <c:f>Activo!$B$24</c:f>
              <c:strCache>
                <c:ptCount val="1"/>
                <c:pt idx="0">
                  <c:v>Fondo de Capitalización Laboral</c:v>
                </c:pt>
              </c:strCache>
            </c:strRef>
          </c:tx>
          <c:spPr>
            <a:solidFill>
              <a:schemeClr val="accent1"/>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Activo!$B$25:$B$36</c:f>
              <c:numCache>
                <c:formatCode>_-* #\ ##0.000_-;\-* #\ ##0.000_-;_-* "-"??_-;_-@_-</c:formatCode>
                <c:ptCount val="12"/>
                <c:pt idx="0">
                  <c:v>0.37758497349279002</c:v>
                </c:pt>
                <c:pt idx="1">
                  <c:v>0.30237424868655</c:v>
                </c:pt>
                <c:pt idx="2">
                  <c:v>0.37924599498111999</c:v>
                </c:pt>
                <c:pt idx="3">
                  <c:v>0.46087351818978001</c:v>
                </c:pt>
                <c:pt idx="4">
                  <c:v>0.53172622033729999</c:v>
                </c:pt>
                <c:pt idx="5">
                  <c:v>0.62663351038924997</c:v>
                </c:pt>
                <c:pt idx="6">
                  <c:v>0.49952520989500998</c:v>
                </c:pt>
                <c:pt idx="7">
                  <c:v>0.56977895297609005</c:v>
                </c:pt>
                <c:pt idx="8">
                  <c:v>0.62508713847675001</c:v>
                </c:pt>
                <c:pt idx="9">
                  <c:v>0.72465513350761002</c:v>
                </c:pt>
                <c:pt idx="10">
                  <c:v>0.73302074826222996</c:v>
                </c:pt>
                <c:pt idx="11">
                  <c:v>0.57671205935492997</c:v>
                </c:pt>
              </c:numCache>
            </c:numRef>
          </c:val>
          <c:extLst>
            <c:ext xmlns:c16="http://schemas.microsoft.com/office/drawing/2014/chart" uri="{C3380CC4-5D6E-409C-BE32-E72D297353CC}">
              <c16:uniqueId val="{00000000-6E86-491E-A7EE-8AB1783C417B}"/>
            </c:ext>
          </c:extLst>
        </c:ser>
        <c:ser>
          <c:idx val="1"/>
          <c:order val="1"/>
          <c:tx>
            <c:strRef>
              <c:f>Activo!$C$24</c:f>
              <c:strCache>
                <c:ptCount val="1"/>
                <c:pt idx="0">
                  <c:v>Planes Voluntarios</c:v>
                </c:pt>
              </c:strCache>
            </c:strRef>
          </c:tx>
          <c:spPr>
            <a:solidFill>
              <a:schemeClr val="accent2"/>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Activo!$C$25:$C$36</c:f>
              <c:numCache>
                <c:formatCode>_-* #\ ##0.000_-;\-* #\ ##0.000_-;_-* "-"??_-;_-@_-</c:formatCode>
                <c:ptCount val="12"/>
                <c:pt idx="0">
                  <c:v>0.17195796892910301</c:v>
                </c:pt>
                <c:pt idx="1">
                  <c:v>0.17952226052714099</c:v>
                </c:pt>
                <c:pt idx="2">
                  <c:v>0.184627219173434</c:v>
                </c:pt>
                <c:pt idx="3">
                  <c:v>0.20362797783183001</c:v>
                </c:pt>
                <c:pt idx="4">
                  <c:v>0.21923935125043501</c:v>
                </c:pt>
                <c:pt idx="5">
                  <c:v>0.25086128230229499</c:v>
                </c:pt>
                <c:pt idx="6">
                  <c:v>0.28851913269344498</c:v>
                </c:pt>
                <c:pt idx="7">
                  <c:v>0.318460539294183</c:v>
                </c:pt>
                <c:pt idx="8">
                  <c:v>0.341995056160177</c:v>
                </c:pt>
                <c:pt idx="9">
                  <c:v>0.39361887619519698</c:v>
                </c:pt>
                <c:pt idx="10">
                  <c:v>0.45417075020415998</c:v>
                </c:pt>
                <c:pt idx="11">
                  <c:v>0.59186434869868099</c:v>
                </c:pt>
              </c:numCache>
            </c:numRef>
          </c:val>
          <c:extLst>
            <c:ext xmlns:c16="http://schemas.microsoft.com/office/drawing/2014/chart" uri="{C3380CC4-5D6E-409C-BE32-E72D297353CC}">
              <c16:uniqueId val="{00000001-6E86-491E-A7EE-8AB1783C417B}"/>
            </c:ext>
          </c:extLst>
        </c:ser>
        <c:ser>
          <c:idx val="2"/>
          <c:order val="2"/>
          <c:tx>
            <c:strRef>
              <c:f>Activo!$D$24</c:f>
              <c:strCache>
                <c:ptCount val="1"/>
                <c:pt idx="0">
                  <c:v>Régimen Obligatorio Complementario</c:v>
                </c:pt>
              </c:strCache>
            </c:strRef>
          </c:tx>
          <c:spPr>
            <a:solidFill>
              <a:schemeClr val="accent3"/>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Activo!$D$25:$D$36</c:f>
              <c:numCache>
                <c:formatCode>_-* #\ ##0.000_-;\-* #\ ##0.000_-;_-* "-"??_-;_-@_-</c:formatCode>
                <c:ptCount val="12"/>
                <c:pt idx="0">
                  <c:v>1.4568919565431799</c:v>
                </c:pt>
                <c:pt idx="1">
                  <c:v>1.8055407988371299</c:v>
                </c:pt>
                <c:pt idx="2">
                  <c:v>2.22898511556757</c:v>
                </c:pt>
                <c:pt idx="3">
                  <c:v>2.74334720764808</c:v>
                </c:pt>
                <c:pt idx="4">
                  <c:v>3.21685753199713</c:v>
                </c:pt>
                <c:pt idx="5">
                  <c:v>3.87641127595831</c:v>
                </c:pt>
                <c:pt idx="6">
                  <c:v>4.4579054772766096</c:v>
                </c:pt>
                <c:pt idx="7">
                  <c:v>5.0534913627572404</c:v>
                </c:pt>
                <c:pt idx="8">
                  <c:v>5.6668539109234404</c:v>
                </c:pt>
                <c:pt idx="9">
                  <c:v>6.8508475886768601</c:v>
                </c:pt>
                <c:pt idx="10">
                  <c:v>7.8664910546024496</c:v>
                </c:pt>
                <c:pt idx="11">
                  <c:v>9.6495447363757396</c:v>
                </c:pt>
              </c:numCache>
            </c:numRef>
          </c:val>
          <c:extLst>
            <c:ext xmlns:c16="http://schemas.microsoft.com/office/drawing/2014/chart" uri="{C3380CC4-5D6E-409C-BE32-E72D297353CC}">
              <c16:uniqueId val="{00000002-6E86-491E-A7EE-8AB1783C417B}"/>
            </c:ext>
          </c:extLst>
        </c:ser>
        <c:ser>
          <c:idx val="3"/>
          <c:order val="3"/>
          <c:tx>
            <c:strRef>
              <c:f>Activo!$E$24</c:f>
              <c:strCache>
                <c:ptCount val="1"/>
                <c:pt idx="0">
                  <c:v>Regímenes Básicos Sustitutos</c:v>
                </c:pt>
              </c:strCache>
            </c:strRef>
          </c:tx>
          <c:spPr>
            <a:solidFill>
              <a:schemeClr val="accent4"/>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Activo!$E$25:$E$36</c:f>
              <c:numCache>
                <c:formatCode>_-* #\ ##0.000_-;\-* #\ ##0.000_-;_-* "-"??_-;_-@_-</c:formatCode>
                <c:ptCount val="12"/>
                <c:pt idx="0">
                  <c:v>1.25728892430232</c:v>
                </c:pt>
                <c:pt idx="1">
                  <c:v>1.4677862957298999</c:v>
                </c:pt>
                <c:pt idx="2">
                  <c:v>1.69622205438962</c:v>
                </c:pt>
                <c:pt idx="3">
                  <c:v>1.43910679533172</c:v>
                </c:pt>
                <c:pt idx="4">
                  <c:v>1.6723162251665902</c:v>
                </c:pt>
                <c:pt idx="5">
                  <c:v>2.00195846850034</c:v>
                </c:pt>
                <c:pt idx="6">
                  <c:v>2.3342637255577601</c:v>
                </c:pt>
                <c:pt idx="7">
                  <c:v>2.6547632996576698</c:v>
                </c:pt>
                <c:pt idx="8">
                  <c:v>3.0031769200416898</c:v>
                </c:pt>
                <c:pt idx="9">
                  <c:v>3.6225673215315499</c:v>
                </c:pt>
                <c:pt idx="10">
                  <c:v>4.0674292211651499</c:v>
                </c:pt>
                <c:pt idx="11">
                  <c:v>4.5286309757143002</c:v>
                </c:pt>
              </c:numCache>
            </c:numRef>
          </c:val>
          <c:extLst>
            <c:ext xmlns:c16="http://schemas.microsoft.com/office/drawing/2014/chart" uri="{C3380CC4-5D6E-409C-BE32-E72D297353CC}">
              <c16:uniqueId val="{00000003-6E86-491E-A7EE-8AB1783C417B}"/>
            </c:ext>
          </c:extLst>
        </c:ser>
        <c:ser>
          <c:idx val="4"/>
          <c:order val="4"/>
          <c:tx>
            <c:strRef>
              <c:f>Activo!$F$24</c:f>
              <c:strCache>
                <c:ptCount val="1"/>
                <c:pt idx="0">
                  <c:v>Regímenes Ocupacionales Complementarios</c:v>
                </c:pt>
              </c:strCache>
            </c:strRef>
          </c:tx>
          <c:spPr>
            <a:solidFill>
              <a:schemeClr val="accent5"/>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Activo!$F$25:$F$36</c:f>
              <c:numCache>
                <c:formatCode>_-* #\ ##0.000_-;\-* #\ ##0.000_-;_-* "-"??_-;_-@_-</c:formatCode>
                <c:ptCount val="12"/>
                <c:pt idx="0">
                  <c:v>6.4359717239919997E-2</c:v>
                </c:pt>
                <c:pt idx="1">
                  <c:v>7.5906551435889993E-2</c:v>
                </c:pt>
                <c:pt idx="2">
                  <c:v>9.0065997832899994E-2</c:v>
                </c:pt>
                <c:pt idx="3">
                  <c:v>0.62232204967185001</c:v>
                </c:pt>
                <c:pt idx="4">
                  <c:v>0.67686945057893999</c:v>
                </c:pt>
                <c:pt idx="5">
                  <c:v>0.74383261028804004</c:v>
                </c:pt>
                <c:pt idx="6">
                  <c:v>0.78788628585081999</c:v>
                </c:pt>
                <c:pt idx="7">
                  <c:v>0.79824832826771996</c:v>
                </c:pt>
                <c:pt idx="8">
                  <c:v>0.82641658157191</c:v>
                </c:pt>
                <c:pt idx="9">
                  <c:v>0.90873995754376002</c:v>
                </c:pt>
                <c:pt idx="10">
                  <c:v>0.92572625482253001</c:v>
                </c:pt>
                <c:pt idx="11">
                  <c:v>1.0162378551355999</c:v>
                </c:pt>
              </c:numCache>
            </c:numRef>
          </c:val>
          <c:extLst>
            <c:ext xmlns:c16="http://schemas.microsoft.com/office/drawing/2014/chart" uri="{C3380CC4-5D6E-409C-BE32-E72D297353CC}">
              <c16:uniqueId val="{00000004-6E86-491E-A7EE-8AB1783C417B}"/>
            </c:ext>
          </c:extLst>
        </c:ser>
        <c:ser>
          <c:idx val="5"/>
          <c:order val="5"/>
          <c:tx>
            <c:strRef>
              <c:f>Activo!$G$24</c:f>
              <c:strCache>
                <c:ptCount val="1"/>
                <c:pt idx="0">
                  <c:v>Régimen Básico</c:v>
                </c:pt>
              </c:strCache>
            </c:strRef>
          </c:tx>
          <c:spPr>
            <a:solidFill>
              <a:schemeClr val="accent6"/>
            </a:solidFill>
            <a:ln>
              <a:noFill/>
            </a:ln>
            <a:effectLst/>
          </c:spPr>
          <c:invertIfNegative val="0"/>
          <c:cat>
            <c:strRef>
              <c:f>Activo!$A$25:$A$36</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Activo!$G$25:$G$36</c:f>
              <c:numCache>
                <c:formatCode>_-* #\ ##0.000_-;\-* #\ ##0.000_-;_-* "-"??_-;_-@_-</c:formatCode>
                <c:ptCount val="12"/>
                <c:pt idx="0">
                  <c:v>1.4729985092146101</c:v>
                </c:pt>
                <c:pt idx="1">
                  <c:v>1.6342733009999999</c:v>
                </c:pt>
                <c:pt idx="2">
                  <c:v>1.7682857299999999</c:v>
                </c:pt>
                <c:pt idx="3">
                  <c:v>1.8846139</c:v>
                </c:pt>
                <c:pt idx="4">
                  <c:v>1.9898470124800001</c:v>
                </c:pt>
                <c:pt idx="5">
                  <c:v>2.0740344951358001</c:v>
                </c:pt>
                <c:pt idx="6">
                  <c:v>2.2244389324399001</c:v>
                </c:pt>
                <c:pt idx="7">
                  <c:v>2.4159253760000001</c:v>
                </c:pt>
                <c:pt idx="8">
                  <c:v>2.7003552487618099</c:v>
                </c:pt>
                <c:pt idx="9">
                  <c:v>2.9214915709656499</c:v>
                </c:pt>
                <c:pt idx="10">
                  <c:v>3.0622645146567899</c:v>
                </c:pt>
                <c:pt idx="11">
                  <c:v>3.2987320640023197</c:v>
                </c:pt>
              </c:numCache>
            </c:numRef>
          </c:val>
          <c:extLst>
            <c:ext xmlns:c16="http://schemas.microsoft.com/office/drawing/2014/chart" uri="{C3380CC4-5D6E-409C-BE32-E72D297353CC}">
              <c16:uniqueId val="{00000005-6E86-491E-A7EE-8AB1783C417B}"/>
            </c:ext>
          </c:extLst>
        </c:ser>
        <c:dLbls>
          <c:showLegendKey val="0"/>
          <c:showVal val="0"/>
          <c:showCatName val="0"/>
          <c:showSerName val="0"/>
          <c:showPercent val="0"/>
          <c:showBubbleSize val="0"/>
        </c:dLbls>
        <c:gapWidth val="55"/>
        <c:overlap val="100"/>
        <c:axId val="1953945871"/>
        <c:axId val="1952308191"/>
      </c:barChart>
      <c:lineChart>
        <c:grouping val="stacked"/>
        <c:varyColors val="0"/>
        <c:ser>
          <c:idx val="6"/>
          <c:order val="6"/>
          <c:tx>
            <c:strRef>
              <c:f>Activo!$I$24</c:f>
              <c:strCache>
                <c:ptCount val="1"/>
                <c:pt idx="0">
                  <c:v>% PIB</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s-C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Activo!$I$25:$I$36</c:f>
              <c:numCache>
                <c:formatCode>0%</c:formatCode>
                <c:ptCount val="12"/>
                <c:pt idx="0">
                  <c:v>0.24245427136020203</c:v>
                </c:pt>
                <c:pt idx="1">
                  <c:v>0.25275266490164167</c:v>
                </c:pt>
                <c:pt idx="2">
                  <c:v>0.267228023151313</c:v>
                </c:pt>
                <c:pt idx="3">
                  <c:v>0.28880746766551224</c:v>
                </c:pt>
                <c:pt idx="4">
                  <c:v>0.29665935502777663</c:v>
                </c:pt>
                <c:pt idx="5">
                  <c:v>0.31730602504325323</c:v>
                </c:pt>
                <c:pt idx="6">
                  <c:v>0.32125139431734417</c:v>
                </c:pt>
                <c:pt idx="7">
                  <c:v>0.34389672381050684</c:v>
                </c:pt>
                <c:pt idx="8">
                  <c:v>0.37352784274294243</c:v>
                </c:pt>
                <c:pt idx="9">
                  <c:v>0.42727072986993148</c:v>
                </c:pt>
                <c:pt idx="10">
                  <c:v>0.49402740911721815</c:v>
                </c:pt>
                <c:pt idx="11">
                  <c:v>0.52773461740162342</c:v>
                </c:pt>
              </c:numCache>
            </c:numRef>
          </c:val>
          <c:smooth val="0"/>
          <c:extLst>
            <c:ext xmlns:c16="http://schemas.microsoft.com/office/drawing/2014/chart" uri="{C3380CC4-5D6E-409C-BE32-E72D297353CC}">
              <c16:uniqueId val="{00000012-6E86-491E-A7EE-8AB1783C417B}"/>
            </c:ext>
          </c:extLst>
        </c:ser>
        <c:dLbls>
          <c:showLegendKey val="0"/>
          <c:showVal val="0"/>
          <c:showCatName val="0"/>
          <c:showSerName val="0"/>
          <c:showPercent val="0"/>
          <c:showBubbleSize val="0"/>
        </c:dLbls>
        <c:marker val="1"/>
        <c:smooth val="0"/>
        <c:axId val="1956588463"/>
        <c:axId val="2051111855"/>
      </c:lineChart>
      <c:catAx>
        <c:axId val="1953945871"/>
        <c:scaling>
          <c:orientation val="minMax"/>
        </c:scaling>
        <c:delete val="0"/>
        <c:axPos val="b"/>
        <c:numFmt formatCode="m/d/yyyy"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crossAx val="1952308191"/>
        <c:crosses val="autoZero"/>
        <c:auto val="0"/>
        <c:lblAlgn val="ctr"/>
        <c:lblOffset val="100"/>
        <c:noMultiLvlLbl val="0"/>
      </c:catAx>
      <c:valAx>
        <c:axId val="195230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s-CR"/>
                  <a:t>Billones</a:t>
                </a:r>
                <a:r>
                  <a:rPr lang="es-CR" baseline="0"/>
                  <a:t> de colones</a:t>
                </a:r>
                <a:endParaRPr lang="es-C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C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crossAx val="1953945871"/>
        <c:crosses val="autoZero"/>
        <c:crossBetween val="between"/>
      </c:valAx>
      <c:valAx>
        <c:axId val="2051111855"/>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n-US"/>
                  <a:t>Porcentaje del PIB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CR"/>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crossAx val="1956588463"/>
        <c:crosses val="max"/>
        <c:crossBetween val="between"/>
      </c:valAx>
      <c:catAx>
        <c:axId val="1956588463"/>
        <c:scaling>
          <c:orientation val="minMax"/>
        </c:scaling>
        <c:delete val="1"/>
        <c:axPos val="b"/>
        <c:majorTickMark val="out"/>
        <c:minorTickMark val="none"/>
        <c:tickLblPos val="nextTo"/>
        <c:crossAx val="2051111855"/>
        <c:crosses val="autoZero"/>
        <c:auto val="1"/>
        <c:lblAlgn val="ctr"/>
        <c:lblOffset val="100"/>
        <c:noMultiLvlLbl val="0"/>
      </c:catAx>
      <c:spPr>
        <a:noFill/>
        <a:ln>
          <a:noFill/>
        </a:ln>
        <a:effectLst/>
      </c:spPr>
    </c:plotArea>
    <c:legend>
      <c:legendPos val="r"/>
      <c:layout>
        <c:manualLayout>
          <c:xMode val="edge"/>
          <c:yMode val="edge"/>
          <c:x val="0.75712071938720082"/>
          <c:y val="0.14245953932732455"/>
          <c:w val="0.23042985639866909"/>
          <c:h val="0.57887595635305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dk1"/>
              </a:solidFill>
              <a:latin typeface="+mn-lt"/>
              <a:ea typeface="+mn-ea"/>
              <a:cs typeface="+mn-cs"/>
            </a:defRPr>
          </a:pPr>
          <a:endParaRPr lang="es-CR"/>
        </a:p>
      </c:txPr>
    </c:legend>
    <c:plotVisOnly val="1"/>
    <c:dispBlanksAs val="gap"/>
    <c:showDLblsOverMax val="0"/>
  </c:chart>
  <c:spPr>
    <a:noFill/>
    <a:ln w="9525" cap="flat" cmpd="sng" algn="ctr">
      <a:noFill/>
      <a:round/>
    </a:ln>
    <a:effectLst/>
  </c:spPr>
  <c:txPr>
    <a:bodyPr/>
    <a:lstStyle/>
    <a:p>
      <a:pPr>
        <a:defRPr>
          <a:solidFill>
            <a:schemeClr val="dk1"/>
          </a:solidFill>
          <a:latin typeface="+mn-lt"/>
          <a:ea typeface="+mn-ea"/>
          <a:cs typeface="+mn-cs"/>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Activo!$D$81</c:f>
              <c:strCache>
                <c:ptCount val="1"/>
                <c:pt idx="0">
                  <c:v>2020</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Activo!$C$82:$C$84</c:f>
              <c:strCache>
                <c:ptCount val="3"/>
                <c:pt idx="0">
                  <c:v>PJ</c:v>
                </c:pt>
                <c:pt idx="1">
                  <c:v>Magisterio</c:v>
                </c:pt>
                <c:pt idx="2">
                  <c:v>IVM</c:v>
                </c:pt>
              </c:strCache>
            </c:strRef>
          </c:cat>
          <c:val>
            <c:numRef>
              <c:f>Activo!$D$82:$D$84</c:f>
              <c:numCache>
                <c:formatCode>_(* #,##0.00_);_(* \(#,##0.00\);_(* "-"??_);_(@_)</c:formatCode>
                <c:ptCount val="3"/>
                <c:pt idx="0">
                  <c:v>0.64010936021654008</c:v>
                </c:pt>
                <c:pt idx="1">
                  <c:v>3.3766565293553596</c:v>
                </c:pt>
                <c:pt idx="2">
                  <c:v>3.2309205537382799</c:v>
                </c:pt>
              </c:numCache>
            </c:numRef>
          </c:val>
          <c:extLst>
            <c:ext xmlns:c16="http://schemas.microsoft.com/office/drawing/2014/chart" uri="{C3380CC4-5D6E-409C-BE32-E72D297353CC}">
              <c16:uniqueId val="{00000000-49FE-4E1D-B5A7-DBD7A5F09554}"/>
            </c:ext>
          </c:extLst>
        </c:ser>
        <c:ser>
          <c:idx val="1"/>
          <c:order val="1"/>
          <c:tx>
            <c:strRef>
              <c:f>Activo!$E$81</c:f>
              <c:strCache>
                <c:ptCount val="1"/>
                <c:pt idx="0">
                  <c:v>2021</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Activo!$C$82:$C$84</c:f>
              <c:strCache>
                <c:ptCount val="3"/>
                <c:pt idx="0">
                  <c:v>PJ</c:v>
                </c:pt>
                <c:pt idx="1">
                  <c:v>Magisterio</c:v>
                </c:pt>
                <c:pt idx="2">
                  <c:v>IVM</c:v>
                </c:pt>
              </c:strCache>
            </c:strRef>
          </c:cat>
          <c:val>
            <c:numRef>
              <c:f>Activo!$E$82:$E$84</c:f>
              <c:numCache>
                <c:formatCode>_(* #,##0.00_);_(* \(#,##0.00\);_(* "-"??_);_(@_)</c:formatCode>
                <c:ptCount val="3"/>
                <c:pt idx="0">
                  <c:v>0.73666833392016007</c:v>
                </c:pt>
                <c:pt idx="1">
                  <c:v>3.73986594525419</c:v>
                </c:pt>
                <c:pt idx="2">
                  <c:v>3.2987320640023197</c:v>
                </c:pt>
              </c:numCache>
            </c:numRef>
          </c:val>
          <c:extLst>
            <c:ext xmlns:c16="http://schemas.microsoft.com/office/drawing/2014/chart" uri="{C3380CC4-5D6E-409C-BE32-E72D297353CC}">
              <c16:uniqueId val="{00000001-49FE-4E1D-B5A7-DBD7A5F09554}"/>
            </c:ext>
          </c:extLst>
        </c:ser>
        <c:dLbls>
          <c:showLegendKey val="0"/>
          <c:showVal val="0"/>
          <c:showCatName val="0"/>
          <c:showSerName val="0"/>
          <c:showPercent val="0"/>
          <c:showBubbleSize val="0"/>
        </c:dLbls>
        <c:gapWidth val="219"/>
        <c:overlap val="-27"/>
        <c:axId val="1466782608"/>
        <c:axId val="1466788016"/>
      </c:barChart>
      <c:catAx>
        <c:axId val="1466782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crossAx val="1466788016"/>
        <c:crosses val="autoZero"/>
        <c:auto val="1"/>
        <c:lblAlgn val="ctr"/>
        <c:lblOffset val="100"/>
        <c:noMultiLvlLbl val="0"/>
      </c:catAx>
      <c:valAx>
        <c:axId val="1466788016"/>
        <c:scaling>
          <c:orientation val="minMax"/>
        </c:scaling>
        <c:delete val="1"/>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crossAx val="1466782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solidFill>
            <a:schemeClr val="dk1"/>
          </a:solidFill>
          <a:latin typeface="+mn-lt"/>
          <a:ea typeface="+mn-ea"/>
          <a:cs typeface="+mn-cs"/>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4122583644196524"/>
          <c:y val="0.11525088738176457"/>
          <c:w val="0.82463938536636527"/>
          <c:h val="0.79255528709925438"/>
        </c:manualLayout>
      </c:layout>
      <c:areaChart>
        <c:grouping val="stacked"/>
        <c:varyColors val="0"/>
        <c:ser>
          <c:idx val="0"/>
          <c:order val="0"/>
          <c:tx>
            <c:strRef>
              <c:f>'Cantidad_total por Año ROP'!$A$1</c:f>
              <c:strCache>
                <c:ptCount val="1"/>
                <c:pt idx="0">
                  <c:v>Año</c:v>
                </c:pt>
              </c:strCache>
            </c:strRef>
          </c:tx>
          <c:spPr>
            <a:solidFill>
              <a:schemeClr val="accent1">
                <a:shade val="76000"/>
              </a:schemeClr>
            </a:solidFill>
            <a:ln>
              <a:noFill/>
            </a:ln>
            <a:effectLst/>
          </c:spPr>
          <c:cat>
            <c:numRef>
              <c:f>'Cantidad_total por Año ROP'!$A$2:$A$13</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'Cantidad_total por Año ROP'!$A$2:$A$13</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val>
          <c:extLst>
            <c:ext xmlns:c16="http://schemas.microsoft.com/office/drawing/2014/chart" uri="{C3380CC4-5D6E-409C-BE32-E72D297353CC}">
              <c16:uniqueId val="{00000000-1BAA-4955-9762-F37C8D62FF46}"/>
            </c:ext>
          </c:extLst>
        </c:ser>
        <c:ser>
          <c:idx val="1"/>
          <c:order val="1"/>
          <c:tx>
            <c:strRef>
              <c:f>'Cantidad_total por Año ROP'!$B$1</c:f>
              <c:strCache>
                <c:ptCount val="1"/>
                <c:pt idx="0">
                  <c:v>Cantidad_total</c:v>
                </c:pt>
              </c:strCache>
            </c:strRef>
          </c:tx>
          <c:spPr>
            <a:solidFill>
              <a:schemeClr val="accent1">
                <a:tint val="77000"/>
              </a:schemeClr>
            </a:solidFill>
            <a:ln>
              <a:noFill/>
            </a:ln>
            <a:effectLst/>
          </c:spPr>
          <c:cat>
            <c:numRef>
              <c:f>'Cantidad_total por Año ROP'!$A$2:$A$13</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'Cantidad_total por Año ROP'!$B$2:$B$13</c:f>
              <c:numCache>
                <c:formatCode>General</c:formatCode>
                <c:ptCount val="12"/>
                <c:pt idx="0">
                  <c:v>19415</c:v>
                </c:pt>
                <c:pt idx="1">
                  <c:v>397548</c:v>
                </c:pt>
                <c:pt idx="2">
                  <c:v>397613</c:v>
                </c:pt>
                <c:pt idx="3">
                  <c:v>36484</c:v>
                </c:pt>
                <c:pt idx="4">
                  <c:v>88929</c:v>
                </c:pt>
                <c:pt idx="5">
                  <c:v>64521</c:v>
                </c:pt>
                <c:pt idx="6">
                  <c:v>81952</c:v>
                </c:pt>
                <c:pt idx="7">
                  <c:v>93318</c:v>
                </c:pt>
                <c:pt idx="8">
                  <c:v>98349</c:v>
                </c:pt>
                <c:pt idx="9">
                  <c:v>179988</c:v>
                </c:pt>
                <c:pt idx="10">
                  <c:v>136657</c:v>
                </c:pt>
                <c:pt idx="11">
                  <c:v>293740</c:v>
                </c:pt>
              </c:numCache>
            </c:numRef>
          </c:val>
          <c:extLst>
            <c:ext xmlns:c16="http://schemas.microsoft.com/office/drawing/2014/chart" uri="{C3380CC4-5D6E-409C-BE32-E72D297353CC}">
              <c16:uniqueId val="{00000001-1BAA-4955-9762-F37C8D62FF46}"/>
            </c:ext>
          </c:extLst>
        </c:ser>
        <c:dLbls>
          <c:showLegendKey val="0"/>
          <c:showVal val="0"/>
          <c:showCatName val="0"/>
          <c:showSerName val="0"/>
          <c:showPercent val="0"/>
          <c:showBubbleSize val="0"/>
        </c:dLbls>
        <c:axId val="1538537568"/>
        <c:axId val="88683504"/>
      </c:areaChart>
      <c:catAx>
        <c:axId val="15385375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crossAx val="88683504"/>
        <c:crosses val="autoZero"/>
        <c:auto val="1"/>
        <c:lblAlgn val="ctr"/>
        <c:lblOffset val="100"/>
        <c:noMultiLvlLbl val="0"/>
      </c:catAx>
      <c:valAx>
        <c:axId val="88683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r>
                  <a:rPr lang="es-CR"/>
                  <a:t>Cantidad</a:t>
                </a:r>
                <a:r>
                  <a:rPr lang="es-CR" baseline="0"/>
                  <a:t> de afiliados</a:t>
                </a:r>
                <a:endParaRPr lang="es-C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s-C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crossAx val="1538537568"/>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solidFill>
            <a:schemeClr val="dk1"/>
          </a:solidFill>
          <a:latin typeface="+mn-lt"/>
          <a:ea typeface="+mn-ea"/>
          <a:cs typeface="+mn-cs"/>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Rendimiento!$C$17</c:f>
              <c:strCache>
                <c:ptCount val="1"/>
                <c:pt idx="0">
                  <c:v>BAC</c:v>
                </c:pt>
              </c:strCache>
            </c:strRef>
          </c:tx>
          <c:spPr>
            <a:ln w="22225" cap="rnd" cmpd="sng" algn="ctr">
              <a:solidFill>
                <a:schemeClr val="accent1"/>
              </a:solidFill>
              <a:round/>
            </a:ln>
            <a:effectLst/>
          </c:spPr>
          <c:marker>
            <c:symbol val="none"/>
          </c:marker>
          <c:cat>
            <c:numRef>
              <c:f>Rendimiento!$B$44:$B$56</c:f>
              <c:numCache>
                <c:formatCode>mmm\-yy</c:formatCode>
                <c:ptCount val="13"/>
                <c:pt idx="0">
                  <c:v>44166</c:v>
                </c:pt>
                <c:pt idx="1">
                  <c:v>44197</c:v>
                </c:pt>
                <c:pt idx="2">
                  <c:v>44228</c:v>
                </c:pt>
                <c:pt idx="3">
                  <c:v>44256</c:v>
                </c:pt>
                <c:pt idx="4">
                  <c:v>44287</c:v>
                </c:pt>
                <c:pt idx="5">
                  <c:v>44317</c:v>
                </c:pt>
                <c:pt idx="6">
                  <c:v>44348</c:v>
                </c:pt>
                <c:pt idx="7">
                  <c:v>44378</c:v>
                </c:pt>
                <c:pt idx="8">
                  <c:v>44409</c:v>
                </c:pt>
                <c:pt idx="9">
                  <c:v>44440</c:v>
                </c:pt>
                <c:pt idx="10">
                  <c:v>44470</c:v>
                </c:pt>
                <c:pt idx="11">
                  <c:v>44501</c:v>
                </c:pt>
                <c:pt idx="12">
                  <c:v>44531</c:v>
                </c:pt>
              </c:numCache>
            </c:numRef>
          </c:cat>
          <c:val>
            <c:numRef>
              <c:f>Rendimiento!$C$44:$C$56</c:f>
              <c:numCache>
                <c:formatCode>General</c:formatCode>
                <c:ptCount val="13"/>
                <c:pt idx="0">
                  <c:v>9.34</c:v>
                </c:pt>
                <c:pt idx="1">
                  <c:v>9.36</c:v>
                </c:pt>
                <c:pt idx="2">
                  <c:v>9.43</c:v>
                </c:pt>
                <c:pt idx="3">
                  <c:v>9.41</c:v>
                </c:pt>
                <c:pt idx="4">
                  <c:v>9.5</c:v>
                </c:pt>
                <c:pt idx="5">
                  <c:v>9.68</c:v>
                </c:pt>
                <c:pt idx="6">
                  <c:v>9.8000000000000007</c:v>
                </c:pt>
                <c:pt idx="7">
                  <c:v>9.94</c:v>
                </c:pt>
                <c:pt idx="8">
                  <c:v>10.220000000000001</c:v>
                </c:pt>
                <c:pt idx="9">
                  <c:v>10.46</c:v>
                </c:pt>
                <c:pt idx="10">
                  <c:v>10.29</c:v>
                </c:pt>
                <c:pt idx="11">
                  <c:v>10.38</c:v>
                </c:pt>
                <c:pt idx="12">
                  <c:v>10.33</c:v>
                </c:pt>
              </c:numCache>
            </c:numRef>
          </c:val>
          <c:smooth val="0"/>
          <c:extLst>
            <c:ext xmlns:c16="http://schemas.microsoft.com/office/drawing/2014/chart" uri="{C3380CC4-5D6E-409C-BE32-E72D297353CC}">
              <c16:uniqueId val="{00000000-924C-4485-BE18-5A7F9C8B2605}"/>
            </c:ext>
          </c:extLst>
        </c:ser>
        <c:ser>
          <c:idx val="1"/>
          <c:order val="1"/>
          <c:tx>
            <c:strRef>
              <c:f>Rendimiento!$D$17</c:f>
              <c:strCache>
                <c:ptCount val="1"/>
                <c:pt idx="0">
                  <c:v>BCR</c:v>
                </c:pt>
              </c:strCache>
            </c:strRef>
          </c:tx>
          <c:spPr>
            <a:ln w="22225" cap="rnd" cmpd="sng" algn="ctr">
              <a:solidFill>
                <a:schemeClr val="accent2"/>
              </a:solidFill>
              <a:round/>
            </a:ln>
            <a:effectLst/>
          </c:spPr>
          <c:marker>
            <c:symbol val="none"/>
          </c:marker>
          <c:cat>
            <c:numRef>
              <c:f>Rendimiento!$B$44:$B$56</c:f>
              <c:numCache>
                <c:formatCode>mmm\-yy</c:formatCode>
                <c:ptCount val="13"/>
                <c:pt idx="0">
                  <c:v>44166</c:v>
                </c:pt>
                <c:pt idx="1">
                  <c:v>44197</c:v>
                </c:pt>
                <c:pt idx="2">
                  <c:v>44228</c:v>
                </c:pt>
                <c:pt idx="3">
                  <c:v>44256</c:v>
                </c:pt>
                <c:pt idx="4">
                  <c:v>44287</c:v>
                </c:pt>
                <c:pt idx="5">
                  <c:v>44317</c:v>
                </c:pt>
                <c:pt idx="6">
                  <c:v>44348</c:v>
                </c:pt>
                <c:pt idx="7">
                  <c:v>44378</c:v>
                </c:pt>
                <c:pt idx="8">
                  <c:v>44409</c:v>
                </c:pt>
                <c:pt idx="9">
                  <c:v>44440</c:v>
                </c:pt>
                <c:pt idx="10">
                  <c:v>44470</c:v>
                </c:pt>
                <c:pt idx="11">
                  <c:v>44501</c:v>
                </c:pt>
                <c:pt idx="12">
                  <c:v>44531</c:v>
                </c:pt>
              </c:numCache>
            </c:numRef>
          </c:cat>
          <c:val>
            <c:numRef>
              <c:f>Rendimiento!$D$44:$D$56</c:f>
              <c:numCache>
                <c:formatCode>General</c:formatCode>
                <c:ptCount val="13"/>
                <c:pt idx="0">
                  <c:v>9.3000000000000007</c:v>
                </c:pt>
                <c:pt idx="1">
                  <c:v>9.34</c:v>
                </c:pt>
                <c:pt idx="2">
                  <c:v>9.44</c:v>
                </c:pt>
                <c:pt idx="3">
                  <c:v>9.43</c:v>
                </c:pt>
                <c:pt idx="4">
                  <c:v>9.4700000000000006</c:v>
                </c:pt>
                <c:pt idx="5">
                  <c:v>9.61</c:v>
                </c:pt>
                <c:pt idx="6">
                  <c:v>9.6999999999999993</c:v>
                </c:pt>
                <c:pt idx="7">
                  <c:v>9.76</c:v>
                </c:pt>
                <c:pt idx="8">
                  <c:v>9.9</c:v>
                </c:pt>
                <c:pt idx="9">
                  <c:v>10.06</c:v>
                </c:pt>
                <c:pt idx="10">
                  <c:v>9.98</c:v>
                </c:pt>
                <c:pt idx="11">
                  <c:v>10.02</c:v>
                </c:pt>
                <c:pt idx="12">
                  <c:v>9.99</c:v>
                </c:pt>
              </c:numCache>
            </c:numRef>
          </c:val>
          <c:smooth val="0"/>
          <c:extLst>
            <c:ext xmlns:c16="http://schemas.microsoft.com/office/drawing/2014/chart" uri="{C3380CC4-5D6E-409C-BE32-E72D297353CC}">
              <c16:uniqueId val="{00000001-924C-4485-BE18-5A7F9C8B2605}"/>
            </c:ext>
          </c:extLst>
        </c:ser>
        <c:ser>
          <c:idx val="2"/>
          <c:order val="2"/>
          <c:tx>
            <c:strRef>
              <c:f>Rendimiento!$E$17</c:f>
              <c:strCache>
                <c:ptCount val="1"/>
                <c:pt idx="0">
                  <c:v>BN</c:v>
                </c:pt>
              </c:strCache>
            </c:strRef>
          </c:tx>
          <c:spPr>
            <a:ln w="22225" cap="rnd" cmpd="sng" algn="ctr">
              <a:solidFill>
                <a:schemeClr val="accent3"/>
              </a:solidFill>
              <a:round/>
            </a:ln>
            <a:effectLst/>
          </c:spPr>
          <c:marker>
            <c:symbol val="none"/>
          </c:marker>
          <c:cat>
            <c:numRef>
              <c:f>Rendimiento!$B$44:$B$56</c:f>
              <c:numCache>
                <c:formatCode>mmm\-yy</c:formatCode>
                <c:ptCount val="13"/>
                <c:pt idx="0">
                  <c:v>44166</c:v>
                </c:pt>
                <c:pt idx="1">
                  <c:v>44197</c:v>
                </c:pt>
                <c:pt idx="2">
                  <c:v>44228</c:v>
                </c:pt>
                <c:pt idx="3">
                  <c:v>44256</c:v>
                </c:pt>
                <c:pt idx="4">
                  <c:v>44287</c:v>
                </c:pt>
                <c:pt idx="5">
                  <c:v>44317</c:v>
                </c:pt>
                <c:pt idx="6">
                  <c:v>44348</c:v>
                </c:pt>
                <c:pt idx="7">
                  <c:v>44378</c:v>
                </c:pt>
                <c:pt idx="8">
                  <c:v>44409</c:v>
                </c:pt>
                <c:pt idx="9">
                  <c:v>44440</c:v>
                </c:pt>
                <c:pt idx="10">
                  <c:v>44470</c:v>
                </c:pt>
                <c:pt idx="11">
                  <c:v>44501</c:v>
                </c:pt>
                <c:pt idx="12">
                  <c:v>44531</c:v>
                </c:pt>
              </c:numCache>
            </c:numRef>
          </c:cat>
          <c:val>
            <c:numRef>
              <c:f>Rendimiento!$E$44:$E$56</c:f>
              <c:numCache>
                <c:formatCode>General</c:formatCode>
                <c:ptCount val="13"/>
                <c:pt idx="0">
                  <c:v>9.58</c:v>
                </c:pt>
                <c:pt idx="1">
                  <c:v>9.67</c:v>
                </c:pt>
                <c:pt idx="2">
                  <c:v>9.82</c:v>
                </c:pt>
                <c:pt idx="3">
                  <c:v>9.73</c:v>
                </c:pt>
                <c:pt idx="4">
                  <c:v>9.83</c:v>
                </c:pt>
                <c:pt idx="5">
                  <c:v>9.99</c:v>
                </c:pt>
                <c:pt idx="6">
                  <c:v>10.11</c:v>
                </c:pt>
                <c:pt idx="7">
                  <c:v>10.19</c:v>
                </c:pt>
                <c:pt idx="8">
                  <c:v>10.37</c:v>
                </c:pt>
                <c:pt idx="9">
                  <c:v>10.56</c:v>
                </c:pt>
                <c:pt idx="10">
                  <c:v>10.44</c:v>
                </c:pt>
                <c:pt idx="11">
                  <c:v>10.55</c:v>
                </c:pt>
                <c:pt idx="12">
                  <c:v>10.47</c:v>
                </c:pt>
              </c:numCache>
            </c:numRef>
          </c:val>
          <c:smooth val="0"/>
          <c:extLst>
            <c:ext xmlns:c16="http://schemas.microsoft.com/office/drawing/2014/chart" uri="{C3380CC4-5D6E-409C-BE32-E72D297353CC}">
              <c16:uniqueId val="{00000002-924C-4485-BE18-5A7F9C8B2605}"/>
            </c:ext>
          </c:extLst>
        </c:ser>
        <c:ser>
          <c:idx val="3"/>
          <c:order val="3"/>
          <c:tx>
            <c:strRef>
              <c:f>Rendimiento!$F$17</c:f>
              <c:strCache>
                <c:ptCount val="1"/>
                <c:pt idx="0">
                  <c:v>CCSS</c:v>
                </c:pt>
              </c:strCache>
            </c:strRef>
          </c:tx>
          <c:spPr>
            <a:ln w="22225" cap="rnd" cmpd="sng" algn="ctr">
              <a:solidFill>
                <a:schemeClr val="accent4"/>
              </a:solidFill>
              <a:round/>
            </a:ln>
            <a:effectLst/>
          </c:spPr>
          <c:marker>
            <c:symbol val="none"/>
          </c:marker>
          <c:cat>
            <c:numRef>
              <c:f>Rendimiento!$B$44:$B$56</c:f>
              <c:numCache>
                <c:formatCode>mmm\-yy</c:formatCode>
                <c:ptCount val="13"/>
                <c:pt idx="0">
                  <c:v>44166</c:v>
                </c:pt>
                <c:pt idx="1">
                  <c:v>44197</c:v>
                </c:pt>
                <c:pt idx="2">
                  <c:v>44228</c:v>
                </c:pt>
                <c:pt idx="3">
                  <c:v>44256</c:v>
                </c:pt>
                <c:pt idx="4">
                  <c:v>44287</c:v>
                </c:pt>
                <c:pt idx="5">
                  <c:v>44317</c:v>
                </c:pt>
                <c:pt idx="6">
                  <c:v>44348</c:v>
                </c:pt>
                <c:pt idx="7">
                  <c:v>44378</c:v>
                </c:pt>
                <c:pt idx="8">
                  <c:v>44409</c:v>
                </c:pt>
                <c:pt idx="9">
                  <c:v>44440</c:v>
                </c:pt>
                <c:pt idx="10">
                  <c:v>44470</c:v>
                </c:pt>
                <c:pt idx="11">
                  <c:v>44501</c:v>
                </c:pt>
                <c:pt idx="12">
                  <c:v>44531</c:v>
                </c:pt>
              </c:numCache>
            </c:numRef>
          </c:cat>
          <c:val>
            <c:numRef>
              <c:f>Rendimiento!$F$44:$F$56</c:f>
              <c:numCache>
                <c:formatCode>General</c:formatCode>
                <c:ptCount val="13"/>
                <c:pt idx="0">
                  <c:v>10.06</c:v>
                </c:pt>
                <c:pt idx="1">
                  <c:v>10.199999999999999</c:v>
                </c:pt>
                <c:pt idx="2">
                  <c:v>10.34</c:v>
                </c:pt>
                <c:pt idx="3">
                  <c:v>10.25</c:v>
                </c:pt>
                <c:pt idx="4">
                  <c:v>10.38</c:v>
                </c:pt>
                <c:pt idx="5">
                  <c:v>10.43</c:v>
                </c:pt>
                <c:pt idx="6">
                  <c:v>10.55</c:v>
                </c:pt>
                <c:pt idx="7">
                  <c:v>10.64</c:v>
                </c:pt>
                <c:pt idx="8">
                  <c:v>10.76</c:v>
                </c:pt>
                <c:pt idx="9">
                  <c:v>10.85</c:v>
                </c:pt>
                <c:pt idx="10">
                  <c:v>10.76</c:v>
                </c:pt>
                <c:pt idx="11">
                  <c:v>10.91</c:v>
                </c:pt>
                <c:pt idx="12">
                  <c:v>10.87</c:v>
                </c:pt>
              </c:numCache>
            </c:numRef>
          </c:val>
          <c:smooth val="0"/>
          <c:extLst>
            <c:ext xmlns:c16="http://schemas.microsoft.com/office/drawing/2014/chart" uri="{C3380CC4-5D6E-409C-BE32-E72D297353CC}">
              <c16:uniqueId val="{00000003-924C-4485-BE18-5A7F9C8B2605}"/>
            </c:ext>
          </c:extLst>
        </c:ser>
        <c:ser>
          <c:idx val="4"/>
          <c:order val="4"/>
          <c:tx>
            <c:strRef>
              <c:f>Rendimiento!$G$17</c:f>
              <c:strCache>
                <c:ptCount val="1"/>
                <c:pt idx="0">
                  <c:v>Popular</c:v>
                </c:pt>
              </c:strCache>
            </c:strRef>
          </c:tx>
          <c:spPr>
            <a:ln w="22225" cap="rnd" cmpd="sng" algn="ctr">
              <a:solidFill>
                <a:schemeClr val="accent5"/>
              </a:solidFill>
              <a:round/>
            </a:ln>
            <a:effectLst/>
          </c:spPr>
          <c:marker>
            <c:symbol val="none"/>
          </c:marker>
          <c:cat>
            <c:numRef>
              <c:f>Rendimiento!$B$44:$B$56</c:f>
              <c:numCache>
                <c:formatCode>mmm\-yy</c:formatCode>
                <c:ptCount val="13"/>
                <c:pt idx="0">
                  <c:v>44166</c:v>
                </c:pt>
                <c:pt idx="1">
                  <c:v>44197</c:v>
                </c:pt>
                <c:pt idx="2">
                  <c:v>44228</c:v>
                </c:pt>
                <c:pt idx="3">
                  <c:v>44256</c:v>
                </c:pt>
                <c:pt idx="4">
                  <c:v>44287</c:v>
                </c:pt>
                <c:pt idx="5">
                  <c:v>44317</c:v>
                </c:pt>
                <c:pt idx="6">
                  <c:v>44348</c:v>
                </c:pt>
                <c:pt idx="7">
                  <c:v>44378</c:v>
                </c:pt>
                <c:pt idx="8">
                  <c:v>44409</c:v>
                </c:pt>
                <c:pt idx="9">
                  <c:v>44440</c:v>
                </c:pt>
                <c:pt idx="10">
                  <c:v>44470</c:v>
                </c:pt>
                <c:pt idx="11">
                  <c:v>44501</c:v>
                </c:pt>
                <c:pt idx="12">
                  <c:v>44531</c:v>
                </c:pt>
              </c:numCache>
            </c:numRef>
          </c:cat>
          <c:val>
            <c:numRef>
              <c:f>Rendimiento!$G$44:$G$56</c:f>
              <c:numCache>
                <c:formatCode>General</c:formatCode>
                <c:ptCount val="13"/>
                <c:pt idx="0">
                  <c:v>9.2799999999999994</c:v>
                </c:pt>
                <c:pt idx="1">
                  <c:v>9.43</c:v>
                </c:pt>
                <c:pt idx="2">
                  <c:v>9.58</c:v>
                </c:pt>
                <c:pt idx="3">
                  <c:v>9.5399999999999991</c:v>
                </c:pt>
                <c:pt idx="4">
                  <c:v>9.68</c:v>
                </c:pt>
                <c:pt idx="5">
                  <c:v>9.6999999999999993</c:v>
                </c:pt>
                <c:pt idx="6">
                  <c:v>9.81</c:v>
                </c:pt>
                <c:pt idx="7">
                  <c:v>9.91</c:v>
                </c:pt>
                <c:pt idx="8">
                  <c:v>10.029999999999999</c:v>
                </c:pt>
                <c:pt idx="9">
                  <c:v>10.1</c:v>
                </c:pt>
                <c:pt idx="10">
                  <c:v>10.06</c:v>
                </c:pt>
                <c:pt idx="11">
                  <c:v>10.29</c:v>
                </c:pt>
                <c:pt idx="12">
                  <c:v>10.199999999999999</c:v>
                </c:pt>
              </c:numCache>
            </c:numRef>
          </c:val>
          <c:smooth val="0"/>
          <c:extLst>
            <c:ext xmlns:c16="http://schemas.microsoft.com/office/drawing/2014/chart" uri="{C3380CC4-5D6E-409C-BE32-E72D297353CC}">
              <c16:uniqueId val="{00000004-924C-4485-BE18-5A7F9C8B2605}"/>
            </c:ext>
          </c:extLst>
        </c:ser>
        <c:ser>
          <c:idx val="5"/>
          <c:order val="5"/>
          <c:tx>
            <c:strRef>
              <c:f>Rendimiento!$H$17</c:f>
              <c:strCache>
                <c:ptCount val="1"/>
                <c:pt idx="0">
                  <c:v>Vida Plena</c:v>
                </c:pt>
              </c:strCache>
            </c:strRef>
          </c:tx>
          <c:spPr>
            <a:ln w="22225" cap="rnd" cmpd="sng" algn="ctr">
              <a:solidFill>
                <a:schemeClr val="accent6"/>
              </a:solidFill>
              <a:round/>
            </a:ln>
            <a:effectLst/>
          </c:spPr>
          <c:marker>
            <c:symbol val="none"/>
          </c:marker>
          <c:cat>
            <c:numRef>
              <c:f>Rendimiento!$B$44:$B$56</c:f>
              <c:numCache>
                <c:formatCode>mmm\-yy</c:formatCode>
                <c:ptCount val="13"/>
                <c:pt idx="0">
                  <c:v>44166</c:v>
                </c:pt>
                <c:pt idx="1">
                  <c:v>44197</c:v>
                </c:pt>
                <c:pt idx="2">
                  <c:v>44228</c:v>
                </c:pt>
                <c:pt idx="3">
                  <c:v>44256</c:v>
                </c:pt>
                <c:pt idx="4">
                  <c:v>44287</c:v>
                </c:pt>
                <c:pt idx="5">
                  <c:v>44317</c:v>
                </c:pt>
                <c:pt idx="6">
                  <c:v>44348</c:v>
                </c:pt>
                <c:pt idx="7">
                  <c:v>44378</c:v>
                </c:pt>
                <c:pt idx="8">
                  <c:v>44409</c:v>
                </c:pt>
                <c:pt idx="9">
                  <c:v>44440</c:v>
                </c:pt>
                <c:pt idx="10">
                  <c:v>44470</c:v>
                </c:pt>
                <c:pt idx="11">
                  <c:v>44501</c:v>
                </c:pt>
                <c:pt idx="12">
                  <c:v>44531</c:v>
                </c:pt>
              </c:numCache>
            </c:numRef>
          </c:cat>
          <c:val>
            <c:numRef>
              <c:f>Rendimiento!$H$44:$H$56</c:f>
              <c:numCache>
                <c:formatCode>General</c:formatCode>
                <c:ptCount val="13"/>
                <c:pt idx="0">
                  <c:v>9.4700000000000006</c:v>
                </c:pt>
                <c:pt idx="1">
                  <c:v>9.5</c:v>
                </c:pt>
                <c:pt idx="2">
                  <c:v>9.6</c:v>
                </c:pt>
                <c:pt idx="3">
                  <c:v>9.57</c:v>
                </c:pt>
                <c:pt idx="4">
                  <c:v>9.6300000000000008</c:v>
                </c:pt>
                <c:pt idx="5">
                  <c:v>9.7200000000000006</c:v>
                </c:pt>
                <c:pt idx="6">
                  <c:v>9.81</c:v>
                </c:pt>
                <c:pt idx="7">
                  <c:v>9.89</c:v>
                </c:pt>
                <c:pt idx="8">
                  <c:v>10.06</c:v>
                </c:pt>
                <c:pt idx="9">
                  <c:v>10.199999999999999</c:v>
                </c:pt>
                <c:pt idx="10">
                  <c:v>10.09</c:v>
                </c:pt>
                <c:pt idx="11">
                  <c:v>10.15</c:v>
                </c:pt>
                <c:pt idx="12">
                  <c:v>10.1</c:v>
                </c:pt>
              </c:numCache>
            </c:numRef>
          </c:val>
          <c:smooth val="0"/>
          <c:extLst>
            <c:ext xmlns:c16="http://schemas.microsoft.com/office/drawing/2014/chart" uri="{C3380CC4-5D6E-409C-BE32-E72D297353CC}">
              <c16:uniqueId val="{00000005-924C-4485-BE18-5A7F9C8B2605}"/>
            </c:ext>
          </c:extLst>
        </c:ser>
        <c:dLbls>
          <c:showLegendKey val="0"/>
          <c:showVal val="0"/>
          <c:showCatName val="0"/>
          <c:showSerName val="0"/>
          <c:showPercent val="0"/>
          <c:showBubbleSize val="0"/>
        </c:dLbls>
        <c:smooth val="0"/>
        <c:axId val="813308815"/>
        <c:axId val="1901304671"/>
      </c:lineChart>
      <c:dateAx>
        <c:axId val="813308815"/>
        <c:scaling>
          <c:orientation val="minMax"/>
        </c:scaling>
        <c:delete val="0"/>
        <c:axPos val="b"/>
        <c:numFmt formatCode="mmm\-yy"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solidFill>
                <a:latin typeface="+mn-lt"/>
                <a:ea typeface="+mn-ea"/>
                <a:cs typeface="+mn-cs"/>
              </a:defRPr>
            </a:pPr>
            <a:endParaRPr lang="es-CR"/>
          </a:p>
        </c:txPr>
        <c:crossAx val="1901304671"/>
        <c:crosses val="autoZero"/>
        <c:auto val="1"/>
        <c:lblOffset val="100"/>
        <c:baseTimeUnit val="months"/>
      </c:dateAx>
      <c:valAx>
        <c:axId val="1901304671"/>
        <c:scaling>
          <c:orientation val="minMax"/>
          <c:min val="9"/>
        </c:scaling>
        <c:delete val="0"/>
        <c:axPos val="l"/>
        <c:majorGridlines>
          <c:spPr>
            <a:ln>
              <a:solidFill>
                <a:schemeClr val="dk1">
                  <a:lumMod val="15000"/>
                  <a:lumOff val="85000"/>
                </a:schemeClr>
              </a:solidFill>
            </a:ln>
            <a:effectLst/>
          </c:spPr>
        </c:majorGridlines>
        <c:title>
          <c:tx>
            <c:rich>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r>
                  <a:rPr lang="es-CR"/>
                  <a:t>Rendimiento porcentual</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endParaRPr lang="es-C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solidFill>
                <a:latin typeface="+mn-lt"/>
                <a:ea typeface="+mn-ea"/>
                <a:cs typeface="+mn-cs"/>
              </a:defRPr>
            </a:pPr>
            <a:endParaRPr lang="es-CR"/>
          </a:p>
        </c:txPr>
        <c:crossAx val="813308815"/>
        <c:crosses val="autoZero"/>
        <c:crossBetween val="between"/>
      </c:valAx>
      <c:spPr>
        <a:gradFill>
          <a:gsLst>
            <a:gs pos="100000">
              <a:schemeClr val="lt1">
                <a:lumMod val="95000"/>
              </a:schemeClr>
            </a:gs>
            <a:gs pos="0">
              <a:schemeClr val="lt1"/>
            </a:gs>
          </a:gsLst>
          <a:lin ang="5400000" scaled="0"/>
        </a:grad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legend>
    <c:plotVisOnly val="1"/>
    <c:dispBlanksAs val="gap"/>
    <c:showDLblsOverMax val="0"/>
  </c:chart>
  <c:spPr>
    <a:noFill/>
    <a:ln w="9525" cap="flat" cmpd="sng" algn="ctr">
      <a:noFill/>
      <a:round/>
    </a:ln>
    <a:effectLst/>
  </c:spPr>
  <c:txPr>
    <a:bodyPr/>
    <a:lstStyle/>
    <a:p>
      <a:pPr>
        <a:defRPr>
          <a:solidFill>
            <a:schemeClr val="dk1"/>
          </a:solidFill>
          <a:latin typeface="+mn-lt"/>
          <a:ea typeface="+mn-ea"/>
          <a:cs typeface="+mn-cs"/>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63888888888889"/>
          <c:y val="0.16448891805191021"/>
          <c:w val="0.43098797025371827"/>
          <c:h val="0.71831328375619719"/>
        </c:manualLayout>
      </c:layout>
      <c:doughnutChart>
        <c:varyColors val="1"/>
        <c:ser>
          <c:idx val="0"/>
          <c:order val="0"/>
          <c:dPt>
            <c:idx val="0"/>
            <c:bubble3D val="0"/>
            <c:explosion val="6"/>
            <c:spPr>
              <a:pattFill prst="dkHorz">
                <a:fgClr>
                  <a:schemeClr val="accent2">
                    <a:lumMod val="75000"/>
                  </a:schemeClr>
                </a:fgClr>
                <a:bgClr>
                  <a:schemeClr val="bg1"/>
                </a:bgClr>
              </a:pattFill>
              <a:ln w="19050">
                <a:solidFill>
                  <a:schemeClr val="lt1"/>
                </a:solidFill>
              </a:ln>
              <a:effectLst/>
            </c:spPr>
            <c:extLst>
              <c:ext xmlns:c16="http://schemas.microsoft.com/office/drawing/2014/chart" uri="{C3380CC4-5D6E-409C-BE32-E72D297353CC}">
                <c16:uniqueId val="{00000001-735E-4295-A320-12F00C2A1A51}"/>
              </c:ext>
            </c:extLst>
          </c:dPt>
          <c:dPt>
            <c:idx val="1"/>
            <c:bubble3D val="0"/>
            <c:explosion val="8"/>
            <c:spPr>
              <a:pattFill prst="dkHorz">
                <a:fgClr>
                  <a:srgbClr val="92D050"/>
                </a:fgClr>
                <a:bgClr>
                  <a:schemeClr val="bg1"/>
                </a:bgClr>
              </a:pattFill>
              <a:ln w="19050">
                <a:solidFill>
                  <a:schemeClr val="lt1"/>
                </a:solidFill>
              </a:ln>
              <a:effectLst/>
            </c:spPr>
            <c:extLst>
              <c:ext xmlns:c16="http://schemas.microsoft.com/office/drawing/2014/chart" uri="{C3380CC4-5D6E-409C-BE32-E72D297353CC}">
                <c16:uniqueId val="{00000003-735E-4295-A320-12F00C2A1A51}"/>
              </c:ext>
            </c:extLst>
          </c:dPt>
          <c:dPt>
            <c:idx val="2"/>
            <c:bubble3D val="0"/>
            <c:explosion val="10"/>
            <c:spPr>
              <a:pattFill prst="dkHorz">
                <a:fgClr>
                  <a:schemeClr val="tx1"/>
                </a:fgClr>
                <a:bgClr>
                  <a:schemeClr val="bg1"/>
                </a:bgClr>
              </a:pattFill>
              <a:ln w="19050">
                <a:solidFill>
                  <a:schemeClr val="lt1"/>
                </a:solidFill>
              </a:ln>
              <a:effectLst/>
            </c:spPr>
            <c:extLst>
              <c:ext xmlns:c16="http://schemas.microsoft.com/office/drawing/2014/chart" uri="{C3380CC4-5D6E-409C-BE32-E72D297353CC}">
                <c16:uniqueId val="{00000005-735E-4295-A320-12F00C2A1A5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35E-4295-A320-12F00C2A1A5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35E-4295-A320-12F00C2A1A51}"/>
              </c:ext>
            </c:extLst>
          </c:dPt>
          <c:dLbls>
            <c:dLbl>
              <c:idx val="0"/>
              <c:layout>
                <c:manualLayout>
                  <c:x val="0.10277777777777777"/>
                  <c:y val="-4.166666666666670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35E-4295-A320-12F00C2A1A51}"/>
                </c:ext>
              </c:extLst>
            </c:dLbl>
            <c:dLbl>
              <c:idx val="1"/>
              <c:layout>
                <c:manualLayout>
                  <c:x val="8.055555555555545E-2"/>
                  <c:y val="3.240740740740732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35E-4295-A320-12F00C2A1A51}"/>
                </c:ext>
              </c:extLst>
            </c:dLbl>
            <c:dLbl>
              <c:idx val="2"/>
              <c:layout>
                <c:manualLayout>
                  <c:x val="6.1111111111111012E-2"/>
                  <c:y val="9.72222222222221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35E-4295-A320-12F00C2A1A51}"/>
                </c:ext>
              </c:extLst>
            </c:dLbl>
            <c:dLbl>
              <c:idx val="4"/>
              <c:layout>
                <c:manualLayout>
                  <c:x val="-8.3333333333333329E-2"/>
                  <c:y val="0"/>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35E-4295-A320-12F00C2A1A51}"/>
                </c:ext>
              </c:extLst>
            </c:dLbl>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showLegendKey val="0"/>
            <c:showVal val="0"/>
            <c:showCatName val="0"/>
            <c:showSerName val="0"/>
            <c:showPercent val="1"/>
            <c:showBubbleSize val="0"/>
            <c:showLeaderLines val="0"/>
            <c:extLst>
              <c:ext xmlns:c15="http://schemas.microsoft.com/office/drawing/2012/chart" uri="{CE6537A1-D6FC-4f65-9D91-7224C49458BB}"/>
            </c:extLst>
          </c:dLbls>
          <c:cat>
            <c:strRef>
              <c:f>'[Consolidado.xlsx]Cartera Sector'!$G$9:$G$13</c:f>
              <c:strCache>
                <c:ptCount val="5"/>
                <c:pt idx="0">
                  <c:v>Extranjero</c:v>
                </c:pt>
                <c:pt idx="1">
                  <c:v>Privado dólares</c:v>
                </c:pt>
                <c:pt idx="2">
                  <c:v>Público dólares</c:v>
                </c:pt>
                <c:pt idx="3">
                  <c:v>Privado colones</c:v>
                </c:pt>
                <c:pt idx="4">
                  <c:v>Público colones</c:v>
                </c:pt>
              </c:strCache>
            </c:strRef>
          </c:cat>
          <c:val>
            <c:numRef>
              <c:f>'[Consolidado.xlsx]Cartera Sector'!$H$9:$H$13</c:f>
              <c:numCache>
                <c:formatCode>General</c:formatCode>
                <c:ptCount val="5"/>
                <c:pt idx="0">
                  <c:v>2780369811082.2202</c:v>
                </c:pt>
                <c:pt idx="1">
                  <c:v>236090550087.85999</c:v>
                </c:pt>
                <c:pt idx="2">
                  <c:v>630268930930.72986</c:v>
                </c:pt>
                <c:pt idx="3">
                  <c:v>491578706706.41992</c:v>
                </c:pt>
                <c:pt idx="4">
                  <c:v>4723652968565.2002</c:v>
                </c:pt>
              </c:numCache>
            </c:numRef>
          </c:val>
          <c:extLst>
            <c:ext xmlns:c16="http://schemas.microsoft.com/office/drawing/2014/chart" uri="{C3380CC4-5D6E-409C-BE32-E72D297353CC}">
              <c16:uniqueId val="{0000000A-735E-4295-A320-12F00C2A1A51}"/>
            </c:ext>
          </c:extLst>
        </c:ser>
        <c:dLbls>
          <c:showLegendKey val="0"/>
          <c:showVal val="0"/>
          <c:showCatName val="0"/>
          <c:showSerName val="0"/>
          <c:showPercent val="0"/>
          <c:showBubbleSize val="0"/>
          <c:showLeaderLines val="0"/>
        </c:dLbls>
        <c:firstSliceAng val="0"/>
        <c:holeSize val="50"/>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solidFill>
            <a:schemeClr val="dk1"/>
          </a:solidFill>
          <a:latin typeface="+mn-lt"/>
          <a:ea typeface="+mn-ea"/>
          <a:cs typeface="+mn-cs"/>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o" ma:contentTypeID="0x01010016856631F615B3409059BBB0F9B27DCB" ma:contentTypeVersion="15" ma:contentTypeDescription="Crear nuevo documento." ma:contentTypeScope="" ma:versionID="47210b89c82ae1714ee5357ee90d6da2">
  <xsd:schema xmlns:xsd="http://www.w3.org/2001/XMLSchema" xmlns:xs="http://www.w3.org/2001/XMLSchema" xmlns:p="http://schemas.microsoft.com/office/2006/metadata/properties" xmlns:ns2="b18c669d-fb4a-4eb9-a4d1-62cdc1f0ce82" xmlns:ns3="2771f82f-2111-4618-a6ac-913e60384c73" targetNamespace="http://schemas.microsoft.com/office/2006/metadata/properties" ma:root="true" ma:fieldsID="004a81f54fee428c8bd711f989c5dc6b" ns2:_="" ns3:_="">
    <xsd:import namespace="b18c669d-fb4a-4eb9-a4d1-62cdc1f0ce82"/>
    <xsd:import namespace="2771f82f-2111-4618-a6ac-913e60384c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c669d-fb4a-4eb9-a4d1-62cdc1f0ce82" elementFormDefault="qualified">
    <xsd:import namespace="http://schemas.microsoft.com/office/2006/documentManagement/types"/>
    <xsd:import namespace="http://schemas.microsoft.com/office/infopath/2007/PartnerControls"/>
    <xsd:element name="SharedWithUsers" ma:index="4" nillable="true" ma:displayName="Compartido c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71f82f-2111-4618-a6ac-913e60384c73"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Tags" ma:index="8" nillable="true" ma:displayName="Tags" ma:internalName="MediaServiceAutoTag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DateTaken" ma:index="10" nillable="true" ma:displayName="MediaServiceDateTaken" ma:hidden="true" ma:internalName="MediaServiceDateTake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ipo de contenido"/>
        <xsd:element ref="dc:title" minOccurs="0" maxOccurs="1" ma:index="3"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2862A8-EB59-470F-888D-44B074B336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D9281D-6792-4CF9-B7A5-AA3540E83344}">
  <ds:schemaRefs>
    <ds:schemaRef ds:uri="http://schemas.openxmlformats.org/officeDocument/2006/bibliography"/>
  </ds:schemaRefs>
</ds:datastoreItem>
</file>

<file path=customXml/itemProps3.xml><?xml version="1.0" encoding="utf-8"?>
<ds:datastoreItem xmlns:ds="http://schemas.openxmlformats.org/officeDocument/2006/customXml" ds:itemID="{0947D643-D225-4A14-B798-089F535E4BC2}">
  <ds:schemaRefs>
    <ds:schemaRef ds:uri="http://schemas.microsoft.com/sharepoint/v3/contenttype/forms"/>
  </ds:schemaRefs>
</ds:datastoreItem>
</file>

<file path=customXml/itemProps4.xml><?xml version="1.0" encoding="utf-8"?>
<ds:datastoreItem xmlns:ds="http://schemas.openxmlformats.org/officeDocument/2006/customXml" ds:itemID="{44F5D90A-5091-46E1-A261-776464693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c669d-fb4a-4eb9-a4d1-62cdc1f0ce82"/>
    <ds:schemaRef ds:uri="2771f82f-2111-4618-a6ac-913e60384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Hoja SUPEN</Template>
  <TotalTime>2</TotalTime>
  <Pages>15</Pages>
  <Words>3433</Words>
  <Characters>18886</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22275</CharactersWithSpaces>
  <SharedDoc>false</SharedDoc>
  <HLinks>
    <vt:vector size="162" baseType="variant">
      <vt:variant>
        <vt:i4>1572924</vt:i4>
      </vt:variant>
      <vt:variant>
        <vt:i4>149</vt:i4>
      </vt:variant>
      <vt:variant>
        <vt:i4>0</vt:i4>
      </vt:variant>
      <vt:variant>
        <vt:i4>5</vt:i4>
      </vt:variant>
      <vt:variant>
        <vt:lpwstr/>
      </vt:variant>
      <vt:variant>
        <vt:lpwstr>_Toc86330379</vt:lpwstr>
      </vt:variant>
      <vt:variant>
        <vt:i4>1638460</vt:i4>
      </vt:variant>
      <vt:variant>
        <vt:i4>143</vt:i4>
      </vt:variant>
      <vt:variant>
        <vt:i4>0</vt:i4>
      </vt:variant>
      <vt:variant>
        <vt:i4>5</vt:i4>
      </vt:variant>
      <vt:variant>
        <vt:lpwstr/>
      </vt:variant>
      <vt:variant>
        <vt:lpwstr>_Toc86330378</vt:lpwstr>
      </vt:variant>
      <vt:variant>
        <vt:i4>1441852</vt:i4>
      </vt:variant>
      <vt:variant>
        <vt:i4>137</vt:i4>
      </vt:variant>
      <vt:variant>
        <vt:i4>0</vt:i4>
      </vt:variant>
      <vt:variant>
        <vt:i4>5</vt:i4>
      </vt:variant>
      <vt:variant>
        <vt:lpwstr/>
      </vt:variant>
      <vt:variant>
        <vt:lpwstr>_Toc86330377</vt:lpwstr>
      </vt:variant>
      <vt:variant>
        <vt:i4>1507388</vt:i4>
      </vt:variant>
      <vt:variant>
        <vt:i4>131</vt:i4>
      </vt:variant>
      <vt:variant>
        <vt:i4>0</vt:i4>
      </vt:variant>
      <vt:variant>
        <vt:i4>5</vt:i4>
      </vt:variant>
      <vt:variant>
        <vt:lpwstr/>
      </vt:variant>
      <vt:variant>
        <vt:lpwstr>_Toc86330376</vt:lpwstr>
      </vt:variant>
      <vt:variant>
        <vt:i4>1310780</vt:i4>
      </vt:variant>
      <vt:variant>
        <vt:i4>125</vt:i4>
      </vt:variant>
      <vt:variant>
        <vt:i4>0</vt:i4>
      </vt:variant>
      <vt:variant>
        <vt:i4>5</vt:i4>
      </vt:variant>
      <vt:variant>
        <vt:lpwstr/>
      </vt:variant>
      <vt:variant>
        <vt:lpwstr>_Toc86330375</vt:lpwstr>
      </vt:variant>
      <vt:variant>
        <vt:i4>1376316</vt:i4>
      </vt:variant>
      <vt:variant>
        <vt:i4>119</vt:i4>
      </vt:variant>
      <vt:variant>
        <vt:i4>0</vt:i4>
      </vt:variant>
      <vt:variant>
        <vt:i4>5</vt:i4>
      </vt:variant>
      <vt:variant>
        <vt:lpwstr/>
      </vt:variant>
      <vt:variant>
        <vt:lpwstr>_Toc86330374</vt:lpwstr>
      </vt:variant>
      <vt:variant>
        <vt:i4>1179708</vt:i4>
      </vt:variant>
      <vt:variant>
        <vt:i4>113</vt:i4>
      </vt:variant>
      <vt:variant>
        <vt:i4>0</vt:i4>
      </vt:variant>
      <vt:variant>
        <vt:i4>5</vt:i4>
      </vt:variant>
      <vt:variant>
        <vt:lpwstr/>
      </vt:variant>
      <vt:variant>
        <vt:lpwstr>_Toc86330373</vt:lpwstr>
      </vt:variant>
      <vt:variant>
        <vt:i4>1245244</vt:i4>
      </vt:variant>
      <vt:variant>
        <vt:i4>107</vt:i4>
      </vt:variant>
      <vt:variant>
        <vt:i4>0</vt:i4>
      </vt:variant>
      <vt:variant>
        <vt:i4>5</vt:i4>
      </vt:variant>
      <vt:variant>
        <vt:lpwstr/>
      </vt:variant>
      <vt:variant>
        <vt:lpwstr>_Toc86330372</vt:lpwstr>
      </vt:variant>
      <vt:variant>
        <vt:i4>1048636</vt:i4>
      </vt:variant>
      <vt:variant>
        <vt:i4>101</vt:i4>
      </vt:variant>
      <vt:variant>
        <vt:i4>0</vt:i4>
      </vt:variant>
      <vt:variant>
        <vt:i4>5</vt:i4>
      </vt:variant>
      <vt:variant>
        <vt:lpwstr/>
      </vt:variant>
      <vt:variant>
        <vt:lpwstr>_Toc86330371</vt:lpwstr>
      </vt:variant>
      <vt:variant>
        <vt:i4>1114172</vt:i4>
      </vt:variant>
      <vt:variant>
        <vt:i4>95</vt:i4>
      </vt:variant>
      <vt:variant>
        <vt:i4>0</vt:i4>
      </vt:variant>
      <vt:variant>
        <vt:i4>5</vt:i4>
      </vt:variant>
      <vt:variant>
        <vt:lpwstr/>
      </vt:variant>
      <vt:variant>
        <vt:lpwstr>_Toc86330370</vt:lpwstr>
      </vt:variant>
      <vt:variant>
        <vt:i4>1572925</vt:i4>
      </vt:variant>
      <vt:variant>
        <vt:i4>89</vt:i4>
      </vt:variant>
      <vt:variant>
        <vt:i4>0</vt:i4>
      </vt:variant>
      <vt:variant>
        <vt:i4>5</vt:i4>
      </vt:variant>
      <vt:variant>
        <vt:lpwstr/>
      </vt:variant>
      <vt:variant>
        <vt:lpwstr>_Toc86330369</vt:lpwstr>
      </vt:variant>
      <vt:variant>
        <vt:i4>1638461</vt:i4>
      </vt:variant>
      <vt:variant>
        <vt:i4>83</vt:i4>
      </vt:variant>
      <vt:variant>
        <vt:i4>0</vt:i4>
      </vt:variant>
      <vt:variant>
        <vt:i4>5</vt:i4>
      </vt:variant>
      <vt:variant>
        <vt:lpwstr/>
      </vt:variant>
      <vt:variant>
        <vt:lpwstr>_Toc86330368</vt:lpwstr>
      </vt:variant>
      <vt:variant>
        <vt:i4>1441853</vt:i4>
      </vt:variant>
      <vt:variant>
        <vt:i4>77</vt:i4>
      </vt:variant>
      <vt:variant>
        <vt:i4>0</vt:i4>
      </vt:variant>
      <vt:variant>
        <vt:i4>5</vt:i4>
      </vt:variant>
      <vt:variant>
        <vt:lpwstr/>
      </vt:variant>
      <vt:variant>
        <vt:lpwstr>_Toc86330367</vt:lpwstr>
      </vt:variant>
      <vt:variant>
        <vt:i4>1507389</vt:i4>
      </vt:variant>
      <vt:variant>
        <vt:i4>71</vt:i4>
      </vt:variant>
      <vt:variant>
        <vt:i4>0</vt:i4>
      </vt:variant>
      <vt:variant>
        <vt:i4>5</vt:i4>
      </vt:variant>
      <vt:variant>
        <vt:lpwstr/>
      </vt:variant>
      <vt:variant>
        <vt:lpwstr>_Toc86330366</vt:lpwstr>
      </vt:variant>
      <vt:variant>
        <vt:i4>1310781</vt:i4>
      </vt:variant>
      <vt:variant>
        <vt:i4>65</vt:i4>
      </vt:variant>
      <vt:variant>
        <vt:i4>0</vt:i4>
      </vt:variant>
      <vt:variant>
        <vt:i4>5</vt:i4>
      </vt:variant>
      <vt:variant>
        <vt:lpwstr/>
      </vt:variant>
      <vt:variant>
        <vt:lpwstr>_Toc86330365</vt:lpwstr>
      </vt:variant>
      <vt:variant>
        <vt:i4>1376317</vt:i4>
      </vt:variant>
      <vt:variant>
        <vt:i4>59</vt:i4>
      </vt:variant>
      <vt:variant>
        <vt:i4>0</vt:i4>
      </vt:variant>
      <vt:variant>
        <vt:i4>5</vt:i4>
      </vt:variant>
      <vt:variant>
        <vt:lpwstr/>
      </vt:variant>
      <vt:variant>
        <vt:lpwstr>_Toc86330364</vt:lpwstr>
      </vt:variant>
      <vt:variant>
        <vt:i4>1179709</vt:i4>
      </vt:variant>
      <vt:variant>
        <vt:i4>53</vt:i4>
      </vt:variant>
      <vt:variant>
        <vt:i4>0</vt:i4>
      </vt:variant>
      <vt:variant>
        <vt:i4>5</vt:i4>
      </vt:variant>
      <vt:variant>
        <vt:lpwstr/>
      </vt:variant>
      <vt:variant>
        <vt:lpwstr>_Toc86330363</vt:lpwstr>
      </vt:variant>
      <vt:variant>
        <vt:i4>1245245</vt:i4>
      </vt:variant>
      <vt:variant>
        <vt:i4>47</vt:i4>
      </vt:variant>
      <vt:variant>
        <vt:i4>0</vt:i4>
      </vt:variant>
      <vt:variant>
        <vt:i4>5</vt:i4>
      </vt:variant>
      <vt:variant>
        <vt:lpwstr/>
      </vt:variant>
      <vt:variant>
        <vt:lpwstr>_Toc86330362</vt:lpwstr>
      </vt:variant>
      <vt:variant>
        <vt:i4>1048637</vt:i4>
      </vt:variant>
      <vt:variant>
        <vt:i4>41</vt:i4>
      </vt:variant>
      <vt:variant>
        <vt:i4>0</vt:i4>
      </vt:variant>
      <vt:variant>
        <vt:i4>5</vt:i4>
      </vt:variant>
      <vt:variant>
        <vt:lpwstr/>
      </vt:variant>
      <vt:variant>
        <vt:lpwstr>_Toc86330361</vt:lpwstr>
      </vt:variant>
      <vt:variant>
        <vt:i4>1114173</vt:i4>
      </vt:variant>
      <vt:variant>
        <vt:i4>35</vt:i4>
      </vt:variant>
      <vt:variant>
        <vt:i4>0</vt:i4>
      </vt:variant>
      <vt:variant>
        <vt:i4>5</vt:i4>
      </vt:variant>
      <vt:variant>
        <vt:lpwstr/>
      </vt:variant>
      <vt:variant>
        <vt:lpwstr>_Toc86330360</vt:lpwstr>
      </vt:variant>
      <vt:variant>
        <vt:i4>1572926</vt:i4>
      </vt:variant>
      <vt:variant>
        <vt:i4>29</vt:i4>
      </vt:variant>
      <vt:variant>
        <vt:i4>0</vt:i4>
      </vt:variant>
      <vt:variant>
        <vt:i4>5</vt:i4>
      </vt:variant>
      <vt:variant>
        <vt:lpwstr/>
      </vt:variant>
      <vt:variant>
        <vt:lpwstr>_Toc86330359</vt:lpwstr>
      </vt:variant>
      <vt:variant>
        <vt:i4>1638462</vt:i4>
      </vt:variant>
      <vt:variant>
        <vt:i4>23</vt:i4>
      </vt:variant>
      <vt:variant>
        <vt:i4>0</vt:i4>
      </vt:variant>
      <vt:variant>
        <vt:i4>5</vt:i4>
      </vt:variant>
      <vt:variant>
        <vt:lpwstr/>
      </vt:variant>
      <vt:variant>
        <vt:lpwstr>_Toc86330358</vt:lpwstr>
      </vt:variant>
      <vt:variant>
        <vt:i4>1441854</vt:i4>
      </vt:variant>
      <vt:variant>
        <vt:i4>17</vt:i4>
      </vt:variant>
      <vt:variant>
        <vt:i4>0</vt:i4>
      </vt:variant>
      <vt:variant>
        <vt:i4>5</vt:i4>
      </vt:variant>
      <vt:variant>
        <vt:lpwstr/>
      </vt:variant>
      <vt:variant>
        <vt:lpwstr>_Toc86330357</vt:lpwstr>
      </vt:variant>
      <vt:variant>
        <vt:i4>1507390</vt:i4>
      </vt:variant>
      <vt:variant>
        <vt:i4>11</vt:i4>
      </vt:variant>
      <vt:variant>
        <vt:i4>0</vt:i4>
      </vt:variant>
      <vt:variant>
        <vt:i4>5</vt:i4>
      </vt:variant>
      <vt:variant>
        <vt:lpwstr/>
      </vt:variant>
      <vt:variant>
        <vt:lpwstr>_Toc86330356</vt:lpwstr>
      </vt:variant>
      <vt:variant>
        <vt:i4>1310782</vt:i4>
      </vt:variant>
      <vt:variant>
        <vt:i4>5</vt:i4>
      </vt:variant>
      <vt:variant>
        <vt:i4>0</vt:i4>
      </vt:variant>
      <vt:variant>
        <vt:i4>5</vt:i4>
      </vt:variant>
      <vt:variant>
        <vt:lpwstr/>
      </vt:variant>
      <vt:variant>
        <vt:lpwstr>_Toc86330355</vt:lpwstr>
      </vt:variant>
      <vt:variant>
        <vt:i4>5767214</vt:i4>
      </vt:variant>
      <vt:variant>
        <vt:i4>0</vt:i4>
      </vt:variant>
      <vt:variant>
        <vt:i4>0</vt:i4>
      </vt:variant>
      <vt:variant>
        <vt:i4>5</vt:i4>
      </vt:variant>
      <vt:variant>
        <vt:lpwstr>mailto:SUPEN@SUPEN.fi.cr</vt:lpwstr>
      </vt:variant>
      <vt:variant>
        <vt:lpwstr/>
      </vt:variant>
      <vt:variant>
        <vt:i4>5767214</vt:i4>
      </vt:variant>
      <vt:variant>
        <vt:i4>0</vt:i4>
      </vt:variant>
      <vt:variant>
        <vt:i4>0</vt:i4>
      </vt:variant>
      <vt:variant>
        <vt:i4>5</vt:i4>
      </vt:variant>
      <vt:variant>
        <vt:lpwstr>mailto:supen@supen.fi.cr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BARQUERO ADRIAN</dc:creator>
  <cp:keywords/>
  <dc:description/>
  <cp:lastModifiedBy>CORRALES VEGA RUDY</cp:lastModifiedBy>
  <cp:revision>3</cp:revision>
  <dcterms:created xsi:type="dcterms:W3CDTF">2022-02-25T14:14:00Z</dcterms:created>
  <dcterms:modified xsi:type="dcterms:W3CDTF">2022-02-25T14:19:00Z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0x01010016856631F615B3409059BBB0F9B27DCB</vt:lpwstr>
  </property>
</Properties>
</file>