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CCFC9" w14:textId="77777777" w:rsidR="002B6731" w:rsidRPr="00D70332" w:rsidRDefault="002B6731" w:rsidP="00C07436">
      <w:pPr>
        <w:jc w:val="center"/>
        <w:rPr>
          <w:rFonts w:ascii="Segoe UI" w:hAnsi="Segoe UI" w:cs="Segoe UI"/>
        </w:rPr>
      </w:pPr>
      <w:bookmarkStart w:id="0" w:name="_Hlk8031810"/>
      <w:bookmarkEnd w:id="0"/>
      <w:r w:rsidRPr="00D70332">
        <w:rPr>
          <w:rFonts w:ascii="Segoe UI" w:hAnsi="Segoe UI" w:cs="Segoe UI"/>
          <w:noProof/>
          <w:lang w:val="es-CR" w:eastAsia="es-CR"/>
        </w:rPr>
        <mc:AlternateContent>
          <mc:Choice Requires="wps">
            <w:drawing>
              <wp:anchor distT="0" distB="0" distL="457200" distR="118745" simplePos="0" relativeHeight="251658240" behindDoc="0" locked="0" layoutInCell="0" allowOverlap="1" wp14:anchorId="16C507AC" wp14:editId="1FC40F74">
                <wp:simplePos x="0" y="0"/>
                <wp:positionH relativeFrom="margin">
                  <wp:posOffset>1434465</wp:posOffset>
                </wp:positionH>
                <wp:positionV relativeFrom="paragraph">
                  <wp:posOffset>5080</wp:posOffset>
                </wp:positionV>
                <wp:extent cx="4810125" cy="7625080"/>
                <wp:effectExtent l="0" t="0" r="0" b="0"/>
                <wp:wrapSquare wrapText="bothSides"/>
                <wp:docPr id="205"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7625080"/>
                        </a:xfrm>
                        <a:prstGeom prst="rect">
                          <a:avLst/>
                        </a:prstGeom>
                        <a:noFill/>
                        <a:ln w="15875">
                          <a:noFill/>
                        </a:ln>
                      </wps:spPr>
                      <wps:style>
                        <a:lnRef idx="0">
                          <a:scrgbClr r="0" g="0" b="0"/>
                        </a:lnRef>
                        <a:fillRef idx="1003">
                          <a:schemeClr val="lt1"/>
                        </a:fillRef>
                        <a:effectRef idx="0">
                          <a:scrgbClr r="0" g="0" b="0"/>
                        </a:effectRef>
                        <a:fontRef idx="major"/>
                      </wps:style>
                      <wps:txbx>
                        <w:txbxContent>
                          <w:p w14:paraId="45B637DB" w14:textId="77777777" w:rsidR="00C50A6E" w:rsidRPr="00C26828" w:rsidRDefault="00C50A6E" w:rsidP="002B6731">
                            <w:pPr>
                              <w:pBdr>
                                <w:left w:val="single" w:sz="4" w:space="9" w:color="4F81BD" w:themeColor="accent1"/>
                              </w:pBdr>
                              <w:jc w:val="center"/>
                              <w:rPr>
                                <w:rFonts w:asciiTheme="majorHAnsi" w:eastAsiaTheme="majorEastAsia" w:hAnsiTheme="majorHAnsi" w:cstheme="majorBidi"/>
                                <w:sz w:val="40"/>
                                <w:szCs w:val="40"/>
                              </w:rPr>
                            </w:pPr>
                          </w:p>
                          <w:p w14:paraId="7A89B741" w14:textId="77777777" w:rsidR="00C50A6E" w:rsidRPr="00C26828" w:rsidRDefault="00C50A6E" w:rsidP="002B6731">
                            <w:pPr>
                              <w:pBdr>
                                <w:left w:val="single" w:sz="4" w:space="9" w:color="4F81BD" w:themeColor="accent1"/>
                              </w:pBdr>
                              <w:jc w:val="center"/>
                              <w:rPr>
                                <w:rFonts w:asciiTheme="majorHAnsi" w:eastAsiaTheme="majorEastAsia" w:hAnsiTheme="majorHAnsi" w:cstheme="majorBidi"/>
                                <w:sz w:val="40"/>
                                <w:szCs w:val="40"/>
                              </w:rPr>
                            </w:pPr>
                          </w:p>
                          <w:p w14:paraId="10482BA2" w14:textId="77777777" w:rsidR="00C50A6E" w:rsidRPr="00C26828" w:rsidRDefault="00C50A6E" w:rsidP="002B6731">
                            <w:pPr>
                              <w:pBdr>
                                <w:left w:val="single" w:sz="4" w:space="9" w:color="4F81BD" w:themeColor="accent1"/>
                              </w:pBdr>
                              <w:jc w:val="center"/>
                              <w:rPr>
                                <w:rFonts w:asciiTheme="majorHAnsi" w:eastAsiaTheme="majorEastAsia" w:hAnsiTheme="majorHAnsi" w:cstheme="majorBidi"/>
                                <w:sz w:val="40"/>
                                <w:szCs w:val="40"/>
                              </w:rPr>
                            </w:pPr>
                          </w:p>
                          <w:p w14:paraId="584DB86D" w14:textId="77777777" w:rsidR="00C50A6E" w:rsidRPr="00C50A6E" w:rsidRDefault="00C50A6E" w:rsidP="002B6731">
                            <w:pPr>
                              <w:pBdr>
                                <w:left w:val="single" w:sz="4" w:space="9" w:color="4F81BD" w:themeColor="accent1"/>
                              </w:pBdr>
                              <w:jc w:val="center"/>
                              <w:rPr>
                                <w:rFonts w:asciiTheme="majorHAnsi" w:eastAsiaTheme="majorEastAsia" w:hAnsiTheme="majorHAnsi" w:cstheme="majorBidi"/>
                                <w:b/>
                                <w:sz w:val="40"/>
                                <w:szCs w:val="44"/>
                              </w:rPr>
                            </w:pPr>
                            <w:r w:rsidRPr="00C50A6E">
                              <w:rPr>
                                <w:rFonts w:asciiTheme="majorHAnsi" w:eastAsiaTheme="majorEastAsia" w:hAnsiTheme="majorHAnsi" w:cstheme="majorBidi"/>
                                <w:b/>
                                <w:sz w:val="40"/>
                                <w:szCs w:val="44"/>
                              </w:rPr>
                              <w:t>EXTRACTO</w:t>
                            </w:r>
                          </w:p>
                          <w:p w14:paraId="3BBE926F" w14:textId="38A90171" w:rsidR="00C50A6E" w:rsidRPr="00C50A6E" w:rsidRDefault="00C50A6E" w:rsidP="002B6731">
                            <w:pPr>
                              <w:pBdr>
                                <w:left w:val="single" w:sz="4" w:space="9" w:color="4F81BD" w:themeColor="accent1"/>
                              </w:pBdr>
                              <w:jc w:val="center"/>
                              <w:rPr>
                                <w:rFonts w:asciiTheme="majorHAnsi" w:eastAsiaTheme="majorEastAsia" w:hAnsiTheme="majorHAnsi" w:cstheme="majorBidi"/>
                                <w:b/>
                                <w:sz w:val="40"/>
                                <w:szCs w:val="44"/>
                              </w:rPr>
                            </w:pPr>
                            <w:r w:rsidRPr="00C50A6E">
                              <w:rPr>
                                <w:rFonts w:asciiTheme="majorHAnsi" w:eastAsiaTheme="majorEastAsia" w:hAnsiTheme="majorHAnsi" w:cstheme="majorBidi"/>
                                <w:b/>
                                <w:sz w:val="40"/>
                                <w:szCs w:val="44"/>
                              </w:rPr>
                              <w:t xml:space="preserve">INFORME DE COYUNTURA </w:t>
                            </w:r>
                          </w:p>
                          <w:p w14:paraId="19048917" w14:textId="77777777" w:rsidR="00C50A6E" w:rsidRPr="00C50A6E" w:rsidRDefault="00C50A6E" w:rsidP="002B6731">
                            <w:pPr>
                              <w:pBdr>
                                <w:left w:val="single" w:sz="4" w:space="9" w:color="4F81BD" w:themeColor="accent1"/>
                              </w:pBdr>
                              <w:jc w:val="center"/>
                              <w:rPr>
                                <w:rFonts w:asciiTheme="majorHAnsi" w:eastAsiaTheme="majorEastAsia" w:hAnsiTheme="majorHAnsi" w:cstheme="majorBidi"/>
                                <w:sz w:val="36"/>
                                <w:szCs w:val="44"/>
                              </w:rPr>
                            </w:pPr>
                          </w:p>
                          <w:p w14:paraId="5E0BE5E2" w14:textId="77777777" w:rsidR="00C50A6E" w:rsidRPr="00C50A6E" w:rsidRDefault="00C50A6E" w:rsidP="002B6731">
                            <w:pPr>
                              <w:pBdr>
                                <w:left w:val="single" w:sz="4" w:space="9" w:color="4F81BD" w:themeColor="accent1"/>
                              </w:pBdr>
                              <w:rPr>
                                <w:rFonts w:asciiTheme="majorHAnsi" w:eastAsiaTheme="majorEastAsia" w:hAnsiTheme="majorHAnsi" w:cstheme="majorBidi"/>
                                <w:sz w:val="36"/>
                                <w:szCs w:val="44"/>
                              </w:rPr>
                            </w:pPr>
                          </w:p>
                          <w:p w14:paraId="097F0797" w14:textId="77777777" w:rsidR="00C50A6E" w:rsidRPr="00C50A6E" w:rsidRDefault="00C50A6E" w:rsidP="002B6731">
                            <w:pPr>
                              <w:pBdr>
                                <w:left w:val="single" w:sz="4" w:space="9" w:color="4F81BD" w:themeColor="accent1"/>
                              </w:pBdr>
                              <w:jc w:val="center"/>
                              <w:rPr>
                                <w:rFonts w:asciiTheme="majorHAnsi" w:eastAsiaTheme="majorEastAsia" w:hAnsiTheme="majorHAnsi" w:cstheme="majorBidi"/>
                                <w:sz w:val="36"/>
                                <w:szCs w:val="44"/>
                              </w:rPr>
                            </w:pPr>
                            <w:r w:rsidRPr="00C50A6E">
                              <w:rPr>
                                <w:rFonts w:asciiTheme="majorHAnsi" w:eastAsiaTheme="majorEastAsia" w:hAnsiTheme="majorHAnsi" w:cstheme="majorBidi"/>
                                <w:sz w:val="36"/>
                                <w:szCs w:val="44"/>
                              </w:rPr>
                              <w:t xml:space="preserve">Evolución de los sistemas de pensiones </w:t>
                            </w:r>
                          </w:p>
                          <w:p w14:paraId="6952E253" w14:textId="77777777" w:rsidR="00C50A6E" w:rsidRPr="00C50A6E" w:rsidRDefault="00C50A6E" w:rsidP="002B6731">
                            <w:pPr>
                              <w:pBdr>
                                <w:left w:val="single" w:sz="4" w:space="9" w:color="4F81BD" w:themeColor="accent1"/>
                              </w:pBdr>
                              <w:jc w:val="center"/>
                              <w:rPr>
                                <w:rFonts w:asciiTheme="majorHAnsi" w:eastAsiaTheme="majorEastAsia" w:hAnsiTheme="majorHAnsi" w:cstheme="majorBidi"/>
                                <w:sz w:val="36"/>
                                <w:szCs w:val="44"/>
                              </w:rPr>
                            </w:pPr>
                            <w:r w:rsidRPr="00C50A6E">
                              <w:rPr>
                                <w:rFonts w:asciiTheme="majorHAnsi" w:eastAsiaTheme="majorEastAsia" w:hAnsiTheme="majorHAnsi" w:cstheme="majorBidi"/>
                                <w:sz w:val="36"/>
                                <w:szCs w:val="44"/>
                              </w:rPr>
                              <w:t>y situación de los entes supervisados</w:t>
                            </w:r>
                          </w:p>
                          <w:p w14:paraId="2BC18C61" w14:textId="77777777" w:rsidR="00C50A6E" w:rsidRPr="00C50A6E" w:rsidRDefault="00C50A6E" w:rsidP="002B6731">
                            <w:pPr>
                              <w:pBdr>
                                <w:left w:val="single" w:sz="4" w:space="9" w:color="4F81BD" w:themeColor="accent1"/>
                              </w:pBdr>
                              <w:jc w:val="center"/>
                              <w:rPr>
                                <w:rFonts w:asciiTheme="majorHAnsi" w:eastAsiaTheme="majorEastAsia" w:hAnsiTheme="majorHAnsi" w:cstheme="majorBidi"/>
                                <w:sz w:val="36"/>
                                <w:szCs w:val="44"/>
                              </w:rPr>
                            </w:pPr>
                          </w:p>
                          <w:p w14:paraId="3B33333D" w14:textId="795CB807" w:rsidR="00C50A6E" w:rsidRPr="00C50A6E" w:rsidRDefault="00C50A6E" w:rsidP="002B6731">
                            <w:pPr>
                              <w:pBdr>
                                <w:left w:val="single" w:sz="4" w:space="9" w:color="4F81BD" w:themeColor="accent1"/>
                              </w:pBdr>
                              <w:jc w:val="center"/>
                              <w:rPr>
                                <w:rFonts w:asciiTheme="majorHAnsi" w:eastAsiaTheme="majorEastAsia" w:hAnsiTheme="majorHAnsi" w:cstheme="majorBidi"/>
                                <w:sz w:val="36"/>
                                <w:szCs w:val="44"/>
                              </w:rPr>
                            </w:pPr>
                            <w:r w:rsidRPr="00C50A6E">
                              <w:rPr>
                                <w:rFonts w:asciiTheme="majorHAnsi" w:eastAsiaTheme="majorEastAsia" w:hAnsiTheme="majorHAnsi" w:cstheme="majorBidi"/>
                                <w:sz w:val="36"/>
                                <w:szCs w:val="44"/>
                              </w:rPr>
                              <w:t>Tercer Trimestre</w:t>
                            </w:r>
                          </w:p>
                          <w:p w14:paraId="3641885F" w14:textId="77777777" w:rsidR="00C50A6E" w:rsidRPr="00C50A6E" w:rsidRDefault="00C50A6E" w:rsidP="002B6731">
                            <w:pPr>
                              <w:pBdr>
                                <w:left w:val="single" w:sz="4" w:space="9" w:color="4F81BD" w:themeColor="accent1"/>
                              </w:pBdr>
                              <w:jc w:val="center"/>
                              <w:rPr>
                                <w:sz w:val="24"/>
                                <w:szCs w:val="24"/>
                              </w:rPr>
                            </w:pPr>
                            <w:r w:rsidRPr="00C50A6E">
                              <w:rPr>
                                <w:rFonts w:asciiTheme="majorHAnsi" w:eastAsiaTheme="majorEastAsia" w:hAnsiTheme="majorHAnsi" w:cstheme="majorBidi"/>
                                <w:sz w:val="36"/>
                                <w:szCs w:val="44"/>
                              </w:rPr>
                              <w:t>2020</w:t>
                            </w:r>
                          </w:p>
                          <w:p w14:paraId="0B197CDB" w14:textId="77777777" w:rsidR="00C50A6E" w:rsidRPr="00AC2538" w:rsidRDefault="00C50A6E" w:rsidP="002B6731">
                            <w:pPr>
                              <w:pBdr>
                                <w:left w:val="single" w:sz="4" w:space="9" w:color="4F81BD" w:themeColor="accent1"/>
                              </w:pBdr>
                              <w:jc w:val="center"/>
                              <w:rPr>
                                <w:rFonts w:asciiTheme="majorHAnsi" w:eastAsiaTheme="majorEastAsia" w:hAnsiTheme="majorHAnsi" w:cstheme="majorBidi"/>
                                <w:szCs w:val="40"/>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6C507AC" id="Autoforma 14" o:spid="_x0000_s1026" style="position:absolute;left:0;text-align:left;margin-left:112.95pt;margin-top:.4pt;width:378.75pt;height:600.4pt;z-index:251658240;visibility:visible;mso-wrap-style:square;mso-width-percent:0;mso-height-percent:0;mso-wrap-distance-left:36pt;mso-wrap-distance-top:0;mso-wrap-distance-right:9.3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" o:allowincell="f" filled="f" stroked="f" strokeweight="1.25pt">
                <v:textbox inset=",7.2pt,,7.2pt">
                  <w:txbxContent>
                    <w:p w14:paraId="45B637DB" w14:textId="77777777" w:rsidR="00C50A6E" w:rsidRPr="00C26828" w:rsidRDefault="00C50A6E" w:rsidP="002B6731">
                      <w:pPr>
                        <w:pBdr>
                          <w:left w:val="single" w:sz="4" w:space="9" w:color="4F81BD" w:themeColor="accent1"/>
                        </w:pBdr>
                        <w:jc w:val="center"/>
                        <w:rPr>
                          <w:rFonts w:asciiTheme="majorHAnsi" w:eastAsiaTheme="majorEastAsia" w:hAnsiTheme="majorHAnsi" w:cstheme="majorBidi"/>
                          <w:sz w:val="40"/>
                          <w:szCs w:val="40"/>
                        </w:rPr>
                      </w:pPr>
                    </w:p>
                    <w:p w14:paraId="7A89B741" w14:textId="77777777" w:rsidR="00C50A6E" w:rsidRPr="00C26828" w:rsidRDefault="00C50A6E" w:rsidP="002B6731">
                      <w:pPr>
                        <w:pBdr>
                          <w:left w:val="single" w:sz="4" w:space="9" w:color="4F81BD" w:themeColor="accent1"/>
                        </w:pBdr>
                        <w:jc w:val="center"/>
                        <w:rPr>
                          <w:rFonts w:asciiTheme="majorHAnsi" w:eastAsiaTheme="majorEastAsia" w:hAnsiTheme="majorHAnsi" w:cstheme="majorBidi"/>
                          <w:sz w:val="40"/>
                          <w:szCs w:val="40"/>
                        </w:rPr>
                      </w:pPr>
                    </w:p>
                    <w:p w14:paraId="10482BA2" w14:textId="77777777" w:rsidR="00C50A6E" w:rsidRPr="00C26828" w:rsidRDefault="00C50A6E" w:rsidP="002B6731">
                      <w:pPr>
                        <w:pBdr>
                          <w:left w:val="single" w:sz="4" w:space="9" w:color="4F81BD" w:themeColor="accent1"/>
                        </w:pBdr>
                        <w:jc w:val="center"/>
                        <w:rPr>
                          <w:rFonts w:asciiTheme="majorHAnsi" w:eastAsiaTheme="majorEastAsia" w:hAnsiTheme="majorHAnsi" w:cstheme="majorBidi"/>
                          <w:sz w:val="40"/>
                          <w:szCs w:val="40"/>
                        </w:rPr>
                      </w:pPr>
                    </w:p>
                    <w:p w14:paraId="584DB86D" w14:textId="77777777" w:rsidR="00C50A6E" w:rsidRPr="00C50A6E" w:rsidRDefault="00C50A6E" w:rsidP="002B6731">
                      <w:pPr>
                        <w:pBdr>
                          <w:left w:val="single" w:sz="4" w:space="9" w:color="4F81BD" w:themeColor="accent1"/>
                        </w:pBdr>
                        <w:jc w:val="center"/>
                        <w:rPr>
                          <w:rFonts w:asciiTheme="majorHAnsi" w:eastAsiaTheme="majorEastAsia" w:hAnsiTheme="majorHAnsi" w:cstheme="majorBidi"/>
                          <w:b/>
                          <w:sz w:val="40"/>
                          <w:szCs w:val="44"/>
                        </w:rPr>
                      </w:pPr>
                      <w:r w:rsidRPr="00C50A6E">
                        <w:rPr>
                          <w:rFonts w:asciiTheme="majorHAnsi" w:eastAsiaTheme="majorEastAsia" w:hAnsiTheme="majorHAnsi" w:cstheme="majorBidi"/>
                          <w:b/>
                          <w:sz w:val="40"/>
                          <w:szCs w:val="44"/>
                        </w:rPr>
                        <w:t>EXTRACTO</w:t>
                      </w:r>
                    </w:p>
                    <w:p w14:paraId="3BBE926F" w14:textId="38A90171" w:rsidR="00C50A6E" w:rsidRPr="00C50A6E" w:rsidRDefault="00C50A6E" w:rsidP="002B6731">
                      <w:pPr>
                        <w:pBdr>
                          <w:left w:val="single" w:sz="4" w:space="9" w:color="4F81BD" w:themeColor="accent1"/>
                        </w:pBdr>
                        <w:jc w:val="center"/>
                        <w:rPr>
                          <w:rFonts w:asciiTheme="majorHAnsi" w:eastAsiaTheme="majorEastAsia" w:hAnsiTheme="majorHAnsi" w:cstheme="majorBidi"/>
                          <w:b/>
                          <w:sz w:val="40"/>
                          <w:szCs w:val="44"/>
                        </w:rPr>
                      </w:pPr>
                      <w:r w:rsidRPr="00C50A6E">
                        <w:rPr>
                          <w:rFonts w:asciiTheme="majorHAnsi" w:eastAsiaTheme="majorEastAsia" w:hAnsiTheme="majorHAnsi" w:cstheme="majorBidi"/>
                          <w:b/>
                          <w:sz w:val="40"/>
                          <w:szCs w:val="44"/>
                        </w:rPr>
                        <w:t xml:space="preserve">INFORME DE COYUNTURA </w:t>
                      </w:r>
                    </w:p>
                    <w:p w14:paraId="19048917" w14:textId="77777777" w:rsidR="00C50A6E" w:rsidRPr="00C50A6E" w:rsidRDefault="00C50A6E" w:rsidP="002B6731">
                      <w:pPr>
                        <w:pBdr>
                          <w:left w:val="single" w:sz="4" w:space="9" w:color="4F81BD" w:themeColor="accent1"/>
                        </w:pBdr>
                        <w:jc w:val="center"/>
                        <w:rPr>
                          <w:rFonts w:asciiTheme="majorHAnsi" w:eastAsiaTheme="majorEastAsia" w:hAnsiTheme="majorHAnsi" w:cstheme="majorBidi"/>
                          <w:sz w:val="36"/>
                          <w:szCs w:val="44"/>
                        </w:rPr>
                      </w:pPr>
                    </w:p>
                    <w:p w14:paraId="5E0BE5E2" w14:textId="77777777" w:rsidR="00C50A6E" w:rsidRPr="00C50A6E" w:rsidRDefault="00C50A6E" w:rsidP="002B6731">
                      <w:pPr>
                        <w:pBdr>
                          <w:left w:val="single" w:sz="4" w:space="9" w:color="4F81BD" w:themeColor="accent1"/>
                        </w:pBdr>
                        <w:rPr>
                          <w:rFonts w:asciiTheme="majorHAnsi" w:eastAsiaTheme="majorEastAsia" w:hAnsiTheme="majorHAnsi" w:cstheme="majorBidi"/>
                          <w:sz w:val="36"/>
                          <w:szCs w:val="44"/>
                        </w:rPr>
                      </w:pPr>
                    </w:p>
                    <w:p w14:paraId="097F0797" w14:textId="77777777" w:rsidR="00C50A6E" w:rsidRPr="00C50A6E" w:rsidRDefault="00C50A6E" w:rsidP="002B6731">
                      <w:pPr>
                        <w:pBdr>
                          <w:left w:val="single" w:sz="4" w:space="9" w:color="4F81BD" w:themeColor="accent1"/>
                        </w:pBdr>
                        <w:jc w:val="center"/>
                        <w:rPr>
                          <w:rFonts w:asciiTheme="majorHAnsi" w:eastAsiaTheme="majorEastAsia" w:hAnsiTheme="majorHAnsi" w:cstheme="majorBidi"/>
                          <w:sz w:val="36"/>
                          <w:szCs w:val="44"/>
                        </w:rPr>
                      </w:pPr>
                      <w:r w:rsidRPr="00C50A6E">
                        <w:rPr>
                          <w:rFonts w:asciiTheme="majorHAnsi" w:eastAsiaTheme="majorEastAsia" w:hAnsiTheme="majorHAnsi" w:cstheme="majorBidi"/>
                          <w:sz w:val="36"/>
                          <w:szCs w:val="44"/>
                        </w:rPr>
                        <w:t xml:space="preserve">Evolución de los sistemas de pensiones </w:t>
                      </w:r>
                    </w:p>
                    <w:p w14:paraId="6952E253" w14:textId="77777777" w:rsidR="00C50A6E" w:rsidRPr="00C50A6E" w:rsidRDefault="00C50A6E" w:rsidP="002B6731">
                      <w:pPr>
                        <w:pBdr>
                          <w:left w:val="single" w:sz="4" w:space="9" w:color="4F81BD" w:themeColor="accent1"/>
                        </w:pBdr>
                        <w:jc w:val="center"/>
                        <w:rPr>
                          <w:rFonts w:asciiTheme="majorHAnsi" w:eastAsiaTheme="majorEastAsia" w:hAnsiTheme="majorHAnsi" w:cstheme="majorBidi"/>
                          <w:sz w:val="36"/>
                          <w:szCs w:val="44"/>
                        </w:rPr>
                      </w:pPr>
                      <w:r w:rsidRPr="00C50A6E">
                        <w:rPr>
                          <w:rFonts w:asciiTheme="majorHAnsi" w:eastAsiaTheme="majorEastAsia" w:hAnsiTheme="majorHAnsi" w:cstheme="majorBidi"/>
                          <w:sz w:val="36"/>
                          <w:szCs w:val="44"/>
                        </w:rPr>
                        <w:t>y situación de los entes supervisados</w:t>
                      </w:r>
                    </w:p>
                    <w:p w14:paraId="2BC18C61" w14:textId="77777777" w:rsidR="00C50A6E" w:rsidRPr="00C50A6E" w:rsidRDefault="00C50A6E" w:rsidP="002B6731">
                      <w:pPr>
                        <w:pBdr>
                          <w:left w:val="single" w:sz="4" w:space="9" w:color="4F81BD" w:themeColor="accent1"/>
                        </w:pBdr>
                        <w:jc w:val="center"/>
                        <w:rPr>
                          <w:rFonts w:asciiTheme="majorHAnsi" w:eastAsiaTheme="majorEastAsia" w:hAnsiTheme="majorHAnsi" w:cstheme="majorBidi"/>
                          <w:sz w:val="36"/>
                          <w:szCs w:val="44"/>
                        </w:rPr>
                      </w:pPr>
                    </w:p>
                    <w:p w14:paraId="3B33333D" w14:textId="795CB807" w:rsidR="00C50A6E" w:rsidRPr="00C50A6E" w:rsidRDefault="00C50A6E" w:rsidP="002B6731">
                      <w:pPr>
                        <w:pBdr>
                          <w:left w:val="single" w:sz="4" w:space="9" w:color="4F81BD" w:themeColor="accent1"/>
                        </w:pBdr>
                        <w:jc w:val="center"/>
                        <w:rPr>
                          <w:rFonts w:asciiTheme="majorHAnsi" w:eastAsiaTheme="majorEastAsia" w:hAnsiTheme="majorHAnsi" w:cstheme="majorBidi"/>
                          <w:sz w:val="36"/>
                          <w:szCs w:val="44"/>
                        </w:rPr>
                      </w:pPr>
                      <w:r w:rsidRPr="00C50A6E">
                        <w:rPr>
                          <w:rFonts w:asciiTheme="majorHAnsi" w:eastAsiaTheme="majorEastAsia" w:hAnsiTheme="majorHAnsi" w:cstheme="majorBidi"/>
                          <w:sz w:val="36"/>
                          <w:szCs w:val="44"/>
                        </w:rPr>
                        <w:t>Tercer Trimestre</w:t>
                      </w:r>
                    </w:p>
                    <w:p w14:paraId="3641885F" w14:textId="77777777" w:rsidR="00C50A6E" w:rsidRPr="00C50A6E" w:rsidRDefault="00C50A6E" w:rsidP="002B6731">
                      <w:pPr>
                        <w:pBdr>
                          <w:left w:val="single" w:sz="4" w:space="9" w:color="4F81BD" w:themeColor="accent1"/>
                        </w:pBdr>
                        <w:jc w:val="center"/>
                        <w:rPr>
                          <w:sz w:val="24"/>
                          <w:szCs w:val="24"/>
                        </w:rPr>
                      </w:pPr>
                      <w:r w:rsidRPr="00C50A6E">
                        <w:rPr>
                          <w:rFonts w:asciiTheme="majorHAnsi" w:eastAsiaTheme="majorEastAsia" w:hAnsiTheme="majorHAnsi" w:cstheme="majorBidi"/>
                          <w:sz w:val="36"/>
                          <w:szCs w:val="44"/>
                        </w:rPr>
                        <w:t>2020</w:t>
                      </w:r>
                    </w:p>
                    <w:p w14:paraId="0B197CDB" w14:textId="77777777" w:rsidR="00C50A6E" w:rsidRPr="00AC2538" w:rsidRDefault="00C50A6E" w:rsidP="002B6731">
                      <w:pPr>
                        <w:pBdr>
                          <w:left w:val="single" w:sz="4" w:space="9" w:color="4F81BD" w:themeColor="accent1"/>
                        </w:pBdr>
                        <w:jc w:val="center"/>
                        <w:rPr>
                          <w:rFonts w:asciiTheme="majorHAnsi" w:eastAsiaTheme="majorEastAsia" w:hAnsiTheme="majorHAnsi" w:cstheme="majorBidi"/>
                          <w:szCs w:val="40"/>
                        </w:rPr>
                      </w:pPr>
                    </w:p>
                  </w:txbxContent>
                </v:textbox>
                <w10:wrap type="square" anchorx="margin"/>
              </v:rect>
            </w:pict>
          </mc:Fallback>
        </mc:AlternateContent>
      </w:r>
    </w:p>
    <w:p w14:paraId="6BD796F4" w14:textId="77777777" w:rsidR="002B6731" w:rsidRPr="00D70332" w:rsidRDefault="002B6731" w:rsidP="002B6731">
      <w:pPr>
        <w:rPr>
          <w:rFonts w:ascii="Segoe UI" w:hAnsi="Segoe UI" w:cs="Segoe UI"/>
        </w:rPr>
      </w:pPr>
    </w:p>
    <w:p w14:paraId="48C6EDB9" w14:textId="77777777" w:rsidR="002B6731" w:rsidRPr="00D70332" w:rsidRDefault="002B6731" w:rsidP="002B6731">
      <w:pPr>
        <w:rPr>
          <w:rFonts w:ascii="Segoe UI" w:hAnsi="Segoe UI" w:cs="Segoe UI"/>
        </w:rPr>
      </w:pPr>
    </w:p>
    <w:p w14:paraId="129ABF61" w14:textId="77777777" w:rsidR="002B6731" w:rsidRPr="00D70332" w:rsidRDefault="002B6731" w:rsidP="002B6731">
      <w:pPr>
        <w:rPr>
          <w:rFonts w:ascii="Segoe UI" w:hAnsi="Segoe UI" w:cs="Segoe UI"/>
        </w:rPr>
      </w:pPr>
    </w:p>
    <w:p w14:paraId="55ACB8AA" w14:textId="77777777" w:rsidR="002B6731" w:rsidRPr="00D70332" w:rsidRDefault="002B6731" w:rsidP="002B6731">
      <w:pPr>
        <w:rPr>
          <w:rFonts w:ascii="Segoe UI" w:hAnsi="Segoe UI" w:cs="Segoe UI"/>
        </w:rPr>
      </w:pPr>
    </w:p>
    <w:p w14:paraId="5E353616" w14:textId="77777777" w:rsidR="002B6731" w:rsidRPr="00D70332" w:rsidRDefault="002B6731" w:rsidP="002B6731">
      <w:pPr>
        <w:rPr>
          <w:rFonts w:ascii="Segoe UI" w:hAnsi="Segoe UI" w:cs="Segoe UI"/>
        </w:rPr>
      </w:pPr>
      <w:r w:rsidRPr="00D70332">
        <w:rPr>
          <w:rFonts w:ascii="Segoe UI" w:hAnsi="Segoe UI" w:cs="Segoe UI"/>
          <w:noProof/>
          <w:lang w:eastAsia="es-ES"/>
        </w:rPr>
        <w:drawing>
          <wp:anchor distT="0" distB="0" distL="114300" distR="114300" simplePos="0" relativeHeight="251658241" behindDoc="1" locked="0" layoutInCell="1" allowOverlap="1" wp14:anchorId="3F9190EF" wp14:editId="4E71F8B7">
            <wp:simplePos x="0" y="0"/>
            <wp:positionH relativeFrom="page">
              <wp:posOffset>161925</wp:posOffset>
            </wp:positionH>
            <wp:positionV relativeFrom="page">
              <wp:posOffset>2381250</wp:posOffset>
            </wp:positionV>
            <wp:extent cx="2244090" cy="1038225"/>
            <wp:effectExtent l="0" t="0" r="3810" b="9525"/>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4090" cy="1038225"/>
                    </a:xfrm>
                    <a:prstGeom prst="rect">
                      <a:avLst/>
                    </a:prstGeom>
                    <a:noFill/>
                  </pic:spPr>
                </pic:pic>
              </a:graphicData>
            </a:graphic>
            <wp14:sizeRelH relativeFrom="margin">
              <wp14:pctWidth>0</wp14:pctWidth>
            </wp14:sizeRelH>
            <wp14:sizeRelV relativeFrom="margin">
              <wp14:pctHeight>0</wp14:pctHeight>
            </wp14:sizeRelV>
          </wp:anchor>
        </w:drawing>
      </w:r>
    </w:p>
    <w:p w14:paraId="3A68CC26" w14:textId="77777777" w:rsidR="002B6731" w:rsidRPr="00D70332" w:rsidRDefault="002B6731" w:rsidP="002B6731">
      <w:pPr>
        <w:rPr>
          <w:rFonts w:ascii="Segoe UI" w:hAnsi="Segoe UI" w:cs="Segoe UI"/>
        </w:rPr>
      </w:pPr>
    </w:p>
    <w:p w14:paraId="263F34D7" w14:textId="77777777" w:rsidR="002B6731" w:rsidRPr="00D70332" w:rsidRDefault="002B6731" w:rsidP="002B6731">
      <w:pPr>
        <w:rPr>
          <w:rFonts w:ascii="Segoe UI" w:hAnsi="Segoe UI" w:cs="Segoe UI"/>
        </w:rPr>
        <w:sectPr w:rsidR="002B6731" w:rsidRPr="00D70332" w:rsidSect="004722B6">
          <w:headerReference w:type="default" r:id="rId12"/>
          <w:footerReference w:type="default" r:id="rId13"/>
          <w:pgSz w:w="12240" w:h="15840"/>
          <w:pgMar w:top="1417" w:right="1701" w:bottom="1417" w:left="1701" w:header="708" w:footer="708" w:gutter="0"/>
          <w:cols w:space="708"/>
          <w:titlePg/>
          <w:docGrid w:linePitch="360"/>
        </w:sectPr>
      </w:pPr>
    </w:p>
    <w:p w14:paraId="61DADDE4" w14:textId="1C501B05" w:rsidR="002B6731" w:rsidRDefault="002B6731" w:rsidP="002B6731">
      <w:pPr>
        <w:jc w:val="center"/>
        <w:rPr>
          <w:rFonts w:ascii="Segoe UI" w:hAnsi="Segoe UI" w:cs="Segoe UI"/>
        </w:rPr>
      </w:pPr>
    </w:p>
    <w:p w14:paraId="48296270" w14:textId="77777777" w:rsidR="00A8066D" w:rsidRPr="00D70332" w:rsidRDefault="00A8066D" w:rsidP="002B6731">
      <w:pPr>
        <w:jc w:val="center"/>
        <w:rPr>
          <w:rFonts w:ascii="Segoe UI" w:hAnsi="Segoe UI" w:cs="Segoe UI"/>
        </w:rPr>
      </w:pPr>
    </w:p>
    <w:p w14:paraId="39E6095F" w14:textId="77777777" w:rsidR="00822F0B" w:rsidRDefault="002B6731" w:rsidP="00C50A6E">
      <w:pPr>
        <w:pStyle w:val="paragraph"/>
        <w:spacing w:line="360" w:lineRule="auto"/>
        <w:jc w:val="both"/>
        <w:textAlignment w:val="baseline"/>
        <w:rPr>
          <w:rStyle w:val="eop"/>
          <w:rFonts w:asciiTheme="minorHAnsi" w:hAnsiTheme="minorHAnsi" w:cs="Segoe UI"/>
          <w:lang w:val="es-ES"/>
        </w:rPr>
      </w:pPr>
      <w:r w:rsidRPr="00C50A6E">
        <w:rPr>
          <w:rStyle w:val="normaltextrun1"/>
          <w:rFonts w:asciiTheme="minorHAnsi" w:hAnsiTheme="minorHAnsi" w:cs="Segoe UI"/>
        </w:rPr>
        <w:t xml:space="preserve">La información contenida en este documento es propiedad intelectual de la Superintendencia de Pensiones (SUPEN) y de uso reservado para el Consejo Nacional de Supervisión del Sistema Financiero (CONASSIF). Dicha información podría ser de carácter confidencial o tener derechos reservados y privilegios legales asociados. La SUPEN no se hace legalmente responsable de la transmisión incorrecta de la información aquí contenida. La confección del documento estuvo a cargo de la División de Planificación y Normativa de la SUPEN. Cualquier duda a consulta sobre este documento favor canalizarla a la dirección de correo: </w:t>
      </w:r>
      <w:hyperlink r:id="rId14" w:tgtFrame="_blank" w:history="1">
        <w:r w:rsidRPr="00C50A6E">
          <w:rPr>
            <w:rStyle w:val="normaltextrun1"/>
            <w:rFonts w:asciiTheme="minorHAnsi" w:hAnsiTheme="minorHAnsi" w:cs="Segoe UI"/>
            <w:color w:val="548DD4"/>
            <w:u w:val="single"/>
          </w:rPr>
          <w:t>Supen@Supen.fi.cr</w:t>
        </w:r>
      </w:hyperlink>
      <w:r w:rsidRPr="00C50A6E">
        <w:rPr>
          <w:rStyle w:val="eop"/>
          <w:rFonts w:asciiTheme="minorHAnsi" w:hAnsiTheme="minorHAnsi" w:cs="Segoe UI"/>
          <w:lang w:val="es-ES"/>
        </w:rPr>
        <w:t> </w:t>
      </w:r>
    </w:p>
    <w:p w14:paraId="769A89DA" w14:textId="77777777" w:rsidR="00822F0B" w:rsidRDefault="00822F0B" w:rsidP="00C50A6E">
      <w:pPr>
        <w:pStyle w:val="paragraph"/>
        <w:spacing w:line="360" w:lineRule="auto"/>
        <w:jc w:val="both"/>
        <w:textAlignment w:val="baseline"/>
        <w:rPr>
          <w:rStyle w:val="eop"/>
          <w:rFonts w:asciiTheme="minorHAnsi" w:hAnsiTheme="minorHAnsi" w:cs="Segoe UI"/>
          <w:lang w:val="es-ES"/>
        </w:rPr>
      </w:pPr>
    </w:p>
    <w:p w14:paraId="247F601A" w14:textId="49024193" w:rsidR="005F5DAD" w:rsidRPr="00C50A6E" w:rsidRDefault="005F5DAD" w:rsidP="00C50A6E">
      <w:pPr>
        <w:pStyle w:val="paragraph"/>
        <w:spacing w:line="360" w:lineRule="auto"/>
        <w:jc w:val="both"/>
        <w:textAlignment w:val="baseline"/>
        <w:rPr>
          <w:rStyle w:val="eop"/>
          <w:rFonts w:asciiTheme="minorHAnsi" w:hAnsiTheme="minorHAnsi" w:cs="Segoe UI"/>
          <w:lang w:val="es-ES"/>
        </w:rPr>
      </w:pPr>
      <w:r w:rsidRPr="00C50A6E">
        <w:rPr>
          <w:rStyle w:val="eop"/>
          <w:rFonts w:asciiTheme="minorHAnsi" w:hAnsiTheme="minorHAnsi" w:cs="Segoe UI"/>
          <w:lang w:val="es-ES"/>
        </w:rPr>
        <w:br w:type="page"/>
      </w:r>
    </w:p>
    <w:sdt>
      <w:sdtPr>
        <w:rPr>
          <w:rFonts w:asciiTheme="minorHAnsi" w:eastAsiaTheme="minorHAnsi" w:hAnsiTheme="minorHAnsi" w:cstheme="minorBidi"/>
          <w:color w:val="auto"/>
          <w:sz w:val="22"/>
          <w:szCs w:val="22"/>
          <w:lang w:val="es-ES" w:eastAsia="en-US"/>
        </w:rPr>
        <w:id w:val="1721554443"/>
        <w:docPartObj>
          <w:docPartGallery w:val="Table of Contents"/>
          <w:docPartUnique/>
        </w:docPartObj>
      </w:sdtPr>
      <w:sdtEndPr>
        <w:rPr>
          <w:b/>
          <w:bCs/>
        </w:rPr>
      </w:sdtEndPr>
      <w:sdtContent>
        <w:p w14:paraId="45968AFB" w14:textId="77777777" w:rsidR="00F27883" w:rsidRDefault="00F27883">
          <w:pPr>
            <w:pStyle w:val="TtuloTDC"/>
          </w:pPr>
          <w:r>
            <w:rPr>
              <w:lang w:val="es-ES"/>
            </w:rPr>
            <w:t>Contenido</w:t>
          </w:r>
        </w:p>
        <w:p w14:paraId="09B70D6D" w14:textId="729A2EB8" w:rsidR="00B664C2" w:rsidRDefault="00F27883">
          <w:pPr>
            <w:pStyle w:val="TDC1"/>
            <w:tabs>
              <w:tab w:val="left" w:pos="440"/>
              <w:tab w:val="right" w:leader="dot" w:pos="13278"/>
            </w:tabs>
            <w:rPr>
              <w:rFonts w:cstheme="minorBidi"/>
              <w:noProof/>
            </w:rPr>
          </w:pPr>
          <w:r>
            <w:fldChar w:fldCharType="begin"/>
          </w:r>
          <w:r>
            <w:instrText xml:space="preserve"> TOC \o "1-3" \h \z \u </w:instrText>
          </w:r>
          <w:r>
            <w:fldChar w:fldCharType="separate"/>
          </w:r>
          <w:hyperlink w:anchor="_Toc64039554" w:history="1">
            <w:r w:rsidR="00B664C2" w:rsidRPr="00882B0C">
              <w:rPr>
                <w:rStyle w:val="Hipervnculo"/>
                <w:noProof/>
              </w:rPr>
              <w:t>1.</w:t>
            </w:r>
            <w:r w:rsidR="00B664C2">
              <w:rPr>
                <w:rFonts w:cstheme="minorBidi"/>
                <w:noProof/>
              </w:rPr>
              <w:tab/>
            </w:r>
            <w:r w:rsidR="00B664C2" w:rsidRPr="00882B0C">
              <w:rPr>
                <w:rStyle w:val="Hipervnculo"/>
                <w:noProof/>
              </w:rPr>
              <w:t>Definiciones</w:t>
            </w:r>
            <w:r w:rsidR="00B664C2">
              <w:rPr>
                <w:noProof/>
                <w:webHidden/>
              </w:rPr>
              <w:tab/>
            </w:r>
            <w:r w:rsidR="00B664C2">
              <w:rPr>
                <w:noProof/>
                <w:webHidden/>
              </w:rPr>
              <w:fldChar w:fldCharType="begin"/>
            </w:r>
            <w:r w:rsidR="00B664C2">
              <w:rPr>
                <w:noProof/>
                <w:webHidden/>
              </w:rPr>
              <w:instrText xml:space="preserve"> PAGEREF _Toc64039554 \h </w:instrText>
            </w:r>
            <w:r w:rsidR="00B664C2">
              <w:rPr>
                <w:noProof/>
                <w:webHidden/>
              </w:rPr>
            </w:r>
            <w:r w:rsidR="00B664C2">
              <w:rPr>
                <w:noProof/>
                <w:webHidden/>
              </w:rPr>
              <w:fldChar w:fldCharType="separate"/>
            </w:r>
            <w:r w:rsidR="00B664C2">
              <w:rPr>
                <w:noProof/>
                <w:webHidden/>
              </w:rPr>
              <w:t>4</w:t>
            </w:r>
            <w:r w:rsidR="00B664C2">
              <w:rPr>
                <w:noProof/>
                <w:webHidden/>
              </w:rPr>
              <w:fldChar w:fldCharType="end"/>
            </w:r>
          </w:hyperlink>
        </w:p>
        <w:p w14:paraId="4E8AC824" w14:textId="21DAE4D8" w:rsidR="00B664C2" w:rsidRDefault="00B664C2">
          <w:pPr>
            <w:pStyle w:val="TDC1"/>
            <w:tabs>
              <w:tab w:val="left" w:pos="440"/>
              <w:tab w:val="right" w:leader="dot" w:pos="13278"/>
            </w:tabs>
            <w:rPr>
              <w:rFonts w:cstheme="minorBidi"/>
              <w:noProof/>
            </w:rPr>
          </w:pPr>
          <w:hyperlink w:anchor="_Toc64039555" w:history="1">
            <w:r w:rsidRPr="00882B0C">
              <w:rPr>
                <w:rStyle w:val="Hipervnculo"/>
                <w:noProof/>
              </w:rPr>
              <w:t>2.</w:t>
            </w:r>
            <w:r>
              <w:rPr>
                <w:rFonts w:cstheme="minorBidi"/>
                <w:noProof/>
              </w:rPr>
              <w:tab/>
            </w:r>
            <w:r w:rsidRPr="00882B0C">
              <w:rPr>
                <w:rStyle w:val="Hipervnculo"/>
                <w:noProof/>
              </w:rPr>
              <w:t>Resumen ejecutivo</w:t>
            </w:r>
            <w:r>
              <w:rPr>
                <w:noProof/>
                <w:webHidden/>
              </w:rPr>
              <w:tab/>
            </w:r>
            <w:r>
              <w:rPr>
                <w:noProof/>
                <w:webHidden/>
              </w:rPr>
              <w:fldChar w:fldCharType="begin"/>
            </w:r>
            <w:r>
              <w:rPr>
                <w:noProof/>
                <w:webHidden/>
              </w:rPr>
              <w:instrText xml:space="preserve"> PAGEREF _Toc64039555 \h </w:instrText>
            </w:r>
            <w:r>
              <w:rPr>
                <w:noProof/>
                <w:webHidden/>
              </w:rPr>
            </w:r>
            <w:r>
              <w:rPr>
                <w:noProof/>
                <w:webHidden/>
              </w:rPr>
              <w:fldChar w:fldCharType="separate"/>
            </w:r>
            <w:r>
              <w:rPr>
                <w:noProof/>
                <w:webHidden/>
              </w:rPr>
              <w:t>5</w:t>
            </w:r>
            <w:r>
              <w:rPr>
                <w:noProof/>
                <w:webHidden/>
              </w:rPr>
              <w:fldChar w:fldCharType="end"/>
            </w:r>
          </w:hyperlink>
        </w:p>
        <w:p w14:paraId="3D2CFA19" w14:textId="356CB9CB" w:rsidR="00B664C2" w:rsidRDefault="00B664C2">
          <w:pPr>
            <w:pStyle w:val="TDC1"/>
            <w:tabs>
              <w:tab w:val="left" w:pos="440"/>
              <w:tab w:val="right" w:leader="dot" w:pos="13278"/>
            </w:tabs>
            <w:rPr>
              <w:rFonts w:cstheme="minorBidi"/>
              <w:noProof/>
            </w:rPr>
          </w:pPr>
          <w:hyperlink w:anchor="_Toc64039556" w:history="1">
            <w:r w:rsidRPr="00882B0C">
              <w:rPr>
                <w:rStyle w:val="Hipervnculo"/>
                <w:noProof/>
              </w:rPr>
              <w:t>3.</w:t>
            </w:r>
            <w:r>
              <w:rPr>
                <w:rFonts w:cstheme="minorBidi"/>
                <w:noProof/>
              </w:rPr>
              <w:tab/>
            </w:r>
            <w:r w:rsidRPr="00882B0C">
              <w:rPr>
                <w:rStyle w:val="Hipervnculo"/>
                <w:noProof/>
              </w:rPr>
              <w:t>Introducción</w:t>
            </w:r>
            <w:r>
              <w:rPr>
                <w:noProof/>
                <w:webHidden/>
              </w:rPr>
              <w:tab/>
            </w:r>
            <w:r>
              <w:rPr>
                <w:noProof/>
                <w:webHidden/>
              </w:rPr>
              <w:fldChar w:fldCharType="begin"/>
            </w:r>
            <w:r>
              <w:rPr>
                <w:noProof/>
                <w:webHidden/>
              </w:rPr>
              <w:instrText xml:space="preserve"> PAGEREF _Toc64039556 \h </w:instrText>
            </w:r>
            <w:r>
              <w:rPr>
                <w:noProof/>
                <w:webHidden/>
              </w:rPr>
            </w:r>
            <w:r>
              <w:rPr>
                <w:noProof/>
                <w:webHidden/>
              </w:rPr>
              <w:fldChar w:fldCharType="separate"/>
            </w:r>
            <w:r>
              <w:rPr>
                <w:noProof/>
                <w:webHidden/>
              </w:rPr>
              <w:t>6</w:t>
            </w:r>
            <w:r>
              <w:rPr>
                <w:noProof/>
                <w:webHidden/>
              </w:rPr>
              <w:fldChar w:fldCharType="end"/>
            </w:r>
          </w:hyperlink>
        </w:p>
        <w:p w14:paraId="018375F1" w14:textId="3748F67D" w:rsidR="00B664C2" w:rsidRDefault="00B664C2">
          <w:pPr>
            <w:pStyle w:val="TDC1"/>
            <w:tabs>
              <w:tab w:val="left" w:pos="440"/>
              <w:tab w:val="right" w:leader="dot" w:pos="13278"/>
            </w:tabs>
            <w:rPr>
              <w:rFonts w:cstheme="minorBidi"/>
              <w:noProof/>
            </w:rPr>
          </w:pPr>
          <w:hyperlink w:anchor="_Toc64039557" w:history="1">
            <w:r w:rsidRPr="00882B0C">
              <w:rPr>
                <w:rStyle w:val="Hipervnculo"/>
                <w:noProof/>
              </w:rPr>
              <w:t>4.</w:t>
            </w:r>
            <w:r>
              <w:rPr>
                <w:rFonts w:cstheme="minorBidi"/>
                <w:noProof/>
              </w:rPr>
              <w:tab/>
            </w:r>
            <w:r w:rsidRPr="00882B0C">
              <w:rPr>
                <w:rStyle w:val="Hipervnculo"/>
                <w:noProof/>
              </w:rPr>
              <w:t>Efectos del Covid-19 en los Fondos de pensión</w:t>
            </w:r>
            <w:r>
              <w:rPr>
                <w:noProof/>
                <w:webHidden/>
              </w:rPr>
              <w:tab/>
            </w:r>
            <w:r>
              <w:rPr>
                <w:noProof/>
                <w:webHidden/>
              </w:rPr>
              <w:fldChar w:fldCharType="begin"/>
            </w:r>
            <w:r>
              <w:rPr>
                <w:noProof/>
                <w:webHidden/>
              </w:rPr>
              <w:instrText xml:space="preserve"> PAGEREF _Toc64039557 \h </w:instrText>
            </w:r>
            <w:r>
              <w:rPr>
                <w:noProof/>
                <w:webHidden/>
              </w:rPr>
            </w:r>
            <w:r>
              <w:rPr>
                <w:noProof/>
                <w:webHidden/>
              </w:rPr>
              <w:fldChar w:fldCharType="separate"/>
            </w:r>
            <w:r>
              <w:rPr>
                <w:noProof/>
                <w:webHidden/>
              </w:rPr>
              <w:t>7</w:t>
            </w:r>
            <w:r>
              <w:rPr>
                <w:noProof/>
                <w:webHidden/>
              </w:rPr>
              <w:fldChar w:fldCharType="end"/>
            </w:r>
          </w:hyperlink>
        </w:p>
        <w:p w14:paraId="2B503E66" w14:textId="63826C67" w:rsidR="00B664C2" w:rsidRDefault="00B664C2">
          <w:pPr>
            <w:pStyle w:val="TDC2"/>
            <w:tabs>
              <w:tab w:val="left" w:pos="880"/>
              <w:tab w:val="right" w:leader="dot" w:pos="13278"/>
            </w:tabs>
            <w:rPr>
              <w:rFonts w:cstheme="minorBidi"/>
              <w:noProof/>
            </w:rPr>
          </w:pPr>
          <w:hyperlink w:anchor="_Toc64039558" w:history="1">
            <w:r w:rsidRPr="00882B0C">
              <w:rPr>
                <w:rStyle w:val="Hipervnculo"/>
                <w:noProof/>
              </w:rPr>
              <w:t>4.1.</w:t>
            </w:r>
            <w:r>
              <w:rPr>
                <w:rFonts w:cstheme="minorBidi"/>
                <w:noProof/>
              </w:rPr>
              <w:tab/>
            </w:r>
            <w:r w:rsidRPr="00882B0C">
              <w:rPr>
                <w:rStyle w:val="Hipervnculo"/>
                <w:noProof/>
              </w:rPr>
              <w:t>Efectos en Regímenes de Capitalización Individual</w:t>
            </w:r>
            <w:r>
              <w:rPr>
                <w:noProof/>
                <w:webHidden/>
              </w:rPr>
              <w:tab/>
            </w:r>
            <w:r>
              <w:rPr>
                <w:noProof/>
                <w:webHidden/>
              </w:rPr>
              <w:fldChar w:fldCharType="begin"/>
            </w:r>
            <w:r>
              <w:rPr>
                <w:noProof/>
                <w:webHidden/>
              </w:rPr>
              <w:instrText xml:space="preserve"> PAGEREF _Toc64039558 \h </w:instrText>
            </w:r>
            <w:r>
              <w:rPr>
                <w:noProof/>
                <w:webHidden/>
              </w:rPr>
            </w:r>
            <w:r>
              <w:rPr>
                <w:noProof/>
                <w:webHidden/>
              </w:rPr>
              <w:fldChar w:fldCharType="separate"/>
            </w:r>
            <w:r>
              <w:rPr>
                <w:noProof/>
                <w:webHidden/>
              </w:rPr>
              <w:t>7</w:t>
            </w:r>
            <w:r>
              <w:rPr>
                <w:noProof/>
                <w:webHidden/>
              </w:rPr>
              <w:fldChar w:fldCharType="end"/>
            </w:r>
          </w:hyperlink>
        </w:p>
        <w:p w14:paraId="40768A1A" w14:textId="45C0FD92" w:rsidR="00B664C2" w:rsidRDefault="00B664C2">
          <w:pPr>
            <w:pStyle w:val="TDC3"/>
            <w:tabs>
              <w:tab w:val="left" w:pos="1320"/>
              <w:tab w:val="right" w:leader="dot" w:pos="13278"/>
            </w:tabs>
            <w:rPr>
              <w:rFonts w:cstheme="minorBidi"/>
              <w:noProof/>
            </w:rPr>
          </w:pPr>
          <w:hyperlink w:anchor="_Toc64039559" w:history="1">
            <w:r w:rsidRPr="00882B0C">
              <w:rPr>
                <w:rStyle w:val="Hipervnculo"/>
                <w:noProof/>
              </w:rPr>
              <w:t>4.1.1.</w:t>
            </w:r>
            <w:r>
              <w:rPr>
                <w:rFonts w:cstheme="minorBidi"/>
                <w:noProof/>
              </w:rPr>
              <w:tab/>
            </w:r>
            <w:r w:rsidRPr="00882B0C">
              <w:rPr>
                <w:rStyle w:val="Hipervnculo"/>
                <w:noProof/>
              </w:rPr>
              <w:t>Reactivación del traslado de los recursos de los afiliados entre operadoras</w:t>
            </w:r>
            <w:r>
              <w:rPr>
                <w:noProof/>
                <w:webHidden/>
              </w:rPr>
              <w:tab/>
            </w:r>
            <w:r>
              <w:rPr>
                <w:noProof/>
                <w:webHidden/>
              </w:rPr>
              <w:fldChar w:fldCharType="begin"/>
            </w:r>
            <w:r>
              <w:rPr>
                <w:noProof/>
                <w:webHidden/>
              </w:rPr>
              <w:instrText xml:space="preserve"> PAGEREF _Toc64039559 \h </w:instrText>
            </w:r>
            <w:r>
              <w:rPr>
                <w:noProof/>
                <w:webHidden/>
              </w:rPr>
            </w:r>
            <w:r>
              <w:rPr>
                <w:noProof/>
                <w:webHidden/>
              </w:rPr>
              <w:fldChar w:fldCharType="separate"/>
            </w:r>
            <w:r>
              <w:rPr>
                <w:noProof/>
                <w:webHidden/>
              </w:rPr>
              <w:t>7</w:t>
            </w:r>
            <w:r>
              <w:rPr>
                <w:noProof/>
                <w:webHidden/>
              </w:rPr>
              <w:fldChar w:fldCharType="end"/>
            </w:r>
          </w:hyperlink>
        </w:p>
        <w:p w14:paraId="1E9CCB85" w14:textId="4503C5D9" w:rsidR="00B664C2" w:rsidRDefault="00B664C2">
          <w:pPr>
            <w:pStyle w:val="TDC3"/>
            <w:tabs>
              <w:tab w:val="left" w:pos="1320"/>
              <w:tab w:val="right" w:leader="dot" w:pos="13278"/>
            </w:tabs>
            <w:rPr>
              <w:rFonts w:cstheme="minorBidi"/>
              <w:noProof/>
            </w:rPr>
          </w:pPr>
          <w:hyperlink w:anchor="_Toc64039560" w:history="1">
            <w:r w:rsidRPr="00882B0C">
              <w:rPr>
                <w:rStyle w:val="Hipervnculo"/>
                <w:noProof/>
              </w:rPr>
              <w:t>4.1.2.</w:t>
            </w:r>
            <w:r>
              <w:rPr>
                <w:rFonts w:cstheme="minorBidi"/>
                <w:noProof/>
              </w:rPr>
              <w:tab/>
            </w:r>
            <w:r w:rsidRPr="00882B0C">
              <w:rPr>
                <w:rStyle w:val="Hipervnculo"/>
                <w:noProof/>
              </w:rPr>
              <w:t>Retiros FCL por nuevas causales</w:t>
            </w:r>
            <w:r>
              <w:rPr>
                <w:noProof/>
                <w:webHidden/>
              </w:rPr>
              <w:tab/>
            </w:r>
            <w:r>
              <w:rPr>
                <w:noProof/>
                <w:webHidden/>
              </w:rPr>
              <w:fldChar w:fldCharType="begin"/>
            </w:r>
            <w:r>
              <w:rPr>
                <w:noProof/>
                <w:webHidden/>
              </w:rPr>
              <w:instrText xml:space="preserve"> PAGEREF _Toc64039560 \h </w:instrText>
            </w:r>
            <w:r>
              <w:rPr>
                <w:noProof/>
                <w:webHidden/>
              </w:rPr>
            </w:r>
            <w:r>
              <w:rPr>
                <w:noProof/>
                <w:webHidden/>
              </w:rPr>
              <w:fldChar w:fldCharType="separate"/>
            </w:r>
            <w:r>
              <w:rPr>
                <w:noProof/>
                <w:webHidden/>
              </w:rPr>
              <w:t>8</w:t>
            </w:r>
            <w:r>
              <w:rPr>
                <w:noProof/>
                <w:webHidden/>
              </w:rPr>
              <w:fldChar w:fldCharType="end"/>
            </w:r>
          </w:hyperlink>
        </w:p>
        <w:p w14:paraId="003874CD" w14:textId="2884623A" w:rsidR="00B664C2" w:rsidRDefault="00B664C2">
          <w:pPr>
            <w:pStyle w:val="TDC3"/>
            <w:tabs>
              <w:tab w:val="left" w:pos="1320"/>
              <w:tab w:val="right" w:leader="dot" w:pos="13278"/>
            </w:tabs>
            <w:rPr>
              <w:rFonts w:cstheme="minorBidi"/>
              <w:noProof/>
            </w:rPr>
          </w:pPr>
          <w:hyperlink w:anchor="_Toc64039561" w:history="1">
            <w:r w:rsidRPr="00882B0C">
              <w:rPr>
                <w:rStyle w:val="Hipervnculo"/>
                <w:noProof/>
              </w:rPr>
              <w:t>4.1.3.</w:t>
            </w:r>
            <w:r>
              <w:rPr>
                <w:rFonts w:cstheme="minorBidi"/>
                <w:noProof/>
              </w:rPr>
              <w:tab/>
            </w:r>
            <w:r w:rsidRPr="00882B0C">
              <w:rPr>
                <w:rStyle w:val="Hipervnculo"/>
                <w:noProof/>
              </w:rPr>
              <w:t>Impacto en la recaudación del ROP y FCL</w:t>
            </w:r>
            <w:r>
              <w:rPr>
                <w:noProof/>
                <w:webHidden/>
              </w:rPr>
              <w:tab/>
            </w:r>
            <w:r>
              <w:rPr>
                <w:noProof/>
                <w:webHidden/>
              </w:rPr>
              <w:fldChar w:fldCharType="begin"/>
            </w:r>
            <w:r>
              <w:rPr>
                <w:noProof/>
                <w:webHidden/>
              </w:rPr>
              <w:instrText xml:space="preserve"> PAGEREF _Toc64039561 \h </w:instrText>
            </w:r>
            <w:r>
              <w:rPr>
                <w:noProof/>
                <w:webHidden/>
              </w:rPr>
            </w:r>
            <w:r>
              <w:rPr>
                <w:noProof/>
                <w:webHidden/>
              </w:rPr>
              <w:fldChar w:fldCharType="separate"/>
            </w:r>
            <w:r>
              <w:rPr>
                <w:noProof/>
                <w:webHidden/>
              </w:rPr>
              <w:t>8</w:t>
            </w:r>
            <w:r>
              <w:rPr>
                <w:noProof/>
                <w:webHidden/>
              </w:rPr>
              <w:fldChar w:fldCharType="end"/>
            </w:r>
          </w:hyperlink>
        </w:p>
        <w:p w14:paraId="10E59AE4" w14:textId="44B5EE13" w:rsidR="00B664C2" w:rsidRDefault="00B664C2">
          <w:pPr>
            <w:pStyle w:val="TDC2"/>
            <w:tabs>
              <w:tab w:val="left" w:pos="880"/>
              <w:tab w:val="right" w:leader="dot" w:pos="13278"/>
            </w:tabs>
            <w:rPr>
              <w:rFonts w:cstheme="minorBidi"/>
              <w:noProof/>
            </w:rPr>
          </w:pPr>
          <w:hyperlink w:anchor="_Toc64039562" w:history="1">
            <w:r w:rsidRPr="00882B0C">
              <w:rPr>
                <w:rStyle w:val="Hipervnculo"/>
                <w:noProof/>
              </w:rPr>
              <w:t>4.2.</w:t>
            </w:r>
            <w:r>
              <w:rPr>
                <w:rFonts w:cstheme="minorBidi"/>
                <w:noProof/>
              </w:rPr>
              <w:tab/>
            </w:r>
            <w:r w:rsidRPr="00882B0C">
              <w:rPr>
                <w:rStyle w:val="Hipervnculo"/>
                <w:noProof/>
              </w:rPr>
              <w:t>Efectos y acciones tomadas en Regímenes de Capitalización Colectiva</w:t>
            </w:r>
            <w:r>
              <w:rPr>
                <w:noProof/>
                <w:webHidden/>
              </w:rPr>
              <w:tab/>
            </w:r>
            <w:r>
              <w:rPr>
                <w:noProof/>
                <w:webHidden/>
              </w:rPr>
              <w:fldChar w:fldCharType="begin"/>
            </w:r>
            <w:r>
              <w:rPr>
                <w:noProof/>
                <w:webHidden/>
              </w:rPr>
              <w:instrText xml:space="preserve"> PAGEREF _Toc64039562 \h </w:instrText>
            </w:r>
            <w:r>
              <w:rPr>
                <w:noProof/>
                <w:webHidden/>
              </w:rPr>
            </w:r>
            <w:r>
              <w:rPr>
                <w:noProof/>
                <w:webHidden/>
              </w:rPr>
              <w:fldChar w:fldCharType="separate"/>
            </w:r>
            <w:r>
              <w:rPr>
                <w:noProof/>
                <w:webHidden/>
              </w:rPr>
              <w:t>9</w:t>
            </w:r>
            <w:r>
              <w:rPr>
                <w:noProof/>
                <w:webHidden/>
              </w:rPr>
              <w:fldChar w:fldCharType="end"/>
            </w:r>
          </w:hyperlink>
        </w:p>
        <w:p w14:paraId="5373DC11" w14:textId="3EDD51A8" w:rsidR="00B664C2" w:rsidRDefault="00B664C2">
          <w:pPr>
            <w:pStyle w:val="TDC1"/>
            <w:tabs>
              <w:tab w:val="left" w:pos="440"/>
              <w:tab w:val="right" w:leader="dot" w:pos="13278"/>
            </w:tabs>
            <w:rPr>
              <w:rFonts w:cstheme="minorBidi"/>
              <w:noProof/>
            </w:rPr>
          </w:pPr>
          <w:hyperlink w:anchor="_Toc64039563" w:history="1">
            <w:r w:rsidRPr="00882B0C">
              <w:rPr>
                <w:rStyle w:val="Hipervnculo"/>
                <w:noProof/>
              </w:rPr>
              <w:t>5.</w:t>
            </w:r>
            <w:r>
              <w:rPr>
                <w:rFonts w:cstheme="minorBidi"/>
                <w:noProof/>
              </w:rPr>
              <w:tab/>
            </w:r>
            <w:r w:rsidRPr="00882B0C">
              <w:rPr>
                <w:rStyle w:val="Hipervnculo"/>
                <w:noProof/>
              </w:rPr>
              <w:t>Estadísticas</w:t>
            </w:r>
            <w:r>
              <w:rPr>
                <w:noProof/>
                <w:webHidden/>
              </w:rPr>
              <w:tab/>
            </w:r>
            <w:r>
              <w:rPr>
                <w:noProof/>
                <w:webHidden/>
              </w:rPr>
              <w:fldChar w:fldCharType="begin"/>
            </w:r>
            <w:r>
              <w:rPr>
                <w:noProof/>
                <w:webHidden/>
              </w:rPr>
              <w:instrText xml:space="preserve"> PAGEREF _Toc64039563 \h </w:instrText>
            </w:r>
            <w:r>
              <w:rPr>
                <w:noProof/>
                <w:webHidden/>
              </w:rPr>
            </w:r>
            <w:r>
              <w:rPr>
                <w:noProof/>
                <w:webHidden/>
              </w:rPr>
              <w:fldChar w:fldCharType="separate"/>
            </w:r>
            <w:r>
              <w:rPr>
                <w:noProof/>
                <w:webHidden/>
              </w:rPr>
              <w:t>11</w:t>
            </w:r>
            <w:r>
              <w:rPr>
                <w:noProof/>
                <w:webHidden/>
              </w:rPr>
              <w:fldChar w:fldCharType="end"/>
            </w:r>
          </w:hyperlink>
        </w:p>
        <w:p w14:paraId="1ECE6C13" w14:textId="41498457" w:rsidR="00B664C2" w:rsidRDefault="00B664C2">
          <w:pPr>
            <w:pStyle w:val="TDC2"/>
            <w:tabs>
              <w:tab w:val="left" w:pos="880"/>
              <w:tab w:val="right" w:leader="dot" w:pos="13278"/>
            </w:tabs>
            <w:rPr>
              <w:rFonts w:cstheme="minorBidi"/>
              <w:noProof/>
            </w:rPr>
          </w:pPr>
          <w:hyperlink w:anchor="_Toc64039564" w:history="1">
            <w:r w:rsidRPr="00882B0C">
              <w:rPr>
                <w:rStyle w:val="Hipervnculo"/>
                <w:noProof/>
              </w:rPr>
              <w:t>5.1.</w:t>
            </w:r>
            <w:r>
              <w:rPr>
                <w:rFonts w:cstheme="minorBidi"/>
                <w:noProof/>
              </w:rPr>
              <w:tab/>
            </w:r>
            <w:r w:rsidRPr="00882B0C">
              <w:rPr>
                <w:rStyle w:val="Hipervnculo"/>
                <w:noProof/>
              </w:rPr>
              <w:t>Sistema Nacional de Pensiones</w:t>
            </w:r>
            <w:r>
              <w:rPr>
                <w:noProof/>
                <w:webHidden/>
              </w:rPr>
              <w:tab/>
            </w:r>
            <w:r>
              <w:rPr>
                <w:noProof/>
                <w:webHidden/>
              </w:rPr>
              <w:fldChar w:fldCharType="begin"/>
            </w:r>
            <w:r>
              <w:rPr>
                <w:noProof/>
                <w:webHidden/>
              </w:rPr>
              <w:instrText xml:space="preserve"> PAGEREF _Toc64039564 \h </w:instrText>
            </w:r>
            <w:r>
              <w:rPr>
                <w:noProof/>
                <w:webHidden/>
              </w:rPr>
            </w:r>
            <w:r>
              <w:rPr>
                <w:noProof/>
                <w:webHidden/>
              </w:rPr>
              <w:fldChar w:fldCharType="separate"/>
            </w:r>
            <w:r>
              <w:rPr>
                <w:noProof/>
                <w:webHidden/>
              </w:rPr>
              <w:t>11</w:t>
            </w:r>
            <w:r>
              <w:rPr>
                <w:noProof/>
                <w:webHidden/>
              </w:rPr>
              <w:fldChar w:fldCharType="end"/>
            </w:r>
          </w:hyperlink>
        </w:p>
        <w:p w14:paraId="7014D02B" w14:textId="0D44E80B" w:rsidR="00B664C2" w:rsidRDefault="00B664C2">
          <w:pPr>
            <w:pStyle w:val="TDC2"/>
            <w:tabs>
              <w:tab w:val="left" w:pos="880"/>
              <w:tab w:val="right" w:leader="dot" w:pos="13278"/>
            </w:tabs>
            <w:rPr>
              <w:rFonts w:cstheme="minorBidi"/>
              <w:noProof/>
            </w:rPr>
          </w:pPr>
          <w:hyperlink w:anchor="_Toc64039565" w:history="1">
            <w:r w:rsidRPr="00882B0C">
              <w:rPr>
                <w:rStyle w:val="Hipervnculo"/>
                <w:noProof/>
              </w:rPr>
              <w:t>5.2.</w:t>
            </w:r>
            <w:r>
              <w:rPr>
                <w:rFonts w:cstheme="minorBidi"/>
                <w:noProof/>
              </w:rPr>
              <w:tab/>
            </w:r>
            <w:r w:rsidRPr="00882B0C">
              <w:rPr>
                <w:rStyle w:val="Hipervnculo"/>
                <w:noProof/>
              </w:rPr>
              <w:t>Activos administrados</w:t>
            </w:r>
            <w:r>
              <w:rPr>
                <w:noProof/>
                <w:webHidden/>
              </w:rPr>
              <w:tab/>
            </w:r>
            <w:r>
              <w:rPr>
                <w:noProof/>
                <w:webHidden/>
              </w:rPr>
              <w:fldChar w:fldCharType="begin"/>
            </w:r>
            <w:r>
              <w:rPr>
                <w:noProof/>
                <w:webHidden/>
              </w:rPr>
              <w:instrText xml:space="preserve"> PAGEREF _Toc64039565 \h </w:instrText>
            </w:r>
            <w:r>
              <w:rPr>
                <w:noProof/>
                <w:webHidden/>
              </w:rPr>
            </w:r>
            <w:r>
              <w:rPr>
                <w:noProof/>
                <w:webHidden/>
              </w:rPr>
              <w:fldChar w:fldCharType="separate"/>
            </w:r>
            <w:r>
              <w:rPr>
                <w:noProof/>
                <w:webHidden/>
              </w:rPr>
              <w:t>12</w:t>
            </w:r>
            <w:r>
              <w:rPr>
                <w:noProof/>
                <w:webHidden/>
              </w:rPr>
              <w:fldChar w:fldCharType="end"/>
            </w:r>
          </w:hyperlink>
        </w:p>
        <w:p w14:paraId="6982F575" w14:textId="5DDBEEEA" w:rsidR="00B664C2" w:rsidRDefault="00B664C2">
          <w:pPr>
            <w:pStyle w:val="TDC2"/>
            <w:tabs>
              <w:tab w:val="left" w:pos="880"/>
              <w:tab w:val="right" w:leader="dot" w:pos="13278"/>
            </w:tabs>
            <w:rPr>
              <w:rFonts w:cstheme="minorBidi"/>
              <w:noProof/>
            </w:rPr>
          </w:pPr>
          <w:hyperlink w:anchor="_Toc64039566" w:history="1">
            <w:r w:rsidRPr="00882B0C">
              <w:rPr>
                <w:rStyle w:val="Hipervnculo"/>
                <w:noProof/>
              </w:rPr>
              <w:t>5.3.</w:t>
            </w:r>
            <w:r>
              <w:rPr>
                <w:rFonts w:cstheme="minorBidi"/>
                <w:noProof/>
              </w:rPr>
              <w:tab/>
            </w:r>
            <w:r w:rsidRPr="00882B0C">
              <w:rPr>
                <w:rStyle w:val="Hipervnculo"/>
                <w:noProof/>
              </w:rPr>
              <w:t>Inversiones</w:t>
            </w:r>
            <w:r>
              <w:rPr>
                <w:noProof/>
                <w:webHidden/>
              </w:rPr>
              <w:tab/>
            </w:r>
            <w:r>
              <w:rPr>
                <w:noProof/>
                <w:webHidden/>
              </w:rPr>
              <w:fldChar w:fldCharType="begin"/>
            </w:r>
            <w:r>
              <w:rPr>
                <w:noProof/>
                <w:webHidden/>
              </w:rPr>
              <w:instrText xml:space="preserve"> PAGEREF _Toc64039566 \h </w:instrText>
            </w:r>
            <w:r>
              <w:rPr>
                <w:noProof/>
                <w:webHidden/>
              </w:rPr>
            </w:r>
            <w:r>
              <w:rPr>
                <w:noProof/>
                <w:webHidden/>
              </w:rPr>
              <w:fldChar w:fldCharType="separate"/>
            </w:r>
            <w:r>
              <w:rPr>
                <w:noProof/>
                <w:webHidden/>
              </w:rPr>
              <w:t>13</w:t>
            </w:r>
            <w:r>
              <w:rPr>
                <w:noProof/>
                <w:webHidden/>
              </w:rPr>
              <w:fldChar w:fldCharType="end"/>
            </w:r>
          </w:hyperlink>
        </w:p>
        <w:p w14:paraId="600F82D0" w14:textId="3BB35F14" w:rsidR="00B664C2" w:rsidRDefault="00B664C2">
          <w:pPr>
            <w:pStyle w:val="TDC2"/>
            <w:tabs>
              <w:tab w:val="left" w:pos="880"/>
              <w:tab w:val="right" w:leader="dot" w:pos="13278"/>
            </w:tabs>
            <w:rPr>
              <w:rFonts w:cstheme="minorBidi"/>
              <w:noProof/>
            </w:rPr>
          </w:pPr>
          <w:hyperlink w:anchor="_Toc64039567" w:history="1">
            <w:r w:rsidRPr="00882B0C">
              <w:rPr>
                <w:rStyle w:val="Hipervnculo"/>
                <w:noProof/>
              </w:rPr>
              <w:t>5.4.</w:t>
            </w:r>
            <w:r>
              <w:rPr>
                <w:rFonts w:cstheme="minorBidi"/>
                <w:noProof/>
              </w:rPr>
              <w:tab/>
            </w:r>
            <w:r w:rsidRPr="00882B0C">
              <w:rPr>
                <w:rStyle w:val="Hipervnculo"/>
                <w:noProof/>
              </w:rPr>
              <w:t>Rentabilidad</w:t>
            </w:r>
            <w:r>
              <w:rPr>
                <w:noProof/>
                <w:webHidden/>
              </w:rPr>
              <w:tab/>
            </w:r>
            <w:r>
              <w:rPr>
                <w:noProof/>
                <w:webHidden/>
              </w:rPr>
              <w:fldChar w:fldCharType="begin"/>
            </w:r>
            <w:r>
              <w:rPr>
                <w:noProof/>
                <w:webHidden/>
              </w:rPr>
              <w:instrText xml:space="preserve"> PAGEREF _Toc64039567 \h </w:instrText>
            </w:r>
            <w:r>
              <w:rPr>
                <w:noProof/>
                <w:webHidden/>
              </w:rPr>
            </w:r>
            <w:r>
              <w:rPr>
                <w:noProof/>
                <w:webHidden/>
              </w:rPr>
              <w:fldChar w:fldCharType="separate"/>
            </w:r>
            <w:r>
              <w:rPr>
                <w:noProof/>
                <w:webHidden/>
              </w:rPr>
              <w:t>15</w:t>
            </w:r>
            <w:r>
              <w:rPr>
                <w:noProof/>
                <w:webHidden/>
              </w:rPr>
              <w:fldChar w:fldCharType="end"/>
            </w:r>
          </w:hyperlink>
        </w:p>
        <w:p w14:paraId="4E1A4253" w14:textId="2DB3450D" w:rsidR="00B664C2" w:rsidRDefault="00B664C2">
          <w:pPr>
            <w:pStyle w:val="TDC2"/>
            <w:tabs>
              <w:tab w:val="right" w:leader="dot" w:pos="13278"/>
            </w:tabs>
            <w:rPr>
              <w:rFonts w:cstheme="minorBidi"/>
              <w:noProof/>
            </w:rPr>
          </w:pPr>
          <w:hyperlink w:anchor="_Toc64039568" w:history="1">
            <w:r w:rsidRPr="00882B0C">
              <w:rPr>
                <w:rStyle w:val="Hipervnculo"/>
                <w:i/>
                <w:iCs/>
                <w:noProof/>
              </w:rPr>
              <w:t>Eurobonos de Costa Rica</w:t>
            </w:r>
            <w:r>
              <w:rPr>
                <w:noProof/>
                <w:webHidden/>
              </w:rPr>
              <w:tab/>
            </w:r>
            <w:r>
              <w:rPr>
                <w:noProof/>
                <w:webHidden/>
              </w:rPr>
              <w:fldChar w:fldCharType="begin"/>
            </w:r>
            <w:r>
              <w:rPr>
                <w:noProof/>
                <w:webHidden/>
              </w:rPr>
              <w:instrText xml:space="preserve"> PAGEREF _Toc64039568 \h </w:instrText>
            </w:r>
            <w:r>
              <w:rPr>
                <w:noProof/>
                <w:webHidden/>
              </w:rPr>
            </w:r>
            <w:r>
              <w:rPr>
                <w:noProof/>
                <w:webHidden/>
              </w:rPr>
              <w:fldChar w:fldCharType="separate"/>
            </w:r>
            <w:r>
              <w:rPr>
                <w:noProof/>
                <w:webHidden/>
              </w:rPr>
              <w:t>17</w:t>
            </w:r>
            <w:r>
              <w:rPr>
                <w:noProof/>
                <w:webHidden/>
              </w:rPr>
              <w:fldChar w:fldCharType="end"/>
            </w:r>
          </w:hyperlink>
        </w:p>
        <w:p w14:paraId="606F3F0B" w14:textId="34937644" w:rsidR="00B664C2" w:rsidRDefault="00B664C2">
          <w:pPr>
            <w:pStyle w:val="TDC1"/>
            <w:tabs>
              <w:tab w:val="left" w:pos="440"/>
              <w:tab w:val="right" w:leader="dot" w:pos="13278"/>
            </w:tabs>
            <w:rPr>
              <w:rFonts w:cstheme="minorBidi"/>
              <w:noProof/>
            </w:rPr>
          </w:pPr>
          <w:hyperlink w:anchor="_Toc64039569" w:history="1">
            <w:r w:rsidRPr="00882B0C">
              <w:rPr>
                <w:rStyle w:val="Hipervnculo"/>
                <w:noProof/>
              </w:rPr>
              <w:t>6.</w:t>
            </w:r>
            <w:r>
              <w:rPr>
                <w:rFonts w:cstheme="minorBidi"/>
                <w:noProof/>
              </w:rPr>
              <w:tab/>
            </w:r>
            <w:r w:rsidRPr="00882B0C">
              <w:rPr>
                <w:rStyle w:val="Hipervnculo"/>
                <w:noProof/>
              </w:rPr>
              <w:t>Proyectos de Ley</w:t>
            </w:r>
            <w:r>
              <w:rPr>
                <w:noProof/>
                <w:webHidden/>
              </w:rPr>
              <w:tab/>
            </w:r>
            <w:r>
              <w:rPr>
                <w:noProof/>
                <w:webHidden/>
              </w:rPr>
              <w:fldChar w:fldCharType="begin"/>
            </w:r>
            <w:r>
              <w:rPr>
                <w:noProof/>
                <w:webHidden/>
              </w:rPr>
              <w:instrText xml:space="preserve"> PAGEREF _Toc64039569 \h </w:instrText>
            </w:r>
            <w:r>
              <w:rPr>
                <w:noProof/>
                <w:webHidden/>
              </w:rPr>
            </w:r>
            <w:r>
              <w:rPr>
                <w:noProof/>
                <w:webHidden/>
              </w:rPr>
              <w:fldChar w:fldCharType="separate"/>
            </w:r>
            <w:r>
              <w:rPr>
                <w:noProof/>
                <w:webHidden/>
              </w:rPr>
              <w:t>18</w:t>
            </w:r>
            <w:r>
              <w:rPr>
                <w:noProof/>
                <w:webHidden/>
              </w:rPr>
              <w:fldChar w:fldCharType="end"/>
            </w:r>
          </w:hyperlink>
        </w:p>
        <w:p w14:paraId="26D2817C" w14:textId="10E4EC0F" w:rsidR="00B664C2" w:rsidRDefault="00B664C2">
          <w:pPr>
            <w:pStyle w:val="TDC2"/>
            <w:tabs>
              <w:tab w:val="right" w:leader="dot" w:pos="13278"/>
            </w:tabs>
            <w:rPr>
              <w:rFonts w:cstheme="minorBidi"/>
              <w:noProof/>
            </w:rPr>
          </w:pPr>
          <w:hyperlink w:anchor="_Toc64039570" w:history="1">
            <w:r w:rsidRPr="00882B0C">
              <w:rPr>
                <w:rStyle w:val="Hipervnculo"/>
                <w:i/>
                <w:iCs/>
                <w:noProof/>
              </w:rPr>
              <w:t>Decreto Legislativo N° 9906</w:t>
            </w:r>
            <w:r>
              <w:rPr>
                <w:noProof/>
                <w:webHidden/>
              </w:rPr>
              <w:tab/>
            </w:r>
            <w:r>
              <w:rPr>
                <w:noProof/>
                <w:webHidden/>
              </w:rPr>
              <w:fldChar w:fldCharType="begin"/>
            </w:r>
            <w:r>
              <w:rPr>
                <w:noProof/>
                <w:webHidden/>
              </w:rPr>
              <w:instrText xml:space="preserve"> PAGEREF _Toc64039570 \h </w:instrText>
            </w:r>
            <w:r>
              <w:rPr>
                <w:noProof/>
                <w:webHidden/>
              </w:rPr>
            </w:r>
            <w:r>
              <w:rPr>
                <w:noProof/>
                <w:webHidden/>
              </w:rPr>
              <w:fldChar w:fldCharType="separate"/>
            </w:r>
            <w:r>
              <w:rPr>
                <w:noProof/>
                <w:webHidden/>
              </w:rPr>
              <w:t>20</w:t>
            </w:r>
            <w:r>
              <w:rPr>
                <w:noProof/>
                <w:webHidden/>
              </w:rPr>
              <w:fldChar w:fldCharType="end"/>
            </w:r>
          </w:hyperlink>
        </w:p>
        <w:p w14:paraId="74BE2884" w14:textId="0A464E40" w:rsidR="00B664C2" w:rsidRDefault="00B664C2">
          <w:pPr>
            <w:pStyle w:val="TDC1"/>
            <w:tabs>
              <w:tab w:val="left" w:pos="440"/>
              <w:tab w:val="right" w:leader="dot" w:pos="13278"/>
            </w:tabs>
            <w:rPr>
              <w:rFonts w:cstheme="minorBidi"/>
              <w:noProof/>
            </w:rPr>
          </w:pPr>
          <w:hyperlink w:anchor="_Toc64039571" w:history="1">
            <w:r w:rsidRPr="00882B0C">
              <w:rPr>
                <w:rStyle w:val="Hipervnculo"/>
                <w:noProof/>
              </w:rPr>
              <w:t>7.</w:t>
            </w:r>
            <w:r>
              <w:rPr>
                <w:rFonts w:cstheme="minorBidi"/>
                <w:noProof/>
              </w:rPr>
              <w:tab/>
            </w:r>
            <w:r w:rsidRPr="00882B0C">
              <w:rPr>
                <w:rStyle w:val="Hipervnculo"/>
                <w:noProof/>
              </w:rPr>
              <w:t>Acuerdos del Superintendente</w:t>
            </w:r>
            <w:r>
              <w:rPr>
                <w:noProof/>
                <w:webHidden/>
              </w:rPr>
              <w:tab/>
            </w:r>
            <w:r>
              <w:rPr>
                <w:noProof/>
                <w:webHidden/>
              </w:rPr>
              <w:fldChar w:fldCharType="begin"/>
            </w:r>
            <w:r>
              <w:rPr>
                <w:noProof/>
                <w:webHidden/>
              </w:rPr>
              <w:instrText xml:space="preserve"> PAGEREF _Toc64039571 \h </w:instrText>
            </w:r>
            <w:r>
              <w:rPr>
                <w:noProof/>
                <w:webHidden/>
              </w:rPr>
            </w:r>
            <w:r>
              <w:rPr>
                <w:noProof/>
                <w:webHidden/>
              </w:rPr>
              <w:fldChar w:fldCharType="separate"/>
            </w:r>
            <w:r>
              <w:rPr>
                <w:noProof/>
                <w:webHidden/>
              </w:rPr>
              <w:t>21</w:t>
            </w:r>
            <w:r>
              <w:rPr>
                <w:noProof/>
                <w:webHidden/>
              </w:rPr>
              <w:fldChar w:fldCharType="end"/>
            </w:r>
          </w:hyperlink>
        </w:p>
        <w:p w14:paraId="7847027B" w14:textId="1580CFF8" w:rsidR="00F27883" w:rsidRDefault="00F27883">
          <w:r>
            <w:rPr>
              <w:b/>
              <w:bCs/>
            </w:rPr>
            <w:fldChar w:fldCharType="end"/>
          </w:r>
        </w:p>
      </w:sdtContent>
    </w:sdt>
    <w:p w14:paraId="0EB41BB8" w14:textId="77777777" w:rsidR="003735BC" w:rsidRDefault="003735BC">
      <w:pPr>
        <w:rPr>
          <w:rFonts w:asciiTheme="majorHAnsi" w:eastAsiaTheme="majorEastAsia" w:hAnsiTheme="majorHAnsi" w:cstheme="majorBidi"/>
          <w:color w:val="365F91" w:themeColor="accent1" w:themeShade="BF"/>
          <w:sz w:val="32"/>
          <w:szCs w:val="32"/>
        </w:rPr>
      </w:pPr>
      <w:r>
        <w:br w:type="page"/>
      </w:r>
    </w:p>
    <w:p w14:paraId="16FA3203" w14:textId="50C41DB2" w:rsidR="00C01A6B" w:rsidRDefault="00C01A6B" w:rsidP="00C570BE">
      <w:pPr>
        <w:pStyle w:val="Ttulo1"/>
        <w:numPr>
          <w:ilvl w:val="0"/>
          <w:numId w:val="1"/>
        </w:numPr>
      </w:pPr>
      <w:bookmarkStart w:id="1" w:name="_Toc64039554"/>
      <w:r>
        <w:t>Definiciones</w:t>
      </w:r>
      <w:bookmarkEnd w:id="1"/>
    </w:p>
    <w:p w14:paraId="72E2B118" w14:textId="77777777" w:rsidR="008C0B7D" w:rsidRPr="004D0DCE" w:rsidRDefault="008C0B7D" w:rsidP="008C0B7D">
      <w:pPr>
        <w:spacing w:after="0" w:line="240" w:lineRule="auto"/>
        <w:jc w:val="both"/>
        <w:rPr>
          <w:rFonts w:ascii="Calibri" w:eastAsia="Times New Roman" w:hAnsi="Calibri" w:cs="Calibri"/>
          <w:b/>
          <w:bCs/>
          <w:color w:val="000000"/>
          <w:lang w:val="es-CR" w:eastAsia="es-CR"/>
        </w:rPr>
      </w:pPr>
      <w:r w:rsidRPr="004D0DCE">
        <w:rPr>
          <w:rFonts w:ascii="Calibri" w:eastAsia="Times New Roman" w:hAnsi="Calibri" w:cs="Calibri"/>
          <w:b/>
          <w:bCs/>
          <w:color w:val="000000"/>
          <w:lang w:val="es-CR" w:eastAsia="es-CR"/>
        </w:rPr>
        <w:t>Para efectos de este reporte se utilizarán las definiciones y abreviaturas que se indican a continuación:</w:t>
      </w:r>
    </w:p>
    <w:p w14:paraId="0CF147A3" w14:textId="0AE257C7" w:rsidR="00E5576F" w:rsidRPr="00A8066D" w:rsidRDefault="00E5576F" w:rsidP="00C570BE">
      <w:pPr>
        <w:pStyle w:val="Prrafodelista"/>
        <w:numPr>
          <w:ilvl w:val="0"/>
          <w:numId w:val="2"/>
        </w:numPr>
        <w:spacing w:after="0" w:line="240" w:lineRule="auto"/>
        <w:jc w:val="both"/>
        <w:rPr>
          <w:rFonts w:ascii="Calibri" w:eastAsia="Times New Roman" w:hAnsi="Calibri" w:cs="Calibri"/>
          <w:color w:val="000000"/>
          <w:lang w:val="es-CR" w:eastAsia="es-CR"/>
        </w:rPr>
      </w:pPr>
      <w:r w:rsidRPr="00A8066D">
        <w:rPr>
          <w:rFonts w:ascii="Calibri" w:eastAsia="Times New Roman" w:hAnsi="Calibri" w:cs="Calibri"/>
          <w:color w:val="000000"/>
          <w:lang w:val="es-CR" w:eastAsia="es-CR"/>
        </w:rPr>
        <w:t>BCCR: Banco Central de Costa Rica</w:t>
      </w:r>
    </w:p>
    <w:p w14:paraId="3EFE1A08" w14:textId="3511F503" w:rsidR="00547456" w:rsidRPr="00A8066D" w:rsidRDefault="00547456" w:rsidP="00C570BE">
      <w:pPr>
        <w:pStyle w:val="Prrafodelista"/>
        <w:numPr>
          <w:ilvl w:val="0"/>
          <w:numId w:val="2"/>
        </w:numPr>
        <w:spacing w:after="0" w:line="240" w:lineRule="auto"/>
        <w:jc w:val="both"/>
        <w:rPr>
          <w:rFonts w:ascii="Calibri" w:eastAsia="Times New Roman" w:hAnsi="Calibri" w:cs="Calibri"/>
          <w:color w:val="000000"/>
          <w:lang w:val="es-CR" w:eastAsia="es-CR"/>
        </w:rPr>
      </w:pPr>
      <w:r w:rsidRPr="00A8066D">
        <w:rPr>
          <w:rFonts w:ascii="Calibri" w:eastAsia="Times New Roman" w:hAnsi="Calibri" w:cs="Calibri"/>
          <w:color w:val="000000"/>
          <w:lang w:val="es-CR" w:eastAsia="es-CR"/>
        </w:rPr>
        <w:t>BPDC: Banco Popular y de Desarrollo Comunal</w:t>
      </w:r>
    </w:p>
    <w:p w14:paraId="04635814" w14:textId="6D3BC949" w:rsidR="000E7D3E" w:rsidRPr="00A8066D" w:rsidRDefault="000E7D3E" w:rsidP="00C570BE">
      <w:pPr>
        <w:pStyle w:val="Prrafodelista"/>
        <w:numPr>
          <w:ilvl w:val="0"/>
          <w:numId w:val="2"/>
        </w:numPr>
        <w:spacing w:after="0" w:line="240" w:lineRule="auto"/>
        <w:jc w:val="both"/>
        <w:rPr>
          <w:rFonts w:ascii="Calibri" w:eastAsia="Times New Roman" w:hAnsi="Calibri" w:cs="Calibri"/>
          <w:color w:val="000000"/>
          <w:lang w:val="es-CR" w:eastAsia="es-CR"/>
        </w:rPr>
      </w:pPr>
      <w:r w:rsidRPr="00A8066D">
        <w:rPr>
          <w:rFonts w:ascii="Calibri" w:eastAsia="Times New Roman" w:hAnsi="Calibri" w:cs="Calibri"/>
          <w:color w:val="000000"/>
          <w:lang w:val="es-CR" w:eastAsia="es-CR"/>
        </w:rPr>
        <w:t>Bomberos: Fondo de Pensiones y Jubilaciones para los miembros del Benemérito Cuerpo de Bomberos de Costa Rica</w:t>
      </w:r>
    </w:p>
    <w:p w14:paraId="72369D40" w14:textId="15E78090" w:rsidR="000E7D3E" w:rsidRPr="00A8066D" w:rsidRDefault="000E7D3E" w:rsidP="00C570BE">
      <w:pPr>
        <w:pStyle w:val="Prrafodelista"/>
        <w:numPr>
          <w:ilvl w:val="0"/>
          <w:numId w:val="2"/>
        </w:numPr>
        <w:spacing w:after="0" w:line="240" w:lineRule="auto"/>
        <w:jc w:val="both"/>
        <w:rPr>
          <w:rFonts w:ascii="Calibri" w:eastAsia="Times New Roman" w:hAnsi="Calibri" w:cs="Calibri"/>
          <w:color w:val="000000"/>
          <w:lang w:val="es-CR" w:eastAsia="es-CR"/>
        </w:rPr>
      </w:pPr>
      <w:r w:rsidRPr="00A8066D">
        <w:rPr>
          <w:rFonts w:ascii="Calibri" w:eastAsia="Times New Roman" w:hAnsi="Calibri" w:cs="Calibri"/>
          <w:color w:val="000000"/>
          <w:lang w:val="es-CR" w:eastAsia="es-CR"/>
        </w:rPr>
        <w:t>CCSS: Caja Costarricense del Seguro Social</w:t>
      </w:r>
    </w:p>
    <w:p w14:paraId="09D77264" w14:textId="1BA90C33" w:rsidR="00F00A87" w:rsidRPr="00A8066D" w:rsidRDefault="00F00A87" w:rsidP="00C570BE">
      <w:pPr>
        <w:pStyle w:val="Prrafodelista"/>
        <w:numPr>
          <w:ilvl w:val="0"/>
          <w:numId w:val="2"/>
        </w:numPr>
        <w:spacing w:after="0" w:line="240" w:lineRule="auto"/>
        <w:jc w:val="both"/>
        <w:rPr>
          <w:rFonts w:ascii="Calibri" w:eastAsia="Times New Roman" w:hAnsi="Calibri" w:cs="Calibri"/>
          <w:color w:val="000000"/>
          <w:lang w:val="es-CR" w:eastAsia="es-CR"/>
        </w:rPr>
      </w:pPr>
      <w:r w:rsidRPr="00A8066D">
        <w:rPr>
          <w:rFonts w:ascii="Calibri" w:eastAsia="Times New Roman" w:hAnsi="Calibri" w:cs="Calibri"/>
          <w:color w:val="000000"/>
          <w:lang w:val="es-CR" w:eastAsia="es-CR"/>
        </w:rPr>
        <w:t>CONASSIF: Consejo Nacional de Supervisión Financiera</w:t>
      </w:r>
    </w:p>
    <w:p w14:paraId="3F45B367" w14:textId="7C89F16B" w:rsidR="00F37BE9" w:rsidRPr="00A8066D" w:rsidRDefault="00F37BE9" w:rsidP="00C570BE">
      <w:pPr>
        <w:pStyle w:val="Prrafodelista"/>
        <w:numPr>
          <w:ilvl w:val="0"/>
          <w:numId w:val="2"/>
        </w:numPr>
        <w:spacing w:after="0" w:line="240" w:lineRule="auto"/>
        <w:jc w:val="both"/>
        <w:rPr>
          <w:rFonts w:ascii="Calibri" w:eastAsia="Times New Roman" w:hAnsi="Calibri" w:cs="Calibri"/>
          <w:color w:val="000000"/>
          <w:lang w:val="es-CR" w:eastAsia="es-CR"/>
        </w:rPr>
      </w:pPr>
      <w:r w:rsidRPr="00A8066D">
        <w:rPr>
          <w:rFonts w:ascii="Calibri" w:eastAsia="Times New Roman" w:hAnsi="Calibri" w:cs="Calibri"/>
          <w:color w:val="000000"/>
          <w:lang w:val="es-CR" w:eastAsia="es-CR"/>
        </w:rPr>
        <w:t xml:space="preserve">DST: Dirección de </w:t>
      </w:r>
      <w:r w:rsidR="00E5576F" w:rsidRPr="00A8066D">
        <w:rPr>
          <w:rFonts w:ascii="Calibri" w:eastAsia="Times New Roman" w:hAnsi="Calibri" w:cs="Calibri"/>
          <w:color w:val="000000"/>
          <w:lang w:val="es-CR" w:eastAsia="es-CR"/>
        </w:rPr>
        <w:t>Servicios Tecnológicos del BCCR</w:t>
      </w:r>
    </w:p>
    <w:p w14:paraId="52FF951A" w14:textId="53006927" w:rsidR="008E2F6D" w:rsidRPr="00A8066D" w:rsidRDefault="008E2F6D" w:rsidP="00C570BE">
      <w:pPr>
        <w:pStyle w:val="Prrafodelista"/>
        <w:numPr>
          <w:ilvl w:val="0"/>
          <w:numId w:val="2"/>
        </w:numPr>
        <w:spacing w:after="0" w:line="240" w:lineRule="auto"/>
        <w:jc w:val="both"/>
        <w:rPr>
          <w:rFonts w:ascii="Calibri" w:eastAsia="Times New Roman" w:hAnsi="Calibri" w:cs="Calibri"/>
          <w:color w:val="000000"/>
          <w:lang w:val="es-CR" w:eastAsia="es-CR"/>
        </w:rPr>
      </w:pPr>
      <w:r w:rsidRPr="00A8066D">
        <w:rPr>
          <w:rFonts w:ascii="Calibri" w:eastAsia="Times New Roman" w:hAnsi="Calibri" w:cs="Calibri"/>
          <w:color w:val="000000"/>
          <w:lang w:val="es-CR" w:eastAsia="es-CR"/>
        </w:rPr>
        <w:t xml:space="preserve">ETF: Exchange </w:t>
      </w:r>
      <w:proofErr w:type="spellStart"/>
      <w:r w:rsidRPr="00A8066D">
        <w:rPr>
          <w:rFonts w:ascii="Calibri" w:eastAsia="Times New Roman" w:hAnsi="Calibri" w:cs="Calibri"/>
          <w:color w:val="000000"/>
          <w:lang w:val="es-CR" w:eastAsia="es-CR"/>
        </w:rPr>
        <w:t>Traded</w:t>
      </w:r>
      <w:proofErr w:type="spellEnd"/>
      <w:r w:rsidRPr="00A8066D">
        <w:rPr>
          <w:rFonts w:ascii="Calibri" w:eastAsia="Times New Roman" w:hAnsi="Calibri" w:cs="Calibri"/>
          <w:color w:val="000000"/>
          <w:lang w:val="es-CR" w:eastAsia="es-CR"/>
        </w:rPr>
        <w:t xml:space="preserve"> Fund</w:t>
      </w:r>
    </w:p>
    <w:p w14:paraId="343BA3FA" w14:textId="77777777" w:rsidR="000E7D3E" w:rsidRPr="00A8066D" w:rsidRDefault="000E7D3E" w:rsidP="00C570BE">
      <w:pPr>
        <w:pStyle w:val="Prrafodelista"/>
        <w:numPr>
          <w:ilvl w:val="0"/>
          <w:numId w:val="2"/>
        </w:numPr>
        <w:spacing w:after="0" w:line="240" w:lineRule="auto"/>
        <w:jc w:val="both"/>
        <w:rPr>
          <w:rFonts w:ascii="Calibri" w:eastAsia="Times New Roman" w:hAnsi="Calibri" w:cs="Calibri"/>
          <w:color w:val="000000"/>
          <w:lang w:val="es-CR" w:eastAsia="es-CR"/>
        </w:rPr>
      </w:pPr>
      <w:r w:rsidRPr="00A8066D">
        <w:rPr>
          <w:rFonts w:ascii="Calibri" w:eastAsia="Times New Roman" w:hAnsi="Calibri" w:cs="Calibri"/>
          <w:color w:val="000000"/>
          <w:lang w:val="es-CR" w:eastAsia="es-CR"/>
        </w:rPr>
        <w:t>FBCR: Fondo de Jubilaciones de los Empleados del Banco de Costa Rica</w:t>
      </w:r>
    </w:p>
    <w:p w14:paraId="6F0E6DE2" w14:textId="76B0A76D" w:rsidR="000E7D3E" w:rsidRPr="00A8066D" w:rsidRDefault="000E7D3E" w:rsidP="00C570BE">
      <w:pPr>
        <w:pStyle w:val="Prrafodelista"/>
        <w:numPr>
          <w:ilvl w:val="0"/>
          <w:numId w:val="2"/>
        </w:numPr>
        <w:spacing w:after="0" w:line="240" w:lineRule="auto"/>
        <w:jc w:val="both"/>
        <w:rPr>
          <w:rFonts w:ascii="Calibri" w:eastAsia="Times New Roman" w:hAnsi="Calibri" w:cs="Calibri"/>
          <w:color w:val="000000"/>
          <w:lang w:val="es-CR" w:eastAsia="es-CR"/>
        </w:rPr>
      </w:pPr>
      <w:r w:rsidRPr="00A8066D">
        <w:rPr>
          <w:rFonts w:ascii="Calibri" w:eastAsia="Times New Roman" w:hAnsi="Calibri" w:cs="Calibri"/>
          <w:color w:val="000000"/>
          <w:lang w:val="es-CR" w:eastAsia="es-CR"/>
        </w:rPr>
        <w:t>FBNCR: Fondo de Garantías y Jubilaciones de Empleados del Banco Nacional de Costa Rica.</w:t>
      </w:r>
    </w:p>
    <w:p w14:paraId="179A5C8F" w14:textId="77777777" w:rsidR="000E7D3E" w:rsidRPr="00A8066D" w:rsidRDefault="000E7D3E" w:rsidP="00C570BE">
      <w:pPr>
        <w:pStyle w:val="Prrafodelista"/>
        <w:numPr>
          <w:ilvl w:val="0"/>
          <w:numId w:val="2"/>
        </w:numPr>
        <w:spacing w:after="0" w:line="240" w:lineRule="auto"/>
        <w:jc w:val="both"/>
        <w:rPr>
          <w:rFonts w:ascii="Calibri" w:eastAsia="Times New Roman" w:hAnsi="Calibri" w:cs="Calibri"/>
          <w:color w:val="000000"/>
          <w:lang w:val="es-CR" w:eastAsia="es-CR"/>
        </w:rPr>
      </w:pPr>
      <w:r w:rsidRPr="00A8066D">
        <w:rPr>
          <w:rFonts w:ascii="Calibri" w:eastAsia="Times New Roman" w:hAnsi="Calibri" w:cs="Calibri"/>
          <w:color w:val="000000"/>
          <w:lang w:val="es-CR" w:eastAsia="es-CR"/>
        </w:rPr>
        <w:t>FCL: Fondo de capitalización laboral</w:t>
      </w:r>
    </w:p>
    <w:p w14:paraId="17DD8B54" w14:textId="77777777" w:rsidR="000E7D3E" w:rsidRPr="00A8066D" w:rsidRDefault="000E7D3E" w:rsidP="00C570BE">
      <w:pPr>
        <w:pStyle w:val="Prrafodelista"/>
        <w:numPr>
          <w:ilvl w:val="0"/>
          <w:numId w:val="2"/>
        </w:numPr>
        <w:spacing w:after="0" w:line="240" w:lineRule="auto"/>
        <w:jc w:val="both"/>
        <w:rPr>
          <w:rFonts w:ascii="Calibri" w:eastAsia="Times New Roman" w:hAnsi="Calibri" w:cs="Calibri"/>
          <w:color w:val="000000"/>
          <w:lang w:val="es-CR" w:eastAsia="es-CR"/>
        </w:rPr>
      </w:pPr>
      <w:r w:rsidRPr="00A8066D">
        <w:rPr>
          <w:rFonts w:ascii="Calibri" w:eastAsia="Times New Roman" w:hAnsi="Calibri" w:cs="Calibri"/>
          <w:color w:val="000000"/>
          <w:lang w:val="es-CR" w:eastAsia="es-CR"/>
        </w:rPr>
        <w:t>FGN: Fondo de Garantía Notarial</w:t>
      </w:r>
    </w:p>
    <w:p w14:paraId="2936E3E4" w14:textId="7213F303" w:rsidR="000E7D3E" w:rsidRPr="00A8066D" w:rsidRDefault="000E7D3E" w:rsidP="00C570BE">
      <w:pPr>
        <w:pStyle w:val="Prrafodelista"/>
        <w:numPr>
          <w:ilvl w:val="0"/>
          <w:numId w:val="2"/>
        </w:numPr>
        <w:spacing w:after="0" w:line="240" w:lineRule="auto"/>
        <w:jc w:val="both"/>
        <w:rPr>
          <w:rFonts w:ascii="Calibri" w:eastAsia="Times New Roman" w:hAnsi="Calibri" w:cs="Calibri"/>
          <w:color w:val="000000"/>
          <w:lang w:val="es-CR" w:eastAsia="es-CR"/>
        </w:rPr>
      </w:pPr>
      <w:r w:rsidRPr="00A8066D">
        <w:rPr>
          <w:rFonts w:ascii="Calibri" w:eastAsia="Times New Roman" w:hAnsi="Calibri" w:cs="Calibri"/>
          <w:color w:val="000000"/>
          <w:lang w:val="es-CR" w:eastAsia="es-CR"/>
        </w:rPr>
        <w:t>FICE: Fondo de Garantías y Ahorro de Empleados del Instituto Costarricense de Electricidad</w:t>
      </w:r>
    </w:p>
    <w:p w14:paraId="39D17B85" w14:textId="5A799B8F" w:rsidR="000E7D3E" w:rsidRPr="00A8066D" w:rsidRDefault="000E7D3E" w:rsidP="00C570BE">
      <w:pPr>
        <w:pStyle w:val="Prrafodelista"/>
        <w:numPr>
          <w:ilvl w:val="0"/>
          <w:numId w:val="2"/>
        </w:numPr>
        <w:spacing w:after="0" w:line="240" w:lineRule="auto"/>
        <w:jc w:val="both"/>
        <w:rPr>
          <w:rFonts w:ascii="Calibri" w:eastAsia="Times New Roman" w:hAnsi="Calibri" w:cs="Calibri"/>
          <w:color w:val="000000"/>
          <w:lang w:val="es-CR" w:eastAsia="es-CR"/>
        </w:rPr>
      </w:pPr>
      <w:r w:rsidRPr="00A8066D">
        <w:rPr>
          <w:rFonts w:ascii="Calibri" w:eastAsia="Times New Roman" w:hAnsi="Calibri" w:cs="Calibri"/>
          <w:color w:val="000000"/>
          <w:lang w:val="es-CR" w:eastAsia="es-CR"/>
        </w:rPr>
        <w:t>FICT: Fondo de Empleados del Instituto Costarricense de Turismo</w:t>
      </w:r>
    </w:p>
    <w:p w14:paraId="347C610D" w14:textId="77777777" w:rsidR="000E7D3E" w:rsidRPr="00A8066D" w:rsidRDefault="000E7D3E" w:rsidP="00C570BE">
      <w:pPr>
        <w:pStyle w:val="Prrafodelista"/>
        <w:numPr>
          <w:ilvl w:val="0"/>
          <w:numId w:val="2"/>
        </w:numPr>
        <w:spacing w:after="0" w:line="240" w:lineRule="auto"/>
        <w:jc w:val="both"/>
        <w:rPr>
          <w:rFonts w:ascii="Calibri" w:eastAsia="Times New Roman" w:hAnsi="Calibri" w:cs="Calibri"/>
          <w:color w:val="000000"/>
          <w:lang w:val="es-CR" w:eastAsia="es-CR"/>
        </w:rPr>
      </w:pPr>
      <w:r w:rsidRPr="00A8066D">
        <w:rPr>
          <w:rFonts w:ascii="Calibri" w:eastAsia="Times New Roman" w:hAnsi="Calibri" w:cs="Calibri"/>
          <w:color w:val="000000"/>
          <w:lang w:val="es-CR" w:eastAsia="es-CR"/>
        </w:rPr>
        <w:t>FPJ: Fondo de Jubilaciones y Pensiones del Poder Judicial.</w:t>
      </w:r>
    </w:p>
    <w:p w14:paraId="22A4115B" w14:textId="77777777" w:rsidR="000E7D3E" w:rsidRPr="00A8066D" w:rsidRDefault="000E7D3E" w:rsidP="00C570BE">
      <w:pPr>
        <w:pStyle w:val="Prrafodelista"/>
        <w:numPr>
          <w:ilvl w:val="0"/>
          <w:numId w:val="2"/>
        </w:numPr>
        <w:spacing w:after="0" w:line="240" w:lineRule="auto"/>
        <w:jc w:val="both"/>
        <w:rPr>
          <w:rFonts w:ascii="Calibri" w:eastAsia="Times New Roman" w:hAnsi="Calibri" w:cs="Calibri"/>
          <w:color w:val="000000"/>
          <w:lang w:val="es-CR" w:eastAsia="es-CR"/>
        </w:rPr>
      </w:pPr>
      <w:r w:rsidRPr="00A8066D">
        <w:rPr>
          <w:rFonts w:ascii="Calibri" w:eastAsia="Times New Roman" w:hAnsi="Calibri" w:cs="Calibri"/>
          <w:color w:val="000000"/>
          <w:lang w:val="es-CR" w:eastAsia="es-CR"/>
        </w:rPr>
        <w:t>FRE: Fondo de Retiro de los Empleados de la Caja Costarricense de Seguro Social.</w:t>
      </w:r>
    </w:p>
    <w:p w14:paraId="0B3A9D8A" w14:textId="77777777" w:rsidR="000E7D3E" w:rsidRPr="00A8066D" w:rsidRDefault="000E7D3E" w:rsidP="00C570BE">
      <w:pPr>
        <w:pStyle w:val="Prrafodelista"/>
        <w:numPr>
          <w:ilvl w:val="0"/>
          <w:numId w:val="2"/>
        </w:numPr>
        <w:spacing w:after="0" w:line="240" w:lineRule="auto"/>
        <w:jc w:val="both"/>
        <w:rPr>
          <w:rFonts w:ascii="Calibri" w:eastAsia="Times New Roman" w:hAnsi="Calibri" w:cs="Calibri"/>
          <w:color w:val="000000"/>
          <w:lang w:val="es-CR" w:eastAsia="es-CR"/>
        </w:rPr>
      </w:pPr>
      <w:r w:rsidRPr="00A8066D">
        <w:rPr>
          <w:rFonts w:ascii="Calibri" w:eastAsia="Times New Roman" w:hAnsi="Calibri" w:cs="Calibri"/>
          <w:color w:val="000000"/>
          <w:lang w:val="es-CR" w:eastAsia="es-CR"/>
        </w:rPr>
        <w:t>FVENLOT: Fondo de Jubilaciones y Pensiones de los Vendedores de Lotería.</w:t>
      </w:r>
    </w:p>
    <w:p w14:paraId="62BA6390" w14:textId="77777777" w:rsidR="00E716A6" w:rsidRPr="00A8066D" w:rsidRDefault="00E716A6" w:rsidP="00C570BE">
      <w:pPr>
        <w:pStyle w:val="Prrafodelista"/>
        <w:numPr>
          <w:ilvl w:val="0"/>
          <w:numId w:val="2"/>
        </w:numPr>
        <w:spacing w:after="0" w:line="240" w:lineRule="auto"/>
        <w:jc w:val="both"/>
        <w:rPr>
          <w:rFonts w:ascii="Calibri" w:eastAsia="Times New Roman" w:hAnsi="Calibri" w:cs="Calibri"/>
          <w:color w:val="000000"/>
          <w:lang w:val="es-CR" w:eastAsia="es-CR"/>
        </w:rPr>
      </w:pPr>
      <w:r w:rsidRPr="00A8066D">
        <w:rPr>
          <w:rFonts w:ascii="Calibri" w:eastAsia="Times New Roman" w:hAnsi="Calibri" w:cs="Calibri"/>
          <w:color w:val="000000"/>
          <w:lang w:val="es-CR" w:eastAsia="es-CR"/>
        </w:rPr>
        <w:t>INEC: I</w:t>
      </w:r>
      <w:r w:rsidR="00F31D6E" w:rsidRPr="00A8066D">
        <w:rPr>
          <w:rFonts w:ascii="Calibri" w:eastAsia="Times New Roman" w:hAnsi="Calibri" w:cs="Calibri"/>
          <w:color w:val="000000"/>
          <w:lang w:val="es-CR" w:eastAsia="es-CR"/>
        </w:rPr>
        <w:t>nstituto Nacional de Estadística y Censos</w:t>
      </w:r>
    </w:p>
    <w:p w14:paraId="238A8081" w14:textId="77777777" w:rsidR="00681C9F" w:rsidRPr="00A8066D" w:rsidRDefault="00681C9F" w:rsidP="00C570BE">
      <w:pPr>
        <w:pStyle w:val="Prrafodelista"/>
        <w:numPr>
          <w:ilvl w:val="0"/>
          <w:numId w:val="2"/>
        </w:numPr>
        <w:spacing w:after="0" w:line="240" w:lineRule="auto"/>
        <w:jc w:val="both"/>
        <w:rPr>
          <w:rFonts w:ascii="Calibri" w:eastAsia="Times New Roman" w:hAnsi="Calibri" w:cs="Calibri"/>
          <w:color w:val="000000"/>
          <w:lang w:val="es-CR" w:eastAsia="es-CR"/>
        </w:rPr>
      </w:pPr>
      <w:r w:rsidRPr="00A8066D">
        <w:rPr>
          <w:rFonts w:ascii="Calibri" w:eastAsia="Times New Roman" w:hAnsi="Calibri" w:cs="Calibri"/>
          <w:color w:val="000000"/>
          <w:lang w:val="es-CR" w:eastAsia="es-CR"/>
        </w:rPr>
        <w:t>JUPEMA: Junta de Pensiones del Magisterio Nacional</w:t>
      </w:r>
    </w:p>
    <w:p w14:paraId="13708BA4" w14:textId="77777777" w:rsidR="000E7D3E" w:rsidRPr="00A8066D" w:rsidRDefault="000E7D3E" w:rsidP="00C570BE">
      <w:pPr>
        <w:pStyle w:val="Prrafodelista"/>
        <w:numPr>
          <w:ilvl w:val="0"/>
          <w:numId w:val="2"/>
        </w:numPr>
        <w:spacing w:after="0" w:line="240" w:lineRule="auto"/>
        <w:jc w:val="both"/>
        <w:rPr>
          <w:rFonts w:ascii="Calibri" w:eastAsia="Times New Roman" w:hAnsi="Calibri" w:cs="Calibri"/>
          <w:color w:val="000000"/>
          <w:lang w:val="es-CR" w:eastAsia="es-CR"/>
        </w:rPr>
      </w:pPr>
      <w:r w:rsidRPr="00A8066D">
        <w:rPr>
          <w:rFonts w:ascii="Calibri" w:eastAsia="Times New Roman" w:hAnsi="Calibri" w:cs="Calibri"/>
          <w:color w:val="000000"/>
          <w:lang w:val="es-CR" w:eastAsia="es-CR"/>
        </w:rPr>
        <w:t xml:space="preserve">LPT: </w:t>
      </w:r>
      <w:bookmarkStart w:id="2" w:name="_Hlk55162105"/>
      <w:r w:rsidRPr="00A8066D">
        <w:rPr>
          <w:rFonts w:ascii="Calibri" w:eastAsia="Times New Roman" w:hAnsi="Calibri" w:cs="Calibri"/>
          <w:color w:val="000000"/>
          <w:lang w:val="es-CR" w:eastAsia="es-CR"/>
        </w:rPr>
        <w:t>Ley de Protección al trabajador</w:t>
      </w:r>
      <w:bookmarkEnd w:id="2"/>
    </w:p>
    <w:p w14:paraId="5FA9BD96" w14:textId="77777777" w:rsidR="00202EB9" w:rsidRPr="00A8066D" w:rsidRDefault="00202EB9" w:rsidP="00C570BE">
      <w:pPr>
        <w:pStyle w:val="Prrafodelista"/>
        <w:numPr>
          <w:ilvl w:val="0"/>
          <w:numId w:val="2"/>
        </w:numPr>
        <w:spacing w:after="0" w:line="240" w:lineRule="auto"/>
        <w:jc w:val="both"/>
        <w:rPr>
          <w:rFonts w:ascii="Calibri" w:eastAsia="Times New Roman" w:hAnsi="Calibri" w:cs="Calibri"/>
          <w:color w:val="000000"/>
          <w:lang w:val="es-CR" w:eastAsia="es-CR"/>
        </w:rPr>
      </w:pPr>
      <w:r w:rsidRPr="00A8066D">
        <w:rPr>
          <w:rFonts w:ascii="Calibri" w:eastAsia="Times New Roman" w:hAnsi="Calibri" w:cs="Calibri"/>
          <w:color w:val="000000"/>
          <w:lang w:val="es-CR" w:eastAsia="es-CR"/>
        </w:rPr>
        <w:t>MS</w:t>
      </w:r>
      <w:r w:rsidR="00AE2E8F" w:rsidRPr="00A8066D">
        <w:rPr>
          <w:rFonts w:ascii="Calibri" w:eastAsia="Times New Roman" w:hAnsi="Calibri" w:cs="Calibri"/>
          <w:color w:val="000000"/>
          <w:lang w:val="es-CR" w:eastAsia="es-CR"/>
        </w:rPr>
        <w:t xml:space="preserve">ER Modelo de supervisión y evaluación de riesgos </w:t>
      </w:r>
    </w:p>
    <w:p w14:paraId="0DDB0760" w14:textId="366E358A" w:rsidR="000E7D3E" w:rsidRPr="00A8066D" w:rsidRDefault="000E7D3E" w:rsidP="00C570BE">
      <w:pPr>
        <w:pStyle w:val="Prrafodelista"/>
        <w:numPr>
          <w:ilvl w:val="0"/>
          <w:numId w:val="2"/>
        </w:numPr>
        <w:spacing w:after="0" w:line="240" w:lineRule="auto"/>
        <w:jc w:val="both"/>
        <w:rPr>
          <w:rFonts w:ascii="Calibri" w:eastAsia="Times New Roman" w:hAnsi="Calibri" w:cs="Calibri"/>
          <w:color w:val="000000"/>
          <w:lang w:val="es-CR" w:eastAsia="es-CR"/>
        </w:rPr>
      </w:pPr>
      <w:r w:rsidRPr="00A8066D">
        <w:rPr>
          <w:rFonts w:ascii="Calibri" w:eastAsia="Times New Roman" w:hAnsi="Calibri" w:cs="Calibri"/>
          <w:color w:val="000000"/>
          <w:lang w:val="es-CR" w:eastAsia="es-CR"/>
        </w:rPr>
        <w:t xml:space="preserve">OPC: Operadoras de pensiones </w:t>
      </w:r>
      <w:r w:rsidR="007D617A" w:rsidRPr="00A8066D">
        <w:rPr>
          <w:rFonts w:ascii="Calibri" w:eastAsia="Times New Roman" w:hAnsi="Calibri" w:cs="Calibri"/>
          <w:color w:val="000000"/>
          <w:lang w:val="es-CR" w:eastAsia="es-CR"/>
        </w:rPr>
        <w:t>complementarias</w:t>
      </w:r>
    </w:p>
    <w:p w14:paraId="26B6A639" w14:textId="77777777" w:rsidR="00EA3529" w:rsidRPr="00A8066D" w:rsidRDefault="00EA3529" w:rsidP="00C570BE">
      <w:pPr>
        <w:pStyle w:val="Prrafodelista"/>
        <w:numPr>
          <w:ilvl w:val="0"/>
          <w:numId w:val="2"/>
        </w:numPr>
        <w:spacing w:after="0" w:line="240" w:lineRule="auto"/>
        <w:jc w:val="both"/>
        <w:rPr>
          <w:rFonts w:ascii="Calibri" w:eastAsia="Times New Roman" w:hAnsi="Calibri" w:cs="Calibri"/>
          <w:color w:val="000000"/>
          <w:lang w:val="es-CR" w:eastAsia="es-CR"/>
        </w:rPr>
      </w:pPr>
      <w:r w:rsidRPr="00A8066D">
        <w:rPr>
          <w:rFonts w:ascii="Calibri" w:eastAsia="Times New Roman" w:hAnsi="Calibri" w:cs="Calibri"/>
          <w:color w:val="000000"/>
          <w:lang w:val="es-CR" w:eastAsia="es-CR"/>
        </w:rPr>
        <w:t>PIB: Producto Interno Bruto</w:t>
      </w:r>
    </w:p>
    <w:p w14:paraId="4813A2F6" w14:textId="5B7AD270" w:rsidR="000E7D3E" w:rsidRPr="00A8066D" w:rsidRDefault="000E7D3E" w:rsidP="00C570BE">
      <w:pPr>
        <w:pStyle w:val="Prrafodelista"/>
        <w:numPr>
          <w:ilvl w:val="0"/>
          <w:numId w:val="2"/>
        </w:numPr>
        <w:spacing w:after="0" w:line="240" w:lineRule="auto"/>
        <w:jc w:val="both"/>
        <w:rPr>
          <w:rFonts w:ascii="Calibri" w:eastAsia="Times New Roman" w:hAnsi="Calibri" w:cs="Calibri"/>
          <w:color w:val="000000"/>
          <w:lang w:val="es-CR" w:eastAsia="es-CR"/>
        </w:rPr>
      </w:pPr>
      <w:r w:rsidRPr="00A8066D">
        <w:rPr>
          <w:rFonts w:ascii="Calibri" w:eastAsia="Times New Roman" w:hAnsi="Calibri" w:cs="Calibri"/>
          <w:color w:val="000000"/>
          <w:lang w:val="es-CR" w:eastAsia="es-CR"/>
        </w:rPr>
        <w:t>RCCMN: Régimen de Capitalización Colectiva del Sistema de Pensiones y Jubilaciones del Magisterio Nacional</w:t>
      </w:r>
    </w:p>
    <w:p w14:paraId="2FF6C33A" w14:textId="29A5DF78" w:rsidR="007A4DB7" w:rsidRPr="00A8066D" w:rsidRDefault="007A4DB7" w:rsidP="00C570BE">
      <w:pPr>
        <w:pStyle w:val="Prrafodelista"/>
        <w:numPr>
          <w:ilvl w:val="0"/>
          <w:numId w:val="2"/>
        </w:numPr>
        <w:spacing w:after="0" w:line="240" w:lineRule="auto"/>
        <w:jc w:val="both"/>
        <w:rPr>
          <w:rFonts w:ascii="Calibri" w:eastAsia="Times New Roman" w:hAnsi="Calibri" w:cs="Calibri"/>
          <w:color w:val="000000"/>
          <w:lang w:val="es-CR" w:eastAsia="es-CR"/>
        </w:rPr>
      </w:pPr>
      <w:r w:rsidRPr="00A8066D">
        <w:rPr>
          <w:rFonts w:ascii="Calibri" w:eastAsia="Times New Roman" w:hAnsi="Calibri" w:cs="Calibri"/>
          <w:color w:val="000000"/>
          <w:lang w:val="es-CR" w:eastAsia="es-CR"/>
        </w:rPr>
        <w:t>RIVM: Régimen de Invalidez, Vejez y Muerte de la CCSS</w:t>
      </w:r>
    </w:p>
    <w:p w14:paraId="515B0F89" w14:textId="098052C9" w:rsidR="000E7D3E" w:rsidRPr="00A8066D" w:rsidRDefault="000E7D3E" w:rsidP="00C570BE">
      <w:pPr>
        <w:pStyle w:val="Prrafodelista"/>
        <w:numPr>
          <w:ilvl w:val="0"/>
          <w:numId w:val="2"/>
        </w:numPr>
        <w:spacing w:after="0" w:line="240" w:lineRule="auto"/>
        <w:jc w:val="both"/>
        <w:rPr>
          <w:rFonts w:ascii="Calibri" w:eastAsia="Times New Roman" w:hAnsi="Calibri" w:cs="Calibri"/>
          <w:color w:val="000000"/>
          <w:lang w:val="es-CR" w:eastAsia="es-CR"/>
        </w:rPr>
      </w:pPr>
      <w:r w:rsidRPr="00A8066D">
        <w:rPr>
          <w:rFonts w:ascii="Calibri" w:eastAsia="Times New Roman" w:hAnsi="Calibri" w:cs="Calibri"/>
          <w:color w:val="000000"/>
          <w:lang w:val="es-CR" w:eastAsia="es-CR"/>
        </w:rPr>
        <w:t>ROP: Régimen Obligatorios de Pensiones Complementario</w:t>
      </w:r>
    </w:p>
    <w:p w14:paraId="1AF48E1D" w14:textId="0A16BDF1" w:rsidR="000A0944" w:rsidRPr="00A8066D" w:rsidRDefault="000A0944" w:rsidP="00C570BE">
      <w:pPr>
        <w:pStyle w:val="Prrafodelista"/>
        <w:numPr>
          <w:ilvl w:val="0"/>
          <w:numId w:val="2"/>
        </w:numPr>
        <w:spacing w:after="0" w:line="240" w:lineRule="auto"/>
        <w:jc w:val="both"/>
        <w:rPr>
          <w:rFonts w:ascii="Calibri" w:eastAsia="Times New Roman" w:hAnsi="Calibri" w:cs="Calibri"/>
          <w:color w:val="000000"/>
          <w:lang w:val="es-CR" w:eastAsia="es-CR"/>
        </w:rPr>
      </w:pPr>
      <w:r w:rsidRPr="00A8066D">
        <w:rPr>
          <w:rFonts w:ascii="Calibri" w:eastAsia="Times New Roman" w:hAnsi="Calibri" w:cs="Calibri"/>
          <w:color w:val="000000"/>
          <w:lang w:val="es-CR" w:eastAsia="es-CR"/>
        </w:rPr>
        <w:t xml:space="preserve">SICERE: Sistema Centralizado de Recaudación </w:t>
      </w:r>
    </w:p>
    <w:p w14:paraId="2D6FEE29" w14:textId="77777777" w:rsidR="000E7D3E" w:rsidRPr="00A8066D" w:rsidRDefault="000E7D3E" w:rsidP="00C570BE">
      <w:pPr>
        <w:pStyle w:val="Prrafodelista"/>
        <w:numPr>
          <w:ilvl w:val="0"/>
          <w:numId w:val="2"/>
        </w:numPr>
        <w:spacing w:after="0" w:line="240" w:lineRule="auto"/>
        <w:jc w:val="both"/>
        <w:rPr>
          <w:rFonts w:ascii="Calibri" w:eastAsia="Times New Roman" w:hAnsi="Calibri" w:cs="Calibri"/>
          <w:color w:val="000000"/>
          <w:lang w:val="es-CR" w:eastAsia="es-CR"/>
        </w:rPr>
      </w:pPr>
      <w:r w:rsidRPr="00A8066D">
        <w:rPr>
          <w:rFonts w:ascii="Calibri" w:eastAsia="Times New Roman" w:hAnsi="Calibri" w:cs="Calibri"/>
          <w:color w:val="000000"/>
          <w:lang w:val="es-CR" w:eastAsia="es-CR"/>
        </w:rPr>
        <w:t>SNP: Sistema Nacional de Pensiones</w:t>
      </w:r>
    </w:p>
    <w:p w14:paraId="08B117CB" w14:textId="0A528F4C" w:rsidR="00AE417E" w:rsidRPr="00A8066D" w:rsidRDefault="000E7D3E" w:rsidP="00A8066D">
      <w:pPr>
        <w:pStyle w:val="Prrafodelista"/>
        <w:numPr>
          <w:ilvl w:val="0"/>
          <w:numId w:val="2"/>
        </w:numPr>
        <w:spacing w:after="0" w:line="240" w:lineRule="auto"/>
        <w:jc w:val="both"/>
        <w:rPr>
          <w:rFonts w:ascii="Calibri" w:eastAsia="Times New Roman" w:hAnsi="Calibri" w:cs="Calibri"/>
          <w:color w:val="000000"/>
          <w:lang w:val="es-CR" w:eastAsia="es-CR"/>
        </w:rPr>
      </w:pPr>
      <w:r w:rsidRPr="00A8066D">
        <w:rPr>
          <w:rFonts w:ascii="Calibri" w:eastAsia="Times New Roman" w:hAnsi="Calibri" w:cs="Calibri"/>
          <w:color w:val="000000"/>
          <w:lang w:val="es-CR" w:eastAsia="es-CR"/>
        </w:rPr>
        <w:t>SUPEN: Superintendencia de Pensiones, órgano de desconcentración máxima del Banco Central de Costa Rica</w:t>
      </w:r>
      <w:r w:rsidR="00AE417E">
        <w:br w:type="page"/>
      </w:r>
    </w:p>
    <w:p w14:paraId="0CEA86E3" w14:textId="77777777" w:rsidR="002B6731" w:rsidRDefault="00394DBE" w:rsidP="00C570BE">
      <w:pPr>
        <w:pStyle w:val="Ttulo1"/>
        <w:numPr>
          <w:ilvl w:val="0"/>
          <w:numId w:val="1"/>
        </w:numPr>
      </w:pPr>
      <w:bookmarkStart w:id="3" w:name="_Toc64039555"/>
      <w:r>
        <w:t>Resumen ejecutivo</w:t>
      </w:r>
      <w:bookmarkEnd w:id="3"/>
    </w:p>
    <w:p w14:paraId="1C457886" w14:textId="77777777" w:rsidR="00512A6F" w:rsidRPr="00C50A6E" w:rsidRDefault="00512A6F" w:rsidP="00512A6F">
      <w:pPr>
        <w:spacing w:after="0" w:line="240" w:lineRule="auto"/>
        <w:jc w:val="both"/>
        <w:rPr>
          <w:rFonts w:ascii="Calibri" w:eastAsia="Times New Roman" w:hAnsi="Calibri" w:cs="Calibri"/>
          <w:color w:val="000000"/>
          <w:sz w:val="24"/>
          <w:szCs w:val="24"/>
          <w:lang w:val="es-CR" w:eastAsia="es-CR"/>
        </w:rPr>
      </w:pPr>
    </w:p>
    <w:p w14:paraId="302D8027" w14:textId="647D3910" w:rsidR="00512A6F" w:rsidRPr="00C50A6E" w:rsidRDefault="00512A6F" w:rsidP="004D0DCE">
      <w:pPr>
        <w:spacing w:after="0"/>
        <w:jc w:val="both"/>
        <w:rPr>
          <w:sz w:val="24"/>
          <w:szCs w:val="24"/>
        </w:rPr>
      </w:pPr>
      <w:r w:rsidRPr="00C50A6E">
        <w:rPr>
          <w:sz w:val="24"/>
          <w:szCs w:val="24"/>
        </w:rPr>
        <w:t xml:space="preserve">El Sistema Nacional de Pensiones (SNP) y el Fondo de Capitalización Laboral (FCL) administran recursos, a </w:t>
      </w:r>
      <w:r w:rsidR="005D0281" w:rsidRPr="00C50A6E">
        <w:rPr>
          <w:sz w:val="24"/>
          <w:szCs w:val="24"/>
        </w:rPr>
        <w:t xml:space="preserve">setiembre </w:t>
      </w:r>
      <w:r w:rsidRPr="00C50A6E">
        <w:rPr>
          <w:sz w:val="24"/>
          <w:szCs w:val="24"/>
        </w:rPr>
        <w:t xml:space="preserve">del 2020, que totalizan </w:t>
      </w:r>
      <w:bookmarkStart w:id="4" w:name="_Hlk48293175"/>
      <w:r w:rsidRPr="00C50A6E">
        <w:rPr>
          <w:sz w:val="24"/>
          <w:szCs w:val="24"/>
        </w:rPr>
        <w:t>₡</w:t>
      </w:r>
      <w:bookmarkEnd w:id="4"/>
      <w:r w:rsidRPr="00C50A6E">
        <w:rPr>
          <w:sz w:val="24"/>
          <w:szCs w:val="24"/>
        </w:rPr>
        <w:t>16,</w:t>
      </w:r>
      <w:r w:rsidR="00C73B02" w:rsidRPr="00C50A6E">
        <w:rPr>
          <w:sz w:val="24"/>
          <w:szCs w:val="24"/>
        </w:rPr>
        <w:t>7</w:t>
      </w:r>
      <w:r w:rsidRPr="00C50A6E">
        <w:rPr>
          <w:sz w:val="24"/>
          <w:szCs w:val="24"/>
        </w:rPr>
        <w:t xml:space="preserve"> billones, </w:t>
      </w:r>
      <w:r w:rsidR="00256911" w:rsidRPr="00C50A6E">
        <w:rPr>
          <w:sz w:val="24"/>
          <w:szCs w:val="24"/>
        </w:rPr>
        <w:t>equivalentes</w:t>
      </w:r>
      <w:r w:rsidRPr="00C50A6E">
        <w:rPr>
          <w:sz w:val="24"/>
          <w:szCs w:val="24"/>
        </w:rPr>
        <w:t xml:space="preserve"> al </w:t>
      </w:r>
      <w:r w:rsidR="00C73B02" w:rsidRPr="00C50A6E">
        <w:rPr>
          <w:sz w:val="24"/>
          <w:szCs w:val="24"/>
        </w:rPr>
        <w:t>47,4</w:t>
      </w:r>
      <w:r w:rsidRPr="00C50A6E">
        <w:rPr>
          <w:sz w:val="24"/>
          <w:szCs w:val="24"/>
        </w:rPr>
        <w:t xml:space="preserve">% del Producto Interno Bruto (PIB). El crecimiento durante los primeros </w:t>
      </w:r>
      <w:r w:rsidR="0052001A" w:rsidRPr="00C50A6E">
        <w:rPr>
          <w:sz w:val="24"/>
          <w:szCs w:val="24"/>
        </w:rPr>
        <w:t>nueve</w:t>
      </w:r>
      <w:r w:rsidRPr="00C50A6E">
        <w:rPr>
          <w:sz w:val="24"/>
          <w:szCs w:val="24"/>
        </w:rPr>
        <w:t xml:space="preserve"> meses del año ha sido del </w:t>
      </w:r>
      <w:r w:rsidR="0052001A" w:rsidRPr="00C50A6E">
        <w:rPr>
          <w:sz w:val="24"/>
          <w:szCs w:val="24"/>
        </w:rPr>
        <w:t>8,</w:t>
      </w:r>
      <w:r w:rsidR="00A63BF6" w:rsidRPr="00C50A6E">
        <w:rPr>
          <w:sz w:val="24"/>
          <w:szCs w:val="24"/>
        </w:rPr>
        <w:t>4</w:t>
      </w:r>
      <w:r w:rsidRPr="00C50A6E">
        <w:rPr>
          <w:sz w:val="24"/>
          <w:szCs w:val="24"/>
        </w:rPr>
        <w:t xml:space="preserve">%, </w:t>
      </w:r>
      <w:r w:rsidR="00EF5E48" w:rsidRPr="00C50A6E">
        <w:rPr>
          <w:sz w:val="24"/>
          <w:szCs w:val="24"/>
        </w:rPr>
        <w:t xml:space="preserve">menor </w:t>
      </w:r>
      <w:r w:rsidRPr="00C50A6E">
        <w:rPr>
          <w:sz w:val="24"/>
          <w:szCs w:val="24"/>
        </w:rPr>
        <w:t xml:space="preserve">en comparación con el crecimiento promedio anual de los últimos 10 años que ronda el 13,9%. </w:t>
      </w:r>
    </w:p>
    <w:p w14:paraId="28571691" w14:textId="300984F4" w:rsidR="0052001A" w:rsidRPr="00C50A6E" w:rsidRDefault="0052001A" w:rsidP="004D0DCE">
      <w:pPr>
        <w:spacing w:after="0"/>
        <w:jc w:val="both"/>
        <w:rPr>
          <w:sz w:val="24"/>
          <w:szCs w:val="24"/>
          <w:highlight w:val="yellow"/>
        </w:rPr>
      </w:pPr>
    </w:p>
    <w:p w14:paraId="1EBD3398" w14:textId="3AE1EEE0" w:rsidR="00252FBB" w:rsidRPr="00C50A6E" w:rsidRDefault="00512A6F" w:rsidP="004D0DCE">
      <w:pPr>
        <w:spacing w:after="0"/>
        <w:jc w:val="both"/>
        <w:rPr>
          <w:rFonts w:ascii="Calibri" w:eastAsia="Times New Roman" w:hAnsi="Calibri" w:cs="Calibri"/>
          <w:color w:val="000000"/>
          <w:sz w:val="24"/>
          <w:szCs w:val="24"/>
          <w:lang w:val="es-CR" w:eastAsia="es-CR"/>
        </w:rPr>
      </w:pPr>
      <w:r w:rsidRPr="00C50A6E">
        <w:rPr>
          <w:rFonts w:ascii="Calibri" w:eastAsia="Times New Roman" w:hAnsi="Calibri" w:cs="Calibri"/>
          <w:color w:val="000000" w:themeColor="text1"/>
          <w:sz w:val="24"/>
          <w:szCs w:val="24"/>
          <w:lang w:val="es-CR" w:eastAsia="es-CR"/>
        </w:rPr>
        <w:t xml:space="preserve">A partir de marzo vemos </w:t>
      </w:r>
      <w:r w:rsidR="0039020E" w:rsidRPr="00C50A6E">
        <w:rPr>
          <w:rFonts w:ascii="Calibri" w:eastAsia="Times New Roman" w:hAnsi="Calibri" w:cs="Calibri"/>
          <w:color w:val="000000" w:themeColor="text1"/>
          <w:sz w:val="24"/>
          <w:szCs w:val="24"/>
          <w:lang w:val="es-CR" w:eastAsia="es-CR"/>
        </w:rPr>
        <w:t xml:space="preserve">los efectos </w:t>
      </w:r>
      <w:r w:rsidR="0088082D" w:rsidRPr="00C50A6E">
        <w:rPr>
          <w:rFonts w:ascii="Calibri" w:eastAsia="Times New Roman" w:hAnsi="Calibri" w:cs="Calibri"/>
          <w:color w:val="000000" w:themeColor="text1"/>
          <w:sz w:val="24"/>
          <w:szCs w:val="24"/>
          <w:lang w:val="es-CR" w:eastAsia="es-CR"/>
        </w:rPr>
        <w:t>provocadas</w:t>
      </w:r>
      <w:r w:rsidR="00790B90" w:rsidRPr="00C50A6E">
        <w:rPr>
          <w:rFonts w:ascii="Calibri" w:eastAsia="Times New Roman" w:hAnsi="Calibri" w:cs="Calibri"/>
          <w:color w:val="000000" w:themeColor="text1"/>
          <w:sz w:val="24"/>
          <w:szCs w:val="24"/>
          <w:lang w:val="es-CR" w:eastAsia="es-CR"/>
        </w:rPr>
        <w:t xml:space="preserve"> </w:t>
      </w:r>
      <w:r w:rsidRPr="00C50A6E">
        <w:rPr>
          <w:rFonts w:ascii="Calibri" w:eastAsia="Times New Roman" w:hAnsi="Calibri" w:cs="Calibri"/>
          <w:color w:val="000000" w:themeColor="text1"/>
          <w:sz w:val="24"/>
          <w:szCs w:val="24"/>
          <w:lang w:val="es-CR" w:eastAsia="es-CR"/>
        </w:rPr>
        <w:t>por el COVID19,</w:t>
      </w:r>
      <w:r w:rsidR="00461010" w:rsidRPr="00C50A6E">
        <w:rPr>
          <w:rFonts w:ascii="Calibri" w:eastAsia="Times New Roman" w:hAnsi="Calibri" w:cs="Calibri"/>
          <w:color w:val="000000" w:themeColor="text1"/>
          <w:sz w:val="24"/>
          <w:szCs w:val="24"/>
          <w:lang w:val="es-CR" w:eastAsia="es-CR"/>
        </w:rPr>
        <w:t xml:space="preserve"> </w:t>
      </w:r>
      <w:r w:rsidR="008B06A0" w:rsidRPr="00C50A6E">
        <w:rPr>
          <w:rFonts w:ascii="Calibri" w:eastAsia="Times New Roman" w:hAnsi="Calibri" w:cs="Calibri"/>
          <w:color w:val="000000" w:themeColor="text1"/>
          <w:sz w:val="24"/>
          <w:szCs w:val="24"/>
          <w:lang w:val="es-CR" w:eastAsia="es-CR"/>
        </w:rPr>
        <w:t>en</w:t>
      </w:r>
      <w:r w:rsidR="008D24A1" w:rsidRPr="00C50A6E">
        <w:rPr>
          <w:rFonts w:ascii="Calibri" w:eastAsia="Times New Roman" w:hAnsi="Calibri" w:cs="Calibri"/>
          <w:color w:val="000000" w:themeColor="text1"/>
          <w:sz w:val="24"/>
          <w:szCs w:val="24"/>
          <w:lang w:val="es-CR" w:eastAsia="es-CR"/>
        </w:rPr>
        <w:t xml:space="preserve"> la actividad económica,</w:t>
      </w:r>
      <w:r w:rsidR="008B06A0" w:rsidRPr="00C50A6E">
        <w:rPr>
          <w:rFonts w:ascii="Calibri" w:eastAsia="Times New Roman" w:hAnsi="Calibri" w:cs="Calibri"/>
          <w:color w:val="000000" w:themeColor="text1"/>
          <w:sz w:val="24"/>
          <w:szCs w:val="24"/>
          <w:lang w:val="es-CR" w:eastAsia="es-CR"/>
        </w:rPr>
        <w:t xml:space="preserve"> el </w:t>
      </w:r>
      <w:r w:rsidR="008D24A1" w:rsidRPr="00C50A6E">
        <w:rPr>
          <w:rFonts w:ascii="Calibri" w:eastAsia="Times New Roman" w:hAnsi="Calibri" w:cs="Calibri"/>
          <w:color w:val="000000" w:themeColor="text1"/>
          <w:sz w:val="24"/>
          <w:szCs w:val="24"/>
          <w:lang w:val="es-CR" w:eastAsia="es-CR"/>
        </w:rPr>
        <w:t xml:space="preserve">empleo y </w:t>
      </w:r>
      <w:r w:rsidR="00C42973" w:rsidRPr="00C50A6E">
        <w:rPr>
          <w:rFonts w:ascii="Calibri" w:eastAsia="Times New Roman" w:hAnsi="Calibri" w:cs="Calibri"/>
          <w:color w:val="000000" w:themeColor="text1"/>
          <w:sz w:val="24"/>
          <w:szCs w:val="24"/>
          <w:lang w:val="es-CR" w:eastAsia="es-CR"/>
        </w:rPr>
        <w:t xml:space="preserve">los mercados financieros. Como primera consecuencia, </w:t>
      </w:r>
      <w:r w:rsidR="00440C42" w:rsidRPr="00C50A6E">
        <w:rPr>
          <w:rFonts w:ascii="Calibri" w:eastAsia="Times New Roman" w:hAnsi="Calibri" w:cs="Calibri"/>
          <w:color w:val="000000" w:themeColor="text1"/>
          <w:sz w:val="24"/>
          <w:szCs w:val="24"/>
          <w:lang w:val="es-CR" w:eastAsia="es-CR"/>
        </w:rPr>
        <w:t>ha generado una reducción en la recaudación en los</w:t>
      </w:r>
      <w:r w:rsidR="00C42973" w:rsidRPr="00C50A6E">
        <w:rPr>
          <w:rFonts w:ascii="Calibri" w:eastAsia="Times New Roman" w:hAnsi="Calibri" w:cs="Calibri"/>
          <w:color w:val="000000" w:themeColor="text1"/>
          <w:sz w:val="24"/>
          <w:szCs w:val="24"/>
          <w:lang w:val="es-CR" w:eastAsia="es-CR"/>
        </w:rPr>
        <w:t xml:space="preserve"> </w:t>
      </w:r>
      <w:r w:rsidR="00AB3BF7" w:rsidRPr="00C50A6E">
        <w:rPr>
          <w:rFonts w:ascii="Calibri" w:eastAsia="Times New Roman" w:hAnsi="Calibri" w:cs="Calibri"/>
          <w:color w:val="000000" w:themeColor="text1"/>
          <w:sz w:val="24"/>
          <w:szCs w:val="24"/>
          <w:lang w:val="es-CR" w:eastAsia="es-CR"/>
        </w:rPr>
        <w:t>fondos de pensiones</w:t>
      </w:r>
      <w:r w:rsidR="00790B90" w:rsidRPr="00C50A6E">
        <w:rPr>
          <w:rFonts w:ascii="Calibri" w:eastAsia="Times New Roman" w:hAnsi="Calibri" w:cs="Calibri"/>
          <w:color w:val="000000" w:themeColor="text1"/>
          <w:sz w:val="24"/>
          <w:szCs w:val="24"/>
          <w:lang w:val="es-CR" w:eastAsia="es-CR"/>
        </w:rPr>
        <w:t>,</w:t>
      </w:r>
      <w:r w:rsidR="003E7728" w:rsidRPr="00C50A6E">
        <w:rPr>
          <w:rFonts w:ascii="Calibri" w:eastAsia="Times New Roman" w:hAnsi="Calibri" w:cs="Calibri"/>
          <w:color w:val="000000" w:themeColor="text1"/>
          <w:sz w:val="24"/>
          <w:szCs w:val="24"/>
          <w:lang w:val="es-CR" w:eastAsia="es-CR"/>
        </w:rPr>
        <w:t xml:space="preserve"> principalmente por la di</w:t>
      </w:r>
      <w:r w:rsidR="004944B8" w:rsidRPr="00C50A6E">
        <w:rPr>
          <w:rFonts w:ascii="Calibri" w:eastAsia="Times New Roman" w:hAnsi="Calibri" w:cs="Calibri"/>
          <w:color w:val="000000" w:themeColor="text1"/>
          <w:sz w:val="24"/>
          <w:szCs w:val="24"/>
          <w:lang w:val="es-CR" w:eastAsia="es-CR"/>
        </w:rPr>
        <w:t>s</w:t>
      </w:r>
      <w:r w:rsidR="003E7728" w:rsidRPr="00C50A6E">
        <w:rPr>
          <w:rFonts w:ascii="Calibri" w:eastAsia="Times New Roman" w:hAnsi="Calibri" w:cs="Calibri"/>
          <w:color w:val="000000" w:themeColor="text1"/>
          <w:sz w:val="24"/>
          <w:szCs w:val="24"/>
          <w:lang w:val="es-CR" w:eastAsia="es-CR"/>
        </w:rPr>
        <w:t>minución en los aportes de los afiliados</w:t>
      </w:r>
      <w:r w:rsidR="00D71234" w:rsidRPr="00C50A6E">
        <w:rPr>
          <w:rFonts w:ascii="Calibri" w:eastAsia="Times New Roman" w:hAnsi="Calibri" w:cs="Calibri"/>
          <w:color w:val="000000" w:themeColor="text1"/>
          <w:sz w:val="24"/>
          <w:szCs w:val="24"/>
          <w:lang w:val="es-CR" w:eastAsia="es-CR"/>
        </w:rPr>
        <w:t>.</w:t>
      </w:r>
      <w:r w:rsidR="00600150" w:rsidRPr="00C50A6E">
        <w:rPr>
          <w:rFonts w:ascii="Calibri" w:eastAsia="Times New Roman" w:hAnsi="Calibri" w:cs="Calibri"/>
          <w:color w:val="000000" w:themeColor="text1"/>
          <w:sz w:val="24"/>
          <w:szCs w:val="24"/>
          <w:lang w:val="es-CR" w:eastAsia="es-CR"/>
        </w:rPr>
        <w:t xml:space="preserve"> Se </w:t>
      </w:r>
      <w:r w:rsidR="00080E72" w:rsidRPr="00C50A6E">
        <w:rPr>
          <w:rFonts w:ascii="Calibri" w:eastAsia="Times New Roman" w:hAnsi="Calibri" w:cs="Calibri"/>
          <w:color w:val="000000" w:themeColor="text1"/>
          <w:sz w:val="24"/>
          <w:szCs w:val="24"/>
          <w:lang w:val="es-CR" w:eastAsia="es-CR"/>
        </w:rPr>
        <w:t>continúan presentando</w:t>
      </w:r>
      <w:r w:rsidR="00D71234" w:rsidRPr="00C50A6E">
        <w:rPr>
          <w:rFonts w:ascii="Calibri" w:eastAsia="Times New Roman" w:hAnsi="Calibri" w:cs="Calibri"/>
          <w:color w:val="000000" w:themeColor="text1"/>
          <w:sz w:val="24"/>
          <w:szCs w:val="24"/>
          <w:lang w:val="es-CR" w:eastAsia="es-CR"/>
        </w:rPr>
        <w:t xml:space="preserve"> situaciones </w:t>
      </w:r>
      <w:r w:rsidR="0047684A" w:rsidRPr="00C50A6E">
        <w:rPr>
          <w:rFonts w:ascii="Calibri" w:eastAsia="Times New Roman" w:hAnsi="Calibri" w:cs="Calibri"/>
          <w:color w:val="000000" w:themeColor="text1"/>
          <w:sz w:val="24"/>
          <w:szCs w:val="24"/>
          <w:lang w:val="es-CR" w:eastAsia="es-CR"/>
        </w:rPr>
        <w:t>inéditas</w:t>
      </w:r>
      <w:r w:rsidR="00D71234" w:rsidRPr="00C50A6E">
        <w:rPr>
          <w:rFonts w:ascii="Calibri" w:eastAsia="Times New Roman" w:hAnsi="Calibri" w:cs="Calibri"/>
          <w:color w:val="000000" w:themeColor="text1"/>
          <w:sz w:val="24"/>
          <w:szCs w:val="24"/>
          <w:lang w:val="es-CR" w:eastAsia="es-CR"/>
        </w:rPr>
        <w:t xml:space="preserve"> en los fondos como </w:t>
      </w:r>
      <w:r w:rsidR="000F319B" w:rsidRPr="00C50A6E">
        <w:rPr>
          <w:rFonts w:ascii="Calibri" w:eastAsia="Times New Roman" w:hAnsi="Calibri" w:cs="Calibri"/>
          <w:color w:val="000000" w:themeColor="text1"/>
          <w:sz w:val="24"/>
          <w:szCs w:val="24"/>
          <w:lang w:val="es-CR" w:eastAsia="es-CR"/>
        </w:rPr>
        <w:t xml:space="preserve">la suspensión </w:t>
      </w:r>
      <w:r w:rsidR="00D434DD" w:rsidRPr="00C50A6E">
        <w:rPr>
          <w:rFonts w:ascii="Calibri" w:eastAsia="Times New Roman" w:hAnsi="Calibri" w:cs="Calibri"/>
          <w:color w:val="000000" w:themeColor="text1"/>
          <w:sz w:val="24"/>
          <w:szCs w:val="24"/>
          <w:lang w:val="es-CR" w:eastAsia="es-CR"/>
        </w:rPr>
        <w:t xml:space="preserve">y reactivación </w:t>
      </w:r>
      <w:r w:rsidR="000F319B" w:rsidRPr="00C50A6E">
        <w:rPr>
          <w:rFonts w:ascii="Calibri" w:eastAsia="Times New Roman" w:hAnsi="Calibri" w:cs="Calibri"/>
          <w:color w:val="000000" w:themeColor="text1"/>
          <w:sz w:val="24"/>
          <w:szCs w:val="24"/>
          <w:lang w:val="es-CR" w:eastAsia="es-CR"/>
        </w:rPr>
        <w:t>de los traslados de recursos entre operadoras por</w:t>
      </w:r>
      <w:r w:rsidR="007B4A4A" w:rsidRPr="00C50A6E">
        <w:rPr>
          <w:rFonts w:ascii="Calibri" w:eastAsia="Times New Roman" w:hAnsi="Calibri" w:cs="Calibri"/>
          <w:color w:val="000000" w:themeColor="text1"/>
          <w:sz w:val="24"/>
          <w:szCs w:val="24"/>
          <w:lang w:val="es-CR" w:eastAsia="es-CR"/>
        </w:rPr>
        <w:t xml:space="preserve"> la suspensión de la</w:t>
      </w:r>
      <w:r w:rsidR="000F319B" w:rsidRPr="00C50A6E">
        <w:rPr>
          <w:rFonts w:ascii="Calibri" w:eastAsia="Times New Roman" w:hAnsi="Calibri" w:cs="Calibri"/>
          <w:color w:val="000000" w:themeColor="text1"/>
          <w:sz w:val="24"/>
          <w:szCs w:val="24"/>
          <w:lang w:val="es-CR" w:eastAsia="es-CR"/>
        </w:rPr>
        <w:t xml:space="preserve"> libre transferencia, los retiros</w:t>
      </w:r>
      <w:r w:rsidR="00592873" w:rsidRPr="00C50A6E">
        <w:rPr>
          <w:rFonts w:ascii="Calibri" w:eastAsia="Times New Roman" w:hAnsi="Calibri" w:cs="Calibri"/>
          <w:color w:val="000000" w:themeColor="text1"/>
          <w:sz w:val="24"/>
          <w:szCs w:val="24"/>
          <w:lang w:val="es-CR" w:eastAsia="es-CR"/>
        </w:rPr>
        <w:t xml:space="preserve"> </w:t>
      </w:r>
      <w:r w:rsidR="007B4A4A" w:rsidRPr="00C50A6E">
        <w:rPr>
          <w:rFonts w:ascii="Calibri" w:eastAsia="Times New Roman" w:hAnsi="Calibri" w:cs="Calibri"/>
          <w:color w:val="000000" w:themeColor="text1"/>
          <w:sz w:val="24"/>
          <w:szCs w:val="24"/>
          <w:lang w:val="es-CR" w:eastAsia="es-CR"/>
        </w:rPr>
        <w:t xml:space="preserve">extraordinarios </w:t>
      </w:r>
      <w:r w:rsidR="00592873" w:rsidRPr="00C50A6E">
        <w:rPr>
          <w:rFonts w:ascii="Calibri" w:eastAsia="Times New Roman" w:hAnsi="Calibri" w:cs="Calibri"/>
          <w:color w:val="000000" w:themeColor="text1"/>
          <w:sz w:val="24"/>
          <w:szCs w:val="24"/>
          <w:lang w:val="es-CR" w:eastAsia="es-CR"/>
        </w:rPr>
        <w:t>del FCL</w:t>
      </w:r>
      <w:r w:rsidR="000F319B" w:rsidRPr="00C50A6E">
        <w:rPr>
          <w:rFonts w:ascii="Calibri" w:eastAsia="Times New Roman" w:hAnsi="Calibri" w:cs="Calibri"/>
          <w:color w:val="000000" w:themeColor="text1"/>
          <w:sz w:val="24"/>
          <w:szCs w:val="24"/>
          <w:lang w:val="es-CR" w:eastAsia="es-CR"/>
        </w:rPr>
        <w:t xml:space="preserve"> por reducción de jornada laboral y </w:t>
      </w:r>
      <w:r w:rsidR="00592873" w:rsidRPr="00C50A6E">
        <w:rPr>
          <w:rFonts w:ascii="Calibri" w:eastAsia="Times New Roman" w:hAnsi="Calibri" w:cs="Calibri"/>
          <w:color w:val="000000" w:themeColor="text1"/>
          <w:sz w:val="24"/>
          <w:szCs w:val="24"/>
          <w:lang w:val="es-CR" w:eastAsia="es-CR"/>
        </w:rPr>
        <w:t>suspensión del contrato</w:t>
      </w:r>
      <w:r w:rsidR="008B67A0" w:rsidRPr="00C50A6E">
        <w:rPr>
          <w:rFonts w:ascii="Calibri" w:eastAsia="Times New Roman" w:hAnsi="Calibri" w:cs="Calibri"/>
          <w:color w:val="000000" w:themeColor="text1"/>
          <w:sz w:val="24"/>
          <w:szCs w:val="24"/>
          <w:lang w:val="es-CR" w:eastAsia="es-CR"/>
        </w:rPr>
        <w:t>,</w:t>
      </w:r>
      <w:r w:rsidR="00592873" w:rsidRPr="00C50A6E">
        <w:rPr>
          <w:rFonts w:ascii="Calibri" w:eastAsia="Times New Roman" w:hAnsi="Calibri" w:cs="Calibri"/>
          <w:color w:val="000000" w:themeColor="text1"/>
          <w:sz w:val="24"/>
          <w:szCs w:val="24"/>
          <w:lang w:val="es-CR" w:eastAsia="es-CR"/>
        </w:rPr>
        <w:t xml:space="preserve"> </w:t>
      </w:r>
      <w:r w:rsidR="00D434DD" w:rsidRPr="00C50A6E">
        <w:rPr>
          <w:rFonts w:ascii="Calibri" w:eastAsia="Times New Roman" w:hAnsi="Calibri" w:cs="Calibri"/>
          <w:color w:val="000000" w:themeColor="text1"/>
          <w:sz w:val="24"/>
          <w:szCs w:val="24"/>
          <w:lang w:val="es-CR" w:eastAsia="es-CR"/>
        </w:rPr>
        <w:t>entre otro</w:t>
      </w:r>
      <w:r w:rsidR="0014333B" w:rsidRPr="00C50A6E">
        <w:rPr>
          <w:rFonts w:ascii="Calibri" w:eastAsia="Times New Roman" w:hAnsi="Calibri" w:cs="Calibri"/>
          <w:color w:val="000000" w:themeColor="text1"/>
          <w:sz w:val="24"/>
          <w:szCs w:val="24"/>
          <w:lang w:val="es-CR" w:eastAsia="es-CR"/>
        </w:rPr>
        <w:t>s.</w:t>
      </w:r>
    </w:p>
    <w:p w14:paraId="5B7122F6" w14:textId="77777777" w:rsidR="000C2E69" w:rsidRPr="00C50A6E" w:rsidRDefault="000C2E69" w:rsidP="004D0DCE">
      <w:pPr>
        <w:spacing w:after="0"/>
        <w:jc w:val="both"/>
        <w:rPr>
          <w:rFonts w:ascii="Calibri" w:eastAsia="Times New Roman" w:hAnsi="Calibri" w:cs="Calibri"/>
          <w:color w:val="000000"/>
          <w:sz w:val="24"/>
          <w:szCs w:val="24"/>
          <w:highlight w:val="yellow"/>
          <w:lang w:val="es-CR" w:eastAsia="es-CR"/>
        </w:rPr>
      </w:pPr>
    </w:p>
    <w:p w14:paraId="1E5721EB" w14:textId="77777777" w:rsidR="000C2E69" w:rsidRPr="00C50A6E" w:rsidRDefault="000C2E69" w:rsidP="004D0DCE">
      <w:pPr>
        <w:spacing w:after="0"/>
        <w:jc w:val="both"/>
        <w:rPr>
          <w:sz w:val="24"/>
          <w:szCs w:val="24"/>
        </w:rPr>
      </w:pPr>
      <w:r w:rsidRPr="00C50A6E">
        <w:rPr>
          <w:sz w:val="24"/>
          <w:szCs w:val="24"/>
        </w:rPr>
        <w:t xml:space="preserve">La inversión en el extranjero de los portafolios de pensiones ha presentado una recuperación durante el trimestre, la exposición de cada fondo depende de su propia composición, entre mayor sea el porcentaje de la cartera invertido en valores extranjeros, mayor ha sido la recuperación de las pérdidas sufridas durante marzo. </w:t>
      </w:r>
    </w:p>
    <w:p w14:paraId="0FBCF317" w14:textId="77777777" w:rsidR="000C2E69" w:rsidRPr="00C50A6E" w:rsidRDefault="000C2E69" w:rsidP="004D0DCE">
      <w:pPr>
        <w:spacing w:after="0"/>
        <w:jc w:val="both"/>
        <w:rPr>
          <w:sz w:val="24"/>
          <w:szCs w:val="24"/>
        </w:rPr>
      </w:pPr>
    </w:p>
    <w:p w14:paraId="5EC66E1A" w14:textId="65586BBB" w:rsidR="00662B8B" w:rsidRPr="00C50A6E" w:rsidRDefault="000C2E69" w:rsidP="004D0DCE">
      <w:pPr>
        <w:spacing w:after="0"/>
        <w:jc w:val="both"/>
        <w:rPr>
          <w:sz w:val="24"/>
          <w:szCs w:val="24"/>
        </w:rPr>
      </w:pPr>
      <w:r w:rsidRPr="00C50A6E">
        <w:rPr>
          <w:sz w:val="24"/>
          <w:szCs w:val="24"/>
        </w:rPr>
        <w:t xml:space="preserve">En el mercado local, la volatilidad del tipo de cambio mostró fluctuaciones relevantes en este trimestre, oscilando su valor entre un mínimo de </w:t>
      </w:r>
      <w:r w:rsidR="00825829" w:rsidRPr="00C50A6E">
        <w:rPr>
          <w:sz w:val="24"/>
          <w:szCs w:val="24"/>
        </w:rPr>
        <w:t>₡</w:t>
      </w:r>
      <w:r w:rsidRPr="00C50A6E">
        <w:rPr>
          <w:sz w:val="24"/>
          <w:szCs w:val="24"/>
        </w:rPr>
        <w:t>5</w:t>
      </w:r>
      <w:r w:rsidR="004C1914" w:rsidRPr="00C50A6E">
        <w:rPr>
          <w:sz w:val="24"/>
          <w:szCs w:val="24"/>
        </w:rPr>
        <w:t>82</w:t>
      </w:r>
      <w:r w:rsidRPr="00C50A6E">
        <w:rPr>
          <w:sz w:val="24"/>
          <w:szCs w:val="24"/>
        </w:rPr>
        <w:t>,</w:t>
      </w:r>
      <w:r w:rsidR="004C1914" w:rsidRPr="00C50A6E">
        <w:rPr>
          <w:sz w:val="24"/>
          <w:szCs w:val="24"/>
        </w:rPr>
        <w:t>86</w:t>
      </w:r>
      <w:r w:rsidRPr="00C50A6E">
        <w:rPr>
          <w:sz w:val="24"/>
          <w:szCs w:val="24"/>
        </w:rPr>
        <w:t xml:space="preserve"> y un máximo de </w:t>
      </w:r>
      <w:r w:rsidR="00825829" w:rsidRPr="00C50A6E">
        <w:rPr>
          <w:sz w:val="24"/>
          <w:szCs w:val="24"/>
        </w:rPr>
        <w:t>₡</w:t>
      </w:r>
      <w:r w:rsidR="004C1914" w:rsidRPr="00C50A6E">
        <w:rPr>
          <w:sz w:val="24"/>
          <w:szCs w:val="24"/>
        </w:rPr>
        <w:t>606</w:t>
      </w:r>
      <w:r w:rsidR="006E581B" w:rsidRPr="00C50A6E">
        <w:rPr>
          <w:sz w:val="24"/>
          <w:szCs w:val="24"/>
        </w:rPr>
        <w:t>,68</w:t>
      </w:r>
      <w:r w:rsidRPr="00C50A6E">
        <w:rPr>
          <w:sz w:val="24"/>
          <w:szCs w:val="24"/>
        </w:rPr>
        <w:t xml:space="preserve">. </w:t>
      </w:r>
      <w:r w:rsidR="006E581B" w:rsidRPr="00C50A6E">
        <w:rPr>
          <w:sz w:val="24"/>
          <w:szCs w:val="24"/>
        </w:rPr>
        <w:t xml:space="preserve">La tasa básica pasiva (TBP), su valor se mantuvo entre 3,95% (1° de julio) y 3,45% (24 de setiembre) cerrando el trimestre con una tendencia sostenida hacia la baja en 3,45%. </w:t>
      </w:r>
      <w:r w:rsidR="00F121B8" w:rsidRPr="00C50A6E">
        <w:rPr>
          <w:sz w:val="24"/>
          <w:szCs w:val="24"/>
        </w:rPr>
        <w:t xml:space="preserve">La tasa de política monetaria (TPM) se mantuvo sin variaciones durante el trimestre en 0,75%. </w:t>
      </w:r>
      <w:r w:rsidR="0068680E" w:rsidRPr="00C50A6E">
        <w:rPr>
          <w:sz w:val="24"/>
          <w:szCs w:val="24"/>
        </w:rPr>
        <w:t xml:space="preserve">Lo </w:t>
      </w:r>
      <w:r w:rsidR="004E01EB" w:rsidRPr="00C50A6E">
        <w:rPr>
          <w:sz w:val="24"/>
          <w:szCs w:val="24"/>
        </w:rPr>
        <w:t xml:space="preserve">anterior </w:t>
      </w:r>
      <w:r w:rsidR="0068680E" w:rsidRPr="00C50A6E">
        <w:rPr>
          <w:sz w:val="24"/>
          <w:szCs w:val="24"/>
        </w:rPr>
        <w:t xml:space="preserve">generó variaciones en la rentabilidad de los fondos que mantienen un porcentaje significativo de su portafolio en títulos </w:t>
      </w:r>
      <w:r w:rsidR="00E8627A" w:rsidRPr="00C50A6E">
        <w:rPr>
          <w:sz w:val="24"/>
          <w:szCs w:val="24"/>
        </w:rPr>
        <w:t>del mercado costarricense</w:t>
      </w:r>
      <w:r w:rsidR="0068680E" w:rsidRPr="00C50A6E">
        <w:rPr>
          <w:sz w:val="24"/>
          <w:szCs w:val="24"/>
        </w:rPr>
        <w:t>.</w:t>
      </w:r>
    </w:p>
    <w:p w14:paraId="3426736A" w14:textId="42267F13" w:rsidR="00250CD1" w:rsidRPr="00C50A6E" w:rsidRDefault="00250CD1" w:rsidP="004D0DCE">
      <w:pPr>
        <w:spacing w:after="0"/>
        <w:jc w:val="both"/>
        <w:rPr>
          <w:sz w:val="24"/>
          <w:szCs w:val="24"/>
        </w:rPr>
      </w:pPr>
    </w:p>
    <w:p w14:paraId="6FE55082" w14:textId="638C241D" w:rsidR="00351FA1" w:rsidRDefault="001807B6" w:rsidP="004D0DCE">
      <w:pPr>
        <w:spacing w:after="0"/>
        <w:jc w:val="both"/>
        <w:rPr>
          <w:rFonts w:asciiTheme="majorHAnsi" w:eastAsiaTheme="majorEastAsia" w:hAnsiTheme="majorHAnsi" w:cstheme="majorBidi"/>
          <w:color w:val="365F91" w:themeColor="accent1" w:themeShade="BF"/>
          <w:sz w:val="32"/>
          <w:szCs w:val="32"/>
        </w:rPr>
      </w:pPr>
      <w:r w:rsidRPr="00C50A6E">
        <w:rPr>
          <w:sz w:val="24"/>
          <w:szCs w:val="24"/>
        </w:rPr>
        <w:t>El 5 de octubre se aprobó el Decreto Legislativo N°9906, la Ley para resguardar el derecho de los trabajadores a retirar los recursos de la pensión complementaria, el cual contempla</w:t>
      </w:r>
      <w:r w:rsidR="12AE4DDD" w:rsidRPr="00C50A6E">
        <w:rPr>
          <w:sz w:val="24"/>
          <w:szCs w:val="24"/>
        </w:rPr>
        <w:t xml:space="preserve"> algunos</w:t>
      </w:r>
      <w:r w:rsidRPr="00C50A6E">
        <w:rPr>
          <w:sz w:val="24"/>
          <w:szCs w:val="24"/>
        </w:rPr>
        <w:t xml:space="preserve"> cambios a la </w:t>
      </w:r>
      <w:r w:rsidRPr="00C50A6E">
        <w:rPr>
          <w:rFonts w:ascii="Calibri" w:eastAsia="Times New Roman" w:hAnsi="Calibri" w:cs="Calibri"/>
          <w:color w:val="000000" w:themeColor="text1"/>
          <w:sz w:val="24"/>
          <w:szCs w:val="24"/>
          <w:lang w:val="es-CR" w:eastAsia="es-CR"/>
        </w:rPr>
        <w:t>Ley de Protección al trabajador</w:t>
      </w:r>
      <w:r w:rsidRPr="00C50A6E">
        <w:rPr>
          <w:sz w:val="24"/>
          <w:szCs w:val="24"/>
        </w:rPr>
        <w:t xml:space="preserve"> (LPT)</w:t>
      </w:r>
      <w:r w:rsidR="00D85422" w:rsidRPr="00C50A6E">
        <w:rPr>
          <w:sz w:val="24"/>
          <w:szCs w:val="24"/>
        </w:rPr>
        <w:t>, que introducen varios productos que permiten el retiro acelerado de los recursos.</w:t>
      </w:r>
      <w:r w:rsidR="00351FA1">
        <w:br w:type="page"/>
      </w:r>
    </w:p>
    <w:p w14:paraId="4B4E8E20" w14:textId="77777777" w:rsidR="00394DBE" w:rsidRPr="00394DBE" w:rsidRDefault="00394DBE" w:rsidP="00C570BE">
      <w:pPr>
        <w:pStyle w:val="Ttulo1"/>
        <w:numPr>
          <w:ilvl w:val="0"/>
          <w:numId w:val="1"/>
        </w:numPr>
      </w:pPr>
      <w:bookmarkStart w:id="5" w:name="_Toc64039556"/>
      <w:r>
        <w:t>Introducción</w:t>
      </w:r>
      <w:bookmarkEnd w:id="5"/>
    </w:p>
    <w:p w14:paraId="1FAF480E" w14:textId="77777777" w:rsidR="00DA1AF3" w:rsidRPr="00C50A6E" w:rsidRDefault="00DA1AF3" w:rsidP="00C50A6E">
      <w:pPr>
        <w:spacing w:after="0" w:line="360" w:lineRule="auto"/>
        <w:jc w:val="both"/>
        <w:rPr>
          <w:rFonts w:ascii="Calibri" w:eastAsia="Times New Roman" w:hAnsi="Calibri" w:cs="Calibri"/>
          <w:color w:val="000000"/>
          <w:sz w:val="24"/>
          <w:szCs w:val="24"/>
          <w:lang w:val="es-CR" w:eastAsia="es-CR"/>
        </w:rPr>
      </w:pPr>
    </w:p>
    <w:p w14:paraId="226C002D" w14:textId="77777777" w:rsidR="00C9285A" w:rsidRPr="00C50A6E" w:rsidRDefault="00C9285A" w:rsidP="00C50A6E">
      <w:pPr>
        <w:spacing w:after="0" w:line="360" w:lineRule="auto"/>
        <w:jc w:val="both"/>
        <w:rPr>
          <w:rFonts w:ascii="Calibri" w:eastAsia="Times New Roman" w:hAnsi="Calibri" w:cs="Calibri"/>
          <w:color w:val="000000"/>
          <w:sz w:val="24"/>
          <w:szCs w:val="24"/>
          <w:lang w:val="es-CR" w:eastAsia="es-CR"/>
        </w:rPr>
      </w:pPr>
      <w:r w:rsidRPr="00C50A6E">
        <w:rPr>
          <w:rFonts w:ascii="Calibri" w:eastAsia="Times New Roman" w:hAnsi="Calibri" w:cs="Calibri"/>
          <w:color w:val="000000"/>
          <w:sz w:val="24"/>
          <w:szCs w:val="24"/>
          <w:lang w:val="es-CR" w:eastAsia="es-CR"/>
        </w:rPr>
        <w:t xml:space="preserve">La Superintendencia de Pensiones presenta al Consejo Nacional de Supervisión del Sistema Financiero (CONASSIF) un informe trimestral sobre la evolución del sistema de pensiones (SNP) y la situación de los entes supervisados, según lo dispuesto en el artículo 38, inciso n) de la Ley 7523, Régimen Privado de Pensiones Complementarias. </w:t>
      </w:r>
    </w:p>
    <w:p w14:paraId="244F95F1" w14:textId="77777777" w:rsidR="00C9285A" w:rsidRPr="00C50A6E" w:rsidRDefault="00C9285A" w:rsidP="00C50A6E">
      <w:pPr>
        <w:spacing w:after="0" w:line="360" w:lineRule="auto"/>
        <w:jc w:val="both"/>
        <w:rPr>
          <w:rFonts w:ascii="Calibri" w:eastAsia="Times New Roman" w:hAnsi="Calibri" w:cs="Calibri"/>
          <w:color w:val="000000"/>
          <w:sz w:val="24"/>
          <w:szCs w:val="24"/>
          <w:lang w:val="es-CR" w:eastAsia="es-CR"/>
        </w:rPr>
      </w:pPr>
    </w:p>
    <w:p w14:paraId="1C37FEFE" w14:textId="77777777" w:rsidR="00C9285A" w:rsidRPr="00C50A6E" w:rsidRDefault="00C9285A" w:rsidP="00C50A6E">
      <w:pPr>
        <w:spacing w:after="0" w:line="360" w:lineRule="auto"/>
        <w:jc w:val="both"/>
        <w:rPr>
          <w:rFonts w:ascii="Calibri" w:eastAsia="Times New Roman" w:hAnsi="Calibri" w:cs="Calibri"/>
          <w:color w:val="000000"/>
          <w:sz w:val="24"/>
          <w:szCs w:val="24"/>
          <w:lang w:val="es-CR" w:eastAsia="es-CR"/>
        </w:rPr>
      </w:pPr>
      <w:r w:rsidRPr="00C50A6E">
        <w:rPr>
          <w:rFonts w:ascii="Calibri" w:eastAsia="Times New Roman" w:hAnsi="Calibri" w:cs="Calibri"/>
          <w:color w:val="000000"/>
          <w:sz w:val="24"/>
          <w:szCs w:val="24"/>
          <w:lang w:val="es-CR" w:eastAsia="es-CR"/>
        </w:rPr>
        <w:t xml:space="preserve">Este informe tiene una visión global del sistema de pensiones, en el sentido de que analiza tanto las variables relevantes respecto a la caracterización del ahorro nacional, así como las situaciones particulares relevantes que enfrentan cada uno de los sujetos fiscalizados, permitiendo a los señores miembros del Consejo un criterio informado, de lo que acontece y de las labores que el supervisor ha emprendido. </w:t>
      </w:r>
    </w:p>
    <w:p w14:paraId="2B3E11D8" w14:textId="77777777" w:rsidR="00C9285A" w:rsidRPr="00C50A6E" w:rsidRDefault="00C9285A" w:rsidP="00C50A6E">
      <w:pPr>
        <w:spacing w:after="0" w:line="360" w:lineRule="auto"/>
        <w:jc w:val="both"/>
        <w:rPr>
          <w:rFonts w:ascii="Calibri" w:eastAsia="Times New Roman" w:hAnsi="Calibri" w:cs="Calibri"/>
          <w:color w:val="000000"/>
          <w:sz w:val="24"/>
          <w:szCs w:val="24"/>
          <w:lang w:val="es-CR" w:eastAsia="es-CR"/>
        </w:rPr>
      </w:pPr>
    </w:p>
    <w:p w14:paraId="073F4E75" w14:textId="77777777" w:rsidR="006929F8" w:rsidRPr="00C50A6E" w:rsidRDefault="00C9285A" w:rsidP="00C50A6E">
      <w:pPr>
        <w:spacing w:after="0" w:line="360" w:lineRule="auto"/>
        <w:jc w:val="both"/>
        <w:rPr>
          <w:rFonts w:ascii="Calibri" w:eastAsia="Times New Roman" w:hAnsi="Calibri" w:cs="Calibri"/>
          <w:color w:val="000000"/>
          <w:sz w:val="24"/>
          <w:szCs w:val="24"/>
          <w:lang w:val="es-CR" w:eastAsia="es-CR"/>
        </w:rPr>
      </w:pPr>
      <w:r w:rsidRPr="00C50A6E">
        <w:rPr>
          <w:rFonts w:ascii="Calibri" w:eastAsia="Times New Roman" w:hAnsi="Calibri" w:cs="Calibri"/>
          <w:color w:val="000000"/>
          <w:sz w:val="24"/>
          <w:szCs w:val="24"/>
          <w:lang w:val="es-CR" w:eastAsia="es-CR"/>
        </w:rPr>
        <w:t>El documento enfatiza los hechos relevantes sucedidos en el trimestre en análisis, con influencia en el desempeño del SNP</w:t>
      </w:r>
      <w:r w:rsidR="00FC355E" w:rsidRPr="00C50A6E">
        <w:rPr>
          <w:rFonts w:ascii="Calibri" w:eastAsia="Times New Roman" w:hAnsi="Calibri" w:cs="Calibri"/>
          <w:color w:val="000000"/>
          <w:sz w:val="24"/>
          <w:szCs w:val="24"/>
          <w:lang w:val="es-CR" w:eastAsia="es-CR"/>
        </w:rPr>
        <w:t xml:space="preserve">. </w:t>
      </w:r>
      <w:r w:rsidR="00974E59" w:rsidRPr="00C50A6E">
        <w:rPr>
          <w:rFonts w:ascii="Calibri" w:eastAsia="Times New Roman" w:hAnsi="Calibri" w:cs="Calibri"/>
          <w:color w:val="000000"/>
          <w:sz w:val="24"/>
          <w:szCs w:val="24"/>
          <w:lang w:val="es-CR" w:eastAsia="es-CR"/>
        </w:rPr>
        <w:t xml:space="preserve">Además, </w:t>
      </w:r>
      <w:r w:rsidR="001E6FE7" w:rsidRPr="00C50A6E">
        <w:rPr>
          <w:rFonts w:ascii="Calibri" w:eastAsia="Times New Roman" w:hAnsi="Calibri" w:cs="Calibri"/>
          <w:color w:val="000000"/>
          <w:sz w:val="24"/>
          <w:szCs w:val="24"/>
          <w:lang w:val="es-CR" w:eastAsia="es-CR"/>
        </w:rPr>
        <w:t>d</w:t>
      </w:r>
      <w:r w:rsidR="005B53AB" w:rsidRPr="00C50A6E">
        <w:rPr>
          <w:rFonts w:ascii="Calibri" w:eastAsia="Times New Roman" w:hAnsi="Calibri" w:cs="Calibri"/>
          <w:color w:val="000000"/>
          <w:sz w:val="24"/>
          <w:szCs w:val="24"/>
          <w:lang w:val="es-CR" w:eastAsia="es-CR"/>
        </w:rPr>
        <w:t>escribe</w:t>
      </w:r>
      <w:r w:rsidRPr="00C50A6E">
        <w:rPr>
          <w:rFonts w:ascii="Calibri" w:eastAsia="Times New Roman" w:hAnsi="Calibri" w:cs="Calibri"/>
          <w:color w:val="000000"/>
          <w:sz w:val="24"/>
          <w:szCs w:val="24"/>
          <w:lang w:val="es-CR" w:eastAsia="es-CR"/>
        </w:rPr>
        <w:t xml:space="preserve"> los hechos puntuales que han afectado</w:t>
      </w:r>
      <w:r w:rsidR="00243E13" w:rsidRPr="00C50A6E">
        <w:rPr>
          <w:rFonts w:ascii="Calibri" w:eastAsia="Times New Roman" w:hAnsi="Calibri" w:cs="Calibri"/>
          <w:color w:val="000000"/>
          <w:sz w:val="24"/>
          <w:szCs w:val="24"/>
          <w:lang w:val="es-CR" w:eastAsia="es-CR"/>
        </w:rPr>
        <w:t xml:space="preserve"> a</w:t>
      </w:r>
      <w:r w:rsidR="005B53AB" w:rsidRPr="00C50A6E">
        <w:rPr>
          <w:rFonts w:ascii="Calibri" w:eastAsia="Times New Roman" w:hAnsi="Calibri" w:cs="Calibri"/>
          <w:color w:val="000000"/>
          <w:sz w:val="24"/>
          <w:szCs w:val="24"/>
          <w:lang w:val="es-CR" w:eastAsia="es-CR"/>
        </w:rPr>
        <w:t xml:space="preserve"> las entidades supervisadas </w:t>
      </w:r>
      <w:r w:rsidR="001E6FE7" w:rsidRPr="00C50A6E">
        <w:rPr>
          <w:rFonts w:ascii="Calibri" w:eastAsia="Times New Roman" w:hAnsi="Calibri" w:cs="Calibri"/>
          <w:color w:val="000000"/>
          <w:sz w:val="24"/>
          <w:szCs w:val="24"/>
          <w:lang w:val="es-CR" w:eastAsia="es-CR"/>
        </w:rPr>
        <w:t>producto</w:t>
      </w:r>
      <w:r w:rsidRPr="00C50A6E">
        <w:rPr>
          <w:rFonts w:ascii="Calibri" w:eastAsia="Times New Roman" w:hAnsi="Calibri" w:cs="Calibri"/>
          <w:color w:val="000000"/>
          <w:sz w:val="24"/>
          <w:szCs w:val="24"/>
          <w:lang w:val="es-CR" w:eastAsia="es-CR"/>
        </w:rPr>
        <w:t xml:space="preserve"> del COVID-19. </w:t>
      </w:r>
    </w:p>
    <w:p w14:paraId="22B1A0D1" w14:textId="77777777" w:rsidR="001F7B97" w:rsidRPr="00C50A6E" w:rsidRDefault="001F7B97" w:rsidP="00C50A6E">
      <w:pPr>
        <w:spacing w:after="0" w:line="360" w:lineRule="auto"/>
        <w:jc w:val="both"/>
        <w:rPr>
          <w:rFonts w:ascii="Calibri" w:eastAsia="Times New Roman" w:hAnsi="Calibri" w:cs="Calibri"/>
          <w:color w:val="000000"/>
          <w:sz w:val="24"/>
          <w:szCs w:val="24"/>
          <w:lang w:val="es-CR" w:eastAsia="es-CR"/>
        </w:rPr>
      </w:pPr>
    </w:p>
    <w:p w14:paraId="13734241" w14:textId="77777777" w:rsidR="00C01A6B" w:rsidRDefault="00C01A6B">
      <w:pPr>
        <w:rPr>
          <w:rFonts w:asciiTheme="majorHAnsi" w:eastAsiaTheme="majorEastAsia" w:hAnsiTheme="majorHAnsi" w:cstheme="majorBidi"/>
          <w:color w:val="365F91" w:themeColor="accent1" w:themeShade="BF"/>
          <w:sz w:val="32"/>
          <w:szCs w:val="32"/>
        </w:rPr>
      </w:pPr>
      <w:r>
        <w:br w:type="page"/>
      </w:r>
    </w:p>
    <w:p w14:paraId="47C1604D" w14:textId="77777777" w:rsidR="006929F8" w:rsidRDefault="006929F8" w:rsidP="00C570BE">
      <w:pPr>
        <w:pStyle w:val="Ttulo1"/>
        <w:numPr>
          <w:ilvl w:val="0"/>
          <w:numId w:val="1"/>
        </w:numPr>
      </w:pPr>
      <w:bookmarkStart w:id="6" w:name="_Toc64039557"/>
      <w:r>
        <w:t xml:space="preserve">Efectos </w:t>
      </w:r>
      <w:r w:rsidR="009975CE">
        <w:t xml:space="preserve">del </w:t>
      </w:r>
      <w:r>
        <w:t>Covid-19</w:t>
      </w:r>
      <w:r w:rsidR="009975CE">
        <w:t xml:space="preserve"> en los Fondos de pensión</w:t>
      </w:r>
      <w:bookmarkEnd w:id="6"/>
    </w:p>
    <w:p w14:paraId="55A62DDA" w14:textId="77777777" w:rsidR="00AD5AED" w:rsidRPr="00AD5AED" w:rsidRDefault="00AD5AED" w:rsidP="00AD5AED">
      <w:pPr>
        <w:spacing w:after="0" w:line="240" w:lineRule="auto"/>
      </w:pPr>
    </w:p>
    <w:p w14:paraId="6339D857" w14:textId="6CA86938" w:rsidR="00CD698F" w:rsidRDefault="00C02D33" w:rsidP="00A8066D">
      <w:pPr>
        <w:spacing w:after="0" w:line="360" w:lineRule="auto"/>
        <w:jc w:val="both"/>
        <w:rPr>
          <w:rFonts w:ascii="Calibri" w:eastAsia="Times New Roman" w:hAnsi="Calibri" w:cs="Calibri"/>
          <w:color w:val="000000"/>
          <w:lang w:val="es-CR" w:eastAsia="es-CR"/>
        </w:rPr>
      </w:pPr>
      <w:r w:rsidRPr="00C02D33">
        <w:rPr>
          <w:rFonts w:ascii="Calibri" w:eastAsia="Times New Roman" w:hAnsi="Calibri" w:cs="Calibri"/>
          <w:color w:val="000000"/>
          <w:lang w:val="es-CR" w:eastAsia="es-CR"/>
        </w:rPr>
        <w:t>La Superintendencia de Pensiones se mantiene operando bajo la modalidad de teletrabajo</w:t>
      </w:r>
      <w:r w:rsidR="00686DE8">
        <w:rPr>
          <w:rFonts w:ascii="Calibri" w:eastAsia="Times New Roman" w:hAnsi="Calibri" w:cs="Calibri"/>
          <w:color w:val="000000"/>
          <w:lang w:val="es-CR" w:eastAsia="es-CR"/>
        </w:rPr>
        <w:t xml:space="preserve"> durante el trimestre</w:t>
      </w:r>
      <w:r w:rsidR="00844D6D">
        <w:rPr>
          <w:rFonts w:ascii="Calibri" w:eastAsia="Times New Roman" w:hAnsi="Calibri" w:cs="Calibri"/>
          <w:color w:val="000000"/>
          <w:lang w:val="es-CR" w:eastAsia="es-CR"/>
        </w:rPr>
        <w:t xml:space="preserve">, </w:t>
      </w:r>
      <w:r w:rsidRPr="00C02D33">
        <w:rPr>
          <w:rFonts w:ascii="Calibri" w:eastAsia="Times New Roman" w:hAnsi="Calibri" w:cs="Calibri"/>
          <w:color w:val="000000"/>
          <w:lang w:val="es-CR" w:eastAsia="es-CR"/>
        </w:rPr>
        <w:t xml:space="preserve">las labores </w:t>
      </w:r>
      <w:r w:rsidR="00844D6D">
        <w:rPr>
          <w:rFonts w:ascii="Calibri" w:eastAsia="Times New Roman" w:hAnsi="Calibri" w:cs="Calibri"/>
          <w:color w:val="000000"/>
          <w:lang w:val="es-CR" w:eastAsia="es-CR"/>
        </w:rPr>
        <w:t xml:space="preserve">de supervisión </w:t>
      </w:r>
      <w:r w:rsidRPr="00C02D33">
        <w:rPr>
          <w:rFonts w:ascii="Calibri" w:eastAsia="Times New Roman" w:hAnsi="Calibri" w:cs="Calibri"/>
          <w:color w:val="000000"/>
          <w:lang w:val="es-CR" w:eastAsia="es-CR"/>
        </w:rPr>
        <w:t xml:space="preserve">se han desempeñado con normalidad, ejecutando las actividades de supervisión de forma virtual, según lo planificado en el Plan Anual de Supervisión (PAS) de 2020 y en aplicación del Modelo de Supervisión y Evaluación de Riesgos (MSER). </w:t>
      </w:r>
    </w:p>
    <w:p w14:paraId="1DA50D3A" w14:textId="77777777" w:rsidR="00040FCB" w:rsidRDefault="00E809EF" w:rsidP="00C570BE">
      <w:pPr>
        <w:pStyle w:val="Ttulo2"/>
        <w:numPr>
          <w:ilvl w:val="1"/>
          <w:numId w:val="1"/>
        </w:numPr>
      </w:pPr>
      <w:bookmarkStart w:id="7" w:name="_Toc64039558"/>
      <w:r>
        <w:t>Efectos en</w:t>
      </w:r>
      <w:r w:rsidR="00C74688" w:rsidRPr="00C74688">
        <w:t xml:space="preserve"> </w:t>
      </w:r>
      <w:r w:rsidR="00040FCB">
        <w:t>Regímenes de Capitalización Individual</w:t>
      </w:r>
      <w:bookmarkEnd w:id="7"/>
      <w:r w:rsidR="00040FCB" w:rsidRPr="00040FCB">
        <w:t xml:space="preserve"> </w:t>
      </w:r>
    </w:p>
    <w:p w14:paraId="5FF930CD" w14:textId="77777777" w:rsidR="00F42881" w:rsidRPr="00F42881" w:rsidRDefault="00F42881" w:rsidP="002F3869">
      <w:pPr>
        <w:spacing w:after="0" w:line="240" w:lineRule="auto"/>
      </w:pPr>
    </w:p>
    <w:p w14:paraId="35578F06" w14:textId="77777777" w:rsidR="00632796" w:rsidRPr="00632796" w:rsidRDefault="00632796" w:rsidP="002A064F">
      <w:pPr>
        <w:pStyle w:val="Ttulo3"/>
        <w:numPr>
          <w:ilvl w:val="2"/>
          <w:numId w:val="1"/>
        </w:numPr>
        <w:jc w:val="both"/>
      </w:pPr>
      <w:bookmarkStart w:id="8" w:name="_Toc64039559"/>
      <w:r w:rsidRPr="00632796">
        <w:t>Reactivación del traslado de los recursos de los afiliados entre operadoras</w:t>
      </w:r>
      <w:bookmarkEnd w:id="8"/>
    </w:p>
    <w:p w14:paraId="749128A9" w14:textId="37EA8FA9" w:rsidR="009663EA" w:rsidRDefault="009663EA" w:rsidP="00A8066D">
      <w:pPr>
        <w:spacing w:after="0" w:line="360" w:lineRule="auto"/>
        <w:jc w:val="both"/>
      </w:pPr>
      <w:r w:rsidRPr="009663EA">
        <w:t>Mediante la resolución CNS-1598/06 del CONASSIF emitida el 21 de agosto de 2020, se comunicó el levantamiento de la suspensión de la libre transferencia la cual se dejó de ejercer desde el 25 de mayo 2020. En el oficio SP-1105-2020 de esa misma fecha, la SUPEN remitió los lineamientos operativos necesarios para la ejecución de la libre transferencia a través del Sistema Electrónico de Compensación (SEC), la cual se reanudó con éxito el 2 de setiembre de 2020. En la siguiente tabla se presentan los resultados de la reactivación del proceso de traslado de recursos del 2 de setiembre de este año:</w:t>
      </w:r>
    </w:p>
    <w:p w14:paraId="134FE0AC" w14:textId="4CE8CB3E" w:rsidR="001A7F73" w:rsidRDefault="001A7F73" w:rsidP="001A7F73">
      <w:pPr>
        <w:pStyle w:val="Descripcin"/>
        <w:spacing w:after="0"/>
        <w:jc w:val="center"/>
        <w:rPr>
          <w:b/>
          <w:bCs/>
          <w:i w:val="0"/>
          <w:iCs w:val="0"/>
          <w:smallCaps/>
        </w:rPr>
      </w:pPr>
      <w:r w:rsidRPr="001C58FF">
        <w:t xml:space="preserve">Tabla </w:t>
      </w:r>
      <w:r w:rsidRPr="001C58FF">
        <w:fldChar w:fldCharType="begin"/>
      </w:r>
      <w:r w:rsidRPr="001C58FF">
        <w:instrText xml:space="preserve"> SEQ Tabla \* ARABIC </w:instrText>
      </w:r>
      <w:r w:rsidRPr="001C58FF">
        <w:fldChar w:fldCharType="separate"/>
      </w:r>
      <w:r w:rsidR="00E620DA">
        <w:rPr>
          <w:noProof/>
        </w:rPr>
        <w:t>1</w:t>
      </w:r>
      <w:r w:rsidRPr="001C58FF">
        <w:fldChar w:fldCharType="end"/>
      </w:r>
      <w:r w:rsidRPr="001C58FF">
        <w:t xml:space="preserve">: </w:t>
      </w:r>
      <w:r w:rsidR="0019075D">
        <w:t>Tr</w:t>
      </w:r>
      <w:r w:rsidRPr="00D50095">
        <w:t>aslado</w:t>
      </w:r>
      <w:r>
        <w:t>s</w:t>
      </w:r>
      <w:r w:rsidRPr="00D50095">
        <w:t xml:space="preserve"> de recursos</w:t>
      </w:r>
      <w:r>
        <w:t xml:space="preserve"> </w:t>
      </w:r>
      <w:r w:rsidRPr="00D50095">
        <w:t>de los afiliados</w:t>
      </w:r>
      <w:r>
        <w:t xml:space="preserve"> entre operadoras</w:t>
      </w:r>
    </w:p>
    <w:p w14:paraId="4081EBC9" w14:textId="701FA713" w:rsidR="0019075D" w:rsidRPr="0019075D" w:rsidRDefault="001A7F73" w:rsidP="0019075D">
      <w:pPr>
        <w:pStyle w:val="Descripcin"/>
        <w:spacing w:after="0"/>
        <w:jc w:val="center"/>
      </w:pPr>
      <w:r>
        <w:t>por f</w:t>
      </w:r>
      <w:r w:rsidRPr="00BE13B0">
        <w:t xml:space="preserve">ondo administrado </w:t>
      </w:r>
      <w:r>
        <w:t>y c</w:t>
      </w:r>
      <w:r w:rsidRPr="00D50095">
        <w:t xml:space="preserve">antidad </w:t>
      </w:r>
      <w:r>
        <w:t>a</w:t>
      </w:r>
      <w:r w:rsidRPr="00D50095">
        <w:t>filiados</w:t>
      </w:r>
    </w:p>
    <w:tbl>
      <w:tblPr>
        <w:tblStyle w:val="Tablaconcuadrcula4-nfasis1"/>
        <w:tblW w:w="6034" w:type="dxa"/>
        <w:jc w:val="center"/>
        <w:tblLook w:val="04E0" w:firstRow="1" w:lastRow="1" w:firstColumn="1" w:lastColumn="0" w:noHBand="0" w:noVBand="1"/>
      </w:tblPr>
      <w:tblGrid>
        <w:gridCol w:w="2815"/>
        <w:gridCol w:w="2116"/>
        <w:gridCol w:w="1103"/>
      </w:tblGrid>
      <w:tr w:rsidR="0031719C" w:rsidRPr="0031719C" w14:paraId="54C11CAF" w14:textId="77777777" w:rsidTr="00BC536D">
        <w:trPr>
          <w:cnfStyle w:val="100000000000" w:firstRow="1" w:lastRow="0" w:firstColumn="0" w:lastColumn="0" w:oddVBand="0" w:evenVBand="0" w:oddHBand="0" w:evenHBand="0" w:firstRowFirstColumn="0" w:firstRowLastColumn="0" w:lastRowFirstColumn="0" w:lastRowLastColumn="0"/>
          <w:trHeight w:val="185"/>
          <w:tblHeader/>
          <w:jc w:val="center"/>
        </w:trPr>
        <w:tc>
          <w:tcPr>
            <w:cnfStyle w:val="001000000000" w:firstRow="0" w:lastRow="0" w:firstColumn="1" w:lastColumn="0" w:oddVBand="0" w:evenVBand="0" w:oddHBand="0" w:evenHBand="0" w:firstRowFirstColumn="0" w:firstRowLastColumn="0" w:lastRowFirstColumn="0" w:lastRowLastColumn="0"/>
            <w:tcW w:w="2815" w:type="dxa"/>
            <w:noWrap/>
            <w:vAlign w:val="center"/>
            <w:hideMark/>
          </w:tcPr>
          <w:p w14:paraId="2AF4BA9B" w14:textId="77777777" w:rsidR="0031719C" w:rsidRPr="0031719C" w:rsidRDefault="0031719C" w:rsidP="00C50A6E">
            <w:pPr>
              <w:jc w:val="center"/>
              <w:rPr>
                <w:rFonts w:asciiTheme="minorHAnsi" w:eastAsia="Times New Roman" w:hAnsiTheme="minorHAnsi" w:cstheme="minorHAnsi"/>
                <w:lang w:val="es-CR"/>
              </w:rPr>
            </w:pPr>
            <w:r w:rsidRPr="0031719C">
              <w:rPr>
                <w:rFonts w:asciiTheme="minorHAnsi" w:eastAsia="Times New Roman" w:hAnsiTheme="minorHAnsi" w:cstheme="minorHAnsi"/>
                <w:lang w:val="es-CR"/>
              </w:rPr>
              <w:t>Fondo</w:t>
            </w:r>
          </w:p>
        </w:tc>
        <w:tc>
          <w:tcPr>
            <w:tcW w:w="2116" w:type="dxa"/>
            <w:noWrap/>
            <w:vAlign w:val="center"/>
            <w:hideMark/>
          </w:tcPr>
          <w:p w14:paraId="09A79B23" w14:textId="77777777" w:rsidR="0031719C" w:rsidRPr="0031719C" w:rsidRDefault="0031719C" w:rsidP="00C50A6E">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lang w:val="es-CR"/>
              </w:rPr>
            </w:pPr>
            <w:r w:rsidRPr="0031719C">
              <w:rPr>
                <w:rFonts w:asciiTheme="minorHAnsi" w:eastAsia="Times New Roman" w:hAnsiTheme="minorHAnsi" w:cstheme="minorHAnsi"/>
                <w:lang w:val="es-CR"/>
              </w:rPr>
              <w:t>Monto</w:t>
            </w:r>
          </w:p>
          <w:p w14:paraId="7DF7447C" w14:textId="77777777" w:rsidR="0031719C" w:rsidRPr="0031719C" w:rsidRDefault="0031719C" w:rsidP="00C50A6E">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lang w:val="es-CR"/>
              </w:rPr>
            </w:pPr>
            <w:r w:rsidRPr="0031719C">
              <w:rPr>
                <w:rFonts w:asciiTheme="minorHAnsi" w:eastAsia="Times New Roman" w:hAnsiTheme="minorHAnsi" w:cstheme="minorHAnsi"/>
                <w:lang w:val="es-CR"/>
              </w:rPr>
              <w:t>Trasladado</w:t>
            </w:r>
          </w:p>
        </w:tc>
        <w:tc>
          <w:tcPr>
            <w:tcW w:w="1103" w:type="dxa"/>
            <w:vAlign w:val="center"/>
          </w:tcPr>
          <w:p w14:paraId="120B40C9" w14:textId="77777777" w:rsidR="0031719C" w:rsidRPr="0031719C" w:rsidRDefault="0031719C" w:rsidP="00C50A6E">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lang w:val="es-CR"/>
              </w:rPr>
            </w:pPr>
            <w:r w:rsidRPr="0031719C">
              <w:rPr>
                <w:rFonts w:asciiTheme="minorHAnsi" w:eastAsia="Times New Roman" w:hAnsiTheme="minorHAnsi" w:cstheme="minorHAnsi"/>
                <w:lang w:val="es-CR"/>
              </w:rPr>
              <w:t>Cantidad Afiliados</w:t>
            </w:r>
          </w:p>
        </w:tc>
      </w:tr>
      <w:tr w:rsidR="0031719C" w:rsidRPr="0031719C" w14:paraId="7D37EB90" w14:textId="77777777" w:rsidTr="0031719C">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815" w:type="dxa"/>
            <w:noWrap/>
          </w:tcPr>
          <w:p w14:paraId="0F765239" w14:textId="77777777" w:rsidR="0031719C" w:rsidRPr="0031719C" w:rsidRDefault="0031719C" w:rsidP="00C50A6E">
            <w:pPr>
              <w:rPr>
                <w:rFonts w:asciiTheme="minorHAnsi" w:eastAsia="Times New Roman" w:hAnsiTheme="minorHAnsi" w:cstheme="minorHAnsi"/>
                <w:b w:val="0"/>
                <w:bCs w:val="0"/>
                <w:color w:val="000000"/>
                <w:lang w:val="es-CR"/>
              </w:rPr>
            </w:pPr>
            <w:r w:rsidRPr="0031719C">
              <w:rPr>
                <w:rFonts w:asciiTheme="minorHAnsi" w:eastAsia="Times New Roman" w:hAnsiTheme="minorHAnsi" w:cstheme="minorHAnsi"/>
                <w:b w:val="0"/>
                <w:bCs w:val="0"/>
                <w:color w:val="000000"/>
                <w:lang w:val="es-CR"/>
              </w:rPr>
              <w:t>Régimen Obligatorio ROP</w:t>
            </w:r>
          </w:p>
        </w:tc>
        <w:tc>
          <w:tcPr>
            <w:tcW w:w="2116" w:type="dxa"/>
            <w:noWrap/>
          </w:tcPr>
          <w:p w14:paraId="493D16B8" w14:textId="4A49BE49" w:rsidR="0031719C" w:rsidRPr="0031719C" w:rsidRDefault="0031719C" w:rsidP="00C50A6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lang w:val="es-CR"/>
              </w:rPr>
            </w:pPr>
            <w:r w:rsidRPr="0031719C">
              <w:rPr>
                <w:rFonts w:asciiTheme="minorHAnsi" w:eastAsia="Times New Roman" w:hAnsiTheme="minorHAnsi" w:cstheme="minorHAnsi"/>
                <w:lang w:val="es-CR"/>
              </w:rPr>
              <w:t xml:space="preserve"> </w:t>
            </w:r>
            <w:r w:rsidR="00D72844">
              <w:rPr>
                <w:rFonts w:asciiTheme="minorHAnsi" w:hAnsiTheme="minorHAnsi" w:cstheme="minorHAnsi"/>
              </w:rPr>
              <w:t>₡</w:t>
            </w:r>
            <w:r w:rsidRPr="0031719C">
              <w:rPr>
                <w:rFonts w:asciiTheme="minorHAnsi" w:eastAsia="Times New Roman" w:hAnsiTheme="minorHAnsi" w:cstheme="minorHAnsi"/>
                <w:lang w:val="es-CR"/>
              </w:rPr>
              <w:t xml:space="preserve">63 700 808 834 </w:t>
            </w:r>
          </w:p>
        </w:tc>
        <w:tc>
          <w:tcPr>
            <w:tcW w:w="1103" w:type="dxa"/>
          </w:tcPr>
          <w:p w14:paraId="479D6BA8" w14:textId="77777777" w:rsidR="0031719C" w:rsidRPr="0031719C" w:rsidRDefault="0031719C" w:rsidP="00C50A6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s-CR"/>
              </w:rPr>
            </w:pPr>
            <w:r w:rsidRPr="0031719C">
              <w:rPr>
                <w:rFonts w:asciiTheme="minorHAnsi" w:eastAsia="Times New Roman" w:hAnsiTheme="minorHAnsi" w:cstheme="minorHAnsi"/>
                <w:color w:val="000000"/>
                <w:lang w:val="es-CR"/>
              </w:rPr>
              <w:t>15 398</w:t>
            </w:r>
          </w:p>
        </w:tc>
      </w:tr>
      <w:tr w:rsidR="0031719C" w:rsidRPr="0031719C" w14:paraId="40207695" w14:textId="77777777" w:rsidTr="0031719C">
        <w:tblPrEx>
          <w:jc w:val="left"/>
          <w:tblLook w:val="04A0" w:firstRow="1" w:lastRow="0" w:firstColumn="1" w:lastColumn="0" w:noHBand="0" w:noVBand="1"/>
        </w:tblPrEx>
        <w:trPr>
          <w:trHeight w:val="242"/>
        </w:trPr>
        <w:tc>
          <w:tcPr>
            <w:cnfStyle w:val="001000000000" w:firstRow="0" w:lastRow="0" w:firstColumn="1" w:lastColumn="0" w:oddVBand="0" w:evenVBand="0" w:oddHBand="0" w:evenHBand="0" w:firstRowFirstColumn="0" w:firstRowLastColumn="0" w:lastRowFirstColumn="0" w:lastRowLastColumn="0"/>
            <w:tcW w:w="2815" w:type="dxa"/>
            <w:noWrap/>
          </w:tcPr>
          <w:p w14:paraId="6554E3DA" w14:textId="77777777" w:rsidR="0031719C" w:rsidRPr="0031719C" w:rsidRDefault="0031719C" w:rsidP="00C50A6E">
            <w:pPr>
              <w:rPr>
                <w:rFonts w:asciiTheme="minorHAnsi" w:eastAsia="Times New Roman" w:hAnsiTheme="minorHAnsi" w:cstheme="minorHAnsi"/>
                <w:color w:val="000000"/>
                <w:lang w:val="es-CR"/>
              </w:rPr>
            </w:pPr>
            <w:r w:rsidRPr="0031719C">
              <w:rPr>
                <w:rFonts w:asciiTheme="minorHAnsi" w:eastAsia="Times New Roman" w:hAnsiTheme="minorHAnsi" w:cstheme="minorHAnsi"/>
                <w:b w:val="0"/>
                <w:bCs w:val="0"/>
                <w:color w:val="000000"/>
                <w:lang w:val="es-CR"/>
              </w:rPr>
              <w:t>Capitalización Laboral FCL</w:t>
            </w:r>
          </w:p>
        </w:tc>
        <w:tc>
          <w:tcPr>
            <w:tcW w:w="2116" w:type="dxa"/>
            <w:noWrap/>
          </w:tcPr>
          <w:p w14:paraId="04B61BCF" w14:textId="02EF9F33" w:rsidR="0031719C" w:rsidRPr="0031719C" w:rsidRDefault="00D72844" w:rsidP="00C50A6E">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val="es-CR"/>
              </w:rPr>
            </w:pPr>
            <w:r>
              <w:rPr>
                <w:rFonts w:asciiTheme="minorHAnsi" w:hAnsiTheme="minorHAnsi" w:cstheme="minorHAnsi"/>
              </w:rPr>
              <w:t>₡</w:t>
            </w:r>
            <w:r w:rsidR="0031719C" w:rsidRPr="0031719C">
              <w:rPr>
                <w:rFonts w:asciiTheme="minorHAnsi" w:eastAsia="Times New Roman" w:hAnsiTheme="minorHAnsi" w:cstheme="minorHAnsi"/>
                <w:lang w:val="es-CR"/>
              </w:rPr>
              <w:t xml:space="preserve">6 484 574 299 </w:t>
            </w:r>
          </w:p>
        </w:tc>
        <w:tc>
          <w:tcPr>
            <w:tcW w:w="1103" w:type="dxa"/>
          </w:tcPr>
          <w:p w14:paraId="5955801B" w14:textId="77777777" w:rsidR="0031719C" w:rsidRPr="0031719C" w:rsidRDefault="0031719C" w:rsidP="00C50A6E">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s-CR"/>
              </w:rPr>
            </w:pPr>
            <w:r w:rsidRPr="0031719C">
              <w:rPr>
                <w:rFonts w:asciiTheme="minorHAnsi" w:eastAsia="Times New Roman" w:hAnsiTheme="minorHAnsi" w:cstheme="minorHAnsi"/>
                <w:color w:val="000000"/>
                <w:lang w:val="es-CR"/>
              </w:rPr>
              <w:t>15 038</w:t>
            </w:r>
          </w:p>
        </w:tc>
      </w:tr>
      <w:tr w:rsidR="0031719C" w:rsidRPr="0031719C" w14:paraId="756B369D" w14:textId="77777777" w:rsidTr="0031719C">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815" w:type="dxa"/>
            <w:noWrap/>
          </w:tcPr>
          <w:p w14:paraId="387205C0" w14:textId="77777777" w:rsidR="0031719C" w:rsidRPr="0031719C" w:rsidRDefault="0031719C" w:rsidP="00C50A6E">
            <w:pPr>
              <w:rPr>
                <w:rFonts w:asciiTheme="minorHAnsi" w:eastAsia="Times New Roman" w:hAnsiTheme="minorHAnsi" w:cstheme="minorHAnsi"/>
                <w:color w:val="000000"/>
                <w:lang w:val="es-CR"/>
              </w:rPr>
            </w:pPr>
            <w:r w:rsidRPr="0031719C">
              <w:rPr>
                <w:rFonts w:asciiTheme="minorHAnsi" w:eastAsia="Times New Roman" w:hAnsiTheme="minorHAnsi" w:cstheme="minorHAnsi"/>
                <w:b w:val="0"/>
                <w:bCs w:val="0"/>
                <w:color w:val="000000"/>
                <w:lang w:val="es-CR"/>
              </w:rPr>
              <w:t>Voluntario Colones A</w:t>
            </w:r>
          </w:p>
        </w:tc>
        <w:tc>
          <w:tcPr>
            <w:tcW w:w="2116" w:type="dxa"/>
            <w:noWrap/>
          </w:tcPr>
          <w:p w14:paraId="09536581" w14:textId="4EA3000E" w:rsidR="0031719C" w:rsidRPr="0031719C" w:rsidRDefault="0031719C" w:rsidP="00C50A6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lang w:val="es-CR"/>
              </w:rPr>
            </w:pPr>
            <w:r w:rsidRPr="0031719C">
              <w:rPr>
                <w:rFonts w:asciiTheme="minorHAnsi" w:eastAsia="Times New Roman" w:hAnsiTheme="minorHAnsi" w:cstheme="minorHAnsi"/>
                <w:lang w:val="es-CR"/>
              </w:rPr>
              <w:t xml:space="preserve">      </w:t>
            </w:r>
            <w:r w:rsidR="00D72844">
              <w:rPr>
                <w:rFonts w:asciiTheme="minorHAnsi" w:hAnsiTheme="minorHAnsi" w:cstheme="minorHAnsi"/>
              </w:rPr>
              <w:t>₡</w:t>
            </w:r>
            <w:r w:rsidRPr="0031719C">
              <w:rPr>
                <w:rFonts w:asciiTheme="minorHAnsi" w:eastAsia="Times New Roman" w:hAnsiTheme="minorHAnsi" w:cstheme="minorHAnsi"/>
                <w:lang w:val="es-CR"/>
              </w:rPr>
              <w:t xml:space="preserve">809 997 090 </w:t>
            </w:r>
          </w:p>
        </w:tc>
        <w:tc>
          <w:tcPr>
            <w:tcW w:w="1103" w:type="dxa"/>
          </w:tcPr>
          <w:p w14:paraId="5F69B5AA" w14:textId="77777777" w:rsidR="0031719C" w:rsidRPr="0031719C" w:rsidRDefault="0031719C" w:rsidP="00C50A6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s-CR"/>
              </w:rPr>
            </w:pPr>
            <w:r w:rsidRPr="0031719C">
              <w:rPr>
                <w:rFonts w:asciiTheme="minorHAnsi" w:eastAsia="Times New Roman" w:hAnsiTheme="minorHAnsi" w:cstheme="minorHAnsi"/>
                <w:color w:val="000000"/>
                <w:lang w:val="es-CR"/>
              </w:rPr>
              <w:t>61</w:t>
            </w:r>
          </w:p>
        </w:tc>
      </w:tr>
      <w:tr w:rsidR="0031719C" w:rsidRPr="0031719C" w14:paraId="0AE7A023" w14:textId="77777777" w:rsidTr="0031719C">
        <w:tblPrEx>
          <w:jc w:val="left"/>
          <w:tblLook w:val="04A0" w:firstRow="1" w:lastRow="0" w:firstColumn="1" w:lastColumn="0" w:noHBand="0" w:noVBand="1"/>
        </w:tblPrEx>
        <w:trPr>
          <w:trHeight w:val="242"/>
        </w:trPr>
        <w:tc>
          <w:tcPr>
            <w:cnfStyle w:val="001000000000" w:firstRow="0" w:lastRow="0" w:firstColumn="1" w:lastColumn="0" w:oddVBand="0" w:evenVBand="0" w:oddHBand="0" w:evenHBand="0" w:firstRowFirstColumn="0" w:firstRowLastColumn="0" w:lastRowFirstColumn="0" w:lastRowLastColumn="0"/>
            <w:tcW w:w="2815" w:type="dxa"/>
            <w:noWrap/>
            <w:hideMark/>
          </w:tcPr>
          <w:p w14:paraId="2D1B088B" w14:textId="77777777" w:rsidR="0031719C" w:rsidRPr="0031719C" w:rsidRDefault="0031719C" w:rsidP="00C50A6E">
            <w:pPr>
              <w:rPr>
                <w:rFonts w:asciiTheme="minorHAnsi" w:eastAsia="Times New Roman" w:hAnsiTheme="minorHAnsi" w:cstheme="minorHAnsi"/>
                <w:b w:val="0"/>
                <w:bCs w:val="0"/>
                <w:color w:val="000000"/>
                <w:lang w:val="es-CR"/>
              </w:rPr>
            </w:pPr>
            <w:r w:rsidRPr="0031719C">
              <w:rPr>
                <w:rFonts w:asciiTheme="minorHAnsi" w:eastAsia="Times New Roman" w:hAnsiTheme="minorHAnsi" w:cstheme="minorHAnsi"/>
                <w:b w:val="0"/>
                <w:bCs w:val="0"/>
                <w:color w:val="000000"/>
                <w:lang w:val="es-CR"/>
              </w:rPr>
              <w:t>Voluntario Colones B</w:t>
            </w:r>
          </w:p>
        </w:tc>
        <w:tc>
          <w:tcPr>
            <w:tcW w:w="2116" w:type="dxa"/>
            <w:noWrap/>
            <w:hideMark/>
          </w:tcPr>
          <w:p w14:paraId="0123785E" w14:textId="3B4BEDDE" w:rsidR="0031719C" w:rsidRPr="0031719C" w:rsidRDefault="0031719C" w:rsidP="00C50A6E">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val="es-CR"/>
              </w:rPr>
            </w:pPr>
            <w:r w:rsidRPr="0031719C">
              <w:rPr>
                <w:rFonts w:asciiTheme="minorHAnsi" w:eastAsia="Times New Roman" w:hAnsiTheme="minorHAnsi" w:cstheme="minorHAnsi"/>
                <w:lang w:val="es-CR"/>
              </w:rPr>
              <w:t xml:space="preserve">     </w:t>
            </w:r>
            <w:r w:rsidR="00D72844">
              <w:rPr>
                <w:rFonts w:asciiTheme="minorHAnsi" w:hAnsiTheme="minorHAnsi" w:cstheme="minorHAnsi"/>
              </w:rPr>
              <w:t>₡</w:t>
            </w:r>
            <w:r w:rsidRPr="0031719C">
              <w:rPr>
                <w:rFonts w:asciiTheme="minorHAnsi" w:eastAsia="Times New Roman" w:hAnsiTheme="minorHAnsi" w:cstheme="minorHAnsi"/>
                <w:lang w:val="es-CR"/>
              </w:rPr>
              <w:t xml:space="preserve">424 503 490 </w:t>
            </w:r>
          </w:p>
        </w:tc>
        <w:tc>
          <w:tcPr>
            <w:tcW w:w="1103" w:type="dxa"/>
          </w:tcPr>
          <w:p w14:paraId="48CD66A5" w14:textId="77777777" w:rsidR="0031719C" w:rsidRPr="0031719C" w:rsidRDefault="0031719C" w:rsidP="00C50A6E">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s-CR"/>
              </w:rPr>
            </w:pPr>
            <w:r w:rsidRPr="0031719C">
              <w:rPr>
                <w:rFonts w:asciiTheme="minorHAnsi" w:eastAsia="Times New Roman" w:hAnsiTheme="minorHAnsi" w:cstheme="minorHAnsi"/>
                <w:color w:val="000000"/>
                <w:lang w:val="es-CR"/>
              </w:rPr>
              <w:t>96</w:t>
            </w:r>
          </w:p>
        </w:tc>
      </w:tr>
      <w:tr w:rsidR="0031719C" w:rsidRPr="0031719C" w14:paraId="7D5047E2" w14:textId="77777777" w:rsidTr="0031719C">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815" w:type="dxa"/>
            <w:noWrap/>
          </w:tcPr>
          <w:p w14:paraId="72F715A2" w14:textId="77777777" w:rsidR="0031719C" w:rsidRPr="0031719C" w:rsidRDefault="0031719C" w:rsidP="00C50A6E">
            <w:pPr>
              <w:rPr>
                <w:rFonts w:asciiTheme="minorHAnsi" w:eastAsia="Times New Roman" w:hAnsiTheme="minorHAnsi" w:cstheme="minorHAnsi"/>
                <w:b w:val="0"/>
                <w:bCs w:val="0"/>
                <w:color w:val="000000"/>
                <w:lang w:val="es-CR"/>
              </w:rPr>
            </w:pPr>
            <w:r w:rsidRPr="0031719C">
              <w:rPr>
                <w:rFonts w:asciiTheme="minorHAnsi" w:eastAsia="Times New Roman" w:hAnsiTheme="minorHAnsi" w:cstheme="minorHAnsi"/>
                <w:color w:val="000000"/>
                <w:lang w:val="es-CR"/>
              </w:rPr>
              <w:t>Total Colones</w:t>
            </w:r>
          </w:p>
        </w:tc>
        <w:tc>
          <w:tcPr>
            <w:tcW w:w="2116" w:type="dxa"/>
            <w:noWrap/>
          </w:tcPr>
          <w:p w14:paraId="0C05ED87" w14:textId="412CFC21" w:rsidR="0031719C" w:rsidRPr="0031719C" w:rsidRDefault="00D72844" w:rsidP="00C50A6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lang w:val="es-CR"/>
              </w:rPr>
            </w:pPr>
            <w:r>
              <w:rPr>
                <w:rFonts w:asciiTheme="minorHAnsi" w:hAnsiTheme="minorHAnsi" w:cstheme="minorHAnsi"/>
              </w:rPr>
              <w:t>₡</w:t>
            </w:r>
            <w:r w:rsidR="0031719C" w:rsidRPr="0031719C">
              <w:rPr>
                <w:rFonts w:asciiTheme="minorHAnsi" w:eastAsia="Times New Roman" w:hAnsiTheme="minorHAnsi" w:cstheme="minorHAnsi"/>
                <w:b/>
                <w:bCs/>
                <w:lang w:val="es-CR"/>
              </w:rPr>
              <w:t>71 419 883 714</w:t>
            </w:r>
          </w:p>
        </w:tc>
        <w:tc>
          <w:tcPr>
            <w:tcW w:w="1103" w:type="dxa"/>
          </w:tcPr>
          <w:p w14:paraId="5A760951" w14:textId="77777777" w:rsidR="0031719C" w:rsidRPr="0031719C" w:rsidRDefault="0031719C" w:rsidP="00C50A6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lang w:val="es-CR"/>
              </w:rPr>
            </w:pPr>
            <w:r w:rsidRPr="0031719C">
              <w:rPr>
                <w:rFonts w:asciiTheme="minorHAnsi" w:eastAsia="Times New Roman" w:hAnsiTheme="minorHAnsi" w:cstheme="minorHAnsi"/>
                <w:b/>
                <w:bCs/>
                <w:color w:val="000000"/>
                <w:lang w:val="es-CR"/>
              </w:rPr>
              <w:t>30 593</w:t>
            </w:r>
          </w:p>
        </w:tc>
      </w:tr>
      <w:tr w:rsidR="0031719C" w:rsidRPr="0031719C" w14:paraId="636946C7" w14:textId="77777777" w:rsidTr="0031719C">
        <w:tblPrEx>
          <w:jc w:val="left"/>
          <w:tblLook w:val="04A0" w:firstRow="1" w:lastRow="0" w:firstColumn="1" w:lastColumn="0" w:noHBand="0" w:noVBand="1"/>
        </w:tblPrEx>
        <w:trPr>
          <w:trHeight w:val="254"/>
        </w:trPr>
        <w:tc>
          <w:tcPr>
            <w:cnfStyle w:val="001000000000" w:firstRow="0" w:lastRow="0" w:firstColumn="1" w:lastColumn="0" w:oddVBand="0" w:evenVBand="0" w:oddHBand="0" w:evenHBand="0" w:firstRowFirstColumn="0" w:firstRowLastColumn="0" w:lastRowFirstColumn="0" w:lastRowLastColumn="0"/>
            <w:tcW w:w="2815" w:type="dxa"/>
            <w:noWrap/>
            <w:hideMark/>
          </w:tcPr>
          <w:p w14:paraId="0BE292AE" w14:textId="77777777" w:rsidR="0031719C" w:rsidRPr="0031719C" w:rsidRDefault="0031719C" w:rsidP="00C50A6E">
            <w:pPr>
              <w:rPr>
                <w:rFonts w:asciiTheme="minorHAnsi" w:eastAsia="Times New Roman" w:hAnsiTheme="minorHAnsi" w:cstheme="minorHAnsi"/>
                <w:b w:val="0"/>
                <w:bCs w:val="0"/>
                <w:color w:val="000000"/>
                <w:lang w:val="es-CR"/>
              </w:rPr>
            </w:pPr>
            <w:r w:rsidRPr="0031719C">
              <w:rPr>
                <w:rFonts w:asciiTheme="minorHAnsi" w:eastAsia="Times New Roman" w:hAnsiTheme="minorHAnsi" w:cstheme="minorHAnsi"/>
                <w:b w:val="0"/>
                <w:bCs w:val="0"/>
                <w:color w:val="000000"/>
                <w:lang w:val="es-CR"/>
              </w:rPr>
              <w:t>Voluntario Dólares A</w:t>
            </w:r>
          </w:p>
        </w:tc>
        <w:tc>
          <w:tcPr>
            <w:tcW w:w="2116" w:type="dxa"/>
            <w:noWrap/>
          </w:tcPr>
          <w:p w14:paraId="0E21CE24" w14:textId="77777777" w:rsidR="0031719C" w:rsidRPr="0031719C" w:rsidRDefault="0031719C" w:rsidP="00C50A6E">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s-CR"/>
              </w:rPr>
            </w:pPr>
            <w:r w:rsidRPr="0031719C">
              <w:rPr>
                <w:rFonts w:asciiTheme="minorHAnsi" w:eastAsia="Times New Roman" w:hAnsiTheme="minorHAnsi" w:cstheme="minorHAnsi"/>
                <w:color w:val="000000"/>
                <w:lang w:val="es-CR"/>
              </w:rPr>
              <w:t>$552 140</w:t>
            </w:r>
          </w:p>
        </w:tc>
        <w:tc>
          <w:tcPr>
            <w:tcW w:w="1103" w:type="dxa"/>
          </w:tcPr>
          <w:p w14:paraId="41EE0602" w14:textId="77777777" w:rsidR="0031719C" w:rsidRPr="0031719C" w:rsidRDefault="0031719C" w:rsidP="00C50A6E">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s-CR"/>
              </w:rPr>
            </w:pPr>
            <w:r w:rsidRPr="0031719C">
              <w:rPr>
                <w:rFonts w:asciiTheme="minorHAnsi" w:eastAsia="Times New Roman" w:hAnsiTheme="minorHAnsi" w:cstheme="minorHAnsi"/>
                <w:color w:val="000000"/>
                <w:lang w:val="es-CR"/>
              </w:rPr>
              <w:t>6</w:t>
            </w:r>
          </w:p>
        </w:tc>
      </w:tr>
      <w:tr w:rsidR="0031719C" w:rsidRPr="0031719C" w14:paraId="595DE42E" w14:textId="77777777" w:rsidTr="0031719C">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815" w:type="dxa"/>
            <w:noWrap/>
          </w:tcPr>
          <w:p w14:paraId="58CD2824" w14:textId="77777777" w:rsidR="0031719C" w:rsidRPr="0031719C" w:rsidRDefault="0031719C" w:rsidP="00C50A6E">
            <w:pPr>
              <w:rPr>
                <w:rFonts w:asciiTheme="minorHAnsi" w:eastAsia="Times New Roman" w:hAnsiTheme="minorHAnsi" w:cstheme="minorHAnsi"/>
                <w:color w:val="000000"/>
                <w:lang w:val="es-CR"/>
              </w:rPr>
            </w:pPr>
            <w:r w:rsidRPr="0031719C">
              <w:rPr>
                <w:rFonts w:asciiTheme="minorHAnsi" w:eastAsia="Times New Roman" w:hAnsiTheme="minorHAnsi" w:cstheme="minorHAnsi"/>
                <w:b w:val="0"/>
                <w:bCs w:val="0"/>
                <w:color w:val="000000"/>
                <w:lang w:val="es-CR"/>
              </w:rPr>
              <w:t>Voluntario Dólares B</w:t>
            </w:r>
          </w:p>
        </w:tc>
        <w:tc>
          <w:tcPr>
            <w:tcW w:w="2116" w:type="dxa"/>
            <w:noWrap/>
          </w:tcPr>
          <w:p w14:paraId="5189E3D7" w14:textId="77777777" w:rsidR="0031719C" w:rsidRPr="0031719C" w:rsidRDefault="0031719C" w:rsidP="00C50A6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s-CR"/>
              </w:rPr>
            </w:pPr>
            <w:r w:rsidRPr="0031719C">
              <w:rPr>
                <w:rFonts w:asciiTheme="minorHAnsi" w:eastAsia="Times New Roman" w:hAnsiTheme="minorHAnsi" w:cstheme="minorHAnsi"/>
                <w:color w:val="000000"/>
                <w:lang w:val="es-CR"/>
              </w:rPr>
              <w:t>$578 307</w:t>
            </w:r>
          </w:p>
        </w:tc>
        <w:tc>
          <w:tcPr>
            <w:tcW w:w="1103" w:type="dxa"/>
          </w:tcPr>
          <w:p w14:paraId="31F68520" w14:textId="77777777" w:rsidR="0031719C" w:rsidRPr="0031719C" w:rsidRDefault="0031719C" w:rsidP="00C50A6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s-CR"/>
              </w:rPr>
            </w:pPr>
            <w:r w:rsidRPr="0031719C">
              <w:rPr>
                <w:rFonts w:asciiTheme="minorHAnsi" w:eastAsia="Times New Roman" w:hAnsiTheme="minorHAnsi" w:cstheme="minorHAnsi"/>
                <w:color w:val="000000"/>
                <w:lang w:val="es-CR"/>
              </w:rPr>
              <w:t>14</w:t>
            </w:r>
          </w:p>
        </w:tc>
      </w:tr>
      <w:tr w:rsidR="0031719C" w:rsidRPr="0031719C" w14:paraId="454737E5" w14:textId="77777777" w:rsidTr="00B45DD0">
        <w:tblPrEx>
          <w:jc w:val="left"/>
          <w:tblLook w:val="04A0" w:firstRow="1" w:lastRow="0" w:firstColumn="1" w:lastColumn="0" w:noHBand="0" w:noVBand="1"/>
        </w:tblPrEx>
        <w:trPr>
          <w:trHeight w:val="254"/>
        </w:trPr>
        <w:tc>
          <w:tcPr>
            <w:cnfStyle w:val="001000000000" w:firstRow="0" w:lastRow="0" w:firstColumn="1" w:lastColumn="0" w:oddVBand="0" w:evenVBand="0" w:oddHBand="0" w:evenHBand="0" w:firstRowFirstColumn="0" w:firstRowLastColumn="0" w:lastRowFirstColumn="0" w:lastRowLastColumn="0"/>
            <w:tcW w:w="2815" w:type="dxa"/>
            <w:tcBorders>
              <w:bottom w:val="double" w:sz="4" w:space="0" w:color="95B3D7" w:themeColor="accent1" w:themeTint="99"/>
            </w:tcBorders>
            <w:noWrap/>
          </w:tcPr>
          <w:p w14:paraId="0207A476" w14:textId="77777777" w:rsidR="0031719C" w:rsidRPr="0031719C" w:rsidRDefault="0031719C" w:rsidP="00C50A6E">
            <w:pPr>
              <w:rPr>
                <w:rFonts w:asciiTheme="minorHAnsi" w:eastAsia="Times New Roman" w:hAnsiTheme="minorHAnsi" w:cstheme="minorHAnsi"/>
                <w:color w:val="000000"/>
                <w:lang w:val="es-CR"/>
              </w:rPr>
            </w:pPr>
            <w:r w:rsidRPr="0031719C">
              <w:rPr>
                <w:rFonts w:asciiTheme="minorHAnsi" w:eastAsia="Times New Roman" w:hAnsiTheme="minorHAnsi" w:cstheme="minorHAnsi"/>
                <w:color w:val="000000"/>
                <w:lang w:val="es-CR"/>
              </w:rPr>
              <w:t>Total Dólares</w:t>
            </w:r>
          </w:p>
        </w:tc>
        <w:tc>
          <w:tcPr>
            <w:tcW w:w="2116" w:type="dxa"/>
            <w:tcBorders>
              <w:bottom w:val="double" w:sz="4" w:space="0" w:color="95B3D7" w:themeColor="accent1" w:themeTint="99"/>
            </w:tcBorders>
            <w:noWrap/>
          </w:tcPr>
          <w:p w14:paraId="7A3CFDFB" w14:textId="77777777" w:rsidR="0031719C" w:rsidRPr="0031719C" w:rsidRDefault="0031719C" w:rsidP="00C50A6E">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lang w:val="es-CR"/>
              </w:rPr>
            </w:pPr>
            <w:r w:rsidRPr="0031719C">
              <w:rPr>
                <w:rFonts w:asciiTheme="minorHAnsi" w:eastAsia="Times New Roman" w:hAnsiTheme="minorHAnsi" w:cstheme="minorHAnsi"/>
                <w:b/>
                <w:bCs/>
                <w:color w:val="000000"/>
                <w:lang w:val="es-CR"/>
              </w:rPr>
              <w:t>$1 130 447</w:t>
            </w:r>
          </w:p>
        </w:tc>
        <w:tc>
          <w:tcPr>
            <w:tcW w:w="1103" w:type="dxa"/>
            <w:tcBorders>
              <w:bottom w:val="double" w:sz="4" w:space="0" w:color="95B3D7" w:themeColor="accent1" w:themeTint="99"/>
            </w:tcBorders>
          </w:tcPr>
          <w:p w14:paraId="10E89274" w14:textId="77777777" w:rsidR="0031719C" w:rsidRPr="0031719C" w:rsidRDefault="0031719C" w:rsidP="00C50A6E">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lang w:val="es-CR"/>
              </w:rPr>
            </w:pPr>
            <w:r w:rsidRPr="0031719C">
              <w:rPr>
                <w:rFonts w:asciiTheme="minorHAnsi" w:eastAsia="Times New Roman" w:hAnsiTheme="minorHAnsi" w:cstheme="minorHAnsi"/>
                <w:b/>
                <w:bCs/>
                <w:color w:val="000000"/>
                <w:lang w:val="es-CR"/>
              </w:rPr>
              <w:t>20</w:t>
            </w:r>
          </w:p>
        </w:tc>
      </w:tr>
      <w:tr w:rsidR="0031719C" w:rsidRPr="0031719C" w14:paraId="436E443F" w14:textId="77777777" w:rsidTr="00B45DD0">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815" w:type="dxa"/>
            <w:tcBorders>
              <w:top w:val="double" w:sz="4" w:space="0" w:color="95B3D7" w:themeColor="accent1" w:themeTint="99"/>
            </w:tcBorders>
            <w:noWrap/>
          </w:tcPr>
          <w:p w14:paraId="5838182B" w14:textId="77777777" w:rsidR="0031719C" w:rsidRPr="0031719C" w:rsidRDefault="0031719C" w:rsidP="00C50A6E">
            <w:pPr>
              <w:rPr>
                <w:rFonts w:asciiTheme="minorHAnsi" w:eastAsia="Times New Roman" w:hAnsiTheme="minorHAnsi" w:cstheme="minorHAnsi"/>
                <w:color w:val="000000"/>
                <w:lang w:val="es-CR"/>
              </w:rPr>
            </w:pPr>
            <w:r w:rsidRPr="0031719C">
              <w:rPr>
                <w:rFonts w:asciiTheme="minorHAnsi" w:eastAsia="Times New Roman" w:hAnsiTheme="minorHAnsi" w:cstheme="minorHAnsi"/>
                <w:color w:val="000000"/>
                <w:lang w:val="es-CR"/>
              </w:rPr>
              <w:t>Total expresado en colones</w:t>
            </w:r>
          </w:p>
        </w:tc>
        <w:tc>
          <w:tcPr>
            <w:tcW w:w="2116" w:type="dxa"/>
            <w:tcBorders>
              <w:top w:val="double" w:sz="4" w:space="0" w:color="95B3D7" w:themeColor="accent1" w:themeTint="99"/>
            </w:tcBorders>
            <w:noWrap/>
          </w:tcPr>
          <w:p w14:paraId="7B040A80" w14:textId="7912497B" w:rsidR="0031719C" w:rsidRPr="0031719C" w:rsidRDefault="00D72844" w:rsidP="00C50A6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lang w:val="es-CR"/>
              </w:rPr>
            </w:pPr>
            <w:r>
              <w:rPr>
                <w:rFonts w:asciiTheme="minorHAnsi" w:hAnsiTheme="minorHAnsi" w:cstheme="minorHAnsi"/>
              </w:rPr>
              <w:t>₡</w:t>
            </w:r>
            <w:r w:rsidR="0031719C" w:rsidRPr="0031719C">
              <w:rPr>
                <w:rFonts w:asciiTheme="minorHAnsi" w:eastAsia="Times New Roman" w:hAnsiTheme="minorHAnsi" w:cstheme="minorHAnsi"/>
                <w:b/>
                <w:bCs/>
                <w:lang w:val="es-CR"/>
              </w:rPr>
              <w:t>72 090 374 438</w:t>
            </w:r>
          </w:p>
        </w:tc>
        <w:tc>
          <w:tcPr>
            <w:tcW w:w="1103" w:type="dxa"/>
            <w:tcBorders>
              <w:top w:val="double" w:sz="4" w:space="0" w:color="95B3D7" w:themeColor="accent1" w:themeTint="99"/>
            </w:tcBorders>
          </w:tcPr>
          <w:p w14:paraId="6513CB61" w14:textId="77777777" w:rsidR="0031719C" w:rsidRPr="0031719C" w:rsidRDefault="0031719C" w:rsidP="00C50A6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lang w:val="es-CR"/>
              </w:rPr>
            </w:pPr>
            <w:r w:rsidRPr="0031719C">
              <w:rPr>
                <w:rFonts w:asciiTheme="minorHAnsi" w:eastAsia="Times New Roman" w:hAnsiTheme="minorHAnsi" w:cstheme="minorHAnsi"/>
                <w:b/>
                <w:bCs/>
                <w:color w:val="000000"/>
                <w:lang w:val="es-CR"/>
              </w:rPr>
              <w:t>30 613</w:t>
            </w:r>
          </w:p>
        </w:tc>
      </w:tr>
    </w:tbl>
    <w:p w14:paraId="742D3171" w14:textId="77777777" w:rsidR="00A96AE7" w:rsidRPr="00FC4A12" w:rsidRDefault="00A96AE7" w:rsidP="00A96AE7">
      <w:pPr>
        <w:suppressAutoHyphens/>
        <w:spacing w:after="0" w:line="240" w:lineRule="auto"/>
        <w:ind w:left="708" w:firstLine="708"/>
        <w:rPr>
          <w:rFonts w:ascii="Times New Roman" w:hAnsi="Times New Roman" w:cs="Times New Roman"/>
          <w:i/>
          <w:iCs/>
          <w:color w:val="1F497D" w:themeColor="text2"/>
          <w:sz w:val="20"/>
          <w:szCs w:val="20"/>
        </w:rPr>
      </w:pPr>
      <w:r w:rsidRPr="00FC4A12">
        <w:rPr>
          <w:rFonts w:ascii="Times New Roman" w:hAnsi="Times New Roman" w:cs="Times New Roman"/>
          <w:i/>
          <w:iCs/>
          <w:color w:val="1F497D" w:themeColor="text2"/>
          <w:sz w:val="20"/>
          <w:szCs w:val="20"/>
        </w:rPr>
        <w:t xml:space="preserve">Tipo de cambio de compra BCCR de </w:t>
      </w:r>
      <w:r w:rsidRPr="00A96AE7">
        <w:rPr>
          <w:rFonts w:ascii="Times New Roman" w:hAnsi="Times New Roman" w:cs="Times New Roman"/>
          <w:i/>
          <w:iCs/>
          <w:color w:val="1F497D" w:themeColor="text2"/>
          <w:sz w:val="20"/>
          <w:szCs w:val="20"/>
        </w:rPr>
        <w:t>₡593,12 al 2 de setiembre de 2020 </w:t>
      </w:r>
    </w:p>
    <w:p w14:paraId="05E00BFE" w14:textId="6787EA48" w:rsidR="00A96AE7" w:rsidRPr="00FC4A12" w:rsidRDefault="00A96AE7" w:rsidP="007B7265">
      <w:pPr>
        <w:suppressAutoHyphens/>
        <w:spacing w:after="0" w:line="240" w:lineRule="auto"/>
        <w:ind w:left="1418" w:right="1467"/>
        <w:rPr>
          <w:rFonts w:ascii="Times New Roman" w:hAnsi="Times New Roman" w:cs="Times New Roman"/>
          <w:i/>
          <w:iCs/>
          <w:color w:val="1F497D" w:themeColor="text2"/>
          <w:sz w:val="20"/>
          <w:szCs w:val="20"/>
        </w:rPr>
      </w:pPr>
      <w:r w:rsidRPr="00FC4A12">
        <w:rPr>
          <w:rFonts w:ascii="Times New Roman" w:hAnsi="Times New Roman" w:cs="Times New Roman"/>
          <w:i/>
          <w:iCs/>
          <w:color w:val="1F497D" w:themeColor="text2"/>
          <w:sz w:val="20"/>
          <w:szCs w:val="20"/>
        </w:rPr>
        <w:t>Fuente: Elaboración propia con información disponible en las bases de datos de la Superintendencia</w:t>
      </w:r>
    </w:p>
    <w:p w14:paraId="73523317" w14:textId="77777777" w:rsidR="00040FCB" w:rsidRDefault="003F028F" w:rsidP="00C570BE">
      <w:pPr>
        <w:pStyle w:val="Ttulo3"/>
        <w:numPr>
          <w:ilvl w:val="2"/>
          <w:numId w:val="1"/>
        </w:numPr>
      </w:pPr>
      <w:bookmarkStart w:id="9" w:name="_Toc64039560"/>
      <w:r>
        <w:t>Retiros</w:t>
      </w:r>
      <w:r w:rsidR="00040FCB" w:rsidRPr="0089566B">
        <w:t xml:space="preserve"> FCL por nuevas causales</w:t>
      </w:r>
      <w:bookmarkEnd w:id="9"/>
    </w:p>
    <w:p w14:paraId="337EF5BD" w14:textId="77777777" w:rsidR="003F028F" w:rsidRDefault="003F028F" w:rsidP="00B70133">
      <w:pPr>
        <w:pStyle w:val="Descripcin"/>
        <w:spacing w:after="0"/>
        <w:jc w:val="center"/>
      </w:pPr>
    </w:p>
    <w:p w14:paraId="28A61B38" w14:textId="24AEF0D3" w:rsidR="00B70133" w:rsidRPr="001C58FF" w:rsidRDefault="006238D9" w:rsidP="00B70133">
      <w:pPr>
        <w:pStyle w:val="Descripcin"/>
        <w:spacing w:after="0"/>
        <w:jc w:val="center"/>
      </w:pPr>
      <w:r w:rsidRPr="001C58FF">
        <w:t xml:space="preserve">Tabla </w:t>
      </w:r>
      <w:r w:rsidRPr="001C58FF">
        <w:fldChar w:fldCharType="begin"/>
      </w:r>
      <w:r w:rsidRPr="001C58FF">
        <w:instrText xml:space="preserve"> SEQ Tabla \* ARABIC </w:instrText>
      </w:r>
      <w:r w:rsidRPr="001C58FF">
        <w:fldChar w:fldCharType="separate"/>
      </w:r>
      <w:r w:rsidR="00E620DA">
        <w:rPr>
          <w:noProof/>
        </w:rPr>
        <w:t>2</w:t>
      </w:r>
      <w:r w:rsidRPr="001C58FF">
        <w:fldChar w:fldCharType="end"/>
      </w:r>
      <w:r w:rsidRPr="001C58FF">
        <w:t xml:space="preserve">: </w:t>
      </w:r>
      <w:r w:rsidR="00B70133" w:rsidRPr="001C58FF">
        <w:t>Retiros del Fondo de Capitalización Laboral</w:t>
      </w:r>
    </w:p>
    <w:p w14:paraId="076EF8BB" w14:textId="75C83496" w:rsidR="00723D1F" w:rsidRPr="001C58FF" w:rsidRDefault="00B70133" w:rsidP="00723D1F">
      <w:pPr>
        <w:pStyle w:val="Descripcin"/>
        <w:spacing w:after="0"/>
        <w:jc w:val="center"/>
      </w:pPr>
      <w:r w:rsidRPr="001C58FF">
        <w:t xml:space="preserve">Atendidas </w:t>
      </w:r>
      <w:r w:rsidR="004C60A0" w:rsidRPr="001C58FF">
        <w:t>al 30 de setiembre</w:t>
      </w:r>
      <w:r w:rsidR="005F0338" w:rsidRPr="001C58FF">
        <w:t xml:space="preserve"> de</w:t>
      </w:r>
      <w:r w:rsidR="004C60A0" w:rsidRPr="001C58FF">
        <w:t>l</w:t>
      </w:r>
      <w:r w:rsidR="005F0338" w:rsidRPr="001C58FF">
        <w:t xml:space="preserve"> 2020</w:t>
      </w:r>
    </w:p>
    <w:p w14:paraId="4748D90D" w14:textId="5F51C16E" w:rsidR="004A6855" w:rsidRPr="001C58FF" w:rsidRDefault="004A6855" w:rsidP="004A6855">
      <w:pPr>
        <w:pStyle w:val="Descripcin"/>
        <w:spacing w:after="0"/>
        <w:jc w:val="center"/>
      </w:pPr>
      <w:r w:rsidRPr="001C58FF">
        <w:t>Monto en mil</w:t>
      </w:r>
      <w:r w:rsidR="0049180D" w:rsidRPr="001C58FF">
        <w:t>lones</w:t>
      </w:r>
      <w:r w:rsidRPr="001C58FF">
        <w:t xml:space="preserve"> de colones</w:t>
      </w:r>
    </w:p>
    <w:tbl>
      <w:tblPr>
        <w:tblStyle w:val="Tablaconcuadrcula4-nfasis1"/>
        <w:tblW w:w="8784" w:type="dxa"/>
        <w:jc w:val="center"/>
        <w:tblLook w:val="04E0" w:firstRow="1" w:lastRow="1" w:firstColumn="1" w:lastColumn="0" w:noHBand="0" w:noVBand="1"/>
      </w:tblPr>
      <w:tblGrid>
        <w:gridCol w:w="2434"/>
        <w:gridCol w:w="1545"/>
        <w:gridCol w:w="1261"/>
        <w:gridCol w:w="1532"/>
        <w:gridCol w:w="2012"/>
      </w:tblGrid>
      <w:tr w:rsidR="0049180D" w:rsidRPr="00C8584A" w14:paraId="3A3D1C02" w14:textId="77777777" w:rsidTr="0049180D">
        <w:trPr>
          <w:cnfStyle w:val="100000000000" w:firstRow="1" w:lastRow="0" w:firstColumn="0" w:lastColumn="0" w:oddVBand="0" w:evenVBand="0" w:oddHBand="0" w:evenHBand="0"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2434" w:type="dxa"/>
            <w:noWrap/>
            <w:vAlign w:val="center"/>
            <w:hideMark/>
          </w:tcPr>
          <w:p w14:paraId="1C2C1195" w14:textId="77777777" w:rsidR="0049180D" w:rsidRPr="00C8584A" w:rsidRDefault="0049180D" w:rsidP="00C50A6E">
            <w:pPr>
              <w:rPr>
                <w:rFonts w:asciiTheme="minorHAnsi" w:eastAsia="Times New Roman" w:hAnsiTheme="minorHAnsi" w:cstheme="minorHAnsi"/>
                <w:lang w:val="es-CR"/>
              </w:rPr>
            </w:pPr>
            <w:r w:rsidRPr="00C8584A">
              <w:rPr>
                <w:rFonts w:asciiTheme="minorHAnsi" w:eastAsia="Times New Roman" w:hAnsiTheme="minorHAnsi" w:cstheme="minorHAnsi"/>
                <w:lang w:val="es-CR"/>
              </w:rPr>
              <w:t>Motivo</w:t>
            </w:r>
          </w:p>
        </w:tc>
        <w:tc>
          <w:tcPr>
            <w:tcW w:w="1545" w:type="dxa"/>
            <w:noWrap/>
            <w:vAlign w:val="center"/>
            <w:hideMark/>
          </w:tcPr>
          <w:p w14:paraId="61AB42D7" w14:textId="77777777" w:rsidR="0049180D" w:rsidRPr="00C8584A" w:rsidRDefault="0049180D" w:rsidP="00C50A6E">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lang w:val="es-CR"/>
              </w:rPr>
            </w:pPr>
            <w:r w:rsidRPr="00C8584A">
              <w:rPr>
                <w:rFonts w:asciiTheme="minorHAnsi" w:eastAsia="Times New Roman" w:hAnsiTheme="minorHAnsi" w:cstheme="minorHAnsi"/>
                <w:lang w:val="es-CR"/>
              </w:rPr>
              <w:t>Monto</w:t>
            </w:r>
          </w:p>
          <w:p w14:paraId="0230176A" w14:textId="5E76859B" w:rsidR="0049180D" w:rsidRPr="00C8584A" w:rsidRDefault="0049180D" w:rsidP="00C50A6E">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lang w:val="es-CR"/>
              </w:rPr>
            </w:pPr>
            <w:r w:rsidRPr="00C8584A">
              <w:rPr>
                <w:rFonts w:asciiTheme="minorHAnsi" w:eastAsia="Times New Roman" w:hAnsiTheme="minorHAnsi" w:cstheme="minorHAnsi"/>
                <w:lang w:val="es-CR"/>
              </w:rPr>
              <w:t xml:space="preserve">pagado </w:t>
            </w:r>
          </w:p>
        </w:tc>
        <w:tc>
          <w:tcPr>
            <w:tcW w:w="1261" w:type="dxa"/>
            <w:vAlign w:val="center"/>
          </w:tcPr>
          <w:p w14:paraId="09FEE0CD" w14:textId="77777777" w:rsidR="0049180D" w:rsidRPr="00C8584A" w:rsidRDefault="0049180D" w:rsidP="00C50A6E">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lang w:val="es-CR"/>
              </w:rPr>
            </w:pPr>
            <w:r w:rsidRPr="00C8584A">
              <w:rPr>
                <w:rFonts w:asciiTheme="minorHAnsi" w:eastAsia="Times New Roman" w:hAnsiTheme="minorHAnsi" w:cstheme="minorHAnsi"/>
                <w:lang w:val="es-CR"/>
              </w:rPr>
              <w:t>%</w:t>
            </w:r>
          </w:p>
          <w:p w14:paraId="1202E129" w14:textId="77777777" w:rsidR="0049180D" w:rsidRPr="00C8584A" w:rsidRDefault="0049180D" w:rsidP="00C50A6E">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lang w:val="es-CR"/>
              </w:rPr>
            </w:pPr>
            <w:r w:rsidRPr="00C8584A">
              <w:rPr>
                <w:rFonts w:asciiTheme="minorHAnsi" w:eastAsia="Times New Roman" w:hAnsiTheme="minorHAnsi" w:cstheme="minorHAnsi"/>
                <w:lang w:val="es-CR"/>
              </w:rPr>
              <w:t>Monto total</w:t>
            </w:r>
          </w:p>
        </w:tc>
        <w:tc>
          <w:tcPr>
            <w:tcW w:w="1532" w:type="dxa"/>
            <w:noWrap/>
            <w:vAlign w:val="center"/>
            <w:hideMark/>
          </w:tcPr>
          <w:p w14:paraId="13848D59" w14:textId="77777777" w:rsidR="0049180D" w:rsidRPr="00C8584A" w:rsidRDefault="0049180D" w:rsidP="00C50A6E">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lang w:val="es-CR"/>
              </w:rPr>
            </w:pPr>
            <w:r w:rsidRPr="00C8584A">
              <w:rPr>
                <w:rFonts w:asciiTheme="minorHAnsi" w:eastAsia="Times New Roman" w:hAnsiTheme="minorHAnsi" w:cstheme="minorHAnsi"/>
                <w:lang w:val="es-CR"/>
              </w:rPr>
              <w:t>Cantidad de solicitudes</w:t>
            </w:r>
          </w:p>
        </w:tc>
        <w:tc>
          <w:tcPr>
            <w:tcW w:w="2012" w:type="dxa"/>
            <w:vAlign w:val="center"/>
          </w:tcPr>
          <w:p w14:paraId="5F2F410C" w14:textId="77777777" w:rsidR="0049180D" w:rsidRPr="00C8584A" w:rsidRDefault="0049180D" w:rsidP="00C50A6E">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lang w:val="es-CR"/>
              </w:rPr>
            </w:pPr>
            <w:r w:rsidRPr="00C8584A">
              <w:rPr>
                <w:rFonts w:asciiTheme="minorHAnsi" w:eastAsia="Times New Roman" w:hAnsiTheme="minorHAnsi" w:cstheme="minorHAnsi"/>
                <w:lang w:val="es-CR"/>
              </w:rPr>
              <w:t>%</w:t>
            </w:r>
          </w:p>
          <w:p w14:paraId="32DF43E9" w14:textId="77777777" w:rsidR="0049180D" w:rsidRPr="00C8584A" w:rsidRDefault="0049180D" w:rsidP="00C50A6E">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lang w:val="es-CR"/>
              </w:rPr>
            </w:pPr>
            <w:r w:rsidRPr="00C8584A">
              <w:rPr>
                <w:rFonts w:asciiTheme="minorHAnsi" w:eastAsia="Times New Roman" w:hAnsiTheme="minorHAnsi" w:cstheme="minorHAnsi"/>
                <w:lang w:val="es-CR"/>
              </w:rPr>
              <w:t>Total de solicitudes</w:t>
            </w:r>
          </w:p>
        </w:tc>
      </w:tr>
      <w:tr w:rsidR="0049180D" w:rsidRPr="00C8584A" w14:paraId="771CB86F" w14:textId="77777777" w:rsidTr="0049180D">
        <w:trPr>
          <w:cnfStyle w:val="000000100000" w:firstRow="0" w:lastRow="0" w:firstColumn="0" w:lastColumn="0" w:oddVBand="0" w:evenVBand="0" w:oddHBand="1" w:evenHBand="0"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2434" w:type="dxa"/>
            <w:noWrap/>
            <w:hideMark/>
          </w:tcPr>
          <w:p w14:paraId="556854D0" w14:textId="77777777" w:rsidR="0049180D" w:rsidRPr="00C8584A" w:rsidRDefault="0049180D" w:rsidP="00C50A6E">
            <w:pPr>
              <w:rPr>
                <w:rFonts w:asciiTheme="minorHAnsi" w:eastAsia="Times New Roman" w:hAnsiTheme="minorHAnsi" w:cstheme="minorHAnsi"/>
                <w:color w:val="000000"/>
                <w:lang w:val="es-CR"/>
              </w:rPr>
            </w:pPr>
            <w:r w:rsidRPr="00C8584A">
              <w:rPr>
                <w:rFonts w:asciiTheme="minorHAnsi" w:eastAsia="Times New Roman" w:hAnsiTheme="minorHAnsi" w:cstheme="minorHAnsi"/>
                <w:color w:val="000000"/>
                <w:lang w:val="es-CR"/>
              </w:rPr>
              <w:t xml:space="preserve">Cese de relación laboral </w:t>
            </w:r>
          </w:p>
        </w:tc>
        <w:tc>
          <w:tcPr>
            <w:tcW w:w="1545" w:type="dxa"/>
            <w:noWrap/>
            <w:hideMark/>
          </w:tcPr>
          <w:p w14:paraId="1E8A9278" w14:textId="77777777" w:rsidR="0049180D" w:rsidRPr="00C8584A" w:rsidRDefault="0049180D" w:rsidP="00C50A6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s-CR"/>
              </w:rPr>
            </w:pPr>
            <w:r w:rsidRPr="00C8584A">
              <w:rPr>
                <w:rFonts w:asciiTheme="minorHAnsi" w:eastAsia="Times New Roman" w:hAnsiTheme="minorHAnsi" w:cstheme="minorHAnsi"/>
                <w:color w:val="000000"/>
                <w:lang w:val="es-CR"/>
              </w:rPr>
              <w:t xml:space="preserve">    30 054 </w:t>
            </w:r>
          </w:p>
        </w:tc>
        <w:tc>
          <w:tcPr>
            <w:tcW w:w="1261" w:type="dxa"/>
          </w:tcPr>
          <w:p w14:paraId="4521D671" w14:textId="77777777" w:rsidR="0049180D" w:rsidRPr="00C8584A" w:rsidRDefault="0049180D" w:rsidP="00C50A6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584A">
              <w:rPr>
                <w:rFonts w:asciiTheme="minorHAnsi" w:hAnsiTheme="minorHAnsi" w:cstheme="minorHAnsi"/>
              </w:rPr>
              <w:t>49%</w:t>
            </w:r>
          </w:p>
        </w:tc>
        <w:tc>
          <w:tcPr>
            <w:tcW w:w="1532" w:type="dxa"/>
            <w:noWrap/>
            <w:hideMark/>
          </w:tcPr>
          <w:p w14:paraId="3E2C8684" w14:textId="77777777" w:rsidR="0049180D" w:rsidRPr="00C8584A" w:rsidRDefault="0049180D" w:rsidP="00C50A6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s-CR"/>
              </w:rPr>
            </w:pPr>
            <w:r w:rsidRPr="00C8584A">
              <w:rPr>
                <w:rFonts w:asciiTheme="minorHAnsi" w:hAnsiTheme="minorHAnsi" w:cstheme="minorHAnsi"/>
              </w:rPr>
              <w:t xml:space="preserve"> 186 210 </w:t>
            </w:r>
          </w:p>
        </w:tc>
        <w:tc>
          <w:tcPr>
            <w:tcW w:w="2012" w:type="dxa"/>
          </w:tcPr>
          <w:p w14:paraId="4D314B25" w14:textId="77777777" w:rsidR="0049180D" w:rsidRPr="00C8584A" w:rsidRDefault="0049180D" w:rsidP="00C50A6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584A">
              <w:rPr>
                <w:rFonts w:asciiTheme="minorHAnsi" w:hAnsiTheme="minorHAnsi" w:cstheme="minorHAnsi"/>
              </w:rPr>
              <w:t>61%</w:t>
            </w:r>
          </w:p>
        </w:tc>
      </w:tr>
      <w:tr w:rsidR="0049180D" w:rsidRPr="00C8584A" w14:paraId="27F05432" w14:textId="77777777" w:rsidTr="0049180D">
        <w:trPr>
          <w:trHeight w:val="229"/>
          <w:jc w:val="center"/>
        </w:trPr>
        <w:tc>
          <w:tcPr>
            <w:cnfStyle w:val="001000000000" w:firstRow="0" w:lastRow="0" w:firstColumn="1" w:lastColumn="0" w:oddVBand="0" w:evenVBand="0" w:oddHBand="0" w:evenHBand="0" w:firstRowFirstColumn="0" w:firstRowLastColumn="0" w:lastRowFirstColumn="0" w:lastRowLastColumn="0"/>
            <w:tcW w:w="2434" w:type="dxa"/>
            <w:noWrap/>
            <w:hideMark/>
          </w:tcPr>
          <w:p w14:paraId="23DC6D0B" w14:textId="77777777" w:rsidR="0049180D" w:rsidRPr="00C8584A" w:rsidRDefault="0049180D" w:rsidP="00C50A6E">
            <w:pPr>
              <w:rPr>
                <w:rFonts w:asciiTheme="minorHAnsi" w:eastAsia="Times New Roman" w:hAnsiTheme="minorHAnsi" w:cstheme="minorHAnsi"/>
                <w:color w:val="000000"/>
                <w:lang w:val="es-CR"/>
              </w:rPr>
            </w:pPr>
            <w:r w:rsidRPr="00C8584A">
              <w:rPr>
                <w:rFonts w:asciiTheme="minorHAnsi" w:eastAsia="Times New Roman" w:hAnsiTheme="minorHAnsi" w:cstheme="minorHAnsi"/>
                <w:color w:val="000000"/>
                <w:lang w:val="es-CR"/>
              </w:rPr>
              <w:t>Suspensión del contrato</w:t>
            </w:r>
          </w:p>
        </w:tc>
        <w:tc>
          <w:tcPr>
            <w:tcW w:w="1545" w:type="dxa"/>
            <w:noWrap/>
            <w:hideMark/>
          </w:tcPr>
          <w:p w14:paraId="5A4FF611" w14:textId="77777777" w:rsidR="0049180D" w:rsidRPr="00C8584A" w:rsidRDefault="0049180D" w:rsidP="00C50A6E">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s-CR"/>
              </w:rPr>
            </w:pPr>
            <w:r w:rsidRPr="00C8584A">
              <w:rPr>
                <w:rFonts w:asciiTheme="minorHAnsi" w:eastAsia="Times New Roman" w:hAnsiTheme="minorHAnsi" w:cstheme="minorHAnsi"/>
                <w:color w:val="000000"/>
                <w:lang w:val="es-CR"/>
              </w:rPr>
              <w:t xml:space="preserve">     6 931 </w:t>
            </w:r>
          </w:p>
        </w:tc>
        <w:tc>
          <w:tcPr>
            <w:tcW w:w="1261" w:type="dxa"/>
          </w:tcPr>
          <w:p w14:paraId="489FD76C" w14:textId="77777777" w:rsidR="0049180D" w:rsidRPr="00C8584A" w:rsidRDefault="0049180D" w:rsidP="00C50A6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8584A">
              <w:rPr>
                <w:rFonts w:asciiTheme="minorHAnsi" w:hAnsiTheme="minorHAnsi" w:cstheme="minorHAnsi"/>
              </w:rPr>
              <w:t>11%</w:t>
            </w:r>
          </w:p>
        </w:tc>
        <w:tc>
          <w:tcPr>
            <w:tcW w:w="1532" w:type="dxa"/>
            <w:noWrap/>
            <w:hideMark/>
          </w:tcPr>
          <w:p w14:paraId="37181DA1" w14:textId="77777777" w:rsidR="0049180D" w:rsidRPr="00C8584A" w:rsidRDefault="0049180D" w:rsidP="00C50A6E">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s-CR"/>
              </w:rPr>
            </w:pPr>
            <w:r w:rsidRPr="00C8584A">
              <w:rPr>
                <w:rFonts w:asciiTheme="minorHAnsi" w:hAnsiTheme="minorHAnsi" w:cstheme="minorHAnsi"/>
              </w:rPr>
              <w:t xml:space="preserve"> 36 604 </w:t>
            </w:r>
          </w:p>
        </w:tc>
        <w:tc>
          <w:tcPr>
            <w:tcW w:w="2012" w:type="dxa"/>
          </w:tcPr>
          <w:p w14:paraId="333589B3" w14:textId="77777777" w:rsidR="0049180D" w:rsidRPr="00C8584A" w:rsidRDefault="0049180D" w:rsidP="00C50A6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8584A">
              <w:rPr>
                <w:rFonts w:asciiTheme="minorHAnsi" w:hAnsiTheme="minorHAnsi" w:cstheme="minorHAnsi"/>
              </w:rPr>
              <w:t>12%</w:t>
            </w:r>
          </w:p>
        </w:tc>
      </w:tr>
      <w:tr w:rsidR="0049180D" w:rsidRPr="00C8584A" w14:paraId="1B0F49C3" w14:textId="77777777" w:rsidTr="0049180D">
        <w:trPr>
          <w:cnfStyle w:val="000000100000" w:firstRow="0" w:lastRow="0" w:firstColumn="0" w:lastColumn="0" w:oddVBand="0" w:evenVBand="0" w:oddHBand="1" w:evenHBand="0"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2434" w:type="dxa"/>
            <w:noWrap/>
            <w:hideMark/>
          </w:tcPr>
          <w:p w14:paraId="49DAD688" w14:textId="77777777" w:rsidR="0049180D" w:rsidRPr="00C8584A" w:rsidRDefault="0049180D" w:rsidP="00C50A6E">
            <w:pPr>
              <w:rPr>
                <w:rFonts w:asciiTheme="minorHAnsi" w:eastAsia="Times New Roman" w:hAnsiTheme="minorHAnsi" w:cstheme="minorHAnsi"/>
                <w:color w:val="000000"/>
                <w:lang w:val="es-CR"/>
              </w:rPr>
            </w:pPr>
            <w:r w:rsidRPr="00C8584A">
              <w:rPr>
                <w:rFonts w:asciiTheme="minorHAnsi" w:eastAsia="Times New Roman" w:hAnsiTheme="minorHAnsi" w:cstheme="minorHAnsi"/>
                <w:color w:val="000000"/>
                <w:lang w:val="es-CR"/>
              </w:rPr>
              <w:t>Reducción de la jornada</w:t>
            </w:r>
          </w:p>
        </w:tc>
        <w:tc>
          <w:tcPr>
            <w:tcW w:w="1545" w:type="dxa"/>
            <w:noWrap/>
            <w:hideMark/>
          </w:tcPr>
          <w:p w14:paraId="6B650D79" w14:textId="77777777" w:rsidR="0049180D" w:rsidRPr="00C8584A" w:rsidRDefault="0049180D" w:rsidP="00C50A6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s-CR"/>
              </w:rPr>
            </w:pPr>
            <w:r w:rsidRPr="00C8584A">
              <w:rPr>
                <w:rFonts w:asciiTheme="minorHAnsi" w:eastAsia="Times New Roman" w:hAnsiTheme="minorHAnsi" w:cstheme="minorHAnsi"/>
                <w:color w:val="000000"/>
                <w:lang w:val="es-CR"/>
              </w:rPr>
              <w:t xml:space="preserve">    24 953 </w:t>
            </w:r>
          </w:p>
        </w:tc>
        <w:tc>
          <w:tcPr>
            <w:tcW w:w="1261" w:type="dxa"/>
          </w:tcPr>
          <w:p w14:paraId="1EC2D4A5" w14:textId="77777777" w:rsidR="0049180D" w:rsidRPr="00C8584A" w:rsidRDefault="0049180D" w:rsidP="00C50A6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584A">
              <w:rPr>
                <w:rFonts w:asciiTheme="minorHAnsi" w:hAnsiTheme="minorHAnsi" w:cstheme="minorHAnsi"/>
              </w:rPr>
              <w:t>40%</w:t>
            </w:r>
          </w:p>
        </w:tc>
        <w:tc>
          <w:tcPr>
            <w:tcW w:w="1532" w:type="dxa"/>
            <w:noWrap/>
            <w:hideMark/>
          </w:tcPr>
          <w:p w14:paraId="336470D2" w14:textId="77777777" w:rsidR="0049180D" w:rsidRPr="00C8584A" w:rsidRDefault="0049180D" w:rsidP="00C50A6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s-CR"/>
              </w:rPr>
            </w:pPr>
            <w:r w:rsidRPr="00C8584A">
              <w:rPr>
                <w:rFonts w:asciiTheme="minorHAnsi" w:hAnsiTheme="minorHAnsi" w:cstheme="minorHAnsi"/>
              </w:rPr>
              <w:t xml:space="preserve"> 83 269 </w:t>
            </w:r>
          </w:p>
        </w:tc>
        <w:tc>
          <w:tcPr>
            <w:tcW w:w="2012" w:type="dxa"/>
          </w:tcPr>
          <w:p w14:paraId="2F48E894" w14:textId="77777777" w:rsidR="0049180D" w:rsidRPr="00C8584A" w:rsidRDefault="0049180D" w:rsidP="00C50A6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584A">
              <w:rPr>
                <w:rFonts w:asciiTheme="minorHAnsi" w:hAnsiTheme="minorHAnsi" w:cstheme="minorHAnsi"/>
              </w:rPr>
              <w:t>27%</w:t>
            </w:r>
          </w:p>
        </w:tc>
      </w:tr>
      <w:tr w:rsidR="0049180D" w:rsidRPr="00C8584A" w14:paraId="20343256" w14:textId="77777777" w:rsidTr="0049180D">
        <w:trPr>
          <w:cnfStyle w:val="010000000000" w:firstRow="0" w:lastRow="1" w:firstColumn="0" w:lastColumn="0" w:oddVBand="0" w:evenVBand="0" w:oddHBand="0" w:evenHBand="0"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2434" w:type="dxa"/>
            <w:noWrap/>
            <w:hideMark/>
          </w:tcPr>
          <w:p w14:paraId="348D8912" w14:textId="77777777" w:rsidR="0049180D" w:rsidRPr="00C8584A" w:rsidRDefault="0049180D" w:rsidP="00C50A6E">
            <w:pPr>
              <w:rPr>
                <w:rFonts w:asciiTheme="minorHAnsi" w:eastAsia="Times New Roman" w:hAnsiTheme="minorHAnsi" w:cstheme="minorHAnsi"/>
                <w:color w:val="000000"/>
                <w:lang w:val="es-CR"/>
              </w:rPr>
            </w:pPr>
            <w:r w:rsidRPr="00C8584A">
              <w:rPr>
                <w:rFonts w:asciiTheme="minorHAnsi" w:eastAsia="Times New Roman" w:hAnsiTheme="minorHAnsi" w:cstheme="minorHAnsi"/>
                <w:color w:val="000000"/>
                <w:lang w:val="es-CR"/>
              </w:rPr>
              <w:t>Total</w:t>
            </w:r>
          </w:p>
        </w:tc>
        <w:tc>
          <w:tcPr>
            <w:tcW w:w="1545" w:type="dxa"/>
            <w:noWrap/>
            <w:hideMark/>
          </w:tcPr>
          <w:p w14:paraId="34D0391A" w14:textId="77777777" w:rsidR="0049180D" w:rsidRPr="00C8584A" w:rsidRDefault="0049180D" w:rsidP="00C50A6E">
            <w:pPr>
              <w:jc w:val="right"/>
              <w:cnfStyle w:val="010000000000" w:firstRow="0" w:lastRow="1"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s-CR"/>
              </w:rPr>
            </w:pPr>
            <w:r w:rsidRPr="00C8584A">
              <w:rPr>
                <w:rFonts w:asciiTheme="minorHAnsi" w:eastAsia="Times New Roman" w:hAnsiTheme="minorHAnsi" w:cstheme="minorHAnsi"/>
                <w:color w:val="000000"/>
                <w:lang w:val="es-CR"/>
              </w:rPr>
              <w:t xml:space="preserve">    61 938 </w:t>
            </w:r>
          </w:p>
        </w:tc>
        <w:tc>
          <w:tcPr>
            <w:tcW w:w="1261" w:type="dxa"/>
          </w:tcPr>
          <w:p w14:paraId="332B71D0" w14:textId="77777777" w:rsidR="0049180D" w:rsidRPr="00C8584A" w:rsidRDefault="0049180D" w:rsidP="00C50A6E">
            <w:pPr>
              <w:jc w:val="right"/>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rPr>
            </w:pPr>
          </w:p>
        </w:tc>
        <w:tc>
          <w:tcPr>
            <w:tcW w:w="1532" w:type="dxa"/>
            <w:noWrap/>
            <w:hideMark/>
          </w:tcPr>
          <w:p w14:paraId="24BA0A76" w14:textId="77777777" w:rsidR="0049180D" w:rsidRPr="00C8584A" w:rsidRDefault="0049180D" w:rsidP="00C50A6E">
            <w:pPr>
              <w:jc w:val="right"/>
              <w:cnfStyle w:val="010000000000" w:firstRow="0" w:lastRow="1"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s-CR"/>
              </w:rPr>
            </w:pPr>
            <w:r w:rsidRPr="00C8584A">
              <w:rPr>
                <w:rFonts w:asciiTheme="minorHAnsi" w:hAnsiTheme="minorHAnsi" w:cstheme="minorHAnsi"/>
              </w:rPr>
              <w:t xml:space="preserve"> 306 083 </w:t>
            </w:r>
          </w:p>
        </w:tc>
        <w:tc>
          <w:tcPr>
            <w:tcW w:w="2012" w:type="dxa"/>
          </w:tcPr>
          <w:p w14:paraId="103018CD" w14:textId="77777777" w:rsidR="0049180D" w:rsidRPr="00C8584A" w:rsidRDefault="0049180D" w:rsidP="00C50A6E">
            <w:pPr>
              <w:jc w:val="right"/>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rPr>
            </w:pPr>
          </w:p>
        </w:tc>
      </w:tr>
    </w:tbl>
    <w:p w14:paraId="1618A8B0" w14:textId="77777777" w:rsidR="00680F11" w:rsidRDefault="00680F11" w:rsidP="001C58FF">
      <w:pPr>
        <w:pStyle w:val="Descripcin"/>
        <w:spacing w:after="0"/>
      </w:pPr>
      <w:r w:rsidRPr="001C58FF">
        <w:t xml:space="preserve">Fuente: Elaboración propia </w:t>
      </w:r>
      <w:r w:rsidR="00723D1F" w:rsidRPr="001C58FF">
        <w:t>con datos suministrados por las entidades</w:t>
      </w:r>
    </w:p>
    <w:p w14:paraId="49C21CFB" w14:textId="77777777" w:rsidR="00A8066D" w:rsidRDefault="00A8066D" w:rsidP="00A8066D">
      <w:pPr>
        <w:spacing w:after="0" w:line="360" w:lineRule="auto"/>
        <w:jc w:val="both"/>
      </w:pPr>
    </w:p>
    <w:p w14:paraId="0E21623E" w14:textId="4D86DC66" w:rsidR="00EA0EB1" w:rsidRPr="00157994" w:rsidRDefault="00EA0EB1" w:rsidP="00A8066D">
      <w:pPr>
        <w:spacing w:after="0" w:line="360" w:lineRule="auto"/>
        <w:jc w:val="both"/>
      </w:pPr>
      <w:r w:rsidRPr="00157994">
        <w:t>Al 30 de setiembre de 2020, las operadoras de pensiones habían recibido 306</w:t>
      </w:r>
      <w:r w:rsidR="0013276C" w:rsidRPr="00157994">
        <w:t xml:space="preserve"> </w:t>
      </w:r>
      <w:r w:rsidRPr="00157994">
        <w:t>086 solicitudes de retiro del FCL, de las cuales el 99% habían sido pagadas a esa fecha</w:t>
      </w:r>
      <w:r w:rsidR="004E32B2" w:rsidRPr="00157994">
        <w:t xml:space="preserve">. </w:t>
      </w:r>
      <w:r w:rsidRPr="00157994">
        <w:t>Popular Pensiones OPC y OPC CCSS se mantienen como las entidades que han pagado la mayor cantidad de recursos (48% del monto liquidado).</w:t>
      </w:r>
    </w:p>
    <w:p w14:paraId="3D0D1AF3" w14:textId="77777777" w:rsidR="004E32B2" w:rsidRPr="00157994" w:rsidRDefault="004E32B2" w:rsidP="00A8066D">
      <w:pPr>
        <w:spacing w:after="0" w:line="360" w:lineRule="auto"/>
        <w:jc w:val="both"/>
      </w:pPr>
    </w:p>
    <w:p w14:paraId="6AE2BAD2" w14:textId="1443655A" w:rsidR="00E02898" w:rsidRDefault="0038661D" w:rsidP="00A8066D">
      <w:pPr>
        <w:spacing w:after="0" w:line="360" w:lineRule="auto"/>
        <w:jc w:val="both"/>
      </w:pPr>
      <w:r w:rsidRPr="00157994">
        <w:t xml:space="preserve">El pago de estos recursos se ha realizado con los </w:t>
      </w:r>
      <w:r w:rsidR="00566313" w:rsidRPr="00157994">
        <w:t>dineros</w:t>
      </w:r>
      <w:r w:rsidRPr="00157994">
        <w:t xml:space="preserve"> provenientes de la recaudación y de vencimientos, sin necesidad de acudir a otros mecanismos como los previstos en la reciente modificación a la </w:t>
      </w:r>
      <w:r w:rsidR="00741055" w:rsidRPr="00157994">
        <w:t>LPT</w:t>
      </w:r>
      <w:r w:rsidRPr="00157994">
        <w:t xml:space="preserve">. SUPEN continúa dando seguimiento a la gestión de la liquidez y a la evolución de las solicitudes de retiro de los trabajadores. </w:t>
      </w:r>
    </w:p>
    <w:p w14:paraId="7893E118" w14:textId="5C2F46C9" w:rsidR="00B44D8C" w:rsidRDefault="00B44D8C" w:rsidP="00747A1A">
      <w:pPr>
        <w:spacing w:after="0" w:line="240" w:lineRule="auto"/>
        <w:jc w:val="both"/>
      </w:pPr>
    </w:p>
    <w:p w14:paraId="5CF59120" w14:textId="77777777" w:rsidR="00B44D8C" w:rsidRPr="00B44D8C" w:rsidRDefault="00B44D8C" w:rsidP="00B44D8C">
      <w:pPr>
        <w:pStyle w:val="Ttulo3"/>
        <w:numPr>
          <w:ilvl w:val="2"/>
          <w:numId w:val="1"/>
        </w:numPr>
      </w:pPr>
      <w:bookmarkStart w:id="10" w:name="_Toc64039561"/>
      <w:r w:rsidRPr="00B44D8C">
        <w:t>Impacto en la recaudación del ROP y FCL</w:t>
      </w:r>
      <w:bookmarkEnd w:id="10"/>
      <w:r w:rsidRPr="00B44D8C">
        <w:t xml:space="preserve"> </w:t>
      </w:r>
    </w:p>
    <w:p w14:paraId="502609FB" w14:textId="77777777" w:rsidR="00812A82" w:rsidRDefault="00812A82" w:rsidP="00747A1A">
      <w:pPr>
        <w:spacing w:after="0" w:line="240" w:lineRule="auto"/>
        <w:jc w:val="both"/>
      </w:pPr>
    </w:p>
    <w:p w14:paraId="1CBB6A9C" w14:textId="3F9CCA10" w:rsidR="00B44D8C" w:rsidRDefault="00812A82" w:rsidP="00A8066D">
      <w:pPr>
        <w:spacing w:after="0" w:line="360" w:lineRule="auto"/>
        <w:jc w:val="both"/>
      </w:pPr>
      <w:r w:rsidRPr="00812A82">
        <w:t xml:space="preserve">La pandemia por el COVID-19 también ha tenido su efecto en la recaudación de los recursos del ROP y FCL, debido a que desde finales de marzo de 2020 varias empresas han optado por cesar trabajadores, suspender o reducir la jornada laboral de estos. En este sentido, durante el tercer trimestre los aportes al ROP trasladados por el SICERE a las operadoras de pensiones, se redujeron en </w:t>
      </w:r>
      <w:r w:rsidR="00252A26">
        <w:t>₡</w:t>
      </w:r>
      <w:r w:rsidRPr="00812A82">
        <w:t xml:space="preserve">1 848 millones, mientras que los del FCL disminuyeron en </w:t>
      </w:r>
      <w:r w:rsidR="00252A26">
        <w:t>₡</w:t>
      </w:r>
      <w:r w:rsidRPr="00812A82">
        <w:t>2 745 millones, según se puede apreciar en el gráfico siguiente:</w:t>
      </w:r>
    </w:p>
    <w:p w14:paraId="730F4683" w14:textId="77777777" w:rsidR="00000C6E" w:rsidRDefault="00000C6E" w:rsidP="00A8066D">
      <w:pPr>
        <w:spacing w:after="0" w:line="360" w:lineRule="auto"/>
        <w:jc w:val="both"/>
      </w:pPr>
    </w:p>
    <w:p w14:paraId="73268522" w14:textId="11DEC566" w:rsidR="002607C1" w:rsidRDefault="00000C6E" w:rsidP="002607C1">
      <w:pPr>
        <w:pStyle w:val="Descripcin"/>
        <w:tabs>
          <w:tab w:val="center" w:pos="4419"/>
          <w:tab w:val="left" w:pos="5331"/>
        </w:tabs>
        <w:spacing w:after="0"/>
        <w:jc w:val="center"/>
      </w:pPr>
      <w:r>
        <w:t xml:space="preserve">Gráfico </w:t>
      </w:r>
      <w:r>
        <w:fldChar w:fldCharType="begin"/>
      </w:r>
      <w:r>
        <w:instrText xml:space="preserve"> SEQ Gráfico \* ARABIC </w:instrText>
      </w:r>
      <w:r>
        <w:fldChar w:fldCharType="separate"/>
      </w:r>
      <w:r w:rsidR="00E620DA">
        <w:rPr>
          <w:noProof/>
        </w:rPr>
        <w:t>1</w:t>
      </w:r>
      <w:r>
        <w:fldChar w:fldCharType="end"/>
      </w:r>
      <w:r>
        <w:t xml:space="preserve">: </w:t>
      </w:r>
      <w:r w:rsidR="002607C1">
        <w:t xml:space="preserve">Monto trimestral de recursos trasladados por SICERE </w:t>
      </w:r>
    </w:p>
    <w:p w14:paraId="6D0E41FD" w14:textId="2F7D40AA" w:rsidR="002607C1" w:rsidRDefault="002607C1" w:rsidP="002607C1">
      <w:pPr>
        <w:pStyle w:val="Descripcin"/>
        <w:tabs>
          <w:tab w:val="center" w:pos="4419"/>
          <w:tab w:val="left" w:pos="5331"/>
        </w:tabs>
        <w:spacing w:after="0"/>
        <w:jc w:val="center"/>
      </w:pPr>
      <w:r>
        <w:t>a las operadoras de pensiones</w:t>
      </w:r>
    </w:p>
    <w:p w14:paraId="4C860936" w14:textId="5DC58EC0" w:rsidR="007612A3" w:rsidRDefault="007612A3" w:rsidP="00DF3D39">
      <w:pPr>
        <w:spacing w:after="20" w:line="240" w:lineRule="auto"/>
        <w:jc w:val="center"/>
      </w:pPr>
      <w:r>
        <w:rPr>
          <w:noProof/>
        </w:rPr>
        <w:drawing>
          <wp:inline distT="0" distB="0" distL="0" distR="0" wp14:anchorId="4CB88B51" wp14:editId="75DC62BC">
            <wp:extent cx="4039870" cy="2433320"/>
            <wp:effectExtent l="0" t="0" r="17780" b="5080"/>
            <wp:docPr id="4" name="Gráfico 4">
              <a:extLst xmlns:a="http://schemas.openxmlformats.org/drawingml/2006/main">
                <a:ext uri="{FF2B5EF4-FFF2-40B4-BE49-F238E27FC236}">
                  <a16:creationId xmlns:a16="http://schemas.microsoft.com/office/drawing/2014/main" id="{693EB5D4-9FD7-4625-8ADC-353A596BE3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F0249F7" w14:textId="02955964" w:rsidR="00CA4224" w:rsidRDefault="00000C6E" w:rsidP="00000C6E">
      <w:pPr>
        <w:spacing w:after="0" w:line="240" w:lineRule="auto"/>
        <w:ind w:left="708" w:firstLine="84"/>
      </w:pPr>
      <w:r w:rsidRPr="006E224B">
        <w:rPr>
          <w:i/>
          <w:iCs/>
          <w:color w:val="1F497D" w:themeColor="text2"/>
          <w:sz w:val="18"/>
          <w:szCs w:val="18"/>
        </w:rPr>
        <w:t xml:space="preserve">Fuente: </w:t>
      </w:r>
      <w:r>
        <w:rPr>
          <w:i/>
          <w:iCs/>
          <w:color w:val="1F497D" w:themeColor="text2"/>
          <w:sz w:val="18"/>
          <w:szCs w:val="18"/>
        </w:rPr>
        <w:t>Elaboración propia con información remitida por SICERE</w:t>
      </w:r>
    </w:p>
    <w:p w14:paraId="15EE3CCA" w14:textId="77777777" w:rsidR="007C2374" w:rsidRDefault="007C2374" w:rsidP="003C155C">
      <w:pPr>
        <w:spacing w:after="0" w:line="240" w:lineRule="auto"/>
        <w:jc w:val="both"/>
        <w:rPr>
          <w:rFonts w:ascii="Calibri" w:eastAsia="Times New Roman" w:hAnsi="Calibri" w:cs="Calibri"/>
          <w:color w:val="000000"/>
          <w:lang w:val="es-CR" w:eastAsia="es-CR"/>
        </w:rPr>
      </w:pPr>
    </w:p>
    <w:p w14:paraId="6F9EDDA8" w14:textId="584DFBD1" w:rsidR="00040FCB" w:rsidRDefault="00E809EF" w:rsidP="00E2531A">
      <w:pPr>
        <w:pStyle w:val="Ttulo2"/>
        <w:numPr>
          <w:ilvl w:val="1"/>
          <w:numId w:val="1"/>
        </w:numPr>
      </w:pPr>
      <w:bookmarkStart w:id="11" w:name="_Toc64039562"/>
      <w:r>
        <w:t xml:space="preserve">Efectos </w:t>
      </w:r>
      <w:r w:rsidR="00697106">
        <w:t xml:space="preserve">y acciones tomadas </w:t>
      </w:r>
      <w:r>
        <w:t>en</w:t>
      </w:r>
      <w:r w:rsidRPr="00C74688">
        <w:t xml:space="preserve"> </w:t>
      </w:r>
      <w:r w:rsidR="0089566B">
        <w:t>Regímenes de Capitalización Colectiva</w:t>
      </w:r>
      <w:bookmarkEnd w:id="11"/>
    </w:p>
    <w:p w14:paraId="7202737D" w14:textId="7897C432" w:rsidR="00A01AB1" w:rsidRPr="004D0DCE" w:rsidRDefault="00A01AB1" w:rsidP="00A01AB1">
      <w:pPr>
        <w:pStyle w:val="Descripcin"/>
        <w:spacing w:after="0"/>
        <w:jc w:val="center"/>
        <w:rPr>
          <w:sz w:val="20"/>
          <w:szCs w:val="20"/>
        </w:rPr>
      </w:pPr>
      <w:r w:rsidRPr="004D0DCE">
        <w:rPr>
          <w:sz w:val="20"/>
          <w:szCs w:val="20"/>
        </w:rPr>
        <w:t xml:space="preserve">Tabla </w:t>
      </w:r>
      <w:r w:rsidRPr="004D0DCE">
        <w:rPr>
          <w:sz w:val="20"/>
          <w:szCs w:val="20"/>
        </w:rPr>
        <w:fldChar w:fldCharType="begin"/>
      </w:r>
      <w:r w:rsidRPr="004D0DCE">
        <w:rPr>
          <w:sz w:val="20"/>
          <w:szCs w:val="20"/>
        </w:rPr>
        <w:instrText xml:space="preserve"> SEQ Tabla \* ARABIC </w:instrText>
      </w:r>
      <w:r w:rsidRPr="004D0DCE">
        <w:rPr>
          <w:sz w:val="20"/>
          <w:szCs w:val="20"/>
        </w:rPr>
        <w:fldChar w:fldCharType="separate"/>
      </w:r>
      <w:r w:rsidR="00E620DA" w:rsidRPr="004D0DCE">
        <w:rPr>
          <w:noProof/>
          <w:sz w:val="20"/>
          <w:szCs w:val="20"/>
        </w:rPr>
        <w:t>3</w:t>
      </w:r>
      <w:r w:rsidRPr="004D0DCE">
        <w:rPr>
          <w:sz w:val="20"/>
          <w:szCs w:val="20"/>
        </w:rPr>
        <w:fldChar w:fldCharType="end"/>
      </w:r>
      <w:r w:rsidRPr="004D0DCE">
        <w:rPr>
          <w:sz w:val="20"/>
          <w:szCs w:val="20"/>
        </w:rPr>
        <w:t xml:space="preserve">: </w:t>
      </w:r>
      <w:r w:rsidR="00D05C1E" w:rsidRPr="004D0DCE">
        <w:rPr>
          <w:sz w:val="20"/>
          <w:szCs w:val="20"/>
        </w:rPr>
        <w:t>Efectos del COVID-19 en</w:t>
      </w:r>
      <w:r w:rsidRPr="004D0DCE">
        <w:rPr>
          <w:sz w:val="20"/>
          <w:szCs w:val="20"/>
        </w:rPr>
        <w:t xml:space="preserve"> los fondos</w:t>
      </w:r>
    </w:p>
    <w:p w14:paraId="631586E2" w14:textId="08121A2E" w:rsidR="00A451EE" w:rsidRPr="004D0DCE" w:rsidRDefault="009B5E88" w:rsidP="00D05C1E">
      <w:pPr>
        <w:pStyle w:val="Descripcin"/>
        <w:spacing w:after="0"/>
        <w:jc w:val="center"/>
        <w:rPr>
          <w:sz w:val="20"/>
          <w:szCs w:val="20"/>
        </w:rPr>
      </w:pPr>
      <w:r w:rsidRPr="004D0DCE">
        <w:rPr>
          <w:sz w:val="20"/>
          <w:szCs w:val="20"/>
        </w:rPr>
        <w:t>Regímenes de Capitalización Colectiva</w:t>
      </w:r>
    </w:p>
    <w:p w14:paraId="39830D2F" w14:textId="32088D21" w:rsidR="000014E8" w:rsidRPr="004D0DCE" w:rsidRDefault="000014E8" w:rsidP="000014E8">
      <w:pPr>
        <w:pStyle w:val="Descripcin"/>
        <w:spacing w:after="0"/>
        <w:jc w:val="center"/>
        <w:rPr>
          <w:sz w:val="20"/>
          <w:szCs w:val="20"/>
        </w:rPr>
      </w:pPr>
      <w:r w:rsidRPr="004D0DCE">
        <w:rPr>
          <w:sz w:val="20"/>
          <w:szCs w:val="20"/>
        </w:rPr>
        <w:t>Durante el tercer trimestre del 2020</w:t>
      </w:r>
    </w:p>
    <w:tbl>
      <w:tblPr>
        <w:tblStyle w:val="Tablaconcuadrcula4-nfasis1"/>
        <w:tblW w:w="13320" w:type="dxa"/>
        <w:jc w:val="center"/>
        <w:tblLook w:val="04A0" w:firstRow="1" w:lastRow="0" w:firstColumn="1" w:lastColumn="0" w:noHBand="0" w:noVBand="1"/>
      </w:tblPr>
      <w:tblGrid>
        <w:gridCol w:w="975"/>
        <w:gridCol w:w="12345"/>
      </w:tblGrid>
      <w:tr w:rsidR="003C30A0" w:rsidRPr="004D0DCE" w14:paraId="4EA11525" w14:textId="77777777" w:rsidTr="00A8066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75" w:type="dxa"/>
            <w:hideMark/>
          </w:tcPr>
          <w:p w14:paraId="27B116E6" w14:textId="77777777" w:rsidR="003C30A0" w:rsidRPr="004D0DCE" w:rsidRDefault="003C30A0" w:rsidP="003C30A0">
            <w:pPr>
              <w:rPr>
                <w:rFonts w:eastAsia="Times New Roman" w:cs="Calibri"/>
                <w:color w:val="000000"/>
                <w:sz w:val="22"/>
                <w:szCs w:val="22"/>
                <w:lang w:val="es-CR"/>
              </w:rPr>
            </w:pPr>
            <w:r w:rsidRPr="004D0DCE">
              <w:rPr>
                <w:rFonts w:eastAsia="Times New Roman" w:cs="Calibri"/>
                <w:color w:val="000000"/>
                <w:sz w:val="22"/>
                <w:szCs w:val="22"/>
                <w:lang w:val="es-CR"/>
              </w:rPr>
              <w:t>Fondo</w:t>
            </w:r>
          </w:p>
        </w:tc>
        <w:tc>
          <w:tcPr>
            <w:tcW w:w="12345" w:type="dxa"/>
            <w:hideMark/>
          </w:tcPr>
          <w:p w14:paraId="4FC834DE" w14:textId="77777777" w:rsidR="003C30A0" w:rsidRPr="004D0DCE" w:rsidRDefault="003C30A0" w:rsidP="003C30A0">
            <w:pP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2"/>
                <w:szCs w:val="22"/>
                <w:lang w:val="es-CR"/>
              </w:rPr>
            </w:pPr>
            <w:r w:rsidRPr="004D0DCE">
              <w:rPr>
                <w:rFonts w:eastAsia="Times New Roman" w:cs="Calibri"/>
                <w:color w:val="000000"/>
                <w:sz w:val="22"/>
                <w:szCs w:val="22"/>
                <w:lang w:val="es-CR"/>
              </w:rPr>
              <w:t>Efectos COVID</w:t>
            </w:r>
          </w:p>
        </w:tc>
      </w:tr>
      <w:tr w:rsidR="003C30A0" w:rsidRPr="004D0DCE" w14:paraId="4784F288" w14:textId="77777777" w:rsidTr="00A8066D">
        <w:trPr>
          <w:cnfStyle w:val="000000100000" w:firstRow="0" w:lastRow="0" w:firstColumn="0" w:lastColumn="0" w:oddVBand="0" w:evenVBand="0" w:oddHBand="1" w:evenHBand="0" w:firstRowFirstColumn="0" w:firstRowLastColumn="0" w:lastRowFirstColumn="0" w:lastRowLastColumn="0"/>
          <w:trHeight w:val="531"/>
          <w:jc w:val="center"/>
        </w:trPr>
        <w:tc>
          <w:tcPr>
            <w:cnfStyle w:val="001000000000" w:firstRow="0" w:lastRow="0" w:firstColumn="1" w:lastColumn="0" w:oddVBand="0" w:evenVBand="0" w:oddHBand="0" w:evenHBand="0" w:firstRowFirstColumn="0" w:firstRowLastColumn="0" w:lastRowFirstColumn="0" w:lastRowLastColumn="0"/>
            <w:tcW w:w="975" w:type="dxa"/>
            <w:hideMark/>
          </w:tcPr>
          <w:p w14:paraId="14B506E2" w14:textId="77777777" w:rsidR="003C30A0" w:rsidRPr="004D0DCE" w:rsidRDefault="003C30A0" w:rsidP="003C30A0">
            <w:pPr>
              <w:rPr>
                <w:rFonts w:eastAsia="Times New Roman" w:cs="Calibri"/>
                <w:color w:val="000000"/>
                <w:lang w:val="es-CR"/>
              </w:rPr>
            </w:pPr>
            <w:r w:rsidRPr="004D0DCE">
              <w:rPr>
                <w:rFonts w:eastAsia="Times New Roman" w:cs="Calibri"/>
                <w:color w:val="000000"/>
                <w:lang w:val="es-CR"/>
              </w:rPr>
              <w:t>RIVM</w:t>
            </w:r>
          </w:p>
        </w:tc>
        <w:tc>
          <w:tcPr>
            <w:tcW w:w="12345" w:type="dxa"/>
            <w:hideMark/>
          </w:tcPr>
          <w:p w14:paraId="7FD5C8CA" w14:textId="3A97F975" w:rsidR="003C30A0" w:rsidRPr="004D0DCE" w:rsidRDefault="003C30A0" w:rsidP="00C80881">
            <w:p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4D0DCE">
              <w:rPr>
                <w:rFonts w:eastAsia="Times New Roman" w:cs="Calibri"/>
                <w:color w:val="000000"/>
                <w:lang w:val="es-CR"/>
              </w:rPr>
              <w:t xml:space="preserve">De marzo a agosto de 2020, se evidencia una disminución de 80 758 afiliados lo que corresponde a una reducción de </w:t>
            </w:r>
            <w:r w:rsidR="001E650B" w:rsidRPr="004D0DCE">
              <w:rPr>
                <w:rFonts w:eastAsia="Times New Roman" w:cs="Calibri"/>
                <w:color w:val="000000"/>
                <w:lang w:val="es-CR"/>
              </w:rPr>
              <w:t>₡</w:t>
            </w:r>
            <w:r w:rsidRPr="004D0DCE">
              <w:rPr>
                <w:rFonts w:eastAsia="Times New Roman" w:cs="Calibri"/>
                <w:color w:val="000000"/>
                <w:lang w:val="es-CR"/>
              </w:rPr>
              <w:t xml:space="preserve">112 419 millones en la masa salarial y recaudación de la institución. La deuda estatal a agosto de 2020 alcanzó los </w:t>
            </w:r>
            <w:r w:rsidR="001E650B" w:rsidRPr="004D0DCE">
              <w:rPr>
                <w:rFonts w:eastAsia="Times New Roman" w:cs="Calibri"/>
                <w:color w:val="000000"/>
                <w:lang w:val="es-CR"/>
              </w:rPr>
              <w:t>₡</w:t>
            </w:r>
            <w:r w:rsidRPr="004D0DCE">
              <w:rPr>
                <w:rFonts w:eastAsia="Times New Roman" w:cs="Calibri"/>
                <w:color w:val="000000"/>
                <w:lang w:val="es-CR"/>
              </w:rPr>
              <w:t>321,8 mil millones, sufriendo un incremento del 5% con respecto a marzo 2020.</w:t>
            </w:r>
          </w:p>
        </w:tc>
      </w:tr>
      <w:tr w:rsidR="003C30A0" w:rsidRPr="004D0DCE" w14:paraId="37F826CE" w14:textId="77777777" w:rsidTr="00A8066D">
        <w:trPr>
          <w:trHeight w:val="640"/>
          <w:jc w:val="center"/>
        </w:trPr>
        <w:tc>
          <w:tcPr>
            <w:cnfStyle w:val="001000000000" w:firstRow="0" w:lastRow="0" w:firstColumn="1" w:lastColumn="0" w:oddVBand="0" w:evenVBand="0" w:oddHBand="0" w:evenHBand="0" w:firstRowFirstColumn="0" w:firstRowLastColumn="0" w:lastRowFirstColumn="0" w:lastRowLastColumn="0"/>
            <w:tcW w:w="975" w:type="dxa"/>
            <w:hideMark/>
          </w:tcPr>
          <w:p w14:paraId="52591CB4" w14:textId="77777777" w:rsidR="003C30A0" w:rsidRPr="004D0DCE" w:rsidRDefault="003C30A0" w:rsidP="003C30A0">
            <w:pPr>
              <w:rPr>
                <w:rFonts w:eastAsia="Times New Roman" w:cs="Calibri"/>
                <w:color w:val="000000"/>
                <w:lang w:val="es-CR"/>
              </w:rPr>
            </w:pPr>
            <w:r w:rsidRPr="004D0DCE">
              <w:rPr>
                <w:rFonts w:eastAsia="Times New Roman" w:cs="Calibri"/>
                <w:color w:val="000000"/>
                <w:lang w:val="es-CR"/>
              </w:rPr>
              <w:t>RNC</w:t>
            </w:r>
          </w:p>
        </w:tc>
        <w:tc>
          <w:tcPr>
            <w:tcW w:w="12345" w:type="dxa"/>
            <w:hideMark/>
          </w:tcPr>
          <w:p w14:paraId="3FAF024D" w14:textId="35AF6A61" w:rsidR="003C30A0" w:rsidRPr="004D0DCE" w:rsidRDefault="003C30A0" w:rsidP="00C80881">
            <w:pPr>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4D0DCE">
              <w:rPr>
                <w:rFonts w:eastAsia="Times New Roman" w:cs="Calibri"/>
                <w:color w:val="000000"/>
                <w:lang w:val="es-CR"/>
              </w:rPr>
              <w:t xml:space="preserve">La CCSS informó que aprobará 3 600 nuevas solicitudes (50% del total de casos pendientes de personas registradas en pobreza según el SINIRUBE) producto de la inyección de recursos financieros que realizó el Gobierno Central posterior a la aprobación en segundo debate del presupuesto extraordinario de la República en la Asamblea Legislativa. Actualmente el RNC otorga 128 mil pensiones por un monto equivalente a </w:t>
            </w:r>
            <w:r w:rsidR="001E650B" w:rsidRPr="004D0DCE">
              <w:rPr>
                <w:rFonts w:eastAsia="Times New Roman" w:cs="Calibri"/>
                <w:color w:val="000000"/>
                <w:lang w:val="es-CR"/>
              </w:rPr>
              <w:t>₡</w:t>
            </w:r>
            <w:r w:rsidRPr="004D0DCE">
              <w:rPr>
                <w:rFonts w:eastAsia="Times New Roman" w:cs="Calibri"/>
                <w:color w:val="000000"/>
                <w:lang w:val="es-CR"/>
              </w:rPr>
              <w:t>11 500 millones mensuales.</w:t>
            </w:r>
          </w:p>
        </w:tc>
      </w:tr>
      <w:tr w:rsidR="003C30A0" w:rsidRPr="004D0DCE" w14:paraId="2385E8FF" w14:textId="77777777" w:rsidTr="00A8066D">
        <w:trPr>
          <w:cnfStyle w:val="000000100000" w:firstRow="0" w:lastRow="0" w:firstColumn="0" w:lastColumn="0" w:oddVBand="0" w:evenVBand="0" w:oddHBand="1" w:evenHBand="0" w:firstRowFirstColumn="0" w:firstRowLastColumn="0" w:lastRowFirstColumn="0" w:lastRowLastColumn="0"/>
          <w:trHeight w:val="88"/>
          <w:jc w:val="center"/>
        </w:trPr>
        <w:tc>
          <w:tcPr>
            <w:cnfStyle w:val="001000000000" w:firstRow="0" w:lastRow="0" w:firstColumn="1" w:lastColumn="0" w:oddVBand="0" w:evenVBand="0" w:oddHBand="0" w:evenHBand="0" w:firstRowFirstColumn="0" w:firstRowLastColumn="0" w:lastRowFirstColumn="0" w:lastRowLastColumn="0"/>
            <w:tcW w:w="975" w:type="dxa"/>
            <w:hideMark/>
          </w:tcPr>
          <w:p w14:paraId="45F576B7" w14:textId="77777777" w:rsidR="003C30A0" w:rsidRPr="004D0DCE" w:rsidRDefault="003C30A0" w:rsidP="003C30A0">
            <w:pPr>
              <w:rPr>
                <w:rFonts w:eastAsia="Times New Roman" w:cs="Calibri"/>
                <w:color w:val="000000"/>
                <w:lang w:val="es-CR"/>
              </w:rPr>
            </w:pPr>
            <w:r w:rsidRPr="004D0DCE">
              <w:rPr>
                <w:rFonts w:eastAsia="Times New Roman" w:cs="Calibri"/>
                <w:color w:val="000000"/>
                <w:lang w:val="es-CR"/>
              </w:rPr>
              <w:t>FVENLOT</w:t>
            </w:r>
          </w:p>
        </w:tc>
        <w:tc>
          <w:tcPr>
            <w:tcW w:w="12345" w:type="dxa"/>
            <w:hideMark/>
          </w:tcPr>
          <w:p w14:paraId="74D82810" w14:textId="77777777" w:rsidR="003C30A0" w:rsidRPr="004D0DCE" w:rsidRDefault="003C30A0" w:rsidP="003C30A0">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4D0DCE">
              <w:rPr>
                <w:rFonts w:eastAsia="Times New Roman" w:cs="Calibri"/>
                <w:color w:val="000000"/>
                <w:lang w:val="es-CR"/>
              </w:rPr>
              <w:t>FOMUVEL está planteando ante la JPS que se autorice su comercialización a través de una plataforma digital.</w:t>
            </w:r>
          </w:p>
        </w:tc>
      </w:tr>
    </w:tbl>
    <w:p w14:paraId="029C7717" w14:textId="35AADCAB" w:rsidR="00191B26" w:rsidRDefault="00A01AB1" w:rsidP="00A01AB1">
      <w:pPr>
        <w:pStyle w:val="Descripcin"/>
        <w:spacing w:after="0"/>
      </w:pPr>
      <w:r>
        <w:t>Fuente: Elaboración propia</w:t>
      </w:r>
    </w:p>
    <w:p w14:paraId="7BC7115C" w14:textId="77777777" w:rsidR="00464F4C" w:rsidRDefault="00464F4C" w:rsidP="003C30A0">
      <w:pPr>
        <w:pStyle w:val="Descripcin"/>
        <w:spacing w:after="0"/>
        <w:jc w:val="center"/>
      </w:pPr>
    </w:p>
    <w:p w14:paraId="54010B11" w14:textId="172B862C" w:rsidR="003C30A0" w:rsidRPr="004D0DCE" w:rsidRDefault="003C30A0" w:rsidP="003C30A0">
      <w:pPr>
        <w:pStyle w:val="Descripcin"/>
        <w:spacing w:after="0"/>
        <w:jc w:val="center"/>
        <w:rPr>
          <w:sz w:val="22"/>
          <w:szCs w:val="22"/>
        </w:rPr>
      </w:pPr>
      <w:r w:rsidRPr="004D0DCE">
        <w:rPr>
          <w:sz w:val="22"/>
          <w:szCs w:val="22"/>
        </w:rPr>
        <w:t xml:space="preserve">Tabla </w:t>
      </w:r>
      <w:r w:rsidRPr="004D0DCE">
        <w:rPr>
          <w:sz w:val="22"/>
          <w:szCs w:val="22"/>
        </w:rPr>
        <w:fldChar w:fldCharType="begin"/>
      </w:r>
      <w:r w:rsidRPr="004D0DCE">
        <w:rPr>
          <w:sz w:val="22"/>
          <w:szCs w:val="22"/>
        </w:rPr>
        <w:instrText xml:space="preserve"> SEQ Tabla \* ARABIC </w:instrText>
      </w:r>
      <w:r w:rsidRPr="004D0DCE">
        <w:rPr>
          <w:sz w:val="22"/>
          <w:szCs w:val="22"/>
        </w:rPr>
        <w:fldChar w:fldCharType="separate"/>
      </w:r>
      <w:r w:rsidR="00E620DA" w:rsidRPr="004D0DCE">
        <w:rPr>
          <w:noProof/>
          <w:sz w:val="22"/>
          <w:szCs w:val="22"/>
        </w:rPr>
        <w:t>4</w:t>
      </w:r>
      <w:r w:rsidRPr="004D0DCE">
        <w:rPr>
          <w:sz w:val="22"/>
          <w:szCs w:val="22"/>
        </w:rPr>
        <w:fldChar w:fldCharType="end"/>
      </w:r>
      <w:r w:rsidRPr="004D0DCE">
        <w:rPr>
          <w:sz w:val="22"/>
          <w:szCs w:val="22"/>
        </w:rPr>
        <w:t>:</w:t>
      </w:r>
      <w:r w:rsidR="00CF25F2" w:rsidRPr="004D0DCE">
        <w:rPr>
          <w:sz w:val="22"/>
          <w:szCs w:val="22"/>
        </w:rPr>
        <w:t xml:space="preserve"> Medidas</w:t>
      </w:r>
      <w:r w:rsidRPr="004D0DCE">
        <w:rPr>
          <w:sz w:val="22"/>
          <w:szCs w:val="22"/>
        </w:rPr>
        <w:t xml:space="preserve"> tomadas por los fondos</w:t>
      </w:r>
      <w:r w:rsidR="000014E8" w:rsidRPr="004D0DCE">
        <w:rPr>
          <w:sz w:val="22"/>
          <w:szCs w:val="22"/>
        </w:rPr>
        <w:t xml:space="preserve"> por </w:t>
      </w:r>
      <w:r w:rsidR="00CF25F2" w:rsidRPr="004D0DCE">
        <w:rPr>
          <w:sz w:val="22"/>
          <w:szCs w:val="22"/>
        </w:rPr>
        <w:t>e</w:t>
      </w:r>
      <w:r w:rsidR="000014E8" w:rsidRPr="004D0DCE">
        <w:rPr>
          <w:sz w:val="22"/>
          <w:szCs w:val="22"/>
        </w:rPr>
        <w:t>l COVID-19</w:t>
      </w:r>
    </w:p>
    <w:p w14:paraId="47126F21" w14:textId="0D1B0967" w:rsidR="003C30A0" w:rsidRPr="004D0DCE" w:rsidRDefault="003C30A0" w:rsidP="003C30A0">
      <w:pPr>
        <w:pStyle w:val="Descripcin"/>
        <w:spacing w:after="0"/>
        <w:jc w:val="center"/>
        <w:rPr>
          <w:sz w:val="22"/>
          <w:szCs w:val="22"/>
        </w:rPr>
      </w:pPr>
      <w:r w:rsidRPr="004D0DCE">
        <w:rPr>
          <w:sz w:val="22"/>
          <w:szCs w:val="22"/>
        </w:rPr>
        <w:t>Regímenes de Capitalización Colectiva</w:t>
      </w:r>
    </w:p>
    <w:p w14:paraId="614462CC" w14:textId="29A4A259" w:rsidR="000014E8" w:rsidRPr="004D0DCE" w:rsidRDefault="000014E8" w:rsidP="000014E8">
      <w:pPr>
        <w:pStyle w:val="Descripcin"/>
        <w:spacing w:after="0"/>
        <w:jc w:val="center"/>
        <w:rPr>
          <w:sz w:val="22"/>
          <w:szCs w:val="22"/>
        </w:rPr>
      </w:pPr>
      <w:r w:rsidRPr="004D0DCE">
        <w:rPr>
          <w:sz w:val="22"/>
          <w:szCs w:val="22"/>
        </w:rPr>
        <w:t>Durante el tercer trimestre del 2020</w:t>
      </w:r>
    </w:p>
    <w:tbl>
      <w:tblPr>
        <w:tblStyle w:val="Tablaconcuadrcula4-nfasis1"/>
        <w:tblW w:w="13178" w:type="dxa"/>
        <w:jc w:val="center"/>
        <w:tblLook w:val="04A0" w:firstRow="1" w:lastRow="0" w:firstColumn="1" w:lastColumn="0" w:noHBand="0" w:noVBand="1"/>
      </w:tblPr>
      <w:tblGrid>
        <w:gridCol w:w="910"/>
        <w:gridCol w:w="12331"/>
      </w:tblGrid>
      <w:tr w:rsidR="005E1425" w:rsidRPr="004D0DCE" w14:paraId="24D89B55" w14:textId="77777777" w:rsidTr="00A8066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47" w:type="dxa"/>
            <w:noWrap/>
            <w:hideMark/>
          </w:tcPr>
          <w:p w14:paraId="12CB9747" w14:textId="77777777" w:rsidR="005E1425" w:rsidRPr="004D0DCE" w:rsidRDefault="005E1425" w:rsidP="005E1425">
            <w:pPr>
              <w:rPr>
                <w:rFonts w:asciiTheme="minorHAnsi" w:eastAsia="Times New Roman" w:hAnsiTheme="minorHAnsi" w:cstheme="minorHAnsi"/>
                <w:sz w:val="24"/>
                <w:szCs w:val="24"/>
                <w:lang w:val="es-CR"/>
              </w:rPr>
            </w:pPr>
            <w:r w:rsidRPr="004D0DCE">
              <w:rPr>
                <w:rFonts w:asciiTheme="minorHAnsi" w:eastAsia="Times New Roman" w:hAnsiTheme="minorHAnsi" w:cstheme="minorHAnsi"/>
                <w:sz w:val="24"/>
                <w:szCs w:val="24"/>
                <w:lang w:val="es-CR"/>
              </w:rPr>
              <w:t>Fondo</w:t>
            </w:r>
          </w:p>
        </w:tc>
        <w:tc>
          <w:tcPr>
            <w:tcW w:w="12331" w:type="dxa"/>
            <w:noWrap/>
            <w:hideMark/>
          </w:tcPr>
          <w:p w14:paraId="27773FD5" w14:textId="4FD38498" w:rsidR="005E1425" w:rsidRPr="004D0DCE" w:rsidRDefault="00CF25F2" w:rsidP="005E1425">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val="es-CR"/>
              </w:rPr>
            </w:pPr>
            <w:r w:rsidRPr="004D0DCE">
              <w:rPr>
                <w:rFonts w:asciiTheme="minorHAnsi" w:eastAsia="Times New Roman" w:hAnsiTheme="minorHAnsi" w:cstheme="minorHAnsi"/>
                <w:sz w:val="24"/>
                <w:szCs w:val="24"/>
                <w:lang w:val="es-CR"/>
              </w:rPr>
              <w:t>Medidas tomadas</w:t>
            </w:r>
          </w:p>
        </w:tc>
      </w:tr>
      <w:tr w:rsidR="005E1425" w:rsidRPr="004D0DCE" w14:paraId="60B661D1" w14:textId="77777777" w:rsidTr="00A8066D">
        <w:trPr>
          <w:cnfStyle w:val="000000100000" w:firstRow="0" w:lastRow="0" w:firstColumn="0" w:lastColumn="0" w:oddVBand="0" w:evenVBand="0" w:oddHBand="1" w:evenHBand="0" w:firstRowFirstColumn="0" w:firstRowLastColumn="0" w:lastRowFirstColumn="0" w:lastRowLastColumn="0"/>
          <w:trHeight w:val="2507"/>
          <w:jc w:val="center"/>
        </w:trPr>
        <w:tc>
          <w:tcPr>
            <w:cnfStyle w:val="001000000000" w:firstRow="0" w:lastRow="0" w:firstColumn="1" w:lastColumn="0" w:oddVBand="0" w:evenVBand="0" w:oddHBand="0" w:evenHBand="0" w:firstRowFirstColumn="0" w:firstRowLastColumn="0" w:lastRowFirstColumn="0" w:lastRowLastColumn="0"/>
            <w:tcW w:w="847" w:type="dxa"/>
            <w:hideMark/>
          </w:tcPr>
          <w:p w14:paraId="24CBD443" w14:textId="77777777" w:rsidR="005E1425" w:rsidRPr="004D0DCE" w:rsidRDefault="005E1425" w:rsidP="005E1425">
            <w:pPr>
              <w:rPr>
                <w:rFonts w:asciiTheme="minorHAnsi" w:eastAsia="Times New Roman" w:hAnsiTheme="minorHAnsi" w:cstheme="minorHAnsi"/>
                <w:color w:val="000000"/>
                <w:sz w:val="22"/>
                <w:szCs w:val="22"/>
                <w:lang w:val="es-CR"/>
              </w:rPr>
            </w:pPr>
            <w:r w:rsidRPr="004D0DCE">
              <w:rPr>
                <w:rFonts w:asciiTheme="minorHAnsi" w:eastAsia="Times New Roman" w:hAnsiTheme="minorHAnsi" w:cstheme="minorHAnsi"/>
                <w:color w:val="000000"/>
                <w:sz w:val="22"/>
                <w:szCs w:val="22"/>
                <w:lang w:val="es-CR"/>
              </w:rPr>
              <w:t>RIVM</w:t>
            </w:r>
          </w:p>
        </w:tc>
        <w:tc>
          <w:tcPr>
            <w:tcW w:w="12331" w:type="dxa"/>
            <w:hideMark/>
          </w:tcPr>
          <w:p w14:paraId="3A9AD3A6" w14:textId="5319F470" w:rsidR="005E1425" w:rsidRPr="004D0DCE" w:rsidRDefault="005E1425" w:rsidP="005E142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szCs w:val="22"/>
                <w:lang w:val="es-CR"/>
              </w:rPr>
            </w:pPr>
            <w:r w:rsidRPr="004D0DCE">
              <w:rPr>
                <w:rFonts w:asciiTheme="minorHAnsi" w:eastAsia="Times New Roman" w:hAnsiTheme="minorHAnsi" w:cstheme="minorHAnsi"/>
                <w:b/>
                <w:bCs/>
                <w:color w:val="000000"/>
                <w:sz w:val="22"/>
                <w:szCs w:val="22"/>
                <w:u w:val="single"/>
                <w:lang w:val="es-CR"/>
              </w:rPr>
              <w:t>Créditos:</w:t>
            </w:r>
            <w:r w:rsidRPr="004D0DCE">
              <w:rPr>
                <w:rFonts w:asciiTheme="minorHAnsi" w:eastAsia="Times New Roman" w:hAnsiTheme="minorHAnsi" w:cstheme="minorHAnsi"/>
                <w:color w:val="000000"/>
                <w:sz w:val="22"/>
                <w:szCs w:val="22"/>
                <w:lang w:val="es-CR"/>
              </w:rPr>
              <w:br/>
              <w:t>- Se postergan pagos de cuotas desde julio a diciembre 2020.</w:t>
            </w:r>
            <w:r w:rsidRPr="004D0DCE">
              <w:rPr>
                <w:rFonts w:asciiTheme="minorHAnsi" w:eastAsia="Times New Roman" w:hAnsiTheme="minorHAnsi" w:cstheme="minorHAnsi"/>
                <w:color w:val="000000"/>
                <w:sz w:val="22"/>
                <w:szCs w:val="22"/>
                <w:lang w:val="es-CR"/>
              </w:rPr>
              <w:br/>
            </w:r>
            <w:r w:rsidRPr="004D0DCE">
              <w:rPr>
                <w:rFonts w:asciiTheme="minorHAnsi" w:eastAsia="Times New Roman" w:hAnsiTheme="minorHAnsi" w:cstheme="minorHAnsi"/>
                <w:b/>
                <w:bCs/>
                <w:color w:val="000000"/>
                <w:sz w:val="22"/>
                <w:szCs w:val="22"/>
                <w:u w:val="single"/>
                <w:lang w:val="es-CR"/>
              </w:rPr>
              <w:t>Aportes de patronos y trabajadores independientes:</w:t>
            </w:r>
            <w:r w:rsidRPr="004D0DCE">
              <w:rPr>
                <w:rFonts w:asciiTheme="minorHAnsi" w:eastAsia="Times New Roman" w:hAnsiTheme="minorHAnsi" w:cstheme="minorHAnsi"/>
                <w:color w:val="000000"/>
                <w:sz w:val="22"/>
                <w:szCs w:val="22"/>
                <w:lang w:val="es-CR"/>
              </w:rPr>
              <w:br/>
              <w:t>- Se posterga a agosto la reducción de la base mínima contributiva:</w:t>
            </w:r>
            <w:r w:rsidRPr="004D0DCE">
              <w:rPr>
                <w:rFonts w:asciiTheme="minorHAnsi" w:eastAsia="Times New Roman" w:hAnsiTheme="minorHAnsi" w:cstheme="minorHAnsi"/>
                <w:color w:val="000000"/>
                <w:sz w:val="22"/>
                <w:szCs w:val="22"/>
                <w:lang w:val="es-CR"/>
              </w:rPr>
              <w:br/>
              <w:t xml:space="preserve">       </w:t>
            </w:r>
            <w:r w:rsidR="001C657A" w:rsidRPr="004D0DCE">
              <w:rPr>
                <w:rFonts w:asciiTheme="minorHAnsi" w:eastAsia="Times New Roman" w:hAnsiTheme="minorHAnsi" w:cstheme="minorHAnsi"/>
                <w:color w:val="000000"/>
                <w:sz w:val="22"/>
                <w:szCs w:val="22"/>
                <w:lang w:val="es-CR"/>
              </w:rPr>
              <w:t>P</w:t>
            </w:r>
            <w:r w:rsidRPr="004D0DCE">
              <w:rPr>
                <w:rFonts w:asciiTheme="minorHAnsi" w:eastAsia="Times New Roman" w:hAnsiTheme="minorHAnsi" w:cstheme="minorHAnsi"/>
                <w:color w:val="000000"/>
                <w:sz w:val="22"/>
                <w:szCs w:val="22"/>
                <w:lang w:val="es-CR"/>
              </w:rPr>
              <w:t xml:space="preserve">lanillas patronales, la base mínima contributiva se mantendrá reducida a un 25% respecto </w:t>
            </w:r>
            <w:r w:rsidR="00F34A7B" w:rsidRPr="004D0DCE">
              <w:rPr>
                <w:rFonts w:asciiTheme="minorHAnsi" w:eastAsia="Times New Roman" w:hAnsiTheme="minorHAnsi" w:cstheme="minorHAnsi"/>
                <w:color w:val="000000"/>
                <w:sz w:val="22"/>
                <w:szCs w:val="22"/>
                <w:lang w:val="es-CR"/>
              </w:rPr>
              <w:t>a</w:t>
            </w:r>
            <w:r w:rsidRPr="004D0DCE">
              <w:rPr>
                <w:rFonts w:asciiTheme="minorHAnsi" w:eastAsia="Times New Roman" w:hAnsiTheme="minorHAnsi" w:cstheme="minorHAnsi"/>
                <w:color w:val="000000"/>
                <w:sz w:val="22"/>
                <w:szCs w:val="22"/>
                <w:lang w:val="es-CR"/>
              </w:rPr>
              <w:t xml:space="preserve"> febrero 2020.</w:t>
            </w:r>
            <w:r w:rsidRPr="004D0DCE">
              <w:rPr>
                <w:rFonts w:asciiTheme="minorHAnsi" w:eastAsia="Times New Roman" w:hAnsiTheme="minorHAnsi" w:cstheme="minorHAnsi"/>
                <w:color w:val="000000"/>
                <w:sz w:val="22"/>
                <w:szCs w:val="22"/>
                <w:lang w:val="es-CR"/>
              </w:rPr>
              <w:br/>
              <w:t xml:space="preserve">       </w:t>
            </w:r>
            <w:r w:rsidR="001C657A" w:rsidRPr="004D0DCE">
              <w:rPr>
                <w:rFonts w:asciiTheme="minorHAnsi" w:eastAsia="Times New Roman" w:hAnsiTheme="minorHAnsi" w:cstheme="minorHAnsi"/>
                <w:color w:val="000000"/>
                <w:sz w:val="22"/>
                <w:szCs w:val="22"/>
                <w:lang w:val="es-CR"/>
              </w:rPr>
              <w:t>A</w:t>
            </w:r>
            <w:r w:rsidRPr="004D0DCE">
              <w:rPr>
                <w:rFonts w:asciiTheme="minorHAnsi" w:eastAsia="Times New Roman" w:hAnsiTheme="minorHAnsi" w:cstheme="minorHAnsi"/>
                <w:color w:val="000000"/>
                <w:sz w:val="22"/>
                <w:szCs w:val="22"/>
                <w:lang w:val="es-CR"/>
              </w:rPr>
              <w:t>segurados voluntarios y trabajadores independientes</w:t>
            </w:r>
            <w:r w:rsidR="001C657A" w:rsidRPr="004D0DCE">
              <w:rPr>
                <w:rFonts w:asciiTheme="minorHAnsi" w:eastAsia="Times New Roman" w:hAnsiTheme="minorHAnsi" w:cstheme="minorHAnsi"/>
                <w:color w:val="000000"/>
                <w:sz w:val="22"/>
                <w:szCs w:val="22"/>
                <w:lang w:val="es-CR"/>
              </w:rPr>
              <w:t>,</w:t>
            </w:r>
            <w:r w:rsidRPr="004D0DCE">
              <w:rPr>
                <w:rFonts w:asciiTheme="minorHAnsi" w:eastAsia="Times New Roman" w:hAnsiTheme="minorHAnsi" w:cstheme="minorHAnsi"/>
                <w:color w:val="000000"/>
                <w:sz w:val="22"/>
                <w:szCs w:val="22"/>
                <w:lang w:val="es-CR"/>
              </w:rPr>
              <w:t xml:space="preserve"> se redujo un 75% </w:t>
            </w:r>
            <w:r w:rsidR="00F34A7B" w:rsidRPr="004D0DCE">
              <w:rPr>
                <w:rFonts w:asciiTheme="minorHAnsi" w:eastAsia="Times New Roman" w:hAnsiTheme="minorHAnsi" w:cstheme="minorHAnsi"/>
                <w:color w:val="000000"/>
                <w:sz w:val="22"/>
                <w:szCs w:val="22"/>
                <w:lang w:val="es-CR"/>
              </w:rPr>
              <w:t xml:space="preserve">respecto a </w:t>
            </w:r>
            <w:r w:rsidRPr="004D0DCE">
              <w:rPr>
                <w:rFonts w:asciiTheme="minorHAnsi" w:eastAsia="Times New Roman" w:hAnsiTheme="minorHAnsi" w:cstheme="minorHAnsi"/>
                <w:color w:val="000000"/>
                <w:sz w:val="22"/>
                <w:szCs w:val="22"/>
                <w:lang w:val="es-CR"/>
              </w:rPr>
              <w:t>febrero 2020.</w:t>
            </w:r>
            <w:r w:rsidRPr="004D0DCE">
              <w:rPr>
                <w:rFonts w:asciiTheme="minorHAnsi" w:eastAsia="Times New Roman" w:hAnsiTheme="minorHAnsi" w:cstheme="minorHAnsi"/>
                <w:color w:val="000000"/>
                <w:sz w:val="22"/>
                <w:szCs w:val="22"/>
                <w:lang w:val="es-CR"/>
              </w:rPr>
              <w:br/>
              <w:t xml:space="preserve">- Hasta agosto el impacto era de </w:t>
            </w:r>
            <w:r w:rsidR="001E650B" w:rsidRPr="004D0DCE">
              <w:rPr>
                <w:rFonts w:asciiTheme="minorHAnsi" w:eastAsia="Times New Roman" w:hAnsiTheme="minorHAnsi" w:cstheme="minorHAnsi"/>
                <w:color w:val="000000"/>
                <w:sz w:val="22"/>
                <w:szCs w:val="22"/>
                <w:lang w:val="es-CR"/>
              </w:rPr>
              <w:t>₡</w:t>
            </w:r>
            <w:r w:rsidRPr="004D0DCE">
              <w:rPr>
                <w:rFonts w:asciiTheme="minorHAnsi" w:eastAsia="Times New Roman" w:hAnsiTheme="minorHAnsi" w:cstheme="minorHAnsi"/>
                <w:color w:val="000000"/>
                <w:sz w:val="22"/>
                <w:szCs w:val="22"/>
                <w:lang w:val="es-CR"/>
              </w:rPr>
              <w:t xml:space="preserve">7 118 millones. </w:t>
            </w:r>
            <w:r w:rsidRPr="004D0DCE">
              <w:rPr>
                <w:rFonts w:asciiTheme="minorHAnsi" w:eastAsia="Times New Roman" w:hAnsiTheme="minorHAnsi" w:cstheme="minorHAnsi"/>
                <w:color w:val="000000"/>
                <w:sz w:val="22"/>
                <w:szCs w:val="22"/>
                <w:lang w:val="es-CR"/>
              </w:rPr>
              <w:br/>
            </w:r>
            <w:r w:rsidRPr="004D0DCE">
              <w:rPr>
                <w:rFonts w:asciiTheme="minorHAnsi" w:eastAsia="Times New Roman" w:hAnsiTheme="minorHAnsi" w:cstheme="minorHAnsi"/>
                <w:b/>
                <w:bCs/>
                <w:color w:val="000000"/>
                <w:sz w:val="22"/>
                <w:szCs w:val="22"/>
                <w:u w:val="single"/>
                <w:lang w:val="es-CR"/>
              </w:rPr>
              <w:t>Flujo de caja proyectado de julio a setiembre (escenario base):</w:t>
            </w:r>
            <w:r w:rsidRPr="004D0DCE">
              <w:rPr>
                <w:rFonts w:asciiTheme="minorHAnsi" w:eastAsia="Times New Roman" w:hAnsiTheme="minorHAnsi" w:cstheme="minorHAnsi"/>
                <w:color w:val="000000"/>
                <w:sz w:val="22"/>
                <w:szCs w:val="22"/>
                <w:lang w:val="es-CR"/>
              </w:rPr>
              <w:br/>
              <w:t xml:space="preserve">- Los gastos se mantienen similar a lo proyectado, </w:t>
            </w:r>
            <w:r w:rsidR="001E650B" w:rsidRPr="004D0DCE">
              <w:rPr>
                <w:rFonts w:asciiTheme="minorHAnsi" w:eastAsia="Times New Roman" w:hAnsiTheme="minorHAnsi" w:cstheme="minorHAnsi"/>
                <w:color w:val="000000"/>
                <w:sz w:val="22"/>
                <w:szCs w:val="22"/>
                <w:lang w:val="es-CR"/>
              </w:rPr>
              <w:t>₡</w:t>
            </w:r>
            <w:r w:rsidRPr="004D0DCE">
              <w:rPr>
                <w:rFonts w:asciiTheme="minorHAnsi" w:eastAsia="Times New Roman" w:hAnsiTheme="minorHAnsi" w:cstheme="minorHAnsi"/>
                <w:color w:val="000000"/>
                <w:sz w:val="22"/>
                <w:szCs w:val="22"/>
                <w:lang w:val="es-CR"/>
              </w:rPr>
              <w:t xml:space="preserve">289 953 millones, con una tasa del 96%. </w:t>
            </w:r>
            <w:r w:rsidRPr="004D0DCE">
              <w:rPr>
                <w:rFonts w:asciiTheme="minorHAnsi" w:eastAsia="Times New Roman" w:hAnsiTheme="minorHAnsi" w:cstheme="minorHAnsi"/>
                <w:color w:val="000000"/>
                <w:sz w:val="22"/>
                <w:szCs w:val="22"/>
                <w:lang w:val="es-CR"/>
              </w:rPr>
              <w:br/>
              <w:t xml:space="preserve">- El ingreso fue </w:t>
            </w:r>
            <w:r w:rsidR="001E650B" w:rsidRPr="004D0DCE">
              <w:rPr>
                <w:rFonts w:asciiTheme="minorHAnsi" w:eastAsia="Times New Roman" w:hAnsiTheme="minorHAnsi" w:cstheme="minorHAnsi"/>
                <w:color w:val="000000"/>
                <w:sz w:val="22"/>
                <w:szCs w:val="22"/>
                <w:lang w:val="es-CR"/>
              </w:rPr>
              <w:t>₡</w:t>
            </w:r>
            <w:r w:rsidRPr="004D0DCE">
              <w:rPr>
                <w:rFonts w:asciiTheme="minorHAnsi" w:eastAsia="Times New Roman" w:hAnsiTheme="minorHAnsi" w:cstheme="minorHAnsi"/>
                <w:color w:val="000000"/>
                <w:sz w:val="22"/>
                <w:szCs w:val="22"/>
                <w:lang w:val="es-CR"/>
              </w:rPr>
              <w:t xml:space="preserve">280 118 millones, el cual fue subestimado con respecto al proyectado en </w:t>
            </w:r>
            <w:r w:rsidR="001E650B" w:rsidRPr="004D0DCE">
              <w:rPr>
                <w:rFonts w:asciiTheme="minorHAnsi" w:eastAsia="Times New Roman" w:hAnsiTheme="minorHAnsi" w:cstheme="minorHAnsi"/>
                <w:color w:val="000000"/>
                <w:sz w:val="22"/>
                <w:szCs w:val="22"/>
                <w:lang w:val="es-CR"/>
              </w:rPr>
              <w:t>₡</w:t>
            </w:r>
            <w:r w:rsidRPr="004D0DCE">
              <w:rPr>
                <w:rFonts w:asciiTheme="minorHAnsi" w:eastAsia="Times New Roman" w:hAnsiTheme="minorHAnsi" w:cstheme="minorHAnsi"/>
                <w:color w:val="000000"/>
                <w:sz w:val="22"/>
                <w:szCs w:val="22"/>
                <w:lang w:val="es-CR"/>
              </w:rPr>
              <w:t>58 485 millones.</w:t>
            </w:r>
            <w:r w:rsidRPr="004D0DCE">
              <w:rPr>
                <w:rFonts w:asciiTheme="minorHAnsi" w:eastAsia="Times New Roman" w:hAnsiTheme="minorHAnsi" w:cstheme="minorHAnsi"/>
                <w:color w:val="000000"/>
                <w:sz w:val="22"/>
                <w:szCs w:val="22"/>
                <w:lang w:val="es-CR"/>
              </w:rPr>
              <w:br/>
              <w:t>- Desde marzo 2020, la cuota estatal ha disminuido en un 66% y la cuota de los trabajadores un 21,50%.</w:t>
            </w:r>
          </w:p>
        </w:tc>
      </w:tr>
      <w:tr w:rsidR="005E1425" w:rsidRPr="004D0DCE" w14:paraId="20CFDB26" w14:textId="77777777" w:rsidTr="00A8066D">
        <w:trPr>
          <w:trHeight w:val="236"/>
          <w:jc w:val="center"/>
        </w:trPr>
        <w:tc>
          <w:tcPr>
            <w:cnfStyle w:val="001000000000" w:firstRow="0" w:lastRow="0" w:firstColumn="1" w:lastColumn="0" w:oddVBand="0" w:evenVBand="0" w:oddHBand="0" w:evenHBand="0" w:firstRowFirstColumn="0" w:firstRowLastColumn="0" w:lastRowFirstColumn="0" w:lastRowLastColumn="0"/>
            <w:tcW w:w="847" w:type="dxa"/>
            <w:hideMark/>
          </w:tcPr>
          <w:p w14:paraId="4FD378F3" w14:textId="77777777" w:rsidR="005E1425" w:rsidRPr="004D0DCE" w:rsidRDefault="005E1425" w:rsidP="005E1425">
            <w:pPr>
              <w:rPr>
                <w:rFonts w:asciiTheme="minorHAnsi" w:eastAsia="Times New Roman" w:hAnsiTheme="minorHAnsi" w:cstheme="minorHAnsi"/>
                <w:color w:val="000000"/>
                <w:sz w:val="22"/>
                <w:szCs w:val="22"/>
                <w:lang w:val="es-CR"/>
              </w:rPr>
            </w:pPr>
            <w:r w:rsidRPr="004D0DCE">
              <w:rPr>
                <w:rFonts w:asciiTheme="minorHAnsi" w:eastAsia="Times New Roman" w:hAnsiTheme="minorHAnsi" w:cstheme="minorHAnsi"/>
                <w:color w:val="000000"/>
                <w:sz w:val="22"/>
                <w:szCs w:val="22"/>
                <w:lang w:val="es-CR"/>
              </w:rPr>
              <w:t>FPJ</w:t>
            </w:r>
          </w:p>
        </w:tc>
        <w:tc>
          <w:tcPr>
            <w:tcW w:w="12331" w:type="dxa"/>
            <w:hideMark/>
          </w:tcPr>
          <w:p w14:paraId="7ED3DCF0" w14:textId="77777777" w:rsidR="005E1425" w:rsidRPr="004D0DCE" w:rsidRDefault="005E1425" w:rsidP="00CD5450">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szCs w:val="22"/>
                <w:lang w:val="es-CR"/>
              </w:rPr>
            </w:pPr>
            <w:r w:rsidRPr="004D0DCE">
              <w:rPr>
                <w:rFonts w:asciiTheme="minorHAnsi" w:eastAsia="Times New Roman" w:hAnsiTheme="minorHAnsi" w:cstheme="minorHAnsi"/>
                <w:color w:val="000000"/>
                <w:sz w:val="22"/>
                <w:szCs w:val="22"/>
                <w:lang w:val="es-CR"/>
              </w:rPr>
              <w:t>Mantiene el acuerdo tomado por la Junta Administrativa de no invertir en fondos de inversión inmobiliarios, hasta que el mercado muestre recuperación en este tipo de instrumentos.</w:t>
            </w:r>
          </w:p>
        </w:tc>
      </w:tr>
      <w:tr w:rsidR="005E1425" w:rsidRPr="004D0DCE" w14:paraId="02CAC025" w14:textId="77777777" w:rsidTr="00A8066D">
        <w:trPr>
          <w:cnfStyle w:val="000000100000" w:firstRow="0" w:lastRow="0" w:firstColumn="0" w:lastColumn="0" w:oddVBand="0" w:evenVBand="0" w:oddHBand="1" w:evenHBand="0" w:firstRowFirstColumn="0" w:firstRowLastColumn="0" w:lastRowFirstColumn="0" w:lastRowLastColumn="0"/>
          <w:trHeight w:val="73"/>
          <w:jc w:val="center"/>
        </w:trPr>
        <w:tc>
          <w:tcPr>
            <w:cnfStyle w:val="001000000000" w:firstRow="0" w:lastRow="0" w:firstColumn="1" w:lastColumn="0" w:oddVBand="0" w:evenVBand="0" w:oddHBand="0" w:evenHBand="0" w:firstRowFirstColumn="0" w:firstRowLastColumn="0" w:lastRowFirstColumn="0" w:lastRowLastColumn="0"/>
            <w:tcW w:w="847" w:type="dxa"/>
            <w:hideMark/>
          </w:tcPr>
          <w:p w14:paraId="6117134D" w14:textId="77777777" w:rsidR="005E1425" w:rsidRPr="004D0DCE" w:rsidRDefault="005E1425" w:rsidP="005E1425">
            <w:pPr>
              <w:rPr>
                <w:rFonts w:asciiTheme="minorHAnsi" w:eastAsia="Times New Roman" w:hAnsiTheme="minorHAnsi" w:cstheme="minorHAnsi"/>
                <w:color w:val="000000"/>
                <w:sz w:val="22"/>
                <w:szCs w:val="22"/>
                <w:lang w:val="es-CR"/>
              </w:rPr>
            </w:pPr>
            <w:r w:rsidRPr="004D0DCE">
              <w:rPr>
                <w:rFonts w:asciiTheme="minorHAnsi" w:eastAsia="Times New Roman" w:hAnsiTheme="minorHAnsi" w:cstheme="minorHAnsi"/>
                <w:color w:val="000000"/>
                <w:sz w:val="22"/>
                <w:szCs w:val="22"/>
                <w:lang w:val="es-CR"/>
              </w:rPr>
              <w:t>RCCMN</w:t>
            </w:r>
          </w:p>
        </w:tc>
        <w:tc>
          <w:tcPr>
            <w:tcW w:w="12331" w:type="dxa"/>
            <w:hideMark/>
          </w:tcPr>
          <w:p w14:paraId="4D4C4A49" w14:textId="77777777" w:rsidR="005E1425" w:rsidRPr="004D0DCE" w:rsidRDefault="005E1425" w:rsidP="00CD5450">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szCs w:val="22"/>
                <w:lang w:val="es-CR"/>
              </w:rPr>
            </w:pPr>
            <w:r w:rsidRPr="004D0DCE">
              <w:rPr>
                <w:rFonts w:asciiTheme="minorHAnsi" w:eastAsia="Times New Roman" w:hAnsiTheme="minorHAnsi" w:cstheme="minorHAnsi"/>
                <w:color w:val="000000"/>
                <w:sz w:val="22"/>
                <w:szCs w:val="22"/>
                <w:lang w:val="es-CR"/>
              </w:rPr>
              <w:t>Decide no realizar inversiones adicionales en fondos inmobiliarios, dado el deterioro que continúan presentando estos instrumentos, el cual se ha visto agravado por la pandemia.</w:t>
            </w:r>
          </w:p>
        </w:tc>
      </w:tr>
      <w:tr w:rsidR="005E1425" w:rsidRPr="004D0DCE" w14:paraId="015145EF" w14:textId="77777777" w:rsidTr="00A8066D">
        <w:trPr>
          <w:trHeight w:val="73"/>
          <w:jc w:val="center"/>
        </w:trPr>
        <w:tc>
          <w:tcPr>
            <w:cnfStyle w:val="001000000000" w:firstRow="0" w:lastRow="0" w:firstColumn="1" w:lastColumn="0" w:oddVBand="0" w:evenVBand="0" w:oddHBand="0" w:evenHBand="0" w:firstRowFirstColumn="0" w:firstRowLastColumn="0" w:lastRowFirstColumn="0" w:lastRowLastColumn="0"/>
            <w:tcW w:w="847" w:type="dxa"/>
            <w:hideMark/>
          </w:tcPr>
          <w:p w14:paraId="3739F4F4" w14:textId="77777777" w:rsidR="005E1425" w:rsidRPr="004D0DCE" w:rsidRDefault="005E1425" w:rsidP="005E1425">
            <w:pPr>
              <w:rPr>
                <w:rFonts w:asciiTheme="minorHAnsi" w:eastAsia="Times New Roman" w:hAnsiTheme="minorHAnsi" w:cstheme="minorHAnsi"/>
                <w:color w:val="000000"/>
                <w:sz w:val="22"/>
                <w:szCs w:val="22"/>
                <w:lang w:val="es-CR"/>
              </w:rPr>
            </w:pPr>
            <w:r w:rsidRPr="004D0DCE">
              <w:rPr>
                <w:rFonts w:asciiTheme="minorHAnsi" w:eastAsia="Times New Roman" w:hAnsiTheme="minorHAnsi" w:cstheme="minorHAnsi"/>
                <w:color w:val="000000"/>
                <w:sz w:val="22"/>
                <w:szCs w:val="22"/>
                <w:lang w:val="es-CR"/>
              </w:rPr>
              <w:t>FRE</w:t>
            </w:r>
          </w:p>
        </w:tc>
        <w:tc>
          <w:tcPr>
            <w:tcW w:w="12331" w:type="dxa"/>
            <w:noWrap/>
            <w:hideMark/>
          </w:tcPr>
          <w:p w14:paraId="4577003F" w14:textId="0FB0C483" w:rsidR="005E1425" w:rsidRPr="004D0DCE" w:rsidRDefault="005E1425" w:rsidP="00CD5450">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szCs w:val="22"/>
                <w:lang w:val="es-CR"/>
              </w:rPr>
            </w:pPr>
            <w:r w:rsidRPr="004D0DCE">
              <w:rPr>
                <w:rFonts w:asciiTheme="minorHAnsi" w:eastAsia="Times New Roman" w:hAnsiTheme="minorHAnsi" w:cstheme="minorHAnsi"/>
                <w:color w:val="000000"/>
                <w:sz w:val="22"/>
                <w:szCs w:val="22"/>
              </w:rPr>
              <w:t xml:space="preserve">El Comité de Inversiones modificó la estrategia adoptada para mitigar el riesgo de crédito del portafolio por el efecto del COVID-19.  Al respecto, acordó mantener un máximo de </w:t>
            </w:r>
            <w:r w:rsidR="001E650B" w:rsidRPr="004D0DCE">
              <w:rPr>
                <w:rFonts w:asciiTheme="minorHAnsi" w:eastAsia="Times New Roman" w:hAnsiTheme="minorHAnsi" w:cstheme="minorHAnsi"/>
                <w:color w:val="000000"/>
                <w:sz w:val="22"/>
                <w:szCs w:val="22"/>
              </w:rPr>
              <w:t>₡</w:t>
            </w:r>
            <w:r w:rsidRPr="004D0DCE">
              <w:rPr>
                <w:rFonts w:asciiTheme="minorHAnsi" w:eastAsia="Times New Roman" w:hAnsiTheme="minorHAnsi" w:cstheme="minorHAnsi"/>
                <w:color w:val="000000"/>
                <w:sz w:val="22"/>
                <w:szCs w:val="22"/>
              </w:rPr>
              <w:t xml:space="preserve">7 mil millones a la vista para cubrir el pago de 3 meses de la planilla de pensionados, con el fin de evitar excesos de liquidez y obtener mejores rendimientos.  </w:t>
            </w:r>
          </w:p>
        </w:tc>
      </w:tr>
    </w:tbl>
    <w:p w14:paraId="2C2DA66D" w14:textId="33424814" w:rsidR="000E31A9" w:rsidRDefault="003C30A0" w:rsidP="00A8066D">
      <w:pPr>
        <w:pStyle w:val="Descripcin"/>
        <w:spacing w:after="0"/>
        <w:rPr>
          <w:rFonts w:asciiTheme="majorHAnsi" w:eastAsiaTheme="majorEastAsia" w:hAnsiTheme="majorHAnsi" w:cstheme="majorBidi"/>
          <w:color w:val="365F91" w:themeColor="accent1" w:themeShade="BF"/>
          <w:sz w:val="32"/>
          <w:szCs w:val="32"/>
        </w:rPr>
      </w:pPr>
      <w:r>
        <w:t>Fuente: Elaboración propia</w:t>
      </w:r>
      <w:r w:rsidR="000E31A9">
        <w:br w:type="page"/>
      </w:r>
    </w:p>
    <w:p w14:paraId="2E53C788" w14:textId="18BD2B2A" w:rsidR="00394DBE" w:rsidRDefault="006929F8" w:rsidP="00E2531A">
      <w:pPr>
        <w:pStyle w:val="Ttulo1"/>
        <w:numPr>
          <w:ilvl w:val="0"/>
          <w:numId w:val="1"/>
        </w:numPr>
      </w:pPr>
      <w:bookmarkStart w:id="12" w:name="_Toc64039563"/>
      <w:r>
        <w:t>Estadísticas</w:t>
      </w:r>
      <w:bookmarkEnd w:id="12"/>
    </w:p>
    <w:p w14:paraId="5F1A6AF8" w14:textId="77777777" w:rsidR="00CF174B" w:rsidRPr="0074601B" w:rsidRDefault="00657BE3" w:rsidP="00E2531A">
      <w:pPr>
        <w:pStyle w:val="Ttulo2"/>
        <w:numPr>
          <w:ilvl w:val="1"/>
          <w:numId w:val="1"/>
        </w:numPr>
      </w:pPr>
      <w:bookmarkStart w:id="13" w:name="_Toc64039564"/>
      <w:r>
        <w:t>Sistema Nacional de Pensiones</w:t>
      </w:r>
      <w:bookmarkEnd w:id="13"/>
    </w:p>
    <w:p w14:paraId="13869FA3" w14:textId="77777777" w:rsidR="00CF174B" w:rsidRPr="00A8066D" w:rsidRDefault="00CF174B" w:rsidP="00CF174B">
      <w:pPr>
        <w:spacing w:after="0" w:line="240" w:lineRule="auto"/>
        <w:jc w:val="both"/>
        <w:rPr>
          <w:rFonts w:ascii="Calibri" w:eastAsia="Times New Roman" w:hAnsi="Calibri" w:cs="Calibri"/>
          <w:color w:val="000000"/>
          <w:sz w:val="24"/>
          <w:szCs w:val="24"/>
          <w:lang w:val="es-CR" w:eastAsia="es-CR"/>
        </w:rPr>
      </w:pPr>
    </w:p>
    <w:p w14:paraId="2EA6E723" w14:textId="03C4E0D1" w:rsidR="00BC1E76" w:rsidRPr="00A8066D" w:rsidRDefault="001B3226" w:rsidP="001B3226">
      <w:pPr>
        <w:pStyle w:val="Descripcin"/>
        <w:spacing w:after="0"/>
        <w:jc w:val="center"/>
        <w:rPr>
          <w:sz w:val="20"/>
          <w:szCs w:val="20"/>
        </w:rPr>
      </w:pPr>
      <w:r w:rsidRPr="00A8066D">
        <w:rPr>
          <w:sz w:val="20"/>
          <w:szCs w:val="20"/>
        </w:rPr>
        <w:t xml:space="preserve">Tabla </w:t>
      </w:r>
      <w:r w:rsidRPr="00A8066D">
        <w:rPr>
          <w:sz w:val="20"/>
          <w:szCs w:val="20"/>
        </w:rPr>
        <w:fldChar w:fldCharType="begin"/>
      </w:r>
      <w:r w:rsidRPr="00A8066D">
        <w:rPr>
          <w:sz w:val="20"/>
          <w:szCs w:val="20"/>
        </w:rPr>
        <w:instrText xml:space="preserve"> SEQ Tabla \* ARABIC </w:instrText>
      </w:r>
      <w:r w:rsidRPr="00A8066D">
        <w:rPr>
          <w:sz w:val="20"/>
          <w:szCs w:val="20"/>
        </w:rPr>
        <w:fldChar w:fldCharType="separate"/>
      </w:r>
      <w:r w:rsidR="00637F57" w:rsidRPr="00A8066D">
        <w:rPr>
          <w:noProof/>
          <w:sz w:val="20"/>
          <w:szCs w:val="20"/>
        </w:rPr>
        <w:t>5</w:t>
      </w:r>
      <w:r w:rsidRPr="00A8066D">
        <w:rPr>
          <w:sz w:val="20"/>
          <w:szCs w:val="20"/>
        </w:rPr>
        <w:fldChar w:fldCharType="end"/>
      </w:r>
      <w:r w:rsidRPr="00A8066D">
        <w:rPr>
          <w:sz w:val="20"/>
          <w:szCs w:val="20"/>
        </w:rPr>
        <w:t xml:space="preserve">: </w:t>
      </w:r>
      <w:r w:rsidR="007E170D" w:rsidRPr="00A8066D">
        <w:rPr>
          <w:sz w:val="20"/>
          <w:szCs w:val="20"/>
        </w:rPr>
        <w:t>Afiliados, pensionados</w:t>
      </w:r>
      <w:r w:rsidR="00DB5E51" w:rsidRPr="00A8066D">
        <w:rPr>
          <w:sz w:val="20"/>
          <w:szCs w:val="20"/>
        </w:rPr>
        <w:t xml:space="preserve">, pensión promedio </w:t>
      </w:r>
      <w:r w:rsidR="007E170D" w:rsidRPr="00A8066D">
        <w:rPr>
          <w:sz w:val="20"/>
          <w:szCs w:val="20"/>
        </w:rPr>
        <w:t xml:space="preserve">y </w:t>
      </w:r>
      <w:r w:rsidR="00A058D6" w:rsidRPr="00A8066D">
        <w:rPr>
          <w:sz w:val="20"/>
          <w:szCs w:val="20"/>
        </w:rPr>
        <w:t>contribuciones</w:t>
      </w:r>
      <w:r w:rsidR="007E170D" w:rsidRPr="00A8066D">
        <w:rPr>
          <w:sz w:val="20"/>
          <w:szCs w:val="20"/>
        </w:rPr>
        <w:t xml:space="preserve"> </w:t>
      </w:r>
    </w:p>
    <w:p w14:paraId="53FE0906" w14:textId="56DE44AA" w:rsidR="001B3226" w:rsidRPr="00A8066D" w:rsidRDefault="00BC1E76" w:rsidP="00BC1E76">
      <w:pPr>
        <w:pStyle w:val="Descripcin"/>
        <w:spacing w:after="0"/>
        <w:jc w:val="center"/>
        <w:rPr>
          <w:sz w:val="20"/>
          <w:szCs w:val="20"/>
        </w:rPr>
      </w:pPr>
      <w:r w:rsidRPr="00A8066D">
        <w:rPr>
          <w:sz w:val="20"/>
          <w:szCs w:val="20"/>
        </w:rPr>
        <w:t>Sistema Nacional de Pensiones</w:t>
      </w:r>
      <w:r w:rsidR="00D142B9" w:rsidRPr="00A8066D">
        <w:rPr>
          <w:sz w:val="20"/>
          <w:szCs w:val="20"/>
        </w:rPr>
        <w:t xml:space="preserve"> </w:t>
      </w:r>
    </w:p>
    <w:p w14:paraId="53AD06D1" w14:textId="4F8CF1A2" w:rsidR="001B3226" w:rsidRPr="00A8066D" w:rsidRDefault="001B3226" w:rsidP="001B3226">
      <w:pPr>
        <w:pStyle w:val="Descripcin"/>
        <w:tabs>
          <w:tab w:val="center" w:pos="4419"/>
          <w:tab w:val="left" w:pos="5788"/>
        </w:tabs>
        <w:spacing w:after="0"/>
        <w:jc w:val="center"/>
        <w:rPr>
          <w:sz w:val="20"/>
          <w:szCs w:val="20"/>
        </w:rPr>
      </w:pPr>
      <w:r w:rsidRPr="00A8066D">
        <w:rPr>
          <w:sz w:val="20"/>
          <w:szCs w:val="20"/>
        </w:rPr>
        <w:t xml:space="preserve">Al 30 de </w:t>
      </w:r>
      <w:r w:rsidR="00B520C8" w:rsidRPr="00A8066D">
        <w:rPr>
          <w:sz w:val="20"/>
          <w:szCs w:val="20"/>
        </w:rPr>
        <w:t xml:space="preserve">setiembre </w:t>
      </w:r>
      <w:r w:rsidRPr="00A8066D">
        <w:rPr>
          <w:sz w:val="20"/>
          <w:szCs w:val="20"/>
        </w:rPr>
        <w:t>del 2020</w:t>
      </w:r>
    </w:p>
    <w:tbl>
      <w:tblPr>
        <w:tblStyle w:val="Tablaconcuadrcula4-nfasis1"/>
        <w:tblW w:w="10343" w:type="dxa"/>
        <w:jc w:val="center"/>
        <w:tblLook w:val="04A0" w:firstRow="1" w:lastRow="0" w:firstColumn="1" w:lastColumn="0" w:noHBand="0" w:noVBand="1"/>
      </w:tblPr>
      <w:tblGrid>
        <w:gridCol w:w="3912"/>
        <w:gridCol w:w="1106"/>
        <w:gridCol w:w="1373"/>
        <w:gridCol w:w="1352"/>
        <w:gridCol w:w="1057"/>
        <w:gridCol w:w="833"/>
        <w:gridCol w:w="1111"/>
      </w:tblGrid>
      <w:tr w:rsidR="00AC04A5" w:rsidRPr="00A8066D" w14:paraId="0D579972" w14:textId="77777777" w:rsidTr="0098391A">
        <w:trPr>
          <w:cnfStyle w:val="100000000000" w:firstRow="1" w:lastRow="0" w:firstColumn="0" w:lastColumn="0" w:oddVBand="0" w:evenVBand="0" w:oddHBand="0"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3912" w:type="dxa"/>
            <w:vMerge w:val="restart"/>
            <w:tcBorders>
              <w:top w:val="single" w:sz="4" w:space="0" w:color="8DB3E2" w:themeColor="text2" w:themeTint="66"/>
              <w:left w:val="single" w:sz="4" w:space="0" w:color="8DB3E2" w:themeColor="text2" w:themeTint="66"/>
              <w:bottom w:val="single" w:sz="4" w:space="0" w:color="8DB3E2" w:themeColor="text2" w:themeTint="66"/>
              <w:right w:val="single" w:sz="6" w:space="0" w:color="8DB3E2" w:themeColor="text2" w:themeTint="66"/>
            </w:tcBorders>
            <w:noWrap/>
            <w:vAlign w:val="center"/>
            <w:hideMark/>
          </w:tcPr>
          <w:p w14:paraId="2FEB5F63" w14:textId="77777777" w:rsidR="00AC04A5" w:rsidRPr="00A8066D" w:rsidRDefault="00AC04A5" w:rsidP="001D586E">
            <w:pPr>
              <w:jc w:val="center"/>
              <w:rPr>
                <w:rFonts w:eastAsia="Times New Roman" w:cs="Calibri"/>
                <w:sz w:val="22"/>
                <w:szCs w:val="22"/>
                <w:lang w:val="es-CR"/>
              </w:rPr>
            </w:pPr>
            <w:r w:rsidRPr="00A8066D">
              <w:rPr>
                <w:rFonts w:eastAsia="Times New Roman" w:cs="Calibri"/>
                <w:sz w:val="22"/>
                <w:szCs w:val="22"/>
                <w:lang w:val="es-CR"/>
              </w:rPr>
              <w:t>Tipo de Fondo</w:t>
            </w:r>
          </w:p>
        </w:tc>
        <w:tc>
          <w:tcPr>
            <w:tcW w:w="1106" w:type="dxa"/>
            <w:vMerge w:val="restart"/>
            <w:tcBorders>
              <w:top w:val="single" w:sz="4" w:space="0" w:color="8DB3E2" w:themeColor="text2" w:themeTint="66"/>
              <w:left w:val="single" w:sz="6" w:space="0" w:color="8DB3E2" w:themeColor="text2" w:themeTint="66"/>
              <w:bottom w:val="single" w:sz="4" w:space="0" w:color="8DB3E2" w:themeColor="text2" w:themeTint="66"/>
              <w:right w:val="single" w:sz="6" w:space="0" w:color="8DB3E2" w:themeColor="text2" w:themeTint="66"/>
            </w:tcBorders>
            <w:noWrap/>
            <w:vAlign w:val="center"/>
            <w:hideMark/>
          </w:tcPr>
          <w:p w14:paraId="73B71C2C" w14:textId="77777777" w:rsidR="00AC04A5" w:rsidRPr="00A8066D" w:rsidRDefault="00AC04A5" w:rsidP="001D586E">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lang w:val="es-CR"/>
              </w:rPr>
            </w:pPr>
            <w:r w:rsidRPr="00A8066D">
              <w:rPr>
                <w:rFonts w:eastAsia="Times New Roman" w:cs="Calibri"/>
                <w:sz w:val="22"/>
                <w:szCs w:val="22"/>
                <w:lang w:val="es-CR"/>
              </w:rPr>
              <w:t>Afiliados</w:t>
            </w:r>
          </w:p>
        </w:tc>
        <w:tc>
          <w:tcPr>
            <w:tcW w:w="1073" w:type="dxa"/>
            <w:vMerge w:val="restart"/>
            <w:tcBorders>
              <w:top w:val="single" w:sz="4" w:space="0" w:color="8DB3E2" w:themeColor="text2" w:themeTint="66"/>
              <w:left w:val="single" w:sz="6" w:space="0" w:color="8DB3E2" w:themeColor="text2" w:themeTint="66"/>
              <w:bottom w:val="single" w:sz="4" w:space="0" w:color="8DB3E2" w:themeColor="text2" w:themeTint="66"/>
              <w:right w:val="single" w:sz="6" w:space="0" w:color="8DB3E2" w:themeColor="text2" w:themeTint="66"/>
            </w:tcBorders>
            <w:noWrap/>
            <w:vAlign w:val="center"/>
            <w:hideMark/>
          </w:tcPr>
          <w:p w14:paraId="52C0C190" w14:textId="77777777" w:rsidR="00AC04A5" w:rsidRPr="00A8066D" w:rsidRDefault="00AC04A5" w:rsidP="001D586E">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lang w:val="es-CR"/>
              </w:rPr>
            </w:pPr>
            <w:r w:rsidRPr="00A8066D">
              <w:rPr>
                <w:rFonts w:eastAsia="Times New Roman" w:cs="Calibri"/>
                <w:sz w:val="22"/>
                <w:szCs w:val="22"/>
                <w:lang w:val="es-CR"/>
              </w:rPr>
              <w:t>Pensionados</w:t>
            </w:r>
          </w:p>
        </w:tc>
        <w:tc>
          <w:tcPr>
            <w:tcW w:w="3186" w:type="dxa"/>
            <w:gridSpan w:val="3"/>
            <w:tcBorders>
              <w:top w:val="single" w:sz="4" w:space="0" w:color="8DB3E2" w:themeColor="text2" w:themeTint="66"/>
              <w:left w:val="single" w:sz="6" w:space="0" w:color="8DB3E2" w:themeColor="text2" w:themeTint="66"/>
              <w:bottom w:val="single" w:sz="4" w:space="0" w:color="8DB3E2" w:themeColor="text2" w:themeTint="66"/>
              <w:right w:val="single" w:sz="6" w:space="0" w:color="8DB3E2" w:themeColor="text2" w:themeTint="66"/>
            </w:tcBorders>
            <w:noWrap/>
            <w:vAlign w:val="center"/>
            <w:hideMark/>
          </w:tcPr>
          <w:p w14:paraId="47CE9BA3" w14:textId="77777777" w:rsidR="00AC04A5" w:rsidRPr="00A8066D" w:rsidRDefault="00AC04A5" w:rsidP="001D586E">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lang w:val="es-CR"/>
              </w:rPr>
            </w:pPr>
            <w:r w:rsidRPr="00A8066D">
              <w:rPr>
                <w:rFonts w:eastAsia="Times New Roman" w:cs="Calibri"/>
                <w:sz w:val="22"/>
                <w:szCs w:val="22"/>
                <w:lang w:val="es-CR"/>
              </w:rPr>
              <w:t>Contribuciones</w:t>
            </w:r>
          </w:p>
        </w:tc>
        <w:tc>
          <w:tcPr>
            <w:tcW w:w="1066" w:type="dxa"/>
            <w:vMerge w:val="restart"/>
            <w:tcBorders>
              <w:top w:val="single" w:sz="4" w:space="0" w:color="8DB3E2" w:themeColor="text2" w:themeTint="66"/>
              <w:left w:val="single" w:sz="6" w:space="0" w:color="8DB3E2" w:themeColor="text2" w:themeTint="66"/>
              <w:right w:val="single" w:sz="4" w:space="0" w:color="8DB3E2" w:themeColor="text2" w:themeTint="66"/>
            </w:tcBorders>
            <w:noWrap/>
            <w:vAlign w:val="center"/>
            <w:hideMark/>
          </w:tcPr>
          <w:p w14:paraId="5C358C63" w14:textId="77777777" w:rsidR="00AC04A5" w:rsidRPr="00A8066D" w:rsidRDefault="00AC04A5" w:rsidP="001D586E">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lang w:val="es-CR"/>
              </w:rPr>
            </w:pPr>
            <w:r w:rsidRPr="00A8066D">
              <w:rPr>
                <w:rFonts w:eastAsia="Times New Roman" w:cs="Calibri"/>
                <w:sz w:val="22"/>
                <w:szCs w:val="22"/>
                <w:lang w:val="es-CR"/>
              </w:rPr>
              <w:t>Pensión promedio</w:t>
            </w:r>
          </w:p>
        </w:tc>
      </w:tr>
      <w:tr w:rsidR="00AC04A5" w:rsidRPr="00A8066D" w14:paraId="571F2317" w14:textId="77777777" w:rsidTr="0098391A">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3912" w:type="dxa"/>
            <w:vMerge/>
            <w:tcBorders>
              <w:top w:val="single" w:sz="4" w:space="0" w:color="8DB3E2" w:themeColor="text2" w:themeTint="66"/>
            </w:tcBorders>
            <w:hideMark/>
          </w:tcPr>
          <w:p w14:paraId="74A657F8" w14:textId="77777777" w:rsidR="00AC04A5" w:rsidRPr="00A8066D" w:rsidRDefault="00AC04A5" w:rsidP="001D586E">
            <w:pPr>
              <w:rPr>
                <w:rFonts w:eastAsia="Times New Roman" w:cs="Calibri"/>
                <w:color w:val="000000"/>
                <w:sz w:val="22"/>
                <w:szCs w:val="22"/>
                <w:lang w:val="es-CR"/>
              </w:rPr>
            </w:pPr>
          </w:p>
        </w:tc>
        <w:tc>
          <w:tcPr>
            <w:tcW w:w="1106" w:type="dxa"/>
            <w:vMerge/>
            <w:tcBorders>
              <w:top w:val="single" w:sz="4" w:space="0" w:color="8DB3E2" w:themeColor="text2" w:themeTint="66"/>
            </w:tcBorders>
            <w:hideMark/>
          </w:tcPr>
          <w:p w14:paraId="2C89AFB8" w14:textId="77777777" w:rsidR="00AC04A5" w:rsidRPr="00A8066D" w:rsidRDefault="00AC04A5" w:rsidP="001D586E">
            <w:pP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22"/>
                <w:szCs w:val="22"/>
                <w:lang w:val="es-CR"/>
              </w:rPr>
            </w:pPr>
          </w:p>
        </w:tc>
        <w:tc>
          <w:tcPr>
            <w:tcW w:w="1073" w:type="dxa"/>
            <w:vMerge/>
            <w:tcBorders>
              <w:top w:val="single" w:sz="4" w:space="0" w:color="8DB3E2" w:themeColor="text2" w:themeTint="66"/>
            </w:tcBorders>
            <w:hideMark/>
          </w:tcPr>
          <w:p w14:paraId="3926EB9A" w14:textId="77777777" w:rsidR="00AC04A5" w:rsidRPr="00A8066D" w:rsidRDefault="00AC04A5" w:rsidP="001D586E">
            <w:pP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22"/>
                <w:szCs w:val="22"/>
                <w:lang w:val="es-CR"/>
              </w:rPr>
            </w:pPr>
          </w:p>
        </w:tc>
        <w:tc>
          <w:tcPr>
            <w:tcW w:w="1352" w:type="dxa"/>
            <w:tcBorders>
              <w:top w:val="single" w:sz="4" w:space="0" w:color="8DB3E2" w:themeColor="text2" w:themeTint="66"/>
            </w:tcBorders>
            <w:shd w:val="clear" w:color="auto" w:fill="4F81BD" w:themeFill="accent1"/>
            <w:noWrap/>
            <w:hideMark/>
          </w:tcPr>
          <w:p w14:paraId="252950E8" w14:textId="77777777" w:rsidR="00AC04A5" w:rsidRPr="00A8066D" w:rsidRDefault="00AC04A5" w:rsidP="001D586E">
            <w:pPr>
              <w:cnfStyle w:val="000000100000" w:firstRow="0" w:lastRow="0" w:firstColumn="0" w:lastColumn="0" w:oddVBand="0" w:evenVBand="0" w:oddHBand="1" w:evenHBand="0" w:firstRowFirstColumn="0" w:firstRowLastColumn="0" w:lastRowFirstColumn="0" w:lastRowLastColumn="0"/>
              <w:rPr>
                <w:rFonts w:eastAsia="Times New Roman" w:cs="Calibri"/>
                <w:b/>
                <w:bCs/>
                <w:color w:val="FFFFFF" w:themeColor="background1"/>
                <w:sz w:val="22"/>
                <w:szCs w:val="22"/>
                <w:lang w:val="es-CR"/>
              </w:rPr>
            </w:pPr>
            <w:r w:rsidRPr="00A8066D">
              <w:rPr>
                <w:rFonts w:eastAsia="Times New Roman" w:cs="Calibri"/>
                <w:b/>
                <w:bCs/>
                <w:color w:val="FFFFFF" w:themeColor="background1"/>
                <w:sz w:val="22"/>
                <w:szCs w:val="22"/>
                <w:lang w:val="es-CR"/>
              </w:rPr>
              <w:t>Trabajador</w:t>
            </w:r>
          </w:p>
        </w:tc>
        <w:tc>
          <w:tcPr>
            <w:tcW w:w="1057" w:type="dxa"/>
            <w:tcBorders>
              <w:top w:val="single" w:sz="4" w:space="0" w:color="8DB3E2" w:themeColor="text2" w:themeTint="66"/>
            </w:tcBorders>
            <w:shd w:val="clear" w:color="auto" w:fill="4F81BD" w:themeFill="accent1"/>
            <w:noWrap/>
            <w:hideMark/>
          </w:tcPr>
          <w:p w14:paraId="3D11A594" w14:textId="77777777" w:rsidR="00AC04A5" w:rsidRPr="00A8066D" w:rsidRDefault="00AC04A5" w:rsidP="001D586E">
            <w:pPr>
              <w:cnfStyle w:val="000000100000" w:firstRow="0" w:lastRow="0" w:firstColumn="0" w:lastColumn="0" w:oddVBand="0" w:evenVBand="0" w:oddHBand="1" w:evenHBand="0" w:firstRowFirstColumn="0" w:firstRowLastColumn="0" w:lastRowFirstColumn="0" w:lastRowLastColumn="0"/>
              <w:rPr>
                <w:rFonts w:eastAsia="Times New Roman" w:cs="Calibri"/>
                <w:b/>
                <w:bCs/>
                <w:color w:val="FFFFFF" w:themeColor="background1"/>
                <w:sz w:val="22"/>
                <w:szCs w:val="22"/>
                <w:lang w:val="es-CR"/>
              </w:rPr>
            </w:pPr>
            <w:r w:rsidRPr="00A8066D">
              <w:rPr>
                <w:rFonts w:eastAsia="Times New Roman" w:cs="Calibri"/>
                <w:b/>
                <w:bCs/>
                <w:color w:val="FFFFFF" w:themeColor="background1"/>
                <w:sz w:val="22"/>
                <w:szCs w:val="22"/>
                <w:lang w:val="es-CR"/>
              </w:rPr>
              <w:t>Patrono</w:t>
            </w:r>
          </w:p>
        </w:tc>
        <w:tc>
          <w:tcPr>
            <w:tcW w:w="777" w:type="dxa"/>
            <w:tcBorders>
              <w:top w:val="single" w:sz="4" w:space="0" w:color="8DB3E2" w:themeColor="text2" w:themeTint="66"/>
              <w:right w:val="single" w:sz="6" w:space="0" w:color="8DB3E2" w:themeColor="text2" w:themeTint="66"/>
            </w:tcBorders>
            <w:shd w:val="clear" w:color="auto" w:fill="4F81BD" w:themeFill="accent1"/>
            <w:noWrap/>
            <w:hideMark/>
          </w:tcPr>
          <w:p w14:paraId="6909FBAD" w14:textId="77777777" w:rsidR="00AC04A5" w:rsidRPr="00A8066D" w:rsidRDefault="00AC04A5" w:rsidP="001D586E">
            <w:pPr>
              <w:cnfStyle w:val="000000100000" w:firstRow="0" w:lastRow="0" w:firstColumn="0" w:lastColumn="0" w:oddVBand="0" w:evenVBand="0" w:oddHBand="1" w:evenHBand="0" w:firstRowFirstColumn="0" w:firstRowLastColumn="0" w:lastRowFirstColumn="0" w:lastRowLastColumn="0"/>
              <w:rPr>
                <w:rFonts w:eastAsia="Times New Roman" w:cs="Calibri"/>
                <w:b/>
                <w:bCs/>
                <w:color w:val="FFFFFF" w:themeColor="background1"/>
                <w:sz w:val="22"/>
                <w:szCs w:val="22"/>
                <w:lang w:val="es-CR"/>
              </w:rPr>
            </w:pPr>
            <w:r w:rsidRPr="00A8066D">
              <w:rPr>
                <w:rFonts w:eastAsia="Times New Roman" w:cs="Calibri"/>
                <w:b/>
                <w:bCs/>
                <w:color w:val="FFFFFF" w:themeColor="background1"/>
                <w:sz w:val="22"/>
                <w:szCs w:val="22"/>
                <w:lang w:val="es-CR"/>
              </w:rPr>
              <w:t>Estado</w:t>
            </w:r>
          </w:p>
        </w:tc>
        <w:tc>
          <w:tcPr>
            <w:tcW w:w="1066" w:type="dxa"/>
            <w:vMerge/>
            <w:tcBorders>
              <w:left w:val="single" w:sz="6" w:space="0" w:color="8DB3E2" w:themeColor="text2" w:themeTint="66"/>
              <w:right w:val="single" w:sz="4" w:space="0" w:color="8DB3E2" w:themeColor="text2" w:themeTint="66"/>
            </w:tcBorders>
            <w:hideMark/>
          </w:tcPr>
          <w:p w14:paraId="3F08FEAE" w14:textId="77777777" w:rsidR="00AC04A5" w:rsidRPr="00A8066D" w:rsidRDefault="00AC04A5" w:rsidP="001D586E">
            <w:pP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22"/>
                <w:szCs w:val="22"/>
                <w:lang w:val="es-CR"/>
              </w:rPr>
            </w:pPr>
          </w:p>
        </w:tc>
      </w:tr>
      <w:tr w:rsidR="00D16208" w:rsidRPr="00A8066D" w14:paraId="18F6A4AB" w14:textId="77777777" w:rsidTr="0098391A">
        <w:trPr>
          <w:trHeight w:val="260"/>
          <w:jc w:val="center"/>
        </w:trPr>
        <w:tc>
          <w:tcPr>
            <w:cnfStyle w:val="001000000000" w:firstRow="0" w:lastRow="0" w:firstColumn="1" w:lastColumn="0" w:oddVBand="0" w:evenVBand="0" w:oddHBand="0" w:evenHBand="0" w:firstRowFirstColumn="0" w:firstRowLastColumn="0" w:lastRowFirstColumn="0" w:lastRowLastColumn="0"/>
            <w:tcW w:w="3912" w:type="dxa"/>
            <w:noWrap/>
            <w:hideMark/>
          </w:tcPr>
          <w:p w14:paraId="609206F0" w14:textId="71F03BCC" w:rsidR="00D16208" w:rsidRPr="00A8066D" w:rsidRDefault="00D16208" w:rsidP="00D16208">
            <w:pPr>
              <w:rPr>
                <w:rFonts w:eastAsia="Times New Roman" w:cs="Calibri"/>
                <w:color w:val="000000"/>
                <w:sz w:val="22"/>
                <w:szCs w:val="22"/>
                <w:lang w:val="es-CR"/>
              </w:rPr>
            </w:pPr>
            <w:r w:rsidRPr="00A8066D">
              <w:rPr>
                <w:rFonts w:eastAsia="Times New Roman" w:cs="Calibri"/>
                <w:color w:val="000000"/>
                <w:sz w:val="22"/>
                <w:szCs w:val="22"/>
                <w:lang w:val="es-CR"/>
              </w:rPr>
              <w:t>Régimen Básico (</w:t>
            </w:r>
            <w:r w:rsidR="00F7603E" w:rsidRPr="00A8066D">
              <w:rPr>
                <w:rFonts w:eastAsia="Times New Roman" w:cs="Calibri"/>
                <w:color w:val="000000"/>
                <w:sz w:val="22"/>
                <w:szCs w:val="22"/>
                <w:lang w:val="es-CR"/>
              </w:rPr>
              <w:t>R</w:t>
            </w:r>
            <w:r w:rsidRPr="00A8066D">
              <w:rPr>
                <w:rFonts w:eastAsia="Times New Roman" w:cs="Calibri"/>
                <w:color w:val="000000"/>
                <w:sz w:val="22"/>
                <w:szCs w:val="22"/>
                <w:lang w:val="es-CR"/>
              </w:rPr>
              <w:t>IVM)*</w:t>
            </w:r>
          </w:p>
        </w:tc>
        <w:tc>
          <w:tcPr>
            <w:tcW w:w="1106" w:type="dxa"/>
            <w:hideMark/>
          </w:tcPr>
          <w:p w14:paraId="5D21205E" w14:textId="55178227" w:rsidR="00D16208" w:rsidRPr="00A8066D" w:rsidRDefault="00D16208" w:rsidP="00D1620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s-CR"/>
              </w:rPr>
            </w:pPr>
            <w:r w:rsidRPr="00A8066D">
              <w:rPr>
                <w:rFonts w:eastAsia="Times New Roman" w:cs="Calibri"/>
                <w:lang w:val="es-CR"/>
              </w:rPr>
              <w:t>1 280 274</w:t>
            </w:r>
          </w:p>
        </w:tc>
        <w:tc>
          <w:tcPr>
            <w:tcW w:w="1073" w:type="dxa"/>
            <w:hideMark/>
          </w:tcPr>
          <w:p w14:paraId="5AE3A7AA" w14:textId="63648FD9" w:rsidR="00D16208" w:rsidRPr="00A8066D" w:rsidRDefault="00D16208" w:rsidP="00D1620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s-CR"/>
              </w:rPr>
            </w:pPr>
            <w:r w:rsidRPr="00A8066D">
              <w:rPr>
                <w:rFonts w:eastAsia="Times New Roman" w:cs="Calibri"/>
                <w:lang w:val="es-CR"/>
              </w:rPr>
              <w:t>291 886</w:t>
            </w:r>
          </w:p>
        </w:tc>
        <w:tc>
          <w:tcPr>
            <w:tcW w:w="1352" w:type="dxa"/>
            <w:noWrap/>
            <w:hideMark/>
          </w:tcPr>
          <w:p w14:paraId="6AA405B6" w14:textId="77777777" w:rsidR="00D16208" w:rsidRPr="00A8066D" w:rsidRDefault="00D16208" w:rsidP="00D1620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s-CR"/>
              </w:rPr>
            </w:pPr>
            <w:r w:rsidRPr="00A8066D">
              <w:rPr>
                <w:rFonts w:eastAsia="Times New Roman" w:cs="Calibri"/>
                <w:color w:val="000000"/>
                <w:sz w:val="22"/>
                <w:szCs w:val="22"/>
                <w:lang w:val="es-CR"/>
              </w:rPr>
              <w:t>4%</w:t>
            </w:r>
          </w:p>
        </w:tc>
        <w:tc>
          <w:tcPr>
            <w:tcW w:w="1057" w:type="dxa"/>
            <w:noWrap/>
            <w:hideMark/>
          </w:tcPr>
          <w:p w14:paraId="317C18F8" w14:textId="77777777" w:rsidR="00D16208" w:rsidRPr="00A8066D" w:rsidRDefault="00D16208" w:rsidP="00D1620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s-CR"/>
              </w:rPr>
            </w:pPr>
            <w:r w:rsidRPr="00A8066D">
              <w:rPr>
                <w:rFonts w:eastAsia="Times New Roman" w:cs="Calibri"/>
                <w:color w:val="000000"/>
                <w:sz w:val="22"/>
                <w:szCs w:val="22"/>
                <w:lang w:val="es-CR"/>
              </w:rPr>
              <w:t>5,25%</w:t>
            </w:r>
          </w:p>
        </w:tc>
        <w:tc>
          <w:tcPr>
            <w:tcW w:w="777" w:type="dxa"/>
            <w:noWrap/>
            <w:hideMark/>
          </w:tcPr>
          <w:p w14:paraId="00D6B39F" w14:textId="77777777" w:rsidR="00D16208" w:rsidRPr="00A8066D" w:rsidRDefault="00D16208" w:rsidP="00D1620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s-CR"/>
              </w:rPr>
            </w:pPr>
            <w:r w:rsidRPr="00A8066D">
              <w:rPr>
                <w:rFonts w:eastAsia="Times New Roman" w:cs="Calibri"/>
                <w:color w:val="000000"/>
                <w:sz w:val="22"/>
                <w:szCs w:val="22"/>
                <w:lang w:val="es-CR"/>
              </w:rPr>
              <w:t>1,41%</w:t>
            </w:r>
          </w:p>
        </w:tc>
        <w:tc>
          <w:tcPr>
            <w:tcW w:w="1066" w:type="dxa"/>
            <w:noWrap/>
            <w:hideMark/>
          </w:tcPr>
          <w:p w14:paraId="47B57FDA" w14:textId="5E2E0365" w:rsidR="00D16208" w:rsidRPr="00A8066D" w:rsidRDefault="000C2212" w:rsidP="00D1620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s-CR"/>
              </w:rPr>
            </w:pPr>
            <w:r w:rsidRPr="00A8066D">
              <w:rPr>
                <w:rFonts w:eastAsia="Times New Roman" w:cs="Calibri"/>
                <w:lang w:val="es-CR"/>
              </w:rPr>
              <w:t>279 615</w:t>
            </w:r>
          </w:p>
        </w:tc>
      </w:tr>
      <w:tr w:rsidR="001D586E" w:rsidRPr="00A8066D" w14:paraId="349B5013" w14:textId="77777777" w:rsidTr="00A058D6">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10343" w:type="dxa"/>
            <w:gridSpan w:val="7"/>
            <w:noWrap/>
            <w:hideMark/>
          </w:tcPr>
          <w:p w14:paraId="4917E43A" w14:textId="77777777" w:rsidR="001D586E" w:rsidRPr="00A8066D" w:rsidRDefault="001D586E" w:rsidP="001D586E">
            <w:pPr>
              <w:rPr>
                <w:rFonts w:eastAsia="Times New Roman" w:cs="Calibri"/>
                <w:color w:val="000000"/>
                <w:sz w:val="22"/>
                <w:szCs w:val="22"/>
                <w:lang w:val="es-CR"/>
              </w:rPr>
            </w:pPr>
            <w:r w:rsidRPr="00A8066D">
              <w:rPr>
                <w:rFonts w:eastAsia="Times New Roman" w:cs="Calibri"/>
                <w:color w:val="000000"/>
                <w:sz w:val="22"/>
                <w:szCs w:val="22"/>
                <w:lang w:val="es-CR"/>
              </w:rPr>
              <w:t>Regímenes Básicos sustitutos</w:t>
            </w:r>
          </w:p>
        </w:tc>
      </w:tr>
      <w:tr w:rsidR="00C45CC6" w:rsidRPr="00A8066D" w14:paraId="073EFFBB" w14:textId="77777777" w:rsidTr="0098391A">
        <w:trPr>
          <w:trHeight w:val="260"/>
          <w:jc w:val="center"/>
        </w:trPr>
        <w:tc>
          <w:tcPr>
            <w:cnfStyle w:val="001000000000" w:firstRow="0" w:lastRow="0" w:firstColumn="1" w:lastColumn="0" w:oddVBand="0" w:evenVBand="0" w:oddHBand="0" w:evenHBand="0" w:firstRowFirstColumn="0" w:firstRowLastColumn="0" w:lastRowFirstColumn="0" w:lastRowLastColumn="0"/>
            <w:tcW w:w="3912" w:type="dxa"/>
            <w:noWrap/>
          </w:tcPr>
          <w:p w14:paraId="455BBBEC" w14:textId="36F94498" w:rsidR="00C45CC6" w:rsidRPr="00A8066D" w:rsidRDefault="00C45CC6" w:rsidP="00C45CC6">
            <w:pPr>
              <w:rPr>
                <w:rFonts w:eastAsia="Times New Roman" w:cs="Calibri"/>
                <w:color w:val="000000"/>
                <w:sz w:val="22"/>
                <w:szCs w:val="22"/>
                <w:lang w:val="es-CR"/>
              </w:rPr>
            </w:pPr>
            <w:r w:rsidRPr="00A8066D">
              <w:rPr>
                <w:rFonts w:eastAsia="Times New Roman" w:cs="Calibri"/>
                <w:color w:val="000000"/>
                <w:sz w:val="22"/>
                <w:szCs w:val="22"/>
                <w:lang w:val="es-CR"/>
              </w:rPr>
              <w:t xml:space="preserve">   RCCMN*</w:t>
            </w:r>
          </w:p>
        </w:tc>
        <w:tc>
          <w:tcPr>
            <w:tcW w:w="1106" w:type="dxa"/>
          </w:tcPr>
          <w:p w14:paraId="6B453076" w14:textId="5461C907" w:rsidR="00C45CC6" w:rsidRPr="00A8066D" w:rsidRDefault="00C45CC6" w:rsidP="00C45CC6">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s-CR"/>
              </w:rPr>
            </w:pPr>
            <w:r w:rsidRPr="00A8066D">
              <w:rPr>
                <w:sz w:val="22"/>
                <w:szCs w:val="22"/>
              </w:rPr>
              <w:t>97 719</w:t>
            </w:r>
          </w:p>
        </w:tc>
        <w:tc>
          <w:tcPr>
            <w:tcW w:w="1073" w:type="dxa"/>
          </w:tcPr>
          <w:p w14:paraId="58611601" w14:textId="6C043767" w:rsidR="00C45CC6" w:rsidRPr="00A8066D" w:rsidRDefault="00C45CC6" w:rsidP="00C45CC6">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s-CR"/>
              </w:rPr>
            </w:pPr>
            <w:r w:rsidRPr="00A8066D">
              <w:rPr>
                <w:sz w:val="22"/>
                <w:szCs w:val="22"/>
              </w:rPr>
              <w:t>2 647</w:t>
            </w:r>
          </w:p>
        </w:tc>
        <w:tc>
          <w:tcPr>
            <w:tcW w:w="1352" w:type="dxa"/>
            <w:noWrap/>
          </w:tcPr>
          <w:p w14:paraId="1F95F703" w14:textId="77777777" w:rsidR="00C45CC6" w:rsidRPr="00A8066D" w:rsidRDefault="00C45CC6" w:rsidP="00C45CC6">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s-CR"/>
              </w:rPr>
            </w:pPr>
            <w:r w:rsidRPr="00A8066D">
              <w:rPr>
                <w:rFonts w:eastAsia="Times New Roman" w:cs="Calibri"/>
                <w:color w:val="000000"/>
                <w:sz w:val="22"/>
                <w:szCs w:val="22"/>
                <w:lang w:val="es-CR"/>
              </w:rPr>
              <w:t>8%</w:t>
            </w:r>
          </w:p>
        </w:tc>
        <w:tc>
          <w:tcPr>
            <w:tcW w:w="1057" w:type="dxa"/>
            <w:noWrap/>
          </w:tcPr>
          <w:p w14:paraId="5731EEFA" w14:textId="77777777" w:rsidR="00C45CC6" w:rsidRPr="00A8066D" w:rsidRDefault="00C45CC6" w:rsidP="00C45CC6">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s-CR"/>
              </w:rPr>
            </w:pPr>
            <w:r w:rsidRPr="00A8066D">
              <w:rPr>
                <w:rFonts w:eastAsia="Times New Roman" w:cs="Calibri"/>
                <w:color w:val="000000"/>
                <w:sz w:val="22"/>
                <w:szCs w:val="22"/>
                <w:lang w:val="es-CR"/>
              </w:rPr>
              <w:t>6,75%</w:t>
            </w:r>
          </w:p>
        </w:tc>
        <w:tc>
          <w:tcPr>
            <w:tcW w:w="777" w:type="dxa"/>
            <w:noWrap/>
          </w:tcPr>
          <w:p w14:paraId="31A9D233" w14:textId="77777777" w:rsidR="00C45CC6" w:rsidRPr="00A8066D" w:rsidRDefault="00C45CC6" w:rsidP="00C45CC6">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s-CR"/>
              </w:rPr>
            </w:pPr>
            <w:r w:rsidRPr="00A8066D">
              <w:rPr>
                <w:rFonts w:eastAsia="Times New Roman" w:cs="Calibri"/>
                <w:color w:val="000000"/>
                <w:sz w:val="22"/>
                <w:szCs w:val="22"/>
                <w:lang w:val="es-CR"/>
              </w:rPr>
              <w:t>1,41%</w:t>
            </w:r>
          </w:p>
        </w:tc>
        <w:tc>
          <w:tcPr>
            <w:tcW w:w="1066" w:type="dxa"/>
            <w:noWrap/>
          </w:tcPr>
          <w:p w14:paraId="5AF1BF26" w14:textId="6D9F8F55" w:rsidR="00C45CC6" w:rsidRPr="00A8066D" w:rsidRDefault="00C45CC6" w:rsidP="00C45CC6">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s-CR"/>
              </w:rPr>
            </w:pPr>
            <w:r w:rsidRPr="00A8066D">
              <w:rPr>
                <w:sz w:val="22"/>
                <w:szCs w:val="22"/>
              </w:rPr>
              <w:t xml:space="preserve"> 360 228</w:t>
            </w:r>
          </w:p>
        </w:tc>
      </w:tr>
      <w:tr w:rsidR="00C45CC6" w:rsidRPr="00A8066D" w14:paraId="7984B887" w14:textId="77777777" w:rsidTr="0098391A">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3912" w:type="dxa"/>
            <w:noWrap/>
            <w:hideMark/>
          </w:tcPr>
          <w:p w14:paraId="16E56421" w14:textId="02D2D984" w:rsidR="00C45CC6" w:rsidRPr="00A8066D" w:rsidRDefault="00C45CC6" w:rsidP="00C45CC6">
            <w:pPr>
              <w:rPr>
                <w:rFonts w:eastAsia="Times New Roman" w:cs="Calibri"/>
                <w:color w:val="000000"/>
                <w:sz w:val="22"/>
                <w:szCs w:val="22"/>
                <w:lang w:val="es-CR"/>
              </w:rPr>
            </w:pPr>
            <w:r w:rsidRPr="00A8066D">
              <w:rPr>
                <w:rFonts w:eastAsia="Times New Roman" w:cs="Calibri"/>
                <w:color w:val="000000"/>
                <w:sz w:val="22"/>
                <w:szCs w:val="22"/>
                <w:lang w:val="es-CR"/>
              </w:rPr>
              <w:t xml:space="preserve">   FPJ*</w:t>
            </w:r>
          </w:p>
        </w:tc>
        <w:tc>
          <w:tcPr>
            <w:tcW w:w="1106" w:type="dxa"/>
            <w:hideMark/>
          </w:tcPr>
          <w:p w14:paraId="793F0C7E" w14:textId="221C64AA" w:rsidR="00C45CC6" w:rsidRPr="00A8066D" w:rsidRDefault="00C45CC6" w:rsidP="00C45CC6">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val="es-CR"/>
              </w:rPr>
            </w:pPr>
            <w:r w:rsidRPr="00A8066D">
              <w:rPr>
                <w:sz w:val="22"/>
                <w:szCs w:val="22"/>
              </w:rPr>
              <w:t>13 649</w:t>
            </w:r>
          </w:p>
        </w:tc>
        <w:tc>
          <w:tcPr>
            <w:tcW w:w="1073" w:type="dxa"/>
            <w:hideMark/>
          </w:tcPr>
          <w:p w14:paraId="02CF3B0F" w14:textId="0166B6EF" w:rsidR="00C45CC6" w:rsidRPr="00A8066D" w:rsidRDefault="00C45CC6" w:rsidP="00C45CC6">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val="es-CR"/>
              </w:rPr>
            </w:pPr>
            <w:r w:rsidRPr="00A8066D">
              <w:rPr>
                <w:sz w:val="22"/>
                <w:szCs w:val="22"/>
              </w:rPr>
              <w:t>4 263</w:t>
            </w:r>
          </w:p>
        </w:tc>
        <w:tc>
          <w:tcPr>
            <w:tcW w:w="1352" w:type="dxa"/>
            <w:noWrap/>
            <w:hideMark/>
          </w:tcPr>
          <w:p w14:paraId="63195689" w14:textId="20B56226" w:rsidR="00C45CC6" w:rsidRPr="00A8066D" w:rsidRDefault="00C45CC6" w:rsidP="00C45CC6">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val="es-CR"/>
              </w:rPr>
            </w:pPr>
            <w:r w:rsidRPr="00A8066D">
              <w:rPr>
                <w:rFonts w:eastAsia="Times New Roman" w:cs="Calibri"/>
                <w:color w:val="000000"/>
                <w:sz w:val="22"/>
                <w:szCs w:val="22"/>
                <w:lang w:val="es-CR"/>
              </w:rPr>
              <w:t>1</w:t>
            </w:r>
            <w:r w:rsidR="00B46140" w:rsidRPr="00A8066D">
              <w:rPr>
                <w:rFonts w:eastAsia="Times New Roman" w:cs="Calibri"/>
                <w:color w:val="000000"/>
                <w:sz w:val="22"/>
                <w:szCs w:val="22"/>
                <w:lang w:val="es-CR"/>
              </w:rPr>
              <w:t>3</w:t>
            </w:r>
            <w:r w:rsidRPr="00A8066D">
              <w:rPr>
                <w:rFonts w:eastAsia="Times New Roman" w:cs="Calibri"/>
                <w:color w:val="000000"/>
                <w:sz w:val="22"/>
                <w:szCs w:val="22"/>
                <w:lang w:val="es-CR"/>
              </w:rPr>
              <w:t>%**</w:t>
            </w:r>
          </w:p>
        </w:tc>
        <w:tc>
          <w:tcPr>
            <w:tcW w:w="1057" w:type="dxa"/>
            <w:noWrap/>
            <w:hideMark/>
          </w:tcPr>
          <w:p w14:paraId="5E19A66E" w14:textId="77777777" w:rsidR="00C45CC6" w:rsidRPr="00A8066D" w:rsidRDefault="00C45CC6" w:rsidP="00C45CC6">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val="es-CR"/>
              </w:rPr>
            </w:pPr>
            <w:r w:rsidRPr="00A8066D">
              <w:rPr>
                <w:rFonts w:eastAsia="Times New Roman" w:cs="Calibri"/>
                <w:color w:val="000000"/>
                <w:sz w:val="22"/>
                <w:szCs w:val="22"/>
                <w:lang w:val="es-CR"/>
              </w:rPr>
              <w:t>14,36%</w:t>
            </w:r>
          </w:p>
        </w:tc>
        <w:tc>
          <w:tcPr>
            <w:tcW w:w="777" w:type="dxa"/>
            <w:noWrap/>
            <w:hideMark/>
          </w:tcPr>
          <w:p w14:paraId="1912A095" w14:textId="77777777" w:rsidR="00C45CC6" w:rsidRPr="00A8066D" w:rsidRDefault="00C45CC6" w:rsidP="00C45CC6">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val="es-CR"/>
              </w:rPr>
            </w:pPr>
            <w:r w:rsidRPr="00A8066D">
              <w:rPr>
                <w:rFonts w:eastAsia="Times New Roman" w:cs="Calibri"/>
                <w:color w:val="000000"/>
                <w:sz w:val="22"/>
                <w:szCs w:val="22"/>
                <w:lang w:val="es-CR"/>
              </w:rPr>
              <w:t>1,41%</w:t>
            </w:r>
          </w:p>
        </w:tc>
        <w:tc>
          <w:tcPr>
            <w:tcW w:w="1066" w:type="dxa"/>
            <w:noWrap/>
            <w:hideMark/>
          </w:tcPr>
          <w:p w14:paraId="7AA726B4" w14:textId="50A8FCF8" w:rsidR="00C45CC6" w:rsidRPr="00A8066D" w:rsidRDefault="00C45CC6" w:rsidP="00C45CC6">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val="es-CR"/>
              </w:rPr>
            </w:pPr>
            <w:r w:rsidRPr="00A8066D">
              <w:rPr>
                <w:sz w:val="22"/>
                <w:szCs w:val="22"/>
              </w:rPr>
              <w:t xml:space="preserve"> 1 790 362 </w:t>
            </w:r>
          </w:p>
        </w:tc>
      </w:tr>
      <w:tr w:rsidR="00C45CC6" w:rsidRPr="00A8066D" w14:paraId="692E46C6" w14:textId="77777777" w:rsidTr="0098391A">
        <w:trPr>
          <w:trHeight w:val="260"/>
          <w:jc w:val="center"/>
        </w:trPr>
        <w:tc>
          <w:tcPr>
            <w:cnfStyle w:val="001000000000" w:firstRow="0" w:lastRow="0" w:firstColumn="1" w:lastColumn="0" w:oddVBand="0" w:evenVBand="0" w:oddHBand="0" w:evenHBand="0" w:firstRowFirstColumn="0" w:firstRowLastColumn="0" w:lastRowFirstColumn="0" w:lastRowLastColumn="0"/>
            <w:tcW w:w="3912" w:type="dxa"/>
            <w:noWrap/>
          </w:tcPr>
          <w:p w14:paraId="73A81E08" w14:textId="390381F8" w:rsidR="00C45CC6" w:rsidRPr="00A8066D" w:rsidRDefault="00C45CC6" w:rsidP="00C45CC6">
            <w:pPr>
              <w:rPr>
                <w:rFonts w:eastAsia="Times New Roman" w:cs="Calibri"/>
                <w:color w:val="000000"/>
                <w:sz w:val="22"/>
                <w:szCs w:val="22"/>
                <w:lang w:val="es-CR"/>
              </w:rPr>
            </w:pPr>
            <w:r w:rsidRPr="00A8066D">
              <w:rPr>
                <w:rFonts w:eastAsia="Times New Roman" w:cs="Calibri"/>
                <w:color w:val="000000"/>
                <w:sz w:val="22"/>
                <w:szCs w:val="22"/>
                <w:lang w:val="es-CR"/>
              </w:rPr>
              <w:t xml:space="preserve">   FBOMBEROS</w:t>
            </w:r>
          </w:p>
        </w:tc>
        <w:tc>
          <w:tcPr>
            <w:tcW w:w="1106" w:type="dxa"/>
          </w:tcPr>
          <w:p w14:paraId="13951703" w14:textId="648A55B7" w:rsidR="00C45CC6" w:rsidRPr="00A8066D" w:rsidRDefault="00C45CC6" w:rsidP="00C45CC6">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s-CR"/>
              </w:rPr>
            </w:pPr>
            <w:r w:rsidRPr="00A8066D">
              <w:rPr>
                <w:sz w:val="22"/>
                <w:szCs w:val="22"/>
              </w:rPr>
              <w:t>4</w:t>
            </w:r>
          </w:p>
        </w:tc>
        <w:tc>
          <w:tcPr>
            <w:tcW w:w="1073" w:type="dxa"/>
          </w:tcPr>
          <w:p w14:paraId="59A09C8A" w14:textId="74D1A907" w:rsidR="00C45CC6" w:rsidRPr="00A8066D" w:rsidRDefault="00C45CC6" w:rsidP="00C45CC6">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s-CR"/>
              </w:rPr>
            </w:pPr>
            <w:r w:rsidRPr="00A8066D">
              <w:rPr>
                <w:sz w:val="22"/>
                <w:szCs w:val="22"/>
              </w:rPr>
              <w:t>222</w:t>
            </w:r>
          </w:p>
        </w:tc>
        <w:tc>
          <w:tcPr>
            <w:tcW w:w="1352" w:type="dxa"/>
            <w:noWrap/>
          </w:tcPr>
          <w:p w14:paraId="01A23ACB" w14:textId="77777777" w:rsidR="00C45CC6" w:rsidRPr="00A8066D" w:rsidRDefault="00C45CC6" w:rsidP="00C45CC6">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s-CR"/>
              </w:rPr>
            </w:pPr>
            <w:r w:rsidRPr="00A8066D">
              <w:rPr>
                <w:sz w:val="22"/>
                <w:szCs w:val="22"/>
              </w:rPr>
              <w:t>12,5%</w:t>
            </w:r>
          </w:p>
        </w:tc>
        <w:tc>
          <w:tcPr>
            <w:tcW w:w="1057" w:type="dxa"/>
            <w:noWrap/>
          </w:tcPr>
          <w:p w14:paraId="47B63D5C" w14:textId="77777777" w:rsidR="00C45CC6" w:rsidRPr="00A8066D" w:rsidRDefault="00C45CC6" w:rsidP="00C45CC6">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s-CR"/>
              </w:rPr>
            </w:pPr>
            <w:r w:rsidRPr="00A8066D">
              <w:rPr>
                <w:sz w:val="22"/>
                <w:szCs w:val="22"/>
              </w:rPr>
              <w:t>37,5%**</w:t>
            </w:r>
          </w:p>
        </w:tc>
        <w:tc>
          <w:tcPr>
            <w:tcW w:w="777" w:type="dxa"/>
            <w:noWrap/>
          </w:tcPr>
          <w:p w14:paraId="355CD46E" w14:textId="77777777" w:rsidR="00C45CC6" w:rsidRPr="00A8066D" w:rsidRDefault="00C45CC6" w:rsidP="00C45CC6">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s-CR"/>
              </w:rPr>
            </w:pPr>
            <w:r w:rsidRPr="00A8066D">
              <w:rPr>
                <w:sz w:val="22"/>
                <w:szCs w:val="22"/>
              </w:rPr>
              <w:t>0%</w:t>
            </w:r>
          </w:p>
        </w:tc>
        <w:tc>
          <w:tcPr>
            <w:tcW w:w="1066" w:type="dxa"/>
            <w:noWrap/>
          </w:tcPr>
          <w:p w14:paraId="454E5561" w14:textId="06CC0FDE" w:rsidR="00C45CC6" w:rsidRPr="00A8066D" w:rsidRDefault="00C45CC6" w:rsidP="00C45CC6">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s-CR"/>
              </w:rPr>
            </w:pPr>
            <w:r w:rsidRPr="00A8066D">
              <w:rPr>
                <w:sz w:val="22"/>
                <w:szCs w:val="22"/>
              </w:rPr>
              <w:t xml:space="preserve"> 913 502 </w:t>
            </w:r>
          </w:p>
        </w:tc>
      </w:tr>
      <w:tr w:rsidR="001D586E" w:rsidRPr="00A8066D" w14:paraId="443DA8A4" w14:textId="77777777" w:rsidTr="00A058D6">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10343" w:type="dxa"/>
            <w:gridSpan w:val="7"/>
            <w:noWrap/>
            <w:hideMark/>
          </w:tcPr>
          <w:p w14:paraId="2F5E0048" w14:textId="77777777" w:rsidR="001D586E" w:rsidRPr="00A8066D" w:rsidRDefault="001D586E" w:rsidP="001D586E">
            <w:pPr>
              <w:rPr>
                <w:rFonts w:eastAsia="Times New Roman" w:cs="Calibri"/>
                <w:color w:val="000000"/>
                <w:sz w:val="22"/>
                <w:szCs w:val="22"/>
                <w:lang w:val="es-CR"/>
              </w:rPr>
            </w:pPr>
            <w:r w:rsidRPr="00A8066D">
              <w:rPr>
                <w:rFonts w:eastAsia="Times New Roman" w:cs="Calibri"/>
                <w:color w:val="000000"/>
                <w:sz w:val="22"/>
                <w:szCs w:val="22"/>
                <w:lang w:val="es-CR"/>
              </w:rPr>
              <w:t>Regímenes Ocupacionales Complementarios</w:t>
            </w:r>
          </w:p>
        </w:tc>
      </w:tr>
      <w:tr w:rsidR="00C71859" w:rsidRPr="00A8066D" w14:paraId="33966600" w14:textId="77777777" w:rsidTr="0098391A">
        <w:trPr>
          <w:trHeight w:val="260"/>
          <w:jc w:val="center"/>
        </w:trPr>
        <w:tc>
          <w:tcPr>
            <w:cnfStyle w:val="001000000000" w:firstRow="0" w:lastRow="0" w:firstColumn="1" w:lastColumn="0" w:oddVBand="0" w:evenVBand="0" w:oddHBand="0" w:evenHBand="0" w:firstRowFirstColumn="0" w:firstRowLastColumn="0" w:lastRowFirstColumn="0" w:lastRowLastColumn="0"/>
            <w:tcW w:w="3912" w:type="dxa"/>
            <w:noWrap/>
            <w:hideMark/>
          </w:tcPr>
          <w:p w14:paraId="0C7B774B" w14:textId="7096474A" w:rsidR="00C71859" w:rsidRPr="00A8066D" w:rsidRDefault="00C71859" w:rsidP="00C71859">
            <w:pPr>
              <w:rPr>
                <w:rFonts w:eastAsia="Times New Roman" w:cs="Calibri"/>
                <w:color w:val="000000"/>
                <w:sz w:val="22"/>
                <w:szCs w:val="22"/>
                <w:lang w:val="es-CR"/>
              </w:rPr>
            </w:pPr>
            <w:r w:rsidRPr="00A8066D">
              <w:rPr>
                <w:rFonts w:eastAsia="Times New Roman" w:cs="Calibri"/>
                <w:color w:val="000000"/>
                <w:sz w:val="22"/>
                <w:szCs w:val="22"/>
                <w:lang w:val="es-CR"/>
              </w:rPr>
              <w:t xml:space="preserve">   FBNCR </w:t>
            </w:r>
          </w:p>
        </w:tc>
        <w:tc>
          <w:tcPr>
            <w:tcW w:w="1106" w:type="dxa"/>
            <w:hideMark/>
          </w:tcPr>
          <w:p w14:paraId="779C384F" w14:textId="31590127" w:rsidR="00C71859" w:rsidRPr="00A8066D" w:rsidRDefault="00C71859" w:rsidP="00C71859">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s-CR"/>
              </w:rPr>
            </w:pPr>
            <w:r w:rsidRPr="00A8066D">
              <w:rPr>
                <w:sz w:val="22"/>
                <w:szCs w:val="22"/>
              </w:rPr>
              <w:t>5 140</w:t>
            </w:r>
          </w:p>
        </w:tc>
        <w:tc>
          <w:tcPr>
            <w:tcW w:w="1073" w:type="dxa"/>
            <w:hideMark/>
          </w:tcPr>
          <w:p w14:paraId="3F291427" w14:textId="6916A617" w:rsidR="00C71859" w:rsidRPr="00A8066D" w:rsidRDefault="00C71859" w:rsidP="00C71859">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s-CR"/>
              </w:rPr>
            </w:pPr>
            <w:r w:rsidRPr="00A8066D">
              <w:rPr>
                <w:sz w:val="22"/>
                <w:szCs w:val="22"/>
              </w:rPr>
              <w:t>1 571</w:t>
            </w:r>
          </w:p>
        </w:tc>
        <w:tc>
          <w:tcPr>
            <w:tcW w:w="1352" w:type="dxa"/>
            <w:noWrap/>
            <w:hideMark/>
          </w:tcPr>
          <w:p w14:paraId="25F6F3E9" w14:textId="60CA7C21" w:rsidR="00C71859" w:rsidRPr="00A8066D" w:rsidRDefault="00C71859" w:rsidP="00C71859">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s-CR"/>
              </w:rPr>
            </w:pPr>
            <w:r w:rsidRPr="00A8066D">
              <w:rPr>
                <w:rFonts w:eastAsia="Times New Roman" w:cs="Calibri"/>
                <w:color w:val="000000"/>
                <w:sz w:val="22"/>
                <w:szCs w:val="22"/>
                <w:lang w:val="es-CR"/>
              </w:rPr>
              <w:t>5</w:t>
            </w:r>
            <w:r w:rsidR="002C3C3C" w:rsidRPr="00A8066D">
              <w:rPr>
                <w:rFonts w:eastAsia="Times New Roman" w:cs="Calibri"/>
                <w:color w:val="000000"/>
                <w:sz w:val="22"/>
                <w:szCs w:val="22"/>
                <w:lang w:val="es-CR"/>
              </w:rPr>
              <w:t>,5</w:t>
            </w:r>
            <w:r w:rsidRPr="00A8066D">
              <w:rPr>
                <w:rFonts w:eastAsia="Times New Roman" w:cs="Calibri"/>
                <w:color w:val="000000"/>
                <w:sz w:val="22"/>
                <w:szCs w:val="22"/>
                <w:lang w:val="es-CR"/>
              </w:rPr>
              <w:t>%</w:t>
            </w:r>
          </w:p>
        </w:tc>
        <w:tc>
          <w:tcPr>
            <w:tcW w:w="1057" w:type="dxa"/>
            <w:noWrap/>
            <w:hideMark/>
          </w:tcPr>
          <w:p w14:paraId="0DF80006" w14:textId="77777777" w:rsidR="00C71859" w:rsidRPr="00A8066D" w:rsidRDefault="00C71859" w:rsidP="00C71859">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s-CR"/>
              </w:rPr>
            </w:pPr>
            <w:r w:rsidRPr="00A8066D">
              <w:rPr>
                <w:rFonts w:eastAsia="Times New Roman" w:cs="Calibri"/>
                <w:color w:val="000000"/>
                <w:sz w:val="22"/>
                <w:szCs w:val="22"/>
                <w:lang w:val="es-CR"/>
              </w:rPr>
              <w:t>10%</w:t>
            </w:r>
          </w:p>
        </w:tc>
        <w:tc>
          <w:tcPr>
            <w:tcW w:w="777" w:type="dxa"/>
            <w:noWrap/>
            <w:hideMark/>
          </w:tcPr>
          <w:p w14:paraId="7E259981" w14:textId="77777777" w:rsidR="00C71859" w:rsidRPr="00A8066D" w:rsidRDefault="00C71859" w:rsidP="00C71859">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s-CR"/>
              </w:rPr>
            </w:pPr>
            <w:r w:rsidRPr="00A8066D">
              <w:rPr>
                <w:rFonts w:eastAsia="Times New Roman" w:cs="Calibri"/>
                <w:color w:val="000000"/>
                <w:sz w:val="22"/>
                <w:szCs w:val="22"/>
                <w:lang w:val="es-CR"/>
              </w:rPr>
              <w:t>0%</w:t>
            </w:r>
          </w:p>
        </w:tc>
        <w:tc>
          <w:tcPr>
            <w:tcW w:w="1066" w:type="dxa"/>
            <w:noWrap/>
            <w:hideMark/>
          </w:tcPr>
          <w:p w14:paraId="037ED3F7" w14:textId="2E477526" w:rsidR="00C71859" w:rsidRPr="00A8066D" w:rsidRDefault="00C71859" w:rsidP="00C71859">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s-CR"/>
              </w:rPr>
            </w:pPr>
            <w:r w:rsidRPr="00A8066D">
              <w:rPr>
                <w:sz w:val="22"/>
                <w:szCs w:val="22"/>
              </w:rPr>
              <w:t xml:space="preserve"> 750 603 </w:t>
            </w:r>
          </w:p>
        </w:tc>
      </w:tr>
      <w:tr w:rsidR="00C71859" w:rsidRPr="00A8066D" w14:paraId="5045F69A" w14:textId="77777777" w:rsidTr="0098391A">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3912" w:type="dxa"/>
            <w:noWrap/>
            <w:hideMark/>
          </w:tcPr>
          <w:p w14:paraId="2BD3DB7A" w14:textId="482BBB3F" w:rsidR="00C71859" w:rsidRPr="00A8066D" w:rsidRDefault="00C71859" w:rsidP="00C71859">
            <w:pPr>
              <w:rPr>
                <w:rFonts w:eastAsia="Times New Roman" w:cs="Calibri"/>
                <w:color w:val="000000"/>
                <w:sz w:val="22"/>
                <w:szCs w:val="22"/>
                <w:lang w:val="es-CR"/>
              </w:rPr>
            </w:pPr>
            <w:r w:rsidRPr="00A8066D">
              <w:rPr>
                <w:rFonts w:eastAsia="Times New Roman" w:cs="Calibri"/>
                <w:color w:val="000000"/>
                <w:sz w:val="22"/>
                <w:szCs w:val="22"/>
                <w:lang w:val="es-CR"/>
              </w:rPr>
              <w:t xml:space="preserve">   FICE</w:t>
            </w:r>
          </w:p>
        </w:tc>
        <w:tc>
          <w:tcPr>
            <w:tcW w:w="1106" w:type="dxa"/>
            <w:hideMark/>
          </w:tcPr>
          <w:p w14:paraId="7997AA1D" w14:textId="71A0F632" w:rsidR="00C71859" w:rsidRPr="00A8066D" w:rsidRDefault="00C71859" w:rsidP="00C71859">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val="es-CR"/>
              </w:rPr>
            </w:pPr>
            <w:r w:rsidRPr="00A8066D">
              <w:rPr>
                <w:sz w:val="22"/>
                <w:szCs w:val="22"/>
              </w:rPr>
              <w:t>12 070</w:t>
            </w:r>
          </w:p>
        </w:tc>
        <w:tc>
          <w:tcPr>
            <w:tcW w:w="1073" w:type="dxa"/>
            <w:hideMark/>
          </w:tcPr>
          <w:p w14:paraId="4A660FB9" w14:textId="0F5780E7" w:rsidR="00C71859" w:rsidRPr="00A8066D" w:rsidRDefault="00C71859" w:rsidP="00C71859">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val="es-CR"/>
              </w:rPr>
            </w:pPr>
            <w:r w:rsidRPr="00A8066D">
              <w:rPr>
                <w:sz w:val="22"/>
                <w:szCs w:val="22"/>
              </w:rPr>
              <w:t>4 227</w:t>
            </w:r>
          </w:p>
        </w:tc>
        <w:tc>
          <w:tcPr>
            <w:tcW w:w="1352" w:type="dxa"/>
            <w:noWrap/>
            <w:hideMark/>
          </w:tcPr>
          <w:p w14:paraId="48760958" w14:textId="77777777" w:rsidR="00C71859" w:rsidRPr="00A8066D" w:rsidRDefault="00C71859" w:rsidP="00C71859">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val="es-CR"/>
              </w:rPr>
            </w:pPr>
            <w:r w:rsidRPr="00A8066D">
              <w:rPr>
                <w:rFonts w:eastAsia="Times New Roman" w:cs="Calibri"/>
                <w:color w:val="000000"/>
                <w:sz w:val="22"/>
                <w:szCs w:val="22"/>
                <w:lang w:val="es-CR"/>
              </w:rPr>
              <w:t>1%</w:t>
            </w:r>
          </w:p>
        </w:tc>
        <w:tc>
          <w:tcPr>
            <w:tcW w:w="1057" w:type="dxa"/>
            <w:noWrap/>
            <w:hideMark/>
          </w:tcPr>
          <w:p w14:paraId="73514657" w14:textId="77777777" w:rsidR="00C71859" w:rsidRPr="00A8066D" w:rsidRDefault="00C71859" w:rsidP="00C71859">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val="es-CR"/>
              </w:rPr>
            </w:pPr>
            <w:r w:rsidRPr="00A8066D">
              <w:rPr>
                <w:rFonts w:eastAsia="Times New Roman" w:cs="Calibri"/>
                <w:color w:val="000000"/>
                <w:sz w:val="22"/>
                <w:szCs w:val="22"/>
                <w:lang w:val="es-CR"/>
              </w:rPr>
              <w:t>4,5%</w:t>
            </w:r>
          </w:p>
        </w:tc>
        <w:tc>
          <w:tcPr>
            <w:tcW w:w="777" w:type="dxa"/>
            <w:noWrap/>
            <w:hideMark/>
          </w:tcPr>
          <w:p w14:paraId="10045B7D" w14:textId="77777777" w:rsidR="00C71859" w:rsidRPr="00A8066D" w:rsidRDefault="00C71859" w:rsidP="00C71859">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val="es-CR"/>
              </w:rPr>
            </w:pPr>
            <w:r w:rsidRPr="00A8066D">
              <w:rPr>
                <w:rFonts w:eastAsia="Times New Roman" w:cs="Calibri"/>
                <w:color w:val="000000"/>
                <w:sz w:val="22"/>
                <w:szCs w:val="22"/>
                <w:lang w:val="es-CR"/>
              </w:rPr>
              <w:t>0%</w:t>
            </w:r>
          </w:p>
        </w:tc>
        <w:tc>
          <w:tcPr>
            <w:tcW w:w="1066" w:type="dxa"/>
            <w:noWrap/>
            <w:hideMark/>
          </w:tcPr>
          <w:p w14:paraId="123682D6" w14:textId="11D80072" w:rsidR="00C71859" w:rsidRPr="00A8066D" w:rsidRDefault="00C71859" w:rsidP="00C71859">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val="es-CR"/>
              </w:rPr>
            </w:pPr>
            <w:r w:rsidRPr="00A8066D">
              <w:rPr>
                <w:sz w:val="22"/>
                <w:szCs w:val="22"/>
              </w:rPr>
              <w:t xml:space="preserve"> 280 182 </w:t>
            </w:r>
          </w:p>
        </w:tc>
      </w:tr>
      <w:tr w:rsidR="00C71859" w:rsidRPr="00A8066D" w14:paraId="0A244BE5" w14:textId="77777777" w:rsidTr="0098391A">
        <w:trPr>
          <w:trHeight w:val="260"/>
          <w:jc w:val="center"/>
        </w:trPr>
        <w:tc>
          <w:tcPr>
            <w:cnfStyle w:val="001000000000" w:firstRow="0" w:lastRow="0" w:firstColumn="1" w:lastColumn="0" w:oddVBand="0" w:evenVBand="0" w:oddHBand="0" w:evenHBand="0" w:firstRowFirstColumn="0" w:firstRowLastColumn="0" w:lastRowFirstColumn="0" w:lastRowLastColumn="0"/>
            <w:tcW w:w="3912" w:type="dxa"/>
            <w:noWrap/>
            <w:hideMark/>
          </w:tcPr>
          <w:p w14:paraId="271247E4" w14:textId="7E88FC6F" w:rsidR="00C71859" w:rsidRPr="00A8066D" w:rsidRDefault="00C71859" w:rsidP="00C71859">
            <w:pPr>
              <w:rPr>
                <w:rFonts w:eastAsia="Times New Roman" w:cs="Calibri"/>
                <w:color w:val="000000"/>
                <w:sz w:val="22"/>
                <w:szCs w:val="22"/>
                <w:lang w:val="es-CR"/>
              </w:rPr>
            </w:pPr>
            <w:r w:rsidRPr="00A8066D">
              <w:rPr>
                <w:rFonts w:eastAsia="Times New Roman" w:cs="Calibri"/>
                <w:color w:val="000000"/>
                <w:sz w:val="22"/>
                <w:szCs w:val="22"/>
                <w:lang w:val="es-CR"/>
              </w:rPr>
              <w:t xml:space="preserve">   FRE</w:t>
            </w:r>
          </w:p>
        </w:tc>
        <w:tc>
          <w:tcPr>
            <w:tcW w:w="1106" w:type="dxa"/>
            <w:hideMark/>
          </w:tcPr>
          <w:p w14:paraId="035CB66C" w14:textId="29B35CC4" w:rsidR="00C71859" w:rsidRPr="00A8066D" w:rsidRDefault="00C71859" w:rsidP="00C71859">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s-CR"/>
              </w:rPr>
            </w:pPr>
            <w:r w:rsidRPr="00A8066D">
              <w:rPr>
                <w:sz w:val="22"/>
                <w:szCs w:val="22"/>
              </w:rPr>
              <w:t>57 134</w:t>
            </w:r>
          </w:p>
        </w:tc>
        <w:tc>
          <w:tcPr>
            <w:tcW w:w="1073" w:type="dxa"/>
            <w:hideMark/>
          </w:tcPr>
          <w:p w14:paraId="16CEF061" w14:textId="083BE3F6" w:rsidR="00C71859" w:rsidRPr="00A8066D" w:rsidRDefault="00C71859" w:rsidP="00C71859">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s-CR"/>
              </w:rPr>
            </w:pPr>
            <w:r w:rsidRPr="00A8066D">
              <w:rPr>
                <w:sz w:val="22"/>
                <w:szCs w:val="22"/>
              </w:rPr>
              <w:t>18 049</w:t>
            </w:r>
          </w:p>
        </w:tc>
        <w:tc>
          <w:tcPr>
            <w:tcW w:w="1352" w:type="dxa"/>
            <w:noWrap/>
            <w:hideMark/>
          </w:tcPr>
          <w:p w14:paraId="1BE873FC" w14:textId="77777777" w:rsidR="00C71859" w:rsidRPr="00A8066D" w:rsidRDefault="00C71859" w:rsidP="00C71859">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s-CR"/>
              </w:rPr>
            </w:pPr>
            <w:r w:rsidRPr="00A8066D">
              <w:rPr>
                <w:rFonts w:eastAsia="Times New Roman" w:cs="Calibri"/>
                <w:color w:val="000000"/>
                <w:sz w:val="22"/>
                <w:szCs w:val="22"/>
                <w:lang w:val="es-CR"/>
              </w:rPr>
              <w:t>0%</w:t>
            </w:r>
          </w:p>
        </w:tc>
        <w:tc>
          <w:tcPr>
            <w:tcW w:w="1057" w:type="dxa"/>
            <w:noWrap/>
            <w:hideMark/>
          </w:tcPr>
          <w:p w14:paraId="3FB64D9C" w14:textId="77777777" w:rsidR="00C71859" w:rsidRPr="00A8066D" w:rsidRDefault="00C71859" w:rsidP="00C71859">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s-CR"/>
              </w:rPr>
            </w:pPr>
            <w:r w:rsidRPr="00A8066D">
              <w:rPr>
                <w:rFonts w:eastAsia="Times New Roman" w:cs="Calibri"/>
                <w:color w:val="000000"/>
                <w:sz w:val="22"/>
                <w:szCs w:val="22"/>
                <w:lang w:val="es-CR"/>
              </w:rPr>
              <w:t>2%</w:t>
            </w:r>
          </w:p>
        </w:tc>
        <w:tc>
          <w:tcPr>
            <w:tcW w:w="777" w:type="dxa"/>
            <w:noWrap/>
            <w:hideMark/>
          </w:tcPr>
          <w:p w14:paraId="4FCC22F3" w14:textId="77777777" w:rsidR="00C71859" w:rsidRPr="00A8066D" w:rsidRDefault="00C71859" w:rsidP="00C71859">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s-CR"/>
              </w:rPr>
            </w:pPr>
            <w:r w:rsidRPr="00A8066D">
              <w:rPr>
                <w:rFonts w:eastAsia="Times New Roman" w:cs="Calibri"/>
                <w:color w:val="000000"/>
                <w:sz w:val="22"/>
                <w:szCs w:val="22"/>
                <w:lang w:val="es-CR"/>
              </w:rPr>
              <w:t>0%</w:t>
            </w:r>
          </w:p>
        </w:tc>
        <w:tc>
          <w:tcPr>
            <w:tcW w:w="1066" w:type="dxa"/>
            <w:noWrap/>
            <w:hideMark/>
          </w:tcPr>
          <w:p w14:paraId="6565B6D7" w14:textId="5ECF3BE4" w:rsidR="00C71859" w:rsidRPr="00A8066D" w:rsidRDefault="00C71859" w:rsidP="00C71859">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s-CR"/>
              </w:rPr>
            </w:pPr>
            <w:r w:rsidRPr="00A8066D">
              <w:rPr>
                <w:sz w:val="22"/>
                <w:szCs w:val="22"/>
              </w:rPr>
              <w:t xml:space="preserve"> 129 489 </w:t>
            </w:r>
          </w:p>
        </w:tc>
      </w:tr>
      <w:tr w:rsidR="005170D8" w:rsidRPr="00A8066D" w14:paraId="4FBDEE36" w14:textId="77777777" w:rsidTr="0098391A">
        <w:trPr>
          <w:cnfStyle w:val="000000100000" w:firstRow="0" w:lastRow="0" w:firstColumn="0" w:lastColumn="0" w:oddVBand="0" w:evenVBand="0" w:oddHBand="1" w:evenHBand="0" w:firstRowFirstColumn="0" w:firstRowLastColumn="0" w:lastRowFirstColumn="0" w:lastRowLastColumn="0"/>
          <w:trHeight w:val="547"/>
          <w:jc w:val="center"/>
        </w:trPr>
        <w:tc>
          <w:tcPr>
            <w:cnfStyle w:val="001000000000" w:firstRow="0" w:lastRow="0" w:firstColumn="1" w:lastColumn="0" w:oddVBand="0" w:evenVBand="0" w:oddHBand="0" w:evenHBand="0" w:firstRowFirstColumn="0" w:firstRowLastColumn="0" w:lastRowFirstColumn="0" w:lastRowLastColumn="0"/>
            <w:tcW w:w="3912" w:type="dxa"/>
            <w:noWrap/>
            <w:vAlign w:val="center"/>
            <w:hideMark/>
          </w:tcPr>
          <w:p w14:paraId="2D805859" w14:textId="322BFC97" w:rsidR="005170D8" w:rsidRPr="00A8066D" w:rsidRDefault="005170D8" w:rsidP="005170D8">
            <w:pPr>
              <w:rPr>
                <w:rFonts w:eastAsia="Times New Roman" w:cs="Calibri"/>
                <w:color w:val="000000"/>
                <w:sz w:val="22"/>
                <w:szCs w:val="22"/>
                <w:lang w:val="es-CR"/>
              </w:rPr>
            </w:pPr>
            <w:r w:rsidRPr="00A8066D">
              <w:rPr>
                <w:rFonts w:eastAsia="Times New Roman" w:cs="Calibri"/>
                <w:color w:val="000000"/>
                <w:sz w:val="22"/>
                <w:szCs w:val="22"/>
                <w:lang w:val="es-CR"/>
              </w:rPr>
              <w:t xml:space="preserve">   FVENTLOT</w:t>
            </w:r>
          </w:p>
        </w:tc>
        <w:tc>
          <w:tcPr>
            <w:tcW w:w="1106" w:type="dxa"/>
            <w:vAlign w:val="center"/>
            <w:hideMark/>
          </w:tcPr>
          <w:p w14:paraId="2FCA251A" w14:textId="12AFAB9A" w:rsidR="005170D8" w:rsidRPr="00A8066D" w:rsidRDefault="005170D8" w:rsidP="005170D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val="es-CR"/>
              </w:rPr>
            </w:pPr>
            <w:r w:rsidRPr="00A8066D">
              <w:rPr>
                <w:sz w:val="22"/>
                <w:szCs w:val="22"/>
              </w:rPr>
              <w:t>1 828</w:t>
            </w:r>
          </w:p>
        </w:tc>
        <w:tc>
          <w:tcPr>
            <w:tcW w:w="1073" w:type="dxa"/>
            <w:vAlign w:val="center"/>
            <w:hideMark/>
          </w:tcPr>
          <w:p w14:paraId="78FE16F5" w14:textId="3BD7CC1E" w:rsidR="005170D8" w:rsidRPr="00A8066D" w:rsidRDefault="005170D8" w:rsidP="005170D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val="es-CR"/>
              </w:rPr>
            </w:pPr>
            <w:r w:rsidRPr="00A8066D">
              <w:rPr>
                <w:sz w:val="22"/>
                <w:szCs w:val="22"/>
              </w:rPr>
              <w:t>451</w:t>
            </w:r>
          </w:p>
        </w:tc>
        <w:tc>
          <w:tcPr>
            <w:tcW w:w="1352" w:type="dxa"/>
            <w:vAlign w:val="center"/>
            <w:hideMark/>
          </w:tcPr>
          <w:p w14:paraId="46C39DE7" w14:textId="77777777" w:rsidR="005170D8" w:rsidRPr="00A8066D" w:rsidRDefault="005170D8" w:rsidP="005170D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s-CR"/>
              </w:rPr>
            </w:pPr>
            <w:r w:rsidRPr="00A8066D">
              <w:rPr>
                <w:rFonts w:eastAsia="Times New Roman" w:cs="Calibri"/>
                <w:color w:val="000000"/>
                <w:sz w:val="18"/>
                <w:szCs w:val="18"/>
                <w:lang w:val="es-CR"/>
              </w:rPr>
              <w:t>0,25% del monto aportado por Patrono</w:t>
            </w:r>
          </w:p>
        </w:tc>
        <w:tc>
          <w:tcPr>
            <w:tcW w:w="1057" w:type="dxa"/>
            <w:vAlign w:val="center"/>
            <w:hideMark/>
          </w:tcPr>
          <w:p w14:paraId="598D8C25" w14:textId="77777777" w:rsidR="005170D8" w:rsidRPr="00A8066D" w:rsidRDefault="005170D8" w:rsidP="005170D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s-CR"/>
              </w:rPr>
            </w:pPr>
            <w:r w:rsidRPr="00A8066D">
              <w:rPr>
                <w:rFonts w:eastAsia="Times New Roman" w:cs="Calibri"/>
                <w:color w:val="000000"/>
                <w:sz w:val="18"/>
                <w:szCs w:val="18"/>
                <w:lang w:val="es-CR"/>
              </w:rPr>
              <w:t>1% de ventas de lotería</w:t>
            </w:r>
          </w:p>
        </w:tc>
        <w:tc>
          <w:tcPr>
            <w:tcW w:w="777" w:type="dxa"/>
            <w:noWrap/>
            <w:vAlign w:val="center"/>
            <w:hideMark/>
          </w:tcPr>
          <w:p w14:paraId="2646507E" w14:textId="77777777" w:rsidR="005170D8" w:rsidRPr="00A8066D" w:rsidRDefault="005170D8" w:rsidP="005170D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val="es-CR"/>
              </w:rPr>
            </w:pPr>
            <w:r w:rsidRPr="00A8066D">
              <w:rPr>
                <w:rFonts w:eastAsia="Times New Roman" w:cs="Calibri"/>
                <w:color w:val="000000"/>
                <w:sz w:val="22"/>
                <w:szCs w:val="22"/>
                <w:lang w:val="es-CR"/>
              </w:rPr>
              <w:t>0%</w:t>
            </w:r>
          </w:p>
        </w:tc>
        <w:tc>
          <w:tcPr>
            <w:tcW w:w="1066" w:type="dxa"/>
            <w:noWrap/>
            <w:vAlign w:val="center"/>
            <w:hideMark/>
          </w:tcPr>
          <w:p w14:paraId="728ABE92" w14:textId="71838053" w:rsidR="005170D8" w:rsidRPr="00A8066D" w:rsidRDefault="005170D8" w:rsidP="005170D8">
            <w:pPr>
              <w:jc w:val="right"/>
              <w:cnfStyle w:val="000000100000" w:firstRow="0" w:lastRow="0" w:firstColumn="0" w:lastColumn="0" w:oddVBand="0" w:evenVBand="0" w:oddHBand="1" w:evenHBand="0" w:firstRowFirstColumn="0" w:firstRowLastColumn="0" w:lastRowFirstColumn="0" w:lastRowLastColumn="0"/>
              <w:rPr>
                <w:sz w:val="22"/>
                <w:szCs w:val="22"/>
              </w:rPr>
            </w:pPr>
            <w:r w:rsidRPr="00A8066D">
              <w:rPr>
                <w:sz w:val="22"/>
                <w:szCs w:val="22"/>
              </w:rPr>
              <w:t xml:space="preserve"> </w:t>
            </w:r>
            <w:r w:rsidRPr="00A8066D">
              <w:rPr>
                <w:rFonts w:eastAsia="Times New Roman" w:cs="Calibri"/>
                <w:color w:val="000000"/>
                <w:sz w:val="22"/>
                <w:szCs w:val="22"/>
                <w:lang w:val="es-CR"/>
              </w:rPr>
              <w:t>144</w:t>
            </w:r>
            <w:r w:rsidRPr="00A8066D">
              <w:rPr>
                <w:sz w:val="22"/>
                <w:szCs w:val="22"/>
              </w:rPr>
              <w:t xml:space="preserve"> 200</w:t>
            </w:r>
          </w:p>
        </w:tc>
      </w:tr>
      <w:tr w:rsidR="005170D8" w:rsidRPr="00A8066D" w14:paraId="19D02544" w14:textId="77777777" w:rsidTr="0098391A">
        <w:trPr>
          <w:trHeight w:val="55"/>
          <w:jc w:val="center"/>
        </w:trPr>
        <w:tc>
          <w:tcPr>
            <w:cnfStyle w:val="001000000000" w:firstRow="0" w:lastRow="0" w:firstColumn="1" w:lastColumn="0" w:oddVBand="0" w:evenVBand="0" w:oddHBand="0" w:evenHBand="0" w:firstRowFirstColumn="0" w:firstRowLastColumn="0" w:lastRowFirstColumn="0" w:lastRowLastColumn="0"/>
            <w:tcW w:w="3912" w:type="dxa"/>
            <w:noWrap/>
          </w:tcPr>
          <w:p w14:paraId="44685B2B" w14:textId="7868EA8C" w:rsidR="005170D8" w:rsidRPr="00A8066D" w:rsidRDefault="005170D8" w:rsidP="005170D8">
            <w:pPr>
              <w:rPr>
                <w:rFonts w:eastAsia="Times New Roman" w:cs="Calibri"/>
                <w:color w:val="000000"/>
                <w:sz w:val="22"/>
                <w:szCs w:val="22"/>
                <w:lang w:val="es-CR"/>
              </w:rPr>
            </w:pPr>
            <w:r w:rsidRPr="00A8066D">
              <w:rPr>
                <w:rFonts w:eastAsia="Times New Roman" w:cs="Calibri"/>
                <w:color w:val="000000"/>
                <w:sz w:val="22"/>
                <w:szCs w:val="22"/>
                <w:lang w:val="es-CR"/>
              </w:rPr>
              <w:t xml:space="preserve">   FBCR</w:t>
            </w:r>
          </w:p>
        </w:tc>
        <w:tc>
          <w:tcPr>
            <w:tcW w:w="1106" w:type="dxa"/>
            <w:vAlign w:val="center"/>
          </w:tcPr>
          <w:p w14:paraId="727E5A62" w14:textId="061B4221" w:rsidR="005170D8" w:rsidRPr="00A8066D" w:rsidRDefault="005170D8" w:rsidP="005170D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s-CR"/>
              </w:rPr>
            </w:pPr>
            <w:r w:rsidRPr="00A8066D">
              <w:rPr>
                <w:sz w:val="22"/>
                <w:szCs w:val="22"/>
              </w:rPr>
              <w:t>3 965</w:t>
            </w:r>
          </w:p>
        </w:tc>
        <w:tc>
          <w:tcPr>
            <w:tcW w:w="1073" w:type="dxa"/>
            <w:vAlign w:val="center"/>
          </w:tcPr>
          <w:p w14:paraId="745E52AA" w14:textId="372F3506" w:rsidR="005170D8" w:rsidRPr="00A8066D" w:rsidRDefault="005170D8" w:rsidP="005170D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s-CR"/>
              </w:rPr>
            </w:pPr>
            <w:r w:rsidRPr="00A8066D">
              <w:rPr>
                <w:sz w:val="22"/>
                <w:szCs w:val="22"/>
              </w:rPr>
              <w:t>8</w:t>
            </w:r>
          </w:p>
        </w:tc>
        <w:tc>
          <w:tcPr>
            <w:tcW w:w="1352" w:type="dxa"/>
            <w:noWrap/>
          </w:tcPr>
          <w:p w14:paraId="619647B4" w14:textId="77777777" w:rsidR="005170D8" w:rsidRPr="00A8066D" w:rsidRDefault="005170D8" w:rsidP="005170D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s-CR"/>
              </w:rPr>
            </w:pPr>
            <w:r w:rsidRPr="00A8066D">
              <w:rPr>
                <w:rFonts w:eastAsia="Times New Roman" w:cs="Calibri"/>
                <w:color w:val="000000"/>
                <w:sz w:val="22"/>
                <w:szCs w:val="22"/>
                <w:lang w:val="es-CR"/>
              </w:rPr>
              <w:t>0,5%</w:t>
            </w:r>
          </w:p>
        </w:tc>
        <w:tc>
          <w:tcPr>
            <w:tcW w:w="1057" w:type="dxa"/>
            <w:noWrap/>
          </w:tcPr>
          <w:p w14:paraId="5D49BFA5" w14:textId="77777777" w:rsidR="005170D8" w:rsidRPr="00A8066D" w:rsidRDefault="005170D8" w:rsidP="005170D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s-CR"/>
              </w:rPr>
            </w:pPr>
            <w:r w:rsidRPr="00A8066D">
              <w:rPr>
                <w:rFonts w:eastAsia="Times New Roman" w:cs="Calibri"/>
                <w:color w:val="000000"/>
                <w:sz w:val="22"/>
                <w:szCs w:val="22"/>
                <w:lang w:val="es-CR"/>
              </w:rPr>
              <w:t>10%</w:t>
            </w:r>
          </w:p>
        </w:tc>
        <w:tc>
          <w:tcPr>
            <w:tcW w:w="777" w:type="dxa"/>
            <w:noWrap/>
          </w:tcPr>
          <w:p w14:paraId="714A156C" w14:textId="77777777" w:rsidR="005170D8" w:rsidRPr="00A8066D" w:rsidRDefault="005170D8" w:rsidP="005170D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s-CR"/>
              </w:rPr>
            </w:pPr>
            <w:r w:rsidRPr="00A8066D">
              <w:rPr>
                <w:rFonts w:eastAsia="Times New Roman" w:cs="Calibri"/>
                <w:color w:val="000000"/>
                <w:sz w:val="22"/>
                <w:szCs w:val="22"/>
                <w:lang w:val="es-CR"/>
              </w:rPr>
              <w:t>0%</w:t>
            </w:r>
          </w:p>
        </w:tc>
        <w:tc>
          <w:tcPr>
            <w:tcW w:w="1066" w:type="dxa"/>
            <w:noWrap/>
          </w:tcPr>
          <w:p w14:paraId="4224D36F" w14:textId="77777777" w:rsidR="005170D8" w:rsidRPr="00A8066D" w:rsidRDefault="005170D8" w:rsidP="005170D8">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s-CR"/>
              </w:rPr>
            </w:pPr>
            <w:r w:rsidRPr="00A8066D">
              <w:rPr>
                <w:rFonts w:eastAsia="Times New Roman" w:cs="Calibri"/>
                <w:color w:val="000000"/>
                <w:sz w:val="22"/>
                <w:szCs w:val="22"/>
                <w:lang w:val="es-CR"/>
              </w:rPr>
              <w:t>162 313</w:t>
            </w:r>
          </w:p>
        </w:tc>
      </w:tr>
      <w:tr w:rsidR="00724362" w:rsidRPr="00A8066D" w14:paraId="415F742E" w14:textId="77777777" w:rsidTr="0098391A">
        <w:trPr>
          <w:cnfStyle w:val="000000100000" w:firstRow="0" w:lastRow="0" w:firstColumn="0" w:lastColumn="0" w:oddVBand="0" w:evenVBand="0" w:oddHBand="1" w:evenHBand="0" w:firstRowFirstColumn="0" w:firstRowLastColumn="0" w:lastRowFirstColumn="0" w:lastRowLastColumn="0"/>
          <w:trHeight w:val="55"/>
          <w:jc w:val="center"/>
        </w:trPr>
        <w:tc>
          <w:tcPr>
            <w:cnfStyle w:val="001000000000" w:firstRow="0" w:lastRow="0" w:firstColumn="1" w:lastColumn="0" w:oddVBand="0" w:evenVBand="0" w:oddHBand="0" w:evenHBand="0" w:firstRowFirstColumn="0" w:firstRowLastColumn="0" w:lastRowFirstColumn="0" w:lastRowLastColumn="0"/>
            <w:tcW w:w="3912" w:type="dxa"/>
            <w:noWrap/>
          </w:tcPr>
          <w:p w14:paraId="6132504F" w14:textId="52169C2D" w:rsidR="00724362" w:rsidRPr="00A8066D" w:rsidRDefault="00D142B9" w:rsidP="00724362">
            <w:pPr>
              <w:rPr>
                <w:rFonts w:eastAsia="Times New Roman" w:cs="Calibri"/>
                <w:color w:val="000000"/>
                <w:sz w:val="22"/>
                <w:szCs w:val="22"/>
                <w:lang w:val="es-CR"/>
              </w:rPr>
            </w:pPr>
            <w:r w:rsidRPr="00A8066D">
              <w:rPr>
                <w:rFonts w:eastAsia="Times New Roman" w:cs="Calibri"/>
                <w:color w:val="000000"/>
                <w:sz w:val="22"/>
                <w:szCs w:val="22"/>
                <w:lang w:val="es-CR"/>
              </w:rPr>
              <w:t xml:space="preserve">  </w:t>
            </w:r>
            <w:r w:rsidR="00724362" w:rsidRPr="00A8066D">
              <w:rPr>
                <w:rFonts w:eastAsia="Times New Roman" w:cs="Calibri"/>
                <w:color w:val="000000"/>
                <w:sz w:val="22"/>
                <w:szCs w:val="22"/>
                <w:lang w:val="es-CR"/>
              </w:rPr>
              <w:t xml:space="preserve"> FICT</w:t>
            </w:r>
          </w:p>
        </w:tc>
        <w:tc>
          <w:tcPr>
            <w:tcW w:w="1106" w:type="dxa"/>
          </w:tcPr>
          <w:p w14:paraId="623FBFCA" w14:textId="6CC9E34A" w:rsidR="00724362" w:rsidRPr="00A8066D" w:rsidRDefault="00705498" w:rsidP="0070549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val="es-CR"/>
              </w:rPr>
            </w:pPr>
            <w:r w:rsidRPr="00A8066D">
              <w:rPr>
                <w:rFonts w:eastAsia="Times New Roman" w:cs="Calibri"/>
                <w:color w:val="000000"/>
                <w:sz w:val="22"/>
                <w:szCs w:val="22"/>
                <w:lang w:val="es-CR"/>
              </w:rPr>
              <w:t>30</w:t>
            </w:r>
            <w:r w:rsidR="00754086" w:rsidRPr="00A8066D">
              <w:rPr>
                <w:rFonts w:eastAsia="Times New Roman" w:cs="Calibri"/>
                <w:color w:val="000000"/>
                <w:sz w:val="22"/>
                <w:szCs w:val="22"/>
                <w:lang w:val="es-CR"/>
              </w:rPr>
              <w:t>7</w:t>
            </w:r>
          </w:p>
        </w:tc>
        <w:tc>
          <w:tcPr>
            <w:tcW w:w="1073" w:type="dxa"/>
          </w:tcPr>
          <w:p w14:paraId="42AD8119" w14:textId="77777777" w:rsidR="00724362" w:rsidRPr="00A8066D" w:rsidRDefault="00273831" w:rsidP="00724362">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val="es-CR"/>
              </w:rPr>
            </w:pPr>
            <w:r w:rsidRPr="00A8066D">
              <w:rPr>
                <w:rFonts w:eastAsia="Times New Roman" w:cs="Calibri"/>
                <w:color w:val="000000"/>
                <w:sz w:val="22"/>
                <w:szCs w:val="22"/>
                <w:lang w:val="es-CR"/>
              </w:rPr>
              <w:t>0</w:t>
            </w:r>
          </w:p>
        </w:tc>
        <w:tc>
          <w:tcPr>
            <w:tcW w:w="1352" w:type="dxa"/>
            <w:noWrap/>
          </w:tcPr>
          <w:p w14:paraId="153E7852" w14:textId="77777777" w:rsidR="00724362" w:rsidRPr="00A8066D" w:rsidRDefault="00CB145F" w:rsidP="00724362">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val="es-CR"/>
              </w:rPr>
            </w:pPr>
            <w:r w:rsidRPr="00A8066D">
              <w:rPr>
                <w:rFonts w:eastAsia="Times New Roman" w:cs="Calibri"/>
                <w:color w:val="000000"/>
                <w:sz w:val="22"/>
                <w:szCs w:val="22"/>
                <w:lang w:val="es-CR"/>
              </w:rPr>
              <w:t>0%</w:t>
            </w:r>
          </w:p>
        </w:tc>
        <w:tc>
          <w:tcPr>
            <w:tcW w:w="1057" w:type="dxa"/>
            <w:noWrap/>
          </w:tcPr>
          <w:p w14:paraId="189AAC45" w14:textId="77777777" w:rsidR="00724362" w:rsidRPr="00A8066D" w:rsidRDefault="00CB145F" w:rsidP="00724362">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val="es-CR"/>
              </w:rPr>
            </w:pPr>
            <w:r w:rsidRPr="00A8066D">
              <w:rPr>
                <w:rFonts w:eastAsia="Times New Roman" w:cs="Calibri"/>
                <w:color w:val="000000"/>
                <w:sz w:val="22"/>
                <w:szCs w:val="22"/>
                <w:lang w:val="es-CR"/>
              </w:rPr>
              <w:t>5%</w:t>
            </w:r>
          </w:p>
        </w:tc>
        <w:tc>
          <w:tcPr>
            <w:tcW w:w="777" w:type="dxa"/>
            <w:noWrap/>
          </w:tcPr>
          <w:p w14:paraId="00CF9BAD" w14:textId="77777777" w:rsidR="00724362" w:rsidRPr="00A8066D" w:rsidRDefault="000C3D87" w:rsidP="00724362">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val="es-CR"/>
              </w:rPr>
            </w:pPr>
            <w:r w:rsidRPr="00A8066D">
              <w:rPr>
                <w:rFonts w:eastAsia="Times New Roman" w:cs="Calibri"/>
                <w:color w:val="000000"/>
                <w:sz w:val="22"/>
                <w:szCs w:val="22"/>
                <w:lang w:val="es-CR"/>
              </w:rPr>
              <w:t>0%</w:t>
            </w:r>
          </w:p>
        </w:tc>
        <w:tc>
          <w:tcPr>
            <w:tcW w:w="1066" w:type="dxa"/>
            <w:noWrap/>
          </w:tcPr>
          <w:p w14:paraId="3793EFB3" w14:textId="77777777" w:rsidR="00724362" w:rsidRPr="00A8066D" w:rsidRDefault="00AC04A5" w:rsidP="00724362">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val="es-CR"/>
              </w:rPr>
            </w:pPr>
            <w:r w:rsidRPr="00A8066D">
              <w:rPr>
                <w:rFonts w:eastAsia="Times New Roman" w:cs="Calibri"/>
                <w:color w:val="000000"/>
                <w:sz w:val="22"/>
                <w:szCs w:val="22"/>
                <w:lang w:val="es-CR"/>
              </w:rPr>
              <w:t>0</w:t>
            </w:r>
          </w:p>
        </w:tc>
      </w:tr>
      <w:tr w:rsidR="00AE0C13" w:rsidRPr="00A8066D" w14:paraId="78EDCFD0" w14:textId="77777777" w:rsidTr="0098391A">
        <w:trPr>
          <w:trHeight w:val="55"/>
          <w:jc w:val="center"/>
        </w:trPr>
        <w:tc>
          <w:tcPr>
            <w:cnfStyle w:val="001000000000" w:firstRow="0" w:lastRow="0" w:firstColumn="1" w:lastColumn="0" w:oddVBand="0" w:evenVBand="0" w:oddHBand="0" w:evenHBand="0" w:firstRowFirstColumn="0" w:firstRowLastColumn="0" w:lastRowFirstColumn="0" w:lastRowLastColumn="0"/>
            <w:tcW w:w="3912" w:type="dxa"/>
            <w:noWrap/>
            <w:hideMark/>
          </w:tcPr>
          <w:p w14:paraId="05F8D8F7" w14:textId="77777777" w:rsidR="001D586E" w:rsidRPr="00A8066D" w:rsidRDefault="00163ABA" w:rsidP="001D586E">
            <w:pPr>
              <w:rPr>
                <w:rFonts w:eastAsia="Times New Roman" w:cs="Calibri"/>
                <w:color w:val="000000"/>
                <w:sz w:val="22"/>
                <w:szCs w:val="22"/>
                <w:lang w:val="es-CR"/>
              </w:rPr>
            </w:pPr>
            <w:r w:rsidRPr="00A8066D">
              <w:rPr>
                <w:rFonts w:eastAsia="Times New Roman" w:cs="Calibri"/>
                <w:color w:val="000000"/>
                <w:sz w:val="22"/>
                <w:szCs w:val="22"/>
                <w:lang w:val="es-CR"/>
              </w:rPr>
              <w:t>Régimen Obligatorio Complementario (</w:t>
            </w:r>
            <w:r w:rsidR="001D586E" w:rsidRPr="00A8066D">
              <w:rPr>
                <w:rFonts w:eastAsia="Times New Roman" w:cs="Calibri"/>
                <w:color w:val="000000"/>
                <w:sz w:val="22"/>
                <w:szCs w:val="22"/>
                <w:lang w:val="es-CR"/>
              </w:rPr>
              <w:t>ROP</w:t>
            </w:r>
            <w:r w:rsidRPr="00A8066D">
              <w:rPr>
                <w:rFonts w:eastAsia="Times New Roman" w:cs="Calibri"/>
                <w:color w:val="000000"/>
                <w:sz w:val="22"/>
                <w:szCs w:val="22"/>
                <w:lang w:val="es-CR"/>
              </w:rPr>
              <w:t>)</w:t>
            </w:r>
          </w:p>
        </w:tc>
        <w:tc>
          <w:tcPr>
            <w:tcW w:w="1106" w:type="dxa"/>
            <w:hideMark/>
          </w:tcPr>
          <w:p w14:paraId="36A81D73" w14:textId="4F591B4F" w:rsidR="001D586E" w:rsidRPr="00A8066D" w:rsidRDefault="001D586E" w:rsidP="001D586E">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s-CR"/>
              </w:rPr>
            </w:pPr>
            <w:r w:rsidRPr="00A8066D">
              <w:rPr>
                <w:rFonts w:eastAsia="Times New Roman" w:cs="Calibri"/>
                <w:color w:val="000000"/>
                <w:sz w:val="22"/>
                <w:szCs w:val="22"/>
                <w:lang w:val="es-CR"/>
              </w:rPr>
              <w:t>2</w:t>
            </w:r>
            <w:r w:rsidR="00D60B63" w:rsidRPr="00A8066D">
              <w:rPr>
                <w:rFonts w:eastAsia="Times New Roman" w:cs="Calibri"/>
                <w:color w:val="000000"/>
                <w:sz w:val="22"/>
                <w:szCs w:val="22"/>
                <w:lang w:val="es-CR"/>
              </w:rPr>
              <w:t> </w:t>
            </w:r>
            <w:r w:rsidR="00147B66" w:rsidRPr="00A8066D">
              <w:rPr>
                <w:rFonts w:eastAsia="Times New Roman" w:cs="Calibri"/>
                <w:color w:val="000000"/>
                <w:sz w:val="22"/>
                <w:szCs w:val="22"/>
                <w:lang w:val="es-CR"/>
              </w:rPr>
              <w:t>787</w:t>
            </w:r>
            <w:r w:rsidR="00D60B63" w:rsidRPr="00A8066D">
              <w:rPr>
                <w:rFonts w:eastAsia="Times New Roman" w:cs="Calibri"/>
                <w:color w:val="000000"/>
                <w:sz w:val="22"/>
                <w:szCs w:val="22"/>
                <w:lang w:val="es-CR"/>
              </w:rPr>
              <w:t xml:space="preserve"> 226</w:t>
            </w:r>
          </w:p>
        </w:tc>
        <w:tc>
          <w:tcPr>
            <w:tcW w:w="1073" w:type="dxa"/>
            <w:hideMark/>
          </w:tcPr>
          <w:p w14:paraId="6A7E9493" w14:textId="79E42644" w:rsidR="001D586E" w:rsidRPr="00A8066D" w:rsidRDefault="0098391A" w:rsidP="0098391A">
            <w:pPr>
              <w:jc w:val="right"/>
              <w:cnfStyle w:val="000000000000" w:firstRow="0" w:lastRow="0" w:firstColumn="0" w:lastColumn="0" w:oddVBand="0" w:evenVBand="0" w:oddHBand="0" w:evenHBand="0" w:firstRowFirstColumn="0" w:firstRowLastColumn="0" w:lastRowFirstColumn="0" w:lastRowLastColumn="0"/>
              <w:rPr>
                <w:sz w:val="22"/>
                <w:szCs w:val="22"/>
              </w:rPr>
            </w:pPr>
            <w:r w:rsidRPr="00A8066D">
              <w:rPr>
                <w:sz w:val="22"/>
                <w:szCs w:val="22"/>
              </w:rPr>
              <w:t>12 249</w:t>
            </w:r>
          </w:p>
        </w:tc>
        <w:tc>
          <w:tcPr>
            <w:tcW w:w="1352" w:type="dxa"/>
            <w:noWrap/>
            <w:hideMark/>
          </w:tcPr>
          <w:p w14:paraId="1516B667" w14:textId="77777777" w:rsidR="001D586E" w:rsidRPr="00A8066D" w:rsidRDefault="001D586E" w:rsidP="001D586E">
            <w:pPr>
              <w:jc w:val="right"/>
              <w:cnfStyle w:val="000000000000" w:firstRow="0" w:lastRow="0" w:firstColumn="0" w:lastColumn="0" w:oddVBand="0" w:evenVBand="0" w:oddHBand="0" w:evenHBand="0" w:firstRowFirstColumn="0" w:firstRowLastColumn="0" w:lastRowFirstColumn="0" w:lastRowLastColumn="0"/>
              <w:rPr>
                <w:sz w:val="22"/>
                <w:szCs w:val="22"/>
              </w:rPr>
            </w:pPr>
            <w:r w:rsidRPr="00A8066D">
              <w:rPr>
                <w:sz w:val="22"/>
                <w:szCs w:val="22"/>
              </w:rPr>
              <w:t>1%</w:t>
            </w:r>
          </w:p>
        </w:tc>
        <w:tc>
          <w:tcPr>
            <w:tcW w:w="1057" w:type="dxa"/>
            <w:noWrap/>
            <w:hideMark/>
          </w:tcPr>
          <w:p w14:paraId="23604F95" w14:textId="77777777" w:rsidR="001D586E" w:rsidRPr="00A8066D" w:rsidRDefault="001D586E" w:rsidP="001D586E">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s-CR"/>
              </w:rPr>
            </w:pPr>
            <w:r w:rsidRPr="00A8066D">
              <w:rPr>
                <w:rFonts w:eastAsia="Times New Roman" w:cs="Calibri"/>
                <w:color w:val="000000"/>
                <w:sz w:val="22"/>
                <w:szCs w:val="22"/>
                <w:lang w:val="es-CR"/>
              </w:rPr>
              <w:t>3,25%</w:t>
            </w:r>
          </w:p>
        </w:tc>
        <w:tc>
          <w:tcPr>
            <w:tcW w:w="777" w:type="dxa"/>
            <w:noWrap/>
            <w:hideMark/>
          </w:tcPr>
          <w:p w14:paraId="40D9C984" w14:textId="77777777" w:rsidR="001D586E" w:rsidRPr="00A8066D" w:rsidRDefault="001D586E" w:rsidP="001D586E">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s-CR"/>
              </w:rPr>
            </w:pPr>
            <w:r w:rsidRPr="00A8066D">
              <w:rPr>
                <w:rFonts w:eastAsia="Times New Roman" w:cs="Calibri"/>
                <w:color w:val="000000"/>
                <w:sz w:val="22"/>
                <w:szCs w:val="22"/>
                <w:lang w:val="es-CR"/>
              </w:rPr>
              <w:t>0%</w:t>
            </w:r>
          </w:p>
        </w:tc>
        <w:tc>
          <w:tcPr>
            <w:tcW w:w="1066" w:type="dxa"/>
            <w:noWrap/>
            <w:hideMark/>
          </w:tcPr>
          <w:p w14:paraId="7E14A43E" w14:textId="77777777" w:rsidR="001D586E" w:rsidRPr="00A8066D" w:rsidRDefault="001D586E" w:rsidP="001D586E">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s-CR"/>
              </w:rPr>
            </w:pPr>
            <w:r w:rsidRPr="00A8066D">
              <w:rPr>
                <w:rFonts w:eastAsia="Times New Roman" w:cs="Calibri"/>
                <w:color w:val="000000"/>
                <w:sz w:val="22"/>
                <w:szCs w:val="22"/>
                <w:lang w:val="es-CR"/>
              </w:rPr>
              <w:t xml:space="preserve">98 039 </w:t>
            </w:r>
          </w:p>
        </w:tc>
      </w:tr>
      <w:tr w:rsidR="0063459A" w:rsidRPr="00A8066D" w14:paraId="18E7684F" w14:textId="77777777" w:rsidTr="0098391A">
        <w:trPr>
          <w:cnfStyle w:val="000000100000" w:firstRow="0" w:lastRow="0" w:firstColumn="0" w:lastColumn="0" w:oddVBand="0" w:evenVBand="0" w:oddHBand="1" w:evenHBand="0" w:firstRowFirstColumn="0" w:firstRowLastColumn="0" w:lastRowFirstColumn="0" w:lastRowLastColumn="0"/>
          <w:trHeight w:val="55"/>
          <w:jc w:val="center"/>
        </w:trPr>
        <w:tc>
          <w:tcPr>
            <w:cnfStyle w:val="001000000000" w:firstRow="0" w:lastRow="0" w:firstColumn="1" w:lastColumn="0" w:oddVBand="0" w:evenVBand="0" w:oddHBand="0" w:evenHBand="0" w:firstRowFirstColumn="0" w:firstRowLastColumn="0" w:lastRowFirstColumn="0" w:lastRowLastColumn="0"/>
            <w:tcW w:w="3912" w:type="dxa"/>
            <w:noWrap/>
            <w:hideMark/>
          </w:tcPr>
          <w:p w14:paraId="564A50FA" w14:textId="77777777" w:rsidR="001D586E" w:rsidRPr="00A8066D" w:rsidRDefault="00C25276" w:rsidP="001D586E">
            <w:pPr>
              <w:rPr>
                <w:rFonts w:eastAsia="Times New Roman" w:cs="Calibri"/>
                <w:color w:val="000000"/>
                <w:sz w:val="22"/>
                <w:szCs w:val="22"/>
                <w:lang w:val="es-CR"/>
              </w:rPr>
            </w:pPr>
            <w:r w:rsidRPr="00A8066D">
              <w:rPr>
                <w:rFonts w:eastAsia="Times New Roman" w:cs="Calibri"/>
                <w:color w:val="000000"/>
                <w:sz w:val="22"/>
                <w:szCs w:val="22"/>
                <w:lang w:val="es-CR"/>
              </w:rPr>
              <w:t>Planes Voluntarios</w:t>
            </w:r>
          </w:p>
        </w:tc>
        <w:tc>
          <w:tcPr>
            <w:tcW w:w="1106" w:type="dxa"/>
            <w:hideMark/>
          </w:tcPr>
          <w:p w14:paraId="7C116EBE" w14:textId="0CB2C56E" w:rsidR="001D586E" w:rsidRPr="00A8066D" w:rsidRDefault="00D60B63" w:rsidP="001D586E">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val="es-CR"/>
              </w:rPr>
            </w:pPr>
            <w:r w:rsidRPr="00A8066D">
              <w:rPr>
                <w:rFonts w:eastAsia="Times New Roman" w:cs="Calibri"/>
                <w:color w:val="000000"/>
                <w:sz w:val="22"/>
                <w:szCs w:val="22"/>
                <w:lang w:val="es-CR"/>
              </w:rPr>
              <w:t>161 627</w:t>
            </w:r>
          </w:p>
        </w:tc>
        <w:tc>
          <w:tcPr>
            <w:tcW w:w="1073" w:type="dxa"/>
            <w:noWrap/>
            <w:hideMark/>
          </w:tcPr>
          <w:p w14:paraId="43D26CC1" w14:textId="77777777" w:rsidR="001D586E" w:rsidRPr="00A8066D" w:rsidRDefault="00D33F6A" w:rsidP="001D586E">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val="es-CR"/>
              </w:rPr>
            </w:pPr>
            <w:r w:rsidRPr="00A8066D">
              <w:rPr>
                <w:rFonts w:eastAsia="Times New Roman" w:cs="Calibri"/>
                <w:color w:val="000000"/>
                <w:sz w:val="22"/>
                <w:szCs w:val="22"/>
                <w:lang w:val="es-CR"/>
              </w:rPr>
              <w:t>0</w:t>
            </w:r>
          </w:p>
        </w:tc>
        <w:tc>
          <w:tcPr>
            <w:tcW w:w="1352" w:type="dxa"/>
            <w:hideMark/>
          </w:tcPr>
          <w:p w14:paraId="7AA2FA28" w14:textId="77777777" w:rsidR="001D586E" w:rsidRPr="00A8066D" w:rsidRDefault="001D586E" w:rsidP="00A25946">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val="es-CR"/>
              </w:rPr>
            </w:pPr>
            <w:r w:rsidRPr="00A8066D">
              <w:rPr>
                <w:rFonts w:eastAsia="Times New Roman" w:cs="Calibri"/>
                <w:color w:val="000000"/>
                <w:sz w:val="22"/>
                <w:szCs w:val="22"/>
                <w:lang w:val="es-CR"/>
              </w:rPr>
              <w:t>Libre</w:t>
            </w:r>
          </w:p>
        </w:tc>
        <w:tc>
          <w:tcPr>
            <w:tcW w:w="1057" w:type="dxa"/>
            <w:noWrap/>
            <w:hideMark/>
          </w:tcPr>
          <w:p w14:paraId="5963CCC3" w14:textId="77777777" w:rsidR="001D586E" w:rsidRPr="00A8066D" w:rsidRDefault="001D586E" w:rsidP="001D586E">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val="es-CR"/>
              </w:rPr>
            </w:pPr>
            <w:r w:rsidRPr="00A8066D">
              <w:rPr>
                <w:rFonts w:eastAsia="Times New Roman" w:cs="Calibri"/>
                <w:color w:val="000000"/>
                <w:sz w:val="22"/>
                <w:szCs w:val="22"/>
                <w:lang w:val="es-CR"/>
              </w:rPr>
              <w:t>0%</w:t>
            </w:r>
          </w:p>
        </w:tc>
        <w:tc>
          <w:tcPr>
            <w:tcW w:w="777" w:type="dxa"/>
            <w:noWrap/>
            <w:hideMark/>
          </w:tcPr>
          <w:p w14:paraId="64B334F9" w14:textId="77777777" w:rsidR="001D586E" w:rsidRPr="00A8066D" w:rsidRDefault="001D586E" w:rsidP="001D586E">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val="es-CR"/>
              </w:rPr>
            </w:pPr>
            <w:r w:rsidRPr="00A8066D">
              <w:rPr>
                <w:rFonts w:eastAsia="Times New Roman" w:cs="Calibri"/>
                <w:color w:val="000000"/>
                <w:sz w:val="22"/>
                <w:szCs w:val="22"/>
                <w:lang w:val="es-CR"/>
              </w:rPr>
              <w:t>0%</w:t>
            </w:r>
          </w:p>
        </w:tc>
        <w:tc>
          <w:tcPr>
            <w:tcW w:w="1066" w:type="dxa"/>
            <w:noWrap/>
            <w:hideMark/>
          </w:tcPr>
          <w:p w14:paraId="4A041005" w14:textId="77777777" w:rsidR="001D586E" w:rsidRPr="00A8066D" w:rsidRDefault="001D586E" w:rsidP="001D586E">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val="es-CR"/>
              </w:rPr>
            </w:pPr>
            <w:r w:rsidRPr="00A8066D">
              <w:rPr>
                <w:rFonts w:eastAsia="Times New Roman" w:cs="Calibri"/>
                <w:color w:val="000000"/>
                <w:sz w:val="22"/>
                <w:szCs w:val="22"/>
                <w:lang w:val="es-CR"/>
              </w:rPr>
              <w:t>NA</w:t>
            </w:r>
          </w:p>
        </w:tc>
      </w:tr>
      <w:tr w:rsidR="0063459A" w:rsidRPr="00A8066D" w14:paraId="70B119F6" w14:textId="77777777" w:rsidTr="0098391A">
        <w:trPr>
          <w:trHeight w:val="55"/>
          <w:jc w:val="center"/>
        </w:trPr>
        <w:tc>
          <w:tcPr>
            <w:cnfStyle w:val="001000000000" w:firstRow="0" w:lastRow="0" w:firstColumn="1" w:lastColumn="0" w:oddVBand="0" w:evenVBand="0" w:oddHBand="0" w:evenHBand="0" w:firstRowFirstColumn="0" w:firstRowLastColumn="0" w:lastRowFirstColumn="0" w:lastRowLastColumn="0"/>
            <w:tcW w:w="3912" w:type="dxa"/>
            <w:noWrap/>
            <w:hideMark/>
          </w:tcPr>
          <w:p w14:paraId="00996609" w14:textId="77777777" w:rsidR="001D586E" w:rsidRPr="00A8066D" w:rsidRDefault="001D586E" w:rsidP="001D586E">
            <w:pPr>
              <w:rPr>
                <w:rFonts w:eastAsia="Times New Roman" w:cs="Calibri"/>
                <w:color w:val="000000"/>
                <w:sz w:val="22"/>
                <w:szCs w:val="22"/>
                <w:lang w:val="es-CR"/>
              </w:rPr>
            </w:pPr>
            <w:r w:rsidRPr="00A8066D">
              <w:rPr>
                <w:rFonts w:eastAsia="Times New Roman" w:cs="Calibri"/>
                <w:color w:val="000000"/>
                <w:sz w:val="22"/>
                <w:szCs w:val="22"/>
                <w:lang w:val="es-CR"/>
              </w:rPr>
              <w:t>Fondo de Capitalización Laboral (FCL)</w:t>
            </w:r>
          </w:p>
        </w:tc>
        <w:tc>
          <w:tcPr>
            <w:tcW w:w="1106" w:type="dxa"/>
            <w:hideMark/>
          </w:tcPr>
          <w:p w14:paraId="17EC17C0" w14:textId="32504D28" w:rsidR="001D586E" w:rsidRPr="00A8066D" w:rsidRDefault="001D586E" w:rsidP="001D586E">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s-CR"/>
              </w:rPr>
            </w:pPr>
            <w:r w:rsidRPr="00A8066D">
              <w:rPr>
                <w:rFonts w:eastAsia="Times New Roman" w:cs="Calibri"/>
                <w:color w:val="000000"/>
                <w:sz w:val="22"/>
                <w:szCs w:val="22"/>
                <w:lang w:val="es-CR"/>
              </w:rPr>
              <w:t>2</w:t>
            </w:r>
            <w:r w:rsidR="00316282" w:rsidRPr="00A8066D">
              <w:rPr>
                <w:rFonts w:eastAsia="Times New Roman" w:cs="Calibri"/>
                <w:color w:val="000000"/>
                <w:sz w:val="22"/>
                <w:szCs w:val="22"/>
                <w:lang w:val="es-CR"/>
              </w:rPr>
              <w:t> </w:t>
            </w:r>
            <w:r w:rsidR="00D60B63" w:rsidRPr="00A8066D">
              <w:rPr>
                <w:rFonts w:eastAsia="Times New Roman" w:cs="Calibri"/>
                <w:color w:val="000000"/>
                <w:sz w:val="22"/>
                <w:szCs w:val="22"/>
                <w:lang w:val="es-CR"/>
              </w:rPr>
              <w:t>2</w:t>
            </w:r>
            <w:r w:rsidR="00316282" w:rsidRPr="00A8066D">
              <w:rPr>
                <w:rFonts w:eastAsia="Times New Roman" w:cs="Calibri"/>
                <w:color w:val="000000"/>
                <w:sz w:val="22"/>
                <w:szCs w:val="22"/>
                <w:lang w:val="es-CR"/>
              </w:rPr>
              <w:t>39 457</w:t>
            </w:r>
          </w:p>
        </w:tc>
        <w:tc>
          <w:tcPr>
            <w:tcW w:w="1073" w:type="dxa"/>
            <w:noWrap/>
            <w:hideMark/>
          </w:tcPr>
          <w:p w14:paraId="5757E83B" w14:textId="77777777" w:rsidR="001D586E" w:rsidRPr="00A8066D" w:rsidRDefault="001D586E" w:rsidP="001D586E">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s-CR"/>
              </w:rPr>
            </w:pPr>
            <w:r w:rsidRPr="00A8066D">
              <w:rPr>
                <w:rFonts w:eastAsia="Times New Roman" w:cs="Calibri"/>
                <w:color w:val="000000"/>
                <w:sz w:val="22"/>
                <w:szCs w:val="22"/>
                <w:lang w:val="es-CR"/>
              </w:rPr>
              <w:t>NA</w:t>
            </w:r>
          </w:p>
        </w:tc>
        <w:tc>
          <w:tcPr>
            <w:tcW w:w="1352" w:type="dxa"/>
            <w:noWrap/>
            <w:hideMark/>
          </w:tcPr>
          <w:p w14:paraId="62750FB6" w14:textId="77777777" w:rsidR="001D586E" w:rsidRPr="00A8066D" w:rsidRDefault="001D586E" w:rsidP="001D586E">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s-CR"/>
              </w:rPr>
            </w:pPr>
            <w:r w:rsidRPr="00A8066D">
              <w:rPr>
                <w:rFonts w:eastAsia="Times New Roman" w:cs="Calibri"/>
                <w:color w:val="000000"/>
                <w:sz w:val="22"/>
                <w:szCs w:val="22"/>
                <w:lang w:val="es-CR"/>
              </w:rPr>
              <w:t>1,50%</w:t>
            </w:r>
          </w:p>
        </w:tc>
        <w:tc>
          <w:tcPr>
            <w:tcW w:w="1057" w:type="dxa"/>
            <w:noWrap/>
            <w:hideMark/>
          </w:tcPr>
          <w:p w14:paraId="3FE8AD68" w14:textId="77777777" w:rsidR="001D586E" w:rsidRPr="00A8066D" w:rsidRDefault="001D586E" w:rsidP="001D586E">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s-CR"/>
              </w:rPr>
            </w:pPr>
            <w:r w:rsidRPr="00A8066D">
              <w:rPr>
                <w:rFonts w:eastAsia="Times New Roman" w:cs="Calibri"/>
                <w:color w:val="000000"/>
                <w:sz w:val="22"/>
                <w:szCs w:val="22"/>
                <w:lang w:val="es-CR"/>
              </w:rPr>
              <w:t>0%</w:t>
            </w:r>
          </w:p>
        </w:tc>
        <w:tc>
          <w:tcPr>
            <w:tcW w:w="777" w:type="dxa"/>
            <w:noWrap/>
            <w:hideMark/>
          </w:tcPr>
          <w:p w14:paraId="5C514506" w14:textId="77777777" w:rsidR="001D586E" w:rsidRPr="00A8066D" w:rsidRDefault="001D586E" w:rsidP="001D586E">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s-CR"/>
              </w:rPr>
            </w:pPr>
            <w:r w:rsidRPr="00A8066D">
              <w:rPr>
                <w:rFonts w:eastAsia="Times New Roman" w:cs="Calibri"/>
                <w:color w:val="000000"/>
                <w:sz w:val="22"/>
                <w:szCs w:val="22"/>
                <w:lang w:val="es-CR"/>
              </w:rPr>
              <w:t>0%</w:t>
            </w:r>
          </w:p>
        </w:tc>
        <w:tc>
          <w:tcPr>
            <w:tcW w:w="1066" w:type="dxa"/>
            <w:noWrap/>
            <w:hideMark/>
          </w:tcPr>
          <w:p w14:paraId="34D1D3A4" w14:textId="77777777" w:rsidR="001D586E" w:rsidRPr="00A8066D" w:rsidRDefault="001D586E" w:rsidP="001D586E">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s-CR"/>
              </w:rPr>
            </w:pPr>
            <w:r w:rsidRPr="00A8066D">
              <w:rPr>
                <w:rFonts w:eastAsia="Times New Roman" w:cs="Calibri"/>
                <w:color w:val="000000"/>
                <w:sz w:val="22"/>
                <w:szCs w:val="22"/>
                <w:lang w:val="es-CR"/>
              </w:rPr>
              <w:t>NA</w:t>
            </w:r>
          </w:p>
        </w:tc>
      </w:tr>
    </w:tbl>
    <w:p w14:paraId="02BD1B25" w14:textId="32F61544" w:rsidR="00F4271C" w:rsidRDefault="00F4271C" w:rsidP="00A8066D">
      <w:pPr>
        <w:pStyle w:val="Descripcin"/>
        <w:spacing w:after="0"/>
        <w:ind w:left="1134"/>
        <w:jc w:val="both"/>
      </w:pPr>
      <w:r>
        <w:t>* Datos de afiliados a junio para RIVM, a julio para el RCCMN y agosto para el FPJ y da</w:t>
      </w:r>
      <w:r w:rsidR="007C2284">
        <w:t>t</w:t>
      </w:r>
      <w:r>
        <w:t>os de pensionados a julio para el RIVM. Último dato disponible.</w:t>
      </w:r>
    </w:p>
    <w:p w14:paraId="2BC70394" w14:textId="77777777" w:rsidR="00F4271C" w:rsidRDefault="00F4271C" w:rsidP="00A8066D">
      <w:pPr>
        <w:pStyle w:val="Descripcin"/>
        <w:spacing w:after="0"/>
        <w:ind w:left="1134"/>
      </w:pPr>
      <w:r>
        <w:t>**Cotizan el trabajador y el pensionado</w:t>
      </w:r>
    </w:p>
    <w:p w14:paraId="2DD668B2" w14:textId="465C0529" w:rsidR="00AE03F5" w:rsidRDefault="00F4271C" w:rsidP="00A8066D">
      <w:pPr>
        <w:pStyle w:val="Descripcin"/>
        <w:spacing w:after="0"/>
        <w:ind w:left="1134"/>
      </w:pPr>
      <w:r>
        <w:t>Fuente: Elaboración propia</w:t>
      </w:r>
    </w:p>
    <w:p w14:paraId="157B485D" w14:textId="77777777" w:rsidR="00C83D68" w:rsidRPr="00C83D68" w:rsidRDefault="00C83D68" w:rsidP="00C83D68">
      <w:pPr>
        <w:spacing w:after="0" w:line="240" w:lineRule="auto"/>
      </w:pPr>
    </w:p>
    <w:p w14:paraId="3593C724" w14:textId="77777777" w:rsidR="004308B6" w:rsidRDefault="006929F8" w:rsidP="00E2531A">
      <w:pPr>
        <w:pStyle w:val="Ttulo2"/>
        <w:numPr>
          <w:ilvl w:val="1"/>
          <w:numId w:val="1"/>
        </w:numPr>
      </w:pPr>
      <w:bookmarkStart w:id="14" w:name="_Toc64039565"/>
      <w:r>
        <w:t>Activos administrados</w:t>
      </w:r>
      <w:bookmarkEnd w:id="14"/>
      <w:r w:rsidR="20532F7E">
        <w:t xml:space="preserve"> </w:t>
      </w:r>
    </w:p>
    <w:p w14:paraId="014B8221" w14:textId="77777777" w:rsidR="00CA77B1" w:rsidRDefault="00CA77B1" w:rsidP="00CA77B1">
      <w:pPr>
        <w:spacing w:after="0" w:line="240" w:lineRule="auto"/>
      </w:pPr>
    </w:p>
    <w:p w14:paraId="48CBDB7E" w14:textId="4F58FBAD" w:rsidR="00CA77B1" w:rsidRPr="00A8066D" w:rsidRDefault="00CA77B1" w:rsidP="00A8066D">
      <w:pPr>
        <w:spacing w:after="0" w:line="360" w:lineRule="auto"/>
        <w:jc w:val="both"/>
        <w:rPr>
          <w:sz w:val="24"/>
          <w:szCs w:val="24"/>
        </w:rPr>
      </w:pPr>
      <w:r w:rsidRPr="00A8066D">
        <w:rPr>
          <w:sz w:val="24"/>
          <w:szCs w:val="24"/>
        </w:rPr>
        <w:t>El Sistema Nacional de Pensiones (SNP) y el FCL</w:t>
      </w:r>
      <w:r w:rsidR="00681C9F" w:rsidRPr="00A8066D">
        <w:rPr>
          <w:sz w:val="24"/>
          <w:szCs w:val="24"/>
        </w:rPr>
        <w:t xml:space="preserve"> </w:t>
      </w:r>
      <w:r w:rsidRPr="00A8066D">
        <w:rPr>
          <w:sz w:val="24"/>
          <w:szCs w:val="24"/>
        </w:rPr>
        <w:t xml:space="preserve">administran recursos, a </w:t>
      </w:r>
      <w:r w:rsidR="00A8644F" w:rsidRPr="00A8066D">
        <w:rPr>
          <w:sz w:val="24"/>
          <w:szCs w:val="24"/>
        </w:rPr>
        <w:t xml:space="preserve">setiembre </w:t>
      </w:r>
      <w:r w:rsidR="002B2FA3" w:rsidRPr="00A8066D">
        <w:rPr>
          <w:sz w:val="24"/>
          <w:szCs w:val="24"/>
        </w:rPr>
        <w:t>d</w:t>
      </w:r>
      <w:r w:rsidRPr="00A8066D">
        <w:rPr>
          <w:sz w:val="24"/>
          <w:szCs w:val="24"/>
        </w:rPr>
        <w:t xml:space="preserve">el 2020, que totalizan </w:t>
      </w:r>
      <w:r w:rsidR="00C13D0C" w:rsidRPr="00A8066D">
        <w:rPr>
          <w:sz w:val="24"/>
          <w:szCs w:val="24"/>
        </w:rPr>
        <w:t>₡</w:t>
      </w:r>
      <w:r w:rsidRPr="00A8066D">
        <w:rPr>
          <w:sz w:val="24"/>
          <w:szCs w:val="24"/>
        </w:rPr>
        <w:t>16,</w:t>
      </w:r>
      <w:r w:rsidR="0045724B" w:rsidRPr="00A8066D">
        <w:rPr>
          <w:sz w:val="24"/>
          <w:szCs w:val="24"/>
        </w:rPr>
        <w:t>7</w:t>
      </w:r>
      <w:r w:rsidRPr="00A8066D">
        <w:rPr>
          <w:sz w:val="24"/>
          <w:szCs w:val="24"/>
        </w:rPr>
        <w:t xml:space="preserve"> billones, esto corresponde al </w:t>
      </w:r>
      <w:r w:rsidR="00D53D6E" w:rsidRPr="00A8066D">
        <w:rPr>
          <w:sz w:val="24"/>
          <w:szCs w:val="24"/>
        </w:rPr>
        <w:t>4</w:t>
      </w:r>
      <w:r w:rsidR="00EA38A1" w:rsidRPr="00A8066D">
        <w:rPr>
          <w:sz w:val="24"/>
          <w:szCs w:val="24"/>
        </w:rPr>
        <w:t>7,4</w:t>
      </w:r>
      <w:r w:rsidRPr="00A8066D">
        <w:rPr>
          <w:sz w:val="24"/>
          <w:szCs w:val="24"/>
        </w:rPr>
        <w:t xml:space="preserve">% del PIB. El crecimiento </w:t>
      </w:r>
      <w:r w:rsidR="00110043" w:rsidRPr="00A8066D">
        <w:rPr>
          <w:sz w:val="24"/>
          <w:szCs w:val="24"/>
        </w:rPr>
        <w:t xml:space="preserve">durante </w:t>
      </w:r>
      <w:r w:rsidR="009A13F0" w:rsidRPr="00A8066D">
        <w:rPr>
          <w:sz w:val="24"/>
          <w:szCs w:val="24"/>
        </w:rPr>
        <w:t xml:space="preserve">los primeros </w:t>
      </w:r>
      <w:r w:rsidR="00CC4DD5" w:rsidRPr="00A8066D">
        <w:rPr>
          <w:sz w:val="24"/>
          <w:szCs w:val="24"/>
        </w:rPr>
        <w:t>nueve</w:t>
      </w:r>
      <w:r w:rsidR="009A13F0" w:rsidRPr="00A8066D">
        <w:rPr>
          <w:sz w:val="24"/>
          <w:szCs w:val="24"/>
        </w:rPr>
        <w:t xml:space="preserve"> meses del año</w:t>
      </w:r>
      <w:r w:rsidR="009417A3" w:rsidRPr="00A8066D">
        <w:rPr>
          <w:sz w:val="24"/>
          <w:szCs w:val="24"/>
        </w:rPr>
        <w:t xml:space="preserve"> ha sido d</w:t>
      </w:r>
      <w:r w:rsidRPr="00A8066D">
        <w:rPr>
          <w:sz w:val="24"/>
          <w:szCs w:val="24"/>
        </w:rPr>
        <w:t xml:space="preserve">el </w:t>
      </w:r>
      <w:r w:rsidR="00F06BF0" w:rsidRPr="00A8066D">
        <w:rPr>
          <w:sz w:val="24"/>
          <w:szCs w:val="24"/>
        </w:rPr>
        <w:t>8,4</w:t>
      </w:r>
      <w:r w:rsidRPr="00A8066D">
        <w:rPr>
          <w:sz w:val="24"/>
          <w:szCs w:val="24"/>
        </w:rPr>
        <w:t>%</w:t>
      </w:r>
      <w:r w:rsidR="009417A3" w:rsidRPr="00A8066D">
        <w:rPr>
          <w:sz w:val="24"/>
          <w:szCs w:val="24"/>
        </w:rPr>
        <w:t>,</w:t>
      </w:r>
      <w:r w:rsidRPr="00A8066D">
        <w:rPr>
          <w:sz w:val="24"/>
          <w:szCs w:val="24"/>
        </w:rPr>
        <w:t xml:space="preserve"> </w:t>
      </w:r>
      <w:r w:rsidR="00D76AD1" w:rsidRPr="00A8066D">
        <w:rPr>
          <w:rStyle w:val="normaltextrun"/>
          <w:rFonts w:ascii="Calibri" w:hAnsi="Calibri" w:cs="Calibri"/>
          <w:color w:val="000000"/>
          <w:sz w:val="24"/>
          <w:szCs w:val="24"/>
          <w:shd w:val="clear" w:color="auto" w:fill="FFFFFF"/>
        </w:rPr>
        <w:t>por debajo de lo observado para el mismo periodo el año pasado que fue del 15</w:t>
      </w:r>
      <w:r w:rsidR="00C65BE5" w:rsidRPr="00A8066D">
        <w:rPr>
          <w:rStyle w:val="normaltextrun"/>
          <w:rFonts w:ascii="Calibri" w:hAnsi="Calibri" w:cs="Calibri"/>
          <w:color w:val="000000"/>
          <w:sz w:val="24"/>
          <w:szCs w:val="24"/>
          <w:shd w:val="clear" w:color="auto" w:fill="FFFFFF"/>
        </w:rPr>
        <w:t>,</w:t>
      </w:r>
      <w:r w:rsidR="00D76AD1" w:rsidRPr="00A8066D">
        <w:rPr>
          <w:rStyle w:val="normaltextrun"/>
          <w:rFonts w:ascii="Calibri" w:hAnsi="Calibri" w:cs="Calibri"/>
          <w:color w:val="000000"/>
          <w:sz w:val="24"/>
          <w:szCs w:val="24"/>
          <w:shd w:val="clear" w:color="auto" w:fill="FFFFFF"/>
        </w:rPr>
        <w:t xml:space="preserve">40% y también </w:t>
      </w:r>
      <w:r w:rsidR="00590670" w:rsidRPr="00A8066D">
        <w:rPr>
          <w:rStyle w:val="normaltextrun"/>
          <w:rFonts w:ascii="Calibri" w:hAnsi="Calibri" w:cs="Calibri"/>
          <w:color w:val="000000"/>
          <w:sz w:val="24"/>
          <w:szCs w:val="24"/>
          <w:shd w:val="clear" w:color="auto" w:fill="FFFFFF"/>
        </w:rPr>
        <w:t>ba</w:t>
      </w:r>
      <w:r w:rsidR="009417A3" w:rsidRPr="00A8066D">
        <w:rPr>
          <w:sz w:val="24"/>
          <w:szCs w:val="24"/>
        </w:rPr>
        <w:t>jo en comparaci</w:t>
      </w:r>
      <w:r w:rsidR="000C6C6E" w:rsidRPr="00A8066D">
        <w:rPr>
          <w:sz w:val="24"/>
          <w:szCs w:val="24"/>
        </w:rPr>
        <w:t>ó</w:t>
      </w:r>
      <w:r w:rsidR="009417A3" w:rsidRPr="00A8066D">
        <w:rPr>
          <w:sz w:val="24"/>
          <w:szCs w:val="24"/>
        </w:rPr>
        <w:t xml:space="preserve">n con el crecimiento promedio anual de los últimos 10 años que </w:t>
      </w:r>
      <w:r w:rsidRPr="00A8066D">
        <w:rPr>
          <w:sz w:val="24"/>
          <w:szCs w:val="24"/>
        </w:rPr>
        <w:t xml:space="preserve">ronda el </w:t>
      </w:r>
      <w:r w:rsidR="009A13F0" w:rsidRPr="00A8066D">
        <w:rPr>
          <w:sz w:val="24"/>
          <w:szCs w:val="24"/>
        </w:rPr>
        <w:t>13,9</w:t>
      </w:r>
      <w:r w:rsidRPr="00A8066D">
        <w:rPr>
          <w:sz w:val="24"/>
          <w:szCs w:val="24"/>
        </w:rPr>
        <w:t>%</w:t>
      </w:r>
      <w:r w:rsidR="00B23D86" w:rsidRPr="00A8066D">
        <w:rPr>
          <w:sz w:val="24"/>
          <w:szCs w:val="24"/>
        </w:rPr>
        <w:t>. El crecimiento de los activos</w:t>
      </w:r>
      <w:r w:rsidRPr="00A8066D">
        <w:rPr>
          <w:sz w:val="24"/>
          <w:szCs w:val="24"/>
        </w:rPr>
        <w:t xml:space="preserve"> se </w:t>
      </w:r>
      <w:r w:rsidR="009A13F0" w:rsidRPr="00A8066D">
        <w:rPr>
          <w:sz w:val="24"/>
          <w:szCs w:val="24"/>
        </w:rPr>
        <w:t xml:space="preserve">explica por el </w:t>
      </w:r>
      <w:r w:rsidR="00B744FE" w:rsidRPr="00A8066D">
        <w:rPr>
          <w:sz w:val="24"/>
          <w:szCs w:val="24"/>
        </w:rPr>
        <w:t>ingreso</w:t>
      </w:r>
      <w:r w:rsidRPr="00A8066D">
        <w:rPr>
          <w:sz w:val="24"/>
          <w:szCs w:val="24"/>
        </w:rPr>
        <w:t xml:space="preserve"> de</w:t>
      </w:r>
      <w:r w:rsidR="00B744FE" w:rsidRPr="00A8066D">
        <w:rPr>
          <w:sz w:val="24"/>
          <w:szCs w:val="24"/>
        </w:rPr>
        <w:t xml:space="preserve"> </w:t>
      </w:r>
      <w:r w:rsidRPr="00A8066D">
        <w:rPr>
          <w:sz w:val="24"/>
          <w:szCs w:val="24"/>
        </w:rPr>
        <w:t>aportes</w:t>
      </w:r>
      <w:r w:rsidR="00B744FE" w:rsidRPr="00A8066D">
        <w:rPr>
          <w:sz w:val="24"/>
          <w:szCs w:val="24"/>
        </w:rPr>
        <w:t xml:space="preserve"> a los diferentes fondos</w:t>
      </w:r>
      <w:r w:rsidRPr="00A8066D">
        <w:rPr>
          <w:sz w:val="24"/>
          <w:szCs w:val="24"/>
        </w:rPr>
        <w:t xml:space="preserve"> y la valoración de los activos</w:t>
      </w:r>
      <w:r w:rsidR="00320871" w:rsidRPr="00A8066D">
        <w:rPr>
          <w:sz w:val="24"/>
          <w:szCs w:val="24"/>
        </w:rPr>
        <w:t>,</w:t>
      </w:r>
      <w:r w:rsidR="00184F61" w:rsidRPr="00A8066D">
        <w:rPr>
          <w:sz w:val="24"/>
          <w:szCs w:val="24"/>
        </w:rPr>
        <w:t xml:space="preserve"> ambos</w:t>
      </w:r>
      <w:r w:rsidR="00910CCE" w:rsidRPr="00A8066D">
        <w:rPr>
          <w:sz w:val="24"/>
          <w:szCs w:val="24"/>
        </w:rPr>
        <w:t xml:space="preserve"> afectados por</w:t>
      </w:r>
      <w:r w:rsidRPr="00A8066D">
        <w:rPr>
          <w:sz w:val="24"/>
          <w:szCs w:val="24"/>
        </w:rPr>
        <w:t xml:space="preserve"> </w:t>
      </w:r>
      <w:r w:rsidR="00320871" w:rsidRPr="00A8066D">
        <w:rPr>
          <w:sz w:val="24"/>
          <w:szCs w:val="24"/>
        </w:rPr>
        <w:t>el COVID-19</w:t>
      </w:r>
      <w:r w:rsidRPr="00A8066D">
        <w:rPr>
          <w:sz w:val="24"/>
          <w:szCs w:val="24"/>
        </w:rPr>
        <w:t xml:space="preserve">. </w:t>
      </w:r>
    </w:p>
    <w:p w14:paraId="4FB050C2" w14:textId="793576E9" w:rsidR="00841412" w:rsidRPr="00A8066D" w:rsidRDefault="00841412" w:rsidP="00A8066D">
      <w:pPr>
        <w:spacing w:after="0" w:line="360" w:lineRule="auto"/>
        <w:jc w:val="both"/>
        <w:rPr>
          <w:sz w:val="24"/>
          <w:szCs w:val="24"/>
        </w:rPr>
      </w:pPr>
    </w:p>
    <w:p w14:paraId="3A16FB91" w14:textId="57F751DD" w:rsidR="00CA77B1" w:rsidRPr="00A8066D" w:rsidRDefault="00CA77B1" w:rsidP="00A8066D">
      <w:pPr>
        <w:spacing w:after="0" w:line="360" w:lineRule="auto"/>
        <w:jc w:val="both"/>
        <w:rPr>
          <w:sz w:val="24"/>
          <w:szCs w:val="24"/>
        </w:rPr>
      </w:pPr>
      <w:r w:rsidRPr="00A8066D">
        <w:rPr>
          <w:sz w:val="24"/>
          <w:szCs w:val="24"/>
        </w:rPr>
        <w:t>El Régimen de Invalidez, Vejez y Muerte administrado por la CCSS</w:t>
      </w:r>
      <w:r w:rsidR="0020715C" w:rsidRPr="00A8066D">
        <w:rPr>
          <w:sz w:val="24"/>
          <w:szCs w:val="24"/>
        </w:rPr>
        <w:t xml:space="preserve"> </w:t>
      </w:r>
      <w:r w:rsidRPr="00A8066D">
        <w:rPr>
          <w:sz w:val="24"/>
          <w:szCs w:val="24"/>
        </w:rPr>
        <w:t xml:space="preserve">creció un 5% </w:t>
      </w:r>
      <w:r w:rsidR="00C40EAC" w:rsidRPr="00A8066D">
        <w:rPr>
          <w:sz w:val="24"/>
          <w:szCs w:val="24"/>
        </w:rPr>
        <w:t xml:space="preserve">en los primeros </w:t>
      </w:r>
      <w:r w:rsidR="00421438" w:rsidRPr="00A8066D">
        <w:rPr>
          <w:sz w:val="24"/>
          <w:szCs w:val="24"/>
        </w:rPr>
        <w:t>nueve</w:t>
      </w:r>
      <w:r w:rsidR="00C40EAC" w:rsidRPr="00A8066D">
        <w:rPr>
          <w:sz w:val="24"/>
          <w:szCs w:val="24"/>
        </w:rPr>
        <w:t xml:space="preserve"> meses del año</w:t>
      </w:r>
      <w:r w:rsidR="00F67F42" w:rsidRPr="00A8066D">
        <w:rPr>
          <w:sz w:val="24"/>
          <w:szCs w:val="24"/>
        </w:rPr>
        <w:t>, manteniéndose muy similar al</w:t>
      </w:r>
      <w:r w:rsidR="00590670" w:rsidRPr="00A8066D">
        <w:rPr>
          <w:sz w:val="24"/>
          <w:szCs w:val="24"/>
        </w:rPr>
        <w:t xml:space="preserve"> crecimiento del</w:t>
      </w:r>
      <w:r w:rsidR="00F67F42" w:rsidRPr="00A8066D">
        <w:rPr>
          <w:sz w:val="24"/>
          <w:szCs w:val="24"/>
        </w:rPr>
        <w:t xml:space="preserve"> trimestre anterior</w:t>
      </w:r>
      <w:r w:rsidRPr="00A8066D">
        <w:rPr>
          <w:sz w:val="24"/>
          <w:szCs w:val="24"/>
        </w:rPr>
        <w:t xml:space="preserve">, este fondo representa un </w:t>
      </w:r>
      <w:r w:rsidR="00F5725C" w:rsidRPr="00A8066D">
        <w:rPr>
          <w:sz w:val="24"/>
          <w:szCs w:val="24"/>
        </w:rPr>
        <w:t>8,9</w:t>
      </w:r>
      <w:r w:rsidRPr="00A8066D">
        <w:rPr>
          <w:sz w:val="24"/>
          <w:szCs w:val="24"/>
        </w:rPr>
        <w:t>% del PIB.</w:t>
      </w:r>
    </w:p>
    <w:p w14:paraId="1EBDC265" w14:textId="77777777" w:rsidR="00B9565E" w:rsidRPr="00A8066D" w:rsidRDefault="00B9565E" w:rsidP="00A8066D">
      <w:pPr>
        <w:spacing w:after="0" w:line="360" w:lineRule="auto"/>
        <w:jc w:val="both"/>
        <w:rPr>
          <w:sz w:val="24"/>
          <w:szCs w:val="24"/>
        </w:rPr>
      </w:pPr>
    </w:p>
    <w:p w14:paraId="70D75290" w14:textId="1E4A357C" w:rsidR="00B9565E" w:rsidRPr="00A8066D" w:rsidRDefault="00B9565E" w:rsidP="00A8066D">
      <w:pPr>
        <w:spacing w:after="0" w:line="360" w:lineRule="auto"/>
        <w:jc w:val="both"/>
        <w:rPr>
          <w:sz w:val="24"/>
          <w:szCs w:val="24"/>
        </w:rPr>
      </w:pPr>
      <w:r w:rsidRPr="00A8066D">
        <w:rPr>
          <w:sz w:val="24"/>
          <w:szCs w:val="24"/>
        </w:rPr>
        <w:t>De los 14 gestores de fondos de pensiones, tres administran ₡9,</w:t>
      </w:r>
      <w:r w:rsidR="00C72DB9" w:rsidRPr="00A8066D">
        <w:rPr>
          <w:sz w:val="24"/>
          <w:szCs w:val="24"/>
        </w:rPr>
        <w:t>7</w:t>
      </w:r>
      <w:r w:rsidRPr="00A8066D">
        <w:rPr>
          <w:sz w:val="24"/>
          <w:szCs w:val="24"/>
        </w:rPr>
        <w:t xml:space="preserve"> billones, que representan el 5</w:t>
      </w:r>
      <w:r w:rsidR="00F415F3" w:rsidRPr="00A8066D">
        <w:rPr>
          <w:sz w:val="24"/>
          <w:szCs w:val="24"/>
        </w:rPr>
        <w:t>7</w:t>
      </w:r>
      <w:r w:rsidRPr="00A8066D">
        <w:rPr>
          <w:sz w:val="24"/>
          <w:szCs w:val="24"/>
        </w:rPr>
        <w:t>,</w:t>
      </w:r>
      <w:r w:rsidR="00F415F3" w:rsidRPr="00A8066D">
        <w:rPr>
          <w:sz w:val="24"/>
          <w:szCs w:val="24"/>
        </w:rPr>
        <w:t>9</w:t>
      </w:r>
      <w:r w:rsidRPr="00A8066D">
        <w:rPr>
          <w:sz w:val="24"/>
          <w:szCs w:val="24"/>
        </w:rPr>
        <w:t>% del total de activos. Estos tres gestores administran activos de más ₡3 billones cada uno, a saber, RIVM, JUPEMA y Popular Pensiones, los dos primeros regímenes básicos y el último, régimen complementario.</w:t>
      </w:r>
    </w:p>
    <w:p w14:paraId="0F874F28" w14:textId="77777777" w:rsidR="00B9565E" w:rsidRPr="00A8066D" w:rsidRDefault="00B9565E" w:rsidP="00A8066D">
      <w:pPr>
        <w:spacing w:after="0" w:line="360" w:lineRule="auto"/>
        <w:jc w:val="both"/>
        <w:rPr>
          <w:sz w:val="24"/>
          <w:szCs w:val="24"/>
        </w:rPr>
      </w:pPr>
      <w:r w:rsidRPr="00A8066D">
        <w:rPr>
          <w:sz w:val="24"/>
          <w:szCs w:val="24"/>
        </w:rPr>
        <w:t>El mayor volumen de activos lo administran los planes obligatorios complementarios (ROP), los planes ocupacionales básicos y régimen de seguridad social. Los fondos voluntarios han experimentado un menor crecimiento a lo largo de los años, debido a que perdieron los beneficios fiscales que tenían en sus orígenes y a la poca diferenciación respecto a los fondos de inversión abiertos en cuanto a rentabilidad y flexibilidad.</w:t>
      </w:r>
    </w:p>
    <w:p w14:paraId="54F47A49" w14:textId="14D8FAE0" w:rsidR="00A8066D" w:rsidRDefault="00A8066D">
      <w:pPr>
        <w:rPr>
          <w:sz w:val="24"/>
          <w:szCs w:val="24"/>
        </w:rPr>
      </w:pPr>
      <w:r>
        <w:rPr>
          <w:sz w:val="24"/>
          <w:szCs w:val="24"/>
        </w:rPr>
        <w:br w:type="page"/>
      </w:r>
    </w:p>
    <w:p w14:paraId="42042AAC" w14:textId="10D40933" w:rsidR="00C42B4F" w:rsidRPr="00C42B4F" w:rsidRDefault="00C42B4F" w:rsidP="00A8066D">
      <w:pPr>
        <w:pStyle w:val="Descripcin"/>
        <w:tabs>
          <w:tab w:val="center" w:pos="4419"/>
          <w:tab w:val="left" w:pos="5331"/>
        </w:tabs>
        <w:spacing w:after="0"/>
        <w:jc w:val="center"/>
      </w:pPr>
      <w:r>
        <w:t xml:space="preserve">Gráfico </w:t>
      </w:r>
      <w:r>
        <w:fldChar w:fldCharType="begin"/>
      </w:r>
      <w:r>
        <w:instrText xml:space="preserve"> SEQ Gráfico \* ARABIC </w:instrText>
      </w:r>
      <w:r>
        <w:fldChar w:fldCharType="separate"/>
      </w:r>
      <w:r w:rsidR="00E620DA">
        <w:rPr>
          <w:noProof/>
        </w:rPr>
        <w:t>2</w:t>
      </w:r>
      <w:r>
        <w:fldChar w:fldCharType="end"/>
      </w:r>
      <w:r w:rsidR="00BC414E">
        <w:t xml:space="preserve">: </w:t>
      </w:r>
      <w:r w:rsidRPr="00C42B4F">
        <w:t>Activos del Sistema Nacional de Pensiones y FCL</w:t>
      </w:r>
    </w:p>
    <w:p w14:paraId="34E5CE65" w14:textId="77777777" w:rsidR="00C42B4F" w:rsidRPr="00C42B4F" w:rsidRDefault="00336650" w:rsidP="00C42B4F">
      <w:pPr>
        <w:pStyle w:val="Descripcin"/>
        <w:spacing w:after="0"/>
        <w:jc w:val="center"/>
      </w:pPr>
      <w:r>
        <w:t>Por tipo de fondo c</w:t>
      </w:r>
      <w:r w:rsidR="00C42B4F" w:rsidRPr="00C42B4F">
        <w:t>omo porcentaje de PIB</w:t>
      </w:r>
    </w:p>
    <w:p w14:paraId="6F2BBE39" w14:textId="2D396338" w:rsidR="003C32E5" w:rsidRDefault="00C42B4F" w:rsidP="00C42B4F">
      <w:pPr>
        <w:pStyle w:val="Descripcin"/>
        <w:spacing w:after="0"/>
        <w:jc w:val="center"/>
      </w:pPr>
      <w:r w:rsidRPr="00C42B4F">
        <w:t xml:space="preserve">Billones de colones costarricenses a </w:t>
      </w:r>
      <w:r>
        <w:t>diciembre</w:t>
      </w:r>
      <w:r w:rsidRPr="00C42B4F">
        <w:t xml:space="preserve"> de cada año</w:t>
      </w:r>
    </w:p>
    <w:p w14:paraId="0DA019EA" w14:textId="0D6D536B" w:rsidR="0038366B" w:rsidRDefault="0038366B" w:rsidP="00A8066D">
      <w:pPr>
        <w:spacing w:after="20" w:line="240" w:lineRule="auto"/>
        <w:jc w:val="center"/>
      </w:pPr>
      <w:r>
        <w:rPr>
          <w:noProof/>
        </w:rPr>
        <w:drawing>
          <wp:inline distT="0" distB="0" distL="0" distR="0" wp14:anchorId="3625FA93" wp14:editId="564607E7">
            <wp:extent cx="5612130" cy="2870835"/>
            <wp:effectExtent l="0" t="0" r="7620" b="5715"/>
            <wp:docPr id="3" name="Gráfico 3">
              <a:extLst xmlns:a="http://schemas.openxmlformats.org/drawingml/2006/main">
                <a:ext uri="{FF2B5EF4-FFF2-40B4-BE49-F238E27FC236}">
                  <a16:creationId xmlns:a16="http://schemas.microsoft.com/office/drawing/2014/main" id="{FCF62146-89DB-41DF-8861-47BE06B754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6D49141" w14:textId="12D9875E" w:rsidR="00FA6DA6" w:rsidRDefault="00FA6DA6" w:rsidP="00A62AC9">
      <w:pPr>
        <w:pStyle w:val="Descripcin"/>
        <w:spacing w:after="0"/>
      </w:pPr>
      <w:r>
        <w:t xml:space="preserve">* </w:t>
      </w:r>
      <w:r w:rsidR="00A62AC9">
        <w:t xml:space="preserve">Datos a </w:t>
      </w:r>
      <w:r w:rsidR="00CC4DD5">
        <w:t>setiembre</w:t>
      </w:r>
      <w:r w:rsidR="00A62AC9">
        <w:t xml:space="preserve"> 2020, excepto IVM último dato disponible </w:t>
      </w:r>
      <w:r w:rsidR="00CC4DD5">
        <w:t>julio</w:t>
      </w:r>
      <w:r w:rsidR="00A62AC9">
        <w:t xml:space="preserve"> 2020</w:t>
      </w:r>
    </w:p>
    <w:p w14:paraId="51C3A672" w14:textId="7D5FE31E" w:rsidR="00F136AF" w:rsidRPr="00F136AF" w:rsidRDefault="00D65175" w:rsidP="00D65175">
      <w:pPr>
        <w:pStyle w:val="Descripcin"/>
        <w:spacing w:after="0"/>
      </w:pPr>
      <w:r>
        <w:t xml:space="preserve">  </w:t>
      </w:r>
      <w:r w:rsidR="00F136AF">
        <w:t xml:space="preserve">PIB es el </w:t>
      </w:r>
      <w:r w:rsidRPr="00D65175">
        <w:t>Producto Interno Bruto a precios de mercado, nominal</w:t>
      </w:r>
      <w:r>
        <w:t>. Publicado en la página Web del Banco Central</w:t>
      </w:r>
    </w:p>
    <w:p w14:paraId="43D53491" w14:textId="28D61BDB" w:rsidR="00C42B4F" w:rsidRDefault="00D142B9" w:rsidP="00C42B4F">
      <w:pPr>
        <w:pStyle w:val="Descripcin"/>
        <w:spacing w:after="0"/>
      </w:pPr>
      <w:r>
        <w:t xml:space="preserve"> </w:t>
      </w:r>
      <w:r w:rsidR="00A053EB">
        <w:t xml:space="preserve"> </w:t>
      </w:r>
      <w:r w:rsidR="00C42B4F">
        <w:t>Fuente: Elaboración propia</w:t>
      </w:r>
    </w:p>
    <w:p w14:paraId="654E833A" w14:textId="77777777" w:rsidR="00A25946" w:rsidRDefault="00A25946" w:rsidP="007E49A1">
      <w:pPr>
        <w:spacing w:after="0" w:line="240" w:lineRule="auto"/>
        <w:jc w:val="both"/>
      </w:pPr>
    </w:p>
    <w:p w14:paraId="278B05F5" w14:textId="77777777" w:rsidR="00E2531A" w:rsidRPr="003D5F68" w:rsidRDefault="00E2531A" w:rsidP="00E2531A">
      <w:pPr>
        <w:pStyle w:val="Ttulo2"/>
        <w:numPr>
          <w:ilvl w:val="1"/>
          <w:numId w:val="1"/>
        </w:numPr>
      </w:pPr>
      <w:bookmarkStart w:id="15" w:name="_Toc64039566"/>
      <w:r w:rsidRPr="003D5F68">
        <w:t>Inversiones</w:t>
      </w:r>
      <w:bookmarkEnd w:id="15"/>
      <w:r w:rsidRPr="003D5F68">
        <w:t xml:space="preserve"> </w:t>
      </w:r>
    </w:p>
    <w:p w14:paraId="1B7051F6" w14:textId="77777777" w:rsidR="00E2531A" w:rsidRPr="00992437" w:rsidRDefault="00E2531A" w:rsidP="00A8066D">
      <w:pPr>
        <w:spacing w:after="0" w:line="360" w:lineRule="auto"/>
        <w:jc w:val="both"/>
      </w:pPr>
    </w:p>
    <w:p w14:paraId="3F05088F" w14:textId="77777777" w:rsidR="00E2531A" w:rsidRDefault="00E2531A" w:rsidP="00A8066D">
      <w:pPr>
        <w:spacing w:after="0" w:line="360" w:lineRule="auto"/>
        <w:jc w:val="both"/>
      </w:pPr>
      <w:r>
        <w:t>El portafolio de las inversiones (sin incluir carteras de créditos) del SNP y el FCL equivale a ₡14,9 billones. Del total de inversiones hay una concentración de ₡11,6 billones en Sector Público (un 77,9%), de estos 10,5 billones se encuentran invertidos en instrumentos del Ministerio de Hacienda y Banco Central de Costa Rica. El 79% de las inversiones se concentra en colones costarricenses y el restante 21% en dólares. La participación en dólares aumentó en un 1% durante los últimos tres meses.</w:t>
      </w:r>
    </w:p>
    <w:p w14:paraId="3F2626A6" w14:textId="77777777" w:rsidR="00E2531A" w:rsidRDefault="00E2531A" w:rsidP="00A8066D">
      <w:pPr>
        <w:spacing w:after="0" w:line="360" w:lineRule="auto"/>
        <w:jc w:val="both"/>
      </w:pPr>
    </w:p>
    <w:p w14:paraId="35A579D5" w14:textId="3782CF18" w:rsidR="00E2531A" w:rsidRDefault="00E2531A" w:rsidP="00A8066D">
      <w:pPr>
        <w:spacing w:after="0" w:line="360" w:lineRule="auto"/>
        <w:jc w:val="both"/>
      </w:pPr>
      <w:r>
        <w:t xml:space="preserve">El 8,8% del total del portafolio del SNP se invierte en el sector extranjero, lo que significa un aumento de 1,7% con respecto al cierre del trimestre anterior, donde cerca del 94,85% lo explica el ROP. Las inversiones de este tipo se concentran en Exchange </w:t>
      </w:r>
      <w:proofErr w:type="spellStart"/>
      <w:r>
        <w:t>Traded</w:t>
      </w:r>
      <w:proofErr w:type="spellEnd"/>
      <w:r>
        <w:t xml:space="preserve"> </w:t>
      </w:r>
      <w:proofErr w:type="spellStart"/>
      <w:r>
        <w:t>Funds</w:t>
      </w:r>
      <w:proofErr w:type="spellEnd"/>
      <w:r>
        <w:t xml:space="preserve"> (ETF) y participaciones de fondos de nivel I. La presencia de este tipo de inversiones varia de un fondo a otro haciéndolos más a menos susceptibles antes variaciones externas.</w:t>
      </w:r>
    </w:p>
    <w:p w14:paraId="304F8B2F" w14:textId="769B5E24" w:rsidR="007C51ED" w:rsidRDefault="007C51ED" w:rsidP="00E2531A">
      <w:pPr>
        <w:spacing w:after="0" w:line="240" w:lineRule="auto"/>
        <w:jc w:val="both"/>
      </w:pPr>
    </w:p>
    <w:p w14:paraId="3061C1CF" w14:textId="78E67D25" w:rsidR="00E2531A" w:rsidRDefault="00E2531A" w:rsidP="00E2531A">
      <w:pPr>
        <w:pStyle w:val="Descripcin"/>
        <w:spacing w:after="0"/>
        <w:jc w:val="center"/>
      </w:pPr>
      <w:r>
        <w:t xml:space="preserve">Tabla </w:t>
      </w:r>
      <w:r>
        <w:fldChar w:fldCharType="begin"/>
      </w:r>
      <w:r>
        <w:instrText xml:space="preserve"> SEQ Tabla \* ARABIC </w:instrText>
      </w:r>
      <w:r>
        <w:fldChar w:fldCharType="separate"/>
      </w:r>
      <w:r w:rsidR="0031233E">
        <w:rPr>
          <w:noProof/>
        </w:rPr>
        <w:t>6</w:t>
      </w:r>
      <w:r>
        <w:fldChar w:fldCharType="end"/>
      </w:r>
      <w:r>
        <w:t>: Inversiones del Sistema Nacional de Pensiones y FCL</w:t>
      </w:r>
    </w:p>
    <w:p w14:paraId="3154F598" w14:textId="77777777" w:rsidR="00E2531A" w:rsidRDefault="00E2531A" w:rsidP="00E2531A">
      <w:pPr>
        <w:pStyle w:val="Descripcin"/>
        <w:tabs>
          <w:tab w:val="center" w:pos="4419"/>
          <w:tab w:val="left" w:pos="5788"/>
        </w:tabs>
        <w:spacing w:after="0"/>
      </w:pPr>
      <w:r>
        <w:tab/>
        <w:t>Por sector y tipo de fondo</w:t>
      </w:r>
    </w:p>
    <w:p w14:paraId="309B8089" w14:textId="77777777" w:rsidR="00521202" w:rsidRDefault="00521202" w:rsidP="00E2531A">
      <w:pPr>
        <w:pStyle w:val="Descripcin"/>
        <w:tabs>
          <w:tab w:val="center" w:pos="4419"/>
          <w:tab w:val="left" w:pos="5788"/>
        </w:tabs>
        <w:spacing w:after="0"/>
        <w:jc w:val="center"/>
      </w:pPr>
      <w:r>
        <w:t>M</w:t>
      </w:r>
      <w:r w:rsidRPr="00C42B4F">
        <w:t>illones de colones costarricenses</w:t>
      </w:r>
    </w:p>
    <w:p w14:paraId="235EA86E" w14:textId="5A169D40" w:rsidR="00E2531A" w:rsidRDefault="00521202" w:rsidP="00E2531A">
      <w:pPr>
        <w:pStyle w:val="Descripcin"/>
        <w:tabs>
          <w:tab w:val="center" w:pos="4419"/>
          <w:tab w:val="left" w:pos="5788"/>
        </w:tabs>
        <w:spacing w:after="0"/>
        <w:jc w:val="center"/>
      </w:pPr>
      <w:r w:rsidRPr="00C42B4F">
        <w:t xml:space="preserve"> </w:t>
      </w:r>
      <w:r w:rsidR="00E2531A">
        <w:t>Al 30 de setiembre del 2020</w:t>
      </w:r>
    </w:p>
    <w:tbl>
      <w:tblPr>
        <w:tblStyle w:val="Tablaconcuadrcula4-nfasis1"/>
        <w:tblW w:w="10505" w:type="dxa"/>
        <w:jc w:val="center"/>
        <w:tblLook w:val="04E0" w:firstRow="1" w:lastRow="1" w:firstColumn="1" w:lastColumn="0" w:noHBand="0" w:noVBand="1"/>
      </w:tblPr>
      <w:tblGrid>
        <w:gridCol w:w="3411"/>
        <w:gridCol w:w="1074"/>
        <w:gridCol w:w="721"/>
        <w:gridCol w:w="1266"/>
        <w:gridCol w:w="759"/>
        <w:gridCol w:w="1294"/>
        <w:gridCol w:w="741"/>
        <w:gridCol w:w="1229"/>
        <w:gridCol w:w="10"/>
      </w:tblGrid>
      <w:tr w:rsidR="00E2531A" w:rsidRPr="00CF1CB5" w14:paraId="6F81221C" w14:textId="77777777" w:rsidTr="00C50A6E">
        <w:trPr>
          <w:gridAfter w:val="1"/>
          <w:cnfStyle w:val="100000000000" w:firstRow="1" w:lastRow="0" w:firstColumn="0" w:lastColumn="0" w:oddVBand="0" w:evenVBand="0" w:oddHBand="0" w:evenHBand="0" w:firstRowFirstColumn="0" w:firstRowLastColumn="0" w:lastRowFirstColumn="0" w:lastRowLastColumn="0"/>
          <w:wAfter w:w="8" w:type="dxa"/>
          <w:trHeight w:val="235"/>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noWrap/>
            <w:vAlign w:val="center"/>
            <w:hideMark/>
          </w:tcPr>
          <w:p w14:paraId="01704022" w14:textId="77777777" w:rsidR="00E2531A" w:rsidRPr="00980068" w:rsidRDefault="00E2531A" w:rsidP="00C50A6E">
            <w:pPr>
              <w:rPr>
                <w:rFonts w:eastAsia="Times New Roman" w:cs="Calibri"/>
                <w:lang w:val="es-CR"/>
              </w:rPr>
            </w:pPr>
            <w:r w:rsidRPr="00980068">
              <w:rPr>
                <w:rFonts w:eastAsia="Times New Roman" w:cs="Calibri"/>
                <w:lang w:val="es-CR"/>
              </w:rPr>
              <w:t>Tipo de Fondo</w:t>
            </w:r>
          </w:p>
        </w:tc>
        <w:tc>
          <w:tcPr>
            <w:tcW w:w="0" w:type="auto"/>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noWrap/>
            <w:hideMark/>
          </w:tcPr>
          <w:p w14:paraId="4A59065B" w14:textId="77777777" w:rsidR="00E2531A" w:rsidRPr="00980068" w:rsidRDefault="00E2531A" w:rsidP="00C50A6E">
            <w:pPr>
              <w:jc w:val="center"/>
              <w:cnfStyle w:val="100000000000" w:firstRow="1" w:lastRow="0" w:firstColumn="0" w:lastColumn="0" w:oddVBand="0" w:evenVBand="0" w:oddHBand="0" w:evenHBand="0" w:firstRowFirstColumn="0" w:firstRowLastColumn="0" w:lastRowFirstColumn="0" w:lastRowLastColumn="0"/>
              <w:rPr>
                <w:rFonts w:eastAsia="Times New Roman" w:cs="Calibri"/>
                <w:lang w:val="es-CR"/>
              </w:rPr>
            </w:pPr>
            <w:r w:rsidRPr="00980068">
              <w:rPr>
                <w:rFonts w:eastAsia="Times New Roman" w:cs="Calibri"/>
                <w:lang w:val="es-CR"/>
              </w:rPr>
              <w:t>Extranjero</w:t>
            </w:r>
          </w:p>
        </w:tc>
        <w:tc>
          <w:tcPr>
            <w:tcW w:w="2003"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noWrap/>
            <w:hideMark/>
          </w:tcPr>
          <w:p w14:paraId="5455BF21" w14:textId="77777777" w:rsidR="00E2531A" w:rsidRPr="00980068" w:rsidRDefault="00E2531A" w:rsidP="00C50A6E">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val="0"/>
                <w:lang w:val="es-CR"/>
              </w:rPr>
            </w:pPr>
            <w:r w:rsidRPr="00980068">
              <w:rPr>
                <w:rFonts w:eastAsia="Times New Roman" w:cs="Calibri"/>
                <w:lang w:val="es-CR"/>
              </w:rPr>
              <w:t xml:space="preserve">   Privado</w:t>
            </w:r>
          </w:p>
        </w:tc>
        <w:tc>
          <w:tcPr>
            <w:tcW w:w="2056"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789233C5" w14:textId="77777777" w:rsidR="00E2531A" w:rsidRPr="00980068" w:rsidRDefault="00E2531A" w:rsidP="00C50A6E">
            <w:pPr>
              <w:jc w:val="center"/>
              <w:cnfStyle w:val="100000000000" w:firstRow="1" w:lastRow="0" w:firstColumn="0" w:lastColumn="0" w:oddVBand="0" w:evenVBand="0" w:oddHBand="0" w:evenHBand="0" w:firstRowFirstColumn="0" w:firstRowLastColumn="0" w:lastRowFirstColumn="0" w:lastRowLastColumn="0"/>
              <w:rPr>
                <w:rFonts w:eastAsia="Times New Roman" w:cs="Calibri"/>
                <w:lang w:val="es-CR"/>
              </w:rPr>
            </w:pPr>
            <w:r w:rsidRPr="00980068">
              <w:rPr>
                <w:rFonts w:eastAsia="Times New Roman" w:cs="Calibri"/>
                <w:lang w:val="es-CR"/>
              </w:rPr>
              <w:t>Público</w:t>
            </w:r>
          </w:p>
        </w:tc>
        <w:tc>
          <w:tcPr>
            <w:tcW w:w="121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noWrap/>
            <w:hideMark/>
          </w:tcPr>
          <w:p w14:paraId="1BD90428" w14:textId="77777777" w:rsidR="00E2531A" w:rsidRPr="00980068" w:rsidRDefault="00E2531A" w:rsidP="00C50A6E">
            <w:pPr>
              <w:cnfStyle w:val="100000000000" w:firstRow="1" w:lastRow="0" w:firstColumn="0" w:lastColumn="0" w:oddVBand="0" w:evenVBand="0" w:oddHBand="0" w:evenHBand="0" w:firstRowFirstColumn="0" w:firstRowLastColumn="0" w:lastRowFirstColumn="0" w:lastRowLastColumn="0"/>
              <w:rPr>
                <w:rFonts w:eastAsia="Times New Roman" w:cs="Calibri"/>
                <w:lang w:val="es-CR"/>
              </w:rPr>
            </w:pPr>
            <w:r w:rsidRPr="00980068">
              <w:rPr>
                <w:rFonts w:eastAsia="Times New Roman" w:cs="Calibri"/>
                <w:lang w:val="es-CR"/>
              </w:rPr>
              <w:t>Total</w:t>
            </w:r>
          </w:p>
        </w:tc>
      </w:tr>
      <w:tr w:rsidR="00E2531A" w:rsidRPr="00CF1CB5" w14:paraId="31CEE4DA" w14:textId="77777777" w:rsidTr="00C50A6E">
        <w:trPr>
          <w:gridAfter w:val="1"/>
          <w:cnfStyle w:val="000000100000" w:firstRow="0" w:lastRow="0" w:firstColumn="0" w:lastColumn="0" w:oddVBand="0" w:evenVBand="0" w:oddHBand="1" w:evenHBand="0" w:firstRowFirstColumn="0" w:firstRowLastColumn="0" w:lastRowFirstColumn="0" w:lastRowLastColumn="0"/>
          <w:wAfter w:w="15" w:type="dxa"/>
          <w:trHeight w:val="235"/>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noWrap/>
          </w:tcPr>
          <w:p w14:paraId="48067320" w14:textId="77777777" w:rsidR="00E2531A" w:rsidRPr="00980068" w:rsidRDefault="00E2531A" w:rsidP="00C50A6E">
            <w:pPr>
              <w:rPr>
                <w:rFonts w:eastAsia="Times New Roman" w:cs="Calibri"/>
                <w:color w:val="FFFFFF" w:themeColor="background1"/>
                <w:lang w:val="es-CR"/>
              </w:rPr>
            </w:pP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noWrap/>
          </w:tcPr>
          <w:p w14:paraId="3A7B5C48" w14:textId="77777777" w:rsidR="00E2531A" w:rsidRPr="00980068" w:rsidRDefault="00E2531A" w:rsidP="00C50A6E">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FFFFFF" w:themeColor="background1"/>
                <w:lang w:val="es-CR"/>
              </w:rPr>
            </w:pPr>
            <w:r w:rsidRPr="00980068">
              <w:rPr>
                <w:rFonts w:eastAsia="Times New Roman" w:cs="Calibri"/>
                <w:b/>
                <w:bCs/>
                <w:color w:val="FFFFFF" w:themeColor="background1"/>
                <w:lang w:val="es-CR"/>
              </w:rPr>
              <w:t>Monto</w:t>
            </w: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noWrap/>
          </w:tcPr>
          <w:p w14:paraId="298FFED7" w14:textId="77777777" w:rsidR="00E2531A" w:rsidRPr="00980068" w:rsidRDefault="00E2531A" w:rsidP="00C50A6E">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FFFFFF" w:themeColor="background1"/>
                <w:lang w:val="es-CR"/>
              </w:rPr>
            </w:pPr>
            <w:r w:rsidRPr="00980068">
              <w:rPr>
                <w:rFonts w:eastAsia="Times New Roman" w:cs="Calibri"/>
                <w:b/>
                <w:bCs/>
                <w:color w:val="FFFFFF" w:themeColor="background1"/>
                <w:lang w:val="es-CR"/>
              </w:rPr>
              <w:t>%</w:t>
            </w:r>
          </w:p>
        </w:tc>
        <w:tc>
          <w:tcPr>
            <w:tcW w:w="125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noWrap/>
          </w:tcPr>
          <w:p w14:paraId="143038ED" w14:textId="77777777" w:rsidR="00E2531A" w:rsidRPr="00980068" w:rsidRDefault="00E2531A" w:rsidP="00C50A6E">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FFFFFF" w:themeColor="background1"/>
                <w:lang w:val="es-CR"/>
              </w:rPr>
            </w:pPr>
            <w:r w:rsidRPr="00980068">
              <w:rPr>
                <w:rFonts w:eastAsia="Times New Roman" w:cs="Calibri"/>
                <w:b/>
                <w:bCs/>
                <w:color w:val="FFFFFF" w:themeColor="background1"/>
                <w:lang w:val="es-CR"/>
              </w:rPr>
              <w:t>Monto</w:t>
            </w:r>
          </w:p>
        </w:tc>
        <w:tc>
          <w:tcPr>
            <w:tcW w:w="75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noWrap/>
          </w:tcPr>
          <w:p w14:paraId="1904A621" w14:textId="77777777" w:rsidR="00E2531A" w:rsidRPr="00980068" w:rsidRDefault="00E2531A" w:rsidP="00C50A6E">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FFFFFF" w:themeColor="background1"/>
                <w:lang w:val="es-CR"/>
              </w:rPr>
            </w:pPr>
            <w:r w:rsidRPr="00980068">
              <w:rPr>
                <w:rFonts w:eastAsia="Times New Roman" w:cs="Calibri"/>
                <w:b/>
                <w:bCs/>
                <w:color w:val="FFFFFF" w:themeColor="background1"/>
                <w:lang w:val="es-CR"/>
              </w:rPr>
              <w:t>%</w:t>
            </w: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noWrap/>
          </w:tcPr>
          <w:p w14:paraId="62660525" w14:textId="77777777" w:rsidR="00E2531A" w:rsidRPr="00980068" w:rsidRDefault="00E2531A" w:rsidP="00C50A6E">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FFFFFF" w:themeColor="background1"/>
                <w:lang w:val="es-CR"/>
              </w:rPr>
            </w:pPr>
            <w:r w:rsidRPr="00980068">
              <w:rPr>
                <w:rFonts w:eastAsia="Times New Roman" w:cs="Calibri"/>
                <w:b/>
                <w:bCs/>
                <w:color w:val="FFFFFF" w:themeColor="background1"/>
                <w:lang w:val="es-CR"/>
              </w:rPr>
              <w:t>Monto</w:t>
            </w: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noWrap/>
          </w:tcPr>
          <w:p w14:paraId="7EE04F61" w14:textId="77777777" w:rsidR="00E2531A" w:rsidRPr="00980068" w:rsidRDefault="00E2531A" w:rsidP="00C50A6E">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FFFFFF" w:themeColor="background1"/>
                <w:lang w:val="es-CR"/>
              </w:rPr>
            </w:pPr>
            <w:r w:rsidRPr="00980068">
              <w:rPr>
                <w:rFonts w:eastAsia="Times New Roman" w:cs="Calibri"/>
                <w:b/>
                <w:bCs/>
                <w:color w:val="FFFFFF" w:themeColor="background1"/>
                <w:lang w:val="es-CR"/>
              </w:rPr>
              <w:t>%</w:t>
            </w:r>
          </w:p>
        </w:tc>
        <w:tc>
          <w:tcPr>
            <w:tcW w:w="121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noWrap/>
          </w:tcPr>
          <w:p w14:paraId="7E522E80" w14:textId="77777777" w:rsidR="00E2531A" w:rsidRPr="00980068" w:rsidRDefault="00E2531A" w:rsidP="00C50A6E">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FFFFFF" w:themeColor="background1"/>
                <w:lang w:val="es-CR"/>
              </w:rPr>
            </w:pPr>
            <w:r w:rsidRPr="00980068">
              <w:rPr>
                <w:rFonts w:eastAsia="Times New Roman" w:cs="Calibri"/>
                <w:b/>
                <w:bCs/>
                <w:color w:val="FFFFFF" w:themeColor="background1"/>
                <w:lang w:val="es-CR"/>
              </w:rPr>
              <w:t>Monto</w:t>
            </w:r>
          </w:p>
        </w:tc>
      </w:tr>
      <w:tr w:rsidR="00E2531A" w:rsidRPr="00CF1CB5" w14:paraId="26BF5F51" w14:textId="77777777" w:rsidTr="00C50A6E">
        <w:trPr>
          <w:gridAfter w:val="1"/>
          <w:wAfter w:w="15" w:type="dxa"/>
          <w:trHeight w:val="235"/>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DB3E2" w:themeColor="text2" w:themeTint="66"/>
            </w:tcBorders>
            <w:noWrap/>
            <w:hideMark/>
          </w:tcPr>
          <w:p w14:paraId="692E5EE0" w14:textId="77777777" w:rsidR="00E2531A" w:rsidRPr="00CF1CB5" w:rsidRDefault="00E2531A" w:rsidP="00C50A6E">
            <w:pPr>
              <w:rPr>
                <w:rFonts w:eastAsia="Times New Roman" w:cs="Calibri"/>
                <w:lang w:val="es-CR"/>
              </w:rPr>
            </w:pPr>
            <w:r w:rsidRPr="00CF1CB5">
              <w:rPr>
                <w:rFonts w:eastAsia="Times New Roman" w:cs="Calibri"/>
                <w:lang w:val="es-CR"/>
              </w:rPr>
              <w:t>Régimen Básico (RIVM)</w:t>
            </w:r>
          </w:p>
        </w:tc>
        <w:tc>
          <w:tcPr>
            <w:tcW w:w="0" w:type="auto"/>
            <w:tcBorders>
              <w:top w:val="single" w:sz="4" w:space="0" w:color="8DB3E2" w:themeColor="text2" w:themeTint="66"/>
            </w:tcBorders>
            <w:noWrap/>
            <w:hideMark/>
          </w:tcPr>
          <w:p w14:paraId="32FAB5DB" w14:textId="77777777" w:rsidR="00E2531A" w:rsidRPr="00CF1CB5" w:rsidRDefault="00E2531A" w:rsidP="00C50A6E">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CF1CB5">
              <w:rPr>
                <w:rFonts w:eastAsia="Times New Roman" w:cs="Calibri"/>
                <w:lang w:val="es-CR"/>
              </w:rPr>
              <w:t xml:space="preserve"> -   </w:t>
            </w:r>
          </w:p>
        </w:tc>
        <w:tc>
          <w:tcPr>
            <w:tcW w:w="0" w:type="auto"/>
            <w:tcBorders>
              <w:top w:val="single" w:sz="4" w:space="0" w:color="8DB3E2" w:themeColor="text2" w:themeTint="66"/>
            </w:tcBorders>
            <w:noWrap/>
            <w:hideMark/>
          </w:tcPr>
          <w:p w14:paraId="571F5D69" w14:textId="77777777" w:rsidR="00E2531A" w:rsidRPr="00CF1CB5" w:rsidRDefault="00E2531A" w:rsidP="00C50A6E">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CF1CB5">
              <w:rPr>
                <w:rFonts w:eastAsia="Times New Roman" w:cs="Calibri"/>
                <w:lang w:val="es-CR"/>
              </w:rPr>
              <w:t>0,0%</w:t>
            </w:r>
          </w:p>
        </w:tc>
        <w:tc>
          <w:tcPr>
            <w:tcW w:w="1252" w:type="dxa"/>
            <w:tcBorders>
              <w:top w:val="single" w:sz="4" w:space="0" w:color="8DB3E2" w:themeColor="text2" w:themeTint="66"/>
            </w:tcBorders>
            <w:noWrap/>
            <w:hideMark/>
          </w:tcPr>
          <w:p w14:paraId="694F7097" w14:textId="77777777" w:rsidR="00E2531A" w:rsidRPr="00CF1CB5" w:rsidRDefault="00E2531A" w:rsidP="00C50A6E">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CF1CB5">
              <w:rPr>
                <w:rFonts w:eastAsia="Times New Roman" w:cs="Calibri"/>
                <w:lang w:val="es-CR"/>
              </w:rPr>
              <w:t xml:space="preserve"> 112 474 </w:t>
            </w:r>
          </w:p>
        </w:tc>
        <w:tc>
          <w:tcPr>
            <w:tcW w:w="751" w:type="dxa"/>
            <w:tcBorders>
              <w:top w:val="single" w:sz="4" w:space="0" w:color="8DB3E2" w:themeColor="text2" w:themeTint="66"/>
            </w:tcBorders>
            <w:noWrap/>
            <w:hideMark/>
          </w:tcPr>
          <w:p w14:paraId="279F3CD4" w14:textId="77777777" w:rsidR="00E2531A" w:rsidRPr="00CF1CB5" w:rsidRDefault="00E2531A" w:rsidP="00C50A6E">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CF1CB5">
              <w:rPr>
                <w:rFonts w:eastAsia="Times New Roman" w:cs="Calibri"/>
                <w:lang w:val="es-CR"/>
              </w:rPr>
              <w:t>4,</w:t>
            </w:r>
            <w:r>
              <w:rPr>
                <w:rFonts w:eastAsia="Times New Roman" w:cs="Calibri"/>
                <w:lang w:val="es-CR"/>
              </w:rPr>
              <w:t>8</w:t>
            </w:r>
            <w:r w:rsidRPr="00CF1CB5">
              <w:rPr>
                <w:rFonts w:eastAsia="Times New Roman" w:cs="Calibri"/>
                <w:lang w:val="es-CR"/>
              </w:rPr>
              <w:t>%</w:t>
            </w:r>
          </w:p>
        </w:tc>
        <w:tc>
          <w:tcPr>
            <w:tcW w:w="0" w:type="auto"/>
            <w:tcBorders>
              <w:top w:val="single" w:sz="4" w:space="0" w:color="8DB3E2" w:themeColor="text2" w:themeTint="66"/>
            </w:tcBorders>
            <w:noWrap/>
            <w:hideMark/>
          </w:tcPr>
          <w:p w14:paraId="22ED610B" w14:textId="77777777" w:rsidR="00E2531A" w:rsidRPr="00CF1CB5" w:rsidRDefault="00E2531A" w:rsidP="00C50A6E">
            <w:pPr>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CF1CB5">
              <w:rPr>
                <w:rFonts w:eastAsia="Times New Roman" w:cs="Calibri"/>
                <w:lang w:val="es-CR"/>
              </w:rPr>
              <w:t xml:space="preserve">     2 257 556 </w:t>
            </w:r>
          </w:p>
        </w:tc>
        <w:tc>
          <w:tcPr>
            <w:tcW w:w="0" w:type="auto"/>
            <w:tcBorders>
              <w:top w:val="single" w:sz="4" w:space="0" w:color="8DB3E2" w:themeColor="text2" w:themeTint="66"/>
            </w:tcBorders>
            <w:noWrap/>
            <w:hideMark/>
          </w:tcPr>
          <w:p w14:paraId="07B0962D" w14:textId="77777777" w:rsidR="00E2531A" w:rsidRPr="00CF1CB5" w:rsidRDefault="00E2531A" w:rsidP="00C50A6E">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CF1CB5">
              <w:rPr>
                <w:rFonts w:eastAsia="Times New Roman" w:cs="Calibri"/>
                <w:lang w:val="es-CR"/>
              </w:rPr>
              <w:t>95,</w:t>
            </w:r>
            <w:r>
              <w:rPr>
                <w:rFonts w:eastAsia="Times New Roman" w:cs="Calibri"/>
                <w:lang w:val="es-CR"/>
              </w:rPr>
              <w:t>3</w:t>
            </w:r>
            <w:r w:rsidRPr="00CF1CB5">
              <w:rPr>
                <w:rFonts w:eastAsia="Times New Roman" w:cs="Calibri"/>
                <w:lang w:val="es-CR"/>
              </w:rPr>
              <w:t>%</w:t>
            </w:r>
          </w:p>
        </w:tc>
        <w:tc>
          <w:tcPr>
            <w:tcW w:w="1216" w:type="dxa"/>
            <w:tcBorders>
              <w:top w:val="single" w:sz="4" w:space="0" w:color="8DB3E2" w:themeColor="text2" w:themeTint="66"/>
            </w:tcBorders>
            <w:noWrap/>
            <w:hideMark/>
          </w:tcPr>
          <w:p w14:paraId="1C7DF226" w14:textId="77777777" w:rsidR="00E2531A" w:rsidRPr="00CF1CB5" w:rsidRDefault="00E2531A" w:rsidP="00C50A6E">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CF1CB5">
              <w:rPr>
                <w:rFonts w:eastAsia="Times New Roman" w:cs="Calibri"/>
                <w:lang w:val="es-CR"/>
              </w:rPr>
              <w:t xml:space="preserve"> 2 370 030</w:t>
            </w:r>
          </w:p>
        </w:tc>
      </w:tr>
      <w:tr w:rsidR="00E2531A" w:rsidRPr="00CF1CB5" w14:paraId="3D267902" w14:textId="77777777" w:rsidTr="00C50A6E">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10505" w:type="dxa"/>
            <w:gridSpan w:val="9"/>
            <w:noWrap/>
            <w:hideMark/>
          </w:tcPr>
          <w:p w14:paraId="16B87328" w14:textId="77777777" w:rsidR="00E2531A" w:rsidRPr="00CF1CB5" w:rsidRDefault="00E2531A" w:rsidP="00C50A6E">
            <w:pPr>
              <w:rPr>
                <w:rFonts w:eastAsia="Times New Roman" w:cs="Calibri"/>
                <w:lang w:val="es-CR"/>
              </w:rPr>
            </w:pPr>
            <w:r w:rsidRPr="00CF1CB5">
              <w:rPr>
                <w:rFonts w:eastAsia="Times New Roman" w:cs="Calibri"/>
                <w:lang w:val="es-CR"/>
              </w:rPr>
              <w:t>Regímenes Básicos Sustitutos</w:t>
            </w:r>
          </w:p>
        </w:tc>
      </w:tr>
      <w:tr w:rsidR="00E2531A" w:rsidRPr="00CF1CB5" w14:paraId="2B8445F4" w14:textId="77777777" w:rsidTr="00C50A6E">
        <w:trPr>
          <w:gridAfter w:val="1"/>
          <w:wAfter w:w="15" w:type="dxa"/>
          <w:trHeight w:val="23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7FD1367" w14:textId="77777777" w:rsidR="00E2531A" w:rsidRPr="00CF1CB5" w:rsidRDefault="00E2531A" w:rsidP="00C50A6E">
            <w:pPr>
              <w:rPr>
                <w:rFonts w:eastAsia="Times New Roman" w:cs="Calibri"/>
                <w:lang w:val="es-CR"/>
              </w:rPr>
            </w:pPr>
            <w:r w:rsidRPr="00CF1CB5">
              <w:rPr>
                <w:rFonts w:eastAsia="Times New Roman" w:cs="Calibri"/>
                <w:lang w:val="es-CR"/>
              </w:rPr>
              <w:t xml:space="preserve">     FCCMN</w:t>
            </w:r>
          </w:p>
        </w:tc>
        <w:tc>
          <w:tcPr>
            <w:tcW w:w="0" w:type="auto"/>
            <w:noWrap/>
            <w:hideMark/>
          </w:tcPr>
          <w:p w14:paraId="12DE0972" w14:textId="77777777" w:rsidR="00E2531A" w:rsidRPr="00CF1CB5" w:rsidRDefault="00E2531A" w:rsidP="00C50A6E">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CF1CB5">
              <w:rPr>
                <w:rFonts w:eastAsia="Times New Roman" w:cs="Calibri"/>
                <w:lang w:val="es-CR"/>
              </w:rPr>
              <w:t xml:space="preserve"> -   </w:t>
            </w:r>
          </w:p>
        </w:tc>
        <w:tc>
          <w:tcPr>
            <w:tcW w:w="0" w:type="auto"/>
            <w:noWrap/>
            <w:hideMark/>
          </w:tcPr>
          <w:p w14:paraId="6B1D28A3" w14:textId="77777777" w:rsidR="00E2531A" w:rsidRPr="00CF1CB5" w:rsidRDefault="00E2531A" w:rsidP="00C50A6E">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CF1CB5">
              <w:rPr>
                <w:rFonts w:eastAsia="Times New Roman" w:cs="Calibri"/>
                <w:lang w:val="es-CR"/>
              </w:rPr>
              <w:t>0,0%</w:t>
            </w:r>
          </w:p>
        </w:tc>
        <w:tc>
          <w:tcPr>
            <w:tcW w:w="1252" w:type="dxa"/>
            <w:noWrap/>
            <w:hideMark/>
          </w:tcPr>
          <w:p w14:paraId="58ACE754" w14:textId="77777777" w:rsidR="00E2531A" w:rsidRPr="00CF1CB5" w:rsidRDefault="00E2531A" w:rsidP="00C50A6E">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CF1CB5">
              <w:rPr>
                <w:rFonts w:eastAsia="Times New Roman" w:cs="Calibri"/>
                <w:lang w:val="es-CR"/>
              </w:rPr>
              <w:t xml:space="preserve">448 367 </w:t>
            </w:r>
          </w:p>
        </w:tc>
        <w:tc>
          <w:tcPr>
            <w:tcW w:w="751" w:type="dxa"/>
            <w:noWrap/>
            <w:hideMark/>
          </w:tcPr>
          <w:p w14:paraId="7C3373EE" w14:textId="77777777" w:rsidR="00E2531A" w:rsidRPr="00CF1CB5" w:rsidRDefault="00E2531A" w:rsidP="00C50A6E">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CF1CB5">
              <w:t>15,2%</w:t>
            </w:r>
          </w:p>
        </w:tc>
        <w:tc>
          <w:tcPr>
            <w:tcW w:w="0" w:type="auto"/>
            <w:noWrap/>
            <w:hideMark/>
          </w:tcPr>
          <w:p w14:paraId="5CF3594F" w14:textId="77777777" w:rsidR="00E2531A" w:rsidRPr="00CF1CB5" w:rsidRDefault="00E2531A" w:rsidP="00C50A6E">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CF1CB5">
              <w:rPr>
                <w:rFonts w:eastAsia="Times New Roman" w:cs="Calibri"/>
                <w:lang w:val="es-CR"/>
              </w:rPr>
              <w:t xml:space="preserve">     2 500 375 </w:t>
            </w:r>
          </w:p>
        </w:tc>
        <w:tc>
          <w:tcPr>
            <w:tcW w:w="0" w:type="auto"/>
            <w:noWrap/>
            <w:hideMark/>
          </w:tcPr>
          <w:p w14:paraId="7EB6229B" w14:textId="77777777" w:rsidR="00E2531A" w:rsidRPr="00CF1CB5" w:rsidRDefault="00E2531A" w:rsidP="00C50A6E">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CF1CB5">
              <w:t>84,</w:t>
            </w:r>
            <w:r>
              <w:t>8</w:t>
            </w:r>
            <w:r w:rsidRPr="00CF1CB5">
              <w:t>%</w:t>
            </w:r>
          </w:p>
        </w:tc>
        <w:tc>
          <w:tcPr>
            <w:tcW w:w="1216" w:type="dxa"/>
            <w:noWrap/>
            <w:hideMark/>
          </w:tcPr>
          <w:p w14:paraId="2C5A9EA1" w14:textId="77777777" w:rsidR="00E2531A" w:rsidRPr="00CF1CB5" w:rsidRDefault="00E2531A" w:rsidP="00C50A6E">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CF1CB5">
              <w:rPr>
                <w:rFonts w:eastAsia="Times New Roman" w:cs="Calibri"/>
                <w:lang w:val="es-CR"/>
              </w:rPr>
              <w:t xml:space="preserve"> 2 948 742 </w:t>
            </w:r>
          </w:p>
        </w:tc>
      </w:tr>
      <w:tr w:rsidR="00E2531A" w:rsidRPr="00CF1CB5" w14:paraId="4F561659" w14:textId="77777777" w:rsidTr="00C50A6E">
        <w:trPr>
          <w:gridAfter w:val="1"/>
          <w:cnfStyle w:val="000000100000" w:firstRow="0" w:lastRow="0" w:firstColumn="0" w:lastColumn="0" w:oddVBand="0" w:evenVBand="0" w:oddHBand="1" w:evenHBand="0" w:firstRowFirstColumn="0" w:firstRowLastColumn="0" w:lastRowFirstColumn="0" w:lastRowLastColumn="0"/>
          <w:wAfter w:w="15" w:type="dxa"/>
          <w:trHeight w:val="23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C7C75B7" w14:textId="77777777" w:rsidR="00E2531A" w:rsidRPr="00CF1CB5" w:rsidRDefault="00E2531A" w:rsidP="00C50A6E">
            <w:pPr>
              <w:rPr>
                <w:rFonts w:eastAsia="Times New Roman" w:cs="Calibri"/>
                <w:lang w:val="es-CR"/>
              </w:rPr>
            </w:pPr>
            <w:r w:rsidRPr="00CF1CB5">
              <w:rPr>
                <w:rFonts w:eastAsia="Times New Roman" w:cs="Calibri"/>
                <w:lang w:val="es-CR"/>
              </w:rPr>
              <w:t xml:space="preserve">     FPJ</w:t>
            </w:r>
          </w:p>
        </w:tc>
        <w:tc>
          <w:tcPr>
            <w:tcW w:w="0" w:type="auto"/>
            <w:noWrap/>
            <w:hideMark/>
          </w:tcPr>
          <w:p w14:paraId="1DBC9951" w14:textId="77777777" w:rsidR="00E2531A" w:rsidRPr="00CF1CB5" w:rsidRDefault="00E2531A" w:rsidP="00C50A6E">
            <w:pPr>
              <w:jc w:val="right"/>
              <w:cnfStyle w:val="000000100000" w:firstRow="0" w:lastRow="0" w:firstColumn="0" w:lastColumn="0" w:oddVBand="0" w:evenVBand="0" w:oddHBand="1" w:evenHBand="0" w:firstRowFirstColumn="0" w:firstRowLastColumn="0" w:lastRowFirstColumn="0" w:lastRowLastColumn="0"/>
              <w:rPr>
                <w:rFonts w:eastAsia="Times New Roman" w:cs="Calibri"/>
                <w:lang w:val="es-CR"/>
              </w:rPr>
            </w:pPr>
            <w:r w:rsidRPr="00CF1CB5">
              <w:rPr>
                <w:rFonts w:eastAsia="Times New Roman" w:cs="Calibri"/>
                <w:lang w:val="es-CR"/>
              </w:rPr>
              <w:t xml:space="preserve"> -   </w:t>
            </w:r>
          </w:p>
        </w:tc>
        <w:tc>
          <w:tcPr>
            <w:tcW w:w="0" w:type="auto"/>
            <w:noWrap/>
            <w:hideMark/>
          </w:tcPr>
          <w:p w14:paraId="675275DD" w14:textId="77777777" w:rsidR="00E2531A" w:rsidRPr="00CF1CB5" w:rsidRDefault="00E2531A" w:rsidP="00C50A6E">
            <w:pPr>
              <w:jc w:val="right"/>
              <w:cnfStyle w:val="000000100000" w:firstRow="0" w:lastRow="0" w:firstColumn="0" w:lastColumn="0" w:oddVBand="0" w:evenVBand="0" w:oddHBand="1" w:evenHBand="0" w:firstRowFirstColumn="0" w:firstRowLastColumn="0" w:lastRowFirstColumn="0" w:lastRowLastColumn="0"/>
              <w:rPr>
                <w:rFonts w:eastAsia="Times New Roman" w:cs="Calibri"/>
                <w:lang w:val="es-CR"/>
              </w:rPr>
            </w:pPr>
            <w:r w:rsidRPr="00CF1CB5">
              <w:rPr>
                <w:rFonts w:eastAsia="Times New Roman" w:cs="Calibri"/>
                <w:lang w:val="es-CR"/>
              </w:rPr>
              <w:t>0,0%</w:t>
            </w:r>
          </w:p>
        </w:tc>
        <w:tc>
          <w:tcPr>
            <w:tcW w:w="1252" w:type="dxa"/>
            <w:noWrap/>
            <w:hideMark/>
          </w:tcPr>
          <w:p w14:paraId="61809D63" w14:textId="77777777" w:rsidR="00E2531A" w:rsidRPr="00CF1CB5" w:rsidRDefault="00E2531A" w:rsidP="00C50A6E">
            <w:pPr>
              <w:jc w:val="right"/>
              <w:cnfStyle w:val="000000100000" w:firstRow="0" w:lastRow="0" w:firstColumn="0" w:lastColumn="0" w:oddVBand="0" w:evenVBand="0" w:oddHBand="1" w:evenHBand="0" w:firstRowFirstColumn="0" w:firstRowLastColumn="0" w:lastRowFirstColumn="0" w:lastRowLastColumn="0"/>
              <w:rPr>
                <w:rFonts w:eastAsia="Times New Roman" w:cs="Calibri"/>
                <w:lang w:val="es-CR"/>
              </w:rPr>
            </w:pPr>
            <w:r w:rsidRPr="00CF1CB5">
              <w:rPr>
                <w:rFonts w:eastAsia="Times New Roman" w:cs="Calibri"/>
                <w:lang w:val="es-CR"/>
              </w:rPr>
              <w:t xml:space="preserve">115 344 </w:t>
            </w:r>
          </w:p>
        </w:tc>
        <w:tc>
          <w:tcPr>
            <w:tcW w:w="751" w:type="dxa"/>
            <w:noWrap/>
            <w:hideMark/>
          </w:tcPr>
          <w:p w14:paraId="1E22D3B5" w14:textId="77777777" w:rsidR="00E2531A" w:rsidRPr="00CF1CB5" w:rsidRDefault="00E2531A" w:rsidP="00C50A6E">
            <w:pPr>
              <w:jc w:val="right"/>
              <w:cnfStyle w:val="000000100000" w:firstRow="0" w:lastRow="0" w:firstColumn="0" w:lastColumn="0" w:oddVBand="0" w:evenVBand="0" w:oddHBand="1" w:evenHBand="0" w:firstRowFirstColumn="0" w:firstRowLastColumn="0" w:lastRowFirstColumn="0" w:lastRowLastColumn="0"/>
              <w:rPr>
                <w:rFonts w:eastAsia="Times New Roman" w:cs="Calibri"/>
                <w:lang w:val="es-CR"/>
              </w:rPr>
            </w:pPr>
            <w:r w:rsidRPr="00CF1CB5">
              <w:t>19,0%</w:t>
            </w:r>
          </w:p>
        </w:tc>
        <w:tc>
          <w:tcPr>
            <w:tcW w:w="0" w:type="auto"/>
            <w:noWrap/>
            <w:hideMark/>
          </w:tcPr>
          <w:p w14:paraId="39207A15" w14:textId="77777777" w:rsidR="00E2531A" w:rsidRPr="00CF1CB5" w:rsidRDefault="00E2531A" w:rsidP="00C50A6E">
            <w:pPr>
              <w:jc w:val="right"/>
              <w:cnfStyle w:val="000000100000" w:firstRow="0" w:lastRow="0" w:firstColumn="0" w:lastColumn="0" w:oddVBand="0" w:evenVBand="0" w:oddHBand="1" w:evenHBand="0" w:firstRowFirstColumn="0" w:firstRowLastColumn="0" w:lastRowFirstColumn="0" w:lastRowLastColumn="0"/>
              <w:rPr>
                <w:rFonts w:eastAsia="Times New Roman" w:cs="Calibri"/>
                <w:lang w:val="es-CR"/>
              </w:rPr>
            </w:pPr>
            <w:r w:rsidRPr="00CF1CB5">
              <w:rPr>
                <w:rFonts w:eastAsia="Times New Roman" w:cs="Calibri"/>
                <w:lang w:val="es-CR"/>
              </w:rPr>
              <w:t xml:space="preserve"> 489 989 </w:t>
            </w:r>
          </w:p>
        </w:tc>
        <w:tc>
          <w:tcPr>
            <w:tcW w:w="0" w:type="auto"/>
            <w:noWrap/>
            <w:hideMark/>
          </w:tcPr>
          <w:p w14:paraId="2DF83B5E" w14:textId="77777777" w:rsidR="00E2531A" w:rsidRPr="00CF1CB5" w:rsidRDefault="00E2531A" w:rsidP="00C50A6E">
            <w:pPr>
              <w:jc w:val="right"/>
              <w:cnfStyle w:val="000000100000" w:firstRow="0" w:lastRow="0" w:firstColumn="0" w:lastColumn="0" w:oddVBand="0" w:evenVBand="0" w:oddHBand="1" w:evenHBand="0" w:firstRowFirstColumn="0" w:firstRowLastColumn="0" w:lastRowFirstColumn="0" w:lastRowLastColumn="0"/>
              <w:rPr>
                <w:rFonts w:eastAsia="Times New Roman" w:cs="Calibri"/>
                <w:lang w:val="es-CR"/>
              </w:rPr>
            </w:pPr>
            <w:r w:rsidRPr="00CF1CB5">
              <w:t>80,9%</w:t>
            </w:r>
          </w:p>
        </w:tc>
        <w:tc>
          <w:tcPr>
            <w:tcW w:w="1216" w:type="dxa"/>
            <w:noWrap/>
            <w:hideMark/>
          </w:tcPr>
          <w:p w14:paraId="270A406B" w14:textId="77777777" w:rsidR="00E2531A" w:rsidRPr="00CF1CB5" w:rsidRDefault="00E2531A" w:rsidP="00C50A6E">
            <w:pPr>
              <w:jc w:val="right"/>
              <w:cnfStyle w:val="000000100000" w:firstRow="0" w:lastRow="0" w:firstColumn="0" w:lastColumn="0" w:oddVBand="0" w:evenVBand="0" w:oddHBand="1" w:evenHBand="0" w:firstRowFirstColumn="0" w:firstRowLastColumn="0" w:lastRowFirstColumn="0" w:lastRowLastColumn="0"/>
              <w:rPr>
                <w:rFonts w:eastAsia="Times New Roman" w:cs="Calibri"/>
                <w:lang w:val="es-CR"/>
              </w:rPr>
            </w:pPr>
            <w:r w:rsidRPr="00CF1CB5">
              <w:rPr>
                <w:rFonts w:eastAsia="Times New Roman" w:cs="Calibri"/>
                <w:lang w:val="es-CR"/>
              </w:rPr>
              <w:t xml:space="preserve">    605 333 </w:t>
            </w:r>
          </w:p>
        </w:tc>
      </w:tr>
      <w:tr w:rsidR="00E2531A" w:rsidRPr="00CF1CB5" w14:paraId="7F708D19" w14:textId="77777777" w:rsidTr="00C50A6E">
        <w:trPr>
          <w:gridAfter w:val="1"/>
          <w:wAfter w:w="15" w:type="dxa"/>
          <w:trHeight w:val="235"/>
          <w:jc w:val="center"/>
        </w:trPr>
        <w:tc>
          <w:tcPr>
            <w:cnfStyle w:val="001000000000" w:firstRow="0" w:lastRow="0" w:firstColumn="1" w:lastColumn="0" w:oddVBand="0" w:evenVBand="0" w:oddHBand="0" w:evenHBand="0" w:firstRowFirstColumn="0" w:firstRowLastColumn="0" w:lastRowFirstColumn="0" w:lastRowLastColumn="0"/>
            <w:tcW w:w="0" w:type="auto"/>
            <w:noWrap/>
          </w:tcPr>
          <w:p w14:paraId="34A42721" w14:textId="77777777" w:rsidR="00E2531A" w:rsidRPr="00CF1CB5" w:rsidRDefault="00E2531A" w:rsidP="00C50A6E">
            <w:pPr>
              <w:rPr>
                <w:rFonts w:eastAsia="Times New Roman" w:cs="Calibri"/>
                <w:lang w:val="es-CR"/>
              </w:rPr>
            </w:pPr>
            <w:r w:rsidRPr="00CF1CB5">
              <w:rPr>
                <w:rFonts w:eastAsia="Times New Roman" w:cs="Calibri"/>
                <w:lang w:val="es-CR"/>
              </w:rPr>
              <w:t xml:space="preserve">     FBOMBEROS</w:t>
            </w:r>
          </w:p>
        </w:tc>
        <w:tc>
          <w:tcPr>
            <w:tcW w:w="0" w:type="auto"/>
            <w:noWrap/>
          </w:tcPr>
          <w:p w14:paraId="187DEBD1" w14:textId="77777777" w:rsidR="00E2531A" w:rsidRPr="00CF1CB5" w:rsidRDefault="00E2531A" w:rsidP="00C50A6E">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CF1CB5">
              <w:rPr>
                <w:rFonts w:eastAsia="Times New Roman" w:cs="Calibri"/>
                <w:lang w:val="es-CR"/>
              </w:rPr>
              <w:t xml:space="preserve"> -   </w:t>
            </w:r>
          </w:p>
        </w:tc>
        <w:tc>
          <w:tcPr>
            <w:tcW w:w="0" w:type="auto"/>
            <w:noWrap/>
          </w:tcPr>
          <w:p w14:paraId="31CC67B3" w14:textId="77777777" w:rsidR="00E2531A" w:rsidRPr="00CF1CB5" w:rsidRDefault="00E2531A" w:rsidP="00C50A6E">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CF1CB5">
              <w:rPr>
                <w:rFonts w:eastAsia="Times New Roman" w:cs="Calibri"/>
                <w:lang w:val="es-CR"/>
              </w:rPr>
              <w:t>0,0%</w:t>
            </w:r>
          </w:p>
        </w:tc>
        <w:tc>
          <w:tcPr>
            <w:tcW w:w="1252" w:type="dxa"/>
            <w:noWrap/>
          </w:tcPr>
          <w:p w14:paraId="09B30F67" w14:textId="77777777" w:rsidR="00E2531A" w:rsidRPr="00CF1CB5" w:rsidRDefault="00E2531A" w:rsidP="00C50A6E">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CF1CB5">
              <w:rPr>
                <w:rFonts w:eastAsia="Times New Roman" w:cs="Calibri"/>
                <w:lang w:val="es-CR"/>
              </w:rPr>
              <w:t xml:space="preserve">16 169 </w:t>
            </w:r>
          </w:p>
        </w:tc>
        <w:tc>
          <w:tcPr>
            <w:tcW w:w="751" w:type="dxa"/>
            <w:noWrap/>
          </w:tcPr>
          <w:p w14:paraId="35629FEF" w14:textId="77777777" w:rsidR="00E2531A" w:rsidRPr="00CF1CB5" w:rsidRDefault="00E2531A" w:rsidP="00C50A6E">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CF1CB5">
              <w:t>32,5%</w:t>
            </w:r>
          </w:p>
        </w:tc>
        <w:tc>
          <w:tcPr>
            <w:tcW w:w="0" w:type="auto"/>
            <w:noWrap/>
          </w:tcPr>
          <w:p w14:paraId="239E7289" w14:textId="77777777" w:rsidR="00E2531A" w:rsidRPr="00CF1CB5" w:rsidRDefault="00E2531A" w:rsidP="00C50A6E">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CF1CB5">
              <w:rPr>
                <w:rFonts w:eastAsia="Times New Roman" w:cs="Calibri"/>
                <w:lang w:val="es-CR"/>
              </w:rPr>
              <w:t xml:space="preserve">33 579 </w:t>
            </w:r>
          </w:p>
        </w:tc>
        <w:tc>
          <w:tcPr>
            <w:tcW w:w="0" w:type="auto"/>
            <w:noWrap/>
          </w:tcPr>
          <w:p w14:paraId="109CBC07" w14:textId="77777777" w:rsidR="00E2531A" w:rsidRPr="00CF1CB5" w:rsidRDefault="00E2531A" w:rsidP="00C50A6E">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CF1CB5">
              <w:t>67,5%</w:t>
            </w:r>
          </w:p>
        </w:tc>
        <w:tc>
          <w:tcPr>
            <w:tcW w:w="1216" w:type="dxa"/>
            <w:noWrap/>
          </w:tcPr>
          <w:p w14:paraId="67E60C3E" w14:textId="77777777" w:rsidR="00E2531A" w:rsidRPr="00CF1CB5" w:rsidRDefault="00E2531A" w:rsidP="00C50A6E">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CF1CB5">
              <w:rPr>
                <w:rFonts w:eastAsia="Times New Roman" w:cs="Calibri"/>
                <w:lang w:val="es-CR"/>
              </w:rPr>
              <w:t xml:space="preserve">       49 748 </w:t>
            </w:r>
          </w:p>
        </w:tc>
      </w:tr>
      <w:tr w:rsidR="00E2531A" w:rsidRPr="00CF1CB5" w14:paraId="4513504E" w14:textId="77777777" w:rsidTr="00C50A6E">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10505" w:type="dxa"/>
            <w:gridSpan w:val="9"/>
            <w:noWrap/>
            <w:hideMark/>
          </w:tcPr>
          <w:p w14:paraId="1BE1EB79" w14:textId="77777777" w:rsidR="00E2531A" w:rsidRPr="00CF1CB5" w:rsidRDefault="00E2531A" w:rsidP="00C50A6E">
            <w:pPr>
              <w:rPr>
                <w:rFonts w:eastAsia="Times New Roman" w:cs="Calibri"/>
                <w:lang w:val="es-CR"/>
              </w:rPr>
            </w:pPr>
            <w:r w:rsidRPr="00CF1CB5">
              <w:rPr>
                <w:rFonts w:eastAsia="Times New Roman" w:cs="Calibri"/>
                <w:lang w:val="es-CR"/>
              </w:rPr>
              <w:t>Regímenes Ocupacionales Complementarios</w:t>
            </w:r>
          </w:p>
        </w:tc>
      </w:tr>
      <w:tr w:rsidR="00E2531A" w:rsidRPr="00CF1CB5" w14:paraId="2451619F" w14:textId="77777777" w:rsidTr="00C50A6E">
        <w:trPr>
          <w:gridAfter w:val="1"/>
          <w:wAfter w:w="15" w:type="dxa"/>
          <w:trHeight w:val="23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0FCA7E4" w14:textId="77777777" w:rsidR="00E2531A" w:rsidRPr="00CF1CB5" w:rsidRDefault="00E2531A" w:rsidP="00C50A6E">
            <w:pPr>
              <w:rPr>
                <w:rFonts w:eastAsia="Times New Roman" w:cs="Calibri"/>
                <w:lang w:val="es-CR"/>
              </w:rPr>
            </w:pPr>
            <w:r w:rsidRPr="00CF1CB5">
              <w:rPr>
                <w:rFonts w:eastAsia="Times New Roman" w:cs="Calibri"/>
                <w:lang w:val="es-CR"/>
              </w:rPr>
              <w:t xml:space="preserve">     FBNCR</w:t>
            </w:r>
          </w:p>
        </w:tc>
        <w:tc>
          <w:tcPr>
            <w:tcW w:w="0" w:type="auto"/>
            <w:noWrap/>
            <w:hideMark/>
          </w:tcPr>
          <w:p w14:paraId="47C18A5A" w14:textId="77777777" w:rsidR="00E2531A" w:rsidRPr="00CF1CB5" w:rsidRDefault="00E2531A" w:rsidP="00C50A6E">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CF1CB5">
              <w:rPr>
                <w:rFonts w:eastAsia="Times New Roman" w:cs="Calibri"/>
                <w:lang w:val="es-CR"/>
              </w:rPr>
              <w:t xml:space="preserve"> -   </w:t>
            </w:r>
          </w:p>
        </w:tc>
        <w:tc>
          <w:tcPr>
            <w:tcW w:w="0" w:type="auto"/>
            <w:noWrap/>
            <w:hideMark/>
          </w:tcPr>
          <w:p w14:paraId="66E58532" w14:textId="77777777" w:rsidR="00E2531A" w:rsidRPr="00CF1CB5" w:rsidRDefault="00E2531A" w:rsidP="00C50A6E">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CF1CB5">
              <w:rPr>
                <w:rFonts w:eastAsia="Times New Roman" w:cs="Calibri"/>
                <w:lang w:val="es-CR"/>
              </w:rPr>
              <w:t>0,0%</w:t>
            </w:r>
          </w:p>
        </w:tc>
        <w:tc>
          <w:tcPr>
            <w:tcW w:w="1252" w:type="dxa"/>
            <w:noWrap/>
            <w:hideMark/>
          </w:tcPr>
          <w:p w14:paraId="0E33BB97" w14:textId="77777777" w:rsidR="00E2531A" w:rsidRPr="00CF1CB5" w:rsidRDefault="00E2531A" w:rsidP="00C50A6E">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CF1CB5">
              <w:t xml:space="preserve"> 27 087 </w:t>
            </w:r>
          </w:p>
        </w:tc>
        <w:tc>
          <w:tcPr>
            <w:tcW w:w="751" w:type="dxa"/>
            <w:noWrap/>
            <w:hideMark/>
          </w:tcPr>
          <w:p w14:paraId="71B03CF6" w14:textId="77777777" w:rsidR="00E2531A" w:rsidRPr="00CF1CB5" w:rsidRDefault="00E2531A" w:rsidP="00C50A6E">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CF1CB5">
              <w:t>15,</w:t>
            </w:r>
            <w:r>
              <w:t>4</w:t>
            </w:r>
            <w:r w:rsidRPr="00CF1CB5">
              <w:t>%</w:t>
            </w:r>
          </w:p>
        </w:tc>
        <w:tc>
          <w:tcPr>
            <w:tcW w:w="0" w:type="auto"/>
            <w:noWrap/>
            <w:hideMark/>
          </w:tcPr>
          <w:p w14:paraId="111F908C" w14:textId="77777777" w:rsidR="00E2531A" w:rsidRPr="00CF1CB5" w:rsidRDefault="00E2531A" w:rsidP="00C50A6E">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CF1CB5">
              <w:t xml:space="preserve"> 149 026 </w:t>
            </w:r>
          </w:p>
        </w:tc>
        <w:tc>
          <w:tcPr>
            <w:tcW w:w="0" w:type="auto"/>
            <w:noWrap/>
            <w:hideMark/>
          </w:tcPr>
          <w:p w14:paraId="02F902FC" w14:textId="77777777" w:rsidR="00E2531A" w:rsidRPr="00CF1CB5" w:rsidRDefault="00E2531A" w:rsidP="00C50A6E">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CF1CB5">
              <w:t>84,6%</w:t>
            </w:r>
          </w:p>
        </w:tc>
        <w:tc>
          <w:tcPr>
            <w:tcW w:w="1216" w:type="dxa"/>
            <w:noWrap/>
            <w:hideMark/>
          </w:tcPr>
          <w:p w14:paraId="25F432E6" w14:textId="77777777" w:rsidR="00E2531A" w:rsidRPr="00CF1CB5" w:rsidRDefault="00E2531A" w:rsidP="00C50A6E">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CF1CB5">
              <w:t xml:space="preserve"> 176 114 </w:t>
            </w:r>
          </w:p>
        </w:tc>
      </w:tr>
      <w:tr w:rsidR="00E2531A" w:rsidRPr="00CF1CB5" w14:paraId="384E9827" w14:textId="77777777" w:rsidTr="00C50A6E">
        <w:trPr>
          <w:gridAfter w:val="1"/>
          <w:cnfStyle w:val="000000100000" w:firstRow="0" w:lastRow="0" w:firstColumn="0" w:lastColumn="0" w:oddVBand="0" w:evenVBand="0" w:oddHBand="1" w:evenHBand="0" w:firstRowFirstColumn="0" w:firstRowLastColumn="0" w:lastRowFirstColumn="0" w:lastRowLastColumn="0"/>
          <w:wAfter w:w="15" w:type="dxa"/>
          <w:trHeight w:val="23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11AE6DA" w14:textId="77777777" w:rsidR="00E2531A" w:rsidRPr="00CF1CB5" w:rsidRDefault="00E2531A" w:rsidP="00C50A6E">
            <w:pPr>
              <w:rPr>
                <w:rFonts w:eastAsia="Times New Roman" w:cs="Calibri"/>
                <w:lang w:val="es-CR"/>
              </w:rPr>
            </w:pPr>
            <w:r w:rsidRPr="00CF1CB5">
              <w:rPr>
                <w:rFonts w:eastAsia="Times New Roman" w:cs="Calibri"/>
                <w:lang w:val="es-CR"/>
              </w:rPr>
              <w:t xml:space="preserve">     FICE</w:t>
            </w:r>
          </w:p>
        </w:tc>
        <w:tc>
          <w:tcPr>
            <w:tcW w:w="0" w:type="auto"/>
            <w:noWrap/>
            <w:hideMark/>
          </w:tcPr>
          <w:p w14:paraId="60172E15" w14:textId="77777777" w:rsidR="00E2531A" w:rsidRPr="00CF1CB5" w:rsidRDefault="00E2531A" w:rsidP="00C50A6E">
            <w:pPr>
              <w:jc w:val="right"/>
              <w:cnfStyle w:val="000000100000" w:firstRow="0" w:lastRow="0" w:firstColumn="0" w:lastColumn="0" w:oddVBand="0" w:evenVBand="0" w:oddHBand="1" w:evenHBand="0" w:firstRowFirstColumn="0" w:firstRowLastColumn="0" w:lastRowFirstColumn="0" w:lastRowLastColumn="0"/>
              <w:rPr>
                <w:rFonts w:eastAsia="Times New Roman" w:cs="Calibri"/>
                <w:lang w:val="es-CR"/>
              </w:rPr>
            </w:pPr>
            <w:r w:rsidRPr="00CF1CB5">
              <w:rPr>
                <w:rFonts w:eastAsia="Times New Roman" w:cs="Calibri"/>
                <w:lang w:val="es-CR"/>
              </w:rPr>
              <w:t xml:space="preserve"> -   </w:t>
            </w:r>
          </w:p>
        </w:tc>
        <w:tc>
          <w:tcPr>
            <w:tcW w:w="0" w:type="auto"/>
            <w:noWrap/>
            <w:hideMark/>
          </w:tcPr>
          <w:p w14:paraId="744FC340" w14:textId="77777777" w:rsidR="00E2531A" w:rsidRPr="00CF1CB5" w:rsidRDefault="00E2531A" w:rsidP="00C50A6E">
            <w:pPr>
              <w:jc w:val="right"/>
              <w:cnfStyle w:val="000000100000" w:firstRow="0" w:lastRow="0" w:firstColumn="0" w:lastColumn="0" w:oddVBand="0" w:evenVBand="0" w:oddHBand="1" w:evenHBand="0" w:firstRowFirstColumn="0" w:firstRowLastColumn="0" w:lastRowFirstColumn="0" w:lastRowLastColumn="0"/>
              <w:rPr>
                <w:rFonts w:eastAsia="Times New Roman" w:cs="Calibri"/>
                <w:lang w:val="es-CR"/>
              </w:rPr>
            </w:pPr>
            <w:r w:rsidRPr="00CF1CB5">
              <w:rPr>
                <w:rFonts w:eastAsia="Times New Roman" w:cs="Calibri"/>
                <w:lang w:val="es-CR"/>
              </w:rPr>
              <w:t>0,0%</w:t>
            </w:r>
          </w:p>
        </w:tc>
        <w:tc>
          <w:tcPr>
            <w:tcW w:w="1252" w:type="dxa"/>
            <w:noWrap/>
            <w:hideMark/>
          </w:tcPr>
          <w:p w14:paraId="33027679" w14:textId="77777777" w:rsidR="00E2531A" w:rsidRPr="00CF1CB5" w:rsidRDefault="00E2531A" w:rsidP="00C50A6E">
            <w:pPr>
              <w:jc w:val="right"/>
              <w:cnfStyle w:val="000000100000" w:firstRow="0" w:lastRow="0" w:firstColumn="0" w:lastColumn="0" w:oddVBand="0" w:evenVBand="0" w:oddHBand="1" w:evenHBand="0" w:firstRowFirstColumn="0" w:firstRowLastColumn="0" w:lastRowFirstColumn="0" w:lastRowLastColumn="0"/>
              <w:rPr>
                <w:rFonts w:eastAsia="Times New Roman" w:cs="Calibri"/>
                <w:lang w:val="es-CR"/>
              </w:rPr>
            </w:pPr>
            <w:r w:rsidRPr="00CF1CB5">
              <w:t xml:space="preserve"> 41 530 </w:t>
            </w:r>
          </w:p>
        </w:tc>
        <w:tc>
          <w:tcPr>
            <w:tcW w:w="751" w:type="dxa"/>
            <w:noWrap/>
            <w:hideMark/>
          </w:tcPr>
          <w:p w14:paraId="0087BC21" w14:textId="77777777" w:rsidR="00E2531A" w:rsidRPr="00CF1CB5" w:rsidRDefault="00E2531A" w:rsidP="00C50A6E">
            <w:pPr>
              <w:jc w:val="right"/>
              <w:cnfStyle w:val="000000100000" w:firstRow="0" w:lastRow="0" w:firstColumn="0" w:lastColumn="0" w:oddVBand="0" w:evenVBand="0" w:oddHBand="1" w:evenHBand="0" w:firstRowFirstColumn="0" w:firstRowLastColumn="0" w:lastRowFirstColumn="0" w:lastRowLastColumn="0"/>
              <w:rPr>
                <w:rFonts w:eastAsia="Times New Roman" w:cs="Calibri"/>
                <w:lang w:val="es-CR"/>
              </w:rPr>
            </w:pPr>
            <w:r w:rsidRPr="00CF1CB5">
              <w:t>11,4%</w:t>
            </w:r>
          </w:p>
        </w:tc>
        <w:tc>
          <w:tcPr>
            <w:tcW w:w="0" w:type="auto"/>
            <w:noWrap/>
            <w:hideMark/>
          </w:tcPr>
          <w:p w14:paraId="7248EBFE" w14:textId="77777777" w:rsidR="00E2531A" w:rsidRPr="00CF1CB5" w:rsidRDefault="00E2531A" w:rsidP="00C50A6E">
            <w:pPr>
              <w:jc w:val="right"/>
              <w:cnfStyle w:val="000000100000" w:firstRow="0" w:lastRow="0" w:firstColumn="0" w:lastColumn="0" w:oddVBand="0" w:evenVBand="0" w:oddHBand="1" w:evenHBand="0" w:firstRowFirstColumn="0" w:firstRowLastColumn="0" w:lastRowFirstColumn="0" w:lastRowLastColumn="0"/>
              <w:rPr>
                <w:rFonts w:eastAsia="Times New Roman" w:cs="Calibri"/>
                <w:lang w:val="es-CR"/>
              </w:rPr>
            </w:pPr>
            <w:r w:rsidRPr="00CF1CB5">
              <w:t xml:space="preserve"> 321 808 </w:t>
            </w:r>
          </w:p>
        </w:tc>
        <w:tc>
          <w:tcPr>
            <w:tcW w:w="0" w:type="auto"/>
            <w:noWrap/>
            <w:hideMark/>
          </w:tcPr>
          <w:p w14:paraId="72925D57" w14:textId="77777777" w:rsidR="00E2531A" w:rsidRPr="00CF1CB5" w:rsidRDefault="00E2531A" w:rsidP="00C50A6E">
            <w:pPr>
              <w:jc w:val="right"/>
              <w:cnfStyle w:val="000000100000" w:firstRow="0" w:lastRow="0" w:firstColumn="0" w:lastColumn="0" w:oddVBand="0" w:evenVBand="0" w:oddHBand="1" w:evenHBand="0" w:firstRowFirstColumn="0" w:firstRowLastColumn="0" w:lastRowFirstColumn="0" w:lastRowLastColumn="0"/>
              <w:rPr>
                <w:rFonts w:eastAsia="Times New Roman" w:cs="Calibri"/>
                <w:lang w:val="es-CR"/>
              </w:rPr>
            </w:pPr>
            <w:r w:rsidRPr="00CF1CB5">
              <w:t>88,</w:t>
            </w:r>
            <w:r>
              <w:t>6</w:t>
            </w:r>
            <w:r w:rsidRPr="00CF1CB5">
              <w:t>%</w:t>
            </w:r>
          </w:p>
        </w:tc>
        <w:tc>
          <w:tcPr>
            <w:tcW w:w="1216" w:type="dxa"/>
            <w:noWrap/>
            <w:hideMark/>
          </w:tcPr>
          <w:p w14:paraId="7413D7E6" w14:textId="77777777" w:rsidR="00E2531A" w:rsidRPr="00CF1CB5" w:rsidRDefault="00E2531A" w:rsidP="00C50A6E">
            <w:pPr>
              <w:jc w:val="right"/>
              <w:cnfStyle w:val="000000100000" w:firstRow="0" w:lastRow="0" w:firstColumn="0" w:lastColumn="0" w:oddVBand="0" w:evenVBand="0" w:oddHBand="1" w:evenHBand="0" w:firstRowFirstColumn="0" w:firstRowLastColumn="0" w:lastRowFirstColumn="0" w:lastRowLastColumn="0"/>
              <w:rPr>
                <w:rFonts w:eastAsia="Times New Roman" w:cs="Calibri"/>
                <w:lang w:val="es-CR"/>
              </w:rPr>
            </w:pPr>
            <w:r w:rsidRPr="00CF1CB5">
              <w:t xml:space="preserve"> 363 338 </w:t>
            </w:r>
          </w:p>
        </w:tc>
      </w:tr>
      <w:tr w:rsidR="00E2531A" w:rsidRPr="00CF1CB5" w14:paraId="16EFE5A3" w14:textId="77777777" w:rsidTr="00C50A6E">
        <w:trPr>
          <w:gridAfter w:val="1"/>
          <w:wAfter w:w="15" w:type="dxa"/>
          <w:trHeight w:val="23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A2FE4EA" w14:textId="77777777" w:rsidR="00E2531A" w:rsidRPr="00CF1CB5" w:rsidRDefault="00E2531A" w:rsidP="00C50A6E">
            <w:pPr>
              <w:rPr>
                <w:rFonts w:eastAsia="Times New Roman" w:cs="Calibri"/>
                <w:lang w:val="es-CR"/>
              </w:rPr>
            </w:pPr>
            <w:r w:rsidRPr="00CF1CB5">
              <w:rPr>
                <w:rFonts w:eastAsia="Times New Roman" w:cs="Calibri"/>
                <w:lang w:val="es-CR"/>
              </w:rPr>
              <w:t xml:space="preserve">     FRE</w:t>
            </w:r>
          </w:p>
        </w:tc>
        <w:tc>
          <w:tcPr>
            <w:tcW w:w="0" w:type="auto"/>
            <w:noWrap/>
            <w:hideMark/>
          </w:tcPr>
          <w:p w14:paraId="5A6DA931" w14:textId="77777777" w:rsidR="00E2531A" w:rsidRPr="00CF1CB5" w:rsidRDefault="00E2531A" w:rsidP="00C50A6E">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CF1CB5">
              <w:rPr>
                <w:rFonts w:eastAsia="Times New Roman" w:cs="Calibri"/>
                <w:lang w:val="es-CR"/>
              </w:rPr>
              <w:t xml:space="preserve"> -   </w:t>
            </w:r>
          </w:p>
        </w:tc>
        <w:tc>
          <w:tcPr>
            <w:tcW w:w="0" w:type="auto"/>
            <w:noWrap/>
            <w:hideMark/>
          </w:tcPr>
          <w:p w14:paraId="3C00A1E1" w14:textId="77777777" w:rsidR="00E2531A" w:rsidRPr="00CF1CB5" w:rsidRDefault="00E2531A" w:rsidP="00C50A6E">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CF1CB5">
              <w:rPr>
                <w:rFonts w:eastAsia="Times New Roman" w:cs="Calibri"/>
                <w:lang w:val="es-CR"/>
              </w:rPr>
              <w:t>0,0%</w:t>
            </w:r>
          </w:p>
        </w:tc>
        <w:tc>
          <w:tcPr>
            <w:tcW w:w="1252" w:type="dxa"/>
            <w:noWrap/>
            <w:hideMark/>
          </w:tcPr>
          <w:p w14:paraId="7F4F0FD9" w14:textId="77777777" w:rsidR="00E2531A" w:rsidRPr="00CF1CB5" w:rsidRDefault="00E2531A" w:rsidP="00C50A6E">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CF1CB5">
              <w:t xml:space="preserve"> 45 408 </w:t>
            </w:r>
          </w:p>
        </w:tc>
        <w:tc>
          <w:tcPr>
            <w:tcW w:w="751" w:type="dxa"/>
            <w:noWrap/>
            <w:hideMark/>
          </w:tcPr>
          <w:p w14:paraId="171FF33E" w14:textId="77777777" w:rsidR="00E2531A" w:rsidRPr="00CF1CB5" w:rsidRDefault="00E2531A" w:rsidP="00C50A6E">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CF1CB5">
              <w:t>21,9%</w:t>
            </w:r>
          </w:p>
        </w:tc>
        <w:tc>
          <w:tcPr>
            <w:tcW w:w="0" w:type="auto"/>
            <w:noWrap/>
            <w:hideMark/>
          </w:tcPr>
          <w:p w14:paraId="3FC34B4B" w14:textId="77777777" w:rsidR="00E2531A" w:rsidRPr="00CF1CB5" w:rsidRDefault="00E2531A" w:rsidP="00C50A6E">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CF1CB5">
              <w:t xml:space="preserve"> 161 714 </w:t>
            </w:r>
          </w:p>
        </w:tc>
        <w:tc>
          <w:tcPr>
            <w:tcW w:w="0" w:type="auto"/>
            <w:noWrap/>
            <w:hideMark/>
          </w:tcPr>
          <w:p w14:paraId="422C57CF" w14:textId="77777777" w:rsidR="00E2531A" w:rsidRPr="00CF1CB5" w:rsidRDefault="00E2531A" w:rsidP="00C50A6E">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CF1CB5">
              <w:t>78,</w:t>
            </w:r>
            <w:r>
              <w:t>1</w:t>
            </w:r>
            <w:r w:rsidRPr="00CF1CB5">
              <w:t>%</w:t>
            </w:r>
          </w:p>
        </w:tc>
        <w:tc>
          <w:tcPr>
            <w:tcW w:w="1216" w:type="dxa"/>
            <w:noWrap/>
            <w:hideMark/>
          </w:tcPr>
          <w:p w14:paraId="3A3178B1" w14:textId="77777777" w:rsidR="00E2531A" w:rsidRPr="00CF1CB5" w:rsidRDefault="00E2531A" w:rsidP="00C50A6E">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CF1CB5">
              <w:t xml:space="preserve"> 207 122 </w:t>
            </w:r>
          </w:p>
        </w:tc>
      </w:tr>
      <w:tr w:rsidR="00E2531A" w:rsidRPr="00CF1CB5" w14:paraId="547FD7BC" w14:textId="77777777" w:rsidTr="00C50A6E">
        <w:trPr>
          <w:gridAfter w:val="1"/>
          <w:cnfStyle w:val="000000100000" w:firstRow="0" w:lastRow="0" w:firstColumn="0" w:lastColumn="0" w:oddVBand="0" w:evenVBand="0" w:oddHBand="1" w:evenHBand="0" w:firstRowFirstColumn="0" w:firstRowLastColumn="0" w:lastRowFirstColumn="0" w:lastRowLastColumn="0"/>
          <w:wAfter w:w="15" w:type="dxa"/>
          <w:trHeight w:val="235"/>
          <w:jc w:val="center"/>
        </w:trPr>
        <w:tc>
          <w:tcPr>
            <w:cnfStyle w:val="001000000000" w:firstRow="0" w:lastRow="0" w:firstColumn="1" w:lastColumn="0" w:oddVBand="0" w:evenVBand="0" w:oddHBand="0" w:evenHBand="0" w:firstRowFirstColumn="0" w:firstRowLastColumn="0" w:lastRowFirstColumn="0" w:lastRowLastColumn="0"/>
            <w:tcW w:w="0" w:type="auto"/>
            <w:noWrap/>
          </w:tcPr>
          <w:p w14:paraId="0C494EB2" w14:textId="77777777" w:rsidR="00E2531A" w:rsidRPr="00CF1CB5" w:rsidRDefault="00E2531A" w:rsidP="00C50A6E">
            <w:pPr>
              <w:rPr>
                <w:rFonts w:eastAsia="Times New Roman" w:cs="Calibri"/>
                <w:lang w:val="es-CR"/>
              </w:rPr>
            </w:pPr>
            <w:r w:rsidRPr="00CF1CB5">
              <w:rPr>
                <w:rFonts w:eastAsia="Times New Roman" w:cs="Calibri"/>
                <w:lang w:val="es-CR"/>
              </w:rPr>
              <w:t xml:space="preserve">     FRECOPE</w:t>
            </w:r>
          </w:p>
        </w:tc>
        <w:tc>
          <w:tcPr>
            <w:tcW w:w="0" w:type="auto"/>
            <w:noWrap/>
          </w:tcPr>
          <w:p w14:paraId="735CCA25" w14:textId="77777777" w:rsidR="00E2531A" w:rsidRPr="00CF1CB5" w:rsidRDefault="00E2531A" w:rsidP="00C50A6E">
            <w:pPr>
              <w:jc w:val="right"/>
              <w:cnfStyle w:val="000000100000" w:firstRow="0" w:lastRow="0" w:firstColumn="0" w:lastColumn="0" w:oddVBand="0" w:evenVBand="0" w:oddHBand="1" w:evenHBand="0" w:firstRowFirstColumn="0" w:firstRowLastColumn="0" w:lastRowFirstColumn="0" w:lastRowLastColumn="0"/>
              <w:rPr>
                <w:rFonts w:eastAsia="Times New Roman" w:cs="Calibri"/>
                <w:lang w:val="es-CR"/>
              </w:rPr>
            </w:pPr>
            <w:r w:rsidRPr="00CF1CB5">
              <w:rPr>
                <w:rFonts w:eastAsia="Times New Roman" w:cs="Calibri"/>
                <w:lang w:val="es-CR"/>
              </w:rPr>
              <w:t xml:space="preserve"> -   </w:t>
            </w:r>
          </w:p>
        </w:tc>
        <w:tc>
          <w:tcPr>
            <w:tcW w:w="0" w:type="auto"/>
            <w:noWrap/>
          </w:tcPr>
          <w:p w14:paraId="49C3D238" w14:textId="77777777" w:rsidR="00E2531A" w:rsidRPr="00CF1CB5" w:rsidRDefault="00E2531A" w:rsidP="00C50A6E">
            <w:pPr>
              <w:jc w:val="right"/>
              <w:cnfStyle w:val="000000100000" w:firstRow="0" w:lastRow="0" w:firstColumn="0" w:lastColumn="0" w:oddVBand="0" w:evenVBand="0" w:oddHBand="1" w:evenHBand="0" w:firstRowFirstColumn="0" w:firstRowLastColumn="0" w:lastRowFirstColumn="0" w:lastRowLastColumn="0"/>
              <w:rPr>
                <w:rFonts w:eastAsia="Times New Roman" w:cs="Calibri"/>
                <w:lang w:val="es-CR"/>
              </w:rPr>
            </w:pPr>
            <w:r w:rsidRPr="00CF1CB5">
              <w:rPr>
                <w:rFonts w:eastAsia="Times New Roman" w:cs="Calibri"/>
                <w:lang w:val="es-CR"/>
              </w:rPr>
              <w:t>0,0%</w:t>
            </w:r>
          </w:p>
        </w:tc>
        <w:tc>
          <w:tcPr>
            <w:tcW w:w="1252" w:type="dxa"/>
            <w:noWrap/>
          </w:tcPr>
          <w:p w14:paraId="78649405" w14:textId="77777777" w:rsidR="00E2531A" w:rsidRPr="00CF1CB5" w:rsidRDefault="00E2531A" w:rsidP="00C50A6E">
            <w:pPr>
              <w:jc w:val="right"/>
              <w:cnfStyle w:val="000000100000" w:firstRow="0" w:lastRow="0" w:firstColumn="0" w:lastColumn="0" w:oddVBand="0" w:evenVBand="0" w:oddHBand="1" w:evenHBand="0" w:firstRowFirstColumn="0" w:firstRowLastColumn="0" w:lastRowFirstColumn="0" w:lastRowLastColumn="0"/>
            </w:pPr>
            <w:r w:rsidRPr="00CF1CB5">
              <w:t xml:space="preserve"> 7 </w:t>
            </w:r>
          </w:p>
        </w:tc>
        <w:tc>
          <w:tcPr>
            <w:tcW w:w="751" w:type="dxa"/>
            <w:noWrap/>
          </w:tcPr>
          <w:p w14:paraId="458F7050" w14:textId="77777777" w:rsidR="00E2531A" w:rsidRPr="00CF1CB5" w:rsidRDefault="00E2531A" w:rsidP="00C50A6E">
            <w:pPr>
              <w:jc w:val="right"/>
              <w:cnfStyle w:val="000000100000" w:firstRow="0" w:lastRow="0" w:firstColumn="0" w:lastColumn="0" w:oddVBand="0" w:evenVBand="0" w:oddHBand="1" w:evenHBand="0" w:firstRowFirstColumn="0" w:firstRowLastColumn="0" w:lastRowFirstColumn="0" w:lastRowLastColumn="0"/>
            </w:pPr>
            <w:r w:rsidRPr="00CF1CB5">
              <w:t>31,2%</w:t>
            </w:r>
          </w:p>
        </w:tc>
        <w:tc>
          <w:tcPr>
            <w:tcW w:w="0" w:type="auto"/>
            <w:noWrap/>
          </w:tcPr>
          <w:p w14:paraId="2AD48781" w14:textId="77777777" w:rsidR="00E2531A" w:rsidRPr="00CF1CB5" w:rsidRDefault="00E2531A" w:rsidP="00C50A6E">
            <w:pPr>
              <w:jc w:val="right"/>
              <w:cnfStyle w:val="000000100000" w:firstRow="0" w:lastRow="0" w:firstColumn="0" w:lastColumn="0" w:oddVBand="0" w:evenVBand="0" w:oddHBand="1" w:evenHBand="0" w:firstRowFirstColumn="0" w:firstRowLastColumn="0" w:lastRowFirstColumn="0" w:lastRowLastColumn="0"/>
            </w:pPr>
            <w:r w:rsidRPr="00CF1CB5">
              <w:t xml:space="preserve"> 14 </w:t>
            </w:r>
          </w:p>
        </w:tc>
        <w:tc>
          <w:tcPr>
            <w:tcW w:w="0" w:type="auto"/>
            <w:noWrap/>
          </w:tcPr>
          <w:p w14:paraId="365F1C8E" w14:textId="77777777" w:rsidR="00E2531A" w:rsidRPr="00CF1CB5" w:rsidRDefault="00E2531A" w:rsidP="00C50A6E">
            <w:pPr>
              <w:jc w:val="right"/>
              <w:cnfStyle w:val="000000100000" w:firstRow="0" w:lastRow="0" w:firstColumn="0" w:lastColumn="0" w:oddVBand="0" w:evenVBand="0" w:oddHBand="1" w:evenHBand="0" w:firstRowFirstColumn="0" w:firstRowLastColumn="0" w:lastRowFirstColumn="0" w:lastRowLastColumn="0"/>
            </w:pPr>
            <w:r w:rsidRPr="00CF1CB5">
              <w:t>68,8%</w:t>
            </w:r>
          </w:p>
        </w:tc>
        <w:tc>
          <w:tcPr>
            <w:tcW w:w="1216" w:type="dxa"/>
            <w:noWrap/>
          </w:tcPr>
          <w:p w14:paraId="79D7525E" w14:textId="77777777" w:rsidR="00E2531A" w:rsidRPr="00CF1CB5" w:rsidRDefault="00E2531A" w:rsidP="00C50A6E">
            <w:pPr>
              <w:jc w:val="right"/>
              <w:cnfStyle w:val="000000100000" w:firstRow="0" w:lastRow="0" w:firstColumn="0" w:lastColumn="0" w:oddVBand="0" w:evenVBand="0" w:oddHBand="1" w:evenHBand="0" w:firstRowFirstColumn="0" w:firstRowLastColumn="0" w:lastRowFirstColumn="0" w:lastRowLastColumn="0"/>
            </w:pPr>
            <w:r w:rsidRPr="00CF1CB5">
              <w:t xml:space="preserve"> 21 </w:t>
            </w:r>
          </w:p>
        </w:tc>
      </w:tr>
      <w:tr w:rsidR="00E2531A" w:rsidRPr="00CF1CB5" w14:paraId="336575F3" w14:textId="77777777" w:rsidTr="00C50A6E">
        <w:trPr>
          <w:gridAfter w:val="1"/>
          <w:wAfter w:w="15" w:type="dxa"/>
          <w:trHeight w:val="23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7841D3D" w14:textId="77777777" w:rsidR="00E2531A" w:rsidRPr="00CF1CB5" w:rsidRDefault="00E2531A" w:rsidP="00C50A6E">
            <w:pPr>
              <w:rPr>
                <w:rFonts w:eastAsia="Times New Roman" w:cs="Calibri"/>
                <w:lang w:val="es-CR"/>
              </w:rPr>
            </w:pPr>
            <w:r w:rsidRPr="00CF1CB5">
              <w:rPr>
                <w:rFonts w:eastAsia="Times New Roman" w:cs="Calibri"/>
                <w:lang w:val="es-CR"/>
              </w:rPr>
              <w:t xml:space="preserve">     FVENLOT</w:t>
            </w:r>
          </w:p>
        </w:tc>
        <w:tc>
          <w:tcPr>
            <w:tcW w:w="0" w:type="auto"/>
            <w:noWrap/>
            <w:hideMark/>
          </w:tcPr>
          <w:p w14:paraId="3262941D" w14:textId="77777777" w:rsidR="00E2531A" w:rsidRPr="00CF1CB5" w:rsidRDefault="00E2531A" w:rsidP="00C50A6E">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CF1CB5">
              <w:rPr>
                <w:rFonts w:eastAsia="Times New Roman" w:cs="Calibri"/>
                <w:lang w:val="es-CR"/>
              </w:rPr>
              <w:t xml:space="preserve"> -   </w:t>
            </w:r>
          </w:p>
        </w:tc>
        <w:tc>
          <w:tcPr>
            <w:tcW w:w="0" w:type="auto"/>
            <w:noWrap/>
            <w:hideMark/>
          </w:tcPr>
          <w:p w14:paraId="0AD8E60B" w14:textId="77777777" w:rsidR="00E2531A" w:rsidRPr="00CF1CB5" w:rsidRDefault="00E2531A" w:rsidP="00C50A6E">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CF1CB5">
              <w:rPr>
                <w:rFonts w:eastAsia="Times New Roman" w:cs="Calibri"/>
                <w:lang w:val="es-CR"/>
              </w:rPr>
              <w:t>0,0%</w:t>
            </w:r>
          </w:p>
        </w:tc>
        <w:tc>
          <w:tcPr>
            <w:tcW w:w="1252" w:type="dxa"/>
            <w:noWrap/>
            <w:hideMark/>
          </w:tcPr>
          <w:p w14:paraId="3DFDEEBE" w14:textId="77777777" w:rsidR="00E2531A" w:rsidRPr="00CF1CB5" w:rsidRDefault="00E2531A" w:rsidP="00C50A6E">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CF1CB5">
              <w:t xml:space="preserve"> 6 754 </w:t>
            </w:r>
          </w:p>
        </w:tc>
        <w:tc>
          <w:tcPr>
            <w:tcW w:w="751" w:type="dxa"/>
            <w:noWrap/>
            <w:hideMark/>
          </w:tcPr>
          <w:p w14:paraId="51BCB215" w14:textId="77777777" w:rsidR="00E2531A" w:rsidRPr="00CF1CB5" w:rsidRDefault="00E2531A" w:rsidP="00C50A6E">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CF1CB5">
              <w:t>26,5%</w:t>
            </w:r>
          </w:p>
        </w:tc>
        <w:tc>
          <w:tcPr>
            <w:tcW w:w="0" w:type="auto"/>
            <w:noWrap/>
            <w:hideMark/>
          </w:tcPr>
          <w:p w14:paraId="4F08BF45" w14:textId="77777777" w:rsidR="00E2531A" w:rsidRPr="00CF1CB5" w:rsidRDefault="00E2531A" w:rsidP="00C50A6E">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CF1CB5">
              <w:t xml:space="preserve"> 18 702 </w:t>
            </w:r>
          </w:p>
        </w:tc>
        <w:tc>
          <w:tcPr>
            <w:tcW w:w="0" w:type="auto"/>
            <w:noWrap/>
            <w:hideMark/>
          </w:tcPr>
          <w:p w14:paraId="1D9EACA2" w14:textId="77777777" w:rsidR="00E2531A" w:rsidRPr="00CF1CB5" w:rsidRDefault="00E2531A" w:rsidP="00C50A6E">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CF1CB5">
              <w:t>73,</w:t>
            </w:r>
            <w:r>
              <w:t>5</w:t>
            </w:r>
            <w:r w:rsidRPr="00CF1CB5">
              <w:t>%</w:t>
            </w:r>
          </w:p>
        </w:tc>
        <w:tc>
          <w:tcPr>
            <w:tcW w:w="1216" w:type="dxa"/>
            <w:noWrap/>
            <w:hideMark/>
          </w:tcPr>
          <w:p w14:paraId="6B519246" w14:textId="77777777" w:rsidR="00E2531A" w:rsidRPr="00CF1CB5" w:rsidRDefault="00E2531A" w:rsidP="00C50A6E">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CF1CB5">
              <w:t xml:space="preserve"> 25 456 </w:t>
            </w:r>
          </w:p>
        </w:tc>
      </w:tr>
      <w:tr w:rsidR="00E2531A" w:rsidRPr="00CF1CB5" w14:paraId="386C2461" w14:textId="77777777" w:rsidTr="00C50A6E">
        <w:trPr>
          <w:gridAfter w:val="1"/>
          <w:cnfStyle w:val="000000100000" w:firstRow="0" w:lastRow="0" w:firstColumn="0" w:lastColumn="0" w:oddVBand="0" w:evenVBand="0" w:oddHBand="1" w:evenHBand="0" w:firstRowFirstColumn="0" w:firstRowLastColumn="0" w:lastRowFirstColumn="0" w:lastRowLastColumn="0"/>
          <w:wAfter w:w="15" w:type="dxa"/>
          <w:trHeight w:val="23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66AC21E" w14:textId="77777777" w:rsidR="00E2531A" w:rsidRPr="00CF1CB5" w:rsidRDefault="00E2531A" w:rsidP="00C50A6E">
            <w:pPr>
              <w:rPr>
                <w:rFonts w:eastAsia="Times New Roman" w:cs="Calibri"/>
                <w:lang w:val="es-CR"/>
              </w:rPr>
            </w:pPr>
            <w:r w:rsidRPr="00CF1CB5">
              <w:rPr>
                <w:rFonts w:eastAsia="Times New Roman" w:cs="Calibri"/>
                <w:lang w:val="es-CR"/>
              </w:rPr>
              <w:t xml:space="preserve">     FBCR</w:t>
            </w:r>
          </w:p>
        </w:tc>
        <w:tc>
          <w:tcPr>
            <w:tcW w:w="0" w:type="auto"/>
            <w:noWrap/>
            <w:hideMark/>
          </w:tcPr>
          <w:p w14:paraId="58A5E6BE" w14:textId="77777777" w:rsidR="00E2531A" w:rsidRPr="00CF1CB5" w:rsidRDefault="00E2531A" w:rsidP="00C50A6E">
            <w:pPr>
              <w:jc w:val="right"/>
              <w:cnfStyle w:val="000000100000" w:firstRow="0" w:lastRow="0" w:firstColumn="0" w:lastColumn="0" w:oddVBand="0" w:evenVBand="0" w:oddHBand="1" w:evenHBand="0" w:firstRowFirstColumn="0" w:firstRowLastColumn="0" w:lastRowFirstColumn="0" w:lastRowLastColumn="0"/>
              <w:rPr>
                <w:rFonts w:eastAsia="Times New Roman" w:cs="Calibri"/>
                <w:lang w:val="es-CR"/>
              </w:rPr>
            </w:pPr>
            <w:r w:rsidRPr="00CF1CB5">
              <w:rPr>
                <w:rFonts w:eastAsia="Times New Roman" w:cs="Calibri"/>
                <w:lang w:val="es-CR"/>
              </w:rPr>
              <w:t xml:space="preserve"> -   </w:t>
            </w:r>
          </w:p>
        </w:tc>
        <w:tc>
          <w:tcPr>
            <w:tcW w:w="0" w:type="auto"/>
            <w:noWrap/>
            <w:hideMark/>
          </w:tcPr>
          <w:p w14:paraId="6F91EBCD" w14:textId="77777777" w:rsidR="00E2531A" w:rsidRPr="00CF1CB5" w:rsidRDefault="00E2531A" w:rsidP="00C50A6E">
            <w:pPr>
              <w:jc w:val="right"/>
              <w:cnfStyle w:val="000000100000" w:firstRow="0" w:lastRow="0" w:firstColumn="0" w:lastColumn="0" w:oddVBand="0" w:evenVBand="0" w:oddHBand="1" w:evenHBand="0" w:firstRowFirstColumn="0" w:firstRowLastColumn="0" w:lastRowFirstColumn="0" w:lastRowLastColumn="0"/>
              <w:rPr>
                <w:rFonts w:eastAsia="Times New Roman" w:cs="Calibri"/>
                <w:lang w:val="es-CR"/>
              </w:rPr>
            </w:pPr>
            <w:r w:rsidRPr="00CF1CB5">
              <w:rPr>
                <w:rFonts w:eastAsia="Times New Roman" w:cs="Calibri"/>
                <w:lang w:val="es-CR"/>
              </w:rPr>
              <w:t>0,0%</w:t>
            </w:r>
          </w:p>
        </w:tc>
        <w:tc>
          <w:tcPr>
            <w:tcW w:w="1252" w:type="dxa"/>
            <w:noWrap/>
            <w:hideMark/>
          </w:tcPr>
          <w:p w14:paraId="4C0FFD13" w14:textId="77777777" w:rsidR="00E2531A" w:rsidRPr="00CF1CB5" w:rsidRDefault="00E2531A" w:rsidP="00C50A6E">
            <w:pPr>
              <w:jc w:val="right"/>
              <w:cnfStyle w:val="000000100000" w:firstRow="0" w:lastRow="0" w:firstColumn="0" w:lastColumn="0" w:oddVBand="0" w:evenVBand="0" w:oddHBand="1" w:evenHBand="0" w:firstRowFirstColumn="0" w:firstRowLastColumn="0" w:lastRowFirstColumn="0" w:lastRowLastColumn="0"/>
              <w:rPr>
                <w:rFonts w:eastAsia="Times New Roman" w:cs="Calibri"/>
                <w:lang w:val="es-CR"/>
              </w:rPr>
            </w:pPr>
            <w:r w:rsidRPr="00CF1CB5">
              <w:t xml:space="preserve"> 40 129 </w:t>
            </w:r>
          </w:p>
        </w:tc>
        <w:tc>
          <w:tcPr>
            <w:tcW w:w="751" w:type="dxa"/>
            <w:noWrap/>
            <w:hideMark/>
          </w:tcPr>
          <w:p w14:paraId="1C6CA76F" w14:textId="77777777" w:rsidR="00E2531A" w:rsidRPr="00CF1CB5" w:rsidRDefault="00E2531A" w:rsidP="00C50A6E">
            <w:pPr>
              <w:jc w:val="right"/>
              <w:cnfStyle w:val="000000100000" w:firstRow="0" w:lastRow="0" w:firstColumn="0" w:lastColumn="0" w:oddVBand="0" w:evenVBand="0" w:oddHBand="1" w:evenHBand="0" w:firstRowFirstColumn="0" w:firstRowLastColumn="0" w:lastRowFirstColumn="0" w:lastRowLastColumn="0"/>
              <w:rPr>
                <w:rFonts w:eastAsia="Times New Roman" w:cs="Calibri"/>
                <w:lang w:val="es-CR"/>
              </w:rPr>
            </w:pPr>
            <w:r w:rsidRPr="00CF1CB5">
              <w:t>32,</w:t>
            </w:r>
            <w:r>
              <w:t>6</w:t>
            </w:r>
            <w:r w:rsidRPr="00CF1CB5">
              <w:t>%</w:t>
            </w:r>
          </w:p>
        </w:tc>
        <w:tc>
          <w:tcPr>
            <w:tcW w:w="0" w:type="auto"/>
            <w:noWrap/>
            <w:hideMark/>
          </w:tcPr>
          <w:p w14:paraId="0F600586" w14:textId="77777777" w:rsidR="00E2531A" w:rsidRPr="00CF1CB5" w:rsidRDefault="00E2531A" w:rsidP="00C50A6E">
            <w:pPr>
              <w:jc w:val="right"/>
              <w:cnfStyle w:val="000000100000" w:firstRow="0" w:lastRow="0" w:firstColumn="0" w:lastColumn="0" w:oddVBand="0" w:evenVBand="0" w:oddHBand="1" w:evenHBand="0" w:firstRowFirstColumn="0" w:firstRowLastColumn="0" w:lastRowFirstColumn="0" w:lastRowLastColumn="0"/>
              <w:rPr>
                <w:rFonts w:eastAsia="Times New Roman" w:cs="Calibri"/>
                <w:lang w:val="es-CR"/>
              </w:rPr>
            </w:pPr>
            <w:r w:rsidRPr="00CF1CB5">
              <w:t xml:space="preserve"> 83 029 </w:t>
            </w:r>
          </w:p>
        </w:tc>
        <w:tc>
          <w:tcPr>
            <w:tcW w:w="0" w:type="auto"/>
            <w:noWrap/>
            <w:hideMark/>
          </w:tcPr>
          <w:p w14:paraId="71C0A1FF" w14:textId="77777777" w:rsidR="00E2531A" w:rsidRPr="00CF1CB5" w:rsidRDefault="00E2531A" w:rsidP="00C50A6E">
            <w:pPr>
              <w:jc w:val="right"/>
              <w:cnfStyle w:val="000000100000" w:firstRow="0" w:lastRow="0" w:firstColumn="0" w:lastColumn="0" w:oddVBand="0" w:evenVBand="0" w:oddHBand="1" w:evenHBand="0" w:firstRowFirstColumn="0" w:firstRowLastColumn="0" w:lastRowFirstColumn="0" w:lastRowLastColumn="0"/>
              <w:rPr>
                <w:rFonts w:eastAsia="Times New Roman" w:cs="Calibri"/>
                <w:lang w:val="es-CR"/>
              </w:rPr>
            </w:pPr>
            <w:r w:rsidRPr="00CF1CB5">
              <w:t>67,4%</w:t>
            </w:r>
          </w:p>
        </w:tc>
        <w:tc>
          <w:tcPr>
            <w:tcW w:w="1216" w:type="dxa"/>
            <w:noWrap/>
            <w:hideMark/>
          </w:tcPr>
          <w:p w14:paraId="061395F2" w14:textId="77777777" w:rsidR="00E2531A" w:rsidRPr="00CF1CB5" w:rsidRDefault="00E2531A" w:rsidP="00C50A6E">
            <w:pPr>
              <w:jc w:val="right"/>
              <w:cnfStyle w:val="000000100000" w:firstRow="0" w:lastRow="0" w:firstColumn="0" w:lastColumn="0" w:oddVBand="0" w:evenVBand="0" w:oddHBand="1" w:evenHBand="0" w:firstRowFirstColumn="0" w:firstRowLastColumn="0" w:lastRowFirstColumn="0" w:lastRowLastColumn="0"/>
              <w:rPr>
                <w:rFonts w:eastAsia="Times New Roman" w:cs="Calibri"/>
                <w:lang w:val="es-CR"/>
              </w:rPr>
            </w:pPr>
            <w:r w:rsidRPr="00CF1CB5">
              <w:t xml:space="preserve"> 123 158 </w:t>
            </w:r>
          </w:p>
        </w:tc>
      </w:tr>
      <w:tr w:rsidR="00E2531A" w:rsidRPr="00CF1CB5" w14:paraId="643C000D" w14:textId="77777777" w:rsidTr="00C50A6E">
        <w:trPr>
          <w:gridAfter w:val="1"/>
          <w:wAfter w:w="15" w:type="dxa"/>
          <w:trHeight w:val="23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7BC714F" w14:textId="77777777" w:rsidR="00E2531A" w:rsidRPr="00CF1CB5" w:rsidRDefault="00E2531A" w:rsidP="00C50A6E">
            <w:pPr>
              <w:rPr>
                <w:rFonts w:eastAsia="Times New Roman" w:cs="Calibri"/>
                <w:lang w:val="es-CR"/>
              </w:rPr>
            </w:pPr>
            <w:r w:rsidRPr="00CF1CB5">
              <w:rPr>
                <w:rFonts w:eastAsia="Times New Roman" w:cs="Calibri"/>
                <w:lang w:val="es-CR"/>
              </w:rPr>
              <w:t xml:space="preserve">     FICT</w:t>
            </w:r>
          </w:p>
        </w:tc>
        <w:tc>
          <w:tcPr>
            <w:tcW w:w="0" w:type="auto"/>
            <w:noWrap/>
            <w:hideMark/>
          </w:tcPr>
          <w:p w14:paraId="0353B5E6" w14:textId="77777777" w:rsidR="00E2531A" w:rsidRPr="00CF1CB5" w:rsidRDefault="00E2531A" w:rsidP="00C50A6E">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CF1CB5">
              <w:rPr>
                <w:rFonts w:eastAsia="Times New Roman" w:cs="Calibri"/>
                <w:lang w:val="es-CR"/>
              </w:rPr>
              <w:t xml:space="preserve"> -   </w:t>
            </w:r>
          </w:p>
        </w:tc>
        <w:tc>
          <w:tcPr>
            <w:tcW w:w="0" w:type="auto"/>
            <w:noWrap/>
            <w:hideMark/>
          </w:tcPr>
          <w:p w14:paraId="3D75F5FF" w14:textId="77777777" w:rsidR="00E2531A" w:rsidRPr="00CF1CB5" w:rsidRDefault="00E2531A" w:rsidP="00C50A6E">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CF1CB5">
              <w:rPr>
                <w:rFonts w:eastAsia="Times New Roman" w:cs="Calibri"/>
                <w:lang w:val="es-CR"/>
              </w:rPr>
              <w:t>0,0%</w:t>
            </w:r>
          </w:p>
        </w:tc>
        <w:tc>
          <w:tcPr>
            <w:tcW w:w="1252" w:type="dxa"/>
            <w:noWrap/>
            <w:hideMark/>
          </w:tcPr>
          <w:p w14:paraId="716B0F61" w14:textId="77777777" w:rsidR="00E2531A" w:rsidRPr="00CF1CB5" w:rsidRDefault="00E2531A" w:rsidP="00C50A6E">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CF1CB5">
              <w:t xml:space="preserve"> 1 270 </w:t>
            </w:r>
          </w:p>
        </w:tc>
        <w:tc>
          <w:tcPr>
            <w:tcW w:w="751" w:type="dxa"/>
            <w:noWrap/>
            <w:hideMark/>
          </w:tcPr>
          <w:p w14:paraId="3339E19E" w14:textId="77777777" w:rsidR="00E2531A" w:rsidRPr="00CF1CB5" w:rsidRDefault="00E2531A" w:rsidP="00C50A6E">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CF1CB5">
              <w:t>26,9%</w:t>
            </w:r>
          </w:p>
        </w:tc>
        <w:tc>
          <w:tcPr>
            <w:tcW w:w="0" w:type="auto"/>
            <w:noWrap/>
            <w:hideMark/>
          </w:tcPr>
          <w:p w14:paraId="4E913B18" w14:textId="77777777" w:rsidR="00E2531A" w:rsidRPr="00CF1CB5" w:rsidRDefault="00E2531A" w:rsidP="00C50A6E">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CF1CB5">
              <w:t xml:space="preserve"> 3 450 </w:t>
            </w:r>
          </w:p>
        </w:tc>
        <w:tc>
          <w:tcPr>
            <w:tcW w:w="0" w:type="auto"/>
            <w:noWrap/>
            <w:hideMark/>
          </w:tcPr>
          <w:p w14:paraId="3494F99C" w14:textId="77777777" w:rsidR="00E2531A" w:rsidRPr="00CF1CB5" w:rsidRDefault="00E2531A" w:rsidP="00C50A6E">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CF1CB5">
              <w:t>73,</w:t>
            </w:r>
            <w:r>
              <w:t>1</w:t>
            </w:r>
            <w:r w:rsidRPr="00CF1CB5">
              <w:t>%</w:t>
            </w:r>
          </w:p>
        </w:tc>
        <w:tc>
          <w:tcPr>
            <w:tcW w:w="1216" w:type="dxa"/>
            <w:noWrap/>
            <w:hideMark/>
          </w:tcPr>
          <w:p w14:paraId="5238B31B" w14:textId="77777777" w:rsidR="00E2531A" w:rsidRPr="00CF1CB5" w:rsidRDefault="00E2531A" w:rsidP="00C50A6E">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CF1CB5">
              <w:t xml:space="preserve"> 4 721 </w:t>
            </w:r>
          </w:p>
        </w:tc>
      </w:tr>
      <w:tr w:rsidR="00E2531A" w:rsidRPr="00CF1CB5" w14:paraId="18E550DD" w14:textId="77777777" w:rsidTr="00C50A6E">
        <w:trPr>
          <w:gridAfter w:val="1"/>
          <w:cnfStyle w:val="000000100000" w:firstRow="0" w:lastRow="0" w:firstColumn="0" w:lastColumn="0" w:oddVBand="0" w:evenVBand="0" w:oddHBand="1" w:evenHBand="0" w:firstRowFirstColumn="0" w:firstRowLastColumn="0" w:lastRowFirstColumn="0" w:lastRowLastColumn="0"/>
          <w:wAfter w:w="15" w:type="dxa"/>
          <w:trHeight w:val="23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CDAEC7B" w14:textId="77777777" w:rsidR="00E2531A" w:rsidRPr="00CF1CB5" w:rsidRDefault="00E2531A" w:rsidP="00C50A6E">
            <w:pPr>
              <w:rPr>
                <w:rFonts w:eastAsia="Times New Roman" w:cs="Calibri"/>
                <w:lang w:val="es-CR"/>
              </w:rPr>
            </w:pPr>
            <w:r w:rsidRPr="00CF1CB5">
              <w:rPr>
                <w:rFonts w:eastAsia="Times New Roman" w:cs="Calibri"/>
                <w:lang w:val="es-CR"/>
              </w:rPr>
              <w:t>Régimen Obligatorio Complementario</w:t>
            </w:r>
          </w:p>
        </w:tc>
        <w:tc>
          <w:tcPr>
            <w:tcW w:w="0" w:type="auto"/>
            <w:noWrap/>
            <w:hideMark/>
          </w:tcPr>
          <w:p w14:paraId="25AF0AE5" w14:textId="77777777" w:rsidR="00E2531A" w:rsidRPr="00CF1CB5" w:rsidRDefault="00E2531A" w:rsidP="00C50A6E">
            <w:pPr>
              <w:jc w:val="right"/>
              <w:cnfStyle w:val="000000100000" w:firstRow="0" w:lastRow="0" w:firstColumn="0" w:lastColumn="0" w:oddVBand="0" w:evenVBand="0" w:oddHBand="1" w:evenHBand="0" w:firstRowFirstColumn="0" w:firstRowLastColumn="0" w:lastRowFirstColumn="0" w:lastRowLastColumn="0"/>
              <w:rPr>
                <w:rFonts w:eastAsia="Times New Roman" w:cs="Calibri"/>
                <w:lang w:val="es-CR"/>
              </w:rPr>
            </w:pPr>
            <w:r w:rsidRPr="00CF1CB5">
              <w:t xml:space="preserve"> 1 238 776 </w:t>
            </w:r>
          </w:p>
        </w:tc>
        <w:tc>
          <w:tcPr>
            <w:tcW w:w="0" w:type="auto"/>
            <w:noWrap/>
            <w:hideMark/>
          </w:tcPr>
          <w:p w14:paraId="4741AF5C" w14:textId="77777777" w:rsidR="00E2531A" w:rsidRPr="00CF1CB5" w:rsidRDefault="00E2531A" w:rsidP="00C50A6E">
            <w:pPr>
              <w:jc w:val="right"/>
              <w:cnfStyle w:val="000000100000" w:firstRow="0" w:lastRow="0" w:firstColumn="0" w:lastColumn="0" w:oddVBand="0" w:evenVBand="0" w:oddHBand="1" w:evenHBand="0" w:firstRowFirstColumn="0" w:firstRowLastColumn="0" w:lastRowFirstColumn="0" w:lastRowLastColumn="0"/>
              <w:rPr>
                <w:rFonts w:eastAsia="Times New Roman" w:cs="Calibri"/>
                <w:lang w:val="es-CR"/>
              </w:rPr>
            </w:pPr>
            <w:r w:rsidRPr="00CF1CB5">
              <w:t>17,6%</w:t>
            </w:r>
          </w:p>
        </w:tc>
        <w:tc>
          <w:tcPr>
            <w:tcW w:w="1252" w:type="dxa"/>
            <w:noWrap/>
            <w:hideMark/>
          </w:tcPr>
          <w:p w14:paraId="3DF130CB" w14:textId="77777777" w:rsidR="00E2531A" w:rsidRPr="00CF1CB5" w:rsidRDefault="00E2531A" w:rsidP="00C50A6E">
            <w:pPr>
              <w:jc w:val="right"/>
              <w:cnfStyle w:val="000000100000" w:firstRow="0" w:lastRow="0" w:firstColumn="0" w:lastColumn="0" w:oddVBand="0" w:evenVBand="0" w:oddHBand="1" w:evenHBand="0" w:firstRowFirstColumn="0" w:firstRowLastColumn="0" w:lastRowFirstColumn="0" w:lastRowLastColumn="0"/>
              <w:rPr>
                <w:rFonts w:eastAsia="Times New Roman" w:cs="Calibri"/>
                <w:lang w:val="es-CR"/>
              </w:rPr>
            </w:pPr>
            <w:r w:rsidRPr="00CF1CB5">
              <w:t xml:space="preserve"> 896 290 </w:t>
            </w:r>
          </w:p>
        </w:tc>
        <w:tc>
          <w:tcPr>
            <w:tcW w:w="751" w:type="dxa"/>
            <w:noWrap/>
            <w:hideMark/>
          </w:tcPr>
          <w:p w14:paraId="68E9A373" w14:textId="77777777" w:rsidR="00E2531A" w:rsidRPr="00CF1CB5" w:rsidRDefault="00E2531A" w:rsidP="00C50A6E">
            <w:pPr>
              <w:jc w:val="right"/>
              <w:cnfStyle w:val="000000100000" w:firstRow="0" w:lastRow="0" w:firstColumn="0" w:lastColumn="0" w:oddVBand="0" w:evenVBand="0" w:oddHBand="1" w:evenHBand="0" w:firstRowFirstColumn="0" w:firstRowLastColumn="0" w:lastRowFirstColumn="0" w:lastRowLastColumn="0"/>
              <w:rPr>
                <w:rFonts w:eastAsia="Times New Roman" w:cs="Calibri"/>
                <w:lang w:val="es-CR"/>
              </w:rPr>
            </w:pPr>
            <w:r w:rsidRPr="00CF1CB5">
              <w:t>12,</w:t>
            </w:r>
            <w:r>
              <w:t>8</w:t>
            </w:r>
            <w:r w:rsidRPr="00CF1CB5">
              <w:t>%</w:t>
            </w:r>
          </w:p>
        </w:tc>
        <w:tc>
          <w:tcPr>
            <w:tcW w:w="0" w:type="auto"/>
            <w:noWrap/>
            <w:hideMark/>
          </w:tcPr>
          <w:p w14:paraId="66306C75" w14:textId="77777777" w:rsidR="00E2531A" w:rsidRPr="00CF1CB5" w:rsidRDefault="00E2531A" w:rsidP="00C50A6E">
            <w:pPr>
              <w:jc w:val="right"/>
              <w:cnfStyle w:val="000000100000" w:firstRow="0" w:lastRow="0" w:firstColumn="0" w:lastColumn="0" w:oddVBand="0" w:evenVBand="0" w:oddHBand="1" w:evenHBand="0" w:firstRowFirstColumn="0" w:firstRowLastColumn="0" w:lastRowFirstColumn="0" w:lastRowLastColumn="0"/>
              <w:rPr>
                <w:rFonts w:eastAsia="Times New Roman" w:cs="Calibri"/>
                <w:lang w:val="es-CR"/>
              </w:rPr>
            </w:pPr>
            <w:r w:rsidRPr="00CF1CB5">
              <w:t xml:space="preserve"> 4 890 359 </w:t>
            </w:r>
          </w:p>
        </w:tc>
        <w:tc>
          <w:tcPr>
            <w:tcW w:w="0" w:type="auto"/>
            <w:noWrap/>
            <w:hideMark/>
          </w:tcPr>
          <w:p w14:paraId="6ABDC41B" w14:textId="77777777" w:rsidR="00E2531A" w:rsidRPr="00CF1CB5" w:rsidRDefault="00E2531A" w:rsidP="00C50A6E">
            <w:pPr>
              <w:jc w:val="right"/>
              <w:cnfStyle w:val="000000100000" w:firstRow="0" w:lastRow="0" w:firstColumn="0" w:lastColumn="0" w:oddVBand="0" w:evenVBand="0" w:oddHBand="1" w:evenHBand="0" w:firstRowFirstColumn="0" w:firstRowLastColumn="0" w:lastRowFirstColumn="0" w:lastRowLastColumn="0"/>
              <w:rPr>
                <w:rFonts w:eastAsia="Times New Roman" w:cs="Calibri"/>
                <w:lang w:val="es-CR"/>
              </w:rPr>
            </w:pPr>
            <w:r w:rsidRPr="00CF1CB5">
              <w:t>69,6%</w:t>
            </w:r>
          </w:p>
        </w:tc>
        <w:tc>
          <w:tcPr>
            <w:tcW w:w="1216" w:type="dxa"/>
            <w:noWrap/>
            <w:hideMark/>
          </w:tcPr>
          <w:p w14:paraId="0D192677" w14:textId="77777777" w:rsidR="00E2531A" w:rsidRPr="00CF1CB5" w:rsidRDefault="00E2531A" w:rsidP="00C50A6E">
            <w:pPr>
              <w:jc w:val="right"/>
              <w:cnfStyle w:val="000000100000" w:firstRow="0" w:lastRow="0" w:firstColumn="0" w:lastColumn="0" w:oddVBand="0" w:evenVBand="0" w:oddHBand="1" w:evenHBand="0" w:firstRowFirstColumn="0" w:firstRowLastColumn="0" w:lastRowFirstColumn="0" w:lastRowLastColumn="0"/>
              <w:rPr>
                <w:rFonts w:eastAsia="Times New Roman" w:cs="Calibri"/>
                <w:lang w:val="es-CR"/>
              </w:rPr>
            </w:pPr>
            <w:r w:rsidRPr="00CF1CB5">
              <w:t xml:space="preserve"> 7 025 425 </w:t>
            </w:r>
          </w:p>
        </w:tc>
      </w:tr>
      <w:tr w:rsidR="00E2531A" w:rsidRPr="00CF1CB5" w14:paraId="29C4AD58" w14:textId="77777777" w:rsidTr="00C50A6E">
        <w:trPr>
          <w:gridAfter w:val="1"/>
          <w:wAfter w:w="15" w:type="dxa"/>
          <w:trHeight w:val="23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05BF984" w14:textId="77777777" w:rsidR="00E2531A" w:rsidRPr="00CF1CB5" w:rsidRDefault="00E2531A" w:rsidP="00C50A6E">
            <w:pPr>
              <w:rPr>
                <w:rFonts w:eastAsia="Times New Roman" w:cs="Calibri"/>
                <w:lang w:val="es-CR"/>
              </w:rPr>
            </w:pPr>
            <w:r w:rsidRPr="00CF1CB5">
              <w:rPr>
                <w:rFonts w:eastAsia="Times New Roman" w:cs="Calibri"/>
                <w:lang w:val="es-CR"/>
              </w:rPr>
              <w:t>Planes Voluntarios</w:t>
            </w:r>
          </w:p>
        </w:tc>
        <w:tc>
          <w:tcPr>
            <w:tcW w:w="0" w:type="auto"/>
            <w:noWrap/>
            <w:hideMark/>
          </w:tcPr>
          <w:p w14:paraId="537FFE84" w14:textId="77777777" w:rsidR="00E2531A" w:rsidRPr="00CF1CB5" w:rsidRDefault="00E2531A" w:rsidP="00C50A6E">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CF1CB5">
              <w:t xml:space="preserve"> 11 753 </w:t>
            </w:r>
          </w:p>
        </w:tc>
        <w:tc>
          <w:tcPr>
            <w:tcW w:w="0" w:type="auto"/>
            <w:noWrap/>
            <w:hideMark/>
          </w:tcPr>
          <w:p w14:paraId="7053E551" w14:textId="77777777" w:rsidR="00E2531A" w:rsidRPr="00CF1CB5" w:rsidRDefault="00E2531A" w:rsidP="00C50A6E">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CF1CB5">
              <w:t>3,</w:t>
            </w:r>
            <w:r>
              <w:t>2</w:t>
            </w:r>
            <w:r w:rsidRPr="00CF1CB5">
              <w:t>%</w:t>
            </w:r>
          </w:p>
        </w:tc>
        <w:tc>
          <w:tcPr>
            <w:tcW w:w="1252" w:type="dxa"/>
            <w:noWrap/>
            <w:hideMark/>
          </w:tcPr>
          <w:p w14:paraId="5D914CAF" w14:textId="77777777" w:rsidR="00E2531A" w:rsidRPr="00CF1CB5" w:rsidRDefault="00E2531A" w:rsidP="00C50A6E">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CF1CB5">
              <w:t xml:space="preserve"> 84 813 </w:t>
            </w:r>
          </w:p>
        </w:tc>
        <w:tc>
          <w:tcPr>
            <w:tcW w:w="751" w:type="dxa"/>
            <w:noWrap/>
            <w:hideMark/>
          </w:tcPr>
          <w:p w14:paraId="2A37C3F2" w14:textId="77777777" w:rsidR="00E2531A" w:rsidRPr="00CF1CB5" w:rsidRDefault="00E2531A" w:rsidP="00C50A6E">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CF1CB5">
              <w:t>23,0%</w:t>
            </w:r>
          </w:p>
        </w:tc>
        <w:tc>
          <w:tcPr>
            <w:tcW w:w="0" w:type="auto"/>
            <w:noWrap/>
            <w:hideMark/>
          </w:tcPr>
          <w:p w14:paraId="3864E3BF" w14:textId="77777777" w:rsidR="00E2531A" w:rsidRPr="00CF1CB5" w:rsidRDefault="00E2531A" w:rsidP="00C50A6E">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CF1CB5">
              <w:t xml:space="preserve"> 271 868 </w:t>
            </w:r>
          </w:p>
        </w:tc>
        <w:tc>
          <w:tcPr>
            <w:tcW w:w="0" w:type="auto"/>
            <w:noWrap/>
            <w:hideMark/>
          </w:tcPr>
          <w:p w14:paraId="1181DF25" w14:textId="77777777" w:rsidR="00E2531A" w:rsidRPr="00CF1CB5" w:rsidRDefault="00E2531A" w:rsidP="00C50A6E">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CF1CB5">
              <w:t>73,</w:t>
            </w:r>
            <w:r>
              <w:t>8</w:t>
            </w:r>
            <w:r w:rsidRPr="00CF1CB5">
              <w:t>%</w:t>
            </w:r>
          </w:p>
        </w:tc>
        <w:tc>
          <w:tcPr>
            <w:tcW w:w="1216" w:type="dxa"/>
            <w:noWrap/>
            <w:hideMark/>
          </w:tcPr>
          <w:p w14:paraId="3E5A503B" w14:textId="77777777" w:rsidR="00E2531A" w:rsidRPr="00CF1CB5" w:rsidRDefault="00E2531A" w:rsidP="00C50A6E">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CF1CB5">
              <w:t xml:space="preserve"> 368 434 </w:t>
            </w:r>
          </w:p>
        </w:tc>
      </w:tr>
      <w:tr w:rsidR="00E2531A" w:rsidRPr="00CF1CB5" w14:paraId="77296D6B" w14:textId="77777777" w:rsidTr="00C50A6E">
        <w:trPr>
          <w:gridAfter w:val="1"/>
          <w:cnfStyle w:val="000000100000" w:firstRow="0" w:lastRow="0" w:firstColumn="0" w:lastColumn="0" w:oddVBand="0" w:evenVBand="0" w:oddHBand="1" w:evenHBand="0" w:firstRowFirstColumn="0" w:firstRowLastColumn="0" w:lastRowFirstColumn="0" w:lastRowLastColumn="0"/>
          <w:wAfter w:w="15" w:type="dxa"/>
          <w:trHeight w:val="23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93ACE80" w14:textId="77777777" w:rsidR="00E2531A" w:rsidRPr="00CF1CB5" w:rsidRDefault="00E2531A" w:rsidP="00C50A6E">
            <w:pPr>
              <w:rPr>
                <w:rFonts w:eastAsia="Times New Roman" w:cs="Calibri"/>
                <w:lang w:val="es-CR"/>
              </w:rPr>
            </w:pPr>
            <w:r w:rsidRPr="00CF1CB5">
              <w:rPr>
                <w:rFonts w:eastAsia="Times New Roman" w:cs="Calibri"/>
                <w:lang w:val="es-CR"/>
              </w:rPr>
              <w:t>Fondo de Capitalización Laboral</w:t>
            </w:r>
          </w:p>
        </w:tc>
        <w:tc>
          <w:tcPr>
            <w:tcW w:w="0" w:type="auto"/>
            <w:noWrap/>
            <w:hideMark/>
          </w:tcPr>
          <w:p w14:paraId="6010F3EB" w14:textId="77777777" w:rsidR="00E2531A" w:rsidRPr="00CF1CB5" w:rsidRDefault="00E2531A" w:rsidP="00C50A6E">
            <w:pPr>
              <w:jc w:val="right"/>
              <w:cnfStyle w:val="000000100000" w:firstRow="0" w:lastRow="0" w:firstColumn="0" w:lastColumn="0" w:oddVBand="0" w:evenVBand="0" w:oddHBand="1" w:evenHBand="0" w:firstRowFirstColumn="0" w:firstRowLastColumn="0" w:lastRowFirstColumn="0" w:lastRowLastColumn="0"/>
              <w:rPr>
                <w:rFonts w:eastAsia="Times New Roman" w:cs="Calibri"/>
                <w:lang w:val="es-CR"/>
              </w:rPr>
            </w:pPr>
            <w:r w:rsidRPr="00CF1CB5">
              <w:t xml:space="preserve"> 55 465 </w:t>
            </w:r>
          </w:p>
        </w:tc>
        <w:tc>
          <w:tcPr>
            <w:tcW w:w="0" w:type="auto"/>
            <w:noWrap/>
            <w:hideMark/>
          </w:tcPr>
          <w:p w14:paraId="056A5C1C" w14:textId="77777777" w:rsidR="00E2531A" w:rsidRPr="00CF1CB5" w:rsidRDefault="00E2531A" w:rsidP="00C50A6E">
            <w:pPr>
              <w:jc w:val="right"/>
              <w:cnfStyle w:val="000000100000" w:firstRow="0" w:lastRow="0" w:firstColumn="0" w:lastColumn="0" w:oddVBand="0" w:evenVBand="0" w:oddHBand="1" w:evenHBand="0" w:firstRowFirstColumn="0" w:firstRowLastColumn="0" w:lastRowFirstColumn="0" w:lastRowLastColumn="0"/>
              <w:rPr>
                <w:rFonts w:eastAsia="Times New Roman" w:cs="Calibri"/>
                <w:lang w:val="es-CR"/>
              </w:rPr>
            </w:pPr>
            <w:r w:rsidRPr="00CF1CB5">
              <w:t>8,</w:t>
            </w:r>
            <w:r>
              <w:t>7</w:t>
            </w:r>
            <w:r w:rsidRPr="00CF1CB5">
              <w:t>%</w:t>
            </w:r>
          </w:p>
        </w:tc>
        <w:tc>
          <w:tcPr>
            <w:tcW w:w="1252" w:type="dxa"/>
            <w:noWrap/>
            <w:hideMark/>
          </w:tcPr>
          <w:p w14:paraId="5C5C5A90" w14:textId="77777777" w:rsidR="00E2531A" w:rsidRPr="00CF1CB5" w:rsidRDefault="00E2531A" w:rsidP="00C50A6E">
            <w:pPr>
              <w:jc w:val="right"/>
              <w:cnfStyle w:val="000000100000" w:firstRow="0" w:lastRow="0" w:firstColumn="0" w:lastColumn="0" w:oddVBand="0" w:evenVBand="0" w:oddHBand="1" w:evenHBand="0" w:firstRowFirstColumn="0" w:firstRowLastColumn="0" w:lastRowFirstColumn="0" w:lastRowLastColumn="0"/>
              <w:rPr>
                <w:rFonts w:eastAsia="Times New Roman" w:cs="Calibri"/>
                <w:lang w:val="es-CR"/>
              </w:rPr>
            </w:pPr>
            <w:r w:rsidRPr="00CF1CB5">
              <w:t xml:space="preserve"> 153 057 </w:t>
            </w:r>
          </w:p>
        </w:tc>
        <w:tc>
          <w:tcPr>
            <w:tcW w:w="751" w:type="dxa"/>
            <w:noWrap/>
            <w:hideMark/>
          </w:tcPr>
          <w:p w14:paraId="5E0B2F96" w14:textId="77777777" w:rsidR="00E2531A" w:rsidRPr="00CF1CB5" w:rsidRDefault="00E2531A" w:rsidP="00C50A6E">
            <w:pPr>
              <w:jc w:val="right"/>
              <w:cnfStyle w:val="000000100000" w:firstRow="0" w:lastRow="0" w:firstColumn="0" w:lastColumn="0" w:oddVBand="0" w:evenVBand="0" w:oddHBand="1" w:evenHBand="0" w:firstRowFirstColumn="0" w:firstRowLastColumn="0" w:lastRowFirstColumn="0" w:lastRowLastColumn="0"/>
              <w:rPr>
                <w:rFonts w:eastAsia="Times New Roman" w:cs="Calibri"/>
                <w:lang w:val="es-CR"/>
              </w:rPr>
            </w:pPr>
            <w:r w:rsidRPr="00CF1CB5">
              <w:t>23,9%</w:t>
            </w:r>
          </w:p>
        </w:tc>
        <w:tc>
          <w:tcPr>
            <w:tcW w:w="0" w:type="auto"/>
            <w:noWrap/>
            <w:hideMark/>
          </w:tcPr>
          <w:p w14:paraId="6E2D6F32" w14:textId="77777777" w:rsidR="00E2531A" w:rsidRPr="00CF1CB5" w:rsidRDefault="00E2531A" w:rsidP="00C50A6E">
            <w:pPr>
              <w:jc w:val="right"/>
              <w:cnfStyle w:val="000000100000" w:firstRow="0" w:lastRow="0" w:firstColumn="0" w:lastColumn="0" w:oddVBand="0" w:evenVBand="0" w:oddHBand="1" w:evenHBand="0" w:firstRowFirstColumn="0" w:firstRowLastColumn="0" w:lastRowFirstColumn="0" w:lastRowLastColumn="0"/>
              <w:rPr>
                <w:rFonts w:eastAsia="Times New Roman" w:cs="Calibri"/>
                <w:lang w:val="es-CR"/>
              </w:rPr>
            </w:pPr>
            <w:r w:rsidRPr="00CF1CB5">
              <w:t xml:space="preserve"> 429 948 </w:t>
            </w:r>
          </w:p>
        </w:tc>
        <w:tc>
          <w:tcPr>
            <w:tcW w:w="0" w:type="auto"/>
            <w:noWrap/>
            <w:hideMark/>
          </w:tcPr>
          <w:p w14:paraId="600FCBF8" w14:textId="77777777" w:rsidR="00E2531A" w:rsidRPr="00CF1CB5" w:rsidRDefault="00E2531A" w:rsidP="00C50A6E">
            <w:pPr>
              <w:jc w:val="right"/>
              <w:cnfStyle w:val="000000100000" w:firstRow="0" w:lastRow="0" w:firstColumn="0" w:lastColumn="0" w:oddVBand="0" w:evenVBand="0" w:oddHBand="1" w:evenHBand="0" w:firstRowFirstColumn="0" w:firstRowLastColumn="0" w:lastRowFirstColumn="0" w:lastRowLastColumn="0"/>
              <w:rPr>
                <w:rFonts w:eastAsia="Times New Roman" w:cs="Calibri"/>
                <w:lang w:val="es-CR"/>
              </w:rPr>
            </w:pPr>
            <w:r w:rsidRPr="00CF1CB5">
              <w:t>67,3%</w:t>
            </w:r>
          </w:p>
        </w:tc>
        <w:tc>
          <w:tcPr>
            <w:tcW w:w="1216" w:type="dxa"/>
            <w:noWrap/>
            <w:hideMark/>
          </w:tcPr>
          <w:p w14:paraId="5910DE35" w14:textId="77777777" w:rsidR="00E2531A" w:rsidRPr="00CF1CB5" w:rsidRDefault="00E2531A" w:rsidP="00C50A6E">
            <w:pPr>
              <w:jc w:val="right"/>
              <w:cnfStyle w:val="000000100000" w:firstRow="0" w:lastRow="0" w:firstColumn="0" w:lastColumn="0" w:oddVBand="0" w:evenVBand="0" w:oddHBand="1" w:evenHBand="0" w:firstRowFirstColumn="0" w:firstRowLastColumn="0" w:lastRowFirstColumn="0" w:lastRowLastColumn="0"/>
              <w:rPr>
                <w:rFonts w:eastAsia="Times New Roman" w:cs="Calibri"/>
                <w:lang w:val="es-CR"/>
              </w:rPr>
            </w:pPr>
            <w:r w:rsidRPr="00CF1CB5">
              <w:t xml:space="preserve"> 638 470 </w:t>
            </w:r>
          </w:p>
        </w:tc>
      </w:tr>
      <w:tr w:rsidR="00E2531A" w:rsidRPr="00CF1CB5" w14:paraId="6C865705" w14:textId="77777777" w:rsidTr="00C50A6E">
        <w:trPr>
          <w:gridAfter w:val="1"/>
          <w:cnfStyle w:val="010000000000" w:firstRow="0" w:lastRow="1" w:firstColumn="0" w:lastColumn="0" w:oddVBand="0" w:evenVBand="0" w:oddHBand="0" w:evenHBand="0" w:firstRowFirstColumn="0" w:firstRowLastColumn="0" w:lastRowFirstColumn="0" w:lastRowLastColumn="0"/>
          <w:wAfter w:w="15" w:type="dxa"/>
          <w:trHeight w:val="23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B579DBB" w14:textId="77777777" w:rsidR="00E2531A" w:rsidRPr="00CF1CB5" w:rsidRDefault="00E2531A" w:rsidP="00C50A6E">
            <w:pPr>
              <w:rPr>
                <w:rFonts w:eastAsia="Times New Roman" w:cs="Calibri"/>
                <w:lang w:val="es-CR"/>
              </w:rPr>
            </w:pPr>
            <w:r w:rsidRPr="00CF1CB5">
              <w:rPr>
                <w:rFonts w:eastAsia="Times New Roman" w:cs="Calibri"/>
                <w:lang w:val="es-CR"/>
              </w:rPr>
              <w:t>Total</w:t>
            </w:r>
          </w:p>
        </w:tc>
        <w:tc>
          <w:tcPr>
            <w:tcW w:w="0" w:type="auto"/>
            <w:noWrap/>
            <w:hideMark/>
          </w:tcPr>
          <w:p w14:paraId="3B4ACC27" w14:textId="77777777" w:rsidR="00E2531A" w:rsidRPr="00CF1CB5" w:rsidRDefault="00E2531A" w:rsidP="00C50A6E">
            <w:pPr>
              <w:jc w:val="right"/>
              <w:cnfStyle w:val="010000000000" w:firstRow="0" w:lastRow="1" w:firstColumn="0" w:lastColumn="0" w:oddVBand="0" w:evenVBand="0" w:oddHBand="0" w:evenHBand="0" w:firstRowFirstColumn="0" w:firstRowLastColumn="0" w:lastRowFirstColumn="0" w:lastRowLastColumn="0"/>
              <w:rPr>
                <w:rFonts w:eastAsia="Times New Roman" w:cs="Calibri"/>
                <w:lang w:val="es-CR"/>
              </w:rPr>
            </w:pPr>
            <w:r w:rsidRPr="00CF1CB5">
              <w:rPr>
                <w:rFonts w:eastAsia="Times New Roman" w:cs="Calibri"/>
                <w:lang w:val="es-CR"/>
              </w:rPr>
              <w:t xml:space="preserve"> 1 305 993 </w:t>
            </w:r>
          </w:p>
        </w:tc>
        <w:tc>
          <w:tcPr>
            <w:tcW w:w="0" w:type="auto"/>
            <w:noWrap/>
            <w:hideMark/>
          </w:tcPr>
          <w:p w14:paraId="3F86B701" w14:textId="77777777" w:rsidR="00E2531A" w:rsidRPr="00CF1CB5" w:rsidRDefault="00E2531A" w:rsidP="00C50A6E">
            <w:pPr>
              <w:jc w:val="right"/>
              <w:cnfStyle w:val="010000000000" w:firstRow="0" w:lastRow="1" w:firstColumn="0" w:lastColumn="0" w:oddVBand="0" w:evenVBand="0" w:oddHBand="0" w:evenHBand="0" w:firstRowFirstColumn="0" w:firstRowLastColumn="0" w:lastRowFirstColumn="0" w:lastRowLastColumn="0"/>
              <w:rPr>
                <w:rFonts w:eastAsia="Times New Roman" w:cs="Calibri"/>
                <w:lang w:val="es-CR"/>
              </w:rPr>
            </w:pPr>
            <w:r w:rsidRPr="00CF1CB5">
              <w:rPr>
                <w:rFonts w:eastAsia="Times New Roman" w:cs="Calibri"/>
                <w:lang w:val="es-CR"/>
              </w:rPr>
              <w:t>8,</w:t>
            </w:r>
            <w:r>
              <w:rPr>
                <w:rFonts w:eastAsia="Times New Roman" w:cs="Calibri"/>
                <w:lang w:val="es-CR"/>
              </w:rPr>
              <w:t>8</w:t>
            </w:r>
            <w:r w:rsidRPr="00CF1CB5">
              <w:rPr>
                <w:rFonts w:eastAsia="Times New Roman" w:cs="Calibri"/>
                <w:lang w:val="es-CR"/>
              </w:rPr>
              <w:t>%</w:t>
            </w:r>
          </w:p>
        </w:tc>
        <w:tc>
          <w:tcPr>
            <w:tcW w:w="1252" w:type="dxa"/>
            <w:noWrap/>
            <w:hideMark/>
          </w:tcPr>
          <w:p w14:paraId="2E277C1A" w14:textId="77777777" w:rsidR="00E2531A" w:rsidRPr="00CF1CB5" w:rsidRDefault="00E2531A" w:rsidP="00C50A6E">
            <w:pPr>
              <w:jc w:val="right"/>
              <w:cnfStyle w:val="010000000000" w:firstRow="0" w:lastRow="1" w:firstColumn="0" w:lastColumn="0" w:oddVBand="0" w:evenVBand="0" w:oddHBand="0" w:evenHBand="0" w:firstRowFirstColumn="0" w:firstRowLastColumn="0" w:lastRowFirstColumn="0" w:lastRowLastColumn="0"/>
              <w:rPr>
                <w:rFonts w:eastAsia="Times New Roman" w:cs="Calibri"/>
                <w:lang w:val="es-CR"/>
              </w:rPr>
            </w:pPr>
            <w:r w:rsidRPr="00CF1CB5">
              <w:rPr>
                <w:rFonts w:eastAsia="Times New Roman" w:cs="Calibri"/>
                <w:lang w:val="es-CR"/>
              </w:rPr>
              <w:t xml:space="preserve">    1 988 76 </w:t>
            </w:r>
          </w:p>
        </w:tc>
        <w:tc>
          <w:tcPr>
            <w:tcW w:w="751" w:type="dxa"/>
            <w:noWrap/>
            <w:hideMark/>
          </w:tcPr>
          <w:p w14:paraId="3BD0CA03" w14:textId="77777777" w:rsidR="00E2531A" w:rsidRPr="00CF1CB5" w:rsidRDefault="00E2531A" w:rsidP="00C50A6E">
            <w:pPr>
              <w:jc w:val="right"/>
              <w:cnfStyle w:val="010000000000" w:firstRow="0" w:lastRow="1" w:firstColumn="0" w:lastColumn="0" w:oddVBand="0" w:evenVBand="0" w:oddHBand="0" w:evenHBand="0" w:firstRowFirstColumn="0" w:firstRowLastColumn="0" w:lastRowFirstColumn="0" w:lastRowLastColumn="0"/>
              <w:rPr>
                <w:rFonts w:eastAsia="Times New Roman" w:cs="Calibri"/>
                <w:lang w:val="es-CR"/>
              </w:rPr>
            </w:pPr>
            <w:r w:rsidRPr="00CF1CB5">
              <w:rPr>
                <w:rFonts w:eastAsia="Times New Roman" w:cs="Calibri"/>
                <w:lang w:val="es-CR"/>
              </w:rPr>
              <w:t>13,3%</w:t>
            </w:r>
          </w:p>
        </w:tc>
        <w:tc>
          <w:tcPr>
            <w:tcW w:w="0" w:type="auto"/>
            <w:noWrap/>
            <w:hideMark/>
          </w:tcPr>
          <w:p w14:paraId="53E2A364" w14:textId="77777777" w:rsidR="00E2531A" w:rsidRPr="00CF1CB5" w:rsidRDefault="00E2531A" w:rsidP="00C50A6E">
            <w:pPr>
              <w:jc w:val="right"/>
              <w:cnfStyle w:val="010000000000" w:firstRow="0" w:lastRow="1" w:firstColumn="0" w:lastColumn="0" w:oddVBand="0" w:evenVBand="0" w:oddHBand="0" w:evenHBand="0" w:firstRowFirstColumn="0" w:firstRowLastColumn="0" w:lastRowFirstColumn="0" w:lastRowLastColumn="0"/>
              <w:rPr>
                <w:rFonts w:eastAsia="Times New Roman" w:cs="Calibri"/>
                <w:lang w:val="es-CR"/>
              </w:rPr>
            </w:pPr>
            <w:r w:rsidRPr="00CF1CB5">
              <w:rPr>
                <w:rFonts w:eastAsia="Times New Roman" w:cs="Calibri"/>
                <w:lang w:val="es-CR"/>
              </w:rPr>
              <w:t xml:space="preserve">   11 611 446 </w:t>
            </w:r>
          </w:p>
        </w:tc>
        <w:tc>
          <w:tcPr>
            <w:tcW w:w="0" w:type="auto"/>
            <w:noWrap/>
            <w:hideMark/>
          </w:tcPr>
          <w:p w14:paraId="38A3060D" w14:textId="77777777" w:rsidR="00E2531A" w:rsidRPr="00CF1CB5" w:rsidRDefault="00E2531A" w:rsidP="00C50A6E">
            <w:pPr>
              <w:jc w:val="right"/>
              <w:cnfStyle w:val="010000000000" w:firstRow="0" w:lastRow="1" w:firstColumn="0" w:lastColumn="0" w:oddVBand="0" w:evenVBand="0" w:oddHBand="0" w:evenHBand="0" w:firstRowFirstColumn="0" w:firstRowLastColumn="0" w:lastRowFirstColumn="0" w:lastRowLastColumn="0"/>
              <w:rPr>
                <w:rFonts w:eastAsia="Times New Roman" w:cs="Calibri"/>
                <w:lang w:val="es-CR"/>
              </w:rPr>
            </w:pPr>
            <w:r w:rsidRPr="00CF1CB5">
              <w:rPr>
                <w:rFonts w:eastAsia="Times New Roman" w:cs="Calibri"/>
                <w:lang w:val="es-CR"/>
              </w:rPr>
              <w:t>77,9%</w:t>
            </w:r>
          </w:p>
        </w:tc>
        <w:tc>
          <w:tcPr>
            <w:tcW w:w="1216" w:type="dxa"/>
            <w:noWrap/>
            <w:hideMark/>
          </w:tcPr>
          <w:p w14:paraId="612BE894" w14:textId="77777777" w:rsidR="00E2531A" w:rsidRPr="00CF1CB5" w:rsidRDefault="00E2531A" w:rsidP="00C50A6E">
            <w:pPr>
              <w:cnfStyle w:val="010000000000" w:firstRow="0" w:lastRow="1" w:firstColumn="0" w:lastColumn="0" w:oddVBand="0" w:evenVBand="0" w:oddHBand="0" w:evenHBand="0" w:firstRowFirstColumn="0" w:firstRowLastColumn="0" w:lastRowFirstColumn="0" w:lastRowLastColumn="0"/>
              <w:rPr>
                <w:rFonts w:eastAsia="Times New Roman" w:cs="Calibri"/>
                <w:lang w:val="es-CR"/>
              </w:rPr>
            </w:pPr>
            <w:r w:rsidRPr="00CF1CB5">
              <w:rPr>
                <w:rFonts w:eastAsia="Times New Roman" w:cs="Calibri"/>
                <w:lang w:val="es-CR"/>
              </w:rPr>
              <w:t xml:space="preserve"> 14 906 146 </w:t>
            </w:r>
          </w:p>
        </w:tc>
      </w:tr>
    </w:tbl>
    <w:p w14:paraId="1F3F5906" w14:textId="66C70FE7" w:rsidR="00E2531A" w:rsidRDefault="00E2531A" w:rsidP="00A8066D">
      <w:pPr>
        <w:pStyle w:val="Descripcin"/>
        <w:spacing w:after="0"/>
        <w:ind w:left="1276"/>
      </w:pPr>
      <w:r>
        <w:t xml:space="preserve"> Fuente: Elaboración propia</w:t>
      </w:r>
    </w:p>
    <w:p w14:paraId="7DBA0461" w14:textId="39F54617" w:rsidR="00A8066D" w:rsidRDefault="00A8066D">
      <w:r>
        <w:br w:type="page"/>
      </w:r>
    </w:p>
    <w:p w14:paraId="222EE2E3" w14:textId="19063C2D" w:rsidR="00CF15EE" w:rsidRDefault="00AA66AE" w:rsidP="00A8066D">
      <w:pPr>
        <w:pStyle w:val="Ttulo2"/>
        <w:numPr>
          <w:ilvl w:val="1"/>
          <w:numId w:val="1"/>
        </w:numPr>
        <w:spacing w:line="360" w:lineRule="auto"/>
      </w:pPr>
      <w:bookmarkStart w:id="16" w:name="_Toc64039567"/>
      <w:r>
        <w:t>Rentabilidad</w:t>
      </w:r>
      <w:bookmarkEnd w:id="16"/>
      <w:r w:rsidR="0056317E">
        <w:t xml:space="preserve"> </w:t>
      </w:r>
    </w:p>
    <w:p w14:paraId="38E73921" w14:textId="77777777" w:rsidR="008C60E1" w:rsidRPr="00C50A6E" w:rsidRDefault="008C60E1" w:rsidP="00A8066D">
      <w:pPr>
        <w:spacing w:after="0" w:line="360" w:lineRule="auto"/>
        <w:jc w:val="both"/>
        <w:rPr>
          <w:sz w:val="24"/>
          <w:szCs w:val="24"/>
        </w:rPr>
      </w:pPr>
    </w:p>
    <w:p w14:paraId="1987736B" w14:textId="7862FDE0" w:rsidR="00B73B8C" w:rsidRPr="00C50A6E" w:rsidRDefault="00226648" w:rsidP="00A8066D">
      <w:pPr>
        <w:spacing w:after="0" w:line="360" w:lineRule="auto"/>
        <w:jc w:val="both"/>
        <w:rPr>
          <w:sz w:val="24"/>
          <w:szCs w:val="24"/>
        </w:rPr>
      </w:pPr>
      <w:r w:rsidRPr="00C50A6E">
        <w:rPr>
          <w:sz w:val="24"/>
          <w:szCs w:val="24"/>
        </w:rPr>
        <w:t xml:space="preserve">La </w:t>
      </w:r>
      <w:r w:rsidR="00FD4B79" w:rsidRPr="00C50A6E">
        <w:rPr>
          <w:sz w:val="24"/>
          <w:szCs w:val="24"/>
        </w:rPr>
        <w:t>inversión en</w:t>
      </w:r>
      <w:r w:rsidR="009828CA" w:rsidRPr="00C50A6E">
        <w:rPr>
          <w:sz w:val="24"/>
          <w:szCs w:val="24"/>
        </w:rPr>
        <w:t xml:space="preserve"> el</w:t>
      </w:r>
      <w:r w:rsidRPr="00C50A6E">
        <w:rPr>
          <w:sz w:val="24"/>
          <w:szCs w:val="24"/>
        </w:rPr>
        <w:t xml:space="preserve"> extranjero de los</w:t>
      </w:r>
      <w:r w:rsidR="001C5D21" w:rsidRPr="00C50A6E">
        <w:rPr>
          <w:sz w:val="24"/>
          <w:szCs w:val="24"/>
        </w:rPr>
        <w:t xml:space="preserve"> portafolios de pensiones</w:t>
      </w:r>
      <w:r w:rsidR="009828CA" w:rsidRPr="00C50A6E">
        <w:rPr>
          <w:sz w:val="24"/>
          <w:szCs w:val="24"/>
        </w:rPr>
        <w:t xml:space="preserve"> </w:t>
      </w:r>
      <w:r w:rsidR="00CD121D" w:rsidRPr="00C50A6E">
        <w:rPr>
          <w:sz w:val="24"/>
          <w:szCs w:val="24"/>
        </w:rPr>
        <w:t>muestra</w:t>
      </w:r>
      <w:r w:rsidR="00AF784D" w:rsidRPr="00C50A6E">
        <w:rPr>
          <w:sz w:val="24"/>
          <w:szCs w:val="24"/>
        </w:rPr>
        <w:t xml:space="preserve"> </w:t>
      </w:r>
      <w:r w:rsidR="009828CA" w:rsidRPr="00C50A6E">
        <w:rPr>
          <w:sz w:val="24"/>
          <w:szCs w:val="24"/>
        </w:rPr>
        <w:t xml:space="preserve">una recuperación durante </w:t>
      </w:r>
      <w:r w:rsidR="00AF784D" w:rsidRPr="00C50A6E">
        <w:rPr>
          <w:sz w:val="24"/>
          <w:szCs w:val="24"/>
        </w:rPr>
        <w:t>los primeros dos meses del</w:t>
      </w:r>
      <w:r w:rsidR="009828CA" w:rsidRPr="00C50A6E">
        <w:rPr>
          <w:sz w:val="24"/>
          <w:szCs w:val="24"/>
        </w:rPr>
        <w:t xml:space="preserve"> </w:t>
      </w:r>
      <w:r w:rsidR="000466A7" w:rsidRPr="00C50A6E">
        <w:rPr>
          <w:sz w:val="24"/>
          <w:szCs w:val="24"/>
        </w:rPr>
        <w:t xml:space="preserve">tercer </w:t>
      </w:r>
      <w:r w:rsidR="009828CA" w:rsidRPr="00C50A6E">
        <w:rPr>
          <w:sz w:val="24"/>
          <w:szCs w:val="24"/>
        </w:rPr>
        <w:t>trimestre</w:t>
      </w:r>
      <w:r w:rsidR="00EC6EBF" w:rsidRPr="00C50A6E">
        <w:rPr>
          <w:sz w:val="24"/>
          <w:szCs w:val="24"/>
        </w:rPr>
        <w:t xml:space="preserve">, </w:t>
      </w:r>
      <w:r w:rsidR="00AD0B2A" w:rsidRPr="00C50A6E">
        <w:rPr>
          <w:sz w:val="24"/>
          <w:szCs w:val="24"/>
        </w:rPr>
        <w:t xml:space="preserve">sin </w:t>
      </w:r>
      <w:r w:rsidR="000174F3" w:rsidRPr="00C50A6E">
        <w:rPr>
          <w:sz w:val="24"/>
          <w:szCs w:val="24"/>
        </w:rPr>
        <w:t>embargo,</w:t>
      </w:r>
      <w:r w:rsidR="00AD0B2A" w:rsidRPr="00C50A6E">
        <w:rPr>
          <w:sz w:val="24"/>
          <w:szCs w:val="24"/>
        </w:rPr>
        <w:t xml:space="preserve"> durante el </w:t>
      </w:r>
      <w:r w:rsidR="00BF2927" w:rsidRPr="00C50A6E">
        <w:rPr>
          <w:sz w:val="24"/>
          <w:szCs w:val="24"/>
        </w:rPr>
        <w:t xml:space="preserve">mes de </w:t>
      </w:r>
      <w:r w:rsidR="00AD0B2A" w:rsidRPr="00C50A6E">
        <w:rPr>
          <w:sz w:val="24"/>
          <w:szCs w:val="24"/>
        </w:rPr>
        <w:t>setiembre la recuperación se detuvo y los índices presentaron caídas durante las primeras 3 semanas del mes</w:t>
      </w:r>
      <w:r w:rsidR="000174F3" w:rsidRPr="00C50A6E">
        <w:rPr>
          <w:sz w:val="24"/>
          <w:szCs w:val="24"/>
        </w:rPr>
        <w:t>. L</w:t>
      </w:r>
      <w:r w:rsidR="008C60E1" w:rsidRPr="00C50A6E">
        <w:rPr>
          <w:sz w:val="24"/>
          <w:szCs w:val="24"/>
        </w:rPr>
        <w:t>a exposición de cada fondo depende de su propia composición</w:t>
      </w:r>
      <w:r w:rsidR="001D3519" w:rsidRPr="00C50A6E">
        <w:rPr>
          <w:sz w:val="24"/>
          <w:szCs w:val="24"/>
        </w:rPr>
        <w:t xml:space="preserve">, </w:t>
      </w:r>
      <w:r w:rsidR="008C60E1" w:rsidRPr="00C50A6E">
        <w:rPr>
          <w:sz w:val="24"/>
          <w:szCs w:val="24"/>
        </w:rPr>
        <w:t>entre mayor sea el porcentaje de la cartera invertido en valores extranjeros, mayor ha sido la recuperación</w:t>
      </w:r>
      <w:r w:rsidR="00F53A8F" w:rsidRPr="00C50A6E">
        <w:rPr>
          <w:sz w:val="24"/>
          <w:szCs w:val="24"/>
        </w:rPr>
        <w:t xml:space="preserve"> </w:t>
      </w:r>
      <w:r w:rsidR="008C60E1" w:rsidRPr="00C50A6E">
        <w:rPr>
          <w:sz w:val="24"/>
          <w:szCs w:val="24"/>
        </w:rPr>
        <w:t xml:space="preserve">de las pérdidas sufridas </w:t>
      </w:r>
      <w:r w:rsidR="001D3519" w:rsidRPr="00C50A6E">
        <w:rPr>
          <w:sz w:val="24"/>
          <w:szCs w:val="24"/>
        </w:rPr>
        <w:t xml:space="preserve">durante </w:t>
      </w:r>
      <w:r w:rsidR="008C60E1" w:rsidRPr="00C50A6E">
        <w:rPr>
          <w:sz w:val="24"/>
          <w:szCs w:val="24"/>
        </w:rPr>
        <w:t>marzo</w:t>
      </w:r>
      <w:r w:rsidR="00544FFB" w:rsidRPr="00C50A6E">
        <w:rPr>
          <w:sz w:val="24"/>
          <w:szCs w:val="24"/>
        </w:rPr>
        <w:t xml:space="preserve"> (a causa del COVID-19)</w:t>
      </w:r>
      <w:r w:rsidR="00BF2927" w:rsidRPr="00C50A6E">
        <w:rPr>
          <w:sz w:val="24"/>
          <w:szCs w:val="24"/>
        </w:rPr>
        <w:t xml:space="preserve"> </w:t>
      </w:r>
      <w:r w:rsidR="00B7001F" w:rsidRPr="00C50A6E">
        <w:rPr>
          <w:sz w:val="24"/>
          <w:szCs w:val="24"/>
        </w:rPr>
        <w:t xml:space="preserve">pero también ha sido </w:t>
      </w:r>
      <w:r w:rsidR="00BF2927" w:rsidRPr="00C50A6E">
        <w:rPr>
          <w:sz w:val="24"/>
          <w:szCs w:val="24"/>
        </w:rPr>
        <w:t xml:space="preserve">más empinada </w:t>
      </w:r>
      <w:r w:rsidR="00B7001F" w:rsidRPr="00C50A6E">
        <w:rPr>
          <w:sz w:val="24"/>
          <w:szCs w:val="24"/>
        </w:rPr>
        <w:t xml:space="preserve">la </w:t>
      </w:r>
      <w:r w:rsidR="00BF2927" w:rsidRPr="00C50A6E">
        <w:rPr>
          <w:sz w:val="24"/>
          <w:szCs w:val="24"/>
        </w:rPr>
        <w:t xml:space="preserve">caída que se presenta durante el mes de </w:t>
      </w:r>
      <w:r w:rsidR="00C74702" w:rsidRPr="00C50A6E">
        <w:rPr>
          <w:sz w:val="24"/>
          <w:szCs w:val="24"/>
        </w:rPr>
        <w:t>setiembre.</w:t>
      </w:r>
    </w:p>
    <w:p w14:paraId="7C638DD5" w14:textId="77777777" w:rsidR="003E41A4" w:rsidRPr="00C50A6E" w:rsidRDefault="003E41A4" w:rsidP="00A8066D">
      <w:pPr>
        <w:spacing w:after="0" w:line="360" w:lineRule="auto"/>
        <w:jc w:val="both"/>
        <w:rPr>
          <w:sz w:val="24"/>
          <w:szCs w:val="24"/>
        </w:rPr>
      </w:pPr>
    </w:p>
    <w:p w14:paraId="12452CE7" w14:textId="79ED5B0A" w:rsidR="00766731" w:rsidRPr="00C50A6E" w:rsidRDefault="00907B37" w:rsidP="00A8066D">
      <w:pPr>
        <w:spacing w:after="0" w:line="360" w:lineRule="auto"/>
        <w:jc w:val="both"/>
        <w:rPr>
          <w:sz w:val="24"/>
          <w:szCs w:val="24"/>
        </w:rPr>
      </w:pPr>
      <w:r w:rsidRPr="00C50A6E">
        <w:rPr>
          <w:sz w:val="24"/>
          <w:szCs w:val="24"/>
        </w:rPr>
        <w:t>En el mercado local, d</w:t>
      </w:r>
      <w:r w:rsidR="00F0352E" w:rsidRPr="00C50A6E">
        <w:rPr>
          <w:sz w:val="24"/>
          <w:szCs w:val="24"/>
        </w:rPr>
        <w:t>urante</w:t>
      </w:r>
      <w:r w:rsidR="00801BFB" w:rsidRPr="00C50A6E">
        <w:rPr>
          <w:sz w:val="24"/>
          <w:szCs w:val="24"/>
        </w:rPr>
        <w:t xml:space="preserve"> </w:t>
      </w:r>
      <w:r w:rsidR="001A284C" w:rsidRPr="00C50A6E">
        <w:rPr>
          <w:sz w:val="24"/>
          <w:szCs w:val="24"/>
        </w:rPr>
        <w:t>trimestre</w:t>
      </w:r>
      <w:r w:rsidR="00801BFB" w:rsidRPr="00C50A6E">
        <w:rPr>
          <w:sz w:val="24"/>
          <w:szCs w:val="24"/>
        </w:rPr>
        <w:t xml:space="preserve"> </w:t>
      </w:r>
      <w:r w:rsidR="00FC48B6" w:rsidRPr="00C50A6E">
        <w:rPr>
          <w:sz w:val="24"/>
          <w:szCs w:val="24"/>
        </w:rPr>
        <w:t xml:space="preserve">la curva de rendimientos en colones del BCCR </w:t>
      </w:r>
      <w:r w:rsidR="00717D49" w:rsidRPr="00C50A6E">
        <w:rPr>
          <w:sz w:val="24"/>
          <w:szCs w:val="24"/>
        </w:rPr>
        <w:t>pres</w:t>
      </w:r>
      <w:r w:rsidR="001F3FD4" w:rsidRPr="00C50A6E">
        <w:rPr>
          <w:sz w:val="24"/>
          <w:szCs w:val="24"/>
        </w:rPr>
        <w:t>e</w:t>
      </w:r>
      <w:r w:rsidR="00717D49" w:rsidRPr="00C50A6E">
        <w:rPr>
          <w:sz w:val="24"/>
          <w:szCs w:val="24"/>
        </w:rPr>
        <w:t xml:space="preserve">ntó un desplazamiento hacia </w:t>
      </w:r>
      <w:r w:rsidR="001A284C" w:rsidRPr="00C50A6E">
        <w:rPr>
          <w:sz w:val="24"/>
          <w:szCs w:val="24"/>
        </w:rPr>
        <w:t>abajo</w:t>
      </w:r>
      <w:r w:rsidR="00C304B5" w:rsidRPr="00C50A6E">
        <w:rPr>
          <w:sz w:val="24"/>
          <w:szCs w:val="24"/>
        </w:rPr>
        <w:t xml:space="preserve"> en los plazo</w:t>
      </w:r>
      <w:r w:rsidR="00CE05D7" w:rsidRPr="00C50A6E">
        <w:rPr>
          <w:sz w:val="24"/>
          <w:szCs w:val="24"/>
        </w:rPr>
        <w:t>s</w:t>
      </w:r>
      <w:r w:rsidR="00C304B5" w:rsidRPr="00C50A6E">
        <w:rPr>
          <w:sz w:val="24"/>
          <w:szCs w:val="24"/>
        </w:rPr>
        <w:t xml:space="preserve"> inferiores a los 7 años</w:t>
      </w:r>
      <w:r w:rsidR="00717D49" w:rsidRPr="00C50A6E">
        <w:rPr>
          <w:sz w:val="24"/>
          <w:szCs w:val="24"/>
        </w:rPr>
        <w:t xml:space="preserve">, </w:t>
      </w:r>
      <w:r w:rsidR="0068020F" w:rsidRPr="00C50A6E">
        <w:rPr>
          <w:sz w:val="24"/>
          <w:szCs w:val="24"/>
        </w:rPr>
        <w:t xml:space="preserve">afectando </w:t>
      </w:r>
      <w:r w:rsidR="001F3FD4" w:rsidRPr="00C50A6E">
        <w:rPr>
          <w:sz w:val="24"/>
          <w:szCs w:val="24"/>
        </w:rPr>
        <w:t xml:space="preserve">de manera </w:t>
      </w:r>
      <w:r w:rsidR="00C304B5" w:rsidRPr="00C50A6E">
        <w:rPr>
          <w:sz w:val="24"/>
          <w:szCs w:val="24"/>
        </w:rPr>
        <w:t xml:space="preserve">positiva </w:t>
      </w:r>
      <w:r w:rsidR="0068020F" w:rsidRPr="00C50A6E">
        <w:rPr>
          <w:sz w:val="24"/>
          <w:szCs w:val="24"/>
        </w:rPr>
        <w:t xml:space="preserve">el valor de las inversiones en </w:t>
      </w:r>
      <w:r w:rsidR="00A400A0" w:rsidRPr="00C50A6E">
        <w:rPr>
          <w:sz w:val="24"/>
          <w:szCs w:val="24"/>
        </w:rPr>
        <w:t xml:space="preserve">locales </w:t>
      </w:r>
      <w:r w:rsidR="001F3FD4" w:rsidRPr="00C50A6E">
        <w:rPr>
          <w:sz w:val="24"/>
          <w:szCs w:val="24"/>
        </w:rPr>
        <w:t>de los portafolios de pensiones</w:t>
      </w:r>
      <w:r w:rsidR="00A33DEB" w:rsidRPr="00C50A6E">
        <w:rPr>
          <w:sz w:val="24"/>
          <w:szCs w:val="24"/>
        </w:rPr>
        <w:t xml:space="preserve">. </w:t>
      </w:r>
      <w:r w:rsidR="00103286" w:rsidRPr="00C50A6E">
        <w:rPr>
          <w:sz w:val="24"/>
          <w:szCs w:val="24"/>
        </w:rPr>
        <w:t xml:space="preserve">Para los plazos </w:t>
      </w:r>
      <w:r w:rsidR="00964544" w:rsidRPr="00C50A6E">
        <w:rPr>
          <w:sz w:val="24"/>
          <w:szCs w:val="24"/>
        </w:rPr>
        <w:t xml:space="preserve">superiores a los </w:t>
      </w:r>
      <w:r w:rsidR="00103286" w:rsidRPr="00C50A6E">
        <w:rPr>
          <w:sz w:val="24"/>
          <w:szCs w:val="24"/>
        </w:rPr>
        <w:t>7 años</w:t>
      </w:r>
      <w:r w:rsidR="00637EBB" w:rsidRPr="00C50A6E">
        <w:rPr>
          <w:sz w:val="24"/>
          <w:szCs w:val="24"/>
        </w:rPr>
        <w:t xml:space="preserve"> </w:t>
      </w:r>
      <w:r w:rsidR="00E20D21" w:rsidRPr="00C50A6E">
        <w:rPr>
          <w:sz w:val="24"/>
          <w:szCs w:val="24"/>
        </w:rPr>
        <w:t xml:space="preserve">se presenta </w:t>
      </w:r>
      <w:r w:rsidR="00A33DEB" w:rsidRPr="00C50A6E">
        <w:rPr>
          <w:sz w:val="24"/>
          <w:szCs w:val="24"/>
        </w:rPr>
        <w:t xml:space="preserve">un desplazamiento de la curva </w:t>
      </w:r>
      <w:r w:rsidR="004F113A" w:rsidRPr="00C50A6E">
        <w:rPr>
          <w:sz w:val="24"/>
          <w:szCs w:val="24"/>
        </w:rPr>
        <w:t xml:space="preserve">en colones </w:t>
      </w:r>
      <w:r w:rsidR="00801BFB" w:rsidRPr="00C50A6E">
        <w:rPr>
          <w:sz w:val="24"/>
          <w:szCs w:val="24"/>
        </w:rPr>
        <w:t xml:space="preserve">hacia </w:t>
      </w:r>
      <w:r w:rsidR="00AA7138" w:rsidRPr="00C50A6E">
        <w:rPr>
          <w:sz w:val="24"/>
          <w:szCs w:val="24"/>
        </w:rPr>
        <w:t>arriba</w:t>
      </w:r>
      <w:r w:rsidR="00E6455F" w:rsidRPr="00C50A6E">
        <w:rPr>
          <w:sz w:val="24"/>
          <w:szCs w:val="24"/>
        </w:rPr>
        <w:t xml:space="preserve"> provocando un efecto negativo</w:t>
      </w:r>
      <w:r w:rsidR="00964544" w:rsidRPr="00C50A6E">
        <w:rPr>
          <w:sz w:val="24"/>
          <w:szCs w:val="24"/>
        </w:rPr>
        <w:t>. Sin embargo,</w:t>
      </w:r>
      <w:r w:rsidR="00541CE5" w:rsidRPr="00C50A6E">
        <w:rPr>
          <w:sz w:val="24"/>
          <w:szCs w:val="24"/>
        </w:rPr>
        <w:t xml:space="preserve"> </w:t>
      </w:r>
      <w:r w:rsidR="005C0F80" w:rsidRPr="00C50A6E">
        <w:rPr>
          <w:sz w:val="24"/>
          <w:szCs w:val="24"/>
        </w:rPr>
        <w:t>el efecto total del trimestre para la</w:t>
      </w:r>
      <w:r w:rsidR="00541CE5" w:rsidRPr="00C50A6E">
        <w:rPr>
          <w:sz w:val="24"/>
          <w:szCs w:val="24"/>
        </w:rPr>
        <w:t>s</w:t>
      </w:r>
      <w:r w:rsidR="005C0F80" w:rsidRPr="00C50A6E">
        <w:rPr>
          <w:sz w:val="24"/>
          <w:szCs w:val="24"/>
        </w:rPr>
        <w:t xml:space="preserve"> inversi</w:t>
      </w:r>
      <w:r w:rsidR="00541CE5" w:rsidRPr="00C50A6E">
        <w:rPr>
          <w:sz w:val="24"/>
          <w:szCs w:val="24"/>
        </w:rPr>
        <w:t>o</w:t>
      </w:r>
      <w:r w:rsidR="005C0F80" w:rsidRPr="00C50A6E">
        <w:rPr>
          <w:sz w:val="24"/>
          <w:szCs w:val="24"/>
        </w:rPr>
        <w:t>n</w:t>
      </w:r>
      <w:r w:rsidR="00541CE5" w:rsidRPr="00C50A6E">
        <w:rPr>
          <w:sz w:val="24"/>
          <w:szCs w:val="24"/>
        </w:rPr>
        <w:t>es</w:t>
      </w:r>
      <w:r w:rsidR="005C0F80" w:rsidRPr="00C50A6E">
        <w:rPr>
          <w:sz w:val="24"/>
          <w:szCs w:val="24"/>
        </w:rPr>
        <w:t xml:space="preserve"> local</w:t>
      </w:r>
      <w:r w:rsidR="00964544" w:rsidRPr="00C50A6E">
        <w:rPr>
          <w:sz w:val="24"/>
          <w:szCs w:val="24"/>
        </w:rPr>
        <w:t>es</w:t>
      </w:r>
      <w:r w:rsidR="005C0F80" w:rsidRPr="00C50A6E">
        <w:rPr>
          <w:sz w:val="24"/>
          <w:szCs w:val="24"/>
        </w:rPr>
        <w:t xml:space="preserve"> de los portafolios de pensiones </w:t>
      </w:r>
      <w:r w:rsidR="00541CE5" w:rsidRPr="00C50A6E">
        <w:rPr>
          <w:sz w:val="24"/>
          <w:szCs w:val="24"/>
        </w:rPr>
        <w:t xml:space="preserve">depende de la composición </w:t>
      </w:r>
      <w:r w:rsidR="008A4B88" w:rsidRPr="00C50A6E">
        <w:rPr>
          <w:sz w:val="24"/>
          <w:szCs w:val="24"/>
        </w:rPr>
        <w:t xml:space="preserve">por plazo </w:t>
      </w:r>
      <w:r w:rsidR="00541CE5" w:rsidRPr="00C50A6E">
        <w:rPr>
          <w:sz w:val="24"/>
          <w:szCs w:val="24"/>
        </w:rPr>
        <w:t>de los portafolios</w:t>
      </w:r>
      <w:r w:rsidR="005C0F80" w:rsidRPr="00C50A6E">
        <w:rPr>
          <w:sz w:val="24"/>
          <w:szCs w:val="24"/>
        </w:rPr>
        <w:t>.</w:t>
      </w:r>
    </w:p>
    <w:p w14:paraId="02D84B99" w14:textId="77777777" w:rsidR="00780F08" w:rsidRPr="00C50A6E" w:rsidRDefault="00780F08" w:rsidP="00A8066D">
      <w:pPr>
        <w:spacing w:after="0" w:line="360" w:lineRule="auto"/>
        <w:jc w:val="both"/>
        <w:rPr>
          <w:sz w:val="24"/>
          <w:szCs w:val="24"/>
        </w:rPr>
      </w:pPr>
    </w:p>
    <w:p w14:paraId="238DF4CE" w14:textId="6F11262F" w:rsidR="002F6A07" w:rsidRPr="00C50A6E" w:rsidRDefault="00907B37" w:rsidP="00A8066D">
      <w:pPr>
        <w:spacing w:after="0" w:line="360" w:lineRule="auto"/>
        <w:jc w:val="both"/>
        <w:rPr>
          <w:sz w:val="24"/>
          <w:szCs w:val="24"/>
        </w:rPr>
      </w:pPr>
      <w:r w:rsidRPr="00C50A6E">
        <w:rPr>
          <w:sz w:val="24"/>
          <w:szCs w:val="24"/>
        </w:rPr>
        <w:t>Por otro lado,</w:t>
      </w:r>
      <w:r w:rsidR="005B3BA5" w:rsidRPr="00C50A6E">
        <w:rPr>
          <w:sz w:val="24"/>
          <w:szCs w:val="24"/>
        </w:rPr>
        <w:t xml:space="preserve"> </w:t>
      </w:r>
      <w:r w:rsidR="00A27B83" w:rsidRPr="00C50A6E">
        <w:rPr>
          <w:sz w:val="24"/>
          <w:szCs w:val="24"/>
        </w:rPr>
        <w:t>el</w:t>
      </w:r>
      <w:r w:rsidR="00780F08" w:rsidRPr="00C50A6E">
        <w:rPr>
          <w:sz w:val="24"/>
          <w:szCs w:val="24"/>
        </w:rPr>
        <w:t xml:space="preserve"> tipo de </w:t>
      </w:r>
      <w:r w:rsidR="00123F47" w:rsidRPr="00C50A6E">
        <w:rPr>
          <w:sz w:val="24"/>
          <w:szCs w:val="24"/>
        </w:rPr>
        <w:t>cambio</w:t>
      </w:r>
      <w:r w:rsidR="00780F08" w:rsidRPr="00C50A6E">
        <w:rPr>
          <w:sz w:val="24"/>
          <w:szCs w:val="24"/>
        </w:rPr>
        <w:t xml:space="preserve"> mostró fluctuaciones relevantes en este trimestre, oscilando su valor entre un mínimo de </w:t>
      </w:r>
      <w:r w:rsidR="00A827E4" w:rsidRPr="00C50A6E">
        <w:rPr>
          <w:rFonts w:eastAsia="Times New Roman" w:cs="Calibri"/>
          <w:color w:val="000000"/>
          <w:sz w:val="24"/>
          <w:szCs w:val="24"/>
          <w:lang w:val="es-CR"/>
        </w:rPr>
        <w:t>₡</w:t>
      </w:r>
      <w:r w:rsidR="00780F08" w:rsidRPr="00C50A6E">
        <w:rPr>
          <w:sz w:val="24"/>
          <w:szCs w:val="24"/>
        </w:rPr>
        <w:t>5</w:t>
      </w:r>
      <w:r w:rsidR="006E18AE" w:rsidRPr="00C50A6E">
        <w:rPr>
          <w:sz w:val="24"/>
          <w:szCs w:val="24"/>
        </w:rPr>
        <w:t>82,86</w:t>
      </w:r>
      <w:r w:rsidR="00780F08" w:rsidRPr="00C50A6E">
        <w:rPr>
          <w:sz w:val="24"/>
          <w:szCs w:val="24"/>
        </w:rPr>
        <w:t xml:space="preserve"> y un máximo de </w:t>
      </w:r>
      <w:r w:rsidR="00A827E4" w:rsidRPr="00C50A6E">
        <w:rPr>
          <w:rFonts w:eastAsia="Times New Roman" w:cs="Calibri"/>
          <w:color w:val="000000"/>
          <w:sz w:val="24"/>
          <w:szCs w:val="24"/>
          <w:lang w:val="es-CR"/>
        </w:rPr>
        <w:t>₡</w:t>
      </w:r>
      <w:r w:rsidR="006E18AE" w:rsidRPr="00C50A6E">
        <w:rPr>
          <w:sz w:val="24"/>
          <w:szCs w:val="24"/>
        </w:rPr>
        <w:t>606,68</w:t>
      </w:r>
      <w:r w:rsidR="00794D98" w:rsidRPr="00C50A6E">
        <w:rPr>
          <w:sz w:val="24"/>
          <w:szCs w:val="24"/>
        </w:rPr>
        <w:t>. L</w:t>
      </w:r>
      <w:r w:rsidR="00780F08" w:rsidRPr="00C50A6E">
        <w:rPr>
          <w:sz w:val="24"/>
          <w:szCs w:val="24"/>
        </w:rPr>
        <w:t xml:space="preserve">a tasa básica pasiva (TBP), su valor se mantuvo entre </w:t>
      </w:r>
      <w:r w:rsidR="0029732E" w:rsidRPr="00C50A6E">
        <w:rPr>
          <w:sz w:val="24"/>
          <w:szCs w:val="24"/>
        </w:rPr>
        <w:t>3</w:t>
      </w:r>
      <w:r w:rsidR="00780F08" w:rsidRPr="00C50A6E">
        <w:rPr>
          <w:sz w:val="24"/>
          <w:szCs w:val="24"/>
        </w:rPr>
        <w:t>,</w:t>
      </w:r>
      <w:r w:rsidR="0029732E" w:rsidRPr="00C50A6E">
        <w:rPr>
          <w:sz w:val="24"/>
          <w:szCs w:val="24"/>
        </w:rPr>
        <w:t>9</w:t>
      </w:r>
      <w:r w:rsidR="00780F08" w:rsidRPr="00C50A6E">
        <w:rPr>
          <w:sz w:val="24"/>
          <w:szCs w:val="24"/>
        </w:rPr>
        <w:t xml:space="preserve">5% (1° de </w:t>
      </w:r>
      <w:r w:rsidR="0029732E" w:rsidRPr="00C50A6E">
        <w:rPr>
          <w:sz w:val="24"/>
          <w:szCs w:val="24"/>
        </w:rPr>
        <w:t>julio</w:t>
      </w:r>
      <w:r w:rsidR="00780F08" w:rsidRPr="00C50A6E">
        <w:rPr>
          <w:sz w:val="24"/>
          <w:szCs w:val="24"/>
        </w:rPr>
        <w:t>) y 3,</w:t>
      </w:r>
      <w:r w:rsidR="002B6049" w:rsidRPr="00C50A6E">
        <w:rPr>
          <w:sz w:val="24"/>
          <w:szCs w:val="24"/>
        </w:rPr>
        <w:t>4</w:t>
      </w:r>
      <w:r w:rsidR="00780F08" w:rsidRPr="00C50A6E">
        <w:rPr>
          <w:sz w:val="24"/>
          <w:szCs w:val="24"/>
        </w:rPr>
        <w:t>5% (</w:t>
      </w:r>
      <w:r w:rsidR="002B6049" w:rsidRPr="00C50A6E">
        <w:rPr>
          <w:sz w:val="24"/>
          <w:szCs w:val="24"/>
        </w:rPr>
        <w:t>24 de setiembre)</w:t>
      </w:r>
      <w:r w:rsidR="00780F08" w:rsidRPr="00C50A6E">
        <w:rPr>
          <w:sz w:val="24"/>
          <w:szCs w:val="24"/>
        </w:rPr>
        <w:t xml:space="preserve"> cerrando el trimestre </w:t>
      </w:r>
      <w:r w:rsidR="00514E0B" w:rsidRPr="00C50A6E">
        <w:rPr>
          <w:sz w:val="24"/>
          <w:szCs w:val="24"/>
        </w:rPr>
        <w:t>con una tendencia sostenida hacia la baja en</w:t>
      </w:r>
      <w:r w:rsidR="00780F08" w:rsidRPr="00C50A6E">
        <w:rPr>
          <w:sz w:val="24"/>
          <w:szCs w:val="24"/>
        </w:rPr>
        <w:t xml:space="preserve"> 3</w:t>
      </w:r>
      <w:r w:rsidR="00794D98" w:rsidRPr="00C50A6E">
        <w:rPr>
          <w:sz w:val="24"/>
          <w:szCs w:val="24"/>
        </w:rPr>
        <w:t>,</w:t>
      </w:r>
      <w:r w:rsidR="005429FA" w:rsidRPr="00C50A6E">
        <w:rPr>
          <w:sz w:val="24"/>
          <w:szCs w:val="24"/>
        </w:rPr>
        <w:t>45</w:t>
      </w:r>
      <w:r w:rsidR="00780F08" w:rsidRPr="00C50A6E">
        <w:rPr>
          <w:sz w:val="24"/>
          <w:szCs w:val="24"/>
        </w:rPr>
        <w:t>%. La tasa de política monetaria (TPM)</w:t>
      </w:r>
      <w:r w:rsidR="00427F51" w:rsidRPr="00C50A6E">
        <w:rPr>
          <w:sz w:val="24"/>
          <w:szCs w:val="24"/>
        </w:rPr>
        <w:t xml:space="preserve"> se mantuvo sin variaciones durante el trimestre en </w:t>
      </w:r>
      <w:r w:rsidR="00780F08" w:rsidRPr="00C50A6E">
        <w:rPr>
          <w:sz w:val="24"/>
          <w:szCs w:val="24"/>
        </w:rPr>
        <w:t>0,75%</w:t>
      </w:r>
      <w:r w:rsidR="00427F51" w:rsidRPr="00C50A6E">
        <w:rPr>
          <w:sz w:val="24"/>
          <w:szCs w:val="24"/>
        </w:rPr>
        <w:t>.</w:t>
      </w:r>
    </w:p>
    <w:p w14:paraId="7FF2BB27" w14:textId="77777777" w:rsidR="00427F51" w:rsidRPr="00C50A6E" w:rsidRDefault="00427F51" w:rsidP="00A8066D">
      <w:pPr>
        <w:spacing w:after="0" w:line="360" w:lineRule="auto"/>
        <w:jc w:val="both"/>
        <w:rPr>
          <w:sz w:val="24"/>
          <w:szCs w:val="24"/>
        </w:rPr>
      </w:pPr>
    </w:p>
    <w:p w14:paraId="17F538B6" w14:textId="43B774BC" w:rsidR="002F6A07" w:rsidRPr="00C50A6E" w:rsidRDefault="002F6A07" w:rsidP="00A8066D">
      <w:pPr>
        <w:spacing w:after="0" w:line="360" w:lineRule="auto"/>
        <w:jc w:val="both"/>
        <w:rPr>
          <w:sz w:val="24"/>
          <w:szCs w:val="24"/>
        </w:rPr>
      </w:pPr>
      <w:r w:rsidRPr="00C50A6E">
        <w:rPr>
          <w:sz w:val="24"/>
          <w:szCs w:val="24"/>
        </w:rPr>
        <w:t>La combinación de la evolución de los mercados internacionales y del mercado local afect</w:t>
      </w:r>
      <w:r w:rsidR="00196EE3" w:rsidRPr="00C50A6E">
        <w:rPr>
          <w:sz w:val="24"/>
          <w:szCs w:val="24"/>
        </w:rPr>
        <w:t>ó</w:t>
      </w:r>
      <w:r w:rsidRPr="00C50A6E">
        <w:rPr>
          <w:sz w:val="24"/>
          <w:szCs w:val="24"/>
        </w:rPr>
        <w:t xml:space="preserve"> negativa</w:t>
      </w:r>
      <w:r w:rsidR="00196EE3" w:rsidRPr="00C50A6E">
        <w:rPr>
          <w:sz w:val="24"/>
          <w:szCs w:val="24"/>
        </w:rPr>
        <w:t xml:space="preserve"> o positivamente</w:t>
      </w:r>
      <w:r w:rsidRPr="00C50A6E">
        <w:rPr>
          <w:sz w:val="24"/>
          <w:szCs w:val="24"/>
        </w:rPr>
        <w:t xml:space="preserve"> la rentabilidad de los fondos administrados en este </w:t>
      </w:r>
      <w:r w:rsidR="00CE68D2" w:rsidRPr="00C50A6E">
        <w:rPr>
          <w:sz w:val="24"/>
          <w:szCs w:val="24"/>
        </w:rPr>
        <w:t>tercer</w:t>
      </w:r>
      <w:r w:rsidRPr="00C50A6E">
        <w:rPr>
          <w:sz w:val="24"/>
          <w:szCs w:val="24"/>
        </w:rPr>
        <w:t xml:space="preserve"> </w:t>
      </w:r>
      <w:r w:rsidR="00CE68D2" w:rsidRPr="00C50A6E">
        <w:rPr>
          <w:sz w:val="24"/>
          <w:szCs w:val="24"/>
        </w:rPr>
        <w:t>trim</w:t>
      </w:r>
      <w:r w:rsidRPr="00C50A6E">
        <w:rPr>
          <w:sz w:val="24"/>
          <w:szCs w:val="24"/>
        </w:rPr>
        <w:t xml:space="preserve">estre, </w:t>
      </w:r>
      <w:r w:rsidR="00757EBE" w:rsidRPr="00C50A6E">
        <w:rPr>
          <w:sz w:val="24"/>
          <w:szCs w:val="24"/>
        </w:rPr>
        <w:t xml:space="preserve">dependiendo de la </w:t>
      </w:r>
      <w:r w:rsidR="00AF2AAF" w:rsidRPr="00C50A6E">
        <w:rPr>
          <w:sz w:val="24"/>
          <w:szCs w:val="24"/>
        </w:rPr>
        <w:t xml:space="preserve">composición de los portafolios. </w:t>
      </w:r>
    </w:p>
    <w:p w14:paraId="358D6899" w14:textId="77777777" w:rsidR="00C61921" w:rsidRPr="00C50A6E" w:rsidRDefault="00C61921" w:rsidP="00A8066D">
      <w:pPr>
        <w:spacing w:after="0" w:line="360" w:lineRule="auto"/>
        <w:jc w:val="both"/>
        <w:rPr>
          <w:sz w:val="24"/>
          <w:szCs w:val="24"/>
        </w:rPr>
      </w:pPr>
    </w:p>
    <w:p w14:paraId="0CF27E31" w14:textId="560F62AD" w:rsidR="00BB6CB8" w:rsidRPr="00C50A6E" w:rsidRDefault="00BB6CB8" w:rsidP="00A8066D">
      <w:pPr>
        <w:spacing w:after="0" w:line="360" w:lineRule="auto"/>
        <w:jc w:val="both"/>
        <w:rPr>
          <w:sz w:val="24"/>
          <w:szCs w:val="24"/>
        </w:rPr>
      </w:pPr>
      <w:r w:rsidRPr="00C50A6E">
        <w:rPr>
          <w:sz w:val="24"/>
          <w:szCs w:val="24"/>
        </w:rPr>
        <w:t>Ahora bien, los fondos de pensiones son de largo plazo, por lo tanto, para un análisis prudencial debiéramos mirar indicadores de largo plazo porque los de corto plazo suelen ser muy volátiles.</w:t>
      </w:r>
      <w:r w:rsidR="00D142B9" w:rsidRPr="00C50A6E">
        <w:rPr>
          <w:sz w:val="24"/>
          <w:szCs w:val="24"/>
        </w:rPr>
        <w:t xml:space="preserve"> </w:t>
      </w:r>
      <w:r w:rsidRPr="00C50A6E">
        <w:rPr>
          <w:sz w:val="24"/>
          <w:szCs w:val="24"/>
        </w:rPr>
        <w:t>Por ejemplo, cuando observamos la rentabilidad histórica anualizada o la rentabilidad a 10 años</w:t>
      </w:r>
      <w:r w:rsidR="002B77C4" w:rsidRPr="00C50A6E">
        <w:rPr>
          <w:sz w:val="24"/>
          <w:szCs w:val="24"/>
        </w:rPr>
        <w:t xml:space="preserve">, </w:t>
      </w:r>
      <w:r w:rsidRPr="00C50A6E">
        <w:rPr>
          <w:sz w:val="24"/>
          <w:szCs w:val="24"/>
        </w:rPr>
        <w:t>indicadores de más largo plazo del ROP</w:t>
      </w:r>
      <w:r w:rsidR="00557F45" w:rsidRPr="00C50A6E">
        <w:rPr>
          <w:sz w:val="24"/>
          <w:szCs w:val="24"/>
        </w:rPr>
        <w:t>,</w:t>
      </w:r>
      <w:r w:rsidRPr="00C50A6E">
        <w:rPr>
          <w:sz w:val="24"/>
          <w:szCs w:val="24"/>
        </w:rPr>
        <w:t xml:space="preserve"> podemos ver que la tendencia en todas las Operadoras de Pensiones es más estable.</w:t>
      </w:r>
    </w:p>
    <w:p w14:paraId="4DDFD1A7" w14:textId="77777777" w:rsidR="00BB6CB8" w:rsidRPr="00C50A6E" w:rsidRDefault="00BB6CB8" w:rsidP="00A8066D">
      <w:pPr>
        <w:spacing w:after="0" w:line="360" w:lineRule="auto"/>
        <w:jc w:val="both"/>
        <w:rPr>
          <w:sz w:val="24"/>
          <w:szCs w:val="24"/>
        </w:rPr>
      </w:pPr>
    </w:p>
    <w:p w14:paraId="48AFA1D9" w14:textId="760339B2" w:rsidR="00526266" w:rsidRPr="00A8066D" w:rsidRDefault="00526266" w:rsidP="00A8066D">
      <w:pPr>
        <w:pStyle w:val="Descripcin"/>
        <w:spacing w:after="0" w:line="276" w:lineRule="auto"/>
        <w:jc w:val="center"/>
        <w:rPr>
          <w:sz w:val="24"/>
          <w:szCs w:val="24"/>
        </w:rPr>
      </w:pPr>
      <w:r w:rsidRPr="00A8066D">
        <w:rPr>
          <w:sz w:val="24"/>
          <w:szCs w:val="24"/>
        </w:rPr>
        <w:t xml:space="preserve">Gráfico </w:t>
      </w:r>
      <w:r w:rsidRPr="00A8066D">
        <w:rPr>
          <w:sz w:val="24"/>
          <w:szCs w:val="24"/>
        </w:rPr>
        <w:fldChar w:fldCharType="begin"/>
      </w:r>
      <w:r w:rsidRPr="00A8066D">
        <w:rPr>
          <w:sz w:val="24"/>
          <w:szCs w:val="24"/>
        </w:rPr>
        <w:instrText xml:space="preserve"> SEQ Gráfico \* ARABIC </w:instrText>
      </w:r>
      <w:r w:rsidRPr="00A8066D">
        <w:rPr>
          <w:sz w:val="24"/>
          <w:szCs w:val="24"/>
        </w:rPr>
        <w:fldChar w:fldCharType="separate"/>
      </w:r>
      <w:r w:rsidR="00E620DA" w:rsidRPr="00A8066D">
        <w:rPr>
          <w:noProof/>
          <w:sz w:val="24"/>
          <w:szCs w:val="24"/>
        </w:rPr>
        <w:t>3</w:t>
      </w:r>
      <w:r w:rsidRPr="00A8066D">
        <w:rPr>
          <w:sz w:val="24"/>
          <w:szCs w:val="24"/>
        </w:rPr>
        <w:fldChar w:fldCharType="end"/>
      </w:r>
      <w:r w:rsidR="00740F3F" w:rsidRPr="00A8066D">
        <w:rPr>
          <w:sz w:val="24"/>
          <w:szCs w:val="24"/>
        </w:rPr>
        <w:t xml:space="preserve">: </w:t>
      </w:r>
      <w:r w:rsidRPr="00A8066D">
        <w:rPr>
          <w:sz w:val="24"/>
          <w:szCs w:val="24"/>
        </w:rPr>
        <w:t xml:space="preserve">Rentabilidad </w:t>
      </w:r>
    </w:p>
    <w:p w14:paraId="14E0DE12" w14:textId="77777777" w:rsidR="00526266" w:rsidRPr="00A8066D" w:rsidRDefault="00DC1517" w:rsidP="00A8066D">
      <w:pPr>
        <w:pStyle w:val="Descripcin"/>
        <w:spacing w:after="0" w:line="276" w:lineRule="auto"/>
        <w:jc w:val="center"/>
        <w:rPr>
          <w:sz w:val="24"/>
          <w:szCs w:val="24"/>
        </w:rPr>
      </w:pPr>
      <w:r w:rsidRPr="00A8066D">
        <w:rPr>
          <w:sz w:val="24"/>
          <w:szCs w:val="24"/>
        </w:rPr>
        <w:t>Régimen Obligatorio de Pensiones Complementario</w:t>
      </w:r>
    </w:p>
    <w:p w14:paraId="11B42305" w14:textId="37CAC060" w:rsidR="006E17A3" w:rsidRPr="00A8066D" w:rsidRDefault="00DC1517" w:rsidP="00A8066D">
      <w:pPr>
        <w:pStyle w:val="Descripcin"/>
        <w:spacing w:after="0" w:line="276" w:lineRule="auto"/>
        <w:jc w:val="center"/>
        <w:rPr>
          <w:sz w:val="24"/>
          <w:szCs w:val="24"/>
        </w:rPr>
      </w:pPr>
      <w:r w:rsidRPr="00A8066D">
        <w:rPr>
          <w:sz w:val="24"/>
          <w:szCs w:val="24"/>
        </w:rPr>
        <w:t xml:space="preserve">De enero a </w:t>
      </w:r>
      <w:r w:rsidR="00B828DC" w:rsidRPr="00A8066D">
        <w:rPr>
          <w:sz w:val="24"/>
          <w:szCs w:val="24"/>
        </w:rPr>
        <w:t xml:space="preserve">setiembre </w:t>
      </w:r>
      <w:r w:rsidRPr="00A8066D">
        <w:rPr>
          <w:sz w:val="24"/>
          <w:szCs w:val="24"/>
        </w:rPr>
        <w:t>2020</w:t>
      </w:r>
    </w:p>
    <w:p w14:paraId="6EFC66B3" w14:textId="77B1348A" w:rsidR="00FB7DE0" w:rsidRDefault="00F63CCC" w:rsidP="00B828DC">
      <w:pPr>
        <w:spacing w:after="0" w:line="240" w:lineRule="auto"/>
        <w:ind w:left="-567"/>
        <w:jc w:val="center"/>
      </w:pPr>
      <w:r>
        <w:rPr>
          <w:noProof/>
        </w:rPr>
        <w:drawing>
          <wp:inline distT="0" distB="0" distL="0" distR="0" wp14:anchorId="70861E7E" wp14:editId="50D7B9C8">
            <wp:extent cx="7651750" cy="2508771"/>
            <wp:effectExtent l="0" t="0" r="635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7">
                      <a:extLst>
                        <a:ext uri="{28A0092B-C50C-407E-A947-70E740481C1C}">
                          <a14:useLocalDpi xmlns:a14="http://schemas.microsoft.com/office/drawing/2010/main" val="0"/>
                        </a:ext>
                      </a:extLst>
                    </a:blip>
                    <a:stretch>
                      <a:fillRect/>
                    </a:stretch>
                  </pic:blipFill>
                  <pic:spPr>
                    <a:xfrm>
                      <a:off x="0" y="0"/>
                      <a:ext cx="7717906" cy="2530462"/>
                    </a:xfrm>
                    <a:prstGeom prst="rect">
                      <a:avLst/>
                    </a:prstGeom>
                  </pic:spPr>
                </pic:pic>
              </a:graphicData>
            </a:graphic>
          </wp:inline>
        </w:drawing>
      </w:r>
    </w:p>
    <w:p w14:paraId="358D4C30" w14:textId="168162B3" w:rsidR="003B662D" w:rsidRPr="003B662D" w:rsidRDefault="002E4F29" w:rsidP="004A6008">
      <w:pPr>
        <w:pStyle w:val="Descripcin"/>
        <w:tabs>
          <w:tab w:val="left" w:pos="2490"/>
        </w:tabs>
        <w:spacing w:after="0"/>
      </w:pPr>
      <w:r>
        <w:t>Fuente: Elaboración propia</w:t>
      </w:r>
    </w:p>
    <w:p w14:paraId="65A899A8" w14:textId="77777777" w:rsidR="004D0DCE" w:rsidRDefault="004D0DCE" w:rsidP="004D0DCE">
      <w:pPr>
        <w:pStyle w:val="Ttulo2"/>
        <w:jc w:val="center"/>
        <w:rPr>
          <w:i/>
          <w:iCs/>
        </w:rPr>
      </w:pPr>
      <w:bookmarkStart w:id="17" w:name="_Toc64039049"/>
      <w:bookmarkStart w:id="18" w:name="_Toc64039568"/>
      <w:r w:rsidRPr="001F521E">
        <w:rPr>
          <w:i/>
          <w:iCs/>
        </w:rPr>
        <w:t>Eurobonos de Costa Rica</w:t>
      </w:r>
      <w:bookmarkEnd w:id="17"/>
      <w:bookmarkEnd w:id="18"/>
    </w:p>
    <w:p w14:paraId="5966293B" w14:textId="1CBD6EF1" w:rsidR="00357176" w:rsidRDefault="00357176">
      <w:r>
        <w:rPr>
          <w:noProof/>
        </w:rPr>
        <mc:AlternateContent>
          <mc:Choice Requires="wps">
            <w:drawing>
              <wp:anchor distT="45720" distB="45720" distL="114300" distR="114300" simplePos="0" relativeHeight="251658243" behindDoc="0" locked="0" layoutInCell="1" allowOverlap="1" wp14:anchorId="6301AE5C" wp14:editId="0E423379">
                <wp:simplePos x="0" y="0"/>
                <wp:positionH relativeFrom="column">
                  <wp:posOffset>-99060</wp:posOffset>
                </wp:positionH>
                <wp:positionV relativeFrom="paragraph">
                  <wp:posOffset>50165</wp:posOffset>
                </wp:positionV>
                <wp:extent cx="7804150" cy="5226050"/>
                <wp:effectExtent l="0" t="0" r="25400" b="127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0" cy="5226050"/>
                        </a:xfrm>
                        <a:prstGeom prst="rect">
                          <a:avLst/>
                        </a:prstGeom>
                        <a:solidFill>
                          <a:schemeClr val="accent1">
                            <a:lumMod val="20000"/>
                            <a:lumOff val="80000"/>
                          </a:schemeClr>
                        </a:solidFill>
                        <a:ln w="9525">
                          <a:solidFill>
                            <a:srgbClr val="000000"/>
                          </a:solidFill>
                          <a:miter lim="800000"/>
                          <a:headEnd/>
                          <a:tailEnd/>
                        </a:ln>
                      </wps:spPr>
                      <wps:txbx>
                        <w:txbxContent>
                          <w:p w14:paraId="21B5AD43" w14:textId="20F5D049" w:rsidR="00C50A6E" w:rsidRDefault="00C50A6E" w:rsidP="00A8066D">
                            <w:pPr>
                              <w:autoSpaceDE w:val="0"/>
                              <w:autoSpaceDN w:val="0"/>
                              <w:adjustRightInd w:val="0"/>
                              <w:spacing w:after="0" w:line="240" w:lineRule="auto"/>
                              <w:jc w:val="both"/>
                              <w:rPr>
                                <w:rFonts w:cstheme="minorHAnsi"/>
                                <w:i/>
                                <w:iCs/>
                                <w:sz w:val="20"/>
                                <w:szCs w:val="20"/>
                              </w:rPr>
                            </w:pPr>
                            <w:r w:rsidRPr="00357176">
                              <w:rPr>
                                <w:rFonts w:cstheme="minorHAnsi"/>
                                <w:i/>
                                <w:iCs/>
                                <w:sz w:val="20"/>
                                <w:szCs w:val="20"/>
                              </w:rPr>
                              <w:t>Producto del COVID-19, durante marzo</w:t>
                            </w:r>
                            <w:r>
                              <w:rPr>
                                <w:rFonts w:cstheme="minorHAnsi"/>
                                <w:i/>
                                <w:iCs/>
                                <w:sz w:val="20"/>
                                <w:szCs w:val="20"/>
                              </w:rPr>
                              <w:t xml:space="preserve"> y</w:t>
                            </w:r>
                            <w:r w:rsidRPr="00357176">
                              <w:rPr>
                                <w:rFonts w:cstheme="minorHAnsi"/>
                                <w:i/>
                                <w:iCs/>
                                <w:sz w:val="20"/>
                                <w:szCs w:val="20"/>
                              </w:rPr>
                              <w:t xml:space="preserve"> abril del año en curso, los bonos de deuda externa costarricense presentaron volatilidad con tendencia a la baja, pero de mayo a setiembre </w:t>
                            </w:r>
                            <w:r>
                              <w:rPr>
                                <w:rFonts w:cstheme="minorHAnsi"/>
                                <w:i/>
                                <w:iCs/>
                                <w:sz w:val="20"/>
                                <w:szCs w:val="20"/>
                              </w:rPr>
                              <w:t xml:space="preserve">se </w:t>
                            </w:r>
                            <w:r w:rsidRPr="00357176">
                              <w:rPr>
                                <w:rFonts w:cstheme="minorHAnsi"/>
                                <w:i/>
                                <w:iCs/>
                                <w:sz w:val="20"/>
                                <w:szCs w:val="20"/>
                              </w:rPr>
                              <w:t xml:space="preserve">han </w:t>
                            </w:r>
                            <w:r>
                              <w:rPr>
                                <w:rFonts w:cstheme="minorHAnsi"/>
                                <w:i/>
                                <w:iCs/>
                                <w:sz w:val="20"/>
                                <w:szCs w:val="20"/>
                              </w:rPr>
                              <w:t xml:space="preserve">recuperado de forma </w:t>
                            </w:r>
                            <w:r w:rsidRPr="00357176">
                              <w:rPr>
                                <w:rFonts w:cstheme="minorHAnsi"/>
                                <w:i/>
                                <w:iCs/>
                                <w:sz w:val="20"/>
                                <w:szCs w:val="20"/>
                              </w:rPr>
                              <w:t>constante. Sin embargo, durante los primeros días de octubre, después de que el presidente Carlos Alvarado anunciara que iba a retirar el proyecto de propuesta para un programa con el FMI y promovería un diálogo nacional antes de presentar un nuevo plan</w:t>
                            </w:r>
                            <w:r>
                              <w:rPr>
                                <w:rFonts w:cstheme="minorHAnsi"/>
                                <w:i/>
                                <w:iCs/>
                                <w:sz w:val="20"/>
                                <w:szCs w:val="20"/>
                              </w:rPr>
                              <w:t>;</w:t>
                            </w:r>
                            <w:r w:rsidRPr="00357176">
                              <w:rPr>
                                <w:rFonts w:cstheme="minorHAnsi"/>
                                <w:i/>
                                <w:iCs/>
                                <w:sz w:val="20"/>
                                <w:szCs w:val="20"/>
                              </w:rPr>
                              <w:t xml:space="preserve"> los bonos de deuda externa presentaron una caída</w:t>
                            </w:r>
                            <w:r>
                              <w:rPr>
                                <w:rFonts w:cstheme="minorHAnsi"/>
                                <w:i/>
                                <w:iCs/>
                                <w:sz w:val="20"/>
                                <w:szCs w:val="20"/>
                              </w:rPr>
                              <w:t xml:space="preserve"> importante</w:t>
                            </w:r>
                            <w:r w:rsidRPr="00357176">
                              <w:rPr>
                                <w:rFonts w:cstheme="minorHAnsi"/>
                                <w:i/>
                                <w:iCs/>
                                <w:sz w:val="20"/>
                                <w:szCs w:val="20"/>
                              </w:rPr>
                              <w:t xml:space="preserve"> en </w:t>
                            </w:r>
                            <w:r>
                              <w:rPr>
                                <w:rFonts w:cstheme="minorHAnsi"/>
                                <w:i/>
                                <w:iCs/>
                                <w:sz w:val="20"/>
                                <w:szCs w:val="20"/>
                              </w:rPr>
                              <w:t xml:space="preserve">el </w:t>
                            </w:r>
                            <w:r w:rsidRPr="00357176">
                              <w:rPr>
                                <w:rFonts w:cstheme="minorHAnsi"/>
                                <w:i/>
                                <w:iCs/>
                                <w:sz w:val="20"/>
                                <w:szCs w:val="20"/>
                              </w:rPr>
                              <w:t xml:space="preserve">precio de entre el 6% y el 17% (a mayor plazo al vencimiento mayor es la caída), </w:t>
                            </w:r>
                            <w:r>
                              <w:rPr>
                                <w:rFonts w:cstheme="minorHAnsi"/>
                                <w:i/>
                                <w:iCs/>
                                <w:sz w:val="20"/>
                                <w:szCs w:val="20"/>
                              </w:rPr>
                              <w:t xml:space="preserve">y aunque </w:t>
                            </w:r>
                            <w:r w:rsidRPr="00357176">
                              <w:rPr>
                                <w:rFonts w:cstheme="minorHAnsi"/>
                                <w:i/>
                                <w:iCs/>
                                <w:sz w:val="20"/>
                                <w:szCs w:val="20"/>
                              </w:rPr>
                              <w:t>durante la siguiente semana se presentó un incremento</w:t>
                            </w:r>
                            <w:r>
                              <w:rPr>
                                <w:rFonts w:cstheme="minorHAnsi"/>
                                <w:i/>
                                <w:iCs/>
                                <w:sz w:val="20"/>
                                <w:szCs w:val="20"/>
                              </w:rPr>
                              <w:t xml:space="preserve"> </w:t>
                            </w:r>
                            <w:r w:rsidRPr="00357176">
                              <w:rPr>
                                <w:rFonts w:cstheme="minorHAnsi"/>
                                <w:i/>
                                <w:iCs/>
                                <w:sz w:val="20"/>
                                <w:szCs w:val="20"/>
                              </w:rPr>
                              <w:t>los últimos tres días del mes de octubre</w:t>
                            </w:r>
                            <w:r>
                              <w:rPr>
                                <w:rFonts w:cstheme="minorHAnsi"/>
                                <w:i/>
                                <w:iCs/>
                                <w:sz w:val="20"/>
                                <w:szCs w:val="20"/>
                              </w:rPr>
                              <w:t xml:space="preserve"> </w:t>
                            </w:r>
                            <w:r w:rsidRPr="00357176">
                              <w:rPr>
                                <w:rFonts w:cstheme="minorHAnsi"/>
                                <w:i/>
                                <w:iCs/>
                                <w:sz w:val="20"/>
                                <w:szCs w:val="20"/>
                              </w:rPr>
                              <w:t>v</w:t>
                            </w:r>
                            <w:r>
                              <w:rPr>
                                <w:rFonts w:cstheme="minorHAnsi"/>
                                <w:i/>
                                <w:iCs/>
                                <w:sz w:val="20"/>
                                <w:szCs w:val="20"/>
                              </w:rPr>
                              <w:t>olvieron</w:t>
                            </w:r>
                            <w:r w:rsidRPr="00357176">
                              <w:rPr>
                                <w:rFonts w:cstheme="minorHAnsi"/>
                                <w:i/>
                                <w:iCs/>
                                <w:sz w:val="20"/>
                                <w:szCs w:val="20"/>
                              </w:rPr>
                              <w:t xml:space="preserve"> a sufrir una caída </w:t>
                            </w:r>
                            <w:r>
                              <w:rPr>
                                <w:rFonts w:cstheme="minorHAnsi"/>
                                <w:i/>
                                <w:iCs/>
                                <w:sz w:val="20"/>
                                <w:szCs w:val="20"/>
                              </w:rPr>
                              <w:t>significativa.</w:t>
                            </w:r>
                          </w:p>
                          <w:p w14:paraId="313BAD67" w14:textId="59782494" w:rsidR="00C50A6E" w:rsidRDefault="00C50A6E" w:rsidP="00A8066D">
                            <w:pPr>
                              <w:autoSpaceDE w:val="0"/>
                              <w:autoSpaceDN w:val="0"/>
                              <w:adjustRightInd w:val="0"/>
                              <w:spacing w:after="0" w:line="240" w:lineRule="auto"/>
                              <w:jc w:val="center"/>
                              <w:rPr>
                                <w:rFonts w:cstheme="minorHAnsi"/>
                                <w:i/>
                                <w:iCs/>
                                <w:sz w:val="20"/>
                                <w:szCs w:val="20"/>
                              </w:rPr>
                            </w:pPr>
                          </w:p>
                          <w:p w14:paraId="6FBC3AB7" w14:textId="5E15FAD8" w:rsidR="00C50A6E" w:rsidRPr="00A713E4" w:rsidRDefault="00C50A6E" w:rsidP="00A8066D">
                            <w:pPr>
                              <w:spacing w:after="0" w:line="240" w:lineRule="auto"/>
                              <w:jc w:val="center"/>
                              <w:rPr>
                                <w:rFonts w:cstheme="minorHAnsi"/>
                                <w:i/>
                                <w:iCs/>
                                <w:color w:val="365F91" w:themeColor="accent1" w:themeShade="BF"/>
                                <w:sz w:val="20"/>
                                <w:szCs w:val="20"/>
                              </w:rPr>
                            </w:pPr>
                            <w:r w:rsidRPr="00096F4F">
                              <w:rPr>
                                <w:rFonts w:cstheme="minorHAnsi"/>
                                <w:i/>
                                <w:iCs/>
                                <w:color w:val="365F91" w:themeColor="accent1" w:themeShade="BF"/>
                                <w:sz w:val="20"/>
                                <w:szCs w:val="20"/>
                              </w:rPr>
                              <w:t xml:space="preserve">Gráfico </w:t>
                            </w:r>
                            <w:r w:rsidRPr="00096F4F">
                              <w:rPr>
                                <w:rFonts w:cstheme="minorHAnsi"/>
                                <w:i/>
                                <w:iCs/>
                                <w:color w:val="365F91" w:themeColor="accent1" w:themeShade="BF"/>
                                <w:sz w:val="20"/>
                                <w:szCs w:val="20"/>
                              </w:rPr>
                              <w:fldChar w:fldCharType="begin"/>
                            </w:r>
                            <w:r w:rsidRPr="00096F4F">
                              <w:rPr>
                                <w:rFonts w:cstheme="minorHAnsi"/>
                                <w:i/>
                                <w:iCs/>
                                <w:color w:val="365F91" w:themeColor="accent1" w:themeShade="BF"/>
                                <w:sz w:val="20"/>
                                <w:szCs w:val="20"/>
                              </w:rPr>
                              <w:instrText xml:space="preserve"> SEQ Gráfico \* ARABIC </w:instrText>
                            </w:r>
                            <w:r w:rsidRPr="00096F4F">
                              <w:rPr>
                                <w:rFonts w:cstheme="minorHAnsi"/>
                                <w:i/>
                                <w:iCs/>
                                <w:color w:val="365F91" w:themeColor="accent1" w:themeShade="BF"/>
                                <w:sz w:val="20"/>
                                <w:szCs w:val="20"/>
                              </w:rPr>
                              <w:fldChar w:fldCharType="separate"/>
                            </w:r>
                            <w:r>
                              <w:rPr>
                                <w:rFonts w:cstheme="minorHAnsi"/>
                                <w:i/>
                                <w:iCs/>
                                <w:noProof/>
                                <w:color w:val="365F91" w:themeColor="accent1" w:themeShade="BF"/>
                                <w:sz w:val="20"/>
                                <w:szCs w:val="20"/>
                              </w:rPr>
                              <w:t>4</w:t>
                            </w:r>
                            <w:r w:rsidRPr="00096F4F">
                              <w:rPr>
                                <w:rFonts w:cstheme="minorHAnsi"/>
                                <w:i/>
                                <w:iCs/>
                                <w:color w:val="365F91" w:themeColor="accent1" w:themeShade="BF"/>
                                <w:sz w:val="20"/>
                                <w:szCs w:val="20"/>
                              </w:rPr>
                              <w:fldChar w:fldCharType="end"/>
                            </w:r>
                            <w:r w:rsidRPr="00096F4F">
                              <w:rPr>
                                <w:rFonts w:cstheme="minorHAnsi"/>
                                <w:i/>
                                <w:iCs/>
                                <w:color w:val="365F91" w:themeColor="accent1" w:themeShade="BF"/>
                                <w:sz w:val="20"/>
                                <w:szCs w:val="20"/>
                              </w:rPr>
                              <w:t xml:space="preserve">: </w:t>
                            </w:r>
                            <w:r w:rsidRPr="00A713E4">
                              <w:rPr>
                                <w:rFonts w:cstheme="minorHAnsi"/>
                                <w:i/>
                                <w:iCs/>
                                <w:color w:val="365F91" w:themeColor="accent1" w:themeShade="BF"/>
                                <w:sz w:val="20"/>
                                <w:szCs w:val="20"/>
                              </w:rPr>
                              <w:t>Evolución del precio (px_last</w:t>
                            </w:r>
                            <w:r>
                              <w:rPr>
                                <w:rFonts w:cstheme="minorHAnsi"/>
                                <w:i/>
                                <w:iCs/>
                                <w:color w:val="365F91" w:themeColor="accent1" w:themeShade="BF"/>
                                <w:sz w:val="20"/>
                                <w:szCs w:val="20"/>
                              </w:rPr>
                              <w:t xml:space="preserve"> de Bloomberg</w:t>
                            </w:r>
                            <w:r w:rsidRPr="00A713E4">
                              <w:rPr>
                                <w:rFonts w:cstheme="minorHAnsi"/>
                                <w:i/>
                                <w:iCs/>
                                <w:color w:val="365F91" w:themeColor="accent1" w:themeShade="BF"/>
                                <w:sz w:val="20"/>
                                <w:szCs w:val="20"/>
                              </w:rPr>
                              <w:t>)</w:t>
                            </w:r>
                          </w:p>
                          <w:p w14:paraId="23256C2D" w14:textId="77777777" w:rsidR="00C50A6E" w:rsidRPr="00A713E4" w:rsidRDefault="00C50A6E" w:rsidP="00A8066D">
                            <w:pPr>
                              <w:spacing w:after="0" w:line="240" w:lineRule="auto"/>
                              <w:jc w:val="center"/>
                              <w:rPr>
                                <w:rFonts w:cstheme="minorHAnsi"/>
                                <w:i/>
                                <w:iCs/>
                                <w:color w:val="365F91" w:themeColor="accent1" w:themeShade="BF"/>
                                <w:sz w:val="20"/>
                                <w:szCs w:val="20"/>
                              </w:rPr>
                            </w:pPr>
                            <w:r w:rsidRPr="00A713E4">
                              <w:rPr>
                                <w:rFonts w:cstheme="minorHAnsi"/>
                                <w:i/>
                                <w:iCs/>
                                <w:color w:val="365F91" w:themeColor="accent1" w:themeShade="BF"/>
                                <w:sz w:val="20"/>
                                <w:szCs w:val="20"/>
                              </w:rPr>
                              <w:t>Deuda externa de Costa Rica</w:t>
                            </w:r>
                          </w:p>
                          <w:p w14:paraId="51C4A713" w14:textId="6DB3D130" w:rsidR="00C50A6E" w:rsidRPr="00A713E4" w:rsidRDefault="00C50A6E" w:rsidP="00A8066D">
                            <w:pPr>
                              <w:spacing w:after="0" w:line="240" w:lineRule="auto"/>
                              <w:jc w:val="center"/>
                              <w:rPr>
                                <w:rFonts w:cstheme="minorHAnsi"/>
                                <w:i/>
                                <w:iCs/>
                                <w:color w:val="365F91" w:themeColor="accent1" w:themeShade="BF"/>
                                <w:sz w:val="20"/>
                                <w:szCs w:val="20"/>
                              </w:rPr>
                            </w:pPr>
                            <w:r w:rsidRPr="00A713E4">
                              <w:rPr>
                                <w:rFonts w:cstheme="minorHAnsi"/>
                                <w:i/>
                                <w:iCs/>
                                <w:color w:val="365F91" w:themeColor="accent1" w:themeShade="BF"/>
                                <w:sz w:val="20"/>
                                <w:szCs w:val="20"/>
                              </w:rPr>
                              <w:t>Durante enero 2019 - octubre 2020</w:t>
                            </w:r>
                          </w:p>
                          <w:p w14:paraId="0C507C4C" w14:textId="32AB09F9" w:rsidR="00C50A6E" w:rsidRDefault="00C50A6E" w:rsidP="00A8066D">
                            <w:pPr>
                              <w:spacing w:after="0" w:line="240" w:lineRule="auto"/>
                              <w:jc w:val="center"/>
                              <w:rPr>
                                <w:noProof/>
                              </w:rPr>
                            </w:pPr>
                            <w:r w:rsidRPr="00BF6D95">
                              <w:rPr>
                                <w:noProof/>
                              </w:rPr>
                              <w:drawing>
                                <wp:inline distT="0" distB="0" distL="0" distR="0" wp14:anchorId="66AA5452" wp14:editId="34BAB80C">
                                  <wp:extent cx="5514975" cy="2834005"/>
                                  <wp:effectExtent l="0" t="0" r="9525"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14975" cy="2834005"/>
                                          </a:xfrm>
                                          <a:prstGeom prst="rect">
                                            <a:avLst/>
                                          </a:prstGeom>
                                          <a:noFill/>
                                          <a:ln>
                                            <a:noFill/>
                                          </a:ln>
                                        </pic:spPr>
                                      </pic:pic>
                                    </a:graphicData>
                                  </a:graphic>
                                </wp:inline>
                              </w:drawing>
                            </w:r>
                          </w:p>
                          <w:p w14:paraId="41848F14" w14:textId="70909334" w:rsidR="00C50A6E" w:rsidRPr="00C27963" w:rsidRDefault="00C50A6E" w:rsidP="00A8066D">
                            <w:pPr>
                              <w:spacing w:after="0" w:line="240" w:lineRule="auto"/>
                              <w:jc w:val="center"/>
                              <w:rPr>
                                <w:rFonts w:cstheme="minorHAnsi"/>
                                <w:i/>
                                <w:iCs/>
                                <w:color w:val="365F91" w:themeColor="accent1" w:themeShade="BF"/>
                                <w:sz w:val="20"/>
                                <w:szCs w:val="20"/>
                              </w:rPr>
                            </w:pPr>
                            <w:r w:rsidRPr="00C27963">
                              <w:rPr>
                                <w:rFonts w:cstheme="minorHAnsi"/>
                                <w:i/>
                                <w:iCs/>
                                <w:color w:val="365F91" w:themeColor="accent1" w:themeShade="BF"/>
                                <w:sz w:val="20"/>
                                <w:szCs w:val="20"/>
                              </w:rPr>
                              <w:t>Fuente: Bloomberg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01AE5C" id="_x0000_t202" coordsize="21600,21600" o:spt="202" path="m,l,21600r21600,l21600,xe">
                <v:stroke joinstyle="miter"/>
                <v:path gradientshapeok="t" o:connecttype="rect"/>
              </v:shapetype>
              <v:shape id="Cuadro de texto 2" o:spid="_x0000_s1027" type="#_x0000_t202" style="position:absolute;margin-left:-7.8pt;margin-top:3.95pt;width:614.5pt;height:411.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" fillcolor="#dbe5f1 [660]">
                <v:textbox>
                  <w:txbxContent>
                    <w:p w14:paraId="21B5AD43" w14:textId="20F5D049" w:rsidR="00C50A6E" w:rsidRDefault="00C50A6E" w:rsidP="00A8066D">
                      <w:pPr>
                        <w:autoSpaceDE w:val="0"/>
                        <w:autoSpaceDN w:val="0"/>
                        <w:adjustRightInd w:val="0"/>
                        <w:spacing w:after="0" w:line="240" w:lineRule="auto"/>
                        <w:jc w:val="both"/>
                        <w:rPr>
                          <w:rFonts w:cstheme="minorHAnsi"/>
                          <w:i/>
                          <w:iCs/>
                          <w:sz w:val="20"/>
                          <w:szCs w:val="20"/>
                        </w:rPr>
                      </w:pPr>
                      <w:r w:rsidRPr="00357176">
                        <w:rPr>
                          <w:rFonts w:cstheme="minorHAnsi"/>
                          <w:i/>
                          <w:iCs/>
                          <w:sz w:val="20"/>
                          <w:szCs w:val="20"/>
                        </w:rPr>
                        <w:t>Producto del COVID-19, durante marzo</w:t>
                      </w:r>
                      <w:r>
                        <w:rPr>
                          <w:rFonts w:cstheme="minorHAnsi"/>
                          <w:i/>
                          <w:iCs/>
                          <w:sz w:val="20"/>
                          <w:szCs w:val="20"/>
                        </w:rPr>
                        <w:t xml:space="preserve"> y</w:t>
                      </w:r>
                      <w:r w:rsidRPr="00357176">
                        <w:rPr>
                          <w:rFonts w:cstheme="minorHAnsi"/>
                          <w:i/>
                          <w:iCs/>
                          <w:sz w:val="20"/>
                          <w:szCs w:val="20"/>
                        </w:rPr>
                        <w:t xml:space="preserve"> abril del año en curso, los bonos de deuda externa costarricense presentaron volatilidad con tendencia a la baja, pero de mayo a setiembre </w:t>
                      </w:r>
                      <w:r>
                        <w:rPr>
                          <w:rFonts w:cstheme="minorHAnsi"/>
                          <w:i/>
                          <w:iCs/>
                          <w:sz w:val="20"/>
                          <w:szCs w:val="20"/>
                        </w:rPr>
                        <w:t xml:space="preserve">se </w:t>
                      </w:r>
                      <w:r w:rsidRPr="00357176">
                        <w:rPr>
                          <w:rFonts w:cstheme="minorHAnsi"/>
                          <w:i/>
                          <w:iCs/>
                          <w:sz w:val="20"/>
                          <w:szCs w:val="20"/>
                        </w:rPr>
                        <w:t xml:space="preserve">han </w:t>
                      </w:r>
                      <w:r>
                        <w:rPr>
                          <w:rFonts w:cstheme="minorHAnsi"/>
                          <w:i/>
                          <w:iCs/>
                          <w:sz w:val="20"/>
                          <w:szCs w:val="20"/>
                        </w:rPr>
                        <w:t xml:space="preserve">recuperado de forma </w:t>
                      </w:r>
                      <w:r w:rsidRPr="00357176">
                        <w:rPr>
                          <w:rFonts w:cstheme="minorHAnsi"/>
                          <w:i/>
                          <w:iCs/>
                          <w:sz w:val="20"/>
                          <w:szCs w:val="20"/>
                        </w:rPr>
                        <w:t>constante. Sin embargo, durante los primeros días de octubre, después de que el presidente Carlos Alvarado anunciara que iba a retirar el proyecto de propuesta para un programa con el FMI y promovería un diálogo nacional antes de presentar un nuevo plan</w:t>
                      </w:r>
                      <w:r>
                        <w:rPr>
                          <w:rFonts w:cstheme="minorHAnsi"/>
                          <w:i/>
                          <w:iCs/>
                          <w:sz w:val="20"/>
                          <w:szCs w:val="20"/>
                        </w:rPr>
                        <w:t>;</w:t>
                      </w:r>
                      <w:r w:rsidRPr="00357176">
                        <w:rPr>
                          <w:rFonts w:cstheme="minorHAnsi"/>
                          <w:i/>
                          <w:iCs/>
                          <w:sz w:val="20"/>
                          <w:szCs w:val="20"/>
                        </w:rPr>
                        <w:t xml:space="preserve"> los bonos de deuda externa presentaron una caída</w:t>
                      </w:r>
                      <w:r>
                        <w:rPr>
                          <w:rFonts w:cstheme="minorHAnsi"/>
                          <w:i/>
                          <w:iCs/>
                          <w:sz w:val="20"/>
                          <w:szCs w:val="20"/>
                        </w:rPr>
                        <w:t xml:space="preserve"> importante</w:t>
                      </w:r>
                      <w:r w:rsidRPr="00357176">
                        <w:rPr>
                          <w:rFonts w:cstheme="minorHAnsi"/>
                          <w:i/>
                          <w:iCs/>
                          <w:sz w:val="20"/>
                          <w:szCs w:val="20"/>
                        </w:rPr>
                        <w:t xml:space="preserve"> en </w:t>
                      </w:r>
                      <w:r>
                        <w:rPr>
                          <w:rFonts w:cstheme="minorHAnsi"/>
                          <w:i/>
                          <w:iCs/>
                          <w:sz w:val="20"/>
                          <w:szCs w:val="20"/>
                        </w:rPr>
                        <w:t xml:space="preserve">el </w:t>
                      </w:r>
                      <w:r w:rsidRPr="00357176">
                        <w:rPr>
                          <w:rFonts w:cstheme="minorHAnsi"/>
                          <w:i/>
                          <w:iCs/>
                          <w:sz w:val="20"/>
                          <w:szCs w:val="20"/>
                        </w:rPr>
                        <w:t xml:space="preserve">precio de entre el 6% y el 17% (a mayor plazo al vencimiento mayor es la caída), </w:t>
                      </w:r>
                      <w:r>
                        <w:rPr>
                          <w:rFonts w:cstheme="minorHAnsi"/>
                          <w:i/>
                          <w:iCs/>
                          <w:sz w:val="20"/>
                          <w:szCs w:val="20"/>
                        </w:rPr>
                        <w:t xml:space="preserve">y aunque </w:t>
                      </w:r>
                      <w:r w:rsidRPr="00357176">
                        <w:rPr>
                          <w:rFonts w:cstheme="minorHAnsi"/>
                          <w:i/>
                          <w:iCs/>
                          <w:sz w:val="20"/>
                          <w:szCs w:val="20"/>
                        </w:rPr>
                        <w:t>durante la siguiente semana se presentó un incremento</w:t>
                      </w:r>
                      <w:r>
                        <w:rPr>
                          <w:rFonts w:cstheme="minorHAnsi"/>
                          <w:i/>
                          <w:iCs/>
                          <w:sz w:val="20"/>
                          <w:szCs w:val="20"/>
                        </w:rPr>
                        <w:t xml:space="preserve"> </w:t>
                      </w:r>
                      <w:r w:rsidRPr="00357176">
                        <w:rPr>
                          <w:rFonts w:cstheme="minorHAnsi"/>
                          <w:i/>
                          <w:iCs/>
                          <w:sz w:val="20"/>
                          <w:szCs w:val="20"/>
                        </w:rPr>
                        <w:t>los últimos tres días del mes de octubre</w:t>
                      </w:r>
                      <w:r>
                        <w:rPr>
                          <w:rFonts w:cstheme="minorHAnsi"/>
                          <w:i/>
                          <w:iCs/>
                          <w:sz w:val="20"/>
                          <w:szCs w:val="20"/>
                        </w:rPr>
                        <w:t xml:space="preserve"> </w:t>
                      </w:r>
                      <w:r w:rsidRPr="00357176">
                        <w:rPr>
                          <w:rFonts w:cstheme="minorHAnsi"/>
                          <w:i/>
                          <w:iCs/>
                          <w:sz w:val="20"/>
                          <w:szCs w:val="20"/>
                        </w:rPr>
                        <w:t>v</w:t>
                      </w:r>
                      <w:r>
                        <w:rPr>
                          <w:rFonts w:cstheme="minorHAnsi"/>
                          <w:i/>
                          <w:iCs/>
                          <w:sz w:val="20"/>
                          <w:szCs w:val="20"/>
                        </w:rPr>
                        <w:t>olvieron</w:t>
                      </w:r>
                      <w:r w:rsidRPr="00357176">
                        <w:rPr>
                          <w:rFonts w:cstheme="minorHAnsi"/>
                          <w:i/>
                          <w:iCs/>
                          <w:sz w:val="20"/>
                          <w:szCs w:val="20"/>
                        </w:rPr>
                        <w:t xml:space="preserve"> a sufrir una caída </w:t>
                      </w:r>
                      <w:r>
                        <w:rPr>
                          <w:rFonts w:cstheme="minorHAnsi"/>
                          <w:i/>
                          <w:iCs/>
                          <w:sz w:val="20"/>
                          <w:szCs w:val="20"/>
                        </w:rPr>
                        <w:t>significativa.</w:t>
                      </w:r>
                    </w:p>
                    <w:p w14:paraId="313BAD67" w14:textId="59782494" w:rsidR="00C50A6E" w:rsidRDefault="00C50A6E" w:rsidP="00A8066D">
                      <w:pPr>
                        <w:autoSpaceDE w:val="0"/>
                        <w:autoSpaceDN w:val="0"/>
                        <w:adjustRightInd w:val="0"/>
                        <w:spacing w:after="0" w:line="240" w:lineRule="auto"/>
                        <w:jc w:val="center"/>
                        <w:rPr>
                          <w:rFonts w:cstheme="minorHAnsi"/>
                          <w:i/>
                          <w:iCs/>
                          <w:sz w:val="20"/>
                          <w:szCs w:val="20"/>
                        </w:rPr>
                      </w:pPr>
                    </w:p>
                    <w:p w14:paraId="6FBC3AB7" w14:textId="5E15FAD8" w:rsidR="00C50A6E" w:rsidRPr="00A713E4" w:rsidRDefault="00C50A6E" w:rsidP="00A8066D">
                      <w:pPr>
                        <w:spacing w:after="0" w:line="240" w:lineRule="auto"/>
                        <w:jc w:val="center"/>
                        <w:rPr>
                          <w:rFonts w:cstheme="minorHAnsi"/>
                          <w:i/>
                          <w:iCs/>
                          <w:color w:val="365F91" w:themeColor="accent1" w:themeShade="BF"/>
                          <w:sz w:val="20"/>
                          <w:szCs w:val="20"/>
                        </w:rPr>
                      </w:pPr>
                      <w:r w:rsidRPr="00096F4F">
                        <w:rPr>
                          <w:rFonts w:cstheme="minorHAnsi"/>
                          <w:i/>
                          <w:iCs/>
                          <w:color w:val="365F91" w:themeColor="accent1" w:themeShade="BF"/>
                          <w:sz w:val="20"/>
                          <w:szCs w:val="20"/>
                        </w:rPr>
                        <w:t xml:space="preserve">Gráfico </w:t>
                      </w:r>
                      <w:r w:rsidRPr="00096F4F">
                        <w:rPr>
                          <w:rFonts w:cstheme="minorHAnsi"/>
                          <w:i/>
                          <w:iCs/>
                          <w:color w:val="365F91" w:themeColor="accent1" w:themeShade="BF"/>
                          <w:sz w:val="20"/>
                          <w:szCs w:val="20"/>
                        </w:rPr>
                        <w:fldChar w:fldCharType="begin"/>
                      </w:r>
                      <w:r w:rsidRPr="00096F4F">
                        <w:rPr>
                          <w:rFonts w:cstheme="minorHAnsi"/>
                          <w:i/>
                          <w:iCs/>
                          <w:color w:val="365F91" w:themeColor="accent1" w:themeShade="BF"/>
                          <w:sz w:val="20"/>
                          <w:szCs w:val="20"/>
                        </w:rPr>
                        <w:instrText xml:space="preserve"> SEQ Gráfico \* ARABIC </w:instrText>
                      </w:r>
                      <w:r w:rsidRPr="00096F4F">
                        <w:rPr>
                          <w:rFonts w:cstheme="minorHAnsi"/>
                          <w:i/>
                          <w:iCs/>
                          <w:color w:val="365F91" w:themeColor="accent1" w:themeShade="BF"/>
                          <w:sz w:val="20"/>
                          <w:szCs w:val="20"/>
                        </w:rPr>
                        <w:fldChar w:fldCharType="separate"/>
                      </w:r>
                      <w:r>
                        <w:rPr>
                          <w:rFonts w:cstheme="minorHAnsi"/>
                          <w:i/>
                          <w:iCs/>
                          <w:noProof/>
                          <w:color w:val="365F91" w:themeColor="accent1" w:themeShade="BF"/>
                          <w:sz w:val="20"/>
                          <w:szCs w:val="20"/>
                        </w:rPr>
                        <w:t>4</w:t>
                      </w:r>
                      <w:r w:rsidRPr="00096F4F">
                        <w:rPr>
                          <w:rFonts w:cstheme="minorHAnsi"/>
                          <w:i/>
                          <w:iCs/>
                          <w:color w:val="365F91" w:themeColor="accent1" w:themeShade="BF"/>
                          <w:sz w:val="20"/>
                          <w:szCs w:val="20"/>
                        </w:rPr>
                        <w:fldChar w:fldCharType="end"/>
                      </w:r>
                      <w:r w:rsidRPr="00096F4F">
                        <w:rPr>
                          <w:rFonts w:cstheme="minorHAnsi"/>
                          <w:i/>
                          <w:iCs/>
                          <w:color w:val="365F91" w:themeColor="accent1" w:themeShade="BF"/>
                          <w:sz w:val="20"/>
                          <w:szCs w:val="20"/>
                        </w:rPr>
                        <w:t xml:space="preserve">: </w:t>
                      </w:r>
                      <w:r w:rsidRPr="00A713E4">
                        <w:rPr>
                          <w:rFonts w:cstheme="minorHAnsi"/>
                          <w:i/>
                          <w:iCs/>
                          <w:color w:val="365F91" w:themeColor="accent1" w:themeShade="BF"/>
                          <w:sz w:val="20"/>
                          <w:szCs w:val="20"/>
                        </w:rPr>
                        <w:t>Evolución del precio (px_last</w:t>
                      </w:r>
                      <w:r>
                        <w:rPr>
                          <w:rFonts w:cstheme="minorHAnsi"/>
                          <w:i/>
                          <w:iCs/>
                          <w:color w:val="365F91" w:themeColor="accent1" w:themeShade="BF"/>
                          <w:sz w:val="20"/>
                          <w:szCs w:val="20"/>
                        </w:rPr>
                        <w:t xml:space="preserve"> de Bloomberg</w:t>
                      </w:r>
                      <w:r w:rsidRPr="00A713E4">
                        <w:rPr>
                          <w:rFonts w:cstheme="minorHAnsi"/>
                          <w:i/>
                          <w:iCs/>
                          <w:color w:val="365F91" w:themeColor="accent1" w:themeShade="BF"/>
                          <w:sz w:val="20"/>
                          <w:szCs w:val="20"/>
                        </w:rPr>
                        <w:t>)</w:t>
                      </w:r>
                    </w:p>
                    <w:p w14:paraId="23256C2D" w14:textId="77777777" w:rsidR="00C50A6E" w:rsidRPr="00A713E4" w:rsidRDefault="00C50A6E" w:rsidP="00A8066D">
                      <w:pPr>
                        <w:spacing w:after="0" w:line="240" w:lineRule="auto"/>
                        <w:jc w:val="center"/>
                        <w:rPr>
                          <w:rFonts w:cstheme="minorHAnsi"/>
                          <w:i/>
                          <w:iCs/>
                          <w:color w:val="365F91" w:themeColor="accent1" w:themeShade="BF"/>
                          <w:sz w:val="20"/>
                          <w:szCs w:val="20"/>
                        </w:rPr>
                      </w:pPr>
                      <w:r w:rsidRPr="00A713E4">
                        <w:rPr>
                          <w:rFonts w:cstheme="minorHAnsi"/>
                          <w:i/>
                          <w:iCs/>
                          <w:color w:val="365F91" w:themeColor="accent1" w:themeShade="BF"/>
                          <w:sz w:val="20"/>
                          <w:szCs w:val="20"/>
                        </w:rPr>
                        <w:t>Deuda externa de Costa Rica</w:t>
                      </w:r>
                    </w:p>
                    <w:p w14:paraId="51C4A713" w14:textId="6DB3D130" w:rsidR="00C50A6E" w:rsidRPr="00A713E4" w:rsidRDefault="00C50A6E" w:rsidP="00A8066D">
                      <w:pPr>
                        <w:spacing w:after="0" w:line="240" w:lineRule="auto"/>
                        <w:jc w:val="center"/>
                        <w:rPr>
                          <w:rFonts w:cstheme="minorHAnsi"/>
                          <w:i/>
                          <w:iCs/>
                          <w:color w:val="365F91" w:themeColor="accent1" w:themeShade="BF"/>
                          <w:sz w:val="20"/>
                          <w:szCs w:val="20"/>
                        </w:rPr>
                      </w:pPr>
                      <w:r w:rsidRPr="00A713E4">
                        <w:rPr>
                          <w:rFonts w:cstheme="minorHAnsi"/>
                          <w:i/>
                          <w:iCs/>
                          <w:color w:val="365F91" w:themeColor="accent1" w:themeShade="BF"/>
                          <w:sz w:val="20"/>
                          <w:szCs w:val="20"/>
                        </w:rPr>
                        <w:t>Durante enero 2019 - octubre 2020</w:t>
                      </w:r>
                    </w:p>
                    <w:p w14:paraId="0C507C4C" w14:textId="32AB09F9" w:rsidR="00C50A6E" w:rsidRDefault="00C50A6E" w:rsidP="00A8066D">
                      <w:pPr>
                        <w:spacing w:after="0" w:line="240" w:lineRule="auto"/>
                        <w:jc w:val="center"/>
                        <w:rPr>
                          <w:noProof/>
                        </w:rPr>
                      </w:pPr>
                      <w:r w:rsidRPr="00BF6D95">
                        <w:rPr>
                          <w:noProof/>
                        </w:rPr>
                        <w:drawing>
                          <wp:inline distT="0" distB="0" distL="0" distR="0" wp14:anchorId="66AA5452" wp14:editId="34BAB80C">
                            <wp:extent cx="5514975" cy="2834005"/>
                            <wp:effectExtent l="0" t="0" r="9525"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14975" cy="2834005"/>
                                    </a:xfrm>
                                    <a:prstGeom prst="rect">
                                      <a:avLst/>
                                    </a:prstGeom>
                                    <a:noFill/>
                                    <a:ln>
                                      <a:noFill/>
                                    </a:ln>
                                  </pic:spPr>
                                </pic:pic>
                              </a:graphicData>
                            </a:graphic>
                          </wp:inline>
                        </w:drawing>
                      </w:r>
                    </w:p>
                    <w:p w14:paraId="41848F14" w14:textId="70909334" w:rsidR="00C50A6E" w:rsidRPr="00C27963" w:rsidRDefault="00C50A6E" w:rsidP="00A8066D">
                      <w:pPr>
                        <w:spacing w:after="0" w:line="240" w:lineRule="auto"/>
                        <w:jc w:val="center"/>
                        <w:rPr>
                          <w:rFonts w:cstheme="minorHAnsi"/>
                          <w:i/>
                          <w:iCs/>
                          <w:color w:val="365F91" w:themeColor="accent1" w:themeShade="BF"/>
                          <w:sz w:val="20"/>
                          <w:szCs w:val="20"/>
                        </w:rPr>
                      </w:pPr>
                      <w:r w:rsidRPr="00C27963">
                        <w:rPr>
                          <w:rFonts w:cstheme="minorHAnsi"/>
                          <w:i/>
                          <w:iCs/>
                          <w:color w:val="365F91" w:themeColor="accent1" w:themeShade="BF"/>
                          <w:sz w:val="20"/>
                          <w:szCs w:val="20"/>
                        </w:rPr>
                        <w:t>Fuente: Bloomberg</w:t>
                      </w:r>
                    </w:p>
                  </w:txbxContent>
                </v:textbox>
                <w10:wrap type="square"/>
              </v:shape>
            </w:pict>
          </mc:Fallback>
        </mc:AlternateContent>
      </w:r>
    </w:p>
    <w:p w14:paraId="65F2C122" w14:textId="77777777" w:rsidR="006C58D3" w:rsidRDefault="006C58D3"/>
    <w:p w14:paraId="5A0599EB" w14:textId="79B86043" w:rsidR="00FE7E85" w:rsidRDefault="00FE7E85">
      <w:r>
        <w:br w:type="page"/>
      </w:r>
    </w:p>
    <w:p w14:paraId="3151D929" w14:textId="77777777" w:rsidR="00357176" w:rsidRDefault="00357176"/>
    <w:p w14:paraId="5432BF21" w14:textId="442126C0" w:rsidR="00242194" w:rsidRDefault="00242194" w:rsidP="00242194">
      <w:pPr>
        <w:pStyle w:val="Descripcin"/>
        <w:spacing w:after="0"/>
        <w:jc w:val="center"/>
      </w:pPr>
      <w:r>
        <w:t xml:space="preserve">Tabla </w:t>
      </w:r>
      <w:r>
        <w:fldChar w:fldCharType="begin"/>
      </w:r>
      <w:r>
        <w:instrText xml:space="preserve"> SEQ Tabla \* ARABIC </w:instrText>
      </w:r>
      <w:r>
        <w:fldChar w:fldCharType="separate"/>
      </w:r>
      <w:r w:rsidR="00C05B2C">
        <w:rPr>
          <w:noProof/>
        </w:rPr>
        <w:t>8</w:t>
      </w:r>
      <w:r>
        <w:fldChar w:fldCharType="end"/>
      </w:r>
      <w:r>
        <w:t>: Criterios juríd</w:t>
      </w:r>
      <w:r w:rsidR="00AD4962">
        <w:t>i</w:t>
      </w:r>
      <w:r>
        <w:t>cos</w:t>
      </w:r>
    </w:p>
    <w:p w14:paraId="39DB2A08" w14:textId="27074F6B" w:rsidR="00242194" w:rsidRDefault="00242194" w:rsidP="00242194">
      <w:pPr>
        <w:pStyle w:val="Descripcin"/>
        <w:spacing w:after="0"/>
        <w:jc w:val="center"/>
      </w:pPr>
      <w:r>
        <w:t>Atendidas durante el</w:t>
      </w:r>
      <w:r w:rsidR="00326F80">
        <w:t xml:space="preserve"> tercer</w:t>
      </w:r>
      <w:r>
        <w:t xml:space="preserve"> trimestre del 2020</w:t>
      </w:r>
    </w:p>
    <w:p w14:paraId="27E854F7" w14:textId="3D795116" w:rsidR="00242194" w:rsidRDefault="00242194" w:rsidP="00242194">
      <w:pPr>
        <w:pStyle w:val="Descripcin"/>
        <w:spacing w:after="0"/>
        <w:jc w:val="center"/>
      </w:pPr>
      <w:r>
        <w:t>por la división jurídica de SUPEN</w:t>
      </w:r>
    </w:p>
    <w:tbl>
      <w:tblPr>
        <w:tblStyle w:val="Tablaconcuadrcula4-nfasis1"/>
        <w:tblW w:w="10343" w:type="dxa"/>
        <w:jc w:val="center"/>
        <w:tblLook w:val="04A0" w:firstRow="1" w:lastRow="0" w:firstColumn="1" w:lastColumn="0" w:noHBand="0" w:noVBand="1"/>
      </w:tblPr>
      <w:tblGrid>
        <w:gridCol w:w="1809"/>
        <w:gridCol w:w="8534"/>
      </w:tblGrid>
      <w:tr w:rsidR="00AA5639" w:rsidRPr="00AA5639" w14:paraId="7CBCE68D" w14:textId="77777777" w:rsidTr="00C659D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14:paraId="3D003E3B" w14:textId="77777777" w:rsidR="00AA5639" w:rsidRPr="00AA5639" w:rsidRDefault="00AA5639" w:rsidP="00C50A6E">
            <w:pPr>
              <w:jc w:val="both"/>
              <w:rPr>
                <w:rFonts w:asciiTheme="minorHAnsi" w:hAnsiTheme="minorHAnsi" w:cstheme="minorHAnsi"/>
                <w:lang w:val="es-CR"/>
              </w:rPr>
            </w:pPr>
            <w:r w:rsidRPr="00AA5639">
              <w:rPr>
                <w:rFonts w:asciiTheme="minorHAnsi" w:hAnsiTheme="minorHAnsi" w:cstheme="minorHAnsi"/>
                <w:lang w:val="es-CR"/>
              </w:rPr>
              <w:t>Criterio</w:t>
            </w:r>
          </w:p>
        </w:tc>
        <w:tc>
          <w:tcPr>
            <w:tcW w:w="8534" w:type="dxa"/>
          </w:tcPr>
          <w:p w14:paraId="4D6026CA" w14:textId="77777777" w:rsidR="00AA5639" w:rsidRPr="00AA5639" w:rsidRDefault="00AA5639" w:rsidP="00C50A6E">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s-CR"/>
              </w:rPr>
            </w:pPr>
            <w:r w:rsidRPr="00AA5639">
              <w:rPr>
                <w:rFonts w:asciiTheme="minorHAnsi" w:hAnsiTheme="minorHAnsi" w:cstheme="minorHAnsi"/>
                <w:lang w:val="es-CR"/>
              </w:rPr>
              <w:t>Temas</w:t>
            </w:r>
          </w:p>
        </w:tc>
      </w:tr>
      <w:tr w:rsidR="00AA5639" w:rsidRPr="00AA5639" w14:paraId="6BA8639C" w14:textId="77777777" w:rsidTr="00C659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14:paraId="75E5A0E3" w14:textId="77777777" w:rsidR="00AA5639" w:rsidRPr="00AA5639" w:rsidRDefault="00AA5639" w:rsidP="00C50A6E">
            <w:pPr>
              <w:jc w:val="both"/>
              <w:rPr>
                <w:rFonts w:asciiTheme="minorHAnsi" w:hAnsiTheme="minorHAnsi" w:cstheme="minorHAnsi"/>
                <w:b w:val="0"/>
                <w:bCs w:val="0"/>
                <w:lang w:val="es-CR"/>
              </w:rPr>
            </w:pPr>
            <w:r w:rsidRPr="00AA5639">
              <w:rPr>
                <w:rFonts w:asciiTheme="minorHAnsi" w:hAnsiTheme="minorHAnsi" w:cstheme="minorHAnsi"/>
                <w:b w:val="0"/>
                <w:bCs w:val="0"/>
                <w:lang w:val="es-CR"/>
              </w:rPr>
              <w:t>PJD-17-2020</w:t>
            </w:r>
          </w:p>
        </w:tc>
        <w:tc>
          <w:tcPr>
            <w:tcW w:w="8534" w:type="dxa"/>
          </w:tcPr>
          <w:p w14:paraId="055A1370" w14:textId="39BF33F3" w:rsidR="00AA5639" w:rsidRPr="00AA5639" w:rsidRDefault="00AA5639" w:rsidP="00C50A6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s-CR"/>
              </w:rPr>
            </w:pPr>
            <w:r w:rsidRPr="00AA5639">
              <w:rPr>
                <w:rFonts w:asciiTheme="minorHAnsi" w:hAnsiTheme="minorHAnsi" w:cstheme="minorHAnsi"/>
                <w:lang w:val="es-CR"/>
              </w:rPr>
              <w:t>Traslado de cotizaciones por mala ubicación de funcionarios J</w:t>
            </w:r>
            <w:r>
              <w:rPr>
                <w:rFonts w:asciiTheme="minorHAnsi" w:hAnsiTheme="minorHAnsi" w:cstheme="minorHAnsi"/>
                <w:lang w:val="es-CR"/>
              </w:rPr>
              <w:t>UPEMA.</w:t>
            </w:r>
          </w:p>
        </w:tc>
      </w:tr>
      <w:tr w:rsidR="00AA5639" w:rsidRPr="00AA5639" w14:paraId="4557DCA3" w14:textId="77777777" w:rsidTr="00C659DC">
        <w:trPr>
          <w:jc w:val="center"/>
        </w:trPr>
        <w:tc>
          <w:tcPr>
            <w:cnfStyle w:val="001000000000" w:firstRow="0" w:lastRow="0" w:firstColumn="1" w:lastColumn="0" w:oddVBand="0" w:evenVBand="0" w:oddHBand="0" w:evenHBand="0" w:firstRowFirstColumn="0" w:firstRowLastColumn="0" w:lastRowFirstColumn="0" w:lastRowLastColumn="0"/>
            <w:tcW w:w="1809" w:type="dxa"/>
          </w:tcPr>
          <w:p w14:paraId="36025328" w14:textId="77777777" w:rsidR="00AA5639" w:rsidRPr="00AA5639" w:rsidRDefault="00AA5639" w:rsidP="00C50A6E">
            <w:pPr>
              <w:jc w:val="both"/>
              <w:rPr>
                <w:rFonts w:asciiTheme="minorHAnsi" w:hAnsiTheme="minorHAnsi" w:cstheme="minorHAnsi"/>
                <w:b w:val="0"/>
                <w:bCs w:val="0"/>
                <w:lang w:val="es-CR"/>
              </w:rPr>
            </w:pPr>
            <w:r w:rsidRPr="00AA5639">
              <w:rPr>
                <w:rFonts w:asciiTheme="minorHAnsi" w:hAnsiTheme="minorHAnsi" w:cstheme="minorHAnsi"/>
                <w:b w:val="0"/>
                <w:bCs w:val="0"/>
                <w:lang w:val="es-CR"/>
              </w:rPr>
              <w:t>PJD-19-2020</w:t>
            </w:r>
          </w:p>
        </w:tc>
        <w:tc>
          <w:tcPr>
            <w:tcW w:w="8534" w:type="dxa"/>
          </w:tcPr>
          <w:p w14:paraId="123CE633" w14:textId="77777777" w:rsidR="00AA5639" w:rsidRPr="00AA5639" w:rsidRDefault="00AA5639" w:rsidP="00C50A6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s-CR"/>
              </w:rPr>
            </w:pPr>
            <w:r w:rsidRPr="00AA5639">
              <w:rPr>
                <w:rFonts w:asciiTheme="minorHAnsi" w:hAnsiTheme="minorHAnsi" w:cstheme="minorHAnsi"/>
                <w:lang w:val="es-CR"/>
              </w:rPr>
              <w:t>Necesidad de revisar las pensiones por sobrevivencia del Poder Judicial.</w:t>
            </w:r>
          </w:p>
        </w:tc>
      </w:tr>
      <w:tr w:rsidR="00AA5639" w:rsidRPr="00AA5639" w14:paraId="5F255846" w14:textId="77777777" w:rsidTr="00C659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14:paraId="56B83633" w14:textId="77777777" w:rsidR="00AA5639" w:rsidRPr="00AA5639" w:rsidRDefault="00AA5639" w:rsidP="00C50A6E">
            <w:pPr>
              <w:jc w:val="both"/>
              <w:rPr>
                <w:rFonts w:asciiTheme="minorHAnsi" w:hAnsiTheme="minorHAnsi" w:cstheme="minorHAnsi"/>
                <w:b w:val="0"/>
                <w:bCs w:val="0"/>
                <w:lang w:val="es-CR"/>
              </w:rPr>
            </w:pPr>
            <w:r w:rsidRPr="00AA5639">
              <w:rPr>
                <w:rFonts w:asciiTheme="minorHAnsi" w:hAnsiTheme="minorHAnsi" w:cstheme="minorHAnsi"/>
                <w:b w:val="0"/>
                <w:bCs w:val="0"/>
                <w:lang w:val="es-CR"/>
              </w:rPr>
              <w:t>PJD-18-2020</w:t>
            </w:r>
          </w:p>
        </w:tc>
        <w:tc>
          <w:tcPr>
            <w:tcW w:w="8534" w:type="dxa"/>
          </w:tcPr>
          <w:p w14:paraId="74042C53" w14:textId="77777777" w:rsidR="00AA5639" w:rsidRPr="00AA5639" w:rsidRDefault="00AA5639" w:rsidP="00C50A6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s-CR"/>
              </w:rPr>
            </w:pPr>
            <w:r w:rsidRPr="00AA5639">
              <w:rPr>
                <w:rFonts w:asciiTheme="minorHAnsi" w:hAnsiTheme="minorHAnsi" w:cstheme="minorHAnsi"/>
                <w:lang w:val="es-CR"/>
              </w:rPr>
              <w:t>Confidencialidad de la política de inversiones de los supervisados de SUPEN.</w:t>
            </w:r>
          </w:p>
        </w:tc>
      </w:tr>
    </w:tbl>
    <w:p w14:paraId="2F5B7D45" w14:textId="1D4BFF06" w:rsidR="00242194" w:rsidRDefault="00AA5639" w:rsidP="00A8066D">
      <w:pPr>
        <w:pStyle w:val="Descripcin"/>
        <w:spacing w:after="0"/>
        <w:ind w:left="1560"/>
      </w:pPr>
      <w:r>
        <w:t>F</w:t>
      </w:r>
      <w:r w:rsidR="00242194">
        <w:t xml:space="preserve">uente: Elaboración propia </w:t>
      </w:r>
    </w:p>
    <w:p w14:paraId="63E19555" w14:textId="77777777" w:rsidR="00242194" w:rsidRDefault="00242194" w:rsidP="000E7393">
      <w:pPr>
        <w:spacing w:after="0" w:line="240" w:lineRule="auto"/>
      </w:pPr>
    </w:p>
    <w:p w14:paraId="602AD2D7" w14:textId="71A36BC5" w:rsidR="00560BDB" w:rsidRDefault="00560BDB" w:rsidP="00560BDB">
      <w:pPr>
        <w:pStyle w:val="Descripcin"/>
        <w:spacing w:after="0"/>
        <w:jc w:val="center"/>
      </w:pPr>
      <w:r>
        <w:t xml:space="preserve">Tabla </w:t>
      </w:r>
      <w:r>
        <w:fldChar w:fldCharType="begin"/>
      </w:r>
      <w:r>
        <w:instrText xml:space="preserve"> SEQ Tabla \* ARABIC </w:instrText>
      </w:r>
      <w:r>
        <w:fldChar w:fldCharType="separate"/>
      </w:r>
      <w:r w:rsidR="00C05B2C">
        <w:rPr>
          <w:noProof/>
        </w:rPr>
        <w:t>9</w:t>
      </w:r>
      <w:r>
        <w:fldChar w:fldCharType="end"/>
      </w:r>
      <w:r>
        <w:t>: Recursos de amparo</w:t>
      </w:r>
    </w:p>
    <w:p w14:paraId="65E770B3" w14:textId="3841557C" w:rsidR="00560BDB" w:rsidRDefault="00560BDB" w:rsidP="00560BDB">
      <w:pPr>
        <w:pStyle w:val="Descripcin"/>
        <w:spacing w:after="0"/>
        <w:jc w:val="center"/>
      </w:pPr>
      <w:r>
        <w:t>Atendidas durante el</w:t>
      </w:r>
      <w:r w:rsidR="00326F80">
        <w:t xml:space="preserve"> tercer</w:t>
      </w:r>
      <w:r>
        <w:t xml:space="preserve"> trimestre del 2020</w:t>
      </w:r>
    </w:p>
    <w:p w14:paraId="7ADB60C2" w14:textId="4EB045F3" w:rsidR="009A6CE9" w:rsidRDefault="00560BDB" w:rsidP="009A6CE9">
      <w:pPr>
        <w:pStyle w:val="Descripcin"/>
        <w:spacing w:after="0"/>
        <w:jc w:val="center"/>
      </w:pPr>
      <w:r>
        <w:t>por la división jurídica de SUPEN</w:t>
      </w:r>
    </w:p>
    <w:tbl>
      <w:tblPr>
        <w:tblStyle w:val="Tablaconcuadrcula4-nfasis1"/>
        <w:tblW w:w="11335" w:type="dxa"/>
        <w:jc w:val="center"/>
        <w:tblLook w:val="04A0" w:firstRow="1" w:lastRow="0" w:firstColumn="1" w:lastColumn="0" w:noHBand="0" w:noVBand="1"/>
      </w:tblPr>
      <w:tblGrid>
        <w:gridCol w:w="2034"/>
        <w:gridCol w:w="4624"/>
        <w:gridCol w:w="4677"/>
      </w:tblGrid>
      <w:tr w:rsidR="00113867" w:rsidRPr="00113867" w14:paraId="141E342F" w14:textId="77777777" w:rsidTr="00A8066D">
        <w:trPr>
          <w:cnfStyle w:val="100000000000" w:firstRow="1" w:lastRow="0" w:firstColumn="0" w:lastColumn="0" w:oddVBand="0" w:evenVBand="0" w:oddHBand="0" w:evenHBand="0" w:firstRowFirstColumn="0" w:firstRowLastColumn="0" w:lastRowFirstColumn="0" w:lastRowLastColumn="0"/>
          <w:trHeight w:val="165"/>
          <w:jc w:val="center"/>
        </w:trPr>
        <w:tc>
          <w:tcPr>
            <w:cnfStyle w:val="001000000000" w:firstRow="0" w:lastRow="0" w:firstColumn="1" w:lastColumn="0" w:oddVBand="0" w:evenVBand="0" w:oddHBand="0" w:evenHBand="0" w:firstRowFirstColumn="0" w:firstRowLastColumn="0" w:lastRowFirstColumn="0" w:lastRowLastColumn="0"/>
            <w:tcW w:w="2034" w:type="dxa"/>
          </w:tcPr>
          <w:p w14:paraId="34491BD8" w14:textId="77777777" w:rsidR="00113867" w:rsidRPr="00113867" w:rsidRDefault="00113867" w:rsidP="00113867">
            <w:pPr>
              <w:rPr>
                <w:rFonts w:asciiTheme="minorHAnsi" w:hAnsiTheme="minorHAnsi" w:cstheme="minorHAnsi"/>
                <w:lang w:val="es-CR"/>
              </w:rPr>
            </w:pPr>
            <w:r w:rsidRPr="00113867">
              <w:rPr>
                <w:rFonts w:asciiTheme="minorHAnsi" w:hAnsiTheme="minorHAnsi" w:cstheme="minorHAnsi"/>
                <w:lang w:val="es-CR"/>
              </w:rPr>
              <w:t>Expediente</w:t>
            </w:r>
          </w:p>
        </w:tc>
        <w:tc>
          <w:tcPr>
            <w:tcW w:w="4624" w:type="dxa"/>
          </w:tcPr>
          <w:p w14:paraId="73BE050F" w14:textId="77777777" w:rsidR="00113867" w:rsidRPr="00113867" w:rsidRDefault="00113867" w:rsidP="0011386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s-CR"/>
              </w:rPr>
            </w:pPr>
            <w:r w:rsidRPr="00113867">
              <w:rPr>
                <w:rFonts w:asciiTheme="minorHAnsi" w:hAnsiTheme="minorHAnsi" w:cstheme="minorHAnsi"/>
                <w:lang w:val="es-CR"/>
              </w:rPr>
              <w:t>Resumen del asunto</w:t>
            </w:r>
          </w:p>
        </w:tc>
        <w:tc>
          <w:tcPr>
            <w:tcW w:w="4677" w:type="dxa"/>
          </w:tcPr>
          <w:p w14:paraId="5BD4F740" w14:textId="77777777" w:rsidR="00113867" w:rsidRPr="00113867" w:rsidRDefault="00113867" w:rsidP="0011386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s-CR"/>
              </w:rPr>
            </w:pPr>
            <w:r w:rsidRPr="00113867">
              <w:rPr>
                <w:rFonts w:asciiTheme="minorHAnsi" w:hAnsiTheme="minorHAnsi" w:cstheme="minorHAnsi"/>
                <w:lang w:val="es-CR"/>
              </w:rPr>
              <w:t>Estado actual</w:t>
            </w:r>
          </w:p>
        </w:tc>
      </w:tr>
      <w:tr w:rsidR="00113867" w:rsidRPr="00113867" w14:paraId="7F71E431" w14:textId="77777777" w:rsidTr="00A8066D">
        <w:trPr>
          <w:cnfStyle w:val="000000100000" w:firstRow="0" w:lastRow="0" w:firstColumn="0" w:lastColumn="0" w:oddVBand="0" w:evenVBand="0" w:oddHBand="1" w:evenHBand="0" w:firstRowFirstColumn="0" w:firstRowLastColumn="0" w:lastRowFirstColumn="0" w:lastRowLastColumn="0"/>
          <w:trHeight w:val="672"/>
          <w:jc w:val="center"/>
        </w:trPr>
        <w:tc>
          <w:tcPr>
            <w:cnfStyle w:val="001000000000" w:firstRow="0" w:lastRow="0" w:firstColumn="1" w:lastColumn="0" w:oddVBand="0" w:evenVBand="0" w:oddHBand="0" w:evenHBand="0" w:firstRowFirstColumn="0" w:firstRowLastColumn="0" w:lastRowFirstColumn="0" w:lastRowLastColumn="0"/>
            <w:tcW w:w="2034" w:type="dxa"/>
          </w:tcPr>
          <w:p w14:paraId="65C4B20F" w14:textId="77777777" w:rsidR="00113867" w:rsidRPr="00113867" w:rsidRDefault="00113867" w:rsidP="00C50A6E">
            <w:pPr>
              <w:jc w:val="both"/>
              <w:rPr>
                <w:rFonts w:asciiTheme="minorHAnsi" w:hAnsiTheme="minorHAnsi" w:cstheme="minorHAnsi"/>
                <w:b w:val="0"/>
                <w:lang w:val="es-CR"/>
              </w:rPr>
            </w:pPr>
            <w:r w:rsidRPr="00113867">
              <w:rPr>
                <w:rFonts w:asciiTheme="minorHAnsi" w:hAnsiTheme="minorHAnsi" w:cstheme="minorHAnsi"/>
                <w:b w:val="0"/>
                <w:lang w:val="es-CR"/>
              </w:rPr>
              <w:t>20-011951-0007-CO</w:t>
            </w:r>
          </w:p>
        </w:tc>
        <w:tc>
          <w:tcPr>
            <w:tcW w:w="4624" w:type="dxa"/>
          </w:tcPr>
          <w:p w14:paraId="45EFD220" w14:textId="77777777" w:rsidR="00113867" w:rsidRPr="00113867" w:rsidRDefault="00113867" w:rsidP="00C50A6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val="es-CR"/>
              </w:rPr>
            </w:pPr>
            <w:r w:rsidRPr="00113867">
              <w:rPr>
                <w:rFonts w:asciiTheme="minorHAnsi" w:hAnsiTheme="minorHAnsi" w:cstheme="minorHAnsi"/>
                <w:bCs/>
                <w:lang w:val="es-CR"/>
              </w:rPr>
              <w:t>El amparado pretendía que por tener una enfermedad terminal se le entregará la totalidad del saldo de la cuenta individual del ROP.</w:t>
            </w:r>
          </w:p>
        </w:tc>
        <w:tc>
          <w:tcPr>
            <w:tcW w:w="4677" w:type="dxa"/>
          </w:tcPr>
          <w:p w14:paraId="1C5CE5F3" w14:textId="77777777" w:rsidR="00113867" w:rsidRPr="00113867" w:rsidRDefault="00113867" w:rsidP="00C50A6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val="es-CR"/>
              </w:rPr>
            </w:pPr>
            <w:r w:rsidRPr="00113867">
              <w:rPr>
                <w:rFonts w:asciiTheme="minorHAnsi" w:hAnsiTheme="minorHAnsi" w:cstheme="minorHAnsi"/>
                <w:bCs/>
                <w:lang w:val="es-CR"/>
              </w:rPr>
              <w:t xml:space="preserve">Voto 16108-2020 </w:t>
            </w:r>
          </w:p>
          <w:p w14:paraId="32EE6A54" w14:textId="77777777" w:rsidR="00113867" w:rsidRPr="00113867" w:rsidRDefault="00113867" w:rsidP="00C50A6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es-CR"/>
              </w:rPr>
            </w:pPr>
            <w:r w:rsidRPr="00113867">
              <w:rPr>
                <w:rFonts w:asciiTheme="minorHAnsi" w:hAnsiTheme="minorHAnsi" w:cstheme="minorHAnsi"/>
                <w:bCs/>
                <w:lang w:val="es-CR"/>
              </w:rPr>
              <w:t>Se declaró sin lugar, el amparado no demostró ante la OPC su condición de enfermo temporal.</w:t>
            </w:r>
          </w:p>
        </w:tc>
      </w:tr>
      <w:tr w:rsidR="00113867" w:rsidRPr="00113867" w14:paraId="6C7B1235" w14:textId="77777777" w:rsidTr="00A8066D">
        <w:trPr>
          <w:trHeight w:val="661"/>
          <w:jc w:val="center"/>
        </w:trPr>
        <w:tc>
          <w:tcPr>
            <w:cnfStyle w:val="001000000000" w:firstRow="0" w:lastRow="0" w:firstColumn="1" w:lastColumn="0" w:oddVBand="0" w:evenVBand="0" w:oddHBand="0" w:evenHBand="0" w:firstRowFirstColumn="0" w:firstRowLastColumn="0" w:lastRowFirstColumn="0" w:lastRowLastColumn="0"/>
            <w:tcW w:w="2034" w:type="dxa"/>
          </w:tcPr>
          <w:p w14:paraId="4F4C172C" w14:textId="77777777" w:rsidR="00113867" w:rsidRPr="00113867" w:rsidRDefault="00113867" w:rsidP="00C50A6E">
            <w:pPr>
              <w:jc w:val="both"/>
              <w:rPr>
                <w:rFonts w:asciiTheme="minorHAnsi" w:hAnsiTheme="minorHAnsi" w:cstheme="minorHAnsi"/>
                <w:b w:val="0"/>
                <w:lang w:val="es-CR"/>
              </w:rPr>
            </w:pPr>
            <w:r w:rsidRPr="00113867">
              <w:rPr>
                <w:rFonts w:asciiTheme="minorHAnsi" w:hAnsiTheme="minorHAnsi" w:cstheme="minorHAnsi"/>
                <w:b w:val="0"/>
                <w:lang w:val="es-CR"/>
              </w:rPr>
              <w:t>20-013733-0007-CO</w:t>
            </w:r>
          </w:p>
        </w:tc>
        <w:tc>
          <w:tcPr>
            <w:tcW w:w="4624" w:type="dxa"/>
          </w:tcPr>
          <w:p w14:paraId="3521D810" w14:textId="77777777" w:rsidR="00113867" w:rsidRPr="00113867" w:rsidRDefault="00113867" w:rsidP="00C50A6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lang w:val="es-CR"/>
              </w:rPr>
            </w:pPr>
            <w:r w:rsidRPr="00113867">
              <w:rPr>
                <w:rFonts w:asciiTheme="minorHAnsi" w:hAnsiTheme="minorHAnsi" w:cstheme="minorHAnsi"/>
                <w:bCs/>
                <w:lang w:val="es-CR"/>
              </w:rPr>
              <w:t>El amparado pretendía que por tener una enfermedad terminal se le entregará la totalidad del saldo de la cuenta individual del ROP.</w:t>
            </w:r>
          </w:p>
        </w:tc>
        <w:tc>
          <w:tcPr>
            <w:tcW w:w="4677" w:type="dxa"/>
          </w:tcPr>
          <w:p w14:paraId="6E6AB8EC" w14:textId="77777777" w:rsidR="00113867" w:rsidRPr="00113867" w:rsidRDefault="00113867" w:rsidP="00C50A6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lang w:val="es-CR"/>
              </w:rPr>
            </w:pPr>
            <w:r w:rsidRPr="00113867">
              <w:rPr>
                <w:rFonts w:asciiTheme="minorHAnsi" w:hAnsiTheme="minorHAnsi" w:cstheme="minorHAnsi"/>
                <w:bCs/>
                <w:lang w:val="es-CR"/>
              </w:rPr>
              <w:t xml:space="preserve">Voto 16706-2020 </w:t>
            </w:r>
          </w:p>
          <w:p w14:paraId="0F453125" w14:textId="77777777" w:rsidR="00113867" w:rsidRPr="00113867" w:rsidRDefault="00113867" w:rsidP="00C50A6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lang w:val="es-CR"/>
              </w:rPr>
            </w:pPr>
            <w:r w:rsidRPr="00113867">
              <w:rPr>
                <w:rFonts w:asciiTheme="minorHAnsi" w:hAnsiTheme="minorHAnsi" w:cstheme="minorHAnsi"/>
                <w:bCs/>
                <w:lang w:val="es-CR"/>
              </w:rPr>
              <w:t>Se declaró sin lugar, el amparado no demostró ante la OPC su condición de enfermo temporal.</w:t>
            </w:r>
          </w:p>
        </w:tc>
      </w:tr>
    </w:tbl>
    <w:p w14:paraId="5198FF01" w14:textId="5C7FABD9" w:rsidR="00560BDB" w:rsidRDefault="00560BDB" w:rsidP="00A8066D">
      <w:pPr>
        <w:pStyle w:val="Descripcin"/>
        <w:spacing w:after="0"/>
        <w:ind w:left="1418"/>
      </w:pPr>
      <w:r>
        <w:t xml:space="preserve">Fuente: Elaboración propia </w:t>
      </w:r>
    </w:p>
    <w:p w14:paraId="28F0811F" w14:textId="77777777" w:rsidR="00774655" w:rsidRPr="00774655" w:rsidRDefault="00774655" w:rsidP="00774655"/>
    <w:p w14:paraId="757B9B68" w14:textId="314D8B67" w:rsidR="006929F8" w:rsidRDefault="006929F8" w:rsidP="00096F4F">
      <w:pPr>
        <w:pStyle w:val="Ttulo1"/>
        <w:numPr>
          <w:ilvl w:val="0"/>
          <w:numId w:val="1"/>
        </w:numPr>
      </w:pPr>
      <w:bookmarkStart w:id="19" w:name="_Toc64039569"/>
      <w:r>
        <w:t>Proyectos de Ley</w:t>
      </w:r>
      <w:bookmarkEnd w:id="19"/>
    </w:p>
    <w:p w14:paraId="2205E104" w14:textId="77777777" w:rsidR="00DB47A4" w:rsidRDefault="00DB47A4" w:rsidP="00A439E3">
      <w:pPr>
        <w:pStyle w:val="Descripcin"/>
        <w:spacing w:after="0"/>
        <w:jc w:val="center"/>
      </w:pPr>
    </w:p>
    <w:p w14:paraId="56961039" w14:textId="3431F392" w:rsidR="00A439E3" w:rsidRDefault="00A439E3" w:rsidP="00A439E3">
      <w:pPr>
        <w:pStyle w:val="Descripcin"/>
        <w:spacing w:after="0"/>
        <w:jc w:val="center"/>
      </w:pPr>
      <w:r>
        <w:t xml:space="preserve">Tabla </w:t>
      </w:r>
      <w:r>
        <w:fldChar w:fldCharType="begin"/>
      </w:r>
      <w:r>
        <w:instrText xml:space="preserve"> SEQ Tabla \* ARABIC </w:instrText>
      </w:r>
      <w:r>
        <w:fldChar w:fldCharType="separate"/>
      </w:r>
      <w:r w:rsidR="00C05B2C">
        <w:rPr>
          <w:noProof/>
        </w:rPr>
        <w:t>10</w:t>
      </w:r>
      <w:r>
        <w:fldChar w:fldCharType="end"/>
      </w:r>
      <w:r>
        <w:t>: Expedientes Legislativos</w:t>
      </w:r>
    </w:p>
    <w:p w14:paraId="55F93645" w14:textId="77777777" w:rsidR="003B0175" w:rsidRDefault="00A439E3" w:rsidP="00A439E3">
      <w:pPr>
        <w:pStyle w:val="Descripcin"/>
        <w:spacing w:after="0"/>
        <w:jc w:val="center"/>
      </w:pPr>
      <w:r>
        <w:t xml:space="preserve">Atendidas </w:t>
      </w:r>
      <w:r w:rsidR="003B0175">
        <w:t xml:space="preserve">por SUPEN </w:t>
      </w:r>
    </w:p>
    <w:p w14:paraId="54A3CD8E" w14:textId="1D7FE8FB" w:rsidR="00A439E3" w:rsidRDefault="00A439E3" w:rsidP="00A439E3">
      <w:pPr>
        <w:pStyle w:val="Descripcin"/>
        <w:spacing w:after="0"/>
        <w:jc w:val="center"/>
      </w:pPr>
      <w:r>
        <w:t xml:space="preserve">durante el </w:t>
      </w:r>
      <w:r w:rsidR="00A11811">
        <w:t>tercer</w:t>
      </w:r>
      <w:r>
        <w:t xml:space="preserve"> trimestre del 2020</w:t>
      </w:r>
    </w:p>
    <w:tbl>
      <w:tblPr>
        <w:tblStyle w:val="Tablaconcuadrcula4-nfasis1"/>
        <w:tblW w:w="5217" w:type="pct"/>
        <w:jc w:val="center"/>
        <w:tblLayout w:type="fixed"/>
        <w:tblLook w:val="04A0" w:firstRow="1" w:lastRow="0" w:firstColumn="1" w:lastColumn="0" w:noHBand="0" w:noVBand="1"/>
      </w:tblPr>
      <w:tblGrid>
        <w:gridCol w:w="3494"/>
        <w:gridCol w:w="6849"/>
        <w:gridCol w:w="1419"/>
        <w:gridCol w:w="2092"/>
      </w:tblGrid>
      <w:tr w:rsidR="00BC4AFF" w:rsidRPr="0016050A" w14:paraId="70C4082A" w14:textId="77777777" w:rsidTr="004D0DCE">
        <w:trPr>
          <w:cnfStyle w:val="100000000000" w:firstRow="1" w:lastRow="0" w:firstColumn="0" w:lastColumn="0" w:oddVBand="0" w:evenVBand="0" w:oddHBand="0" w:evenHBand="0" w:firstRowFirstColumn="0" w:firstRowLastColumn="0" w:lastRowFirstColumn="0" w:lastRowLastColumn="0"/>
          <w:trHeight w:val="345"/>
          <w:tblHeader/>
          <w:jc w:val="center"/>
        </w:trPr>
        <w:tc>
          <w:tcPr>
            <w:cnfStyle w:val="001000000000" w:firstRow="0" w:lastRow="0" w:firstColumn="1" w:lastColumn="0" w:oddVBand="0" w:evenVBand="0" w:oddHBand="0" w:evenHBand="0" w:firstRowFirstColumn="0" w:firstRowLastColumn="0" w:lastRowFirstColumn="0" w:lastRowLastColumn="0"/>
            <w:tcW w:w="1261" w:type="pct"/>
            <w:hideMark/>
          </w:tcPr>
          <w:p w14:paraId="66B53BAE" w14:textId="77777777" w:rsidR="00BC4AFF" w:rsidRPr="0016050A" w:rsidRDefault="00BC4AFF" w:rsidP="0021212F">
            <w:pPr>
              <w:rPr>
                <w:rFonts w:cs="Segoe UI"/>
                <w:lang w:val="es-CR"/>
              </w:rPr>
            </w:pPr>
            <w:r w:rsidRPr="0016050A">
              <w:rPr>
                <w:rFonts w:cs="Segoe UI"/>
                <w:lang w:val="es-CR"/>
              </w:rPr>
              <w:t>Proyecto de ley</w:t>
            </w:r>
          </w:p>
        </w:tc>
        <w:tc>
          <w:tcPr>
            <w:tcW w:w="2472" w:type="pct"/>
            <w:hideMark/>
          </w:tcPr>
          <w:p w14:paraId="51BF5F1F" w14:textId="77777777" w:rsidR="00BC4AFF" w:rsidRPr="0016050A" w:rsidRDefault="00BC4AFF" w:rsidP="0021212F">
            <w:pPr>
              <w:cnfStyle w:val="100000000000" w:firstRow="1" w:lastRow="0" w:firstColumn="0" w:lastColumn="0" w:oddVBand="0" w:evenVBand="0" w:oddHBand="0" w:evenHBand="0" w:firstRowFirstColumn="0" w:firstRowLastColumn="0" w:lastRowFirstColumn="0" w:lastRowLastColumn="0"/>
              <w:rPr>
                <w:rFonts w:cs="Segoe UI"/>
                <w:lang w:val="es-CR"/>
              </w:rPr>
            </w:pPr>
            <w:r w:rsidRPr="0016050A">
              <w:rPr>
                <w:rFonts w:cs="Segoe UI"/>
                <w:lang w:val="es-CR"/>
              </w:rPr>
              <w:t xml:space="preserve">Alcance </w:t>
            </w:r>
          </w:p>
        </w:tc>
        <w:tc>
          <w:tcPr>
            <w:tcW w:w="512" w:type="pct"/>
            <w:hideMark/>
          </w:tcPr>
          <w:p w14:paraId="35B10B18" w14:textId="77777777" w:rsidR="00BC4AFF" w:rsidRPr="0016050A" w:rsidRDefault="00BC4AFF" w:rsidP="0021212F">
            <w:pPr>
              <w:cnfStyle w:val="100000000000" w:firstRow="1" w:lastRow="0" w:firstColumn="0" w:lastColumn="0" w:oddVBand="0" w:evenVBand="0" w:oddHBand="0" w:evenHBand="0" w:firstRowFirstColumn="0" w:firstRowLastColumn="0" w:lastRowFirstColumn="0" w:lastRowLastColumn="0"/>
              <w:rPr>
                <w:rFonts w:cs="Segoe UI"/>
                <w:lang w:val="es-CR"/>
              </w:rPr>
            </w:pPr>
            <w:r w:rsidRPr="0016050A">
              <w:rPr>
                <w:rFonts w:cs="Segoe UI"/>
                <w:lang w:val="es-CR"/>
              </w:rPr>
              <w:t>Estado actual</w:t>
            </w:r>
          </w:p>
        </w:tc>
        <w:tc>
          <w:tcPr>
            <w:tcW w:w="755" w:type="pct"/>
            <w:hideMark/>
          </w:tcPr>
          <w:p w14:paraId="64036199" w14:textId="77777777" w:rsidR="00BC4AFF" w:rsidRPr="0016050A" w:rsidRDefault="00BC4AFF" w:rsidP="0021212F">
            <w:pPr>
              <w:cnfStyle w:val="100000000000" w:firstRow="1" w:lastRow="0" w:firstColumn="0" w:lastColumn="0" w:oddVBand="0" w:evenVBand="0" w:oddHBand="0" w:evenHBand="0" w:firstRowFirstColumn="0" w:firstRowLastColumn="0" w:lastRowFirstColumn="0" w:lastRowLastColumn="0"/>
              <w:rPr>
                <w:rFonts w:cs="Segoe UI"/>
                <w:lang w:val="es-CR"/>
              </w:rPr>
            </w:pPr>
            <w:r w:rsidRPr="0016050A">
              <w:rPr>
                <w:rFonts w:cs="Segoe UI"/>
                <w:lang w:val="es-CR"/>
              </w:rPr>
              <w:t xml:space="preserve"> Atendido mediante</w:t>
            </w:r>
          </w:p>
        </w:tc>
      </w:tr>
      <w:tr w:rsidR="00BC4AFF" w:rsidRPr="0016050A" w14:paraId="29630171" w14:textId="77777777" w:rsidTr="004D0DCE">
        <w:trPr>
          <w:cnfStyle w:val="000000100000" w:firstRow="0" w:lastRow="0" w:firstColumn="0" w:lastColumn="0" w:oddVBand="0" w:evenVBand="0" w:oddHBand="1" w:evenHBand="0" w:firstRowFirstColumn="0" w:firstRowLastColumn="0" w:lastRowFirstColumn="0" w:lastRowLastColumn="0"/>
          <w:trHeight w:val="1270"/>
          <w:jc w:val="center"/>
        </w:trPr>
        <w:tc>
          <w:tcPr>
            <w:cnfStyle w:val="001000000000" w:firstRow="0" w:lastRow="0" w:firstColumn="1" w:lastColumn="0" w:oddVBand="0" w:evenVBand="0" w:oddHBand="0" w:evenHBand="0" w:firstRowFirstColumn="0" w:firstRowLastColumn="0" w:lastRowFirstColumn="0" w:lastRowLastColumn="0"/>
            <w:tcW w:w="1261" w:type="pct"/>
          </w:tcPr>
          <w:p w14:paraId="58B8BE84" w14:textId="0D842B02" w:rsidR="00BC4AFF" w:rsidRDefault="00BC4AFF" w:rsidP="0021212F">
            <w:pPr>
              <w:jc w:val="both"/>
              <w:rPr>
                <w:rFonts w:eastAsia="Times New Roman" w:cs="Calibri"/>
                <w:color w:val="000000"/>
                <w:lang w:val="es-CR"/>
              </w:rPr>
            </w:pPr>
            <w:r w:rsidRPr="00DD170F">
              <w:rPr>
                <w:rFonts w:eastAsia="Times New Roman" w:cs="Calibri"/>
                <w:color w:val="000000"/>
                <w:lang w:val="es-CR"/>
              </w:rPr>
              <w:t xml:space="preserve">22.073 </w:t>
            </w:r>
            <w:proofErr w:type="gramStart"/>
            <w:r w:rsidRPr="00DD170F">
              <w:rPr>
                <w:rFonts w:eastAsia="Times New Roman" w:cs="Calibri"/>
                <w:color w:val="000000"/>
                <w:lang w:val="es-CR"/>
              </w:rPr>
              <w:t>Ley</w:t>
            </w:r>
            <w:proofErr w:type="gramEnd"/>
            <w:r w:rsidRPr="00DD170F">
              <w:rPr>
                <w:rFonts w:eastAsia="Times New Roman" w:cs="Calibri"/>
                <w:color w:val="000000"/>
                <w:lang w:val="es-CR"/>
              </w:rPr>
              <w:t xml:space="preserve"> de traslado de recursos para el fortalecimiento del Seguro de </w:t>
            </w:r>
            <w:r w:rsidR="000A603D">
              <w:rPr>
                <w:rFonts w:eastAsia="Times New Roman" w:cs="Calibri"/>
                <w:color w:val="000000"/>
                <w:lang w:val="es-CR"/>
              </w:rPr>
              <w:t>IVM</w:t>
            </w:r>
            <w:r w:rsidRPr="00DD170F">
              <w:rPr>
                <w:rFonts w:eastAsia="Times New Roman" w:cs="Calibri"/>
                <w:color w:val="000000"/>
                <w:lang w:val="es-CR"/>
              </w:rPr>
              <w:t>.</w:t>
            </w:r>
          </w:p>
        </w:tc>
        <w:tc>
          <w:tcPr>
            <w:tcW w:w="2472" w:type="pct"/>
          </w:tcPr>
          <w:p w14:paraId="4271A46C" w14:textId="25252DBB" w:rsidR="00BC4AFF" w:rsidRDefault="00BC4AFF" w:rsidP="0021212F">
            <w:p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Pr>
                <w:rFonts w:eastAsia="Times New Roman" w:cs="Calibri"/>
                <w:color w:val="000000"/>
                <w:lang w:val="es-CR"/>
              </w:rPr>
              <w:t>P</w:t>
            </w:r>
            <w:r w:rsidRPr="00DD170F">
              <w:rPr>
                <w:rFonts w:eastAsia="Times New Roman" w:cs="Calibri"/>
                <w:color w:val="000000"/>
                <w:lang w:val="es-CR"/>
              </w:rPr>
              <w:t xml:space="preserve">retende trasladar el 50% del aporte patronal dispuesto en el inciso a) del artículo 5 de la Ley Orgánica del Banco Popular y de Desarrollo Comunal, No. 4351, al </w:t>
            </w:r>
            <w:r w:rsidR="000A603D">
              <w:rPr>
                <w:rFonts w:eastAsia="Times New Roman" w:cs="Calibri"/>
                <w:color w:val="000000"/>
                <w:lang w:val="es-CR"/>
              </w:rPr>
              <w:t>R</w:t>
            </w:r>
            <w:r w:rsidRPr="00DD170F">
              <w:rPr>
                <w:rFonts w:eastAsia="Times New Roman" w:cs="Calibri"/>
                <w:color w:val="000000"/>
                <w:lang w:val="es-CR"/>
              </w:rPr>
              <w:t>IVM</w:t>
            </w:r>
            <w:r w:rsidR="00D77305">
              <w:rPr>
                <w:rFonts w:eastAsia="Times New Roman" w:cs="Calibri"/>
                <w:color w:val="000000"/>
                <w:lang w:val="es-CR"/>
              </w:rPr>
              <w:t>.</w:t>
            </w:r>
          </w:p>
        </w:tc>
        <w:tc>
          <w:tcPr>
            <w:tcW w:w="512" w:type="pct"/>
            <w:noWrap/>
          </w:tcPr>
          <w:p w14:paraId="1CBD8E3D" w14:textId="77777777" w:rsidR="00BC4AFF" w:rsidRPr="00DD170F" w:rsidRDefault="00BC4AFF" w:rsidP="0021212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DD170F">
              <w:rPr>
                <w:rFonts w:eastAsia="Times New Roman" w:cs="Calibri"/>
                <w:color w:val="000000"/>
                <w:lang w:val="es-CR"/>
              </w:rPr>
              <w:t>Iniciativa</w:t>
            </w:r>
          </w:p>
        </w:tc>
        <w:tc>
          <w:tcPr>
            <w:tcW w:w="755" w:type="pct"/>
            <w:noWrap/>
          </w:tcPr>
          <w:p w14:paraId="2F068D2F" w14:textId="2D2769A2" w:rsidR="00BC4AFF" w:rsidRPr="00DD170F" w:rsidRDefault="00BC4AFF" w:rsidP="0021212F">
            <w:p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DD170F">
              <w:rPr>
                <w:rFonts w:eastAsia="Times New Roman" w:cs="Calibri"/>
                <w:color w:val="000000"/>
                <w:lang w:val="es-CR"/>
              </w:rPr>
              <w:t>PDC-0130-2020</w:t>
            </w:r>
            <w:r w:rsidR="00D77305">
              <w:rPr>
                <w:rFonts w:eastAsia="Times New Roman" w:cs="Calibri"/>
                <w:color w:val="000000"/>
                <w:lang w:val="es-CR"/>
              </w:rPr>
              <w:t xml:space="preserve"> y </w:t>
            </w:r>
            <w:r w:rsidRPr="00DD170F">
              <w:rPr>
                <w:rFonts w:eastAsia="Times New Roman" w:cs="Calibri"/>
                <w:color w:val="000000"/>
                <w:lang w:val="es-CR"/>
              </w:rPr>
              <w:t>SP-1189-2020</w:t>
            </w:r>
            <w:r>
              <w:rPr>
                <w:rFonts w:eastAsia="Times New Roman" w:cs="Calibri"/>
                <w:color w:val="000000"/>
                <w:lang w:val="es-CR"/>
              </w:rPr>
              <w:t xml:space="preserve"> de 22 de setiembre de 2020</w:t>
            </w:r>
          </w:p>
        </w:tc>
      </w:tr>
      <w:tr w:rsidR="00BC4AFF" w:rsidRPr="0016050A" w14:paraId="0E93D968" w14:textId="77777777" w:rsidTr="004D0DCE">
        <w:trPr>
          <w:trHeight w:val="1270"/>
          <w:jc w:val="center"/>
        </w:trPr>
        <w:tc>
          <w:tcPr>
            <w:cnfStyle w:val="001000000000" w:firstRow="0" w:lastRow="0" w:firstColumn="1" w:lastColumn="0" w:oddVBand="0" w:evenVBand="0" w:oddHBand="0" w:evenHBand="0" w:firstRowFirstColumn="0" w:firstRowLastColumn="0" w:lastRowFirstColumn="0" w:lastRowLastColumn="0"/>
            <w:tcW w:w="1261" w:type="pct"/>
          </w:tcPr>
          <w:p w14:paraId="563B1CD3" w14:textId="77777777" w:rsidR="00BC4AFF" w:rsidRPr="00DD170F" w:rsidRDefault="00BC4AFF" w:rsidP="0021212F">
            <w:pPr>
              <w:jc w:val="both"/>
              <w:rPr>
                <w:rFonts w:eastAsia="Times New Roman" w:cs="Calibri"/>
                <w:color w:val="000000"/>
                <w:lang w:val="es-CR"/>
              </w:rPr>
            </w:pPr>
            <w:r>
              <w:rPr>
                <w:rFonts w:eastAsia="Times New Roman" w:cs="Calibri"/>
                <w:color w:val="000000"/>
                <w:lang w:val="es-CR"/>
              </w:rPr>
              <w:t xml:space="preserve">21.639 </w:t>
            </w:r>
            <w:proofErr w:type="gramStart"/>
            <w:r>
              <w:rPr>
                <w:rFonts w:eastAsia="Times New Roman" w:cs="Calibri"/>
                <w:color w:val="000000"/>
                <w:lang w:val="es-CR"/>
              </w:rPr>
              <w:t>Le</w:t>
            </w:r>
            <w:r w:rsidRPr="00DD170F">
              <w:rPr>
                <w:rFonts w:eastAsia="Times New Roman" w:cs="Calibri"/>
                <w:color w:val="000000"/>
                <w:lang w:val="es-CR"/>
              </w:rPr>
              <w:t>y</w:t>
            </w:r>
            <w:proofErr w:type="gramEnd"/>
            <w:r w:rsidRPr="00DD170F">
              <w:rPr>
                <w:rFonts w:eastAsia="Times New Roman" w:cs="Calibri"/>
                <w:color w:val="000000"/>
                <w:lang w:val="es-CR"/>
              </w:rPr>
              <w:t xml:space="preserve"> de pensión basada en el consumo</w:t>
            </w:r>
          </w:p>
        </w:tc>
        <w:tc>
          <w:tcPr>
            <w:tcW w:w="2472" w:type="pct"/>
          </w:tcPr>
          <w:p w14:paraId="34CD9D26" w14:textId="77777777" w:rsidR="00BC4AFF" w:rsidRPr="00DD170F" w:rsidRDefault="00BC4AFF" w:rsidP="0021212F">
            <w:pPr>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Pr>
                <w:rFonts w:eastAsia="Times New Roman" w:cs="Calibri"/>
                <w:color w:val="000000"/>
                <w:lang w:val="es-CR"/>
              </w:rPr>
              <w:t>P</w:t>
            </w:r>
            <w:r w:rsidRPr="00DD170F">
              <w:rPr>
                <w:rFonts w:eastAsia="Times New Roman" w:cs="Calibri"/>
                <w:color w:val="000000"/>
                <w:lang w:val="es-CR"/>
              </w:rPr>
              <w:t>ropone destinar una fracción de lo que cada persona paga por concepto del Impuesto al Valor Agregado (3%) al financiamiento de una pensión individual para su vejez.</w:t>
            </w:r>
          </w:p>
          <w:p w14:paraId="4F12941E" w14:textId="77777777" w:rsidR="00BC4AFF" w:rsidRDefault="00BC4AFF" w:rsidP="0021212F">
            <w:pPr>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p>
        </w:tc>
        <w:tc>
          <w:tcPr>
            <w:tcW w:w="512" w:type="pct"/>
            <w:noWrap/>
          </w:tcPr>
          <w:p w14:paraId="16C93085" w14:textId="77777777" w:rsidR="00BC4AFF" w:rsidRPr="00DD170F" w:rsidRDefault="00BC4AFF" w:rsidP="0021212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DD170F">
              <w:rPr>
                <w:rFonts w:eastAsia="Times New Roman" w:cs="Calibri"/>
                <w:color w:val="000000"/>
                <w:lang w:val="es-CR"/>
              </w:rPr>
              <w:t>Iniciativa</w:t>
            </w:r>
          </w:p>
        </w:tc>
        <w:tc>
          <w:tcPr>
            <w:tcW w:w="755" w:type="pct"/>
            <w:noWrap/>
          </w:tcPr>
          <w:p w14:paraId="3F572E31" w14:textId="5C0C2A44" w:rsidR="00BC4AFF" w:rsidRPr="00DD170F" w:rsidRDefault="00BC4AFF" w:rsidP="0021212F">
            <w:pPr>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Pr>
                <w:rFonts w:eastAsia="Times New Roman" w:cs="Calibri"/>
                <w:color w:val="000000"/>
                <w:lang w:val="es-CR"/>
              </w:rPr>
              <w:t>La consulta del proyecto ingresó el día 25 de setiembre de 2020. Se solicitó una prórroga de 10 días a la Asamblea Legislativa para su atención.</w:t>
            </w:r>
          </w:p>
        </w:tc>
      </w:tr>
      <w:tr w:rsidR="00BC4AFF" w:rsidRPr="0016050A" w14:paraId="734749E9" w14:textId="77777777" w:rsidTr="004D0DCE">
        <w:trPr>
          <w:cnfStyle w:val="000000100000" w:firstRow="0" w:lastRow="0" w:firstColumn="0" w:lastColumn="0" w:oddVBand="0" w:evenVBand="0" w:oddHBand="1" w:evenHBand="0" w:firstRowFirstColumn="0" w:firstRowLastColumn="0" w:lastRowFirstColumn="0" w:lastRowLastColumn="0"/>
          <w:trHeight w:val="1270"/>
          <w:jc w:val="center"/>
        </w:trPr>
        <w:tc>
          <w:tcPr>
            <w:cnfStyle w:val="001000000000" w:firstRow="0" w:lastRow="0" w:firstColumn="1" w:lastColumn="0" w:oddVBand="0" w:evenVBand="0" w:oddHBand="0" w:evenHBand="0" w:firstRowFirstColumn="0" w:firstRowLastColumn="0" w:lastRowFirstColumn="0" w:lastRowLastColumn="0"/>
            <w:tcW w:w="1261" w:type="pct"/>
          </w:tcPr>
          <w:p w14:paraId="590828D2" w14:textId="229BC2B0" w:rsidR="00BC4AFF" w:rsidRPr="00DD170F" w:rsidRDefault="00BC4AFF" w:rsidP="0021212F">
            <w:pPr>
              <w:jc w:val="both"/>
              <w:rPr>
                <w:rFonts w:eastAsia="Times New Roman" w:cs="Calibri"/>
                <w:color w:val="000000"/>
              </w:rPr>
            </w:pPr>
            <w:r>
              <w:rPr>
                <w:rFonts w:eastAsia="Times New Roman" w:cs="Calibri"/>
                <w:color w:val="000000"/>
                <w:lang w:val="es-CR"/>
              </w:rPr>
              <w:t>22.031</w:t>
            </w:r>
            <w:r w:rsidR="00AF11C9">
              <w:rPr>
                <w:rFonts w:eastAsia="Times New Roman" w:cs="Calibri"/>
                <w:color w:val="000000"/>
                <w:lang w:val="es-CR"/>
              </w:rPr>
              <w:t xml:space="preserve"> </w:t>
            </w:r>
            <w:proofErr w:type="gramStart"/>
            <w:r w:rsidRPr="00DD170F">
              <w:rPr>
                <w:rFonts w:eastAsia="Times New Roman" w:cs="Calibri"/>
                <w:color w:val="000000"/>
                <w:lang w:val="es-CR"/>
              </w:rPr>
              <w:t>Adición</w:t>
            </w:r>
            <w:proofErr w:type="gramEnd"/>
            <w:r w:rsidRPr="00DD170F">
              <w:rPr>
                <w:rFonts w:eastAsia="Times New Roman" w:cs="Calibri"/>
                <w:color w:val="000000"/>
                <w:lang w:val="es-CR"/>
              </w:rPr>
              <w:t xml:space="preserve"> de un transitorio único al artículo 3° de la Ley Constitutiva de la </w:t>
            </w:r>
            <w:r w:rsidR="00D80F29">
              <w:rPr>
                <w:rFonts w:eastAsia="Times New Roman" w:cs="Calibri"/>
                <w:color w:val="000000"/>
                <w:lang w:val="es-CR"/>
              </w:rPr>
              <w:t>CCSS</w:t>
            </w:r>
            <w:r w:rsidRPr="00DD170F">
              <w:rPr>
                <w:rFonts w:eastAsia="Times New Roman" w:cs="Calibri"/>
                <w:color w:val="000000"/>
                <w:lang w:val="es-CR"/>
              </w:rPr>
              <w:t xml:space="preserve"> y sus reformas (Ley N° 17 del 22 de octubre de 1943)”.</w:t>
            </w:r>
          </w:p>
        </w:tc>
        <w:tc>
          <w:tcPr>
            <w:tcW w:w="2472" w:type="pct"/>
          </w:tcPr>
          <w:p w14:paraId="55915B47" w14:textId="438C4323" w:rsidR="00BC4AFF" w:rsidRPr="00231E7E" w:rsidRDefault="00BC4AFF" w:rsidP="0021212F">
            <w:pPr>
              <w:jc w:val="both"/>
              <w:cnfStyle w:val="000000100000" w:firstRow="0" w:lastRow="0" w:firstColumn="0" w:lastColumn="0" w:oddVBand="0" w:evenVBand="0" w:oddHBand="1" w:evenHBand="0" w:firstRowFirstColumn="0" w:firstRowLastColumn="0" w:lastRowFirstColumn="0" w:lastRowLastColumn="0"/>
              <w:rPr>
                <w:szCs w:val="24"/>
              </w:rPr>
            </w:pPr>
            <w:r>
              <w:rPr>
                <w:rFonts w:eastAsia="Times New Roman" w:cs="Calibri"/>
                <w:color w:val="000000"/>
                <w:lang w:val="es-CR"/>
              </w:rPr>
              <w:t xml:space="preserve">Se adiciona </w:t>
            </w:r>
            <w:r w:rsidRPr="00F01A28">
              <w:rPr>
                <w:szCs w:val="24"/>
              </w:rPr>
              <w:t xml:space="preserve">una disposición transitoria al artículo 3° de la </w:t>
            </w:r>
            <w:r w:rsidRPr="00F01A28">
              <w:rPr>
                <w:i/>
                <w:iCs/>
                <w:szCs w:val="24"/>
              </w:rPr>
              <w:t xml:space="preserve">Ley Constitutiva de la </w:t>
            </w:r>
            <w:r w:rsidR="00F61ECF">
              <w:rPr>
                <w:i/>
                <w:iCs/>
                <w:szCs w:val="24"/>
              </w:rPr>
              <w:t>CCSS</w:t>
            </w:r>
            <w:r w:rsidR="00D142B9">
              <w:rPr>
                <w:i/>
                <w:iCs/>
                <w:szCs w:val="24"/>
              </w:rPr>
              <w:t xml:space="preserve"> </w:t>
            </w:r>
            <w:r w:rsidRPr="00F01A28">
              <w:rPr>
                <w:szCs w:val="24"/>
              </w:rPr>
              <w:t xml:space="preserve">para que, desde el 16 de marzo del 2020 hasta que concluya el Estado de Emergencia Decretado por el Poder Ejecutivo con motivo de la situación sanitaria provocada por el COVID-19, y para efectos de cálculo del monto de la pensión por invalidez, vejez o muerte, se autorice a la </w:t>
            </w:r>
            <w:r w:rsidR="00892660">
              <w:rPr>
                <w:szCs w:val="24"/>
              </w:rPr>
              <w:t xml:space="preserve">CCSS de </w:t>
            </w:r>
            <w:r w:rsidRPr="00F01A28">
              <w:rPr>
                <w:szCs w:val="24"/>
              </w:rPr>
              <w:t>prescindir de las cuotas que hubiesen sido</w:t>
            </w:r>
            <w:r w:rsidR="00D142B9">
              <w:rPr>
                <w:szCs w:val="24"/>
              </w:rPr>
              <w:t xml:space="preserve"> </w:t>
            </w:r>
            <w:r w:rsidRPr="00F01A28">
              <w:rPr>
                <w:szCs w:val="24"/>
              </w:rPr>
              <w:t xml:space="preserve">reportadas durante ese período para cualquier trabajador activo, cuya jornada laboral y salario mensual hayan sido reducidos, de acuerdo con lo dispuesto en la Ley N° 9832 del 23 de marzo del 2020. </w:t>
            </w:r>
          </w:p>
        </w:tc>
        <w:tc>
          <w:tcPr>
            <w:tcW w:w="512" w:type="pct"/>
            <w:noWrap/>
          </w:tcPr>
          <w:p w14:paraId="44678F7B" w14:textId="77777777" w:rsidR="00BC4AFF" w:rsidRPr="00AC373D" w:rsidRDefault="00BC4AFF" w:rsidP="0021212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DD170F">
              <w:rPr>
                <w:rFonts w:eastAsia="Times New Roman" w:cs="Calibri"/>
                <w:color w:val="000000"/>
                <w:lang w:val="es-CR"/>
              </w:rPr>
              <w:t>Iniciativa</w:t>
            </w:r>
          </w:p>
        </w:tc>
        <w:tc>
          <w:tcPr>
            <w:tcW w:w="755" w:type="pct"/>
            <w:noWrap/>
          </w:tcPr>
          <w:p w14:paraId="53F82F9C" w14:textId="77777777" w:rsidR="00BC4AFF" w:rsidRPr="00DD170F" w:rsidRDefault="00BC4AFF" w:rsidP="0021212F">
            <w:p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DD170F">
              <w:rPr>
                <w:rFonts w:eastAsia="Times New Roman" w:cs="Calibri"/>
                <w:color w:val="000000"/>
                <w:lang w:val="es-CR"/>
              </w:rPr>
              <w:t>SP-1065-2020</w:t>
            </w:r>
            <w:r>
              <w:rPr>
                <w:rFonts w:eastAsia="Times New Roman" w:cs="Calibri"/>
                <w:color w:val="000000"/>
                <w:lang w:val="es-CR"/>
              </w:rPr>
              <w:t xml:space="preserve"> del 13 de agosto de 2020.</w:t>
            </w:r>
          </w:p>
        </w:tc>
      </w:tr>
      <w:tr w:rsidR="00BC4AFF" w:rsidRPr="0016050A" w14:paraId="0A110FA9" w14:textId="77777777" w:rsidTr="004D0DCE">
        <w:trPr>
          <w:trHeight w:val="844"/>
          <w:jc w:val="center"/>
        </w:trPr>
        <w:tc>
          <w:tcPr>
            <w:cnfStyle w:val="001000000000" w:firstRow="0" w:lastRow="0" w:firstColumn="1" w:lastColumn="0" w:oddVBand="0" w:evenVBand="0" w:oddHBand="0" w:evenHBand="0" w:firstRowFirstColumn="0" w:firstRowLastColumn="0" w:lastRowFirstColumn="0" w:lastRowLastColumn="0"/>
            <w:tcW w:w="1261" w:type="pct"/>
          </w:tcPr>
          <w:p w14:paraId="10EB7279" w14:textId="77777777" w:rsidR="00BC4AFF" w:rsidRPr="00DD170F" w:rsidRDefault="00BC4AFF" w:rsidP="0021212F">
            <w:pPr>
              <w:jc w:val="both"/>
            </w:pPr>
            <w:r w:rsidRPr="00DD170F">
              <w:t>21345 ley de reforma para la equidad, eficiencia y sostenibilidad de los reg</w:t>
            </w:r>
            <w:r w:rsidRPr="00DD170F">
              <w:rPr>
                <w:rFonts w:hint="eastAsia"/>
              </w:rPr>
              <w:t>í</w:t>
            </w:r>
            <w:r w:rsidRPr="00DD170F">
              <w:t>menes de pensiones</w:t>
            </w:r>
          </w:p>
        </w:tc>
        <w:tc>
          <w:tcPr>
            <w:tcW w:w="2472" w:type="pct"/>
          </w:tcPr>
          <w:p w14:paraId="33934521" w14:textId="77CD096C" w:rsidR="00BC4AFF" w:rsidRDefault="00C67B35" w:rsidP="0021212F">
            <w:pPr>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Pr>
                <w:rFonts w:eastAsia="Times New Roman" w:cs="Calibri"/>
                <w:color w:val="000000"/>
                <w:lang w:val="es-CR"/>
              </w:rPr>
              <w:t>R</w:t>
            </w:r>
            <w:r w:rsidR="00BC4AFF" w:rsidRPr="00DD170F">
              <w:rPr>
                <w:rFonts w:eastAsia="Times New Roman" w:cs="Calibri"/>
                <w:color w:val="000000"/>
                <w:lang w:val="es-CR"/>
              </w:rPr>
              <w:t>eformar los artículos 4, 6, 8, 11, 28, 29, 31 y 43 de la Ley Creación del Régimen General de Pensiones con Cargo al Presupuesto Nacional, de Otros Regímenes Especiales y Reforma a la Ley N° 7092 del 21 de abril de 1988 y sus reformas, Ley del Impuesto sobre la Renta, N° 7302 de 8 de julio de 1992, para aumentar la edad para pensionarse, a partir de la cobertura de esta ley, de 60 años a 65 años, y eliminar la posibilidad de que los servidores que tengan más de 65 años de edad y que hayan servido y cotizado para el régimen especial al que pertenecen por más de veinte años, puedan optar por la pensión al amparo de esa ley.</w:t>
            </w:r>
          </w:p>
          <w:p w14:paraId="736D055E" w14:textId="77777777" w:rsidR="00C67B35" w:rsidRDefault="00C67B35" w:rsidP="0021212F">
            <w:pPr>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Pr>
                <w:rFonts w:eastAsia="Times New Roman" w:cs="Calibri"/>
                <w:color w:val="000000"/>
                <w:lang w:val="es-CR"/>
              </w:rPr>
              <w:t>E</w:t>
            </w:r>
            <w:r w:rsidR="00BC4AFF" w:rsidRPr="00DD170F">
              <w:rPr>
                <w:rFonts w:eastAsia="Times New Roman" w:cs="Calibri"/>
                <w:color w:val="000000"/>
                <w:lang w:val="es-CR"/>
              </w:rPr>
              <w:t xml:space="preserve">stablecer como tope al monto de las pensiones reguladas por esa ley, el equivalente a veintitrés veces la línea de pobreza, según el </w:t>
            </w:r>
            <w:r w:rsidR="00D117F7">
              <w:rPr>
                <w:rFonts w:eastAsia="Times New Roman" w:cs="Calibri"/>
                <w:color w:val="000000"/>
                <w:lang w:val="es-CR"/>
              </w:rPr>
              <w:t>INEC</w:t>
            </w:r>
            <w:r w:rsidR="00BC4AFF" w:rsidRPr="00DD170F">
              <w:rPr>
                <w:rFonts w:eastAsia="Times New Roman" w:cs="Calibri"/>
                <w:color w:val="000000"/>
                <w:lang w:val="es-CR"/>
              </w:rPr>
              <w:t xml:space="preserve"> </w:t>
            </w:r>
          </w:p>
          <w:p w14:paraId="450966C7" w14:textId="73FF9BAE" w:rsidR="00187E4F" w:rsidRDefault="00C67B35" w:rsidP="0021212F">
            <w:pPr>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Pr>
                <w:rFonts w:eastAsia="Times New Roman" w:cs="Calibri"/>
                <w:color w:val="000000"/>
                <w:lang w:val="es-CR"/>
              </w:rPr>
              <w:t>M</w:t>
            </w:r>
            <w:r w:rsidR="00BC4AFF" w:rsidRPr="00DD170F">
              <w:rPr>
                <w:rFonts w:eastAsia="Times New Roman" w:cs="Calibri"/>
                <w:color w:val="000000"/>
                <w:lang w:val="es-CR"/>
              </w:rPr>
              <w:t>odificar la regulación de los derechos de los causahabientes a recibir pensión, aspectos sobre sumas giradas de más al causante</w:t>
            </w:r>
          </w:p>
          <w:p w14:paraId="4A5D7076" w14:textId="79009833" w:rsidR="00187E4F" w:rsidRDefault="00187E4F" w:rsidP="0021212F">
            <w:pPr>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Pr>
                <w:rFonts w:eastAsia="Times New Roman" w:cs="Calibri"/>
                <w:color w:val="000000"/>
                <w:lang w:val="es-CR"/>
              </w:rPr>
              <w:t>C</w:t>
            </w:r>
            <w:r w:rsidR="00BC4AFF" w:rsidRPr="00DD170F">
              <w:rPr>
                <w:rFonts w:eastAsia="Times New Roman" w:cs="Calibri"/>
                <w:color w:val="000000"/>
                <w:lang w:val="es-CR"/>
              </w:rPr>
              <w:t>ambiar la regulación para que se refiera a regímenes de la ley a “los regímenes contributivos con cargo al Presupuesto Nacional”</w:t>
            </w:r>
          </w:p>
          <w:p w14:paraId="45FEBDB7" w14:textId="18F37E3C" w:rsidR="00BC4AFF" w:rsidRDefault="00187E4F" w:rsidP="0021212F">
            <w:pPr>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Pr>
                <w:rFonts w:eastAsia="Times New Roman" w:cs="Calibri"/>
                <w:color w:val="000000"/>
                <w:lang w:val="es-CR"/>
              </w:rPr>
              <w:t>E</w:t>
            </w:r>
            <w:r w:rsidR="00BC4AFF" w:rsidRPr="00DD170F">
              <w:rPr>
                <w:rFonts w:eastAsia="Times New Roman" w:cs="Calibri"/>
                <w:color w:val="000000"/>
                <w:lang w:val="es-CR"/>
              </w:rPr>
              <w:t>stablecer que a los cotizantes de los regímenes contributivos con cargo al Presupuesto Nacional se les deduzca una comisión de administración del cinco por mil de sus salarios o pensiones</w:t>
            </w:r>
            <w:r w:rsidR="006F275A">
              <w:rPr>
                <w:rFonts w:eastAsia="Times New Roman" w:cs="Calibri"/>
                <w:color w:val="000000"/>
                <w:lang w:val="es-CR"/>
              </w:rPr>
              <w:t>.</w:t>
            </w:r>
          </w:p>
        </w:tc>
        <w:tc>
          <w:tcPr>
            <w:tcW w:w="512" w:type="pct"/>
            <w:noWrap/>
          </w:tcPr>
          <w:p w14:paraId="58C1002D" w14:textId="3C1A1ECA" w:rsidR="00BC4AFF" w:rsidRPr="00AC373D" w:rsidRDefault="00AC373D" w:rsidP="0021212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Iniciativa</w:t>
            </w:r>
          </w:p>
        </w:tc>
        <w:tc>
          <w:tcPr>
            <w:tcW w:w="755" w:type="pct"/>
            <w:noWrap/>
          </w:tcPr>
          <w:p w14:paraId="7F30B15C" w14:textId="77777777" w:rsidR="00BC4AFF" w:rsidRPr="00DD170F" w:rsidRDefault="00BC4AFF" w:rsidP="0021212F">
            <w:pPr>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p>
        </w:tc>
      </w:tr>
    </w:tbl>
    <w:p w14:paraId="4A6C9309" w14:textId="77777777" w:rsidR="00A439E3" w:rsidRDefault="00A439E3" w:rsidP="00A439E3">
      <w:pPr>
        <w:pStyle w:val="Descripcin"/>
        <w:spacing w:after="0"/>
      </w:pPr>
      <w:r>
        <w:t xml:space="preserve">Fuente: Elaboración propia </w:t>
      </w:r>
    </w:p>
    <w:p w14:paraId="42519503" w14:textId="66EEA0D9" w:rsidR="00A439E3" w:rsidRDefault="00F354AD" w:rsidP="00231E7E">
      <w:pPr>
        <w:pStyle w:val="Descripcin"/>
        <w:spacing w:after="0"/>
        <w:jc w:val="both"/>
      </w:pPr>
      <w:r>
        <w:t xml:space="preserve">Nota: se atendieron </w:t>
      </w:r>
      <w:r w:rsidR="008A234A">
        <w:t xml:space="preserve">otros </w:t>
      </w:r>
      <w:r w:rsidR="00980FCC">
        <w:t>E</w:t>
      </w:r>
      <w:r>
        <w:t>xp</w:t>
      </w:r>
      <w:r w:rsidR="00980FCC">
        <w:t xml:space="preserve">edientes Legislativos no relacionados con pensiones: </w:t>
      </w:r>
      <w:r w:rsidR="00231E7E" w:rsidRPr="00231E7E">
        <w:t>22.105 Ley de estimulación financiera para la reactivación económica sostenible</w:t>
      </w:r>
    </w:p>
    <w:p w14:paraId="5275A347" w14:textId="77777777" w:rsidR="004D0DCE" w:rsidRPr="001F521E" w:rsidRDefault="004D0DCE" w:rsidP="004D0DCE">
      <w:pPr>
        <w:pStyle w:val="Ttulo2"/>
        <w:jc w:val="both"/>
        <w:rPr>
          <w:i/>
          <w:iCs/>
          <w:sz w:val="32"/>
          <w:szCs w:val="32"/>
        </w:rPr>
      </w:pPr>
      <w:bookmarkStart w:id="20" w:name="_Toc64039051"/>
      <w:bookmarkStart w:id="21" w:name="_Toc64039570"/>
      <w:r w:rsidRPr="001F521E">
        <w:rPr>
          <w:i/>
          <w:iCs/>
        </w:rPr>
        <w:t>Decreto Legislativo N° 9906</w:t>
      </w:r>
      <w:bookmarkEnd w:id="20"/>
      <w:bookmarkEnd w:id="21"/>
    </w:p>
    <w:p w14:paraId="49A2DD5B" w14:textId="3FF96E70" w:rsidR="004D0DCE" w:rsidRDefault="004D0DCE">
      <w:r>
        <w:rPr>
          <w:noProof/>
        </w:rPr>
        <mc:AlternateContent>
          <mc:Choice Requires="wps">
            <w:drawing>
              <wp:anchor distT="45720" distB="45720" distL="114300" distR="114300" simplePos="0" relativeHeight="251658242" behindDoc="0" locked="0" layoutInCell="1" allowOverlap="1" wp14:anchorId="7F0D22A6" wp14:editId="0F5E9852">
                <wp:simplePos x="0" y="0"/>
                <wp:positionH relativeFrom="column">
                  <wp:posOffset>-334010</wp:posOffset>
                </wp:positionH>
                <wp:positionV relativeFrom="paragraph">
                  <wp:posOffset>322580</wp:posOffset>
                </wp:positionV>
                <wp:extent cx="8731250" cy="4051300"/>
                <wp:effectExtent l="0" t="0" r="12700" b="2540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0" cy="4051300"/>
                        </a:xfrm>
                        <a:prstGeom prst="rect">
                          <a:avLst/>
                        </a:prstGeom>
                        <a:solidFill>
                          <a:schemeClr val="accent1">
                            <a:lumMod val="20000"/>
                            <a:lumOff val="80000"/>
                          </a:schemeClr>
                        </a:solidFill>
                        <a:ln w="9525" cap="rnd">
                          <a:solidFill>
                            <a:schemeClr val="tx2">
                              <a:lumMod val="75000"/>
                            </a:schemeClr>
                          </a:solidFill>
                          <a:miter lim="800000"/>
                          <a:headEnd/>
                          <a:tailEnd/>
                        </a:ln>
                      </wps:spPr>
                      <wps:txbx>
                        <w:txbxContent>
                          <w:p w14:paraId="3A71B8DF" w14:textId="77777777" w:rsidR="00C50A6E" w:rsidRPr="00357176" w:rsidRDefault="00C50A6E" w:rsidP="001F521E">
                            <w:pPr>
                              <w:spacing w:after="0" w:line="240" w:lineRule="auto"/>
                              <w:jc w:val="both"/>
                              <w:rPr>
                                <w:i/>
                                <w:iCs/>
                                <w:sz w:val="20"/>
                                <w:szCs w:val="20"/>
                              </w:rPr>
                            </w:pPr>
                            <w:r w:rsidRPr="00357176">
                              <w:rPr>
                                <w:i/>
                                <w:iCs/>
                                <w:sz w:val="20"/>
                                <w:szCs w:val="20"/>
                              </w:rPr>
                              <w:t>El 5 de octubre se aprobó el Decreto Legislativo N°9906, la Ley para resguardar el derecho de los trabajadores a retirar los recursos de la pensión complementaria, el cual contempla los siguientes cambios a la LPT:</w:t>
                            </w:r>
                          </w:p>
                          <w:p w14:paraId="37CE1AD4" w14:textId="77777777" w:rsidR="00C50A6E" w:rsidRPr="00357176" w:rsidRDefault="00C50A6E" w:rsidP="001F521E">
                            <w:pPr>
                              <w:pStyle w:val="Prrafodelista"/>
                              <w:numPr>
                                <w:ilvl w:val="0"/>
                                <w:numId w:val="6"/>
                              </w:numPr>
                              <w:spacing w:after="0" w:line="240" w:lineRule="auto"/>
                              <w:contextualSpacing w:val="0"/>
                              <w:jc w:val="both"/>
                              <w:rPr>
                                <w:rFonts w:eastAsia="Times New Roman"/>
                                <w:i/>
                                <w:iCs/>
                                <w:sz w:val="20"/>
                                <w:szCs w:val="20"/>
                                <w:lang w:val="es-CR"/>
                              </w:rPr>
                            </w:pPr>
                            <w:r w:rsidRPr="00357176">
                              <w:rPr>
                                <w:rFonts w:eastAsia="Times New Roman"/>
                                <w:i/>
                                <w:iCs/>
                                <w:sz w:val="20"/>
                                <w:szCs w:val="20"/>
                              </w:rPr>
                              <w:t>Se elimina el paseo del FCL, anteriormente entraba al FCL el 3% del salario de aporte patronal y anualmente (en marzo de cada año) se traslada el 50% de este monto al ROP, el proyecto establece que al FCL ingresará el 1,5% del aporte patronal y el restante 1,5% entrará directamente al ROP.</w:t>
                            </w:r>
                          </w:p>
                          <w:p w14:paraId="78E817D2" w14:textId="77777777" w:rsidR="00C50A6E" w:rsidRPr="00357176" w:rsidRDefault="00C50A6E" w:rsidP="001F521E">
                            <w:pPr>
                              <w:pStyle w:val="Prrafodelista"/>
                              <w:numPr>
                                <w:ilvl w:val="0"/>
                                <w:numId w:val="6"/>
                              </w:numPr>
                              <w:spacing w:after="0" w:line="240" w:lineRule="auto"/>
                              <w:contextualSpacing w:val="0"/>
                              <w:jc w:val="both"/>
                              <w:rPr>
                                <w:rFonts w:eastAsia="Times New Roman"/>
                                <w:i/>
                                <w:iCs/>
                                <w:sz w:val="20"/>
                                <w:szCs w:val="20"/>
                              </w:rPr>
                            </w:pPr>
                            <w:r w:rsidRPr="00357176">
                              <w:rPr>
                                <w:rFonts w:eastAsia="Times New Roman"/>
                                <w:i/>
                                <w:iCs/>
                                <w:sz w:val="20"/>
                                <w:szCs w:val="20"/>
                              </w:rPr>
                              <w:t xml:space="preserve">Se define una tasa para el traslado de los recursos cada 18 meses del BPDC al ROP. Sobre los recursos referidos en el inciso a) y b) del artículo 3 de la LPT, el BPDC reconocerá una tasa de interés anual igual a la tasa básica pasiva definida por el BCCR, más ciento sesenta puntos base. </w:t>
                            </w:r>
                          </w:p>
                          <w:p w14:paraId="7AE6C733" w14:textId="77777777" w:rsidR="00C50A6E" w:rsidRPr="00357176" w:rsidRDefault="00C50A6E" w:rsidP="001F521E">
                            <w:pPr>
                              <w:pStyle w:val="Prrafodelista"/>
                              <w:numPr>
                                <w:ilvl w:val="0"/>
                                <w:numId w:val="6"/>
                              </w:numPr>
                              <w:spacing w:after="0" w:line="240" w:lineRule="auto"/>
                              <w:contextualSpacing w:val="0"/>
                              <w:jc w:val="both"/>
                              <w:rPr>
                                <w:rFonts w:eastAsia="Times New Roman"/>
                                <w:i/>
                                <w:iCs/>
                                <w:sz w:val="20"/>
                                <w:szCs w:val="20"/>
                              </w:rPr>
                            </w:pPr>
                            <w:r w:rsidRPr="00357176">
                              <w:rPr>
                                <w:rFonts w:eastAsia="Times New Roman"/>
                                <w:i/>
                                <w:iCs/>
                                <w:sz w:val="20"/>
                                <w:szCs w:val="20"/>
                              </w:rPr>
                              <w:t>Si no existieren beneficiarios establecidos por el RIVM o por el régimen público sustituto, ni tampoco beneficiarios designados como tales ante la operadora de pensiones, el saldo de la cuenta individual podrá ser reclamado ante la autoridad judicial de trabajo que corresponda, por cualquiera que tenga interés legítimo en ello, según establece el artículo 85 del Código de Trabajo.</w:t>
                            </w:r>
                          </w:p>
                          <w:p w14:paraId="0274EFBC" w14:textId="77777777" w:rsidR="00C50A6E" w:rsidRPr="00357176" w:rsidRDefault="00C50A6E" w:rsidP="001F521E">
                            <w:pPr>
                              <w:pStyle w:val="Prrafodelista"/>
                              <w:numPr>
                                <w:ilvl w:val="0"/>
                                <w:numId w:val="6"/>
                              </w:numPr>
                              <w:spacing w:after="0" w:line="240" w:lineRule="auto"/>
                              <w:contextualSpacing w:val="0"/>
                              <w:jc w:val="both"/>
                              <w:rPr>
                                <w:rFonts w:eastAsia="Times New Roman"/>
                                <w:i/>
                                <w:iCs/>
                                <w:sz w:val="20"/>
                                <w:szCs w:val="20"/>
                              </w:rPr>
                            </w:pPr>
                            <w:r w:rsidRPr="00357176">
                              <w:rPr>
                                <w:rFonts w:eastAsia="Times New Roman"/>
                                <w:i/>
                                <w:iCs/>
                                <w:sz w:val="20"/>
                                <w:szCs w:val="20"/>
                              </w:rPr>
                              <w:t>Dentro de las modalidades de pensión se incorpora una renta temporal calculada hasta la expectativa de vida condicionada.</w:t>
                            </w:r>
                          </w:p>
                          <w:p w14:paraId="5B1DAAAE" w14:textId="77777777" w:rsidR="00C50A6E" w:rsidRPr="00357176" w:rsidRDefault="00C50A6E" w:rsidP="001F521E">
                            <w:pPr>
                              <w:pStyle w:val="Prrafodelista"/>
                              <w:numPr>
                                <w:ilvl w:val="0"/>
                                <w:numId w:val="6"/>
                              </w:numPr>
                              <w:spacing w:after="0" w:line="240" w:lineRule="auto"/>
                              <w:contextualSpacing w:val="0"/>
                              <w:jc w:val="both"/>
                              <w:rPr>
                                <w:rFonts w:eastAsia="Times New Roman"/>
                                <w:i/>
                                <w:iCs/>
                                <w:sz w:val="20"/>
                                <w:szCs w:val="20"/>
                              </w:rPr>
                            </w:pPr>
                            <w:r w:rsidRPr="00357176">
                              <w:rPr>
                                <w:rFonts w:eastAsia="Times New Roman"/>
                                <w:i/>
                                <w:iCs/>
                                <w:sz w:val="20"/>
                                <w:szCs w:val="20"/>
                              </w:rPr>
                              <w:t>Se incluye el retiro total para los afiliados y pensionados que enfrenten una enfermedad terminal, debidamente calificada por la CCSS.</w:t>
                            </w:r>
                          </w:p>
                          <w:p w14:paraId="1C29B593" w14:textId="77777777" w:rsidR="00C50A6E" w:rsidRPr="00357176" w:rsidRDefault="00C50A6E" w:rsidP="001F521E">
                            <w:pPr>
                              <w:pStyle w:val="Prrafodelista"/>
                              <w:numPr>
                                <w:ilvl w:val="0"/>
                                <w:numId w:val="6"/>
                              </w:numPr>
                              <w:spacing w:after="0" w:line="240" w:lineRule="auto"/>
                              <w:contextualSpacing w:val="0"/>
                              <w:jc w:val="both"/>
                              <w:rPr>
                                <w:rFonts w:eastAsia="Times New Roman"/>
                                <w:i/>
                                <w:iCs/>
                                <w:sz w:val="20"/>
                                <w:szCs w:val="20"/>
                              </w:rPr>
                            </w:pPr>
                            <w:r w:rsidRPr="00357176">
                              <w:rPr>
                                <w:rFonts w:eastAsia="Times New Roman"/>
                                <w:i/>
                                <w:iCs/>
                                <w:sz w:val="20"/>
                                <w:szCs w:val="20"/>
                              </w:rPr>
                              <w:t>En el caso de que la pensión mensual, calculada por alguna de las modalidades definidas en el a Ley, con excepción de la renta vitalicia, sea menor a un 20% de la pensión mínima del RIVM, la pensión otorgada por el ROP será ese monto, el cual se seguirá abonando hasta que se agote el saldo acumulado.</w:t>
                            </w:r>
                          </w:p>
                          <w:p w14:paraId="07278326" w14:textId="77777777" w:rsidR="00C50A6E" w:rsidRPr="00357176" w:rsidRDefault="00C50A6E" w:rsidP="001F521E">
                            <w:pPr>
                              <w:pStyle w:val="Prrafodelista"/>
                              <w:numPr>
                                <w:ilvl w:val="0"/>
                                <w:numId w:val="6"/>
                              </w:numPr>
                              <w:spacing w:after="0" w:line="240" w:lineRule="auto"/>
                              <w:contextualSpacing w:val="0"/>
                              <w:jc w:val="both"/>
                              <w:rPr>
                                <w:rFonts w:eastAsia="Times New Roman"/>
                                <w:i/>
                                <w:iCs/>
                                <w:sz w:val="20"/>
                                <w:szCs w:val="20"/>
                              </w:rPr>
                            </w:pPr>
                            <w:r w:rsidRPr="00357176">
                              <w:rPr>
                                <w:rFonts w:eastAsia="Times New Roman"/>
                                <w:i/>
                                <w:iCs/>
                                <w:sz w:val="20"/>
                                <w:szCs w:val="20"/>
                              </w:rPr>
                              <w:t>Si los recursos del ROP no han sido retirados por los beneficiarios en un plazo de 10 años, contados a partir del fallecimiento del afiliado o pensionado, el derecho sobre tales recursos prescribirá y serán girados por las operadoras de pensiones a favor del RNC administrado por la CCSS.</w:t>
                            </w:r>
                          </w:p>
                          <w:p w14:paraId="11DF0BDE" w14:textId="77777777" w:rsidR="00C50A6E" w:rsidRPr="00357176" w:rsidRDefault="00C50A6E" w:rsidP="001F521E">
                            <w:pPr>
                              <w:pStyle w:val="Prrafodelista"/>
                              <w:numPr>
                                <w:ilvl w:val="0"/>
                                <w:numId w:val="6"/>
                              </w:numPr>
                              <w:spacing w:after="0" w:line="240" w:lineRule="auto"/>
                              <w:contextualSpacing w:val="0"/>
                              <w:jc w:val="both"/>
                              <w:rPr>
                                <w:rFonts w:eastAsia="Times New Roman"/>
                                <w:i/>
                                <w:iCs/>
                                <w:sz w:val="20"/>
                                <w:szCs w:val="20"/>
                              </w:rPr>
                            </w:pPr>
                            <w:r w:rsidRPr="00357176">
                              <w:rPr>
                                <w:rFonts w:eastAsia="Times New Roman"/>
                                <w:i/>
                                <w:iCs/>
                                <w:sz w:val="20"/>
                                <w:szCs w:val="20"/>
                              </w:rPr>
                              <w:t>Se incorpora el transitorio XIX que establece que los afiliados al ROP que hayan adquirido el derecho a la pensión antes del 1 de enero de 2021, podrá optar por:</w:t>
                            </w:r>
                          </w:p>
                          <w:p w14:paraId="34D70CEE" w14:textId="77777777" w:rsidR="00C50A6E" w:rsidRPr="00357176" w:rsidRDefault="00C50A6E" w:rsidP="001F521E">
                            <w:pPr>
                              <w:pStyle w:val="Prrafodelista"/>
                              <w:numPr>
                                <w:ilvl w:val="1"/>
                                <w:numId w:val="19"/>
                              </w:numPr>
                              <w:spacing w:after="0" w:line="240" w:lineRule="auto"/>
                              <w:ind w:left="1134"/>
                              <w:contextualSpacing w:val="0"/>
                              <w:jc w:val="both"/>
                              <w:rPr>
                                <w:rFonts w:eastAsia="Times New Roman"/>
                                <w:i/>
                                <w:iCs/>
                                <w:sz w:val="20"/>
                                <w:szCs w:val="20"/>
                              </w:rPr>
                            </w:pPr>
                            <w:r w:rsidRPr="00357176">
                              <w:rPr>
                                <w:rFonts w:eastAsia="Times New Roman"/>
                                <w:i/>
                                <w:iCs/>
                                <w:sz w:val="20"/>
                                <w:szCs w:val="20"/>
                              </w:rPr>
                              <w:t>El pago de una mensualidad durante 30 meses, hasta agotar el saldo acumulado.</w:t>
                            </w:r>
                          </w:p>
                          <w:p w14:paraId="3917D2AA" w14:textId="77777777" w:rsidR="00C50A6E" w:rsidRPr="00357176" w:rsidRDefault="00C50A6E" w:rsidP="001F521E">
                            <w:pPr>
                              <w:pStyle w:val="Prrafodelista"/>
                              <w:numPr>
                                <w:ilvl w:val="1"/>
                                <w:numId w:val="19"/>
                              </w:numPr>
                              <w:spacing w:after="0" w:line="240" w:lineRule="auto"/>
                              <w:ind w:left="1134"/>
                              <w:contextualSpacing w:val="0"/>
                              <w:jc w:val="both"/>
                              <w:rPr>
                                <w:rFonts w:eastAsia="Times New Roman"/>
                                <w:i/>
                                <w:iCs/>
                                <w:sz w:val="20"/>
                                <w:szCs w:val="20"/>
                              </w:rPr>
                            </w:pPr>
                            <w:r w:rsidRPr="00357176">
                              <w:rPr>
                                <w:rFonts w:eastAsia="Times New Roman"/>
                                <w:i/>
                                <w:iCs/>
                                <w:sz w:val="20"/>
                                <w:szCs w:val="20"/>
                              </w:rPr>
                              <w:t>Un plan de beneficios de conformidad con el artículo 22 de LPT. En este caso podrán solicitar un retiro acelerado, en el cual se recibirá el 25% del saldo acumulado en cuatro pagos de acuerdo con la periodicidad definida en la Ley, hasta agotar el saldo.</w:t>
                            </w:r>
                          </w:p>
                          <w:p w14:paraId="61F9932E" w14:textId="77777777" w:rsidR="00C50A6E" w:rsidRPr="00357176" w:rsidRDefault="00C50A6E" w:rsidP="001F521E">
                            <w:pPr>
                              <w:pStyle w:val="Prrafodelista"/>
                              <w:numPr>
                                <w:ilvl w:val="0"/>
                                <w:numId w:val="6"/>
                              </w:numPr>
                              <w:spacing w:after="0" w:line="240" w:lineRule="auto"/>
                              <w:contextualSpacing w:val="0"/>
                              <w:jc w:val="both"/>
                              <w:rPr>
                                <w:rFonts w:eastAsia="Times New Roman"/>
                                <w:i/>
                                <w:iCs/>
                                <w:sz w:val="20"/>
                                <w:szCs w:val="20"/>
                              </w:rPr>
                            </w:pPr>
                            <w:r w:rsidRPr="00357176">
                              <w:rPr>
                                <w:rFonts w:eastAsia="Times New Roman"/>
                                <w:i/>
                                <w:iCs/>
                                <w:sz w:val="20"/>
                                <w:szCs w:val="20"/>
                              </w:rPr>
                              <w:t>Se incorpora el transitorio XX que establece que los afiliados al ROP se pensionen a partir del 1 de enero de 2021 y hasta el 18 de febrero de 2030, podrán retirar los fondos acumulados en sus cuentas individuales en rentas temporales por un plazo equivalente a la cantidad de cuotas aportadas a este régimen. En aquellos casos, en que el monto de la pensión sea menor a un 20% de la pensión mínima del RIVM, la pensión otorgada por el ROP será ese monto, el cual se seguirá abonando hasta que se agote el saldo acumulado, sin importar la cantidad de cuotas aportadas a este régimen.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D22A6" id="_x0000_s1028" type="#_x0000_t202" style="position:absolute;margin-left:-26.3pt;margin-top:25.4pt;width:687.5pt;height:319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" fillcolor="#dbe5f1 [660]" strokecolor="#17365d [2415]">
                <v:stroke endcap="round"/>
                <v:textbox>
                  <w:txbxContent>
                    <w:p w14:paraId="3A71B8DF" w14:textId="77777777" w:rsidR="00C50A6E" w:rsidRPr="00357176" w:rsidRDefault="00C50A6E" w:rsidP="001F521E">
                      <w:pPr>
                        <w:spacing w:after="0" w:line="240" w:lineRule="auto"/>
                        <w:jc w:val="both"/>
                        <w:rPr>
                          <w:i/>
                          <w:iCs/>
                          <w:sz w:val="20"/>
                          <w:szCs w:val="20"/>
                        </w:rPr>
                      </w:pPr>
                      <w:r w:rsidRPr="00357176">
                        <w:rPr>
                          <w:i/>
                          <w:iCs/>
                          <w:sz w:val="20"/>
                          <w:szCs w:val="20"/>
                        </w:rPr>
                        <w:t>El 5 de octubre se aprobó el Decreto Legislativo N°9906, la Ley para resguardar el derecho de los trabajadores a retirar los recursos de la pensión complementaria, el cual contempla los siguientes cambios a la LPT:</w:t>
                      </w:r>
                    </w:p>
                    <w:p w14:paraId="37CE1AD4" w14:textId="77777777" w:rsidR="00C50A6E" w:rsidRPr="00357176" w:rsidRDefault="00C50A6E" w:rsidP="001F521E">
                      <w:pPr>
                        <w:pStyle w:val="Prrafodelista"/>
                        <w:numPr>
                          <w:ilvl w:val="0"/>
                          <w:numId w:val="6"/>
                        </w:numPr>
                        <w:spacing w:after="0" w:line="240" w:lineRule="auto"/>
                        <w:contextualSpacing w:val="0"/>
                        <w:jc w:val="both"/>
                        <w:rPr>
                          <w:rFonts w:eastAsia="Times New Roman"/>
                          <w:i/>
                          <w:iCs/>
                          <w:sz w:val="20"/>
                          <w:szCs w:val="20"/>
                          <w:lang w:val="es-CR"/>
                        </w:rPr>
                      </w:pPr>
                      <w:r w:rsidRPr="00357176">
                        <w:rPr>
                          <w:rFonts w:eastAsia="Times New Roman"/>
                          <w:i/>
                          <w:iCs/>
                          <w:sz w:val="20"/>
                          <w:szCs w:val="20"/>
                        </w:rPr>
                        <w:t>Se elimina el paseo del FCL, anteriormente entraba al FCL el 3% del salario de aporte patronal y anualmente (en marzo de cada año) se traslada el 50% de este monto al ROP, el proyecto establece que al FCL ingresará el 1,5% del aporte patronal y el restante 1,5% entrará directamente al ROP.</w:t>
                      </w:r>
                    </w:p>
                    <w:p w14:paraId="78E817D2" w14:textId="77777777" w:rsidR="00C50A6E" w:rsidRPr="00357176" w:rsidRDefault="00C50A6E" w:rsidP="001F521E">
                      <w:pPr>
                        <w:pStyle w:val="Prrafodelista"/>
                        <w:numPr>
                          <w:ilvl w:val="0"/>
                          <w:numId w:val="6"/>
                        </w:numPr>
                        <w:spacing w:after="0" w:line="240" w:lineRule="auto"/>
                        <w:contextualSpacing w:val="0"/>
                        <w:jc w:val="both"/>
                        <w:rPr>
                          <w:rFonts w:eastAsia="Times New Roman"/>
                          <w:i/>
                          <w:iCs/>
                          <w:sz w:val="20"/>
                          <w:szCs w:val="20"/>
                        </w:rPr>
                      </w:pPr>
                      <w:r w:rsidRPr="00357176">
                        <w:rPr>
                          <w:rFonts w:eastAsia="Times New Roman"/>
                          <w:i/>
                          <w:iCs/>
                          <w:sz w:val="20"/>
                          <w:szCs w:val="20"/>
                        </w:rPr>
                        <w:t xml:space="preserve">Se define una tasa para el traslado de los recursos cada 18 meses del BPDC al ROP. Sobre los recursos referidos en el inciso a) y b) del artículo 3 de la LPT, el BPDC reconocerá una tasa de interés anual igual a la tasa básica pasiva definida por el BCCR, más ciento sesenta puntos base. </w:t>
                      </w:r>
                    </w:p>
                    <w:p w14:paraId="7AE6C733" w14:textId="77777777" w:rsidR="00C50A6E" w:rsidRPr="00357176" w:rsidRDefault="00C50A6E" w:rsidP="001F521E">
                      <w:pPr>
                        <w:pStyle w:val="Prrafodelista"/>
                        <w:numPr>
                          <w:ilvl w:val="0"/>
                          <w:numId w:val="6"/>
                        </w:numPr>
                        <w:spacing w:after="0" w:line="240" w:lineRule="auto"/>
                        <w:contextualSpacing w:val="0"/>
                        <w:jc w:val="both"/>
                        <w:rPr>
                          <w:rFonts w:eastAsia="Times New Roman"/>
                          <w:i/>
                          <w:iCs/>
                          <w:sz w:val="20"/>
                          <w:szCs w:val="20"/>
                        </w:rPr>
                      </w:pPr>
                      <w:r w:rsidRPr="00357176">
                        <w:rPr>
                          <w:rFonts w:eastAsia="Times New Roman"/>
                          <w:i/>
                          <w:iCs/>
                          <w:sz w:val="20"/>
                          <w:szCs w:val="20"/>
                        </w:rPr>
                        <w:t>Si no existieren beneficiarios establecidos por el RIVM o por el régimen público sustituto, ni tampoco beneficiarios designados como tales ante la operadora de pensiones, el saldo de la cuenta individual podrá ser reclamado ante la autoridad judicial de trabajo que corresponda, por cualquiera que tenga interés legítimo en ello, según establece el artículo 85 del Código de Trabajo.</w:t>
                      </w:r>
                    </w:p>
                    <w:p w14:paraId="0274EFBC" w14:textId="77777777" w:rsidR="00C50A6E" w:rsidRPr="00357176" w:rsidRDefault="00C50A6E" w:rsidP="001F521E">
                      <w:pPr>
                        <w:pStyle w:val="Prrafodelista"/>
                        <w:numPr>
                          <w:ilvl w:val="0"/>
                          <w:numId w:val="6"/>
                        </w:numPr>
                        <w:spacing w:after="0" w:line="240" w:lineRule="auto"/>
                        <w:contextualSpacing w:val="0"/>
                        <w:jc w:val="both"/>
                        <w:rPr>
                          <w:rFonts w:eastAsia="Times New Roman"/>
                          <w:i/>
                          <w:iCs/>
                          <w:sz w:val="20"/>
                          <w:szCs w:val="20"/>
                        </w:rPr>
                      </w:pPr>
                      <w:r w:rsidRPr="00357176">
                        <w:rPr>
                          <w:rFonts w:eastAsia="Times New Roman"/>
                          <w:i/>
                          <w:iCs/>
                          <w:sz w:val="20"/>
                          <w:szCs w:val="20"/>
                        </w:rPr>
                        <w:t>Dentro de las modalidades de pensión se incorpora una renta temporal calculada hasta la expectativa de vida condicionada.</w:t>
                      </w:r>
                    </w:p>
                    <w:p w14:paraId="5B1DAAAE" w14:textId="77777777" w:rsidR="00C50A6E" w:rsidRPr="00357176" w:rsidRDefault="00C50A6E" w:rsidP="001F521E">
                      <w:pPr>
                        <w:pStyle w:val="Prrafodelista"/>
                        <w:numPr>
                          <w:ilvl w:val="0"/>
                          <w:numId w:val="6"/>
                        </w:numPr>
                        <w:spacing w:after="0" w:line="240" w:lineRule="auto"/>
                        <w:contextualSpacing w:val="0"/>
                        <w:jc w:val="both"/>
                        <w:rPr>
                          <w:rFonts w:eastAsia="Times New Roman"/>
                          <w:i/>
                          <w:iCs/>
                          <w:sz w:val="20"/>
                          <w:szCs w:val="20"/>
                        </w:rPr>
                      </w:pPr>
                      <w:r w:rsidRPr="00357176">
                        <w:rPr>
                          <w:rFonts w:eastAsia="Times New Roman"/>
                          <w:i/>
                          <w:iCs/>
                          <w:sz w:val="20"/>
                          <w:szCs w:val="20"/>
                        </w:rPr>
                        <w:t>Se incluye el retiro total para los afiliados y pensionados que enfrenten una enfermedad terminal, debidamente calificada por la CCSS.</w:t>
                      </w:r>
                    </w:p>
                    <w:p w14:paraId="1C29B593" w14:textId="77777777" w:rsidR="00C50A6E" w:rsidRPr="00357176" w:rsidRDefault="00C50A6E" w:rsidP="001F521E">
                      <w:pPr>
                        <w:pStyle w:val="Prrafodelista"/>
                        <w:numPr>
                          <w:ilvl w:val="0"/>
                          <w:numId w:val="6"/>
                        </w:numPr>
                        <w:spacing w:after="0" w:line="240" w:lineRule="auto"/>
                        <w:contextualSpacing w:val="0"/>
                        <w:jc w:val="both"/>
                        <w:rPr>
                          <w:rFonts w:eastAsia="Times New Roman"/>
                          <w:i/>
                          <w:iCs/>
                          <w:sz w:val="20"/>
                          <w:szCs w:val="20"/>
                        </w:rPr>
                      </w:pPr>
                      <w:r w:rsidRPr="00357176">
                        <w:rPr>
                          <w:rFonts w:eastAsia="Times New Roman"/>
                          <w:i/>
                          <w:iCs/>
                          <w:sz w:val="20"/>
                          <w:szCs w:val="20"/>
                        </w:rPr>
                        <w:t>En el caso de que la pensión mensual, calculada por alguna de las modalidades definidas en el a Ley, con excepción de la renta vitalicia, sea menor a un 20% de la pensión mínima del RIVM, la pensión otorgada por el ROP será ese monto, el cual se seguirá abonando hasta que se agote el saldo acumulado.</w:t>
                      </w:r>
                    </w:p>
                    <w:p w14:paraId="07278326" w14:textId="77777777" w:rsidR="00C50A6E" w:rsidRPr="00357176" w:rsidRDefault="00C50A6E" w:rsidP="001F521E">
                      <w:pPr>
                        <w:pStyle w:val="Prrafodelista"/>
                        <w:numPr>
                          <w:ilvl w:val="0"/>
                          <w:numId w:val="6"/>
                        </w:numPr>
                        <w:spacing w:after="0" w:line="240" w:lineRule="auto"/>
                        <w:contextualSpacing w:val="0"/>
                        <w:jc w:val="both"/>
                        <w:rPr>
                          <w:rFonts w:eastAsia="Times New Roman"/>
                          <w:i/>
                          <w:iCs/>
                          <w:sz w:val="20"/>
                          <w:szCs w:val="20"/>
                        </w:rPr>
                      </w:pPr>
                      <w:r w:rsidRPr="00357176">
                        <w:rPr>
                          <w:rFonts w:eastAsia="Times New Roman"/>
                          <w:i/>
                          <w:iCs/>
                          <w:sz w:val="20"/>
                          <w:szCs w:val="20"/>
                        </w:rPr>
                        <w:t>Si los recursos del ROP no han sido retirados por los beneficiarios en un plazo de 10 años, contados a partir del fallecimiento del afiliado o pensionado, el derecho sobre tales recursos prescribirá y serán girados por las operadoras de pensiones a favor del RNC administrado por la CCSS.</w:t>
                      </w:r>
                    </w:p>
                    <w:p w14:paraId="11DF0BDE" w14:textId="77777777" w:rsidR="00C50A6E" w:rsidRPr="00357176" w:rsidRDefault="00C50A6E" w:rsidP="001F521E">
                      <w:pPr>
                        <w:pStyle w:val="Prrafodelista"/>
                        <w:numPr>
                          <w:ilvl w:val="0"/>
                          <w:numId w:val="6"/>
                        </w:numPr>
                        <w:spacing w:after="0" w:line="240" w:lineRule="auto"/>
                        <w:contextualSpacing w:val="0"/>
                        <w:jc w:val="both"/>
                        <w:rPr>
                          <w:rFonts w:eastAsia="Times New Roman"/>
                          <w:i/>
                          <w:iCs/>
                          <w:sz w:val="20"/>
                          <w:szCs w:val="20"/>
                        </w:rPr>
                      </w:pPr>
                      <w:r w:rsidRPr="00357176">
                        <w:rPr>
                          <w:rFonts w:eastAsia="Times New Roman"/>
                          <w:i/>
                          <w:iCs/>
                          <w:sz w:val="20"/>
                          <w:szCs w:val="20"/>
                        </w:rPr>
                        <w:t>Se incorpora el transitorio XIX que establece que los afiliados al ROP que hayan adquirido el derecho a la pensión antes del 1 de enero de 2021, podrá optar por:</w:t>
                      </w:r>
                    </w:p>
                    <w:p w14:paraId="34D70CEE" w14:textId="77777777" w:rsidR="00C50A6E" w:rsidRPr="00357176" w:rsidRDefault="00C50A6E" w:rsidP="001F521E">
                      <w:pPr>
                        <w:pStyle w:val="Prrafodelista"/>
                        <w:numPr>
                          <w:ilvl w:val="1"/>
                          <w:numId w:val="19"/>
                        </w:numPr>
                        <w:spacing w:after="0" w:line="240" w:lineRule="auto"/>
                        <w:ind w:left="1134"/>
                        <w:contextualSpacing w:val="0"/>
                        <w:jc w:val="both"/>
                        <w:rPr>
                          <w:rFonts w:eastAsia="Times New Roman"/>
                          <w:i/>
                          <w:iCs/>
                          <w:sz w:val="20"/>
                          <w:szCs w:val="20"/>
                        </w:rPr>
                      </w:pPr>
                      <w:r w:rsidRPr="00357176">
                        <w:rPr>
                          <w:rFonts w:eastAsia="Times New Roman"/>
                          <w:i/>
                          <w:iCs/>
                          <w:sz w:val="20"/>
                          <w:szCs w:val="20"/>
                        </w:rPr>
                        <w:t>El pago de una mensualidad durante 30 meses, hasta agotar el saldo acumulado.</w:t>
                      </w:r>
                    </w:p>
                    <w:p w14:paraId="3917D2AA" w14:textId="77777777" w:rsidR="00C50A6E" w:rsidRPr="00357176" w:rsidRDefault="00C50A6E" w:rsidP="001F521E">
                      <w:pPr>
                        <w:pStyle w:val="Prrafodelista"/>
                        <w:numPr>
                          <w:ilvl w:val="1"/>
                          <w:numId w:val="19"/>
                        </w:numPr>
                        <w:spacing w:after="0" w:line="240" w:lineRule="auto"/>
                        <w:ind w:left="1134"/>
                        <w:contextualSpacing w:val="0"/>
                        <w:jc w:val="both"/>
                        <w:rPr>
                          <w:rFonts w:eastAsia="Times New Roman"/>
                          <w:i/>
                          <w:iCs/>
                          <w:sz w:val="20"/>
                          <w:szCs w:val="20"/>
                        </w:rPr>
                      </w:pPr>
                      <w:r w:rsidRPr="00357176">
                        <w:rPr>
                          <w:rFonts w:eastAsia="Times New Roman"/>
                          <w:i/>
                          <w:iCs/>
                          <w:sz w:val="20"/>
                          <w:szCs w:val="20"/>
                        </w:rPr>
                        <w:t>Un plan de beneficios de conformidad con el artículo 22 de LPT. En este caso podrán solicitar un retiro acelerado, en el cual se recibirá el 25% del saldo acumulado en cuatro pagos de acuerdo con la periodicidad definida en la Ley, hasta agotar el saldo.</w:t>
                      </w:r>
                    </w:p>
                    <w:p w14:paraId="61F9932E" w14:textId="77777777" w:rsidR="00C50A6E" w:rsidRPr="00357176" w:rsidRDefault="00C50A6E" w:rsidP="001F521E">
                      <w:pPr>
                        <w:pStyle w:val="Prrafodelista"/>
                        <w:numPr>
                          <w:ilvl w:val="0"/>
                          <w:numId w:val="6"/>
                        </w:numPr>
                        <w:spacing w:after="0" w:line="240" w:lineRule="auto"/>
                        <w:contextualSpacing w:val="0"/>
                        <w:jc w:val="both"/>
                        <w:rPr>
                          <w:rFonts w:eastAsia="Times New Roman"/>
                          <w:i/>
                          <w:iCs/>
                          <w:sz w:val="20"/>
                          <w:szCs w:val="20"/>
                        </w:rPr>
                      </w:pPr>
                      <w:r w:rsidRPr="00357176">
                        <w:rPr>
                          <w:rFonts w:eastAsia="Times New Roman"/>
                          <w:i/>
                          <w:iCs/>
                          <w:sz w:val="20"/>
                          <w:szCs w:val="20"/>
                        </w:rPr>
                        <w:t>Se incorpora el transitorio XX que establece que los afiliados al ROP se pensionen a partir del 1 de enero de 2021 y hasta el 18 de febrero de 2030, podrán retirar los fondos acumulados en sus cuentas individuales en rentas temporales por un plazo equivalente a la cantidad de cuotas aportadas a este régimen. En aquellos casos, en que el monto de la pensión sea menor a un 20% de la pensión mínima del RIVM, la pensión otorgada por el ROP será ese monto, el cual se seguirá abonando hasta que se agote el saldo acumulado, sin importar la cantidad de cuotas aportadas a este régimen.</w:t>
                      </w:r>
                    </w:p>
                  </w:txbxContent>
                </v:textbox>
                <w10:wrap type="square"/>
              </v:shape>
            </w:pict>
          </mc:Fallback>
        </mc:AlternateContent>
      </w:r>
    </w:p>
    <w:p w14:paraId="1E81D525" w14:textId="1B55A721" w:rsidR="000E31A9" w:rsidRDefault="000E31A9">
      <w:pPr>
        <w:rPr>
          <w:rFonts w:asciiTheme="majorHAnsi" w:eastAsiaTheme="majorEastAsia" w:hAnsiTheme="majorHAnsi" w:cstheme="majorBidi"/>
          <w:color w:val="365F91" w:themeColor="accent1" w:themeShade="BF"/>
          <w:sz w:val="32"/>
          <w:szCs w:val="32"/>
        </w:rPr>
      </w:pPr>
      <w:r>
        <w:br w:type="page"/>
      </w:r>
    </w:p>
    <w:p w14:paraId="2060700E" w14:textId="7E51ADB4" w:rsidR="006929F8" w:rsidRDefault="006929F8" w:rsidP="00096F4F">
      <w:pPr>
        <w:pStyle w:val="Ttulo1"/>
        <w:numPr>
          <w:ilvl w:val="0"/>
          <w:numId w:val="1"/>
        </w:numPr>
      </w:pPr>
      <w:bookmarkStart w:id="22" w:name="_Toc64039571"/>
      <w:r>
        <w:t>Acuerdos del Superintendente</w:t>
      </w:r>
      <w:bookmarkEnd w:id="22"/>
    </w:p>
    <w:p w14:paraId="2EB793A4" w14:textId="77777777" w:rsidR="00AD50FA" w:rsidRDefault="00AD50FA" w:rsidP="00DD5D6F">
      <w:pPr>
        <w:tabs>
          <w:tab w:val="left" w:pos="1485"/>
        </w:tabs>
        <w:spacing w:after="0" w:line="240" w:lineRule="auto"/>
      </w:pPr>
    </w:p>
    <w:p w14:paraId="53A7CA27" w14:textId="21E4C7E7" w:rsidR="00AD50FA" w:rsidRPr="004D0DCE" w:rsidRDefault="00AD50FA" w:rsidP="00AD50FA">
      <w:pPr>
        <w:pStyle w:val="Descripcin"/>
        <w:spacing w:after="0"/>
        <w:jc w:val="center"/>
        <w:rPr>
          <w:sz w:val="20"/>
          <w:szCs w:val="20"/>
        </w:rPr>
      </w:pPr>
      <w:r w:rsidRPr="004D0DCE">
        <w:rPr>
          <w:sz w:val="20"/>
          <w:szCs w:val="20"/>
        </w:rPr>
        <w:t xml:space="preserve">Tabla </w:t>
      </w:r>
      <w:r w:rsidRPr="004D0DCE">
        <w:rPr>
          <w:sz w:val="20"/>
          <w:szCs w:val="20"/>
        </w:rPr>
        <w:fldChar w:fldCharType="begin"/>
      </w:r>
      <w:r w:rsidRPr="004D0DCE">
        <w:rPr>
          <w:sz w:val="20"/>
          <w:szCs w:val="20"/>
        </w:rPr>
        <w:instrText xml:space="preserve"> SEQ Tabla \* ARABIC </w:instrText>
      </w:r>
      <w:r w:rsidRPr="004D0DCE">
        <w:rPr>
          <w:sz w:val="20"/>
          <w:szCs w:val="20"/>
        </w:rPr>
        <w:fldChar w:fldCharType="separate"/>
      </w:r>
      <w:r w:rsidR="007332AC" w:rsidRPr="004D0DCE">
        <w:rPr>
          <w:noProof/>
          <w:sz w:val="20"/>
          <w:szCs w:val="20"/>
        </w:rPr>
        <w:t>11</w:t>
      </w:r>
      <w:r w:rsidRPr="004D0DCE">
        <w:rPr>
          <w:sz w:val="20"/>
          <w:szCs w:val="20"/>
        </w:rPr>
        <w:fldChar w:fldCharType="end"/>
      </w:r>
      <w:r w:rsidRPr="004D0DCE">
        <w:rPr>
          <w:sz w:val="20"/>
          <w:szCs w:val="20"/>
        </w:rPr>
        <w:t xml:space="preserve">: Acuerdos de </w:t>
      </w:r>
      <w:r w:rsidR="005F0F5C" w:rsidRPr="004D0DCE">
        <w:rPr>
          <w:sz w:val="20"/>
          <w:szCs w:val="20"/>
        </w:rPr>
        <w:t>Superintendente</w:t>
      </w:r>
    </w:p>
    <w:p w14:paraId="67031042" w14:textId="77777777" w:rsidR="005F0F5C" w:rsidRPr="004D0DCE" w:rsidRDefault="005F0F5C" w:rsidP="00AD50FA">
      <w:pPr>
        <w:pStyle w:val="Descripcin"/>
        <w:spacing w:after="0"/>
        <w:jc w:val="center"/>
        <w:rPr>
          <w:sz w:val="20"/>
          <w:szCs w:val="20"/>
        </w:rPr>
      </w:pPr>
      <w:r w:rsidRPr="004D0DCE">
        <w:rPr>
          <w:sz w:val="20"/>
          <w:szCs w:val="20"/>
        </w:rPr>
        <w:t>Emitidos por SUPEN</w:t>
      </w:r>
    </w:p>
    <w:p w14:paraId="7B93A8DD" w14:textId="035BE15C" w:rsidR="00AD50FA" w:rsidRPr="004D0DCE" w:rsidRDefault="00AD50FA" w:rsidP="00AD50FA">
      <w:pPr>
        <w:pStyle w:val="Descripcin"/>
        <w:spacing w:after="0"/>
        <w:jc w:val="center"/>
        <w:rPr>
          <w:sz w:val="20"/>
          <w:szCs w:val="20"/>
        </w:rPr>
      </w:pPr>
      <w:r w:rsidRPr="004D0DCE">
        <w:rPr>
          <w:sz w:val="20"/>
          <w:szCs w:val="20"/>
        </w:rPr>
        <w:t>durante el</w:t>
      </w:r>
      <w:r w:rsidR="0087113D" w:rsidRPr="004D0DCE">
        <w:rPr>
          <w:sz w:val="20"/>
          <w:szCs w:val="20"/>
        </w:rPr>
        <w:t xml:space="preserve"> tercer</w:t>
      </w:r>
      <w:r w:rsidRPr="004D0DCE">
        <w:rPr>
          <w:sz w:val="20"/>
          <w:szCs w:val="20"/>
        </w:rPr>
        <w:t xml:space="preserve"> trimestre del 2020</w:t>
      </w:r>
    </w:p>
    <w:tbl>
      <w:tblPr>
        <w:tblStyle w:val="Tablaconcuadrcula4-nfasis1"/>
        <w:tblW w:w="12044" w:type="dxa"/>
        <w:jc w:val="center"/>
        <w:tblLayout w:type="fixed"/>
        <w:tblLook w:val="04A0" w:firstRow="1" w:lastRow="0" w:firstColumn="1" w:lastColumn="0" w:noHBand="0" w:noVBand="1"/>
      </w:tblPr>
      <w:tblGrid>
        <w:gridCol w:w="3256"/>
        <w:gridCol w:w="8788"/>
      </w:tblGrid>
      <w:tr w:rsidR="0087113D" w:rsidRPr="00B836A6" w14:paraId="32119ACD" w14:textId="77777777" w:rsidTr="004D0DCE">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3256" w:type="dxa"/>
            <w:noWrap/>
            <w:hideMark/>
          </w:tcPr>
          <w:p w14:paraId="0B7D781F" w14:textId="77777777" w:rsidR="0087113D" w:rsidRPr="00B836A6" w:rsidRDefault="0087113D" w:rsidP="0021212F">
            <w:pPr>
              <w:rPr>
                <w:rFonts w:eastAsia="Times New Roman" w:cs="Calibri"/>
                <w:lang w:val="es-CR"/>
              </w:rPr>
            </w:pPr>
            <w:r w:rsidRPr="00B836A6">
              <w:rPr>
                <w:rFonts w:eastAsia="Times New Roman" w:cs="Calibri"/>
                <w:lang w:val="es-CR"/>
              </w:rPr>
              <w:t>Acuerdo</w:t>
            </w:r>
          </w:p>
        </w:tc>
        <w:tc>
          <w:tcPr>
            <w:tcW w:w="8788" w:type="dxa"/>
            <w:noWrap/>
            <w:hideMark/>
          </w:tcPr>
          <w:p w14:paraId="6775ECFD" w14:textId="77777777" w:rsidR="0087113D" w:rsidRPr="00B836A6" w:rsidRDefault="0087113D" w:rsidP="0021212F">
            <w:pPr>
              <w:cnfStyle w:val="100000000000" w:firstRow="1" w:lastRow="0" w:firstColumn="0" w:lastColumn="0" w:oddVBand="0" w:evenVBand="0" w:oddHBand="0" w:evenHBand="0" w:firstRowFirstColumn="0" w:firstRowLastColumn="0" w:lastRowFirstColumn="0" w:lastRowLastColumn="0"/>
              <w:rPr>
                <w:rFonts w:eastAsia="Times New Roman" w:cs="Calibri"/>
                <w:lang w:val="es-CR"/>
              </w:rPr>
            </w:pPr>
            <w:r w:rsidRPr="00B836A6">
              <w:rPr>
                <w:rFonts w:eastAsia="Times New Roman" w:cs="Calibri"/>
                <w:lang w:val="es-CR"/>
              </w:rPr>
              <w:t>Alcance</w:t>
            </w:r>
          </w:p>
        </w:tc>
      </w:tr>
      <w:tr w:rsidR="0087113D" w:rsidRPr="00B836A6" w14:paraId="6E2FD38C" w14:textId="77777777" w:rsidTr="004D0DCE">
        <w:trPr>
          <w:cnfStyle w:val="000000100000" w:firstRow="0" w:lastRow="0" w:firstColumn="0" w:lastColumn="0" w:oddVBand="0" w:evenVBand="0" w:oddHBand="1" w:evenHBand="0" w:firstRowFirstColumn="0" w:firstRowLastColumn="0" w:lastRowFirstColumn="0" w:lastRowLastColumn="0"/>
          <w:trHeight w:val="456"/>
          <w:jc w:val="center"/>
        </w:trPr>
        <w:tc>
          <w:tcPr>
            <w:cnfStyle w:val="001000000000" w:firstRow="0" w:lastRow="0" w:firstColumn="1" w:lastColumn="0" w:oddVBand="0" w:evenVBand="0" w:oddHBand="0" w:evenHBand="0" w:firstRowFirstColumn="0" w:firstRowLastColumn="0" w:lastRowFirstColumn="0" w:lastRowLastColumn="0"/>
            <w:tcW w:w="3256" w:type="dxa"/>
          </w:tcPr>
          <w:p w14:paraId="686C6BBC" w14:textId="77777777" w:rsidR="0087113D" w:rsidRPr="00B836A6" w:rsidRDefault="0087113D" w:rsidP="0021212F">
            <w:pPr>
              <w:jc w:val="both"/>
              <w:rPr>
                <w:rFonts w:eastAsia="Times New Roman" w:cs="Calibri"/>
                <w:color w:val="000000"/>
                <w:lang w:val="es-CR"/>
              </w:rPr>
            </w:pPr>
            <w:r w:rsidRPr="00754C40">
              <w:rPr>
                <w:rFonts w:eastAsia="Times New Roman" w:cs="Calibri"/>
                <w:color w:val="000000"/>
                <w:lang w:val="es-CR"/>
              </w:rPr>
              <w:t>SP-A-220</w:t>
            </w:r>
            <w:r>
              <w:rPr>
                <w:rFonts w:eastAsia="Times New Roman" w:cs="Calibri"/>
                <w:color w:val="000000"/>
                <w:lang w:val="es-CR"/>
              </w:rPr>
              <w:t xml:space="preserve"> </w:t>
            </w:r>
            <w:r>
              <w:t>Modificación Acuerdo SP-A-218-2020 del 17 de junio de 2020.</w:t>
            </w:r>
          </w:p>
        </w:tc>
        <w:tc>
          <w:tcPr>
            <w:tcW w:w="8788" w:type="dxa"/>
          </w:tcPr>
          <w:p w14:paraId="226DED28" w14:textId="77777777" w:rsidR="0087113D" w:rsidRPr="00B836A6" w:rsidRDefault="0087113D" w:rsidP="0021212F">
            <w:p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Pr>
                <w:rFonts w:eastAsia="Times New Roman" w:cs="Calibri"/>
                <w:color w:val="000000"/>
                <w:lang w:val="es-CR"/>
              </w:rPr>
              <w:t>Se corrige fórmula para el cálculo del Valor Actuarial Neto (VANU)</w:t>
            </w:r>
          </w:p>
        </w:tc>
      </w:tr>
      <w:tr w:rsidR="0087113D" w:rsidRPr="00B836A6" w14:paraId="54E6C165" w14:textId="77777777" w:rsidTr="004D0DCE">
        <w:trPr>
          <w:trHeight w:val="797"/>
          <w:jc w:val="center"/>
        </w:trPr>
        <w:tc>
          <w:tcPr>
            <w:cnfStyle w:val="001000000000" w:firstRow="0" w:lastRow="0" w:firstColumn="1" w:lastColumn="0" w:oddVBand="0" w:evenVBand="0" w:oddHBand="0" w:evenHBand="0" w:firstRowFirstColumn="0" w:firstRowLastColumn="0" w:lastRowFirstColumn="0" w:lastRowLastColumn="0"/>
            <w:tcW w:w="3256" w:type="dxa"/>
          </w:tcPr>
          <w:p w14:paraId="3E1492FB" w14:textId="0B6E6A50" w:rsidR="0087113D" w:rsidRPr="00B836A6" w:rsidRDefault="0087113D" w:rsidP="00B967BF">
            <w:pPr>
              <w:rPr>
                <w:rFonts w:eastAsia="Times New Roman" w:cs="Calibri"/>
                <w:color w:val="000000"/>
                <w:lang w:val="es-CR"/>
              </w:rPr>
            </w:pPr>
            <w:r w:rsidRPr="004517B8">
              <w:rPr>
                <w:rFonts w:eastAsia="Times New Roman" w:cs="Calibri"/>
                <w:color w:val="000000"/>
                <w:lang w:val="es-CR"/>
              </w:rPr>
              <w:t>SP-A-221</w:t>
            </w:r>
            <w:r>
              <w:rPr>
                <w:rFonts w:eastAsia="Times New Roman" w:cs="Calibri"/>
                <w:color w:val="000000"/>
                <w:lang w:val="es-CR"/>
              </w:rPr>
              <w:t xml:space="preserve"> Se modifica art</w:t>
            </w:r>
            <w:r w:rsidR="00735FCC">
              <w:rPr>
                <w:rFonts w:eastAsia="Times New Roman" w:cs="Calibri"/>
                <w:color w:val="000000"/>
                <w:lang w:val="es-CR"/>
              </w:rPr>
              <w:t>.</w:t>
            </w:r>
            <w:r>
              <w:rPr>
                <w:rFonts w:eastAsia="Times New Roman" w:cs="Calibri"/>
                <w:color w:val="000000"/>
                <w:lang w:val="es-CR"/>
              </w:rPr>
              <w:t xml:space="preserve"> 2 del acuerdo SP-A-211-2019</w:t>
            </w:r>
          </w:p>
        </w:tc>
        <w:tc>
          <w:tcPr>
            <w:tcW w:w="8788" w:type="dxa"/>
          </w:tcPr>
          <w:p w14:paraId="365779C1" w14:textId="55310E59" w:rsidR="0087113D" w:rsidRPr="00B836A6" w:rsidRDefault="0087113D" w:rsidP="0021212F">
            <w:pPr>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Pr>
                <w:rFonts w:eastAsia="Times New Roman" w:cs="Calibri"/>
                <w:color w:val="000000"/>
                <w:lang w:val="es-CR"/>
              </w:rPr>
              <w:t xml:space="preserve">Se modifica el </w:t>
            </w:r>
            <w:r w:rsidRPr="001919A3">
              <w:rPr>
                <w:rFonts w:eastAsia="Times New Roman" w:cs="Calibri"/>
                <w:color w:val="000000"/>
                <w:lang w:val="es-CR"/>
              </w:rPr>
              <w:t>plazo de entrega de la información referente al valor cuota,</w:t>
            </w:r>
            <w:r>
              <w:rPr>
                <w:rFonts w:eastAsia="Times New Roman" w:cs="Calibri"/>
                <w:color w:val="000000"/>
                <w:lang w:val="es-CR"/>
              </w:rPr>
              <w:t xml:space="preserve"> </w:t>
            </w:r>
            <w:r w:rsidRPr="001919A3">
              <w:rPr>
                <w:rFonts w:eastAsia="Times New Roman" w:cs="Calibri"/>
                <w:color w:val="000000"/>
                <w:lang w:val="es-CR"/>
              </w:rPr>
              <w:t>para que se realice con un plazo de hasta las doc</w:t>
            </w:r>
            <w:r w:rsidR="002A076A">
              <w:rPr>
                <w:rFonts w:eastAsia="Times New Roman" w:cs="Calibri"/>
                <w:color w:val="000000"/>
                <w:lang w:val="es-CR"/>
              </w:rPr>
              <w:t>e</w:t>
            </w:r>
            <w:r w:rsidRPr="001919A3">
              <w:rPr>
                <w:rFonts w:eastAsia="Times New Roman" w:cs="Calibri"/>
                <w:color w:val="000000"/>
                <w:lang w:val="es-CR"/>
              </w:rPr>
              <w:t xml:space="preserve"> </w:t>
            </w:r>
            <w:r w:rsidR="002A076A" w:rsidRPr="001919A3">
              <w:rPr>
                <w:rFonts w:eastAsia="Times New Roman" w:cs="Calibri"/>
                <w:color w:val="000000"/>
                <w:lang w:val="es-CR"/>
              </w:rPr>
              <w:t>horas del</w:t>
            </w:r>
            <w:r w:rsidRPr="001919A3">
              <w:rPr>
                <w:rFonts w:eastAsia="Times New Roman" w:cs="Calibri"/>
                <w:color w:val="000000"/>
                <w:lang w:val="es-CR"/>
              </w:rPr>
              <w:t xml:space="preserve"> mediodía</w:t>
            </w:r>
            <w:r>
              <w:rPr>
                <w:rFonts w:eastAsia="Times New Roman" w:cs="Calibri"/>
                <w:color w:val="000000"/>
                <w:lang w:val="es-CR"/>
              </w:rPr>
              <w:t xml:space="preserve"> </w:t>
            </w:r>
            <w:r w:rsidRPr="001919A3">
              <w:rPr>
                <w:rFonts w:eastAsia="Times New Roman" w:cs="Calibri"/>
                <w:color w:val="000000"/>
                <w:lang w:val="es-CR"/>
              </w:rPr>
              <w:t>del día hábil siguiente, por medio del servicio de transferencia de información</w:t>
            </w:r>
            <w:r>
              <w:rPr>
                <w:rFonts w:eastAsia="Times New Roman" w:cs="Calibri"/>
                <w:color w:val="000000"/>
                <w:lang w:val="es-CR"/>
              </w:rPr>
              <w:t xml:space="preserve"> </w:t>
            </w:r>
            <w:r w:rsidRPr="001919A3">
              <w:rPr>
                <w:rFonts w:eastAsia="Times New Roman" w:cs="Calibri"/>
                <w:color w:val="000000"/>
                <w:lang w:val="es-CR"/>
              </w:rPr>
              <w:t>VES</w:t>
            </w:r>
            <w:r>
              <w:rPr>
                <w:rFonts w:eastAsia="Times New Roman" w:cs="Calibri"/>
                <w:color w:val="000000"/>
                <w:lang w:val="es-CR"/>
              </w:rPr>
              <w:t>.</w:t>
            </w:r>
          </w:p>
        </w:tc>
      </w:tr>
      <w:tr w:rsidR="0087113D" w:rsidRPr="00B836A6" w14:paraId="49D2E6CF" w14:textId="77777777" w:rsidTr="004D0DCE">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3256" w:type="dxa"/>
            <w:noWrap/>
          </w:tcPr>
          <w:p w14:paraId="4074B2D9" w14:textId="441ADF60" w:rsidR="0087113D" w:rsidRPr="00B836A6" w:rsidRDefault="0087113D" w:rsidP="0021212F">
            <w:pPr>
              <w:jc w:val="both"/>
              <w:rPr>
                <w:rFonts w:eastAsia="Times New Roman" w:cs="Calibri"/>
                <w:color w:val="000000"/>
                <w:lang w:val="es-CR"/>
              </w:rPr>
            </w:pPr>
            <w:r w:rsidRPr="007B4BFA">
              <w:rPr>
                <w:rFonts w:eastAsia="Times New Roman" w:cs="Calibri"/>
                <w:color w:val="000000"/>
                <w:lang w:val="es-CR"/>
              </w:rPr>
              <w:t>SP-A-222 Aspectos derivados</w:t>
            </w:r>
            <w:r w:rsidR="00645079">
              <w:rPr>
                <w:rFonts w:eastAsia="Times New Roman" w:cs="Calibri"/>
                <w:color w:val="000000"/>
                <w:lang w:val="es-CR"/>
              </w:rPr>
              <w:t xml:space="preserve"> </w:t>
            </w:r>
            <w:r w:rsidRPr="007B4BFA">
              <w:rPr>
                <w:rFonts w:eastAsia="Times New Roman" w:cs="Calibri"/>
                <w:color w:val="000000"/>
                <w:lang w:val="es-CR"/>
              </w:rPr>
              <w:t>de la suspensión</w:t>
            </w:r>
            <w:r w:rsidR="008D637D">
              <w:rPr>
                <w:rFonts w:eastAsia="Times New Roman" w:cs="Calibri"/>
                <w:color w:val="000000"/>
                <w:lang w:val="es-CR"/>
              </w:rPr>
              <w:t xml:space="preserve"> </w:t>
            </w:r>
            <w:r w:rsidRPr="007B4BFA">
              <w:rPr>
                <w:rFonts w:eastAsia="Times New Roman" w:cs="Calibri"/>
                <w:color w:val="000000"/>
                <w:lang w:val="es-CR"/>
              </w:rPr>
              <w:t>de los traslados</w:t>
            </w:r>
            <w:r w:rsidR="008D637D">
              <w:rPr>
                <w:rFonts w:eastAsia="Times New Roman" w:cs="Calibri"/>
                <w:color w:val="000000"/>
                <w:lang w:val="es-CR"/>
              </w:rPr>
              <w:t xml:space="preserve"> </w:t>
            </w:r>
            <w:r w:rsidRPr="007B4BFA">
              <w:rPr>
                <w:rFonts w:eastAsia="Times New Roman" w:cs="Calibri"/>
                <w:color w:val="000000"/>
                <w:lang w:val="es-CR"/>
              </w:rPr>
              <w:t>de recursos</w:t>
            </w:r>
          </w:p>
        </w:tc>
        <w:tc>
          <w:tcPr>
            <w:tcW w:w="8788" w:type="dxa"/>
          </w:tcPr>
          <w:p w14:paraId="57FE175B" w14:textId="01733876" w:rsidR="0087113D" w:rsidRPr="00B836A6" w:rsidRDefault="0087113D" w:rsidP="0021212F">
            <w:p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Pr>
                <w:rFonts w:eastAsia="Times New Roman" w:cs="Calibri"/>
                <w:color w:val="000000"/>
                <w:lang w:val="es-CR"/>
              </w:rPr>
              <w:t xml:space="preserve">Establece obligaciones </w:t>
            </w:r>
            <w:r w:rsidRPr="006362E9">
              <w:rPr>
                <w:rFonts w:eastAsia="Times New Roman" w:cs="Calibri"/>
                <w:color w:val="000000"/>
                <w:lang w:val="es-CR"/>
              </w:rPr>
              <w:t>de información al afiliado, tanto</w:t>
            </w:r>
            <w:r w:rsidR="00D142B9">
              <w:rPr>
                <w:rFonts w:eastAsia="Times New Roman" w:cs="Calibri"/>
                <w:color w:val="000000"/>
                <w:lang w:val="es-CR"/>
              </w:rPr>
              <w:t xml:space="preserve"> </w:t>
            </w:r>
            <w:r w:rsidRPr="006362E9">
              <w:rPr>
                <w:rFonts w:eastAsia="Times New Roman" w:cs="Calibri"/>
                <w:color w:val="000000"/>
                <w:lang w:val="es-CR"/>
              </w:rPr>
              <w:t>por</w:t>
            </w:r>
            <w:r w:rsidR="00D142B9">
              <w:rPr>
                <w:rFonts w:eastAsia="Times New Roman" w:cs="Calibri"/>
                <w:color w:val="000000"/>
                <w:lang w:val="es-CR"/>
              </w:rPr>
              <w:t xml:space="preserve"> </w:t>
            </w:r>
            <w:r w:rsidRPr="006362E9">
              <w:rPr>
                <w:rFonts w:eastAsia="Times New Roman" w:cs="Calibri"/>
                <w:color w:val="000000"/>
                <w:lang w:val="es-CR"/>
              </w:rPr>
              <w:t>parte</w:t>
            </w:r>
            <w:r w:rsidR="00D142B9">
              <w:rPr>
                <w:rFonts w:eastAsia="Times New Roman" w:cs="Calibri"/>
                <w:color w:val="000000"/>
                <w:lang w:val="es-CR"/>
              </w:rPr>
              <w:t xml:space="preserve"> </w:t>
            </w:r>
            <w:r w:rsidRPr="006362E9">
              <w:rPr>
                <w:rFonts w:eastAsia="Times New Roman" w:cs="Calibri"/>
                <w:color w:val="000000"/>
                <w:lang w:val="es-CR"/>
              </w:rPr>
              <w:t>de</w:t>
            </w:r>
            <w:r w:rsidR="00D142B9">
              <w:rPr>
                <w:rFonts w:eastAsia="Times New Roman" w:cs="Calibri"/>
                <w:color w:val="000000"/>
                <w:lang w:val="es-CR"/>
              </w:rPr>
              <w:t xml:space="preserve"> </w:t>
            </w:r>
            <w:r w:rsidRPr="006362E9">
              <w:rPr>
                <w:rFonts w:eastAsia="Times New Roman" w:cs="Calibri"/>
                <w:color w:val="000000"/>
                <w:lang w:val="es-CR"/>
              </w:rPr>
              <w:t>las</w:t>
            </w:r>
            <w:r w:rsidR="00D142B9">
              <w:rPr>
                <w:rFonts w:eastAsia="Times New Roman" w:cs="Calibri"/>
                <w:color w:val="000000"/>
                <w:lang w:val="es-CR"/>
              </w:rPr>
              <w:t xml:space="preserve"> </w:t>
            </w:r>
            <w:r w:rsidRPr="006362E9">
              <w:rPr>
                <w:rFonts w:eastAsia="Times New Roman" w:cs="Calibri"/>
                <w:color w:val="000000"/>
                <w:lang w:val="es-CR"/>
              </w:rPr>
              <w:t>operadoras</w:t>
            </w:r>
            <w:r w:rsidR="00D142B9">
              <w:rPr>
                <w:rFonts w:eastAsia="Times New Roman" w:cs="Calibri"/>
                <w:color w:val="000000"/>
                <w:lang w:val="es-CR"/>
              </w:rPr>
              <w:t xml:space="preserve"> </w:t>
            </w:r>
            <w:r w:rsidRPr="006362E9">
              <w:rPr>
                <w:rFonts w:eastAsia="Times New Roman" w:cs="Calibri"/>
                <w:color w:val="000000"/>
                <w:lang w:val="es-CR"/>
              </w:rPr>
              <w:t>como</w:t>
            </w:r>
            <w:r w:rsidR="00D142B9">
              <w:rPr>
                <w:rFonts w:eastAsia="Times New Roman" w:cs="Calibri"/>
                <w:color w:val="000000"/>
                <w:lang w:val="es-CR"/>
              </w:rPr>
              <w:t xml:space="preserve"> </w:t>
            </w:r>
            <w:r w:rsidRPr="006362E9">
              <w:rPr>
                <w:rFonts w:eastAsia="Times New Roman" w:cs="Calibri"/>
                <w:color w:val="000000"/>
                <w:lang w:val="es-CR"/>
              </w:rPr>
              <w:t>por</w:t>
            </w:r>
            <w:r w:rsidR="00D142B9">
              <w:rPr>
                <w:rFonts w:eastAsia="Times New Roman" w:cs="Calibri"/>
                <w:color w:val="000000"/>
                <w:lang w:val="es-CR"/>
              </w:rPr>
              <w:t xml:space="preserve"> </w:t>
            </w:r>
            <w:r w:rsidRPr="006362E9">
              <w:rPr>
                <w:rFonts w:eastAsia="Times New Roman" w:cs="Calibri"/>
                <w:color w:val="000000"/>
                <w:lang w:val="es-CR"/>
              </w:rPr>
              <w:t>parte</w:t>
            </w:r>
            <w:r w:rsidR="00D142B9">
              <w:rPr>
                <w:rFonts w:eastAsia="Times New Roman" w:cs="Calibri"/>
                <w:color w:val="000000"/>
                <w:lang w:val="es-CR"/>
              </w:rPr>
              <w:t xml:space="preserve"> </w:t>
            </w:r>
            <w:r w:rsidRPr="006362E9">
              <w:rPr>
                <w:rFonts w:eastAsia="Times New Roman" w:cs="Calibri"/>
                <w:color w:val="000000"/>
                <w:lang w:val="es-CR"/>
              </w:rPr>
              <w:t>del</w:t>
            </w:r>
            <w:r w:rsidR="00D142B9">
              <w:rPr>
                <w:rFonts w:eastAsia="Times New Roman" w:cs="Calibri"/>
                <w:color w:val="000000"/>
                <w:lang w:val="es-CR"/>
              </w:rPr>
              <w:t xml:space="preserve"> </w:t>
            </w:r>
            <w:r w:rsidRPr="006362E9">
              <w:rPr>
                <w:rFonts w:eastAsia="Times New Roman" w:cs="Calibri"/>
                <w:color w:val="000000"/>
                <w:lang w:val="es-CR"/>
              </w:rPr>
              <w:t>SICERE,</w:t>
            </w:r>
            <w:r>
              <w:rPr>
                <w:rFonts w:eastAsia="Times New Roman" w:cs="Calibri"/>
                <w:color w:val="000000"/>
                <w:lang w:val="es-CR"/>
              </w:rPr>
              <w:t xml:space="preserve"> </w:t>
            </w:r>
            <w:r w:rsidRPr="006362E9">
              <w:rPr>
                <w:rFonts w:eastAsia="Times New Roman" w:cs="Calibri"/>
                <w:color w:val="000000"/>
                <w:lang w:val="es-CR"/>
              </w:rPr>
              <w:t>cuando</w:t>
            </w:r>
            <w:r w:rsidR="00D142B9">
              <w:rPr>
                <w:rFonts w:eastAsia="Times New Roman" w:cs="Calibri"/>
                <w:color w:val="000000"/>
                <w:lang w:val="es-CR"/>
              </w:rPr>
              <w:t xml:space="preserve"> </w:t>
            </w:r>
            <w:r w:rsidRPr="006362E9">
              <w:rPr>
                <w:rFonts w:eastAsia="Times New Roman" w:cs="Calibri"/>
                <w:color w:val="000000"/>
                <w:lang w:val="es-CR"/>
              </w:rPr>
              <w:t>la</w:t>
            </w:r>
            <w:r w:rsidR="00D142B9">
              <w:rPr>
                <w:rFonts w:eastAsia="Times New Roman" w:cs="Calibri"/>
                <w:color w:val="000000"/>
                <w:lang w:val="es-CR"/>
              </w:rPr>
              <w:t xml:space="preserve"> </w:t>
            </w:r>
            <w:r w:rsidRPr="006362E9">
              <w:rPr>
                <w:rFonts w:eastAsia="Times New Roman" w:cs="Calibri"/>
                <w:color w:val="000000"/>
                <w:lang w:val="es-CR"/>
              </w:rPr>
              <w:t>libre trasferencia</w:t>
            </w:r>
            <w:r w:rsidR="00D142B9">
              <w:rPr>
                <w:rFonts w:eastAsia="Times New Roman" w:cs="Calibri"/>
                <w:color w:val="000000"/>
                <w:lang w:val="es-CR"/>
              </w:rPr>
              <w:t xml:space="preserve"> </w:t>
            </w:r>
            <w:r w:rsidRPr="006362E9">
              <w:rPr>
                <w:rFonts w:eastAsia="Times New Roman" w:cs="Calibri"/>
                <w:color w:val="000000"/>
                <w:lang w:val="es-CR"/>
              </w:rPr>
              <w:t>se</w:t>
            </w:r>
            <w:r w:rsidR="00D142B9">
              <w:rPr>
                <w:rFonts w:eastAsia="Times New Roman" w:cs="Calibri"/>
                <w:color w:val="000000"/>
                <w:lang w:val="es-CR"/>
              </w:rPr>
              <w:t xml:space="preserve"> </w:t>
            </w:r>
            <w:r w:rsidRPr="006362E9">
              <w:rPr>
                <w:rFonts w:eastAsia="Times New Roman" w:cs="Calibri"/>
                <w:color w:val="000000"/>
                <w:lang w:val="es-CR"/>
              </w:rPr>
              <w:t>realice</w:t>
            </w:r>
            <w:r w:rsidR="00D142B9">
              <w:rPr>
                <w:rFonts w:eastAsia="Times New Roman" w:cs="Calibri"/>
                <w:color w:val="000000"/>
                <w:lang w:val="es-CR"/>
              </w:rPr>
              <w:t xml:space="preserve"> </w:t>
            </w:r>
            <w:r w:rsidRPr="006362E9">
              <w:rPr>
                <w:rFonts w:eastAsia="Times New Roman" w:cs="Calibri"/>
                <w:color w:val="000000"/>
                <w:lang w:val="es-CR"/>
              </w:rPr>
              <w:t>a</w:t>
            </w:r>
            <w:r w:rsidR="00D142B9">
              <w:rPr>
                <w:rFonts w:eastAsia="Times New Roman" w:cs="Calibri"/>
                <w:color w:val="000000"/>
                <w:lang w:val="es-CR"/>
              </w:rPr>
              <w:t xml:space="preserve"> </w:t>
            </w:r>
            <w:r w:rsidRPr="006362E9">
              <w:rPr>
                <w:rFonts w:eastAsia="Times New Roman" w:cs="Calibri"/>
                <w:color w:val="000000"/>
                <w:lang w:val="es-CR"/>
              </w:rPr>
              <w:t>través</w:t>
            </w:r>
            <w:r w:rsidR="00D142B9">
              <w:rPr>
                <w:rFonts w:eastAsia="Times New Roman" w:cs="Calibri"/>
                <w:color w:val="000000"/>
                <w:lang w:val="es-CR"/>
              </w:rPr>
              <w:t xml:space="preserve"> </w:t>
            </w:r>
            <w:r w:rsidRPr="006362E9">
              <w:rPr>
                <w:rFonts w:eastAsia="Times New Roman" w:cs="Calibri"/>
                <w:color w:val="000000"/>
                <w:lang w:val="es-CR"/>
              </w:rPr>
              <w:t>de</w:t>
            </w:r>
            <w:r w:rsidR="00D142B9">
              <w:rPr>
                <w:rFonts w:eastAsia="Times New Roman" w:cs="Calibri"/>
                <w:color w:val="000000"/>
                <w:lang w:val="es-CR"/>
              </w:rPr>
              <w:t xml:space="preserve"> </w:t>
            </w:r>
            <w:r w:rsidRPr="006362E9">
              <w:rPr>
                <w:rFonts w:eastAsia="Times New Roman" w:cs="Calibri"/>
                <w:color w:val="000000"/>
                <w:lang w:val="es-CR"/>
              </w:rPr>
              <w:t>las</w:t>
            </w:r>
            <w:r w:rsidR="00D142B9">
              <w:rPr>
                <w:rFonts w:eastAsia="Times New Roman" w:cs="Calibri"/>
                <w:color w:val="000000"/>
                <w:lang w:val="es-CR"/>
              </w:rPr>
              <w:t xml:space="preserve"> </w:t>
            </w:r>
            <w:r w:rsidRPr="006362E9">
              <w:rPr>
                <w:rFonts w:eastAsia="Times New Roman" w:cs="Calibri"/>
                <w:color w:val="000000"/>
                <w:lang w:val="es-CR"/>
              </w:rPr>
              <w:t>primeras</w:t>
            </w:r>
            <w:r w:rsidR="00D142B9">
              <w:rPr>
                <w:rFonts w:eastAsia="Times New Roman" w:cs="Calibri"/>
                <w:color w:val="000000"/>
                <w:lang w:val="es-CR"/>
              </w:rPr>
              <w:t xml:space="preserve"> </w:t>
            </w:r>
            <w:r w:rsidRPr="006362E9">
              <w:rPr>
                <w:rFonts w:eastAsia="Times New Roman" w:cs="Calibri"/>
                <w:color w:val="000000"/>
                <w:lang w:val="es-CR"/>
              </w:rPr>
              <w:t>o</w:t>
            </w:r>
            <w:r w:rsidR="00D142B9">
              <w:rPr>
                <w:rFonts w:eastAsia="Times New Roman" w:cs="Calibri"/>
                <w:color w:val="000000"/>
                <w:lang w:val="es-CR"/>
              </w:rPr>
              <w:t xml:space="preserve"> </w:t>
            </w:r>
            <w:r w:rsidRPr="006362E9">
              <w:rPr>
                <w:rFonts w:eastAsia="Times New Roman" w:cs="Calibri"/>
                <w:color w:val="000000"/>
                <w:lang w:val="es-CR"/>
              </w:rPr>
              <w:t>directamente</w:t>
            </w:r>
            <w:r w:rsidR="00D142B9">
              <w:rPr>
                <w:rFonts w:eastAsia="Times New Roman" w:cs="Calibri"/>
                <w:color w:val="000000"/>
                <w:lang w:val="es-CR"/>
              </w:rPr>
              <w:t xml:space="preserve"> </w:t>
            </w:r>
            <w:r w:rsidRPr="006362E9">
              <w:rPr>
                <w:rFonts w:eastAsia="Times New Roman" w:cs="Calibri"/>
                <w:color w:val="000000"/>
                <w:lang w:val="es-CR"/>
              </w:rPr>
              <w:t>por</w:t>
            </w:r>
            <w:r w:rsidR="00D142B9">
              <w:rPr>
                <w:rFonts w:eastAsia="Times New Roman" w:cs="Calibri"/>
                <w:color w:val="000000"/>
                <w:lang w:val="es-CR"/>
              </w:rPr>
              <w:t xml:space="preserve"> </w:t>
            </w:r>
            <w:r w:rsidRPr="006362E9">
              <w:rPr>
                <w:rFonts w:eastAsia="Times New Roman" w:cs="Calibri"/>
                <w:color w:val="000000"/>
                <w:lang w:val="es-CR"/>
              </w:rPr>
              <w:t>medio</w:t>
            </w:r>
            <w:r w:rsidR="00D142B9">
              <w:rPr>
                <w:rFonts w:eastAsia="Times New Roman" w:cs="Calibri"/>
                <w:color w:val="000000"/>
                <w:lang w:val="es-CR"/>
              </w:rPr>
              <w:t xml:space="preserve"> </w:t>
            </w:r>
            <w:r w:rsidRPr="006362E9">
              <w:rPr>
                <w:rFonts w:eastAsia="Times New Roman" w:cs="Calibri"/>
                <w:color w:val="000000"/>
                <w:lang w:val="es-CR"/>
              </w:rPr>
              <w:t>de</w:t>
            </w:r>
            <w:r w:rsidR="00D142B9">
              <w:rPr>
                <w:rFonts w:eastAsia="Times New Roman" w:cs="Calibri"/>
                <w:color w:val="000000"/>
                <w:lang w:val="es-CR"/>
              </w:rPr>
              <w:t xml:space="preserve"> </w:t>
            </w:r>
            <w:r w:rsidRPr="006362E9">
              <w:rPr>
                <w:rFonts w:eastAsia="Times New Roman" w:cs="Calibri"/>
                <w:color w:val="000000"/>
                <w:lang w:val="es-CR"/>
              </w:rPr>
              <w:t>la plataforma</w:t>
            </w:r>
            <w:r w:rsidR="00D142B9">
              <w:rPr>
                <w:rFonts w:eastAsia="Times New Roman" w:cs="Calibri"/>
                <w:color w:val="000000"/>
                <w:lang w:val="es-CR"/>
              </w:rPr>
              <w:t xml:space="preserve"> </w:t>
            </w:r>
            <w:r w:rsidRPr="006362E9">
              <w:rPr>
                <w:rFonts w:eastAsia="Times New Roman" w:cs="Calibri"/>
                <w:color w:val="000000"/>
                <w:lang w:val="es-CR"/>
              </w:rPr>
              <w:t>tecnológica</w:t>
            </w:r>
            <w:r w:rsidR="00D142B9">
              <w:rPr>
                <w:rFonts w:eastAsia="Times New Roman" w:cs="Calibri"/>
                <w:color w:val="000000"/>
                <w:lang w:val="es-CR"/>
              </w:rPr>
              <w:t xml:space="preserve"> </w:t>
            </w:r>
            <w:r w:rsidRPr="006362E9">
              <w:rPr>
                <w:rFonts w:eastAsia="Times New Roman" w:cs="Calibri"/>
                <w:color w:val="000000"/>
                <w:lang w:val="es-CR"/>
              </w:rPr>
              <w:t>de</w:t>
            </w:r>
            <w:r w:rsidR="00D142B9">
              <w:rPr>
                <w:rFonts w:eastAsia="Times New Roman" w:cs="Calibri"/>
                <w:color w:val="000000"/>
                <w:lang w:val="es-CR"/>
              </w:rPr>
              <w:t xml:space="preserve"> </w:t>
            </w:r>
            <w:r w:rsidRPr="006362E9">
              <w:rPr>
                <w:rFonts w:eastAsia="Times New Roman" w:cs="Calibri"/>
                <w:color w:val="000000"/>
                <w:lang w:val="es-CR"/>
              </w:rPr>
              <w:t>la</w:t>
            </w:r>
            <w:r w:rsidR="00D142B9">
              <w:rPr>
                <w:rFonts w:eastAsia="Times New Roman" w:cs="Calibri"/>
                <w:color w:val="000000"/>
                <w:lang w:val="es-CR"/>
              </w:rPr>
              <w:t xml:space="preserve"> </w:t>
            </w:r>
            <w:r w:rsidRPr="006362E9">
              <w:rPr>
                <w:rFonts w:eastAsia="Times New Roman" w:cs="Calibri"/>
                <w:color w:val="000000"/>
                <w:lang w:val="es-CR"/>
              </w:rPr>
              <w:t>CCSS,</w:t>
            </w:r>
            <w:r w:rsidR="00D142B9">
              <w:rPr>
                <w:rFonts w:eastAsia="Times New Roman" w:cs="Calibri"/>
                <w:color w:val="000000"/>
                <w:lang w:val="es-CR"/>
              </w:rPr>
              <w:t xml:space="preserve"> </w:t>
            </w:r>
            <w:r w:rsidRPr="006362E9">
              <w:rPr>
                <w:rFonts w:eastAsia="Times New Roman" w:cs="Calibri"/>
                <w:color w:val="000000"/>
                <w:lang w:val="es-CR"/>
              </w:rPr>
              <w:t>con</w:t>
            </w:r>
            <w:r w:rsidR="00D142B9">
              <w:rPr>
                <w:rFonts w:eastAsia="Times New Roman" w:cs="Calibri"/>
                <w:color w:val="000000"/>
                <w:lang w:val="es-CR"/>
              </w:rPr>
              <w:t xml:space="preserve"> </w:t>
            </w:r>
            <w:r w:rsidRPr="006362E9">
              <w:rPr>
                <w:rFonts w:eastAsia="Times New Roman" w:cs="Calibri"/>
                <w:color w:val="000000"/>
                <w:lang w:val="es-CR"/>
              </w:rPr>
              <w:t>el</w:t>
            </w:r>
            <w:r w:rsidR="00D142B9">
              <w:rPr>
                <w:rFonts w:eastAsia="Times New Roman" w:cs="Calibri"/>
                <w:color w:val="000000"/>
                <w:lang w:val="es-CR"/>
              </w:rPr>
              <w:t xml:space="preserve"> </w:t>
            </w:r>
            <w:r w:rsidRPr="006362E9">
              <w:rPr>
                <w:rFonts w:eastAsia="Times New Roman" w:cs="Calibri"/>
                <w:color w:val="000000"/>
                <w:lang w:val="es-CR"/>
              </w:rPr>
              <w:t>propósito de</w:t>
            </w:r>
            <w:r w:rsidR="00D142B9">
              <w:rPr>
                <w:rFonts w:eastAsia="Times New Roman" w:cs="Calibri"/>
                <w:color w:val="000000"/>
                <w:lang w:val="es-CR"/>
              </w:rPr>
              <w:t xml:space="preserve"> </w:t>
            </w:r>
            <w:r w:rsidRPr="006362E9">
              <w:rPr>
                <w:rFonts w:eastAsia="Times New Roman" w:cs="Calibri"/>
                <w:color w:val="000000"/>
                <w:lang w:val="es-CR"/>
              </w:rPr>
              <w:t>que</w:t>
            </w:r>
            <w:r w:rsidR="00D142B9">
              <w:rPr>
                <w:rFonts w:eastAsia="Times New Roman" w:cs="Calibri"/>
                <w:color w:val="000000"/>
                <w:lang w:val="es-CR"/>
              </w:rPr>
              <w:t xml:space="preserve"> </w:t>
            </w:r>
            <w:r w:rsidRPr="006362E9">
              <w:rPr>
                <w:rFonts w:eastAsia="Times New Roman" w:cs="Calibri"/>
                <w:color w:val="000000"/>
                <w:lang w:val="es-CR"/>
              </w:rPr>
              <w:t>los</w:t>
            </w:r>
            <w:r w:rsidR="00D142B9">
              <w:rPr>
                <w:rFonts w:eastAsia="Times New Roman" w:cs="Calibri"/>
                <w:color w:val="000000"/>
                <w:lang w:val="es-CR"/>
              </w:rPr>
              <w:t xml:space="preserve"> </w:t>
            </w:r>
            <w:r w:rsidRPr="006362E9">
              <w:rPr>
                <w:rFonts w:eastAsia="Times New Roman" w:cs="Calibri"/>
                <w:color w:val="000000"/>
                <w:lang w:val="es-CR"/>
              </w:rPr>
              <w:t>afiliados,</w:t>
            </w:r>
            <w:r w:rsidR="00D142B9">
              <w:rPr>
                <w:rFonts w:eastAsia="Times New Roman" w:cs="Calibri"/>
                <w:color w:val="000000"/>
                <w:lang w:val="es-CR"/>
              </w:rPr>
              <w:t xml:space="preserve"> </w:t>
            </w:r>
            <w:r w:rsidRPr="006362E9">
              <w:rPr>
                <w:rFonts w:eastAsia="Times New Roman" w:cs="Calibri"/>
                <w:color w:val="000000"/>
                <w:lang w:val="es-CR"/>
              </w:rPr>
              <w:t>cuando realicen el traslado hacia otra operadora, estén informados de que,</w:t>
            </w:r>
            <w:r>
              <w:rPr>
                <w:rFonts w:eastAsia="Times New Roman" w:cs="Calibri"/>
                <w:color w:val="000000"/>
                <w:lang w:val="es-CR"/>
              </w:rPr>
              <w:t xml:space="preserve"> </w:t>
            </w:r>
            <w:r w:rsidRPr="006362E9">
              <w:rPr>
                <w:rFonts w:eastAsia="Times New Roman" w:cs="Calibri"/>
                <w:color w:val="000000"/>
                <w:lang w:val="es-CR"/>
              </w:rPr>
              <w:t>mientras dure la suspensión</w:t>
            </w:r>
            <w:r w:rsidR="00D142B9">
              <w:rPr>
                <w:rFonts w:eastAsia="Times New Roman" w:cs="Calibri"/>
                <w:color w:val="000000"/>
                <w:lang w:val="es-CR"/>
              </w:rPr>
              <w:t xml:space="preserve"> </w:t>
            </w:r>
            <w:r w:rsidRPr="006362E9">
              <w:rPr>
                <w:rFonts w:eastAsia="Times New Roman" w:cs="Calibri"/>
                <w:color w:val="000000"/>
                <w:lang w:val="es-CR"/>
              </w:rPr>
              <w:t>de</w:t>
            </w:r>
            <w:r w:rsidR="00D142B9">
              <w:rPr>
                <w:rFonts w:eastAsia="Times New Roman" w:cs="Calibri"/>
                <w:color w:val="000000"/>
                <w:lang w:val="es-CR"/>
              </w:rPr>
              <w:t xml:space="preserve"> </w:t>
            </w:r>
            <w:r w:rsidRPr="006362E9">
              <w:rPr>
                <w:rFonts w:eastAsia="Times New Roman" w:cs="Calibri"/>
                <w:color w:val="000000"/>
                <w:lang w:val="es-CR"/>
              </w:rPr>
              <w:t>los</w:t>
            </w:r>
            <w:r w:rsidR="00D142B9">
              <w:rPr>
                <w:rFonts w:eastAsia="Times New Roman" w:cs="Calibri"/>
                <w:color w:val="000000"/>
                <w:lang w:val="es-CR"/>
              </w:rPr>
              <w:t xml:space="preserve"> </w:t>
            </w:r>
            <w:r w:rsidRPr="006362E9">
              <w:rPr>
                <w:rFonts w:eastAsia="Times New Roman" w:cs="Calibri"/>
                <w:color w:val="000000"/>
                <w:lang w:val="es-CR"/>
              </w:rPr>
              <w:t>traslados</w:t>
            </w:r>
            <w:r w:rsidR="00D142B9">
              <w:rPr>
                <w:rFonts w:eastAsia="Times New Roman" w:cs="Calibri"/>
                <w:color w:val="000000"/>
                <w:lang w:val="es-CR"/>
              </w:rPr>
              <w:t xml:space="preserve"> </w:t>
            </w:r>
            <w:r w:rsidRPr="006362E9">
              <w:rPr>
                <w:rFonts w:eastAsia="Times New Roman" w:cs="Calibri"/>
                <w:color w:val="000000"/>
                <w:lang w:val="es-CR"/>
              </w:rPr>
              <w:t>de</w:t>
            </w:r>
            <w:r w:rsidR="00D142B9">
              <w:rPr>
                <w:rFonts w:eastAsia="Times New Roman" w:cs="Calibri"/>
                <w:color w:val="000000"/>
                <w:lang w:val="es-CR"/>
              </w:rPr>
              <w:t xml:space="preserve"> </w:t>
            </w:r>
            <w:r w:rsidRPr="006362E9">
              <w:rPr>
                <w:rFonts w:eastAsia="Times New Roman" w:cs="Calibri"/>
                <w:color w:val="000000"/>
                <w:lang w:val="es-CR"/>
              </w:rPr>
              <w:t>recursos,</w:t>
            </w:r>
            <w:r w:rsidR="00D142B9">
              <w:rPr>
                <w:rFonts w:eastAsia="Times New Roman" w:cs="Calibri"/>
                <w:color w:val="000000"/>
                <w:lang w:val="es-CR"/>
              </w:rPr>
              <w:t xml:space="preserve"> </w:t>
            </w:r>
            <w:r w:rsidRPr="006362E9">
              <w:rPr>
                <w:rFonts w:eastAsia="Times New Roman" w:cs="Calibri"/>
                <w:color w:val="000000"/>
                <w:lang w:val="es-CR"/>
              </w:rPr>
              <w:t>mantendrán</w:t>
            </w:r>
            <w:r>
              <w:rPr>
                <w:rFonts w:eastAsia="Times New Roman" w:cs="Calibri"/>
                <w:color w:val="000000"/>
                <w:lang w:val="es-CR"/>
              </w:rPr>
              <w:t xml:space="preserve"> </w:t>
            </w:r>
            <w:r w:rsidRPr="006362E9">
              <w:rPr>
                <w:rFonts w:eastAsia="Times New Roman" w:cs="Calibri"/>
                <w:color w:val="000000"/>
                <w:lang w:val="es-CR"/>
              </w:rPr>
              <w:t>un</w:t>
            </w:r>
            <w:r w:rsidR="00D142B9">
              <w:rPr>
                <w:rFonts w:eastAsia="Times New Roman" w:cs="Calibri"/>
                <w:color w:val="000000"/>
                <w:lang w:val="es-CR"/>
              </w:rPr>
              <w:t xml:space="preserve"> </w:t>
            </w:r>
            <w:r w:rsidRPr="006362E9">
              <w:rPr>
                <w:rFonts w:eastAsia="Times New Roman" w:cs="Calibri"/>
                <w:color w:val="000000"/>
                <w:lang w:val="es-CR"/>
              </w:rPr>
              <w:t>saldo</w:t>
            </w:r>
            <w:r w:rsidR="00D142B9">
              <w:rPr>
                <w:rFonts w:eastAsia="Times New Roman" w:cs="Calibri"/>
                <w:color w:val="000000"/>
                <w:lang w:val="es-CR"/>
              </w:rPr>
              <w:t xml:space="preserve"> </w:t>
            </w:r>
            <w:r w:rsidRPr="006362E9">
              <w:rPr>
                <w:rFonts w:eastAsia="Times New Roman" w:cs="Calibri"/>
                <w:color w:val="000000"/>
                <w:lang w:val="es-CR"/>
              </w:rPr>
              <w:t>en</w:t>
            </w:r>
            <w:r w:rsidR="00D142B9">
              <w:rPr>
                <w:rFonts w:eastAsia="Times New Roman" w:cs="Calibri"/>
                <w:color w:val="000000"/>
                <w:lang w:val="es-CR"/>
              </w:rPr>
              <w:t xml:space="preserve"> </w:t>
            </w:r>
            <w:r w:rsidRPr="006362E9">
              <w:rPr>
                <w:rFonts w:eastAsia="Times New Roman" w:cs="Calibri"/>
                <w:color w:val="000000"/>
                <w:lang w:val="es-CR"/>
              </w:rPr>
              <w:t>la</w:t>
            </w:r>
            <w:r w:rsidR="00D142B9">
              <w:rPr>
                <w:rFonts w:eastAsia="Times New Roman" w:cs="Calibri"/>
                <w:color w:val="000000"/>
                <w:lang w:val="es-CR"/>
              </w:rPr>
              <w:t xml:space="preserve"> </w:t>
            </w:r>
            <w:r w:rsidRPr="006362E9">
              <w:rPr>
                <w:rFonts w:eastAsia="Times New Roman" w:cs="Calibri"/>
                <w:color w:val="000000"/>
                <w:lang w:val="es-CR"/>
              </w:rPr>
              <w:t>cuenta</w:t>
            </w:r>
            <w:r w:rsidR="00D142B9">
              <w:rPr>
                <w:rFonts w:eastAsia="Times New Roman" w:cs="Calibri"/>
                <w:color w:val="000000"/>
                <w:lang w:val="es-CR"/>
              </w:rPr>
              <w:t xml:space="preserve"> </w:t>
            </w:r>
            <w:r w:rsidRPr="006362E9">
              <w:rPr>
                <w:rFonts w:eastAsia="Times New Roman" w:cs="Calibri"/>
                <w:color w:val="000000"/>
                <w:lang w:val="es-CR"/>
              </w:rPr>
              <w:t>del correspondiente fondo</w:t>
            </w:r>
            <w:r>
              <w:rPr>
                <w:rFonts w:eastAsia="Times New Roman" w:cs="Calibri"/>
                <w:color w:val="000000"/>
                <w:lang w:val="es-CR"/>
              </w:rPr>
              <w:t xml:space="preserve"> </w:t>
            </w:r>
            <w:r w:rsidRPr="006362E9">
              <w:rPr>
                <w:rFonts w:eastAsia="Times New Roman" w:cs="Calibri"/>
                <w:color w:val="000000"/>
                <w:lang w:val="es-CR"/>
              </w:rPr>
              <w:t>en la operadora de origen y que, a partir de la concreción del traslado, otro saldo en la operadora de destino, producto del ingreso de los posteriores</w:t>
            </w:r>
            <w:r>
              <w:rPr>
                <w:rFonts w:eastAsia="Times New Roman" w:cs="Calibri"/>
                <w:color w:val="000000"/>
                <w:lang w:val="es-CR"/>
              </w:rPr>
              <w:t xml:space="preserve"> </w:t>
            </w:r>
            <w:r w:rsidRPr="006362E9">
              <w:rPr>
                <w:rFonts w:eastAsia="Times New Roman" w:cs="Calibri"/>
                <w:color w:val="000000"/>
                <w:lang w:val="es-CR"/>
              </w:rPr>
              <w:t>aportes.</w:t>
            </w:r>
          </w:p>
        </w:tc>
      </w:tr>
      <w:tr w:rsidR="0087113D" w:rsidRPr="00B836A6" w14:paraId="611B85E6" w14:textId="77777777" w:rsidTr="004D0DCE">
        <w:trPr>
          <w:trHeight w:val="957"/>
          <w:jc w:val="center"/>
        </w:trPr>
        <w:tc>
          <w:tcPr>
            <w:cnfStyle w:val="001000000000" w:firstRow="0" w:lastRow="0" w:firstColumn="1" w:lastColumn="0" w:oddVBand="0" w:evenVBand="0" w:oddHBand="0" w:evenHBand="0" w:firstRowFirstColumn="0" w:firstRowLastColumn="0" w:lastRowFirstColumn="0" w:lastRowLastColumn="0"/>
            <w:tcW w:w="3256" w:type="dxa"/>
            <w:noWrap/>
          </w:tcPr>
          <w:p w14:paraId="72EEF993" w14:textId="5F31C95C" w:rsidR="00645079" w:rsidRDefault="0087113D" w:rsidP="0021212F">
            <w:pPr>
              <w:jc w:val="both"/>
              <w:rPr>
                <w:rFonts w:eastAsia="Times New Roman" w:cs="Calibri"/>
                <w:b w:val="0"/>
                <w:bCs w:val="0"/>
                <w:color w:val="000000"/>
                <w:lang w:val="es-CR"/>
              </w:rPr>
            </w:pPr>
            <w:r>
              <w:rPr>
                <w:rFonts w:eastAsia="Times New Roman" w:cs="Calibri"/>
                <w:color w:val="000000"/>
                <w:lang w:val="es-CR"/>
              </w:rPr>
              <w:t>SP-A-223</w:t>
            </w:r>
            <w:r w:rsidR="00645079">
              <w:rPr>
                <w:rFonts w:eastAsia="Times New Roman" w:cs="Calibri"/>
                <w:color w:val="000000"/>
                <w:lang w:val="es-CR"/>
              </w:rPr>
              <w:t xml:space="preserve"> </w:t>
            </w:r>
            <w:r w:rsidRPr="00EC5696">
              <w:rPr>
                <w:rFonts w:eastAsia="Times New Roman" w:cs="Calibri"/>
                <w:color w:val="000000"/>
                <w:lang w:val="es-CR"/>
              </w:rPr>
              <w:t xml:space="preserve">Disposiciones </w:t>
            </w:r>
            <w:r w:rsidR="008D637D">
              <w:rPr>
                <w:rFonts w:eastAsia="Times New Roman" w:cs="Calibri"/>
                <w:color w:val="000000"/>
                <w:lang w:val="es-CR"/>
              </w:rPr>
              <w:t>s</w:t>
            </w:r>
            <w:r w:rsidRPr="00EC5696">
              <w:rPr>
                <w:rFonts w:eastAsia="Times New Roman" w:cs="Calibri"/>
                <w:color w:val="000000"/>
                <w:lang w:val="es-CR"/>
              </w:rPr>
              <w:t xml:space="preserve">obre el derecho de libre transferencia de los afiliados entre entidades autorizadas. </w:t>
            </w:r>
          </w:p>
          <w:p w14:paraId="411B2EB4" w14:textId="6EBA0F6F" w:rsidR="0087113D" w:rsidRPr="007B4BFA" w:rsidRDefault="0087113D" w:rsidP="0021212F">
            <w:pPr>
              <w:jc w:val="both"/>
              <w:rPr>
                <w:rFonts w:eastAsia="Times New Roman" w:cs="Calibri"/>
                <w:color w:val="000000"/>
                <w:lang w:val="es-CR"/>
              </w:rPr>
            </w:pPr>
            <w:r w:rsidRPr="00EC5696">
              <w:rPr>
                <w:rFonts w:eastAsia="Times New Roman" w:cs="Calibri"/>
                <w:color w:val="000000"/>
                <w:lang w:val="es-CR"/>
              </w:rPr>
              <w:t>Vigente a partir del 01 de noviembre de 2020</w:t>
            </w:r>
          </w:p>
        </w:tc>
        <w:tc>
          <w:tcPr>
            <w:tcW w:w="8788" w:type="dxa"/>
          </w:tcPr>
          <w:p w14:paraId="4ADB7B71" w14:textId="2FD69932" w:rsidR="0087113D" w:rsidRDefault="0087113D" w:rsidP="0021212F">
            <w:pPr>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Pr>
                <w:rFonts w:eastAsia="Times New Roman" w:cs="Calibri"/>
                <w:color w:val="000000"/>
                <w:lang w:val="es-CR"/>
              </w:rPr>
              <w:t xml:space="preserve">Producto de la reforma al artículo 103 y la adición del artículo 103 bis </w:t>
            </w:r>
            <w:r w:rsidRPr="00606493">
              <w:rPr>
                <w:rFonts w:eastAsia="Times New Roman" w:cs="Calibri"/>
                <w:color w:val="000000"/>
                <w:lang w:val="es-CR"/>
              </w:rPr>
              <w:t>del Reglamento</w:t>
            </w:r>
            <w:r w:rsidR="00D142B9">
              <w:rPr>
                <w:rFonts w:eastAsia="Times New Roman" w:cs="Calibri"/>
                <w:color w:val="000000"/>
                <w:lang w:val="es-CR"/>
              </w:rPr>
              <w:t xml:space="preserve"> </w:t>
            </w:r>
            <w:r w:rsidRPr="00606493">
              <w:rPr>
                <w:rFonts w:eastAsia="Times New Roman" w:cs="Calibri"/>
                <w:color w:val="000000"/>
                <w:lang w:val="es-CR"/>
              </w:rPr>
              <w:t>sobre</w:t>
            </w:r>
            <w:r w:rsidR="00D142B9">
              <w:rPr>
                <w:rFonts w:eastAsia="Times New Roman" w:cs="Calibri"/>
                <w:color w:val="000000"/>
                <w:lang w:val="es-CR"/>
              </w:rPr>
              <w:t xml:space="preserve"> </w:t>
            </w:r>
            <w:r w:rsidRPr="00606493">
              <w:rPr>
                <w:rFonts w:eastAsia="Times New Roman" w:cs="Calibri"/>
                <w:color w:val="000000"/>
                <w:lang w:val="es-CR"/>
              </w:rPr>
              <w:t>la</w:t>
            </w:r>
            <w:r w:rsidR="00D142B9">
              <w:rPr>
                <w:rFonts w:eastAsia="Times New Roman" w:cs="Calibri"/>
                <w:color w:val="000000"/>
                <w:lang w:val="es-CR"/>
              </w:rPr>
              <w:t xml:space="preserve"> </w:t>
            </w:r>
            <w:r w:rsidRPr="00606493">
              <w:rPr>
                <w:rFonts w:eastAsia="Times New Roman" w:cs="Calibri"/>
                <w:color w:val="000000"/>
                <w:lang w:val="es-CR"/>
              </w:rPr>
              <w:t>apertura</w:t>
            </w:r>
            <w:r w:rsidR="00D142B9">
              <w:rPr>
                <w:rFonts w:eastAsia="Times New Roman" w:cs="Calibri"/>
                <w:color w:val="000000"/>
                <w:lang w:val="es-CR"/>
              </w:rPr>
              <w:t xml:space="preserve"> </w:t>
            </w:r>
            <w:r w:rsidRPr="00606493">
              <w:rPr>
                <w:rFonts w:eastAsia="Times New Roman" w:cs="Calibri"/>
                <w:color w:val="000000"/>
                <w:lang w:val="es-CR"/>
              </w:rPr>
              <w:t>y</w:t>
            </w:r>
            <w:r w:rsidR="00D142B9">
              <w:rPr>
                <w:rFonts w:eastAsia="Times New Roman" w:cs="Calibri"/>
                <w:color w:val="000000"/>
                <w:lang w:val="es-CR"/>
              </w:rPr>
              <w:t xml:space="preserve"> </w:t>
            </w:r>
            <w:r w:rsidRPr="00606493">
              <w:rPr>
                <w:rFonts w:eastAsia="Times New Roman" w:cs="Calibri"/>
                <w:color w:val="000000"/>
                <w:lang w:val="es-CR"/>
              </w:rPr>
              <w:t>funcionamiento</w:t>
            </w:r>
            <w:r w:rsidR="00D142B9">
              <w:rPr>
                <w:rFonts w:eastAsia="Times New Roman" w:cs="Calibri"/>
                <w:color w:val="000000"/>
                <w:lang w:val="es-CR"/>
              </w:rPr>
              <w:t xml:space="preserve"> </w:t>
            </w:r>
            <w:r w:rsidR="00F06A42">
              <w:rPr>
                <w:rFonts w:eastAsia="Times New Roman" w:cs="Calibri"/>
                <w:color w:val="000000"/>
                <w:lang w:val="es-CR"/>
              </w:rPr>
              <w:t>se</w:t>
            </w:r>
            <w:r>
              <w:rPr>
                <w:rFonts w:eastAsia="Times New Roman" w:cs="Calibri"/>
                <w:color w:val="000000"/>
                <w:lang w:val="es-CR"/>
              </w:rPr>
              <w:t xml:space="preserve"> </w:t>
            </w:r>
            <w:r w:rsidR="009D1423">
              <w:rPr>
                <w:rFonts w:eastAsia="Times New Roman" w:cs="Calibri"/>
                <w:color w:val="000000"/>
                <w:lang w:val="es-CR"/>
              </w:rPr>
              <w:t xml:space="preserve">emite </w:t>
            </w:r>
            <w:r>
              <w:rPr>
                <w:rFonts w:eastAsia="Times New Roman" w:cs="Calibri"/>
                <w:color w:val="000000"/>
                <w:lang w:val="es-CR"/>
              </w:rPr>
              <w:t>acuerdo</w:t>
            </w:r>
            <w:r w:rsidR="00B967BF">
              <w:rPr>
                <w:rFonts w:eastAsia="Times New Roman" w:cs="Calibri"/>
                <w:color w:val="000000"/>
                <w:lang w:val="es-CR"/>
              </w:rPr>
              <w:t>,</w:t>
            </w:r>
            <w:r>
              <w:rPr>
                <w:rFonts w:eastAsia="Times New Roman" w:cs="Calibri"/>
                <w:color w:val="000000"/>
                <w:lang w:val="es-CR"/>
              </w:rPr>
              <w:t xml:space="preserve"> </w:t>
            </w:r>
            <w:r w:rsidR="009D1423">
              <w:rPr>
                <w:rFonts w:eastAsia="Times New Roman" w:cs="Calibri"/>
                <w:color w:val="000000"/>
                <w:lang w:val="es-CR"/>
              </w:rPr>
              <w:t>el cual</w:t>
            </w:r>
            <w:r>
              <w:rPr>
                <w:rFonts w:eastAsia="Times New Roman" w:cs="Calibri"/>
                <w:color w:val="000000"/>
                <w:lang w:val="es-CR"/>
              </w:rPr>
              <w:t xml:space="preserve"> establece </w:t>
            </w:r>
            <w:r w:rsidRPr="00EC5696">
              <w:rPr>
                <w:rFonts w:eastAsia="Times New Roman" w:cs="Calibri"/>
                <w:color w:val="000000"/>
                <w:lang w:val="es-CR"/>
              </w:rPr>
              <w:t>el procedimiento y demás condiciones que se requieran para que el derecho de los</w:t>
            </w:r>
            <w:r w:rsidR="00D142B9">
              <w:rPr>
                <w:rFonts w:eastAsia="Times New Roman" w:cs="Calibri"/>
                <w:color w:val="000000"/>
                <w:lang w:val="es-CR"/>
              </w:rPr>
              <w:t xml:space="preserve"> </w:t>
            </w:r>
            <w:r w:rsidRPr="00EC5696">
              <w:rPr>
                <w:rFonts w:eastAsia="Times New Roman" w:cs="Calibri"/>
                <w:color w:val="000000"/>
                <w:lang w:val="es-CR"/>
              </w:rPr>
              <w:t>afiliados</w:t>
            </w:r>
            <w:r w:rsidR="00D142B9">
              <w:rPr>
                <w:rFonts w:eastAsia="Times New Roman" w:cs="Calibri"/>
                <w:color w:val="000000"/>
                <w:lang w:val="es-CR"/>
              </w:rPr>
              <w:t xml:space="preserve"> </w:t>
            </w:r>
            <w:r w:rsidRPr="00EC5696">
              <w:rPr>
                <w:rFonts w:eastAsia="Times New Roman" w:cs="Calibri"/>
                <w:color w:val="000000"/>
                <w:lang w:val="es-CR"/>
              </w:rPr>
              <w:t>a</w:t>
            </w:r>
            <w:r w:rsidR="00D142B9">
              <w:rPr>
                <w:rFonts w:eastAsia="Times New Roman" w:cs="Calibri"/>
                <w:color w:val="000000"/>
                <w:lang w:val="es-CR"/>
              </w:rPr>
              <w:t xml:space="preserve"> </w:t>
            </w:r>
            <w:r w:rsidRPr="00EC5696">
              <w:rPr>
                <w:rFonts w:eastAsia="Times New Roman" w:cs="Calibri"/>
                <w:color w:val="000000"/>
                <w:lang w:val="es-CR"/>
              </w:rPr>
              <w:t>transferir</w:t>
            </w:r>
            <w:r w:rsidR="00D142B9">
              <w:rPr>
                <w:rFonts w:eastAsia="Times New Roman" w:cs="Calibri"/>
                <w:color w:val="000000"/>
                <w:lang w:val="es-CR"/>
              </w:rPr>
              <w:t xml:space="preserve"> </w:t>
            </w:r>
            <w:r w:rsidRPr="00EC5696">
              <w:rPr>
                <w:rFonts w:eastAsia="Times New Roman" w:cs="Calibri"/>
                <w:color w:val="000000"/>
                <w:lang w:val="es-CR"/>
              </w:rPr>
              <w:t>sus</w:t>
            </w:r>
            <w:r w:rsidR="00D142B9">
              <w:rPr>
                <w:rFonts w:eastAsia="Times New Roman" w:cs="Calibri"/>
                <w:color w:val="000000"/>
                <w:lang w:val="es-CR"/>
              </w:rPr>
              <w:t xml:space="preserve"> </w:t>
            </w:r>
            <w:r w:rsidRPr="00EC5696">
              <w:rPr>
                <w:rFonts w:eastAsia="Times New Roman" w:cs="Calibri"/>
                <w:color w:val="000000"/>
                <w:lang w:val="es-CR"/>
              </w:rPr>
              <w:t>recursos</w:t>
            </w:r>
            <w:r w:rsidR="00D142B9">
              <w:rPr>
                <w:rFonts w:eastAsia="Times New Roman" w:cs="Calibri"/>
                <w:color w:val="000000"/>
                <w:lang w:val="es-CR"/>
              </w:rPr>
              <w:t xml:space="preserve"> </w:t>
            </w:r>
            <w:r w:rsidRPr="00EC5696">
              <w:rPr>
                <w:rFonts w:eastAsia="Times New Roman" w:cs="Calibri"/>
                <w:color w:val="000000"/>
                <w:lang w:val="es-CR"/>
              </w:rPr>
              <w:t>a</w:t>
            </w:r>
            <w:r w:rsidR="00D142B9">
              <w:rPr>
                <w:rFonts w:eastAsia="Times New Roman" w:cs="Calibri"/>
                <w:color w:val="000000"/>
                <w:lang w:val="es-CR"/>
              </w:rPr>
              <w:t xml:space="preserve"> </w:t>
            </w:r>
            <w:r w:rsidRPr="00EC5696">
              <w:rPr>
                <w:rFonts w:eastAsia="Times New Roman" w:cs="Calibri"/>
                <w:color w:val="000000"/>
                <w:lang w:val="es-CR"/>
              </w:rPr>
              <w:t>otra</w:t>
            </w:r>
            <w:r w:rsidR="00D142B9">
              <w:rPr>
                <w:rFonts w:eastAsia="Times New Roman" w:cs="Calibri"/>
                <w:color w:val="000000"/>
                <w:lang w:val="es-CR"/>
              </w:rPr>
              <w:t xml:space="preserve"> </w:t>
            </w:r>
            <w:r w:rsidRPr="00EC5696">
              <w:rPr>
                <w:rFonts w:eastAsia="Times New Roman" w:cs="Calibri"/>
                <w:color w:val="000000"/>
                <w:lang w:val="es-CR"/>
              </w:rPr>
              <w:t>operadora</w:t>
            </w:r>
            <w:r w:rsidR="00D142B9">
              <w:rPr>
                <w:rFonts w:eastAsia="Times New Roman" w:cs="Calibri"/>
                <w:color w:val="000000"/>
                <w:lang w:val="es-CR"/>
              </w:rPr>
              <w:t xml:space="preserve"> </w:t>
            </w:r>
            <w:r w:rsidRPr="00EC5696">
              <w:rPr>
                <w:rFonts w:eastAsia="Times New Roman" w:cs="Calibri"/>
                <w:color w:val="000000"/>
                <w:lang w:val="es-CR"/>
              </w:rPr>
              <w:t>sea</w:t>
            </w:r>
            <w:r w:rsidR="00D142B9">
              <w:rPr>
                <w:rFonts w:eastAsia="Times New Roman" w:cs="Calibri"/>
                <w:color w:val="000000"/>
                <w:lang w:val="es-CR"/>
              </w:rPr>
              <w:t xml:space="preserve"> </w:t>
            </w:r>
            <w:r w:rsidRPr="00EC5696">
              <w:rPr>
                <w:rFonts w:eastAsia="Times New Roman" w:cs="Calibri"/>
                <w:color w:val="000000"/>
                <w:lang w:val="es-CR"/>
              </w:rPr>
              <w:t>ejercido</w:t>
            </w:r>
            <w:r w:rsidR="00D142B9">
              <w:rPr>
                <w:rFonts w:eastAsia="Times New Roman" w:cs="Calibri"/>
                <w:color w:val="000000"/>
                <w:lang w:val="es-CR"/>
              </w:rPr>
              <w:t xml:space="preserve"> </w:t>
            </w:r>
            <w:r w:rsidRPr="00EC5696">
              <w:rPr>
                <w:rFonts w:eastAsia="Times New Roman" w:cs="Calibri"/>
                <w:color w:val="000000"/>
                <w:lang w:val="es-CR"/>
              </w:rPr>
              <w:t>de</w:t>
            </w:r>
            <w:r w:rsidR="00D142B9">
              <w:rPr>
                <w:rFonts w:eastAsia="Times New Roman" w:cs="Calibri"/>
                <w:color w:val="000000"/>
                <w:lang w:val="es-CR"/>
              </w:rPr>
              <w:t xml:space="preserve"> </w:t>
            </w:r>
            <w:r w:rsidRPr="00EC5696">
              <w:rPr>
                <w:rFonts w:eastAsia="Times New Roman" w:cs="Calibri"/>
                <w:color w:val="000000"/>
                <w:lang w:val="es-CR"/>
              </w:rPr>
              <w:t>forma</w:t>
            </w:r>
            <w:r w:rsidR="00D142B9">
              <w:rPr>
                <w:rFonts w:eastAsia="Times New Roman" w:cs="Calibri"/>
                <w:color w:val="000000"/>
                <w:lang w:val="es-CR"/>
              </w:rPr>
              <w:t xml:space="preserve"> </w:t>
            </w:r>
            <w:r w:rsidRPr="00EC5696">
              <w:rPr>
                <w:rFonts w:eastAsia="Times New Roman" w:cs="Calibri"/>
                <w:color w:val="000000"/>
                <w:lang w:val="es-CR"/>
              </w:rPr>
              <w:t>segura, transparente</w:t>
            </w:r>
            <w:r w:rsidR="00D142B9">
              <w:rPr>
                <w:rFonts w:eastAsia="Times New Roman" w:cs="Calibri"/>
                <w:color w:val="000000"/>
                <w:lang w:val="es-CR"/>
              </w:rPr>
              <w:t xml:space="preserve"> </w:t>
            </w:r>
            <w:r w:rsidRPr="00EC5696">
              <w:rPr>
                <w:rFonts w:eastAsia="Times New Roman" w:cs="Calibri"/>
                <w:color w:val="000000"/>
                <w:lang w:val="es-CR"/>
              </w:rPr>
              <w:t>y</w:t>
            </w:r>
            <w:r w:rsidR="00D142B9">
              <w:rPr>
                <w:rFonts w:eastAsia="Times New Roman" w:cs="Calibri"/>
                <w:color w:val="000000"/>
                <w:lang w:val="es-CR"/>
              </w:rPr>
              <w:t xml:space="preserve"> </w:t>
            </w:r>
            <w:r w:rsidRPr="00EC5696">
              <w:rPr>
                <w:rFonts w:eastAsia="Times New Roman" w:cs="Calibri"/>
                <w:color w:val="000000"/>
                <w:lang w:val="es-CR"/>
              </w:rPr>
              <w:t>trazable</w:t>
            </w:r>
            <w:r>
              <w:rPr>
                <w:rFonts w:eastAsia="Times New Roman" w:cs="Calibri"/>
                <w:color w:val="000000"/>
                <w:lang w:val="es-CR"/>
              </w:rPr>
              <w:t>.</w:t>
            </w:r>
          </w:p>
        </w:tc>
      </w:tr>
      <w:tr w:rsidR="0087113D" w:rsidRPr="00B836A6" w14:paraId="33804297" w14:textId="77777777" w:rsidTr="004D0DCE">
        <w:trPr>
          <w:cnfStyle w:val="000000100000" w:firstRow="0" w:lastRow="0" w:firstColumn="0" w:lastColumn="0" w:oddVBand="0" w:evenVBand="0" w:oddHBand="1" w:evenHBand="0" w:firstRowFirstColumn="0" w:firstRowLastColumn="0" w:lastRowFirstColumn="0" w:lastRowLastColumn="0"/>
          <w:trHeight w:val="957"/>
          <w:jc w:val="center"/>
        </w:trPr>
        <w:tc>
          <w:tcPr>
            <w:cnfStyle w:val="001000000000" w:firstRow="0" w:lastRow="0" w:firstColumn="1" w:lastColumn="0" w:oddVBand="0" w:evenVBand="0" w:oddHBand="0" w:evenHBand="0" w:firstRowFirstColumn="0" w:firstRowLastColumn="0" w:lastRowFirstColumn="0" w:lastRowLastColumn="0"/>
            <w:tcW w:w="3256" w:type="dxa"/>
            <w:noWrap/>
          </w:tcPr>
          <w:p w14:paraId="1B0B48F9" w14:textId="45F45692" w:rsidR="0087113D" w:rsidRDefault="0087113D" w:rsidP="0021212F">
            <w:pPr>
              <w:jc w:val="both"/>
              <w:rPr>
                <w:rFonts w:eastAsia="Times New Roman" w:cs="Calibri"/>
                <w:color w:val="000000"/>
                <w:lang w:val="es-CR"/>
              </w:rPr>
            </w:pPr>
            <w:r>
              <w:rPr>
                <w:rFonts w:eastAsia="Times New Roman" w:cs="Calibri"/>
                <w:color w:val="000000"/>
                <w:lang w:val="es-CR"/>
              </w:rPr>
              <w:t>SP-A-224</w:t>
            </w:r>
            <w:r w:rsidR="00645079">
              <w:rPr>
                <w:rFonts w:eastAsia="Times New Roman" w:cs="Calibri"/>
                <w:color w:val="000000"/>
                <w:lang w:val="es-CR"/>
              </w:rPr>
              <w:t xml:space="preserve"> </w:t>
            </w:r>
            <w:r>
              <w:rPr>
                <w:rFonts w:eastAsia="Times New Roman" w:cs="Calibri"/>
                <w:color w:val="000000"/>
                <w:lang w:val="es-CR"/>
              </w:rPr>
              <w:t>Lineamientos para la aplicación diferenciada de la normativa para el cumplimiento de la Ley 8204</w:t>
            </w:r>
          </w:p>
        </w:tc>
        <w:tc>
          <w:tcPr>
            <w:tcW w:w="8788" w:type="dxa"/>
          </w:tcPr>
          <w:p w14:paraId="1AFB3DD8" w14:textId="0CCA1A90" w:rsidR="0087113D" w:rsidRDefault="0087113D" w:rsidP="0021212F">
            <w:p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DD77AA">
              <w:rPr>
                <w:rFonts w:eastAsia="Times New Roman" w:cs="Calibri"/>
                <w:color w:val="000000"/>
                <w:lang w:val="es-CR"/>
              </w:rPr>
              <w:t>Es</w:t>
            </w:r>
            <w:r w:rsidR="00621A99">
              <w:rPr>
                <w:rFonts w:eastAsia="Times New Roman" w:cs="Calibri"/>
                <w:color w:val="000000"/>
                <w:lang w:val="es-CR"/>
              </w:rPr>
              <w:t xml:space="preserve">tablece </w:t>
            </w:r>
            <w:r w:rsidRPr="00DD77AA">
              <w:rPr>
                <w:rFonts w:eastAsia="Times New Roman" w:cs="Calibri"/>
                <w:color w:val="000000"/>
                <w:lang w:val="es-CR"/>
              </w:rPr>
              <w:t xml:space="preserve">los principios </w:t>
            </w:r>
            <w:r w:rsidR="00645079" w:rsidRPr="00DD77AA">
              <w:rPr>
                <w:rFonts w:eastAsia="Times New Roman" w:cs="Calibri"/>
                <w:color w:val="000000"/>
                <w:lang w:val="es-CR"/>
              </w:rPr>
              <w:t>que deberán</w:t>
            </w:r>
            <w:r w:rsidR="00D142B9">
              <w:rPr>
                <w:rFonts w:eastAsia="Times New Roman" w:cs="Calibri"/>
                <w:color w:val="000000"/>
                <w:lang w:val="es-CR"/>
              </w:rPr>
              <w:t xml:space="preserve"> </w:t>
            </w:r>
            <w:r w:rsidRPr="00DD77AA">
              <w:rPr>
                <w:rFonts w:eastAsia="Times New Roman" w:cs="Calibri"/>
                <w:color w:val="000000"/>
                <w:lang w:val="es-CR"/>
              </w:rPr>
              <w:t>observar</w:t>
            </w:r>
            <w:r w:rsidR="00D142B9">
              <w:rPr>
                <w:rFonts w:eastAsia="Times New Roman" w:cs="Calibri"/>
                <w:color w:val="000000"/>
                <w:lang w:val="es-CR"/>
              </w:rPr>
              <w:t xml:space="preserve"> </w:t>
            </w:r>
            <w:r w:rsidRPr="00DD77AA">
              <w:rPr>
                <w:rFonts w:eastAsia="Times New Roman" w:cs="Calibri"/>
                <w:color w:val="000000"/>
                <w:lang w:val="es-CR"/>
              </w:rPr>
              <w:t>las</w:t>
            </w:r>
            <w:r w:rsidR="00D142B9">
              <w:rPr>
                <w:rFonts w:eastAsia="Times New Roman" w:cs="Calibri"/>
                <w:color w:val="000000"/>
                <w:lang w:val="es-CR"/>
              </w:rPr>
              <w:t xml:space="preserve"> </w:t>
            </w:r>
            <w:r w:rsidR="00621A99">
              <w:rPr>
                <w:rFonts w:eastAsia="Times New Roman" w:cs="Calibri"/>
                <w:color w:val="000000"/>
                <w:lang w:val="es-CR"/>
              </w:rPr>
              <w:t>OPC</w:t>
            </w:r>
            <w:r w:rsidR="00D142B9">
              <w:rPr>
                <w:rFonts w:eastAsia="Times New Roman" w:cs="Calibri"/>
                <w:color w:val="000000"/>
                <w:lang w:val="es-CR"/>
              </w:rPr>
              <w:t xml:space="preserve"> </w:t>
            </w:r>
            <w:r w:rsidRPr="00DD77AA">
              <w:rPr>
                <w:rFonts w:eastAsia="Times New Roman" w:cs="Calibri"/>
                <w:color w:val="000000"/>
                <w:lang w:val="es-CR"/>
              </w:rPr>
              <w:t>para</w:t>
            </w:r>
            <w:r w:rsidR="00D142B9">
              <w:rPr>
                <w:rFonts w:eastAsia="Times New Roman" w:cs="Calibri"/>
                <w:color w:val="000000"/>
                <w:lang w:val="es-CR"/>
              </w:rPr>
              <w:t xml:space="preserve"> </w:t>
            </w:r>
            <w:r w:rsidRPr="00DD77AA">
              <w:rPr>
                <w:rFonts w:eastAsia="Times New Roman" w:cs="Calibri"/>
                <w:color w:val="000000"/>
                <w:lang w:val="es-CR"/>
              </w:rPr>
              <w:t>declarar</w:t>
            </w:r>
            <w:r w:rsidR="00D142B9">
              <w:rPr>
                <w:rFonts w:eastAsia="Times New Roman" w:cs="Calibri"/>
                <w:color w:val="000000"/>
                <w:lang w:val="es-CR"/>
              </w:rPr>
              <w:t xml:space="preserve"> </w:t>
            </w:r>
            <w:r w:rsidRPr="00DD77AA">
              <w:rPr>
                <w:rFonts w:eastAsia="Times New Roman" w:cs="Calibri"/>
                <w:color w:val="000000"/>
                <w:lang w:val="es-CR"/>
              </w:rPr>
              <w:t>y</w:t>
            </w:r>
            <w:r w:rsidR="00D142B9">
              <w:rPr>
                <w:rFonts w:eastAsia="Times New Roman" w:cs="Calibri"/>
                <w:color w:val="000000"/>
                <w:lang w:val="es-CR"/>
              </w:rPr>
              <w:t xml:space="preserve"> </w:t>
            </w:r>
            <w:r w:rsidRPr="00DD77AA">
              <w:rPr>
                <w:rFonts w:eastAsia="Times New Roman" w:cs="Calibri"/>
                <w:color w:val="000000"/>
                <w:lang w:val="es-CR"/>
              </w:rPr>
              <w:t>aplicar</w:t>
            </w:r>
            <w:r w:rsidR="00D142B9">
              <w:rPr>
                <w:rFonts w:eastAsia="Times New Roman" w:cs="Calibri"/>
                <w:color w:val="000000"/>
                <w:lang w:val="es-CR"/>
              </w:rPr>
              <w:t xml:space="preserve"> </w:t>
            </w:r>
            <w:r w:rsidRPr="00DD77AA">
              <w:rPr>
                <w:rFonts w:eastAsia="Times New Roman" w:cs="Calibri"/>
                <w:color w:val="000000"/>
                <w:lang w:val="es-CR"/>
              </w:rPr>
              <w:t>las</w:t>
            </w:r>
            <w:r w:rsidR="00D142B9">
              <w:rPr>
                <w:rFonts w:eastAsia="Times New Roman" w:cs="Calibri"/>
                <w:color w:val="000000"/>
                <w:lang w:val="es-CR"/>
              </w:rPr>
              <w:t xml:space="preserve"> </w:t>
            </w:r>
            <w:r w:rsidRPr="00DD77AA">
              <w:rPr>
                <w:rFonts w:eastAsia="Times New Roman" w:cs="Calibri"/>
                <w:color w:val="000000"/>
                <w:lang w:val="es-CR"/>
              </w:rPr>
              <w:t>medidas</w:t>
            </w:r>
            <w:r w:rsidR="00D142B9">
              <w:rPr>
                <w:rFonts w:eastAsia="Times New Roman" w:cs="Calibri"/>
                <w:color w:val="000000"/>
                <w:lang w:val="es-CR"/>
              </w:rPr>
              <w:t xml:space="preserve"> </w:t>
            </w:r>
            <w:r w:rsidRPr="00DD77AA">
              <w:rPr>
                <w:rFonts w:eastAsia="Times New Roman" w:cs="Calibri"/>
                <w:color w:val="000000"/>
                <w:lang w:val="es-CR"/>
              </w:rPr>
              <w:t>de</w:t>
            </w:r>
            <w:r w:rsidR="00D142B9">
              <w:rPr>
                <w:rFonts w:eastAsia="Times New Roman" w:cs="Calibri"/>
                <w:color w:val="000000"/>
                <w:lang w:val="es-CR"/>
              </w:rPr>
              <w:t xml:space="preserve"> </w:t>
            </w:r>
            <w:r w:rsidRPr="00DD77AA">
              <w:rPr>
                <w:rFonts w:eastAsia="Times New Roman" w:cs="Calibri"/>
                <w:color w:val="000000"/>
                <w:lang w:val="es-CR"/>
              </w:rPr>
              <w:t>debida</w:t>
            </w:r>
            <w:r w:rsidR="00D142B9">
              <w:rPr>
                <w:rFonts w:eastAsia="Times New Roman" w:cs="Calibri"/>
                <w:color w:val="000000"/>
                <w:lang w:val="es-CR"/>
              </w:rPr>
              <w:t xml:space="preserve"> </w:t>
            </w:r>
            <w:r w:rsidRPr="00DD77AA">
              <w:rPr>
                <w:rFonts w:eastAsia="Times New Roman" w:cs="Calibri"/>
                <w:color w:val="000000"/>
                <w:lang w:val="es-CR"/>
              </w:rPr>
              <w:t>diligencia del cliente,</w:t>
            </w:r>
            <w:r w:rsidR="00D142B9">
              <w:rPr>
                <w:rFonts w:eastAsia="Times New Roman" w:cs="Calibri"/>
                <w:color w:val="000000"/>
                <w:lang w:val="es-CR"/>
              </w:rPr>
              <w:t xml:space="preserve"> </w:t>
            </w:r>
            <w:r w:rsidRPr="00DD77AA">
              <w:rPr>
                <w:rFonts w:eastAsia="Times New Roman" w:cs="Calibri"/>
                <w:color w:val="000000"/>
                <w:lang w:val="es-CR"/>
              </w:rPr>
              <w:t>en</w:t>
            </w:r>
            <w:r w:rsidR="00D142B9">
              <w:rPr>
                <w:rFonts w:eastAsia="Times New Roman" w:cs="Calibri"/>
                <w:color w:val="000000"/>
                <w:lang w:val="es-CR"/>
              </w:rPr>
              <w:t xml:space="preserve"> </w:t>
            </w:r>
            <w:r w:rsidRPr="00DD77AA">
              <w:rPr>
                <w:rFonts w:eastAsia="Times New Roman" w:cs="Calibri"/>
                <w:color w:val="000000"/>
                <w:lang w:val="es-CR"/>
              </w:rPr>
              <w:t>lo</w:t>
            </w:r>
            <w:r w:rsidR="00D142B9">
              <w:rPr>
                <w:rFonts w:eastAsia="Times New Roman" w:cs="Calibri"/>
                <w:color w:val="000000"/>
                <w:lang w:val="es-CR"/>
              </w:rPr>
              <w:t xml:space="preserve"> </w:t>
            </w:r>
            <w:r w:rsidRPr="00DD77AA">
              <w:rPr>
                <w:rFonts w:eastAsia="Times New Roman" w:cs="Calibri"/>
                <w:color w:val="000000"/>
                <w:lang w:val="es-CR"/>
              </w:rPr>
              <w:t>relativo</w:t>
            </w:r>
            <w:r w:rsidR="00D142B9">
              <w:rPr>
                <w:rFonts w:eastAsia="Times New Roman" w:cs="Calibri"/>
                <w:color w:val="000000"/>
                <w:lang w:val="es-CR"/>
              </w:rPr>
              <w:t xml:space="preserve"> </w:t>
            </w:r>
            <w:r w:rsidRPr="00DD77AA">
              <w:rPr>
                <w:rFonts w:eastAsia="Times New Roman" w:cs="Calibri"/>
                <w:color w:val="000000"/>
                <w:lang w:val="es-CR"/>
              </w:rPr>
              <w:t>a</w:t>
            </w:r>
            <w:r w:rsidR="00D142B9">
              <w:rPr>
                <w:rFonts w:eastAsia="Times New Roman" w:cs="Calibri"/>
                <w:color w:val="000000"/>
                <w:lang w:val="es-CR"/>
              </w:rPr>
              <w:t xml:space="preserve"> </w:t>
            </w:r>
            <w:r w:rsidRPr="00DD77AA">
              <w:rPr>
                <w:rFonts w:eastAsia="Times New Roman" w:cs="Calibri"/>
                <w:color w:val="000000"/>
                <w:lang w:val="es-CR"/>
              </w:rPr>
              <w:t>la</w:t>
            </w:r>
            <w:r w:rsidR="00D142B9">
              <w:rPr>
                <w:rFonts w:eastAsia="Times New Roman" w:cs="Calibri"/>
                <w:color w:val="000000"/>
                <w:lang w:val="es-CR"/>
              </w:rPr>
              <w:t xml:space="preserve"> </w:t>
            </w:r>
            <w:r w:rsidRPr="00DD77AA">
              <w:rPr>
                <w:rFonts w:eastAsia="Times New Roman" w:cs="Calibri"/>
                <w:color w:val="000000"/>
                <w:lang w:val="es-CR"/>
              </w:rPr>
              <w:t>identificación</w:t>
            </w:r>
            <w:r w:rsidR="00D142B9">
              <w:rPr>
                <w:rFonts w:eastAsia="Times New Roman" w:cs="Calibri"/>
                <w:color w:val="000000"/>
                <w:lang w:val="es-CR"/>
              </w:rPr>
              <w:t xml:space="preserve"> </w:t>
            </w:r>
            <w:r w:rsidRPr="00DD77AA">
              <w:rPr>
                <w:rFonts w:eastAsia="Times New Roman" w:cs="Calibri"/>
                <w:color w:val="000000"/>
                <w:lang w:val="es-CR"/>
              </w:rPr>
              <w:t>y</w:t>
            </w:r>
            <w:r w:rsidR="00D142B9">
              <w:rPr>
                <w:rFonts w:eastAsia="Times New Roman" w:cs="Calibri"/>
                <w:color w:val="000000"/>
                <w:lang w:val="es-CR"/>
              </w:rPr>
              <w:t xml:space="preserve"> </w:t>
            </w:r>
            <w:r w:rsidRPr="00DD77AA">
              <w:rPr>
                <w:rFonts w:eastAsia="Times New Roman" w:cs="Calibri"/>
                <w:color w:val="000000"/>
                <w:lang w:val="es-CR"/>
              </w:rPr>
              <w:t>gestión</w:t>
            </w:r>
            <w:r w:rsidR="00D142B9">
              <w:rPr>
                <w:rFonts w:eastAsia="Times New Roman" w:cs="Calibri"/>
                <w:color w:val="000000"/>
                <w:lang w:val="es-CR"/>
              </w:rPr>
              <w:t xml:space="preserve"> </w:t>
            </w:r>
            <w:r w:rsidRPr="00DD77AA">
              <w:rPr>
                <w:rFonts w:eastAsia="Times New Roman" w:cs="Calibri"/>
                <w:color w:val="000000"/>
                <w:lang w:val="es-CR"/>
              </w:rPr>
              <w:t>del</w:t>
            </w:r>
            <w:r w:rsidR="00D142B9">
              <w:rPr>
                <w:rFonts w:eastAsia="Times New Roman" w:cs="Calibri"/>
                <w:color w:val="000000"/>
                <w:lang w:val="es-CR"/>
              </w:rPr>
              <w:t xml:space="preserve"> </w:t>
            </w:r>
            <w:r w:rsidRPr="00DD77AA">
              <w:rPr>
                <w:rFonts w:eastAsia="Times New Roman" w:cs="Calibri"/>
                <w:color w:val="000000"/>
                <w:lang w:val="es-CR"/>
              </w:rPr>
              <w:t>riesgo</w:t>
            </w:r>
            <w:r w:rsidR="00D142B9">
              <w:rPr>
                <w:rFonts w:eastAsia="Times New Roman" w:cs="Calibri"/>
                <w:color w:val="000000"/>
                <w:lang w:val="es-CR"/>
              </w:rPr>
              <w:t xml:space="preserve"> </w:t>
            </w:r>
            <w:r w:rsidRPr="00DD77AA">
              <w:rPr>
                <w:rFonts w:eastAsia="Times New Roman" w:cs="Calibri"/>
                <w:color w:val="000000"/>
                <w:lang w:val="es-CR"/>
              </w:rPr>
              <w:t>de</w:t>
            </w:r>
            <w:r w:rsidR="00D142B9">
              <w:rPr>
                <w:rFonts w:eastAsia="Times New Roman" w:cs="Calibri"/>
                <w:color w:val="000000"/>
                <w:lang w:val="es-CR"/>
              </w:rPr>
              <w:t xml:space="preserve"> </w:t>
            </w:r>
            <w:r w:rsidRPr="00DD77AA">
              <w:rPr>
                <w:rFonts w:eastAsia="Times New Roman" w:cs="Calibri"/>
                <w:color w:val="000000"/>
                <w:lang w:val="es-CR"/>
              </w:rPr>
              <w:t>legitimación</w:t>
            </w:r>
            <w:r w:rsidR="00D142B9">
              <w:rPr>
                <w:rFonts w:eastAsia="Times New Roman" w:cs="Calibri"/>
                <w:color w:val="000000"/>
                <w:lang w:val="es-CR"/>
              </w:rPr>
              <w:t xml:space="preserve"> </w:t>
            </w:r>
            <w:r w:rsidRPr="00DD77AA">
              <w:rPr>
                <w:rFonts w:eastAsia="Times New Roman" w:cs="Calibri"/>
                <w:color w:val="000000"/>
                <w:lang w:val="es-CR"/>
              </w:rPr>
              <w:t>de capitales y financiamiento del terrorismo.</w:t>
            </w:r>
          </w:p>
        </w:tc>
      </w:tr>
      <w:tr w:rsidR="0087113D" w:rsidRPr="00B836A6" w14:paraId="1196E781" w14:textId="77777777" w:rsidTr="004D0DCE">
        <w:trPr>
          <w:trHeight w:val="957"/>
          <w:jc w:val="center"/>
        </w:trPr>
        <w:tc>
          <w:tcPr>
            <w:cnfStyle w:val="001000000000" w:firstRow="0" w:lastRow="0" w:firstColumn="1" w:lastColumn="0" w:oddVBand="0" w:evenVBand="0" w:oddHBand="0" w:evenHBand="0" w:firstRowFirstColumn="0" w:firstRowLastColumn="0" w:lastRowFirstColumn="0" w:lastRowLastColumn="0"/>
            <w:tcW w:w="3256" w:type="dxa"/>
            <w:noWrap/>
          </w:tcPr>
          <w:p w14:paraId="43996702" w14:textId="03F114A0" w:rsidR="004A12C4" w:rsidRPr="004A12C4" w:rsidRDefault="0087113D" w:rsidP="0021212F">
            <w:pPr>
              <w:jc w:val="both"/>
              <w:rPr>
                <w:rFonts w:eastAsia="Times New Roman" w:cs="Calibri"/>
                <w:b w:val="0"/>
                <w:bCs w:val="0"/>
                <w:color w:val="000000"/>
                <w:lang w:val="es-CR"/>
              </w:rPr>
            </w:pPr>
            <w:r>
              <w:rPr>
                <w:rFonts w:eastAsia="Times New Roman" w:cs="Calibri"/>
                <w:color w:val="000000"/>
                <w:lang w:val="es-CR"/>
              </w:rPr>
              <w:t>SP-A-225</w:t>
            </w:r>
            <w:r w:rsidR="00050F7B">
              <w:rPr>
                <w:rFonts w:eastAsia="Times New Roman" w:cs="Calibri"/>
                <w:color w:val="000000"/>
                <w:lang w:val="es-CR"/>
              </w:rPr>
              <w:t xml:space="preserve"> </w:t>
            </w:r>
            <w:r>
              <w:t>Disposiciones para la corrección de errores en la gestión de recursos de las cuentas individuales</w:t>
            </w:r>
          </w:p>
        </w:tc>
        <w:tc>
          <w:tcPr>
            <w:tcW w:w="8788" w:type="dxa"/>
          </w:tcPr>
          <w:p w14:paraId="6F119BE7" w14:textId="097AFBAD" w:rsidR="0087113D" w:rsidRPr="00DD77AA" w:rsidRDefault="0087113D" w:rsidP="0021212F">
            <w:pPr>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6D467C">
              <w:rPr>
                <w:rFonts w:eastAsia="Times New Roman" w:cs="Calibri"/>
                <w:color w:val="000000"/>
                <w:lang w:val="es-CR"/>
              </w:rPr>
              <w:t>Est</w:t>
            </w:r>
            <w:r w:rsidR="009C7717">
              <w:rPr>
                <w:rFonts w:eastAsia="Times New Roman" w:cs="Calibri"/>
                <w:color w:val="000000"/>
                <w:lang w:val="es-CR"/>
              </w:rPr>
              <w:t xml:space="preserve">ablece </w:t>
            </w:r>
            <w:r w:rsidRPr="006D467C">
              <w:rPr>
                <w:rFonts w:eastAsia="Times New Roman" w:cs="Calibri"/>
                <w:color w:val="000000"/>
                <w:lang w:val="es-CR"/>
              </w:rPr>
              <w:t xml:space="preserve">los principios y reglas que deben seguirse para la corrección de los errores en que se incurra con motivo de la gestión de los recursos de las cuentas individuales de los afiliados a </w:t>
            </w:r>
            <w:r w:rsidR="00050F7B" w:rsidRPr="006D467C">
              <w:rPr>
                <w:rFonts w:eastAsia="Times New Roman" w:cs="Calibri"/>
                <w:color w:val="000000"/>
                <w:lang w:val="es-CR"/>
              </w:rPr>
              <w:t>las entidades</w:t>
            </w:r>
            <w:r w:rsidRPr="006D467C">
              <w:rPr>
                <w:rFonts w:eastAsia="Times New Roman" w:cs="Calibri"/>
                <w:color w:val="000000"/>
                <w:lang w:val="es-CR"/>
              </w:rPr>
              <w:t xml:space="preserve"> autorizadas a que se refiere el artículo 2 de </w:t>
            </w:r>
            <w:r w:rsidR="00645079">
              <w:rPr>
                <w:rFonts w:eastAsia="Times New Roman" w:cs="Calibri"/>
                <w:color w:val="000000"/>
                <w:lang w:val="es-CR"/>
              </w:rPr>
              <w:t>la LPT</w:t>
            </w:r>
            <w:r w:rsidRPr="006D467C">
              <w:rPr>
                <w:rFonts w:eastAsia="Times New Roman" w:cs="Calibri"/>
                <w:color w:val="000000"/>
                <w:lang w:val="es-CR"/>
              </w:rPr>
              <w:t>.</w:t>
            </w:r>
          </w:p>
        </w:tc>
      </w:tr>
      <w:tr w:rsidR="0087113D" w:rsidRPr="00B836A6" w14:paraId="4ECA9D28" w14:textId="77777777" w:rsidTr="004D0DCE">
        <w:trPr>
          <w:cnfStyle w:val="000000100000" w:firstRow="0" w:lastRow="0" w:firstColumn="0" w:lastColumn="0" w:oddVBand="0" w:evenVBand="0" w:oddHBand="1" w:evenHBand="0" w:firstRowFirstColumn="0" w:firstRowLastColumn="0" w:lastRowFirstColumn="0" w:lastRowLastColumn="0"/>
          <w:trHeight w:val="957"/>
          <w:jc w:val="center"/>
        </w:trPr>
        <w:tc>
          <w:tcPr>
            <w:cnfStyle w:val="001000000000" w:firstRow="0" w:lastRow="0" w:firstColumn="1" w:lastColumn="0" w:oddVBand="0" w:evenVBand="0" w:oddHBand="0" w:evenHBand="0" w:firstRowFirstColumn="0" w:firstRowLastColumn="0" w:lastRowFirstColumn="0" w:lastRowLastColumn="0"/>
            <w:tcW w:w="3256" w:type="dxa"/>
            <w:noWrap/>
          </w:tcPr>
          <w:p w14:paraId="04919601" w14:textId="35D26A8E" w:rsidR="0087113D" w:rsidRPr="00A12E61" w:rsidRDefault="0087113D" w:rsidP="0021212F">
            <w:pPr>
              <w:jc w:val="both"/>
              <w:rPr>
                <w:rFonts w:eastAsia="Times New Roman" w:cs="Calibri"/>
                <w:color w:val="000000"/>
                <w:lang w:val="es-CR"/>
              </w:rPr>
            </w:pPr>
            <w:r>
              <w:rPr>
                <w:rFonts w:eastAsia="Times New Roman" w:cs="Calibri"/>
                <w:color w:val="000000"/>
                <w:lang w:val="es-CR"/>
              </w:rPr>
              <w:t>SP-A-226</w:t>
            </w:r>
            <w:r w:rsidR="00645079">
              <w:rPr>
                <w:rFonts w:eastAsia="Times New Roman" w:cs="Calibri"/>
                <w:color w:val="000000"/>
                <w:lang w:val="es-CR"/>
              </w:rPr>
              <w:t xml:space="preserve"> </w:t>
            </w:r>
            <w:r w:rsidRPr="00410CBD">
              <w:rPr>
                <w:rFonts w:eastAsia="Times New Roman" w:cs="Calibri"/>
                <w:color w:val="000000"/>
                <w:lang w:val="es-CR"/>
              </w:rPr>
              <w:t>Reforma acuerdo SP-A-048</w:t>
            </w:r>
          </w:p>
          <w:p w14:paraId="5054A4B8" w14:textId="77777777" w:rsidR="0087113D" w:rsidRDefault="0087113D" w:rsidP="0021212F">
            <w:pPr>
              <w:jc w:val="both"/>
              <w:rPr>
                <w:rFonts w:eastAsia="Times New Roman" w:cs="Calibri"/>
                <w:color w:val="000000"/>
                <w:lang w:val="es-CR"/>
              </w:rPr>
            </w:pPr>
            <w:r>
              <w:rPr>
                <w:rFonts w:eastAsia="Times New Roman" w:cs="Calibri"/>
                <w:color w:val="000000"/>
              </w:rPr>
              <w:t>C</w:t>
            </w:r>
            <w:r w:rsidRPr="00EB67C2">
              <w:rPr>
                <w:rFonts w:eastAsia="Times New Roman" w:cs="Calibri"/>
                <w:color w:val="000000"/>
              </w:rPr>
              <w:t xml:space="preserve">omunicación de los perfiles de requisitos y beneficios de los regímenes de pensiones creados por leyes especiales </w:t>
            </w:r>
          </w:p>
        </w:tc>
        <w:tc>
          <w:tcPr>
            <w:tcW w:w="8788" w:type="dxa"/>
          </w:tcPr>
          <w:p w14:paraId="676688B7" w14:textId="4D9D4AE4" w:rsidR="0087113D" w:rsidRDefault="0087113D" w:rsidP="0021212F">
            <w:p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5F71A5">
              <w:rPr>
                <w:rFonts w:eastAsia="Times New Roman" w:cs="Calibri"/>
                <w:color w:val="000000"/>
                <w:lang w:val="es-CR"/>
              </w:rPr>
              <w:t xml:space="preserve">Se dejan sin efecto el párrafo segundo del Artículo 3; el Artículo 4. Disposiciones transitorias; el Artículo 5. Vigencia de estas disposiciones, así como el anexo 4) todos del Acuerdo SP-A-048, Disposiciones acerca de la comunicación de los perfiles de requisitos y beneficios de los regímenes de pensiones creados por leyes especiales y regímenes públicos sustitutos al </w:t>
            </w:r>
            <w:r w:rsidR="00133762">
              <w:rPr>
                <w:rFonts w:eastAsia="Times New Roman" w:cs="Calibri"/>
                <w:color w:val="000000"/>
                <w:lang w:val="es-CR"/>
              </w:rPr>
              <w:t>RIVM</w:t>
            </w:r>
            <w:r w:rsidRPr="005F71A5">
              <w:rPr>
                <w:rFonts w:eastAsia="Times New Roman" w:cs="Calibri"/>
                <w:color w:val="000000"/>
                <w:lang w:val="es-CR"/>
              </w:rPr>
              <w:t>.</w:t>
            </w:r>
          </w:p>
          <w:p w14:paraId="6397BA15" w14:textId="176D9CC6" w:rsidR="0087113D" w:rsidRPr="006D467C" w:rsidRDefault="0087113D" w:rsidP="0021212F">
            <w:p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Pr>
                <w:rFonts w:eastAsia="Times New Roman" w:cs="Calibri"/>
                <w:color w:val="000000"/>
                <w:lang w:val="es-CR"/>
              </w:rPr>
              <w:t xml:space="preserve">Lo anterior por cuanto, tales </w:t>
            </w:r>
            <w:r w:rsidRPr="00BE4B64">
              <w:rPr>
                <w:rFonts w:eastAsia="Times New Roman" w:cs="Calibri"/>
                <w:color w:val="000000"/>
                <w:lang w:val="es-CR"/>
              </w:rPr>
              <w:t xml:space="preserve">disposiciones no resultan razonables </w:t>
            </w:r>
            <w:r>
              <w:rPr>
                <w:rFonts w:eastAsia="Times New Roman" w:cs="Calibri"/>
                <w:color w:val="000000"/>
                <w:lang w:val="es-CR"/>
              </w:rPr>
              <w:t xml:space="preserve">y </w:t>
            </w:r>
            <w:r w:rsidRPr="00BE4B64">
              <w:rPr>
                <w:rFonts w:eastAsia="Times New Roman" w:cs="Calibri"/>
                <w:color w:val="000000"/>
                <w:lang w:val="es-CR"/>
              </w:rPr>
              <w:t xml:space="preserve">ya cumplieron su cometido, así como la eliminación de formularios que no solamente no son </w:t>
            </w:r>
            <w:r w:rsidR="00756522" w:rsidRPr="00BE4B64">
              <w:rPr>
                <w:rFonts w:eastAsia="Times New Roman" w:cs="Calibri"/>
                <w:color w:val="000000"/>
                <w:lang w:val="es-CR"/>
              </w:rPr>
              <w:t>necesarios,</w:t>
            </w:r>
            <w:r w:rsidRPr="00BE4B64">
              <w:rPr>
                <w:rFonts w:eastAsia="Times New Roman" w:cs="Calibri"/>
                <w:color w:val="000000"/>
                <w:lang w:val="es-CR"/>
              </w:rPr>
              <w:t xml:space="preserve"> sino que, además, contienen información relativa a los perfiles de requisitos y beneficios que ya no se corresponden con los actualmente vigentes</w:t>
            </w:r>
          </w:p>
        </w:tc>
      </w:tr>
      <w:tr w:rsidR="0087113D" w:rsidRPr="00B836A6" w14:paraId="4EEACF30" w14:textId="77777777" w:rsidTr="004D0DCE">
        <w:trPr>
          <w:trHeight w:val="419"/>
          <w:jc w:val="center"/>
        </w:trPr>
        <w:tc>
          <w:tcPr>
            <w:cnfStyle w:val="001000000000" w:firstRow="0" w:lastRow="0" w:firstColumn="1" w:lastColumn="0" w:oddVBand="0" w:evenVBand="0" w:oddHBand="0" w:evenHBand="0" w:firstRowFirstColumn="0" w:firstRowLastColumn="0" w:lastRowFirstColumn="0" w:lastRowLastColumn="0"/>
            <w:tcW w:w="3256" w:type="dxa"/>
            <w:noWrap/>
          </w:tcPr>
          <w:p w14:paraId="2A30B294" w14:textId="2C0115DF" w:rsidR="0087113D" w:rsidRPr="00645079" w:rsidRDefault="0087113D" w:rsidP="0021212F">
            <w:pPr>
              <w:jc w:val="both"/>
              <w:rPr>
                <w:rFonts w:eastAsia="Times New Roman" w:cs="Calibri"/>
                <w:b w:val="0"/>
                <w:bCs w:val="0"/>
                <w:color w:val="000000"/>
                <w:lang w:val="es-CR"/>
              </w:rPr>
            </w:pPr>
            <w:r>
              <w:rPr>
                <w:rFonts w:eastAsia="Times New Roman" w:cs="Calibri"/>
                <w:color w:val="000000"/>
                <w:lang w:val="es-CR"/>
              </w:rPr>
              <w:t>SP-A-227</w:t>
            </w:r>
            <w:r w:rsidR="00645079">
              <w:rPr>
                <w:rFonts w:eastAsia="Times New Roman" w:cs="Calibri"/>
                <w:b w:val="0"/>
                <w:bCs w:val="0"/>
                <w:color w:val="000000"/>
                <w:lang w:val="es-CR"/>
              </w:rPr>
              <w:t xml:space="preserve"> </w:t>
            </w:r>
            <w:r>
              <w:rPr>
                <w:rFonts w:eastAsia="Times New Roman" w:cs="Calibri"/>
                <w:color w:val="000000"/>
                <w:lang w:val="es-CR"/>
              </w:rPr>
              <w:t xml:space="preserve">Derogatoria de varios acuerdos y oficios </w:t>
            </w:r>
          </w:p>
        </w:tc>
        <w:tc>
          <w:tcPr>
            <w:tcW w:w="8788" w:type="dxa"/>
          </w:tcPr>
          <w:p w14:paraId="07998682" w14:textId="0E1D6792" w:rsidR="0087113D" w:rsidRDefault="0087113D" w:rsidP="0021212F">
            <w:pPr>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Pr>
                <w:rFonts w:eastAsia="Times New Roman" w:cs="Calibri"/>
                <w:color w:val="000000"/>
                <w:lang w:val="es-CR"/>
              </w:rPr>
              <w:t>Producto del proceso permanente de revisión de normativa, se determinó que no resultan necesarias, los siguientes documentos:</w:t>
            </w:r>
          </w:p>
          <w:p w14:paraId="27C9D510" w14:textId="68DDD8C6" w:rsidR="0087113D" w:rsidRPr="00A44C79" w:rsidRDefault="0087113D" w:rsidP="00701F57">
            <w:pPr>
              <w:pStyle w:val="Prrafodelista"/>
              <w:numPr>
                <w:ilvl w:val="0"/>
                <w:numId w:val="21"/>
              </w:numPr>
              <w:ind w:left="41" w:hanging="142"/>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A44C79">
              <w:rPr>
                <w:rFonts w:eastAsia="Times New Roman" w:cs="Calibri"/>
                <w:color w:val="000000"/>
                <w:lang w:val="es-CR"/>
              </w:rPr>
              <w:t>Se dejan sin efecto los oficios SP-045-2002de fecha 14 de enero del 2002, Procedimiento para el retiro de los recursos del ROP y FCL por parte de extranjeros y residentes temporales; SP-1303-2002</w:t>
            </w:r>
            <w:r w:rsidR="00133762">
              <w:rPr>
                <w:rFonts w:eastAsia="Times New Roman" w:cs="Calibri"/>
                <w:color w:val="000000"/>
                <w:lang w:val="es-CR"/>
              </w:rPr>
              <w:t xml:space="preserve"> </w:t>
            </w:r>
            <w:r w:rsidRPr="00A44C79">
              <w:rPr>
                <w:rFonts w:eastAsia="Times New Roman" w:cs="Calibri"/>
                <w:color w:val="000000"/>
                <w:lang w:val="es-CR"/>
              </w:rPr>
              <w:t xml:space="preserve">de las trece horas del día veintiséis de agosto del 2002, Tratamiento de los recursos del </w:t>
            </w:r>
            <w:r w:rsidR="00EC60ED">
              <w:rPr>
                <w:rFonts w:eastAsia="Times New Roman" w:cs="Calibri"/>
                <w:color w:val="000000"/>
                <w:lang w:val="es-CR"/>
              </w:rPr>
              <w:t>FCL</w:t>
            </w:r>
            <w:r w:rsidRPr="00A44C79">
              <w:rPr>
                <w:rFonts w:eastAsia="Times New Roman" w:cs="Calibri"/>
                <w:color w:val="000000"/>
                <w:lang w:val="es-CR"/>
              </w:rPr>
              <w:t xml:space="preserve"> ante el fallecimiento del trabajador; SP-969-2003 de fecha 6 de mayo del 2003, Comunicación del procedimiento a seguir para que los causahabientes retiren los recursos del </w:t>
            </w:r>
            <w:r w:rsidR="00EC60ED">
              <w:rPr>
                <w:rFonts w:eastAsia="Times New Roman" w:cs="Calibri"/>
                <w:color w:val="000000"/>
                <w:lang w:val="es-CR"/>
              </w:rPr>
              <w:t>FCL</w:t>
            </w:r>
            <w:r w:rsidRPr="00A44C79">
              <w:rPr>
                <w:rFonts w:eastAsia="Times New Roman" w:cs="Calibri"/>
                <w:color w:val="000000"/>
                <w:lang w:val="es-CR"/>
              </w:rPr>
              <w:t>; SP-792-2003de fecha</w:t>
            </w:r>
            <w:r w:rsidR="00D142B9" w:rsidRPr="00A44C79">
              <w:rPr>
                <w:rFonts w:eastAsia="Times New Roman" w:cs="Calibri"/>
                <w:color w:val="000000"/>
                <w:lang w:val="es-CR"/>
              </w:rPr>
              <w:t xml:space="preserve"> </w:t>
            </w:r>
            <w:r w:rsidRPr="00A44C79">
              <w:rPr>
                <w:rFonts w:eastAsia="Times New Roman" w:cs="Calibri"/>
                <w:color w:val="000000"/>
                <w:lang w:val="es-CR"/>
              </w:rPr>
              <w:t xml:space="preserve">4 de abril del 2003, Entrega de recursos a causahabientes provenientes del </w:t>
            </w:r>
            <w:r w:rsidR="007D617A">
              <w:rPr>
                <w:rFonts w:eastAsia="Times New Roman" w:cs="Calibri"/>
                <w:color w:val="000000"/>
                <w:lang w:val="es-CR"/>
              </w:rPr>
              <w:t>FCL</w:t>
            </w:r>
            <w:r w:rsidRPr="00A44C79">
              <w:rPr>
                <w:rFonts w:eastAsia="Times New Roman" w:cs="Calibri"/>
                <w:color w:val="000000"/>
                <w:lang w:val="es-CR"/>
              </w:rPr>
              <w:t>;</w:t>
            </w:r>
            <w:r w:rsidR="00EC60ED">
              <w:rPr>
                <w:rFonts w:eastAsia="Times New Roman" w:cs="Calibri"/>
                <w:color w:val="000000"/>
                <w:lang w:val="es-CR"/>
              </w:rPr>
              <w:t xml:space="preserve"> </w:t>
            </w:r>
            <w:r w:rsidRPr="00A44C79">
              <w:rPr>
                <w:rFonts w:eastAsia="Times New Roman" w:cs="Calibri"/>
                <w:color w:val="000000"/>
                <w:lang w:val="es-CR"/>
              </w:rPr>
              <w:t>SP-636de las ocho horas</w:t>
            </w:r>
            <w:r w:rsidR="00D142B9" w:rsidRPr="00A44C79">
              <w:rPr>
                <w:rFonts w:eastAsia="Times New Roman" w:cs="Calibri"/>
                <w:color w:val="000000"/>
                <w:lang w:val="es-CR"/>
              </w:rPr>
              <w:t xml:space="preserve"> </w:t>
            </w:r>
            <w:r w:rsidRPr="00A44C79">
              <w:rPr>
                <w:rFonts w:eastAsia="Times New Roman" w:cs="Calibri"/>
                <w:color w:val="000000"/>
                <w:lang w:val="es-CR"/>
              </w:rPr>
              <w:t>del</w:t>
            </w:r>
            <w:r w:rsidR="00D142B9" w:rsidRPr="00A44C79">
              <w:rPr>
                <w:rFonts w:eastAsia="Times New Roman" w:cs="Calibri"/>
                <w:color w:val="000000"/>
                <w:lang w:val="es-CR"/>
              </w:rPr>
              <w:t xml:space="preserve"> </w:t>
            </w:r>
            <w:r w:rsidRPr="00A44C79">
              <w:rPr>
                <w:rFonts w:eastAsia="Times New Roman" w:cs="Calibri"/>
                <w:color w:val="000000"/>
                <w:lang w:val="es-CR"/>
              </w:rPr>
              <w:t>nueve</w:t>
            </w:r>
            <w:r w:rsidR="00D142B9" w:rsidRPr="00A44C79">
              <w:rPr>
                <w:rFonts w:eastAsia="Times New Roman" w:cs="Calibri"/>
                <w:color w:val="000000"/>
                <w:lang w:val="es-CR"/>
              </w:rPr>
              <w:t xml:space="preserve"> </w:t>
            </w:r>
            <w:r w:rsidRPr="00A44C79">
              <w:rPr>
                <w:rFonts w:eastAsia="Times New Roman" w:cs="Calibri"/>
                <w:color w:val="000000"/>
                <w:lang w:val="es-CR"/>
              </w:rPr>
              <w:t>de</w:t>
            </w:r>
            <w:r w:rsidR="00D142B9" w:rsidRPr="00A44C79">
              <w:rPr>
                <w:rFonts w:eastAsia="Times New Roman" w:cs="Calibri"/>
                <w:color w:val="000000"/>
                <w:lang w:val="es-CR"/>
              </w:rPr>
              <w:t xml:space="preserve"> </w:t>
            </w:r>
            <w:r w:rsidRPr="00A44C79">
              <w:rPr>
                <w:rFonts w:eastAsia="Times New Roman" w:cs="Calibri"/>
                <w:color w:val="000000"/>
                <w:lang w:val="es-CR"/>
              </w:rPr>
              <w:t>mayo</w:t>
            </w:r>
            <w:r w:rsidR="00D142B9" w:rsidRPr="00A44C79">
              <w:rPr>
                <w:rFonts w:eastAsia="Times New Roman" w:cs="Calibri"/>
                <w:color w:val="000000"/>
                <w:lang w:val="es-CR"/>
              </w:rPr>
              <w:t xml:space="preserve"> </w:t>
            </w:r>
            <w:r w:rsidRPr="00A44C79">
              <w:rPr>
                <w:rFonts w:eastAsia="Times New Roman" w:cs="Calibri"/>
                <w:color w:val="000000"/>
                <w:lang w:val="es-CR"/>
              </w:rPr>
              <w:t>del</w:t>
            </w:r>
            <w:r w:rsidR="00D142B9" w:rsidRPr="00A44C79">
              <w:rPr>
                <w:rFonts w:eastAsia="Times New Roman" w:cs="Calibri"/>
                <w:color w:val="000000"/>
                <w:lang w:val="es-CR"/>
              </w:rPr>
              <w:t xml:space="preserve"> </w:t>
            </w:r>
            <w:r w:rsidRPr="00A44C79">
              <w:rPr>
                <w:rFonts w:eastAsia="Times New Roman" w:cs="Calibri"/>
                <w:color w:val="000000"/>
                <w:lang w:val="es-CR"/>
              </w:rPr>
              <w:t>dos</w:t>
            </w:r>
            <w:r w:rsidR="00D142B9" w:rsidRPr="00A44C79">
              <w:rPr>
                <w:rFonts w:eastAsia="Times New Roman" w:cs="Calibri"/>
                <w:color w:val="000000"/>
                <w:lang w:val="es-CR"/>
              </w:rPr>
              <w:t xml:space="preserve"> </w:t>
            </w:r>
            <w:r w:rsidRPr="00A44C79">
              <w:rPr>
                <w:rFonts w:eastAsia="Times New Roman" w:cs="Calibri"/>
                <w:color w:val="000000"/>
                <w:lang w:val="es-CR"/>
              </w:rPr>
              <w:t>mil</w:t>
            </w:r>
            <w:r w:rsidR="00D142B9" w:rsidRPr="00A44C79">
              <w:rPr>
                <w:rFonts w:eastAsia="Times New Roman" w:cs="Calibri"/>
                <w:color w:val="000000"/>
                <w:lang w:val="es-CR"/>
              </w:rPr>
              <w:t xml:space="preserve"> </w:t>
            </w:r>
            <w:r w:rsidRPr="00A44C79">
              <w:rPr>
                <w:rFonts w:eastAsia="Times New Roman" w:cs="Calibri"/>
                <w:color w:val="000000"/>
                <w:lang w:val="es-CR"/>
              </w:rPr>
              <w:t>dos, Disposiciones</w:t>
            </w:r>
            <w:r w:rsidR="00D142B9" w:rsidRPr="00A44C79">
              <w:rPr>
                <w:rFonts w:eastAsia="Times New Roman" w:cs="Calibri"/>
                <w:color w:val="000000"/>
                <w:lang w:val="es-CR"/>
              </w:rPr>
              <w:t xml:space="preserve"> </w:t>
            </w:r>
            <w:r w:rsidRPr="00A44C79">
              <w:rPr>
                <w:rFonts w:eastAsia="Times New Roman" w:cs="Calibri"/>
                <w:color w:val="000000"/>
                <w:lang w:val="es-CR"/>
              </w:rPr>
              <w:t>sobre</w:t>
            </w:r>
            <w:r w:rsidR="00D142B9" w:rsidRPr="00A44C79">
              <w:rPr>
                <w:rFonts w:eastAsia="Times New Roman" w:cs="Calibri"/>
                <w:color w:val="000000"/>
                <w:lang w:val="es-CR"/>
              </w:rPr>
              <w:t xml:space="preserve"> </w:t>
            </w:r>
            <w:r w:rsidRPr="00A44C79">
              <w:rPr>
                <w:rFonts w:eastAsia="Times New Roman" w:cs="Calibri"/>
                <w:color w:val="000000"/>
                <w:lang w:val="es-CR"/>
              </w:rPr>
              <w:t>la</w:t>
            </w:r>
            <w:r w:rsidR="00D142B9" w:rsidRPr="00A44C79">
              <w:rPr>
                <w:rFonts w:eastAsia="Times New Roman" w:cs="Calibri"/>
                <w:color w:val="000000"/>
                <w:lang w:val="es-CR"/>
              </w:rPr>
              <w:t xml:space="preserve"> </w:t>
            </w:r>
            <w:r w:rsidRPr="00A44C79">
              <w:rPr>
                <w:rFonts w:eastAsia="Times New Roman" w:cs="Calibri"/>
                <w:color w:val="000000"/>
                <w:lang w:val="es-CR"/>
              </w:rPr>
              <w:t>transferencia</w:t>
            </w:r>
            <w:r w:rsidR="00D142B9" w:rsidRPr="00A44C79">
              <w:rPr>
                <w:rFonts w:eastAsia="Times New Roman" w:cs="Calibri"/>
                <w:color w:val="000000"/>
                <w:lang w:val="es-CR"/>
              </w:rPr>
              <w:t xml:space="preserve"> </w:t>
            </w:r>
            <w:r w:rsidRPr="00A44C79">
              <w:rPr>
                <w:rFonts w:eastAsia="Times New Roman" w:cs="Calibri"/>
                <w:color w:val="000000"/>
                <w:lang w:val="es-CR"/>
              </w:rPr>
              <w:t>de</w:t>
            </w:r>
            <w:r w:rsidR="00D142B9" w:rsidRPr="00A44C79">
              <w:rPr>
                <w:rFonts w:eastAsia="Times New Roman" w:cs="Calibri"/>
                <w:color w:val="000000"/>
                <w:lang w:val="es-CR"/>
              </w:rPr>
              <w:t xml:space="preserve"> </w:t>
            </w:r>
            <w:r w:rsidRPr="00A44C79">
              <w:rPr>
                <w:rFonts w:eastAsia="Times New Roman" w:cs="Calibri"/>
                <w:color w:val="000000"/>
                <w:lang w:val="es-CR"/>
              </w:rPr>
              <w:t>recursos</w:t>
            </w:r>
            <w:r w:rsidR="00D142B9" w:rsidRPr="00A44C79">
              <w:rPr>
                <w:rFonts w:eastAsia="Times New Roman" w:cs="Calibri"/>
                <w:color w:val="000000"/>
                <w:lang w:val="es-CR"/>
              </w:rPr>
              <w:t xml:space="preserve"> </w:t>
            </w:r>
            <w:r w:rsidRPr="00A44C79">
              <w:rPr>
                <w:rFonts w:eastAsia="Times New Roman" w:cs="Calibri"/>
                <w:color w:val="000000"/>
                <w:lang w:val="es-CR"/>
              </w:rPr>
              <w:t>entre fondos</w:t>
            </w:r>
            <w:r w:rsidR="00D142B9" w:rsidRPr="00A44C79">
              <w:rPr>
                <w:rFonts w:eastAsia="Times New Roman" w:cs="Calibri"/>
                <w:color w:val="000000"/>
                <w:lang w:val="es-CR"/>
              </w:rPr>
              <w:t xml:space="preserve"> </w:t>
            </w:r>
            <w:r w:rsidRPr="00A44C79">
              <w:rPr>
                <w:rFonts w:eastAsia="Times New Roman" w:cs="Calibri"/>
                <w:color w:val="000000"/>
                <w:lang w:val="es-CR"/>
              </w:rPr>
              <w:t>del</w:t>
            </w:r>
            <w:r w:rsidR="00D142B9" w:rsidRPr="00A44C79">
              <w:rPr>
                <w:rFonts w:eastAsia="Times New Roman" w:cs="Calibri"/>
                <w:color w:val="000000"/>
                <w:lang w:val="es-CR"/>
              </w:rPr>
              <w:t xml:space="preserve"> </w:t>
            </w:r>
            <w:r w:rsidR="00977002">
              <w:rPr>
                <w:rFonts w:eastAsia="Times New Roman" w:cs="Calibri"/>
                <w:color w:val="000000"/>
                <w:lang w:val="es-CR"/>
              </w:rPr>
              <w:t>ROP</w:t>
            </w:r>
            <w:r w:rsidR="00D142B9" w:rsidRPr="00A44C79">
              <w:rPr>
                <w:rFonts w:eastAsia="Times New Roman" w:cs="Calibri"/>
                <w:color w:val="000000"/>
                <w:lang w:val="es-CR"/>
              </w:rPr>
              <w:t xml:space="preserve"> </w:t>
            </w:r>
            <w:r w:rsidRPr="00A44C79">
              <w:rPr>
                <w:rFonts w:eastAsia="Times New Roman" w:cs="Calibri"/>
                <w:color w:val="000000"/>
                <w:lang w:val="es-CR"/>
              </w:rPr>
              <w:t>y</w:t>
            </w:r>
            <w:r w:rsidR="00D142B9" w:rsidRPr="00A44C79">
              <w:rPr>
                <w:rFonts w:eastAsia="Times New Roman" w:cs="Calibri"/>
                <w:color w:val="000000"/>
                <w:lang w:val="es-CR"/>
              </w:rPr>
              <w:t xml:space="preserve"> </w:t>
            </w:r>
            <w:r w:rsidRPr="00A44C79">
              <w:rPr>
                <w:rFonts w:eastAsia="Times New Roman" w:cs="Calibri"/>
                <w:color w:val="000000"/>
                <w:lang w:val="es-CR"/>
              </w:rPr>
              <w:t>del</w:t>
            </w:r>
            <w:r w:rsidR="00D142B9" w:rsidRPr="00A44C79">
              <w:rPr>
                <w:rFonts w:eastAsia="Times New Roman" w:cs="Calibri"/>
                <w:color w:val="000000"/>
                <w:lang w:val="es-CR"/>
              </w:rPr>
              <w:t xml:space="preserve"> </w:t>
            </w:r>
            <w:r w:rsidR="00977002">
              <w:rPr>
                <w:rFonts w:eastAsia="Times New Roman" w:cs="Calibri"/>
                <w:color w:val="000000"/>
                <w:lang w:val="es-CR"/>
              </w:rPr>
              <w:t xml:space="preserve">FCL </w:t>
            </w:r>
            <w:r w:rsidRPr="00A44C79">
              <w:rPr>
                <w:rFonts w:eastAsia="Times New Roman" w:cs="Calibri"/>
                <w:color w:val="000000"/>
                <w:lang w:val="es-CR"/>
              </w:rPr>
              <w:t>denominados</w:t>
            </w:r>
            <w:r w:rsidR="00D142B9" w:rsidRPr="00A44C79">
              <w:rPr>
                <w:rFonts w:eastAsia="Times New Roman" w:cs="Calibri"/>
                <w:color w:val="000000"/>
                <w:lang w:val="es-CR"/>
              </w:rPr>
              <w:t xml:space="preserve"> </w:t>
            </w:r>
            <w:r w:rsidRPr="00A44C79">
              <w:rPr>
                <w:rFonts w:eastAsia="Times New Roman" w:cs="Calibri"/>
                <w:color w:val="000000"/>
                <w:lang w:val="es-CR"/>
              </w:rPr>
              <w:t>en</w:t>
            </w:r>
            <w:r w:rsidR="00D142B9" w:rsidRPr="00A44C79">
              <w:rPr>
                <w:rFonts w:eastAsia="Times New Roman" w:cs="Calibri"/>
                <w:color w:val="000000"/>
                <w:lang w:val="es-CR"/>
              </w:rPr>
              <w:t xml:space="preserve"> </w:t>
            </w:r>
            <w:r w:rsidRPr="00A44C79">
              <w:rPr>
                <w:rFonts w:eastAsia="Times New Roman" w:cs="Calibri"/>
                <w:color w:val="000000"/>
                <w:lang w:val="es-CR"/>
              </w:rPr>
              <w:t>diferente</w:t>
            </w:r>
            <w:r w:rsidR="00D142B9" w:rsidRPr="00A44C79">
              <w:rPr>
                <w:rFonts w:eastAsia="Times New Roman" w:cs="Calibri"/>
                <w:color w:val="000000"/>
                <w:lang w:val="es-CR"/>
              </w:rPr>
              <w:t xml:space="preserve"> </w:t>
            </w:r>
            <w:r w:rsidRPr="00A44C79">
              <w:rPr>
                <w:rFonts w:eastAsia="Times New Roman" w:cs="Calibri"/>
                <w:color w:val="000000"/>
                <w:lang w:val="es-CR"/>
              </w:rPr>
              <w:t>moneda; y SP-1720de</w:t>
            </w:r>
            <w:r w:rsidR="00D142B9" w:rsidRPr="00A44C79">
              <w:rPr>
                <w:rFonts w:eastAsia="Times New Roman" w:cs="Calibri"/>
                <w:color w:val="000000"/>
                <w:lang w:val="es-CR"/>
              </w:rPr>
              <w:t xml:space="preserve"> </w:t>
            </w:r>
            <w:r w:rsidRPr="00A44C79">
              <w:rPr>
                <w:rFonts w:eastAsia="Times New Roman" w:cs="Calibri"/>
                <w:color w:val="000000"/>
                <w:lang w:val="es-CR"/>
              </w:rPr>
              <w:t>fecha</w:t>
            </w:r>
            <w:r w:rsidR="00D142B9" w:rsidRPr="00A44C79">
              <w:rPr>
                <w:rFonts w:eastAsia="Times New Roman" w:cs="Calibri"/>
                <w:color w:val="000000"/>
                <w:lang w:val="es-CR"/>
              </w:rPr>
              <w:t xml:space="preserve"> </w:t>
            </w:r>
            <w:r w:rsidRPr="00A44C79">
              <w:rPr>
                <w:rFonts w:eastAsia="Times New Roman" w:cs="Calibri"/>
                <w:color w:val="000000"/>
                <w:lang w:val="es-CR"/>
              </w:rPr>
              <w:t>17</w:t>
            </w:r>
            <w:r w:rsidR="00D142B9" w:rsidRPr="00A44C79">
              <w:rPr>
                <w:rFonts w:eastAsia="Times New Roman" w:cs="Calibri"/>
                <w:color w:val="000000"/>
                <w:lang w:val="es-CR"/>
              </w:rPr>
              <w:t xml:space="preserve"> </w:t>
            </w:r>
            <w:r w:rsidRPr="00A44C79">
              <w:rPr>
                <w:rFonts w:eastAsia="Times New Roman" w:cs="Calibri"/>
                <w:color w:val="000000"/>
                <w:lang w:val="es-CR"/>
              </w:rPr>
              <w:t>de</w:t>
            </w:r>
            <w:r w:rsidR="00D142B9" w:rsidRPr="00A44C79">
              <w:rPr>
                <w:rFonts w:eastAsia="Times New Roman" w:cs="Calibri"/>
                <w:color w:val="000000"/>
                <w:lang w:val="es-CR"/>
              </w:rPr>
              <w:t xml:space="preserve"> </w:t>
            </w:r>
            <w:r w:rsidRPr="00A44C79">
              <w:rPr>
                <w:rFonts w:eastAsia="Times New Roman" w:cs="Calibri"/>
                <w:color w:val="000000"/>
                <w:lang w:val="es-CR"/>
              </w:rPr>
              <w:t>octubre</w:t>
            </w:r>
            <w:r w:rsidR="00D142B9" w:rsidRPr="00A44C79">
              <w:rPr>
                <w:rFonts w:eastAsia="Times New Roman" w:cs="Calibri"/>
                <w:color w:val="000000"/>
                <w:lang w:val="es-CR"/>
              </w:rPr>
              <w:t xml:space="preserve"> </w:t>
            </w:r>
            <w:r w:rsidRPr="00A44C79">
              <w:rPr>
                <w:rFonts w:eastAsia="Times New Roman" w:cs="Calibri"/>
                <w:color w:val="000000"/>
                <w:lang w:val="es-CR"/>
              </w:rPr>
              <w:t>del</w:t>
            </w:r>
            <w:r w:rsidR="00D142B9" w:rsidRPr="00A44C79">
              <w:rPr>
                <w:rFonts w:eastAsia="Times New Roman" w:cs="Calibri"/>
                <w:color w:val="000000"/>
                <w:lang w:val="es-CR"/>
              </w:rPr>
              <w:t xml:space="preserve"> </w:t>
            </w:r>
            <w:r w:rsidRPr="00A44C79">
              <w:rPr>
                <w:rFonts w:eastAsia="Times New Roman" w:cs="Calibri"/>
                <w:color w:val="000000"/>
                <w:lang w:val="es-CR"/>
              </w:rPr>
              <w:t>2002,Disposiciones obligatorias sobre el ejercicio del derecho de libre transferencia y el retiro anticipado de los afiliados.</w:t>
            </w:r>
          </w:p>
          <w:p w14:paraId="00581A05" w14:textId="6A715033" w:rsidR="0087113D" w:rsidRPr="00A44C79" w:rsidRDefault="0087113D" w:rsidP="00701F57">
            <w:pPr>
              <w:pStyle w:val="Prrafodelista"/>
              <w:numPr>
                <w:ilvl w:val="0"/>
                <w:numId w:val="21"/>
              </w:numPr>
              <w:ind w:left="41" w:hanging="142"/>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701F57">
              <w:rPr>
                <w:rFonts w:cstheme="minorHAnsi"/>
              </w:rPr>
              <w:t>Asimismo</w:t>
            </w:r>
            <w:r w:rsidRPr="00937927">
              <w:rPr>
                <w:rFonts w:eastAsia="Times New Roman" w:cs="Calibri"/>
                <w:color w:val="000000"/>
                <w:lang w:val="es-CR"/>
              </w:rPr>
              <w:t xml:space="preserve"> se derogan los acuerdos, SP-A-009</w:t>
            </w:r>
            <w:r w:rsidR="00977002">
              <w:rPr>
                <w:rFonts w:eastAsia="Times New Roman" w:cs="Calibri"/>
                <w:color w:val="000000"/>
                <w:lang w:val="es-CR"/>
              </w:rPr>
              <w:t xml:space="preserve"> </w:t>
            </w:r>
            <w:r w:rsidRPr="00937927">
              <w:rPr>
                <w:rFonts w:eastAsia="Times New Roman" w:cs="Calibri"/>
                <w:color w:val="000000"/>
                <w:lang w:val="es-CR"/>
              </w:rPr>
              <w:t xml:space="preserve">del siete de enero de 2003, Disposiciones en torno al traslado de recursos del </w:t>
            </w:r>
            <w:r w:rsidR="00977002">
              <w:rPr>
                <w:rFonts w:eastAsia="Times New Roman" w:cs="Calibri"/>
                <w:color w:val="000000"/>
                <w:lang w:val="es-CR"/>
              </w:rPr>
              <w:t>FCL</w:t>
            </w:r>
            <w:r w:rsidRPr="00937927">
              <w:rPr>
                <w:rFonts w:eastAsia="Times New Roman" w:cs="Calibri"/>
                <w:color w:val="000000"/>
                <w:lang w:val="es-CR"/>
              </w:rPr>
              <w:t>, con ocasión de la libre transferencias entre operadoras de pensiones; SP-A-004 del 11 de noviembre del 2002, Modificaciones del Plan de Cuentas</w:t>
            </w:r>
            <w:r w:rsidR="00D142B9">
              <w:rPr>
                <w:rFonts w:eastAsia="Times New Roman" w:cs="Calibri"/>
                <w:color w:val="000000"/>
                <w:lang w:val="es-CR"/>
              </w:rPr>
              <w:t xml:space="preserve"> </w:t>
            </w:r>
            <w:r w:rsidRPr="00937927">
              <w:rPr>
                <w:rFonts w:eastAsia="Times New Roman" w:cs="Calibri"/>
                <w:color w:val="000000"/>
                <w:lang w:val="es-CR"/>
              </w:rPr>
              <w:t>de</w:t>
            </w:r>
            <w:r w:rsidR="00D142B9">
              <w:rPr>
                <w:rFonts w:eastAsia="Times New Roman" w:cs="Calibri"/>
                <w:color w:val="000000"/>
                <w:lang w:val="es-CR"/>
              </w:rPr>
              <w:t xml:space="preserve"> </w:t>
            </w:r>
            <w:r w:rsidRPr="00937927">
              <w:rPr>
                <w:rFonts w:eastAsia="Times New Roman" w:cs="Calibri"/>
                <w:color w:val="000000"/>
                <w:lang w:val="es-CR"/>
              </w:rPr>
              <w:t>las</w:t>
            </w:r>
            <w:r w:rsidR="00D142B9">
              <w:rPr>
                <w:rFonts w:eastAsia="Times New Roman" w:cs="Calibri"/>
                <w:color w:val="000000"/>
                <w:lang w:val="es-CR"/>
              </w:rPr>
              <w:t xml:space="preserve"> </w:t>
            </w:r>
            <w:r w:rsidRPr="00937927">
              <w:rPr>
                <w:rFonts w:eastAsia="Times New Roman" w:cs="Calibri"/>
                <w:color w:val="000000"/>
                <w:lang w:val="es-CR"/>
              </w:rPr>
              <w:t>Operadoras</w:t>
            </w:r>
            <w:r w:rsidR="00D142B9">
              <w:rPr>
                <w:rFonts w:eastAsia="Times New Roman" w:cs="Calibri"/>
                <w:color w:val="000000"/>
                <w:lang w:val="es-CR"/>
              </w:rPr>
              <w:t xml:space="preserve"> </w:t>
            </w:r>
            <w:r w:rsidRPr="00937927">
              <w:rPr>
                <w:rFonts w:eastAsia="Times New Roman" w:cs="Calibri"/>
                <w:color w:val="000000"/>
                <w:lang w:val="es-CR"/>
              </w:rPr>
              <w:t>de</w:t>
            </w:r>
            <w:r w:rsidR="00D142B9">
              <w:rPr>
                <w:rFonts w:eastAsia="Times New Roman" w:cs="Calibri"/>
                <w:color w:val="000000"/>
                <w:lang w:val="es-CR"/>
              </w:rPr>
              <w:t xml:space="preserve"> </w:t>
            </w:r>
            <w:r w:rsidRPr="00937927">
              <w:rPr>
                <w:rFonts w:eastAsia="Times New Roman" w:cs="Calibri"/>
                <w:color w:val="000000"/>
                <w:lang w:val="es-CR"/>
              </w:rPr>
              <w:t>Pensiones</w:t>
            </w:r>
            <w:r w:rsidR="00D142B9">
              <w:rPr>
                <w:rFonts w:eastAsia="Times New Roman" w:cs="Calibri"/>
                <w:color w:val="000000"/>
                <w:lang w:val="es-CR"/>
              </w:rPr>
              <w:t xml:space="preserve"> </w:t>
            </w:r>
            <w:r w:rsidRPr="00937927">
              <w:rPr>
                <w:rFonts w:eastAsia="Times New Roman" w:cs="Calibri"/>
                <w:color w:val="000000"/>
                <w:lang w:val="es-CR"/>
              </w:rPr>
              <w:t>y</w:t>
            </w:r>
            <w:r w:rsidR="00D142B9">
              <w:rPr>
                <w:rFonts w:eastAsia="Times New Roman" w:cs="Calibri"/>
                <w:color w:val="000000"/>
                <w:lang w:val="es-CR"/>
              </w:rPr>
              <w:t xml:space="preserve"> </w:t>
            </w:r>
            <w:r w:rsidRPr="00937927">
              <w:rPr>
                <w:rFonts w:eastAsia="Times New Roman" w:cs="Calibri"/>
                <w:color w:val="000000"/>
                <w:lang w:val="es-CR"/>
              </w:rPr>
              <w:t>los</w:t>
            </w:r>
            <w:r w:rsidR="00D142B9">
              <w:rPr>
                <w:rFonts w:eastAsia="Times New Roman" w:cs="Calibri"/>
                <w:color w:val="000000"/>
                <w:lang w:val="es-CR"/>
              </w:rPr>
              <w:t xml:space="preserve"> </w:t>
            </w:r>
            <w:r w:rsidRPr="00937927">
              <w:rPr>
                <w:rFonts w:eastAsia="Times New Roman" w:cs="Calibri"/>
                <w:color w:val="000000"/>
                <w:lang w:val="es-CR"/>
              </w:rPr>
              <w:t>fondos</w:t>
            </w:r>
            <w:r w:rsidR="00D142B9">
              <w:rPr>
                <w:rFonts w:eastAsia="Times New Roman" w:cs="Calibri"/>
                <w:color w:val="000000"/>
                <w:lang w:val="es-CR"/>
              </w:rPr>
              <w:t xml:space="preserve"> </w:t>
            </w:r>
            <w:r w:rsidRPr="00937927">
              <w:rPr>
                <w:rFonts w:eastAsia="Times New Roman" w:cs="Calibri"/>
                <w:color w:val="000000"/>
                <w:lang w:val="es-CR"/>
              </w:rPr>
              <w:t>administrados</w:t>
            </w:r>
            <w:r w:rsidR="00D142B9">
              <w:rPr>
                <w:rFonts w:eastAsia="Times New Roman" w:cs="Calibri"/>
                <w:color w:val="000000"/>
                <w:lang w:val="es-CR"/>
              </w:rPr>
              <w:t xml:space="preserve"> </w:t>
            </w:r>
            <w:r w:rsidRPr="00937927">
              <w:rPr>
                <w:rFonts w:eastAsia="Times New Roman" w:cs="Calibri"/>
                <w:color w:val="000000"/>
                <w:lang w:val="es-CR"/>
              </w:rPr>
              <w:t>por</w:t>
            </w:r>
            <w:r w:rsidR="00D142B9">
              <w:rPr>
                <w:rFonts w:eastAsia="Times New Roman" w:cs="Calibri"/>
                <w:color w:val="000000"/>
                <w:lang w:val="es-CR"/>
              </w:rPr>
              <w:t xml:space="preserve"> </w:t>
            </w:r>
            <w:r w:rsidRPr="00937927">
              <w:rPr>
                <w:rFonts w:eastAsia="Times New Roman" w:cs="Calibri"/>
                <w:color w:val="000000"/>
                <w:lang w:val="es-CR"/>
              </w:rPr>
              <w:t>estas</w:t>
            </w:r>
            <w:r w:rsidR="00D142B9">
              <w:rPr>
                <w:rFonts w:eastAsia="Times New Roman" w:cs="Calibri"/>
                <w:color w:val="000000"/>
                <w:lang w:val="es-CR"/>
              </w:rPr>
              <w:t xml:space="preserve"> </w:t>
            </w:r>
            <w:r w:rsidRPr="00937927">
              <w:rPr>
                <w:rFonts w:eastAsia="Times New Roman" w:cs="Calibri"/>
                <w:color w:val="000000"/>
                <w:lang w:val="es-CR"/>
              </w:rPr>
              <w:t>producto</w:t>
            </w:r>
            <w:r w:rsidR="00D142B9">
              <w:rPr>
                <w:rFonts w:eastAsia="Times New Roman" w:cs="Calibri"/>
                <w:color w:val="000000"/>
                <w:lang w:val="es-CR"/>
              </w:rPr>
              <w:t xml:space="preserve"> </w:t>
            </w:r>
            <w:r w:rsidRPr="00937927">
              <w:rPr>
                <w:rFonts w:eastAsia="Times New Roman" w:cs="Calibri"/>
                <w:color w:val="000000"/>
                <w:lang w:val="es-CR"/>
              </w:rPr>
              <w:t>de</w:t>
            </w:r>
            <w:r w:rsidR="00D142B9">
              <w:rPr>
                <w:rFonts w:eastAsia="Times New Roman" w:cs="Calibri"/>
                <w:color w:val="000000"/>
                <w:lang w:val="es-CR"/>
              </w:rPr>
              <w:t xml:space="preserve"> </w:t>
            </w:r>
            <w:r w:rsidRPr="00937927">
              <w:rPr>
                <w:rFonts w:eastAsia="Times New Roman" w:cs="Calibri"/>
                <w:color w:val="000000"/>
                <w:lang w:val="es-CR"/>
              </w:rPr>
              <w:t>la implementación de las Normas Internacionales de Contabilidad (NIC) a partir del primero de enero de 2003; y el acuerdo SP-A-006-2002del 05 de diciembre del 2002, Explicación de la metodología para</w:t>
            </w:r>
            <w:r w:rsidR="00D142B9">
              <w:rPr>
                <w:rFonts w:eastAsia="Times New Roman" w:cs="Calibri"/>
                <w:color w:val="000000"/>
                <w:lang w:val="es-CR"/>
              </w:rPr>
              <w:t xml:space="preserve"> </w:t>
            </w:r>
            <w:r w:rsidRPr="00937927">
              <w:rPr>
                <w:rFonts w:eastAsia="Times New Roman" w:cs="Calibri"/>
                <w:color w:val="000000"/>
                <w:lang w:val="es-CR"/>
              </w:rPr>
              <w:t>el</w:t>
            </w:r>
            <w:r w:rsidR="00D142B9">
              <w:rPr>
                <w:rFonts w:eastAsia="Times New Roman" w:cs="Calibri"/>
                <w:color w:val="000000"/>
                <w:lang w:val="es-CR"/>
              </w:rPr>
              <w:t xml:space="preserve"> </w:t>
            </w:r>
            <w:r w:rsidRPr="00937927">
              <w:rPr>
                <w:rFonts w:eastAsia="Times New Roman" w:cs="Calibri"/>
                <w:color w:val="000000"/>
                <w:lang w:val="es-CR"/>
              </w:rPr>
              <w:t>cálculo</w:t>
            </w:r>
            <w:r w:rsidR="00D142B9">
              <w:rPr>
                <w:rFonts w:eastAsia="Times New Roman" w:cs="Calibri"/>
                <w:color w:val="000000"/>
                <w:lang w:val="es-CR"/>
              </w:rPr>
              <w:t xml:space="preserve"> </w:t>
            </w:r>
            <w:r w:rsidRPr="00937927">
              <w:rPr>
                <w:rFonts w:eastAsia="Times New Roman" w:cs="Calibri"/>
                <w:color w:val="000000"/>
                <w:lang w:val="es-CR"/>
              </w:rPr>
              <w:t>de</w:t>
            </w:r>
            <w:r w:rsidR="00D142B9">
              <w:rPr>
                <w:rFonts w:eastAsia="Times New Roman" w:cs="Calibri"/>
                <w:color w:val="000000"/>
                <w:lang w:val="es-CR"/>
              </w:rPr>
              <w:t xml:space="preserve"> </w:t>
            </w:r>
            <w:r w:rsidRPr="00937927">
              <w:rPr>
                <w:rFonts w:eastAsia="Times New Roman" w:cs="Calibri"/>
                <w:color w:val="000000"/>
                <w:lang w:val="es-CR"/>
              </w:rPr>
              <w:t>la</w:t>
            </w:r>
            <w:r w:rsidR="00D142B9">
              <w:rPr>
                <w:rFonts w:eastAsia="Times New Roman" w:cs="Calibri"/>
                <w:color w:val="000000"/>
                <w:lang w:val="es-CR"/>
              </w:rPr>
              <w:t xml:space="preserve"> </w:t>
            </w:r>
            <w:r w:rsidRPr="00937927">
              <w:rPr>
                <w:rFonts w:eastAsia="Times New Roman" w:cs="Calibri"/>
                <w:color w:val="000000"/>
                <w:lang w:val="es-CR"/>
              </w:rPr>
              <w:t>comisión</w:t>
            </w:r>
            <w:r w:rsidR="00D142B9">
              <w:rPr>
                <w:rFonts w:eastAsia="Times New Roman" w:cs="Calibri"/>
                <w:color w:val="000000"/>
                <w:lang w:val="es-CR"/>
              </w:rPr>
              <w:t xml:space="preserve"> </w:t>
            </w:r>
            <w:r w:rsidRPr="00937927">
              <w:rPr>
                <w:rFonts w:eastAsia="Times New Roman" w:cs="Calibri"/>
                <w:color w:val="000000"/>
                <w:lang w:val="es-CR"/>
              </w:rPr>
              <w:t>de</w:t>
            </w:r>
            <w:r w:rsidR="00D142B9">
              <w:rPr>
                <w:rFonts w:eastAsia="Times New Roman" w:cs="Calibri"/>
                <w:color w:val="000000"/>
                <w:lang w:val="es-CR"/>
              </w:rPr>
              <w:t xml:space="preserve"> </w:t>
            </w:r>
            <w:r w:rsidRPr="00937927">
              <w:rPr>
                <w:rFonts w:eastAsia="Times New Roman" w:cs="Calibri"/>
                <w:color w:val="000000"/>
                <w:lang w:val="es-CR"/>
              </w:rPr>
              <w:t>administración</w:t>
            </w:r>
            <w:r w:rsidR="00D142B9">
              <w:rPr>
                <w:rFonts w:eastAsia="Times New Roman" w:cs="Calibri"/>
                <w:color w:val="000000"/>
                <w:lang w:val="es-CR"/>
              </w:rPr>
              <w:t xml:space="preserve"> </w:t>
            </w:r>
            <w:r w:rsidRPr="00937927">
              <w:rPr>
                <w:rFonts w:eastAsia="Times New Roman" w:cs="Calibri"/>
                <w:color w:val="000000"/>
                <w:lang w:val="es-CR"/>
              </w:rPr>
              <w:t>cobrada</w:t>
            </w:r>
            <w:r w:rsidR="00D142B9">
              <w:rPr>
                <w:rFonts w:eastAsia="Times New Roman" w:cs="Calibri"/>
                <w:color w:val="000000"/>
                <w:lang w:val="es-CR"/>
              </w:rPr>
              <w:t xml:space="preserve"> </w:t>
            </w:r>
            <w:r w:rsidRPr="00937927">
              <w:rPr>
                <w:rFonts w:eastAsia="Times New Roman" w:cs="Calibri"/>
                <w:color w:val="000000"/>
                <w:lang w:val="es-CR"/>
              </w:rPr>
              <w:t>por</w:t>
            </w:r>
            <w:r w:rsidR="00D142B9">
              <w:rPr>
                <w:rFonts w:eastAsia="Times New Roman" w:cs="Calibri"/>
                <w:color w:val="000000"/>
                <w:lang w:val="es-CR"/>
              </w:rPr>
              <w:t xml:space="preserve"> </w:t>
            </w:r>
            <w:r w:rsidRPr="00937927">
              <w:rPr>
                <w:rFonts w:eastAsia="Times New Roman" w:cs="Calibri"/>
                <w:color w:val="000000"/>
                <w:lang w:val="es-CR"/>
              </w:rPr>
              <w:t>las</w:t>
            </w:r>
            <w:r w:rsidR="00D142B9">
              <w:rPr>
                <w:rFonts w:eastAsia="Times New Roman" w:cs="Calibri"/>
                <w:color w:val="000000"/>
                <w:lang w:val="es-CR"/>
              </w:rPr>
              <w:t xml:space="preserve"> </w:t>
            </w:r>
            <w:r w:rsidR="00FE0161">
              <w:rPr>
                <w:rFonts w:eastAsia="Times New Roman" w:cs="Calibri"/>
                <w:color w:val="000000"/>
                <w:lang w:val="es-CR"/>
              </w:rPr>
              <w:t>OPC</w:t>
            </w:r>
            <w:r w:rsidRPr="00937927">
              <w:rPr>
                <w:rFonts w:eastAsia="Times New Roman" w:cs="Calibri"/>
                <w:color w:val="000000"/>
                <w:lang w:val="es-CR"/>
              </w:rPr>
              <w:t>.</w:t>
            </w:r>
          </w:p>
        </w:tc>
      </w:tr>
      <w:tr w:rsidR="0087113D" w:rsidRPr="00B836A6" w14:paraId="5C945CF8" w14:textId="77777777" w:rsidTr="004D0DCE">
        <w:trPr>
          <w:cnfStyle w:val="000000100000" w:firstRow="0" w:lastRow="0" w:firstColumn="0" w:lastColumn="0" w:oddVBand="0" w:evenVBand="0" w:oddHBand="1" w:evenHBand="0" w:firstRowFirstColumn="0" w:firstRowLastColumn="0" w:lastRowFirstColumn="0" w:lastRowLastColumn="0"/>
          <w:trHeight w:val="957"/>
          <w:jc w:val="center"/>
        </w:trPr>
        <w:tc>
          <w:tcPr>
            <w:cnfStyle w:val="001000000000" w:firstRow="0" w:lastRow="0" w:firstColumn="1" w:lastColumn="0" w:oddVBand="0" w:evenVBand="0" w:oddHBand="0" w:evenHBand="0" w:firstRowFirstColumn="0" w:firstRowLastColumn="0" w:lastRowFirstColumn="0" w:lastRowLastColumn="0"/>
            <w:tcW w:w="3256" w:type="dxa"/>
            <w:noWrap/>
          </w:tcPr>
          <w:p w14:paraId="2E5BFC67" w14:textId="717EA884" w:rsidR="0087113D" w:rsidRPr="00A12E61" w:rsidRDefault="0087113D" w:rsidP="0021212F">
            <w:pPr>
              <w:jc w:val="both"/>
              <w:rPr>
                <w:rFonts w:eastAsia="Times New Roman" w:cs="Calibri"/>
                <w:color w:val="000000"/>
                <w:lang w:val="es-CR"/>
              </w:rPr>
            </w:pPr>
            <w:r>
              <w:rPr>
                <w:rFonts w:eastAsia="Times New Roman" w:cs="Calibri"/>
                <w:color w:val="000000"/>
                <w:lang w:val="es-CR"/>
              </w:rPr>
              <w:t>SP-A-228</w:t>
            </w:r>
            <w:r w:rsidR="00A44C79">
              <w:rPr>
                <w:rFonts w:eastAsia="Times New Roman" w:cs="Calibri"/>
                <w:color w:val="000000"/>
                <w:lang w:val="es-CR"/>
              </w:rPr>
              <w:t xml:space="preserve"> </w:t>
            </w:r>
            <w:r w:rsidRPr="00A12E61">
              <w:rPr>
                <w:rFonts w:eastAsia="Times New Roman" w:cs="Calibri"/>
                <w:color w:val="000000"/>
                <w:lang w:val="es-CR"/>
              </w:rPr>
              <w:t>Reforma integral del acuerdo SP-A-133</w:t>
            </w:r>
          </w:p>
          <w:p w14:paraId="19EEC96C" w14:textId="77777777" w:rsidR="0087113D" w:rsidRDefault="0087113D" w:rsidP="0021212F">
            <w:pPr>
              <w:jc w:val="both"/>
              <w:rPr>
                <w:rFonts w:eastAsia="Times New Roman" w:cs="Calibri"/>
                <w:color w:val="000000"/>
                <w:lang w:val="es-CR"/>
              </w:rPr>
            </w:pPr>
          </w:p>
        </w:tc>
        <w:tc>
          <w:tcPr>
            <w:tcW w:w="8788" w:type="dxa"/>
          </w:tcPr>
          <w:p w14:paraId="78B1EB14" w14:textId="2689287E" w:rsidR="0087113D" w:rsidRDefault="0087113D" w:rsidP="0021212F">
            <w:p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Pr>
                <w:rFonts w:eastAsia="Times New Roman" w:cs="Calibri"/>
                <w:color w:val="000000"/>
                <w:lang w:val="es-CR"/>
              </w:rPr>
              <w:t xml:space="preserve">Este acuerdo reformó integralmente el acuerdo SP-A-133 relativo a las disposiciones </w:t>
            </w:r>
            <w:r>
              <w:t xml:space="preserve">sobre el servicio de actas electrónicas que deberán llevar los órganos de dirección, comités de riesgo e inversiones de las entidades reguladas, ajustándolo al modelo de supervisión basado en riesgos a efecto de establecer </w:t>
            </w:r>
            <w:r w:rsidRPr="00937927">
              <w:t>esquemas operativamente</w:t>
            </w:r>
            <w:r w:rsidR="00D142B9">
              <w:t xml:space="preserve"> </w:t>
            </w:r>
            <w:r w:rsidRPr="00937927">
              <w:t>menos</w:t>
            </w:r>
            <w:r w:rsidR="00D142B9">
              <w:t xml:space="preserve"> </w:t>
            </w:r>
            <w:r w:rsidRPr="00937927">
              <w:t>intrusivos</w:t>
            </w:r>
            <w:r w:rsidR="00D142B9">
              <w:t xml:space="preserve"> </w:t>
            </w:r>
            <w:r w:rsidRPr="00937927">
              <w:t>que</w:t>
            </w:r>
            <w:r w:rsidR="00D142B9">
              <w:t xml:space="preserve"> </w:t>
            </w:r>
            <w:r w:rsidRPr="00937927">
              <w:t>brinden,</w:t>
            </w:r>
            <w:r w:rsidR="00D142B9">
              <w:t xml:space="preserve"> </w:t>
            </w:r>
            <w:r w:rsidRPr="00937927">
              <w:t>a</w:t>
            </w:r>
            <w:r w:rsidR="00D142B9">
              <w:t xml:space="preserve"> </w:t>
            </w:r>
            <w:r w:rsidRPr="00937927">
              <w:t>un</w:t>
            </w:r>
            <w:r w:rsidR="00D142B9">
              <w:t xml:space="preserve"> </w:t>
            </w:r>
            <w:r w:rsidRPr="00937927">
              <w:t>menor</w:t>
            </w:r>
            <w:r w:rsidR="00D142B9">
              <w:t xml:space="preserve"> </w:t>
            </w:r>
            <w:r w:rsidRPr="00937927">
              <w:t>costo,</w:t>
            </w:r>
            <w:r w:rsidR="00D142B9">
              <w:t xml:space="preserve"> </w:t>
            </w:r>
            <w:r w:rsidRPr="00937927">
              <w:t>un</w:t>
            </w:r>
            <w:r w:rsidR="00D142B9">
              <w:t xml:space="preserve"> </w:t>
            </w:r>
            <w:r w:rsidRPr="00937927">
              <w:t>similar</w:t>
            </w:r>
            <w:r w:rsidR="00D142B9">
              <w:t xml:space="preserve"> </w:t>
            </w:r>
            <w:r w:rsidRPr="00937927">
              <w:t>resultado, estableciendo,</w:t>
            </w:r>
            <w:r w:rsidR="00D142B9">
              <w:t xml:space="preserve"> </w:t>
            </w:r>
            <w:r w:rsidRPr="00937927">
              <w:t>no</w:t>
            </w:r>
            <w:r w:rsidR="00D142B9">
              <w:t xml:space="preserve"> </w:t>
            </w:r>
            <w:r w:rsidRPr="00937927">
              <w:t>un</w:t>
            </w:r>
            <w:r w:rsidR="00D142B9">
              <w:t xml:space="preserve"> </w:t>
            </w:r>
            <w:r w:rsidRPr="00937927">
              <w:t>sistema,</w:t>
            </w:r>
            <w:r w:rsidR="00D142B9">
              <w:t xml:space="preserve"> </w:t>
            </w:r>
            <w:r w:rsidRPr="00937927">
              <w:t>sino</w:t>
            </w:r>
            <w:r w:rsidR="00D142B9">
              <w:t xml:space="preserve"> </w:t>
            </w:r>
            <w:r w:rsidRPr="00937927">
              <w:t>requerimientos</w:t>
            </w:r>
            <w:r w:rsidR="00D142B9">
              <w:t xml:space="preserve"> </w:t>
            </w:r>
            <w:r w:rsidRPr="00937927">
              <w:t>de</w:t>
            </w:r>
            <w:r w:rsidR="00D142B9">
              <w:t xml:space="preserve"> </w:t>
            </w:r>
            <w:r w:rsidRPr="00937927">
              <w:t>seguridad</w:t>
            </w:r>
            <w:r w:rsidR="00D142B9">
              <w:t xml:space="preserve"> </w:t>
            </w:r>
            <w:r w:rsidRPr="00937927">
              <w:t>mínima</w:t>
            </w:r>
            <w:r w:rsidR="00D142B9">
              <w:t xml:space="preserve"> </w:t>
            </w:r>
            <w:r w:rsidRPr="00937927">
              <w:t>para</w:t>
            </w:r>
            <w:r w:rsidR="00D142B9">
              <w:t xml:space="preserve"> </w:t>
            </w:r>
            <w:r w:rsidRPr="00937927">
              <w:t>las</w:t>
            </w:r>
            <w:r w:rsidR="00D142B9">
              <w:t xml:space="preserve"> </w:t>
            </w:r>
            <w:r w:rsidRPr="00937927">
              <w:t>actas,</w:t>
            </w:r>
            <w:r w:rsidR="00D142B9">
              <w:t xml:space="preserve"> </w:t>
            </w:r>
            <w:r w:rsidRPr="00937927">
              <w:t>los documentos que hayan sido conocidos en las distintas sesiones, y del repositorio en donde se</w:t>
            </w:r>
            <w:r w:rsidR="00EC60ED">
              <w:t xml:space="preserve"> </w:t>
            </w:r>
            <w:r w:rsidRPr="00937927">
              <w:t>almacenen para su posterior consulta por parte de la SUPEN.</w:t>
            </w:r>
          </w:p>
        </w:tc>
      </w:tr>
    </w:tbl>
    <w:p w14:paraId="69D0B545" w14:textId="77777777" w:rsidR="00AD50FA" w:rsidRDefault="00AD50FA" w:rsidP="004D0DCE">
      <w:pPr>
        <w:pStyle w:val="Descripcin"/>
        <w:spacing w:after="0"/>
        <w:ind w:left="1134"/>
      </w:pPr>
      <w:r>
        <w:t xml:space="preserve">Fuente: Elaboración propia </w:t>
      </w:r>
    </w:p>
    <w:p w14:paraId="06C71A98" w14:textId="77777777" w:rsidR="00AD50FA" w:rsidRPr="00AD50FA" w:rsidRDefault="00AD50FA"/>
    <w:sectPr w:rsidR="00AD50FA" w:rsidRPr="00AD50FA" w:rsidSect="00A8066D">
      <w:pgSz w:w="15840" w:h="12240" w:orient="landscape"/>
      <w:pgMar w:top="1701" w:right="1276" w:bottom="170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1BFA0" w14:textId="77777777" w:rsidR="0089255B" w:rsidRDefault="0089255B" w:rsidP="00700711">
      <w:pPr>
        <w:spacing w:after="0" w:line="240" w:lineRule="auto"/>
      </w:pPr>
      <w:r>
        <w:separator/>
      </w:r>
    </w:p>
  </w:endnote>
  <w:endnote w:type="continuationSeparator" w:id="0">
    <w:p w14:paraId="41CAA022" w14:textId="77777777" w:rsidR="0089255B" w:rsidRDefault="0089255B" w:rsidP="00700711">
      <w:pPr>
        <w:spacing w:after="0" w:line="240" w:lineRule="auto"/>
      </w:pPr>
      <w:r>
        <w:continuationSeparator/>
      </w:r>
    </w:p>
  </w:endnote>
  <w:endnote w:type="continuationNotice" w:id="1">
    <w:p w14:paraId="3C6EBFF2" w14:textId="77777777" w:rsidR="0089255B" w:rsidRDefault="008925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95D14" w14:textId="77777777" w:rsidR="00C50A6E" w:rsidRPr="00BE078A" w:rsidRDefault="00C50A6E" w:rsidP="004D0DCE">
    <w:pPr>
      <w:pStyle w:val="Piedepgina"/>
      <w:pBdr>
        <w:top w:val="single" w:sz="4" w:space="1" w:color="auto"/>
      </w:pBdr>
      <w:tabs>
        <w:tab w:val="clear" w:pos="4252"/>
        <w:tab w:val="clear" w:pos="8504"/>
        <w:tab w:val="center" w:pos="6096"/>
        <w:tab w:val="right" w:pos="12900"/>
      </w:tabs>
      <w:rPr>
        <w:szCs w:val="24"/>
      </w:rPr>
    </w:pPr>
    <w:r>
      <w:rPr>
        <w:i/>
        <w:szCs w:val="24"/>
      </w:rPr>
      <w:t>Teléfono 2243-4400</w:t>
    </w:r>
    <w:r>
      <w:rPr>
        <w:i/>
        <w:szCs w:val="24"/>
      </w:rPr>
      <w:tab/>
      <w:t>Fax 2243-4444</w:t>
    </w:r>
    <w:r>
      <w:rPr>
        <w:i/>
        <w:szCs w:val="24"/>
      </w:rPr>
      <w:tab/>
    </w:r>
    <w:hyperlink r:id="rId1" w:history="1">
      <w:r>
        <w:rPr>
          <w:rStyle w:val="Hipervnculo"/>
          <w:i/>
          <w:szCs w:val="24"/>
        </w:rPr>
        <w:t>supen@supen.fi.cr</w:t>
      </w:r>
    </w:hyperlink>
  </w:p>
  <w:p w14:paraId="0C049119" w14:textId="77777777" w:rsidR="00C50A6E" w:rsidRDefault="00C50A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0BBE3" w14:textId="77777777" w:rsidR="0089255B" w:rsidRDefault="0089255B" w:rsidP="00700711">
      <w:pPr>
        <w:spacing w:after="0" w:line="240" w:lineRule="auto"/>
      </w:pPr>
      <w:r>
        <w:separator/>
      </w:r>
    </w:p>
  </w:footnote>
  <w:footnote w:type="continuationSeparator" w:id="0">
    <w:p w14:paraId="1905D8D0" w14:textId="77777777" w:rsidR="0089255B" w:rsidRDefault="0089255B" w:rsidP="00700711">
      <w:pPr>
        <w:spacing w:after="0" w:line="240" w:lineRule="auto"/>
      </w:pPr>
      <w:r>
        <w:continuationSeparator/>
      </w:r>
    </w:p>
  </w:footnote>
  <w:footnote w:type="continuationNotice" w:id="1">
    <w:p w14:paraId="1C158193" w14:textId="77777777" w:rsidR="0089255B" w:rsidRDefault="008925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E8F53" w14:textId="5C9A3690" w:rsidR="00C50A6E" w:rsidRPr="00A8066D" w:rsidRDefault="00A8066D" w:rsidP="00EC0F17">
    <w:pPr>
      <w:pStyle w:val="Encabezado"/>
      <w:jc w:val="both"/>
      <w:rPr>
        <w:sz w:val="16"/>
        <w:szCs w:val="16"/>
      </w:rPr>
    </w:pPr>
    <w:r w:rsidRPr="00A8066D">
      <w:rPr>
        <w:noProof/>
        <w:sz w:val="16"/>
        <w:szCs w:val="16"/>
        <w:lang w:eastAsia="es-ES"/>
      </w:rPr>
      <w:drawing>
        <wp:anchor distT="0" distB="0" distL="114300" distR="114300" simplePos="0" relativeHeight="251658240" behindDoc="1" locked="0" layoutInCell="1" allowOverlap="1" wp14:anchorId="2315E553" wp14:editId="232C1DB0">
          <wp:simplePos x="0" y="0"/>
          <wp:positionH relativeFrom="margin">
            <wp:align>left</wp:align>
          </wp:positionH>
          <wp:positionV relativeFrom="page">
            <wp:posOffset>184151</wp:posOffset>
          </wp:positionV>
          <wp:extent cx="1390650" cy="643340"/>
          <wp:effectExtent l="0" t="0" r="0" b="4445"/>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643340"/>
                  </a:xfrm>
                  <a:prstGeom prst="rect">
                    <a:avLst/>
                  </a:prstGeom>
                  <a:noFill/>
                </pic:spPr>
              </pic:pic>
            </a:graphicData>
          </a:graphic>
          <wp14:sizeRelH relativeFrom="margin">
            <wp14:pctWidth>0</wp14:pctWidth>
          </wp14:sizeRelH>
          <wp14:sizeRelV relativeFrom="margin">
            <wp14:pctHeight>0</wp14:pctHeight>
          </wp14:sizeRelV>
        </wp:anchor>
      </w:drawing>
    </w:r>
    <w:r w:rsidR="00C50A6E" w:rsidRPr="00A8066D">
      <w:rPr>
        <w:noProof/>
        <w:sz w:val="16"/>
        <w:szCs w:val="16"/>
      </w:rPr>
      <w:drawing>
        <wp:anchor distT="0" distB="0" distL="114300" distR="114300" simplePos="0" relativeHeight="251658241" behindDoc="0" locked="0" layoutInCell="1" allowOverlap="1" wp14:anchorId="650CA359" wp14:editId="7F4B137E">
          <wp:simplePos x="0" y="0"/>
          <wp:positionH relativeFrom="margin">
            <wp:align>right</wp:align>
          </wp:positionH>
          <wp:positionV relativeFrom="paragraph">
            <wp:posOffset>-164694</wp:posOffset>
          </wp:positionV>
          <wp:extent cx="950595" cy="615315"/>
          <wp:effectExtent l="0" t="0" r="190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950595" cy="6153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4884"/>
    <w:multiLevelType w:val="multilevel"/>
    <w:tmpl w:val="7EB8B94E"/>
    <w:lvl w:ilvl="0">
      <w:start w:val="1"/>
      <w:numFmt w:val="decimal"/>
      <w:lvlText w:val="%1."/>
      <w:lvlJc w:val="left"/>
      <w:pPr>
        <w:ind w:left="360" w:hanging="360"/>
      </w:pPr>
    </w:lvl>
    <w:lvl w:ilvl="1">
      <w:start w:val="1"/>
      <w:numFmt w:val="decimal"/>
      <w:lvlText w:val="%1.%2."/>
      <w:lvlJc w:val="left"/>
      <w:pPr>
        <w:ind w:left="792" w:hanging="432"/>
      </w:pPr>
      <w:rPr>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3E743A"/>
    <w:multiLevelType w:val="hybridMultilevel"/>
    <w:tmpl w:val="4D784560"/>
    <w:lvl w:ilvl="0" w:tplc="71B46586">
      <w:start w:val="1"/>
      <w:numFmt w:val="upperRoman"/>
      <w:lvlText w:val="%1."/>
      <w:lvlJc w:val="left"/>
      <w:pPr>
        <w:ind w:left="1003" w:hanging="720"/>
      </w:pPr>
      <w:rPr>
        <w:rFonts w:hint="default"/>
      </w:rPr>
    </w:lvl>
    <w:lvl w:ilvl="1" w:tplc="140A0019">
      <w:start w:val="1"/>
      <w:numFmt w:val="lowerLetter"/>
      <w:lvlText w:val="%2."/>
      <w:lvlJc w:val="left"/>
      <w:pPr>
        <w:ind w:left="2781" w:hanging="360"/>
      </w:pPr>
    </w:lvl>
    <w:lvl w:ilvl="2" w:tplc="140A001B" w:tentative="1">
      <w:start w:val="1"/>
      <w:numFmt w:val="lowerRoman"/>
      <w:lvlText w:val="%3."/>
      <w:lvlJc w:val="right"/>
      <w:pPr>
        <w:ind w:left="3501" w:hanging="180"/>
      </w:pPr>
    </w:lvl>
    <w:lvl w:ilvl="3" w:tplc="140A000F" w:tentative="1">
      <w:start w:val="1"/>
      <w:numFmt w:val="decimal"/>
      <w:lvlText w:val="%4."/>
      <w:lvlJc w:val="left"/>
      <w:pPr>
        <w:ind w:left="4221" w:hanging="360"/>
      </w:pPr>
    </w:lvl>
    <w:lvl w:ilvl="4" w:tplc="140A0019" w:tentative="1">
      <w:start w:val="1"/>
      <w:numFmt w:val="lowerLetter"/>
      <w:lvlText w:val="%5."/>
      <w:lvlJc w:val="left"/>
      <w:pPr>
        <w:ind w:left="4941" w:hanging="360"/>
      </w:pPr>
    </w:lvl>
    <w:lvl w:ilvl="5" w:tplc="140A001B" w:tentative="1">
      <w:start w:val="1"/>
      <w:numFmt w:val="lowerRoman"/>
      <w:lvlText w:val="%6."/>
      <w:lvlJc w:val="right"/>
      <w:pPr>
        <w:ind w:left="5661" w:hanging="180"/>
      </w:pPr>
    </w:lvl>
    <w:lvl w:ilvl="6" w:tplc="140A000F" w:tentative="1">
      <w:start w:val="1"/>
      <w:numFmt w:val="decimal"/>
      <w:lvlText w:val="%7."/>
      <w:lvlJc w:val="left"/>
      <w:pPr>
        <w:ind w:left="6381" w:hanging="360"/>
      </w:pPr>
    </w:lvl>
    <w:lvl w:ilvl="7" w:tplc="140A0019" w:tentative="1">
      <w:start w:val="1"/>
      <w:numFmt w:val="lowerLetter"/>
      <w:lvlText w:val="%8."/>
      <w:lvlJc w:val="left"/>
      <w:pPr>
        <w:ind w:left="7101" w:hanging="360"/>
      </w:pPr>
    </w:lvl>
    <w:lvl w:ilvl="8" w:tplc="140A001B" w:tentative="1">
      <w:start w:val="1"/>
      <w:numFmt w:val="lowerRoman"/>
      <w:lvlText w:val="%9."/>
      <w:lvlJc w:val="right"/>
      <w:pPr>
        <w:ind w:left="7821" w:hanging="180"/>
      </w:pPr>
    </w:lvl>
  </w:abstractNum>
  <w:abstractNum w:abstractNumId="2" w15:restartNumberingAfterBreak="0">
    <w:nsid w:val="0B3648C7"/>
    <w:multiLevelType w:val="hybridMultilevel"/>
    <w:tmpl w:val="320C5EA0"/>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DB472CC"/>
    <w:multiLevelType w:val="hybridMultilevel"/>
    <w:tmpl w:val="7B92EF20"/>
    <w:lvl w:ilvl="0" w:tplc="02CE0E14">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31D0426"/>
    <w:multiLevelType w:val="hybridMultilevel"/>
    <w:tmpl w:val="53EACBDE"/>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4B63EB2"/>
    <w:multiLevelType w:val="hybridMultilevel"/>
    <w:tmpl w:val="098486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76700DD"/>
    <w:multiLevelType w:val="multilevel"/>
    <w:tmpl w:val="41A84FCE"/>
    <w:lvl w:ilvl="0">
      <w:start w:val="1"/>
      <w:numFmt w:val="decimal"/>
      <w:lvlText w:val="%1."/>
      <w:lvlJc w:val="left"/>
      <w:pPr>
        <w:ind w:left="360" w:hanging="360"/>
      </w:pPr>
    </w:lvl>
    <w:lvl w:ilvl="1">
      <w:start w:val="1"/>
      <w:numFmt w:val="decimal"/>
      <w:lvlText w:val="%1.%2."/>
      <w:lvlJc w:val="left"/>
      <w:pPr>
        <w:ind w:left="792" w:hanging="432"/>
      </w:pPr>
      <w:rPr>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F12B61"/>
    <w:multiLevelType w:val="hybridMultilevel"/>
    <w:tmpl w:val="AABA0CE8"/>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 w15:restartNumberingAfterBreak="0">
    <w:nsid w:val="1FB51635"/>
    <w:multiLevelType w:val="multilevel"/>
    <w:tmpl w:val="41A84FCE"/>
    <w:lvl w:ilvl="0">
      <w:start w:val="1"/>
      <w:numFmt w:val="decimal"/>
      <w:lvlText w:val="%1."/>
      <w:lvlJc w:val="left"/>
      <w:pPr>
        <w:ind w:left="360" w:hanging="360"/>
      </w:pPr>
    </w:lvl>
    <w:lvl w:ilvl="1">
      <w:start w:val="1"/>
      <w:numFmt w:val="decimal"/>
      <w:lvlText w:val="%1.%2."/>
      <w:lvlJc w:val="left"/>
      <w:pPr>
        <w:ind w:left="792" w:hanging="432"/>
      </w:pPr>
      <w:rPr>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D06389"/>
    <w:multiLevelType w:val="hybridMultilevel"/>
    <w:tmpl w:val="6F5A4622"/>
    <w:lvl w:ilvl="0" w:tplc="5822A348">
      <w:numFmt w:val="bullet"/>
      <w:lvlText w:val="•"/>
      <w:lvlJc w:val="left"/>
      <w:pPr>
        <w:ind w:left="1425" w:hanging="705"/>
      </w:pPr>
      <w:rPr>
        <w:rFonts w:ascii="Calibri" w:eastAsiaTheme="minorHAnsi" w:hAnsi="Calibri" w:cstheme="minorBidi"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0" w15:restartNumberingAfterBreak="0">
    <w:nsid w:val="2BFB6A52"/>
    <w:multiLevelType w:val="hybridMultilevel"/>
    <w:tmpl w:val="CEBECFC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1A969E6"/>
    <w:multiLevelType w:val="hybridMultilevel"/>
    <w:tmpl w:val="0406CC24"/>
    <w:lvl w:ilvl="0" w:tplc="140A0001">
      <w:start w:val="1"/>
      <w:numFmt w:val="bullet"/>
      <w:lvlText w:val=""/>
      <w:lvlJc w:val="left"/>
      <w:pPr>
        <w:ind w:left="1003" w:hanging="720"/>
      </w:pPr>
      <w:rPr>
        <w:rFonts w:ascii="Symbol" w:hAnsi="Symbol" w:hint="default"/>
      </w:rPr>
    </w:lvl>
    <w:lvl w:ilvl="1" w:tplc="140A0019">
      <w:start w:val="1"/>
      <w:numFmt w:val="lowerLetter"/>
      <w:lvlText w:val="%2."/>
      <w:lvlJc w:val="left"/>
      <w:pPr>
        <w:ind w:left="2781" w:hanging="360"/>
      </w:pPr>
    </w:lvl>
    <w:lvl w:ilvl="2" w:tplc="140A001B" w:tentative="1">
      <w:start w:val="1"/>
      <w:numFmt w:val="lowerRoman"/>
      <w:lvlText w:val="%3."/>
      <w:lvlJc w:val="right"/>
      <w:pPr>
        <w:ind w:left="3501" w:hanging="180"/>
      </w:pPr>
    </w:lvl>
    <w:lvl w:ilvl="3" w:tplc="140A000F" w:tentative="1">
      <w:start w:val="1"/>
      <w:numFmt w:val="decimal"/>
      <w:lvlText w:val="%4."/>
      <w:lvlJc w:val="left"/>
      <w:pPr>
        <w:ind w:left="4221" w:hanging="360"/>
      </w:pPr>
    </w:lvl>
    <w:lvl w:ilvl="4" w:tplc="140A0019" w:tentative="1">
      <w:start w:val="1"/>
      <w:numFmt w:val="lowerLetter"/>
      <w:lvlText w:val="%5."/>
      <w:lvlJc w:val="left"/>
      <w:pPr>
        <w:ind w:left="4941" w:hanging="360"/>
      </w:pPr>
    </w:lvl>
    <w:lvl w:ilvl="5" w:tplc="140A001B" w:tentative="1">
      <w:start w:val="1"/>
      <w:numFmt w:val="lowerRoman"/>
      <w:lvlText w:val="%6."/>
      <w:lvlJc w:val="right"/>
      <w:pPr>
        <w:ind w:left="5661" w:hanging="180"/>
      </w:pPr>
    </w:lvl>
    <w:lvl w:ilvl="6" w:tplc="140A000F" w:tentative="1">
      <w:start w:val="1"/>
      <w:numFmt w:val="decimal"/>
      <w:lvlText w:val="%7."/>
      <w:lvlJc w:val="left"/>
      <w:pPr>
        <w:ind w:left="6381" w:hanging="360"/>
      </w:pPr>
    </w:lvl>
    <w:lvl w:ilvl="7" w:tplc="140A0019" w:tentative="1">
      <w:start w:val="1"/>
      <w:numFmt w:val="lowerLetter"/>
      <w:lvlText w:val="%8."/>
      <w:lvlJc w:val="left"/>
      <w:pPr>
        <w:ind w:left="7101" w:hanging="360"/>
      </w:pPr>
    </w:lvl>
    <w:lvl w:ilvl="8" w:tplc="140A001B" w:tentative="1">
      <w:start w:val="1"/>
      <w:numFmt w:val="lowerRoman"/>
      <w:lvlText w:val="%9."/>
      <w:lvlJc w:val="right"/>
      <w:pPr>
        <w:ind w:left="7821" w:hanging="180"/>
      </w:pPr>
    </w:lvl>
  </w:abstractNum>
  <w:abstractNum w:abstractNumId="12" w15:restartNumberingAfterBreak="0">
    <w:nsid w:val="357C09FF"/>
    <w:multiLevelType w:val="hybridMultilevel"/>
    <w:tmpl w:val="50B22866"/>
    <w:lvl w:ilvl="0" w:tplc="140A000F">
      <w:start w:val="1"/>
      <w:numFmt w:val="decimal"/>
      <w:lvlText w:val="%1."/>
      <w:lvlJc w:val="left"/>
      <w:pPr>
        <w:ind w:left="720" w:hanging="360"/>
      </w:pPr>
    </w:lvl>
    <w:lvl w:ilvl="1" w:tplc="D5A4A848">
      <w:start w:val="1"/>
      <w:numFmt w:val="bullet"/>
      <w:lvlText w:val="­"/>
      <w:lvlJc w:val="left"/>
      <w:pPr>
        <w:ind w:left="1440" w:hanging="360"/>
      </w:pPr>
      <w:rPr>
        <w:rFonts w:ascii="Courier New" w:hAnsi="Courier New" w:hint="default"/>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3" w15:restartNumberingAfterBreak="0">
    <w:nsid w:val="35EB3607"/>
    <w:multiLevelType w:val="hybridMultilevel"/>
    <w:tmpl w:val="DE96C18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4" w15:restartNumberingAfterBreak="0">
    <w:nsid w:val="3862407F"/>
    <w:multiLevelType w:val="hybridMultilevel"/>
    <w:tmpl w:val="1C9E25A2"/>
    <w:lvl w:ilvl="0" w:tplc="D5A4A848">
      <w:start w:val="1"/>
      <w:numFmt w:val="bullet"/>
      <w:lvlText w:val="­"/>
      <w:lvlJc w:val="left"/>
      <w:pPr>
        <w:ind w:left="720" w:hanging="360"/>
      </w:pPr>
      <w:rPr>
        <w:rFonts w:ascii="Courier New" w:hAnsi="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D912FE3"/>
    <w:multiLevelType w:val="hybridMultilevel"/>
    <w:tmpl w:val="8308592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47596452"/>
    <w:multiLevelType w:val="hybridMultilevel"/>
    <w:tmpl w:val="EF94A67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4C617452"/>
    <w:multiLevelType w:val="hybridMultilevel"/>
    <w:tmpl w:val="73F86232"/>
    <w:lvl w:ilvl="0" w:tplc="D5A4A848">
      <w:start w:val="1"/>
      <w:numFmt w:val="bullet"/>
      <w:lvlText w:val="­"/>
      <w:lvlJc w:val="left"/>
      <w:pPr>
        <w:ind w:left="720" w:hanging="360"/>
      </w:pPr>
      <w:rPr>
        <w:rFonts w:ascii="Courier New" w:hAnsi="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4C6B5F13"/>
    <w:multiLevelType w:val="hybridMultilevel"/>
    <w:tmpl w:val="703666B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9" w15:restartNumberingAfterBreak="0">
    <w:nsid w:val="5FA16818"/>
    <w:multiLevelType w:val="multilevel"/>
    <w:tmpl w:val="7EB8B94E"/>
    <w:lvl w:ilvl="0">
      <w:start w:val="1"/>
      <w:numFmt w:val="decimal"/>
      <w:lvlText w:val="%1."/>
      <w:lvlJc w:val="left"/>
      <w:pPr>
        <w:ind w:left="360" w:hanging="360"/>
      </w:pPr>
    </w:lvl>
    <w:lvl w:ilvl="1">
      <w:start w:val="1"/>
      <w:numFmt w:val="decimal"/>
      <w:lvlText w:val="%1.%2."/>
      <w:lvlJc w:val="left"/>
      <w:pPr>
        <w:ind w:left="792" w:hanging="432"/>
      </w:pPr>
      <w:rPr>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637A0F"/>
    <w:multiLevelType w:val="hybridMultilevel"/>
    <w:tmpl w:val="B11E683A"/>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73AC5EAB"/>
    <w:multiLevelType w:val="hybridMultilevel"/>
    <w:tmpl w:val="774656D0"/>
    <w:lvl w:ilvl="0" w:tplc="140A000F">
      <w:start w:val="1"/>
      <w:numFmt w:val="decimal"/>
      <w:lvlText w:val="%1."/>
      <w:lvlJc w:val="left"/>
      <w:pPr>
        <w:ind w:left="720" w:hanging="360"/>
      </w:pPr>
    </w:lvl>
    <w:lvl w:ilvl="1" w:tplc="140A0001">
      <w:start w:val="1"/>
      <w:numFmt w:val="bullet"/>
      <w:lvlText w:val=""/>
      <w:lvlJc w:val="left"/>
      <w:pPr>
        <w:ind w:left="1440" w:hanging="360"/>
      </w:pPr>
      <w:rPr>
        <w:rFonts w:ascii="Symbol" w:hAnsi="Symbol" w:hint="default"/>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6"/>
  </w:num>
  <w:num w:numId="2">
    <w:abstractNumId w:val="17"/>
  </w:num>
  <w:num w:numId="3">
    <w:abstractNumId w:val="15"/>
  </w:num>
  <w:num w:numId="4">
    <w:abstractNumId w:val="20"/>
  </w:num>
  <w:num w:numId="5">
    <w:abstractNumId w:val="9"/>
  </w:num>
  <w:num w:numId="6">
    <w:abstractNumId w:val="7"/>
  </w:num>
  <w:num w:numId="7">
    <w:abstractNumId w:val="21"/>
  </w:num>
  <w:num w:numId="8">
    <w:abstractNumId w:val="2"/>
  </w:num>
  <w:num w:numId="9">
    <w:abstractNumId w:val="10"/>
  </w:num>
  <w:num w:numId="10">
    <w:abstractNumId w:val="13"/>
  </w:num>
  <w:num w:numId="11">
    <w:abstractNumId w:val="18"/>
  </w:num>
  <w:num w:numId="12">
    <w:abstractNumId w:val="16"/>
  </w:num>
  <w:num w:numId="13">
    <w:abstractNumId w:val="5"/>
  </w:num>
  <w:num w:numId="14">
    <w:abstractNumId w:val="4"/>
  </w:num>
  <w:num w:numId="15">
    <w:abstractNumId w:val="11"/>
  </w:num>
  <w:num w:numId="16">
    <w:abstractNumId w:val="3"/>
  </w:num>
  <w:num w:numId="17">
    <w:abstractNumId w:val="1"/>
  </w:num>
  <w:num w:numId="18">
    <w:abstractNumId w:val="0"/>
  </w:num>
  <w:num w:numId="19">
    <w:abstractNumId w:val="12"/>
  </w:num>
  <w:num w:numId="20">
    <w:abstractNumId w:val="19"/>
  </w:num>
  <w:num w:numId="21">
    <w:abstractNumId w:val="14"/>
  </w:num>
  <w:num w:numId="2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B8"/>
    <w:rsid w:val="00000C6E"/>
    <w:rsid w:val="000014E8"/>
    <w:rsid w:val="000027C1"/>
    <w:rsid w:val="00006851"/>
    <w:rsid w:val="0000725F"/>
    <w:rsid w:val="00007615"/>
    <w:rsid w:val="000076D9"/>
    <w:rsid w:val="00007C43"/>
    <w:rsid w:val="00010027"/>
    <w:rsid w:val="00012B8D"/>
    <w:rsid w:val="00013812"/>
    <w:rsid w:val="00013FDF"/>
    <w:rsid w:val="00014AA3"/>
    <w:rsid w:val="0001719A"/>
    <w:rsid w:val="000174F3"/>
    <w:rsid w:val="000213A9"/>
    <w:rsid w:val="00021969"/>
    <w:rsid w:val="00022164"/>
    <w:rsid w:val="00023E90"/>
    <w:rsid w:val="000249CC"/>
    <w:rsid w:val="00025EB5"/>
    <w:rsid w:val="000274AC"/>
    <w:rsid w:val="000305CD"/>
    <w:rsid w:val="00034065"/>
    <w:rsid w:val="00036FAC"/>
    <w:rsid w:val="00040FCB"/>
    <w:rsid w:val="00041F73"/>
    <w:rsid w:val="00042EFB"/>
    <w:rsid w:val="0004595A"/>
    <w:rsid w:val="00045B13"/>
    <w:rsid w:val="0004607D"/>
    <w:rsid w:val="000466A7"/>
    <w:rsid w:val="00050388"/>
    <w:rsid w:val="00050943"/>
    <w:rsid w:val="00050F7B"/>
    <w:rsid w:val="00051A66"/>
    <w:rsid w:val="0005363C"/>
    <w:rsid w:val="000559A5"/>
    <w:rsid w:val="00064DC3"/>
    <w:rsid w:val="00065C2A"/>
    <w:rsid w:val="000728C9"/>
    <w:rsid w:val="00077082"/>
    <w:rsid w:val="0007719F"/>
    <w:rsid w:val="00077586"/>
    <w:rsid w:val="00080E72"/>
    <w:rsid w:val="000822BD"/>
    <w:rsid w:val="00082B26"/>
    <w:rsid w:val="00086546"/>
    <w:rsid w:val="00087083"/>
    <w:rsid w:val="00090AA7"/>
    <w:rsid w:val="00092454"/>
    <w:rsid w:val="000938B2"/>
    <w:rsid w:val="00094629"/>
    <w:rsid w:val="000949B3"/>
    <w:rsid w:val="0009547F"/>
    <w:rsid w:val="000963CD"/>
    <w:rsid w:val="00096F4F"/>
    <w:rsid w:val="00097008"/>
    <w:rsid w:val="000A0944"/>
    <w:rsid w:val="000A0AD4"/>
    <w:rsid w:val="000A1835"/>
    <w:rsid w:val="000A35F6"/>
    <w:rsid w:val="000A52E2"/>
    <w:rsid w:val="000A603D"/>
    <w:rsid w:val="000B0279"/>
    <w:rsid w:val="000B02C5"/>
    <w:rsid w:val="000B3887"/>
    <w:rsid w:val="000B62C1"/>
    <w:rsid w:val="000C051C"/>
    <w:rsid w:val="000C2212"/>
    <w:rsid w:val="000C2E69"/>
    <w:rsid w:val="000C37E4"/>
    <w:rsid w:val="000C39CB"/>
    <w:rsid w:val="000C3D87"/>
    <w:rsid w:val="000C4783"/>
    <w:rsid w:val="000C573D"/>
    <w:rsid w:val="000C6C6E"/>
    <w:rsid w:val="000C70AB"/>
    <w:rsid w:val="000D3D97"/>
    <w:rsid w:val="000D5DDF"/>
    <w:rsid w:val="000D6125"/>
    <w:rsid w:val="000D7AD9"/>
    <w:rsid w:val="000D7F7B"/>
    <w:rsid w:val="000E116B"/>
    <w:rsid w:val="000E140E"/>
    <w:rsid w:val="000E31A9"/>
    <w:rsid w:val="000E429B"/>
    <w:rsid w:val="000E5ECF"/>
    <w:rsid w:val="000E7393"/>
    <w:rsid w:val="000E7D3E"/>
    <w:rsid w:val="000F017A"/>
    <w:rsid w:val="000F2223"/>
    <w:rsid w:val="000F2447"/>
    <w:rsid w:val="000F319B"/>
    <w:rsid w:val="000F4C71"/>
    <w:rsid w:val="000F72D7"/>
    <w:rsid w:val="001010FA"/>
    <w:rsid w:val="001019BE"/>
    <w:rsid w:val="00102219"/>
    <w:rsid w:val="00102BE6"/>
    <w:rsid w:val="00103286"/>
    <w:rsid w:val="00110043"/>
    <w:rsid w:val="00111529"/>
    <w:rsid w:val="001118CF"/>
    <w:rsid w:val="0011353F"/>
    <w:rsid w:val="00113867"/>
    <w:rsid w:val="00116424"/>
    <w:rsid w:val="0011720C"/>
    <w:rsid w:val="00120063"/>
    <w:rsid w:val="00120EAA"/>
    <w:rsid w:val="00122172"/>
    <w:rsid w:val="0012306A"/>
    <w:rsid w:val="001238EB"/>
    <w:rsid w:val="00123D35"/>
    <w:rsid w:val="00123F47"/>
    <w:rsid w:val="0012619C"/>
    <w:rsid w:val="001264F8"/>
    <w:rsid w:val="00126582"/>
    <w:rsid w:val="0013276C"/>
    <w:rsid w:val="00132FE1"/>
    <w:rsid w:val="00133762"/>
    <w:rsid w:val="0013643A"/>
    <w:rsid w:val="00141791"/>
    <w:rsid w:val="0014266B"/>
    <w:rsid w:val="00142B33"/>
    <w:rsid w:val="0014333B"/>
    <w:rsid w:val="00144402"/>
    <w:rsid w:val="00144742"/>
    <w:rsid w:val="001453EA"/>
    <w:rsid w:val="00147B66"/>
    <w:rsid w:val="00151702"/>
    <w:rsid w:val="00154284"/>
    <w:rsid w:val="00155A25"/>
    <w:rsid w:val="001577B0"/>
    <w:rsid w:val="00157994"/>
    <w:rsid w:val="001603CE"/>
    <w:rsid w:val="0016176E"/>
    <w:rsid w:val="00161AF0"/>
    <w:rsid w:val="00163ABA"/>
    <w:rsid w:val="00164169"/>
    <w:rsid w:val="001669BF"/>
    <w:rsid w:val="0017053E"/>
    <w:rsid w:val="00170B03"/>
    <w:rsid w:val="00170F63"/>
    <w:rsid w:val="0017221D"/>
    <w:rsid w:val="001742EA"/>
    <w:rsid w:val="00174B1B"/>
    <w:rsid w:val="00177F37"/>
    <w:rsid w:val="001807B6"/>
    <w:rsid w:val="00182060"/>
    <w:rsid w:val="00184F61"/>
    <w:rsid w:val="00185030"/>
    <w:rsid w:val="00185BA0"/>
    <w:rsid w:val="00185D18"/>
    <w:rsid w:val="00187E4F"/>
    <w:rsid w:val="0019075D"/>
    <w:rsid w:val="001908A9"/>
    <w:rsid w:val="00190D69"/>
    <w:rsid w:val="00191527"/>
    <w:rsid w:val="00191B26"/>
    <w:rsid w:val="00191D12"/>
    <w:rsid w:val="00193BD7"/>
    <w:rsid w:val="0019485B"/>
    <w:rsid w:val="00196EE3"/>
    <w:rsid w:val="00196FFE"/>
    <w:rsid w:val="00197E09"/>
    <w:rsid w:val="001A0762"/>
    <w:rsid w:val="001A284C"/>
    <w:rsid w:val="001A60D4"/>
    <w:rsid w:val="001A6A99"/>
    <w:rsid w:val="001A79B5"/>
    <w:rsid w:val="001A7F73"/>
    <w:rsid w:val="001B1D17"/>
    <w:rsid w:val="001B2241"/>
    <w:rsid w:val="001B3226"/>
    <w:rsid w:val="001B6E07"/>
    <w:rsid w:val="001B7047"/>
    <w:rsid w:val="001B71C7"/>
    <w:rsid w:val="001C1519"/>
    <w:rsid w:val="001C2AE7"/>
    <w:rsid w:val="001C332D"/>
    <w:rsid w:val="001C58FF"/>
    <w:rsid w:val="001C5D21"/>
    <w:rsid w:val="001C657A"/>
    <w:rsid w:val="001C6F7B"/>
    <w:rsid w:val="001C7FB6"/>
    <w:rsid w:val="001D3519"/>
    <w:rsid w:val="001D4C00"/>
    <w:rsid w:val="001D570C"/>
    <w:rsid w:val="001D586E"/>
    <w:rsid w:val="001E2DBD"/>
    <w:rsid w:val="001E40B1"/>
    <w:rsid w:val="001E650B"/>
    <w:rsid w:val="001E6FE7"/>
    <w:rsid w:val="001F02B2"/>
    <w:rsid w:val="001F2804"/>
    <w:rsid w:val="001F2C78"/>
    <w:rsid w:val="001F3267"/>
    <w:rsid w:val="001F3FD4"/>
    <w:rsid w:val="001F521E"/>
    <w:rsid w:val="001F6709"/>
    <w:rsid w:val="001F7B97"/>
    <w:rsid w:val="0020008E"/>
    <w:rsid w:val="00200429"/>
    <w:rsid w:val="00201328"/>
    <w:rsid w:val="00202EB9"/>
    <w:rsid w:val="00202F0E"/>
    <w:rsid w:val="00204109"/>
    <w:rsid w:val="00205227"/>
    <w:rsid w:val="0020715C"/>
    <w:rsid w:val="00207201"/>
    <w:rsid w:val="0021212F"/>
    <w:rsid w:val="00213CA5"/>
    <w:rsid w:val="002150FF"/>
    <w:rsid w:val="002156F7"/>
    <w:rsid w:val="00217AE0"/>
    <w:rsid w:val="00223F11"/>
    <w:rsid w:val="002262FF"/>
    <w:rsid w:val="00226648"/>
    <w:rsid w:val="00230360"/>
    <w:rsid w:val="00231C53"/>
    <w:rsid w:val="00231E7E"/>
    <w:rsid w:val="00240D40"/>
    <w:rsid w:val="00241FF7"/>
    <w:rsid w:val="00242012"/>
    <w:rsid w:val="00242194"/>
    <w:rsid w:val="00243925"/>
    <w:rsid w:val="00243E13"/>
    <w:rsid w:val="002462A6"/>
    <w:rsid w:val="00246384"/>
    <w:rsid w:val="00246669"/>
    <w:rsid w:val="002475A8"/>
    <w:rsid w:val="00250CD1"/>
    <w:rsid w:val="002518C9"/>
    <w:rsid w:val="00252A26"/>
    <w:rsid w:val="00252FBB"/>
    <w:rsid w:val="0025604A"/>
    <w:rsid w:val="00256059"/>
    <w:rsid w:val="002560E2"/>
    <w:rsid w:val="00256105"/>
    <w:rsid w:val="00256911"/>
    <w:rsid w:val="00257768"/>
    <w:rsid w:val="002607C1"/>
    <w:rsid w:val="0026217B"/>
    <w:rsid w:val="0026274D"/>
    <w:rsid w:val="00262F0E"/>
    <w:rsid w:val="00263835"/>
    <w:rsid w:val="00265F62"/>
    <w:rsid w:val="00270CC9"/>
    <w:rsid w:val="00270EA2"/>
    <w:rsid w:val="002724DB"/>
    <w:rsid w:val="002735C3"/>
    <w:rsid w:val="00273831"/>
    <w:rsid w:val="00273AD9"/>
    <w:rsid w:val="0027438B"/>
    <w:rsid w:val="00275D8D"/>
    <w:rsid w:val="00281A3E"/>
    <w:rsid w:val="00283B15"/>
    <w:rsid w:val="00283E95"/>
    <w:rsid w:val="00291A63"/>
    <w:rsid w:val="0029213E"/>
    <w:rsid w:val="002926E2"/>
    <w:rsid w:val="002932B7"/>
    <w:rsid w:val="00293FB1"/>
    <w:rsid w:val="00294476"/>
    <w:rsid w:val="00294917"/>
    <w:rsid w:val="00295492"/>
    <w:rsid w:val="00295C0D"/>
    <w:rsid w:val="00295D86"/>
    <w:rsid w:val="00295DFA"/>
    <w:rsid w:val="0029732E"/>
    <w:rsid w:val="002A01D8"/>
    <w:rsid w:val="002A064F"/>
    <w:rsid w:val="002A076A"/>
    <w:rsid w:val="002A0A54"/>
    <w:rsid w:val="002A12BA"/>
    <w:rsid w:val="002A1545"/>
    <w:rsid w:val="002A2D65"/>
    <w:rsid w:val="002A4D42"/>
    <w:rsid w:val="002A5017"/>
    <w:rsid w:val="002A58A8"/>
    <w:rsid w:val="002A7D0C"/>
    <w:rsid w:val="002B0561"/>
    <w:rsid w:val="002B11CB"/>
    <w:rsid w:val="002B1AED"/>
    <w:rsid w:val="002B2FA3"/>
    <w:rsid w:val="002B4B07"/>
    <w:rsid w:val="002B52CD"/>
    <w:rsid w:val="002B5E1A"/>
    <w:rsid w:val="002B602A"/>
    <w:rsid w:val="002B6049"/>
    <w:rsid w:val="002B6731"/>
    <w:rsid w:val="002B6E70"/>
    <w:rsid w:val="002B7125"/>
    <w:rsid w:val="002B77C4"/>
    <w:rsid w:val="002C1A8E"/>
    <w:rsid w:val="002C1AD7"/>
    <w:rsid w:val="002C3725"/>
    <w:rsid w:val="002C38F4"/>
    <w:rsid w:val="002C3C3C"/>
    <w:rsid w:val="002C4FD2"/>
    <w:rsid w:val="002C78A8"/>
    <w:rsid w:val="002D0A41"/>
    <w:rsid w:val="002D1483"/>
    <w:rsid w:val="002D1E02"/>
    <w:rsid w:val="002D4BD4"/>
    <w:rsid w:val="002D7016"/>
    <w:rsid w:val="002D7433"/>
    <w:rsid w:val="002E06A7"/>
    <w:rsid w:val="002E34F0"/>
    <w:rsid w:val="002E4F29"/>
    <w:rsid w:val="002E526F"/>
    <w:rsid w:val="002E66A1"/>
    <w:rsid w:val="002F3869"/>
    <w:rsid w:val="002F4417"/>
    <w:rsid w:val="002F5872"/>
    <w:rsid w:val="002F59B6"/>
    <w:rsid w:val="002F6A07"/>
    <w:rsid w:val="002F79E3"/>
    <w:rsid w:val="002F7D79"/>
    <w:rsid w:val="0030235C"/>
    <w:rsid w:val="00305358"/>
    <w:rsid w:val="00310A2A"/>
    <w:rsid w:val="0031233E"/>
    <w:rsid w:val="00313582"/>
    <w:rsid w:val="00314A47"/>
    <w:rsid w:val="00315548"/>
    <w:rsid w:val="00316282"/>
    <w:rsid w:val="0031719C"/>
    <w:rsid w:val="0031766B"/>
    <w:rsid w:val="00320871"/>
    <w:rsid w:val="00322759"/>
    <w:rsid w:val="0032329D"/>
    <w:rsid w:val="00324A61"/>
    <w:rsid w:val="00325D21"/>
    <w:rsid w:val="0032628D"/>
    <w:rsid w:val="00326ED8"/>
    <w:rsid w:val="00326F80"/>
    <w:rsid w:val="0032728F"/>
    <w:rsid w:val="0033068B"/>
    <w:rsid w:val="00331232"/>
    <w:rsid w:val="00332EFC"/>
    <w:rsid w:val="00332EFF"/>
    <w:rsid w:val="003343F0"/>
    <w:rsid w:val="0033646A"/>
    <w:rsid w:val="00336650"/>
    <w:rsid w:val="00336712"/>
    <w:rsid w:val="00342002"/>
    <w:rsid w:val="00344699"/>
    <w:rsid w:val="00344897"/>
    <w:rsid w:val="003459CF"/>
    <w:rsid w:val="003463F7"/>
    <w:rsid w:val="0034780A"/>
    <w:rsid w:val="00350614"/>
    <w:rsid w:val="00351FA1"/>
    <w:rsid w:val="00352BFF"/>
    <w:rsid w:val="0035475E"/>
    <w:rsid w:val="0035501D"/>
    <w:rsid w:val="00357176"/>
    <w:rsid w:val="003613CB"/>
    <w:rsid w:val="00363BBA"/>
    <w:rsid w:val="00364753"/>
    <w:rsid w:val="00364BA0"/>
    <w:rsid w:val="00366333"/>
    <w:rsid w:val="0036682C"/>
    <w:rsid w:val="00366EC3"/>
    <w:rsid w:val="00370D1C"/>
    <w:rsid w:val="00372B02"/>
    <w:rsid w:val="003735BC"/>
    <w:rsid w:val="003748A0"/>
    <w:rsid w:val="00375127"/>
    <w:rsid w:val="00377633"/>
    <w:rsid w:val="00380C51"/>
    <w:rsid w:val="00382A75"/>
    <w:rsid w:val="0038366B"/>
    <w:rsid w:val="00383C2A"/>
    <w:rsid w:val="0038518F"/>
    <w:rsid w:val="0038532C"/>
    <w:rsid w:val="00385355"/>
    <w:rsid w:val="0038661D"/>
    <w:rsid w:val="003868DF"/>
    <w:rsid w:val="003872B1"/>
    <w:rsid w:val="0039020E"/>
    <w:rsid w:val="00390426"/>
    <w:rsid w:val="00391A6B"/>
    <w:rsid w:val="00394DBE"/>
    <w:rsid w:val="003A3141"/>
    <w:rsid w:val="003A3B07"/>
    <w:rsid w:val="003A50B0"/>
    <w:rsid w:val="003B0175"/>
    <w:rsid w:val="003B1BC8"/>
    <w:rsid w:val="003B2A19"/>
    <w:rsid w:val="003B2D49"/>
    <w:rsid w:val="003B2E47"/>
    <w:rsid w:val="003B5728"/>
    <w:rsid w:val="003B5ED2"/>
    <w:rsid w:val="003B662D"/>
    <w:rsid w:val="003B6881"/>
    <w:rsid w:val="003B7072"/>
    <w:rsid w:val="003B7E22"/>
    <w:rsid w:val="003C0576"/>
    <w:rsid w:val="003C155C"/>
    <w:rsid w:val="003C1E9F"/>
    <w:rsid w:val="003C27E2"/>
    <w:rsid w:val="003C30A0"/>
    <w:rsid w:val="003C30AB"/>
    <w:rsid w:val="003C32E5"/>
    <w:rsid w:val="003C41D8"/>
    <w:rsid w:val="003D2C27"/>
    <w:rsid w:val="003D310E"/>
    <w:rsid w:val="003D57DF"/>
    <w:rsid w:val="003D5F68"/>
    <w:rsid w:val="003E0662"/>
    <w:rsid w:val="003E0F64"/>
    <w:rsid w:val="003E403C"/>
    <w:rsid w:val="003E41A4"/>
    <w:rsid w:val="003E7141"/>
    <w:rsid w:val="003E7728"/>
    <w:rsid w:val="003F028F"/>
    <w:rsid w:val="003F10CD"/>
    <w:rsid w:val="003F35B3"/>
    <w:rsid w:val="003F47FA"/>
    <w:rsid w:val="003F4EEE"/>
    <w:rsid w:val="003F66BE"/>
    <w:rsid w:val="003F7D8B"/>
    <w:rsid w:val="00400B46"/>
    <w:rsid w:val="00400D68"/>
    <w:rsid w:val="00401991"/>
    <w:rsid w:val="00403905"/>
    <w:rsid w:val="00405190"/>
    <w:rsid w:val="004059BF"/>
    <w:rsid w:val="00405E27"/>
    <w:rsid w:val="004075F7"/>
    <w:rsid w:val="004103A9"/>
    <w:rsid w:val="00411229"/>
    <w:rsid w:val="00411523"/>
    <w:rsid w:val="00414F00"/>
    <w:rsid w:val="004174A0"/>
    <w:rsid w:val="00420318"/>
    <w:rsid w:val="00421438"/>
    <w:rsid w:val="00422001"/>
    <w:rsid w:val="00423B6C"/>
    <w:rsid w:val="0042614F"/>
    <w:rsid w:val="00426C9D"/>
    <w:rsid w:val="00427F51"/>
    <w:rsid w:val="004308B6"/>
    <w:rsid w:val="00435186"/>
    <w:rsid w:val="00435F45"/>
    <w:rsid w:val="00437A9E"/>
    <w:rsid w:val="00440C42"/>
    <w:rsid w:val="00442FAC"/>
    <w:rsid w:val="00443515"/>
    <w:rsid w:val="00446C6A"/>
    <w:rsid w:val="0044709F"/>
    <w:rsid w:val="00447BB8"/>
    <w:rsid w:val="0045173C"/>
    <w:rsid w:val="004562F3"/>
    <w:rsid w:val="00456440"/>
    <w:rsid w:val="0045724B"/>
    <w:rsid w:val="004576F1"/>
    <w:rsid w:val="004600B4"/>
    <w:rsid w:val="004603C7"/>
    <w:rsid w:val="00461010"/>
    <w:rsid w:val="00461609"/>
    <w:rsid w:val="004616E7"/>
    <w:rsid w:val="00462D2D"/>
    <w:rsid w:val="004632C4"/>
    <w:rsid w:val="004633C6"/>
    <w:rsid w:val="00464F4C"/>
    <w:rsid w:val="00467280"/>
    <w:rsid w:val="00467EB7"/>
    <w:rsid w:val="00470110"/>
    <w:rsid w:val="00470677"/>
    <w:rsid w:val="004722B6"/>
    <w:rsid w:val="00472D67"/>
    <w:rsid w:val="00474CAF"/>
    <w:rsid w:val="0047684A"/>
    <w:rsid w:val="00480812"/>
    <w:rsid w:val="004825B1"/>
    <w:rsid w:val="00484029"/>
    <w:rsid w:val="0048444A"/>
    <w:rsid w:val="00487549"/>
    <w:rsid w:val="004901F1"/>
    <w:rsid w:val="0049180D"/>
    <w:rsid w:val="0049267B"/>
    <w:rsid w:val="00493FE1"/>
    <w:rsid w:val="004944B8"/>
    <w:rsid w:val="004949D5"/>
    <w:rsid w:val="00497712"/>
    <w:rsid w:val="004A12C4"/>
    <w:rsid w:val="004A160C"/>
    <w:rsid w:val="004A232C"/>
    <w:rsid w:val="004A5E21"/>
    <w:rsid w:val="004A6008"/>
    <w:rsid w:val="004A6855"/>
    <w:rsid w:val="004A721D"/>
    <w:rsid w:val="004A7273"/>
    <w:rsid w:val="004A7D37"/>
    <w:rsid w:val="004B0A90"/>
    <w:rsid w:val="004B13A0"/>
    <w:rsid w:val="004B13E3"/>
    <w:rsid w:val="004B25ED"/>
    <w:rsid w:val="004B4F38"/>
    <w:rsid w:val="004B4F5F"/>
    <w:rsid w:val="004B7F48"/>
    <w:rsid w:val="004C1914"/>
    <w:rsid w:val="004C1E64"/>
    <w:rsid w:val="004C1EA1"/>
    <w:rsid w:val="004C23F0"/>
    <w:rsid w:val="004C45AF"/>
    <w:rsid w:val="004C60A0"/>
    <w:rsid w:val="004D0DCE"/>
    <w:rsid w:val="004D10DD"/>
    <w:rsid w:val="004D2005"/>
    <w:rsid w:val="004D2142"/>
    <w:rsid w:val="004D3EC4"/>
    <w:rsid w:val="004D4000"/>
    <w:rsid w:val="004D6100"/>
    <w:rsid w:val="004D624C"/>
    <w:rsid w:val="004D6CFB"/>
    <w:rsid w:val="004D7951"/>
    <w:rsid w:val="004E01EB"/>
    <w:rsid w:val="004E32B2"/>
    <w:rsid w:val="004E3337"/>
    <w:rsid w:val="004E521B"/>
    <w:rsid w:val="004E530B"/>
    <w:rsid w:val="004E71D1"/>
    <w:rsid w:val="004E724D"/>
    <w:rsid w:val="004E7585"/>
    <w:rsid w:val="004E7D5C"/>
    <w:rsid w:val="004F029B"/>
    <w:rsid w:val="004F113A"/>
    <w:rsid w:val="004F1603"/>
    <w:rsid w:val="004F190B"/>
    <w:rsid w:val="004F2398"/>
    <w:rsid w:val="004F3376"/>
    <w:rsid w:val="004F459D"/>
    <w:rsid w:val="004F4B7C"/>
    <w:rsid w:val="004F4BDF"/>
    <w:rsid w:val="004F538C"/>
    <w:rsid w:val="004F65BD"/>
    <w:rsid w:val="004F6C4A"/>
    <w:rsid w:val="004F71A7"/>
    <w:rsid w:val="0050435A"/>
    <w:rsid w:val="00505522"/>
    <w:rsid w:val="00505D16"/>
    <w:rsid w:val="0050694B"/>
    <w:rsid w:val="00506F49"/>
    <w:rsid w:val="005126D7"/>
    <w:rsid w:val="00512A6F"/>
    <w:rsid w:val="00513DA1"/>
    <w:rsid w:val="005140AC"/>
    <w:rsid w:val="00514E0B"/>
    <w:rsid w:val="005158CE"/>
    <w:rsid w:val="005170D8"/>
    <w:rsid w:val="0051768A"/>
    <w:rsid w:val="0052001A"/>
    <w:rsid w:val="00521202"/>
    <w:rsid w:val="0052133B"/>
    <w:rsid w:val="0052406E"/>
    <w:rsid w:val="00526266"/>
    <w:rsid w:val="0053023A"/>
    <w:rsid w:val="00532C23"/>
    <w:rsid w:val="00535E77"/>
    <w:rsid w:val="00535FAE"/>
    <w:rsid w:val="00536183"/>
    <w:rsid w:val="00536A7C"/>
    <w:rsid w:val="00541CE5"/>
    <w:rsid w:val="005429FA"/>
    <w:rsid w:val="00542ED2"/>
    <w:rsid w:val="00544FFB"/>
    <w:rsid w:val="0054671E"/>
    <w:rsid w:val="00547456"/>
    <w:rsid w:val="00552CB6"/>
    <w:rsid w:val="00553BF4"/>
    <w:rsid w:val="00557F45"/>
    <w:rsid w:val="00560BDB"/>
    <w:rsid w:val="0056317E"/>
    <w:rsid w:val="005648D7"/>
    <w:rsid w:val="00566313"/>
    <w:rsid w:val="005709E2"/>
    <w:rsid w:val="0057152B"/>
    <w:rsid w:val="00571E1B"/>
    <w:rsid w:val="00572867"/>
    <w:rsid w:val="00576F98"/>
    <w:rsid w:val="00577F62"/>
    <w:rsid w:val="00580CE0"/>
    <w:rsid w:val="00580DEF"/>
    <w:rsid w:val="00581E68"/>
    <w:rsid w:val="0058323A"/>
    <w:rsid w:val="00584910"/>
    <w:rsid w:val="00585CF0"/>
    <w:rsid w:val="00585EAA"/>
    <w:rsid w:val="00590338"/>
    <w:rsid w:val="00590670"/>
    <w:rsid w:val="00590AEB"/>
    <w:rsid w:val="005919BA"/>
    <w:rsid w:val="00592873"/>
    <w:rsid w:val="00594F58"/>
    <w:rsid w:val="005A2B54"/>
    <w:rsid w:val="005A4512"/>
    <w:rsid w:val="005A5565"/>
    <w:rsid w:val="005A5AF4"/>
    <w:rsid w:val="005B0712"/>
    <w:rsid w:val="005B17AD"/>
    <w:rsid w:val="005B26C1"/>
    <w:rsid w:val="005B27DE"/>
    <w:rsid w:val="005B286F"/>
    <w:rsid w:val="005B2B01"/>
    <w:rsid w:val="005B2BBE"/>
    <w:rsid w:val="005B322F"/>
    <w:rsid w:val="005B3BA5"/>
    <w:rsid w:val="005B53AB"/>
    <w:rsid w:val="005B6BEA"/>
    <w:rsid w:val="005B7F06"/>
    <w:rsid w:val="005C02DE"/>
    <w:rsid w:val="005C0F80"/>
    <w:rsid w:val="005C12B3"/>
    <w:rsid w:val="005C39E2"/>
    <w:rsid w:val="005C6132"/>
    <w:rsid w:val="005D0281"/>
    <w:rsid w:val="005D0A08"/>
    <w:rsid w:val="005D3A43"/>
    <w:rsid w:val="005D4588"/>
    <w:rsid w:val="005D4BA7"/>
    <w:rsid w:val="005D7B44"/>
    <w:rsid w:val="005E07CB"/>
    <w:rsid w:val="005E0B05"/>
    <w:rsid w:val="005E1425"/>
    <w:rsid w:val="005E1C52"/>
    <w:rsid w:val="005E263F"/>
    <w:rsid w:val="005E2ECB"/>
    <w:rsid w:val="005E5884"/>
    <w:rsid w:val="005F0338"/>
    <w:rsid w:val="005F0F5C"/>
    <w:rsid w:val="005F13B3"/>
    <w:rsid w:val="005F49D3"/>
    <w:rsid w:val="005F5DAD"/>
    <w:rsid w:val="00600150"/>
    <w:rsid w:val="00602575"/>
    <w:rsid w:val="006047F8"/>
    <w:rsid w:val="0060502E"/>
    <w:rsid w:val="00606FC2"/>
    <w:rsid w:val="0060763F"/>
    <w:rsid w:val="00607B97"/>
    <w:rsid w:val="00611B8C"/>
    <w:rsid w:val="00611E75"/>
    <w:rsid w:val="00612166"/>
    <w:rsid w:val="00612296"/>
    <w:rsid w:val="006139B7"/>
    <w:rsid w:val="00614049"/>
    <w:rsid w:val="00616706"/>
    <w:rsid w:val="00616D58"/>
    <w:rsid w:val="00620A81"/>
    <w:rsid w:val="00620D13"/>
    <w:rsid w:val="00621A99"/>
    <w:rsid w:val="00622780"/>
    <w:rsid w:val="00622AFD"/>
    <w:rsid w:val="00622FD1"/>
    <w:rsid w:val="0062312D"/>
    <w:rsid w:val="006238D9"/>
    <w:rsid w:val="00624386"/>
    <w:rsid w:val="00624723"/>
    <w:rsid w:val="00626190"/>
    <w:rsid w:val="00632796"/>
    <w:rsid w:val="0063459A"/>
    <w:rsid w:val="00636ECD"/>
    <w:rsid w:val="00636EEB"/>
    <w:rsid w:val="00637B4B"/>
    <w:rsid w:val="00637EBB"/>
    <w:rsid w:val="00637F57"/>
    <w:rsid w:val="00642CB8"/>
    <w:rsid w:val="00643CA3"/>
    <w:rsid w:val="00643CDB"/>
    <w:rsid w:val="006448BC"/>
    <w:rsid w:val="00644FB7"/>
    <w:rsid w:val="00645079"/>
    <w:rsid w:val="0064522C"/>
    <w:rsid w:val="00651533"/>
    <w:rsid w:val="006556D6"/>
    <w:rsid w:val="0065674E"/>
    <w:rsid w:val="00657BE3"/>
    <w:rsid w:val="0066167D"/>
    <w:rsid w:val="0066192A"/>
    <w:rsid w:val="00661DDD"/>
    <w:rsid w:val="00662B8B"/>
    <w:rsid w:val="006648B8"/>
    <w:rsid w:val="006648C9"/>
    <w:rsid w:val="006658D0"/>
    <w:rsid w:val="00667653"/>
    <w:rsid w:val="0066788C"/>
    <w:rsid w:val="00670E9B"/>
    <w:rsid w:val="0067269D"/>
    <w:rsid w:val="0067301A"/>
    <w:rsid w:val="006735AD"/>
    <w:rsid w:val="006741EB"/>
    <w:rsid w:val="00674F3F"/>
    <w:rsid w:val="006765ED"/>
    <w:rsid w:val="006766BC"/>
    <w:rsid w:val="00677218"/>
    <w:rsid w:val="00677DD8"/>
    <w:rsid w:val="00680185"/>
    <w:rsid w:val="0068020F"/>
    <w:rsid w:val="00680F11"/>
    <w:rsid w:val="00681C9F"/>
    <w:rsid w:val="00682800"/>
    <w:rsid w:val="0068433E"/>
    <w:rsid w:val="00684E15"/>
    <w:rsid w:val="00684E2A"/>
    <w:rsid w:val="00686413"/>
    <w:rsid w:val="006864DE"/>
    <w:rsid w:val="0068680E"/>
    <w:rsid w:val="00686A6C"/>
    <w:rsid w:val="00686DE8"/>
    <w:rsid w:val="00690563"/>
    <w:rsid w:val="00691E9D"/>
    <w:rsid w:val="006929F8"/>
    <w:rsid w:val="0069475C"/>
    <w:rsid w:val="006955BD"/>
    <w:rsid w:val="006969BF"/>
    <w:rsid w:val="00697106"/>
    <w:rsid w:val="0069732D"/>
    <w:rsid w:val="006A5F39"/>
    <w:rsid w:val="006A7EF5"/>
    <w:rsid w:val="006B1606"/>
    <w:rsid w:val="006B1E4D"/>
    <w:rsid w:val="006B2868"/>
    <w:rsid w:val="006B3467"/>
    <w:rsid w:val="006C174B"/>
    <w:rsid w:val="006C58D3"/>
    <w:rsid w:val="006C62D1"/>
    <w:rsid w:val="006C6A28"/>
    <w:rsid w:val="006D250D"/>
    <w:rsid w:val="006D25D8"/>
    <w:rsid w:val="006D36C4"/>
    <w:rsid w:val="006D47B3"/>
    <w:rsid w:val="006D603A"/>
    <w:rsid w:val="006D7611"/>
    <w:rsid w:val="006D764B"/>
    <w:rsid w:val="006D7B3D"/>
    <w:rsid w:val="006E01AD"/>
    <w:rsid w:val="006E17A3"/>
    <w:rsid w:val="006E17CF"/>
    <w:rsid w:val="006E18AE"/>
    <w:rsid w:val="006E2D91"/>
    <w:rsid w:val="006E2E5F"/>
    <w:rsid w:val="006E581B"/>
    <w:rsid w:val="006E5A6D"/>
    <w:rsid w:val="006E6AD3"/>
    <w:rsid w:val="006F0B8B"/>
    <w:rsid w:val="006F0CD3"/>
    <w:rsid w:val="006F10FE"/>
    <w:rsid w:val="006F19F1"/>
    <w:rsid w:val="006F1C70"/>
    <w:rsid w:val="006F22D0"/>
    <w:rsid w:val="006F275A"/>
    <w:rsid w:val="006F2D58"/>
    <w:rsid w:val="006F2FF4"/>
    <w:rsid w:val="006F3C4B"/>
    <w:rsid w:val="006F6A33"/>
    <w:rsid w:val="006F7C96"/>
    <w:rsid w:val="006F7D74"/>
    <w:rsid w:val="00700711"/>
    <w:rsid w:val="00700CF5"/>
    <w:rsid w:val="00701F57"/>
    <w:rsid w:val="00704510"/>
    <w:rsid w:val="00705498"/>
    <w:rsid w:val="00705D5C"/>
    <w:rsid w:val="0070698C"/>
    <w:rsid w:val="007070F0"/>
    <w:rsid w:val="007073AC"/>
    <w:rsid w:val="0071057F"/>
    <w:rsid w:val="00713D37"/>
    <w:rsid w:val="00714BE4"/>
    <w:rsid w:val="00717768"/>
    <w:rsid w:val="00717D49"/>
    <w:rsid w:val="0072107C"/>
    <w:rsid w:val="007215C8"/>
    <w:rsid w:val="00721801"/>
    <w:rsid w:val="0072187A"/>
    <w:rsid w:val="007219CD"/>
    <w:rsid w:val="007219FA"/>
    <w:rsid w:val="0072353C"/>
    <w:rsid w:val="00723D1F"/>
    <w:rsid w:val="00724362"/>
    <w:rsid w:val="00725FE9"/>
    <w:rsid w:val="00726286"/>
    <w:rsid w:val="00730D18"/>
    <w:rsid w:val="00730DE2"/>
    <w:rsid w:val="0073202C"/>
    <w:rsid w:val="00732136"/>
    <w:rsid w:val="007332AC"/>
    <w:rsid w:val="00733C1F"/>
    <w:rsid w:val="00735FCC"/>
    <w:rsid w:val="00736683"/>
    <w:rsid w:val="007376C5"/>
    <w:rsid w:val="00740A5F"/>
    <w:rsid w:val="00740F3F"/>
    <w:rsid w:val="00741055"/>
    <w:rsid w:val="00741714"/>
    <w:rsid w:val="00741B11"/>
    <w:rsid w:val="00742D92"/>
    <w:rsid w:val="007430AE"/>
    <w:rsid w:val="00743BD5"/>
    <w:rsid w:val="0074472B"/>
    <w:rsid w:val="0074601B"/>
    <w:rsid w:val="00746B58"/>
    <w:rsid w:val="00747A1A"/>
    <w:rsid w:val="00750592"/>
    <w:rsid w:val="00754086"/>
    <w:rsid w:val="00756522"/>
    <w:rsid w:val="00757EBE"/>
    <w:rsid w:val="007603C9"/>
    <w:rsid w:val="007612A3"/>
    <w:rsid w:val="00761420"/>
    <w:rsid w:val="00766731"/>
    <w:rsid w:val="00767A3D"/>
    <w:rsid w:val="00767AC8"/>
    <w:rsid w:val="007731EB"/>
    <w:rsid w:val="00773348"/>
    <w:rsid w:val="00774655"/>
    <w:rsid w:val="00775502"/>
    <w:rsid w:val="00775F83"/>
    <w:rsid w:val="007764DB"/>
    <w:rsid w:val="00777763"/>
    <w:rsid w:val="00780DEE"/>
    <w:rsid w:val="00780F08"/>
    <w:rsid w:val="00781BDD"/>
    <w:rsid w:val="007823EA"/>
    <w:rsid w:val="007845DF"/>
    <w:rsid w:val="007867BA"/>
    <w:rsid w:val="00786A8E"/>
    <w:rsid w:val="00790210"/>
    <w:rsid w:val="00790B90"/>
    <w:rsid w:val="00791624"/>
    <w:rsid w:val="00792B2A"/>
    <w:rsid w:val="007939C0"/>
    <w:rsid w:val="00794D98"/>
    <w:rsid w:val="00795132"/>
    <w:rsid w:val="007959EE"/>
    <w:rsid w:val="00795EA3"/>
    <w:rsid w:val="007965CF"/>
    <w:rsid w:val="00796F5A"/>
    <w:rsid w:val="007A1C6F"/>
    <w:rsid w:val="007A20FF"/>
    <w:rsid w:val="007A3787"/>
    <w:rsid w:val="007A4C34"/>
    <w:rsid w:val="007A4DB7"/>
    <w:rsid w:val="007A7154"/>
    <w:rsid w:val="007A719B"/>
    <w:rsid w:val="007B0412"/>
    <w:rsid w:val="007B04C6"/>
    <w:rsid w:val="007B10EA"/>
    <w:rsid w:val="007B11DC"/>
    <w:rsid w:val="007B1509"/>
    <w:rsid w:val="007B1693"/>
    <w:rsid w:val="007B4A4A"/>
    <w:rsid w:val="007B537C"/>
    <w:rsid w:val="007B6DB1"/>
    <w:rsid w:val="007B7265"/>
    <w:rsid w:val="007B7811"/>
    <w:rsid w:val="007B7FFD"/>
    <w:rsid w:val="007C2284"/>
    <w:rsid w:val="007C2374"/>
    <w:rsid w:val="007C3140"/>
    <w:rsid w:val="007C51ED"/>
    <w:rsid w:val="007C6409"/>
    <w:rsid w:val="007C6A23"/>
    <w:rsid w:val="007C7902"/>
    <w:rsid w:val="007D2252"/>
    <w:rsid w:val="007D3BFC"/>
    <w:rsid w:val="007D617A"/>
    <w:rsid w:val="007E170D"/>
    <w:rsid w:val="007E2AA4"/>
    <w:rsid w:val="007E2CA2"/>
    <w:rsid w:val="007E3246"/>
    <w:rsid w:val="007E410E"/>
    <w:rsid w:val="007E49A1"/>
    <w:rsid w:val="007E4C29"/>
    <w:rsid w:val="007E70FB"/>
    <w:rsid w:val="007E72D3"/>
    <w:rsid w:val="007E7562"/>
    <w:rsid w:val="007E7881"/>
    <w:rsid w:val="007F1DEC"/>
    <w:rsid w:val="007F3D6F"/>
    <w:rsid w:val="007F6EAB"/>
    <w:rsid w:val="007F7C64"/>
    <w:rsid w:val="008009C7"/>
    <w:rsid w:val="00801B81"/>
    <w:rsid w:val="00801BFB"/>
    <w:rsid w:val="00802B6A"/>
    <w:rsid w:val="00803E6D"/>
    <w:rsid w:val="0080413B"/>
    <w:rsid w:val="008101E2"/>
    <w:rsid w:val="00811931"/>
    <w:rsid w:val="008120DC"/>
    <w:rsid w:val="00812A82"/>
    <w:rsid w:val="00814294"/>
    <w:rsid w:val="008164C8"/>
    <w:rsid w:val="00817AD1"/>
    <w:rsid w:val="00822F0B"/>
    <w:rsid w:val="00825592"/>
    <w:rsid w:val="00825636"/>
    <w:rsid w:val="00825829"/>
    <w:rsid w:val="00825F1D"/>
    <w:rsid w:val="00827752"/>
    <w:rsid w:val="00827A34"/>
    <w:rsid w:val="008309E8"/>
    <w:rsid w:val="008309EA"/>
    <w:rsid w:val="00831D7E"/>
    <w:rsid w:val="00831FA3"/>
    <w:rsid w:val="00832C53"/>
    <w:rsid w:val="008330EA"/>
    <w:rsid w:val="008338C3"/>
    <w:rsid w:val="008339F4"/>
    <w:rsid w:val="00834D6E"/>
    <w:rsid w:val="008354EC"/>
    <w:rsid w:val="008362CF"/>
    <w:rsid w:val="0084104B"/>
    <w:rsid w:val="008412B2"/>
    <w:rsid w:val="00841412"/>
    <w:rsid w:val="0084208A"/>
    <w:rsid w:val="0084235F"/>
    <w:rsid w:val="00842C96"/>
    <w:rsid w:val="00842D71"/>
    <w:rsid w:val="00843174"/>
    <w:rsid w:val="0084369A"/>
    <w:rsid w:val="0084426E"/>
    <w:rsid w:val="00844D6D"/>
    <w:rsid w:val="00846CB0"/>
    <w:rsid w:val="008470CD"/>
    <w:rsid w:val="00855795"/>
    <w:rsid w:val="008568B4"/>
    <w:rsid w:val="008575BE"/>
    <w:rsid w:val="00862054"/>
    <w:rsid w:val="00864D8A"/>
    <w:rsid w:val="00866C1B"/>
    <w:rsid w:val="0087113D"/>
    <w:rsid w:val="00872E54"/>
    <w:rsid w:val="00874D1E"/>
    <w:rsid w:val="00875D69"/>
    <w:rsid w:val="00876CD1"/>
    <w:rsid w:val="00877622"/>
    <w:rsid w:val="0088082D"/>
    <w:rsid w:val="00881C5D"/>
    <w:rsid w:val="00882B9A"/>
    <w:rsid w:val="00884A25"/>
    <w:rsid w:val="008869E2"/>
    <w:rsid w:val="0089167C"/>
    <w:rsid w:val="0089255B"/>
    <w:rsid w:val="00892660"/>
    <w:rsid w:val="008939F1"/>
    <w:rsid w:val="008944D9"/>
    <w:rsid w:val="00894835"/>
    <w:rsid w:val="008949AC"/>
    <w:rsid w:val="0089566B"/>
    <w:rsid w:val="00895CD8"/>
    <w:rsid w:val="008970C8"/>
    <w:rsid w:val="008A234A"/>
    <w:rsid w:val="008A2BE8"/>
    <w:rsid w:val="008A3CFB"/>
    <w:rsid w:val="008A444F"/>
    <w:rsid w:val="008A4B88"/>
    <w:rsid w:val="008A678D"/>
    <w:rsid w:val="008A7512"/>
    <w:rsid w:val="008A7A72"/>
    <w:rsid w:val="008B06A0"/>
    <w:rsid w:val="008B13C2"/>
    <w:rsid w:val="008B1D07"/>
    <w:rsid w:val="008B2E83"/>
    <w:rsid w:val="008B38FE"/>
    <w:rsid w:val="008B459A"/>
    <w:rsid w:val="008B5C26"/>
    <w:rsid w:val="008B67A0"/>
    <w:rsid w:val="008C0B7D"/>
    <w:rsid w:val="008C15BE"/>
    <w:rsid w:val="008C174A"/>
    <w:rsid w:val="008C60E1"/>
    <w:rsid w:val="008C7C31"/>
    <w:rsid w:val="008D1ECA"/>
    <w:rsid w:val="008D2038"/>
    <w:rsid w:val="008D24A1"/>
    <w:rsid w:val="008D56F0"/>
    <w:rsid w:val="008D637D"/>
    <w:rsid w:val="008D7A13"/>
    <w:rsid w:val="008D7D3F"/>
    <w:rsid w:val="008E0ACC"/>
    <w:rsid w:val="008E227C"/>
    <w:rsid w:val="008E2282"/>
    <w:rsid w:val="008E2F6D"/>
    <w:rsid w:val="008E3B3D"/>
    <w:rsid w:val="008E45B5"/>
    <w:rsid w:val="008E55C2"/>
    <w:rsid w:val="008E5950"/>
    <w:rsid w:val="008E6D5E"/>
    <w:rsid w:val="008F1C9A"/>
    <w:rsid w:val="008F463F"/>
    <w:rsid w:val="008F7156"/>
    <w:rsid w:val="00900173"/>
    <w:rsid w:val="009030CB"/>
    <w:rsid w:val="009036C8"/>
    <w:rsid w:val="0090484E"/>
    <w:rsid w:val="00907606"/>
    <w:rsid w:val="00907B37"/>
    <w:rsid w:val="00910CCE"/>
    <w:rsid w:val="0091263A"/>
    <w:rsid w:val="00912B19"/>
    <w:rsid w:val="00913340"/>
    <w:rsid w:val="009134BB"/>
    <w:rsid w:val="00920283"/>
    <w:rsid w:val="009236A8"/>
    <w:rsid w:val="00924AEC"/>
    <w:rsid w:val="009270D6"/>
    <w:rsid w:val="0092785C"/>
    <w:rsid w:val="00927F96"/>
    <w:rsid w:val="00930CB0"/>
    <w:rsid w:val="00931447"/>
    <w:rsid w:val="0093453D"/>
    <w:rsid w:val="00935322"/>
    <w:rsid w:val="0093752B"/>
    <w:rsid w:val="00940EB8"/>
    <w:rsid w:val="009417A3"/>
    <w:rsid w:val="00941CA7"/>
    <w:rsid w:val="009435AC"/>
    <w:rsid w:val="00945379"/>
    <w:rsid w:val="00954793"/>
    <w:rsid w:val="009556C9"/>
    <w:rsid w:val="009558DC"/>
    <w:rsid w:val="00964245"/>
    <w:rsid w:val="00964544"/>
    <w:rsid w:val="009663EA"/>
    <w:rsid w:val="00970CD3"/>
    <w:rsid w:val="009725DD"/>
    <w:rsid w:val="00973ED9"/>
    <w:rsid w:val="009746F3"/>
    <w:rsid w:val="00974E59"/>
    <w:rsid w:val="00975055"/>
    <w:rsid w:val="009763F2"/>
    <w:rsid w:val="00977002"/>
    <w:rsid w:val="00980068"/>
    <w:rsid w:val="00980FCC"/>
    <w:rsid w:val="0098139F"/>
    <w:rsid w:val="00981C7C"/>
    <w:rsid w:val="009828CA"/>
    <w:rsid w:val="00982A2D"/>
    <w:rsid w:val="00983465"/>
    <w:rsid w:val="009838C8"/>
    <w:rsid w:val="0098391A"/>
    <w:rsid w:val="00983C17"/>
    <w:rsid w:val="009856E4"/>
    <w:rsid w:val="00985F6A"/>
    <w:rsid w:val="009870F8"/>
    <w:rsid w:val="00990959"/>
    <w:rsid w:val="00992437"/>
    <w:rsid w:val="0099372F"/>
    <w:rsid w:val="00993C08"/>
    <w:rsid w:val="009946DE"/>
    <w:rsid w:val="009952B2"/>
    <w:rsid w:val="0099611A"/>
    <w:rsid w:val="009973CA"/>
    <w:rsid w:val="009975CE"/>
    <w:rsid w:val="009A13F0"/>
    <w:rsid w:val="009A4458"/>
    <w:rsid w:val="009A4ABC"/>
    <w:rsid w:val="009A6CE9"/>
    <w:rsid w:val="009B10B2"/>
    <w:rsid w:val="009B4C96"/>
    <w:rsid w:val="009B4CF7"/>
    <w:rsid w:val="009B5DE3"/>
    <w:rsid w:val="009B5E88"/>
    <w:rsid w:val="009B6242"/>
    <w:rsid w:val="009C03BC"/>
    <w:rsid w:val="009C1E75"/>
    <w:rsid w:val="009C282C"/>
    <w:rsid w:val="009C4A22"/>
    <w:rsid w:val="009C4E38"/>
    <w:rsid w:val="009C7177"/>
    <w:rsid w:val="009C7717"/>
    <w:rsid w:val="009D079F"/>
    <w:rsid w:val="009D0FCC"/>
    <w:rsid w:val="009D1423"/>
    <w:rsid w:val="009D4265"/>
    <w:rsid w:val="009D574D"/>
    <w:rsid w:val="009D5FBB"/>
    <w:rsid w:val="009D7617"/>
    <w:rsid w:val="009E056B"/>
    <w:rsid w:val="009E07AA"/>
    <w:rsid w:val="009E0C85"/>
    <w:rsid w:val="009E2143"/>
    <w:rsid w:val="009E3367"/>
    <w:rsid w:val="009E5410"/>
    <w:rsid w:val="009F26A3"/>
    <w:rsid w:val="009F7D5C"/>
    <w:rsid w:val="00A007F1"/>
    <w:rsid w:val="00A01680"/>
    <w:rsid w:val="00A01991"/>
    <w:rsid w:val="00A01A6A"/>
    <w:rsid w:val="00A01AB1"/>
    <w:rsid w:val="00A03B4A"/>
    <w:rsid w:val="00A053EB"/>
    <w:rsid w:val="00A058D6"/>
    <w:rsid w:val="00A0739F"/>
    <w:rsid w:val="00A10739"/>
    <w:rsid w:val="00A11811"/>
    <w:rsid w:val="00A131D6"/>
    <w:rsid w:val="00A13AA1"/>
    <w:rsid w:val="00A14CBF"/>
    <w:rsid w:val="00A16127"/>
    <w:rsid w:val="00A167CA"/>
    <w:rsid w:val="00A231D0"/>
    <w:rsid w:val="00A235D7"/>
    <w:rsid w:val="00A25946"/>
    <w:rsid w:val="00A25DC3"/>
    <w:rsid w:val="00A27B83"/>
    <w:rsid w:val="00A27CC6"/>
    <w:rsid w:val="00A300A0"/>
    <w:rsid w:val="00A300F7"/>
    <w:rsid w:val="00A303EC"/>
    <w:rsid w:val="00A33DEB"/>
    <w:rsid w:val="00A348D4"/>
    <w:rsid w:val="00A34D6C"/>
    <w:rsid w:val="00A35039"/>
    <w:rsid w:val="00A35F86"/>
    <w:rsid w:val="00A400A0"/>
    <w:rsid w:val="00A40A1F"/>
    <w:rsid w:val="00A4178C"/>
    <w:rsid w:val="00A42208"/>
    <w:rsid w:val="00A430D3"/>
    <w:rsid w:val="00A439E3"/>
    <w:rsid w:val="00A43B77"/>
    <w:rsid w:val="00A44C79"/>
    <w:rsid w:val="00A451EE"/>
    <w:rsid w:val="00A45B1A"/>
    <w:rsid w:val="00A4706B"/>
    <w:rsid w:val="00A471C7"/>
    <w:rsid w:val="00A472D7"/>
    <w:rsid w:val="00A52D21"/>
    <w:rsid w:val="00A55D93"/>
    <w:rsid w:val="00A562D0"/>
    <w:rsid w:val="00A5734E"/>
    <w:rsid w:val="00A60091"/>
    <w:rsid w:val="00A61B46"/>
    <w:rsid w:val="00A62AC9"/>
    <w:rsid w:val="00A62F86"/>
    <w:rsid w:val="00A6364F"/>
    <w:rsid w:val="00A63BF6"/>
    <w:rsid w:val="00A66D06"/>
    <w:rsid w:val="00A713E4"/>
    <w:rsid w:val="00A71553"/>
    <w:rsid w:val="00A7338A"/>
    <w:rsid w:val="00A8066D"/>
    <w:rsid w:val="00A824E8"/>
    <w:rsid w:val="00A827E4"/>
    <w:rsid w:val="00A83B68"/>
    <w:rsid w:val="00A8644F"/>
    <w:rsid w:val="00A86EB2"/>
    <w:rsid w:val="00A905A8"/>
    <w:rsid w:val="00A90BEB"/>
    <w:rsid w:val="00A919A6"/>
    <w:rsid w:val="00A9597D"/>
    <w:rsid w:val="00A95C2D"/>
    <w:rsid w:val="00A969FC"/>
    <w:rsid w:val="00A96A95"/>
    <w:rsid w:val="00A96AE7"/>
    <w:rsid w:val="00A970B2"/>
    <w:rsid w:val="00A973F9"/>
    <w:rsid w:val="00AA1973"/>
    <w:rsid w:val="00AA406B"/>
    <w:rsid w:val="00AA4D19"/>
    <w:rsid w:val="00AA5639"/>
    <w:rsid w:val="00AA66AE"/>
    <w:rsid w:val="00AA7138"/>
    <w:rsid w:val="00AA7E66"/>
    <w:rsid w:val="00AB06C0"/>
    <w:rsid w:val="00AB2AFE"/>
    <w:rsid w:val="00AB3BF7"/>
    <w:rsid w:val="00AC0240"/>
    <w:rsid w:val="00AC04A5"/>
    <w:rsid w:val="00AC36B6"/>
    <w:rsid w:val="00AC373D"/>
    <w:rsid w:val="00AC37E8"/>
    <w:rsid w:val="00AC37FD"/>
    <w:rsid w:val="00AC458D"/>
    <w:rsid w:val="00AC4A95"/>
    <w:rsid w:val="00AC7EF2"/>
    <w:rsid w:val="00AD013A"/>
    <w:rsid w:val="00AD0B2A"/>
    <w:rsid w:val="00AD26AA"/>
    <w:rsid w:val="00AD2C20"/>
    <w:rsid w:val="00AD4867"/>
    <w:rsid w:val="00AD4962"/>
    <w:rsid w:val="00AD4BF1"/>
    <w:rsid w:val="00AD50FA"/>
    <w:rsid w:val="00AD5966"/>
    <w:rsid w:val="00AD5AED"/>
    <w:rsid w:val="00AD7321"/>
    <w:rsid w:val="00AE03F5"/>
    <w:rsid w:val="00AE0C13"/>
    <w:rsid w:val="00AE0D78"/>
    <w:rsid w:val="00AE0F78"/>
    <w:rsid w:val="00AE101C"/>
    <w:rsid w:val="00AE2E8F"/>
    <w:rsid w:val="00AE4108"/>
    <w:rsid w:val="00AE417E"/>
    <w:rsid w:val="00AE48A3"/>
    <w:rsid w:val="00AE71AF"/>
    <w:rsid w:val="00AE7641"/>
    <w:rsid w:val="00AE7EA9"/>
    <w:rsid w:val="00AF0186"/>
    <w:rsid w:val="00AF11C9"/>
    <w:rsid w:val="00AF13FB"/>
    <w:rsid w:val="00AF163A"/>
    <w:rsid w:val="00AF2AAF"/>
    <w:rsid w:val="00AF5788"/>
    <w:rsid w:val="00AF6A37"/>
    <w:rsid w:val="00AF784D"/>
    <w:rsid w:val="00B00350"/>
    <w:rsid w:val="00B0042E"/>
    <w:rsid w:val="00B0086C"/>
    <w:rsid w:val="00B00B36"/>
    <w:rsid w:val="00B00C06"/>
    <w:rsid w:val="00B01149"/>
    <w:rsid w:val="00B04E53"/>
    <w:rsid w:val="00B0656F"/>
    <w:rsid w:val="00B12C1B"/>
    <w:rsid w:val="00B1382D"/>
    <w:rsid w:val="00B1514A"/>
    <w:rsid w:val="00B16C1F"/>
    <w:rsid w:val="00B17B45"/>
    <w:rsid w:val="00B207A5"/>
    <w:rsid w:val="00B22AA2"/>
    <w:rsid w:val="00B2337F"/>
    <w:rsid w:val="00B23D86"/>
    <w:rsid w:val="00B2488B"/>
    <w:rsid w:val="00B31035"/>
    <w:rsid w:val="00B31A27"/>
    <w:rsid w:val="00B32B78"/>
    <w:rsid w:val="00B335C3"/>
    <w:rsid w:val="00B344EB"/>
    <w:rsid w:val="00B41A91"/>
    <w:rsid w:val="00B41ABC"/>
    <w:rsid w:val="00B42235"/>
    <w:rsid w:val="00B423A8"/>
    <w:rsid w:val="00B42EAA"/>
    <w:rsid w:val="00B44D8C"/>
    <w:rsid w:val="00B45DD0"/>
    <w:rsid w:val="00B46140"/>
    <w:rsid w:val="00B46BDA"/>
    <w:rsid w:val="00B47986"/>
    <w:rsid w:val="00B47AC6"/>
    <w:rsid w:val="00B51830"/>
    <w:rsid w:val="00B5193A"/>
    <w:rsid w:val="00B520C8"/>
    <w:rsid w:val="00B52C32"/>
    <w:rsid w:val="00B53F55"/>
    <w:rsid w:val="00B54760"/>
    <w:rsid w:val="00B549B3"/>
    <w:rsid w:val="00B54A78"/>
    <w:rsid w:val="00B55729"/>
    <w:rsid w:val="00B55C18"/>
    <w:rsid w:val="00B664C2"/>
    <w:rsid w:val="00B7001F"/>
    <w:rsid w:val="00B700FA"/>
    <w:rsid w:val="00B70133"/>
    <w:rsid w:val="00B704F3"/>
    <w:rsid w:val="00B71473"/>
    <w:rsid w:val="00B72C92"/>
    <w:rsid w:val="00B73B8C"/>
    <w:rsid w:val="00B744FE"/>
    <w:rsid w:val="00B7538D"/>
    <w:rsid w:val="00B7694E"/>
    <w:rsid w:val="00B77B2B"/>
    <w:rsid w:val="00B8150B"/>
    <w:rsid w:val="00B828DC"/>
    <w:rsid w:val="00B83066"/>
    <w:rsid w:val="00B83976"/>
    <w:rsid w:val="00B856EA"/>
    <w:rsid w:val="00B85CA2"/>
    <w:rsid w:val="00B87590"/>
    <w:rsid w:val="00B93D44"/>
    <w:rsid w:val="00B94934"/>
    <w:rsid w:val="00B9565E"/>
    <w:rsid w:val="00B95A87"/>
    <w:rsid w:val="00B967BF"/>
    <w:rsid w:val="00B9703E"/>
    <w:rsid w:val="00B970C8"/>
    <w:rsid w:val="00BA0708"/>
    <w:rsid w:val="00BA2171"/>
    <w:rsid w:val="00BA4798"/>
    <w:rsid w:val="00BA62A7"/>
    <w:rsid w:val="00BA6BC1"/>
    <w:rsid w:val="00BA6D1F"/>
    <w:rsid w:val="00BB2DBD"/>
    <w:rsid w:val="00BB496B"/>
    <w:rsid w:val="00BB4CDC"/>
    <w:rsid w:val="00BB62EA"/>
    <w:rsid w:val="00BB6C10"/>
    <w:rsid w:val="00BB6CB8"/>
    <w:rsid w:val="00BC045D"/>
    <w:rsid w:val="00BC17CE"/>
    <w:rsid w:val="00BC1DF3"/>
    <w:rsid w:val="00BC1E76"/>
    <w:rsid w:val="00BC284D"/>
    <w:rsid w:val="00BC2E26"/>
    <w:rsid w:val="00BC414E"/>
    <w:rsid w:val="00BC4AFF"/>
    <w:rsid w:val="00BC536D"/>
    <w:rsid w:val="00BC589F"/>
    <w:rsid w:val="00BC6D48"/>
    <w:rsid w:val="00BD280A"/>
    <w:rsid w:val="00BD2EC8"/>
    <w:rsid w:val="00BD2FED"/>
    <w:rsid w:val="00BD66FC"/>
    <w:rsid w:val="00BE2D9E"/>
    <w:rsid w:val="00BE4225"/>
    <w:rsid w:val="00BE618C"/>
    <w:rsid w:val="00BE7023"/>
    <w:rsid w:val="00BF2927"/>
    <w:rsid w:val="00BF36A8"/>
    <w:rsid w:val="00BF47CD"/>
    <w:rsid w:val="00BF4B50"/>
    <w:rsid w:val="00BF5615"/>
    <w:rsid w:val="00BF56F8"/>
    <w:rsid w:val="00BF75B8"/>
    <w:rsid w:val="00C01A6B"/>
    <w:rsid w:val="00C02D33"/>
    <w:rsid w:val="00C05B2C"/>
    <w:rsid w:val="00C07413"/>
    <w:rsid w:val="00C07436"/>
    <w:rsid w:val="00C109AB"/>
    <w:rsid w:val="00C13076"/>
    <w:rsid w:val="00C13D0C"/>
    <w:rsid w:val="00C14155"/>
    <w:rsid w:val="00C14B75"/>
    <w:rsid w:val="00C22212"/>
    <w:rsid w:val="00C230D9"/>
    <w:rsid w:val="00C23AF7"/>
    <w:rsid w:val="00C25276"/>
    <w:rsid w:val="00C277E1"/>
    <w:rsid w:val="00C27963"/>
    <w:rsid w:val="00C27A18"/>
    <w:rsid w:val="00C30006"/>
    <w:rsid w:val="00C304B5"/>
    <w:rsid w:val="00C3050B"/>
    <w:rsid w:val="00C328B8"/>
    <w:rsid w:val="00C33987"/>
    <w:rsid w:val="00C345CA"/>
    <w:rsid w:val="00C35167"/>
    <w:rsid w:val="00C35864"/>
    <w:rsid w:val="00C36353"/>
    <w:rsid w:val="00C40EAC"/>
    <w:rsid w:val="00C4140D"/>
    <w:rsid w:val="00C42973"/>
    <w:rsid w:val="00C42B4F"/>
    <w:rsid w:val="00C43F05"/>
    <w:rsid w:val="00C45CC6"/>
    <w:rsid w:val="00C50A6E"/>
    <w:rsid w:val="00C5105C"/>
    <w:rsid w:val="00C53E1E"/>
    <w:rsid w:val="00C549AA"/>
    <w:rsid w:val="00C570BE"/>
    <w:rsid w:val="00C60EBE"/>
    <w:rsid w:val="00C6120A"/>
    <w:rsid w:val="00C61921"/>
    <w:rsid w:val="00C63655"/>
    <w:rsid w:val="00C6444F"/>
    <w:rsid w:val="00C64E27"/>
    <w:rsid w:val="00C659DC"/>
    <w:rsid w:val="00C65BE5"/>
    <w:rsid w:val="00C65CBA"/>
    <w:rsid w:val="00C66CDE"/>
    <w:rsid w:val="00C67B35"/>
    <w:rsid w:val="00C71859"/>
    <w:rsid w:val="00C72096"/>
    <w:rsid w:val="00C72658"/>
    <w:rsid w:val="00C72DB9"/>
    <w:rsid w:val="00C7371E"/>
    <w:rsid w:val="00C73B02"/>
    <w:rsid w:val="00C74688"/>
    <w:rsid w:val="00C74702"/>
    <w:rsid w:val="00C74CA8"/>
    <w:rsid w:val="00C768CA"/>
    <w:rsid w:val="00C773A1"/>
    <w:rsid w:val="00C77CC8"/>
    <w:rsid w:val="00C80881"/>
    <w:rsid w:val="00C83292"/>
    <w:rsid w:val="00C8371F"/>
    <w:rsid w:val="00C83D68"/>
    <w:rsid w:val="00C841D7"/>
    <w:rsid w:val="00C841FD"/>
    <w:rsid w:val="00C8584A"/>
    <w:rsid w:val="00C86F6E"/>
    <w:rsid w:val="00C9285A"/>
    <w:rsid w:val="00C92915"/>
    <w:rsid w:val="00C935B3"/>
    <w:rsid w:val="00CA083C"/>
    <w:rsid w:val="00CA12C4"/>
    <w:rsid w:val="00CA1821"/>
    <w:rsid w:val="00CA2762"/>
    <w:rsid w:val="00CA4224"/>
    <w:rsid w:val="00CA48FB"/>
    <w:rsid w:val="00CA5437"/>
    <w:rsid w:val="00CA7704"/>
    <w:rsid w:val="00CA77B1"/>
    <w:rsid w:val="00CB01A8"/>
    <w:rsid w:val="00CB145F"/>
    <w:rsid w:val="00CB1A2D"/>
    <w:rsid w:val="00CB63A3"/>
    <w:rsid w:val="00CB7BC2"/>
    <w:rsid w:val="00CC21F0"/>
    <w:rsid w:val="00CC30DE"/>
    <w:rsid w:val="00CC31B3"/>
    <w:rsid w:val="00CC4DD5"/>
    <w:rsid w:val="00CD0BA6"/>
    <w:rsid w:val="00CD121D"/>
    <w:rsid w:val="00CD2F5E"/>
    <w:rsid w:val="00CD3445"/>
    <w:rsid w:val="00CD5450"/>
    <w:rsid w:val="00CD5EE2"/>
    <w:rsid w:val="00CD698F"/>
    <w:rsid w:val="00CD69A5"/>
    <w:rsid w:val="00CD75B6"/>
    <w:rsid w:val="00CE05D7"/>
    <w:rsid w:val="00CE09FF"/>
    <w:rsid w:val="00CE1855"/>
    <w:rsid w:val="00CE1CA3"/>
    <w:rsid w:val="00CE68D2"/>
    <w:rsid w:val="00CE6F0D"/>
    <w:rsid w:val="00CF06B6"/>
    <w:rsid w:val="00CF15EE"/>
    <w:rsid w:val="00CF174B"/>
    <w:rsid w:val="00CF1E07"/>
    <w:rsid w:val="00CF2187"/>
    <w:rsid w:val="00CF25F2"/>
    <w:rsid w:val="00CF2C5E"/>
    <w:rsid w:val="00CF2D0B"/>
    <w:rsid w:val="00CF47BC"/>
    <w:rsid w:val="00CF663B"/>
    <w:rsid w:val="00D00810"/>
    <w:rsid w:val="00D01118"/>
    <w:rsid w:val="00D01904"/>
    <w:rsid w:val="00D0231A"/>
    <w:rsid w:val="00D029A6"/>
    <w:rsid w:val="00D039D9"/>
    <w:rsid w:val="00D04C04"/>
    <w:rsid w:val="00D05830"/>
    <w:rsid w:val="00D05C1E"/>
    <w:rsid w:val="00D07B0A"/>
    <w:rsid w:val="00D105D1"/>
    <w:rsid w:val="00D117F7"/>
    <w:rsid w:val="00D1240C"/>
    <w:rsid w:val="00D13344"/>
    <w:rsid w:val="00D13888"/>
    <w:rsid w:val="00D14129"/>
    <w:rsid w:val="00D142B9"/>
    <w:rsid w:val="00D147D3"/>
    <w:rsid w:val="00D16208"/>
    <w:rsid w:val="00D23686"/>
    <w:rsid w:val="00D23751"/>
    <w:rsid w:val="00D23853"/>
    <w:rsid w:val="00D24A8F"/>
    <w:rsid w:val="00D2516D"/>
    <w:rsid w:val="00D26BE6"/>
    <w:rsid w:val="00D3207A"/>
    <w:rsid w:val="00D33326"/>
    <w:rsid w:val="00D33F6A"/>
    <w:rsid w:val="00D355DB"/>
    <w:rsid w:val="00D406E9"/>
    <w:rsid w:val="00D42F3D"/>
    <w:rsid w:val="00D430A6"/>
    <w:rsid w:val="00D434DD"/>
    <w:rsid w:val="00D4467D"/>
    <w:rsid w:val="00D463E6"/>
    <w:rsid w:val="00D4691E"/>
    <w:rsid w:val="00D50BC8"/>
    <w:rsid w:val="00D51DB3"/>
    <w:rsid w:val="00D525CB"/>
    <w:rsid w:val="00D53858"/>
    <w:rsid w:val="00D53A56"/>
    <w:rsid w:val="00D53D6E"/>
    <w:rsid w:val="00D56C10"/>
    <w:rsid w:val="00D60B63"/>
    <w:rsid w:val="00D62D86"/>
    <w:rsid w:val="00D64199"/>
    <w:rsid w:val="00D65025"/>
    <w:rsid w:val="00D65175"/>
    <w:rsid w:val="00D71234"/>
    <w:rsid w:val="00D719C9"/>
    <w:rsid w:val="00D72844"/>
    <w:rsid w:val="00D73EA0"/>
    <w:rsid w:val="00D74EB2"/>
    <w:rsid w:val="00D76AD1"/>
    <w:rsid w:val="00D77305"/>
    <w:rsid w:val="00D77E26"/>
    <w:rsid w:val="00D80F29"/>
    <w:rsid w:val="00D81179"/>
    <w:rsid w:val="00D8140D"/>
    <w:rsid w:val="00D8399A"/>
    <w:rsid w:val="00D83D46"/>
    <w:rsid w:val="00D84C39"/>
    <w:rsid w:val="00D85422"/>
    <w:rsid w:val="00D85D2E"/>
    <w:rsid w:val="00D86851"/>
    <w:rsid w:val="00D87F37"/>
    <w:rsid w:val="00D9095E"/>
    <w:rsid w:val="00D91908"/>
    <w:rsid w:val="00D9230C"/>
    <w:rsid w:val="00D94451"/>
    <w:rsid w:val="00D9603A"/>
    <w:rsid w:val="00D96A88"/>
    <w:rsid w:val="00DA1AF3"/>
    <w:rsid w:val="00DA4C0A"/>
    <w:rsid w:val="00DA5C09"/>
    <w:rsid w:val="00DA626C"/>
    <w:rsid w:val="00DA6631"/>
    <w:rsid w:val="00DA6DB3"/>
    <w:rsid w:val="00DB19F7"/>
    <w:rsid w:val="00DB248B"/>
    <w:rsid w:val="00DB47A4"/>
    <w:rsid w:val="00DB4956"/>
    <w:rsid w:val="00DB49A0"/>
    <w:rsid w:val="00DB5E51"/>
    <w:rsid w:val="00DB604B"/>
    <w:rsid w:val="00DB6FD3"/>
    <w:rsid w:val="00DC1517"/>
    <w:rsid w:val="00DC1B49"/>
    <w:rsid w:val="00DC7174"/>
    <w:rsid w:val="00DD0DDE"/>
    <w:rsid w:val="00DD230B"/>
    <w:rsid w:val="00DD3B6A"/>
    <w:rsid w:val="00DD3BEC"/>
    <w:rsid w:val="00DD461C"/>
    <w:rsid w:val="00DD5416"/>
    <w:rsid w:val="00DD56B1"/>
    <w:rsid w:val="00DD5D6F"/>
    <w:rsid w:val="00DD5EE2"/>
    <w:rsid w:val="00DE54A9"/>
    <w:rsid w:val="00DE620D"/>
    <w:rsid w:val="00DF176A"/>
    <w:rsid w:val="00DF31AA"/>
    <w:rsid w:val="00DF33F2"/>
    <w:rsid w:val="00DF3D39"/>
    <w:rsid w:val="00DF4768"/>
    <w:rsid w:val="00DF4D95"/>
    <w:rsid w:val="00DF5A62"/>
    <w:rsid w:val="00DF72B9"/>
    <w:rsid w:val="00E001B9"/>
    <w:rsid w:val="00E007CA"/>
    <w:rsid w:val="00E00A24"/>
    <w:rsid w:val="00E01CD0"/>
    <w:rsid w:val="00E0214C"/>
    <w:rsid w:val="00E02898"/>
    <w:rsid w:val="00E05283"/>
    <w:rsid w:val="00E0678D"/>
    <w:rsid w:val="00E105F0"/>
    <w:rsid w:val="00E10F04"/>
    <w:rsid w:val="00E12CE5"/>
    <w:rsid w:val="00E145DF"/>
    <w:rsid w:val="00E1582C"/>
    <w:rsid w:val="00E20D21"/>
    <w:rsid w:val="00E215DB"/>
    <w:rsid w:val="00E230F6"/>
    <w:rsid w:val="00E23198"/>
    <w:rsid w:val="00E2531A"/>
    <w:rsid w:val="00E254A5"/>
    <w:rsid w:val="00E26C70"/>
    <w:rsid w:val="00E271DC"/>
    <w:rsid w:val="00E3008F"/>
    <w:rsid w:val="00E30FBC"/>
    <w:rsid w:val="00E31318"/>
    <w:rsid w:val="00E31FDB"/>
    <w:rsid w:val="00E326EE"/>
    <w:rsid w:val="00E329AA"/>
    <w:rsid w:val="00E33794"/>
    <w:rsid w:val="00E34558"/>
    <w:rsid w:val="00E3480B"/>
    <w:rsid w:val="00E349F3"/>
    <w:rsid w:val="00E37374"/>
    <w:rsid w:val="00E374E8"/>
    <w:rsid w:val="00E444DF"/>
    <w:rsid w:val="00E44842"/>
    <w:rsid w:val="00E47D90"/>
    <w:rsid w:val="00E47FB8"/>
    <w:rsid w:val="00E5037E"/>
    <w:rsid w:val="00E51EB8"/>
    <w:rsid w:val="00E5359A"/>
    <w:rsid w:val="00E5557C"/>
    <w:rsid w:val="00E5576F"/>
    <w:rsid w:val="00E56726"/>
    <w:rsid w:val="00E56E1E"/>
    <w:rsid w:val="00E607DD"/>
    <w:rsid w:val="00E61005"/>
    <w:rsid w:val="00E615E5"/>
    <w:rsid w:val="00E620DA"/>
    <w:rsid w:val="00E62DA2"/>
    <w:rsid w:val="00E6455F"/>
    <w:rsid w:val="00E64F48"/>
    <w:rsid w:val="00E64FC7"/>
    <w:rsid w:val="00E716A6"/>
    <w:rsid w:val="00E71E76"/>
    <w:rsid w:val="00E721F2"/>
    <w:rsid w:val="00E725EC"/>
    <w:rsid w:val="00E73700"/>
    <w:rsid w:val="00E75E47"/>
    <w:rsid w:val="00E764E8"/>
    <w:rsid w:val="00E809EF"/>
    <w:rsid w:val="00E80A7D"/>
    <w:rsid w:val="00E81179"/>
    <w:rsid w:val="00E83C01"/>
    <w:rsid w:val="00E85247"/>
    <w:rsid w:val="00E85924"/>
    <w:rsid w:val="00E8627A"/>
    <w:rsid w:val="00E9043A"/>
    <w:rsid w:val="00E91AE3"/>
    <w:rsid w:val="00E9352D"/>
    <w:rsid w:val="00E93B2D"/>
    <w:rsid w:val="00E94B12"/>
    <w:rsid w:val="00E965C4"/>
    <w:rsid w:val="00E96DE3"/>
    <w:rsid w:val="00E9778B"/>
    <w:rsid w:val="00EA0078"/>
    <w:rsid w:val="00EA07ED"/>
    <w:rsid w:val="00EA0EB1"/>
    <w:rsid w:val="00EA1324"/>
    <w:rsid w:val="00EA15A0"/>
    <w:rsid w:val="00EA313A"/>
    <w:rsid w:val="00EA3529"/>
    <w:rsid w:val="00EA38A1"/>
    <w:rsid w:val="00EA5807"/>
    <w:rsid w:val="00EA5E14"/>
    <w:rsid w:val="00EA64DF"/>
    <w:rsid w:val="00EA6690"/>
    <w:rsid w:val="00EA7359"/>
    <w:rsid w:val="00EB254A"/>
    <w:rsid w:val="00EB3AD2"/>
    <w:rsid w:val="00EB49A7"/>
    <w:rsid w:val="00EB5B7E"/>
    <w:rsid w:val="00EB60CF"/>
    <w:rsid w:val="00EB653B"/>
    <w:rsid w:val="00EB6E81"/>
    <w:rsid w:val="00EC0F17"/>
    <w:rsid w:val="00EC1527"/>
    <w:rsid w:val="00EC1914"/>
    <w:rsid w:val="00EC2200"/>
    <w:rsid w:val="00EC2CF9"/>
    <w:rsid w:val="00EC5166"/>
    <w:rsid w:val="00EC60ED"/>
    <w:rsid w:val="00EC6EBF"/>
    <w:rsid w:val="00ED1F78"/>
    <w:rsid w:val="00ED24C5"/>
    <w:rsid w:val="00ED4066"/>
    <w:rsid w:val="00ED4275"/>
    <w:rsid w:val="00ED4F87"/>
    <w:rsid w:val="00ED7578"/>
    <w:rsid w:val="00EE034B"/>
    <w:rsid w:val="00EE198C"/>
    <w:rsid w:val="00EE3FB4"/>
    <w:rsid w:val="00EE5911"/>
    <w:rsid w:val="00EE5FFD"/>
    <w:rsid w:val="00EE69FC"/>
    <w:rsid w:val="00EE6B5B"/>
    <w:rsid w:val="00EF0BE0"/>
    <w:rsid w:val="00EF2784"/>
    <w:rsid w:val="00EF46AA"/>
    <w:rsid w:val="00EF5E48"/>
    <w:rsid w:val="00EF724A"/>
    <w:rsid w:val="00F00A87"/>
    <w:rsid w:val="00F00E25"/>
    <w:rsid w:val="00F01047"/>
    <w:rsid w:val="00F0352E"/>
    <w:rsid w:val="00F04641"/>
    <w:rsid w:val="00F06A42"/>
    <w:rsid w:val="00F06BF0"/>
    <w:rsid w:val="00F117C3"/>
    <w:rsid w:val="00F11962"/>
    <w:rsid w:val="00F121B8"/>
    <w:rsid w:val="00F12A67"/>
    <w:rsid w:val="00F12D02"/>
    <w:rsid w:val="00F136AF"/>
    <w:rsid w:val="00F13F1B"/>
    <w:rsid w:val="00F14C8F"/>
    <w:rsid w:val="00F155D5"/>
    <w:rsid w:val="00F15BC1"/>
    <w:rsid w:val="00F15E0D"/>
    <w:rsid w:val="00F1763A"/>
    <w:rsid w:val="00F17A2C"/>
    <w:rsid w:val="00F17D7F"/>
    <w:rsid w:val="00F20FC1"/>
    <w:rsid w:val="00F21FB8"/>
    <w:rsid w:val="00F252B0"/>
    <w:rsid w:val="00F25792"/>
    <w:rsid w:val="00F27883"/>
    <w:rsid w:val="00F30A6E"/>
    <w:rsid w:val="00F30D84"/>
    <w:rsid w:val="00F30E4C"/>
    <w:rsid w:val="00F3138A"/>
    <w:rsid w:val="00F31D6E"/>
    <w:rsid w:val="00F32163"/>
    <w:rsid w:val="00F32218"/>
    <w:rsid w:val="00F322EE"/>
    <w:rsid w:val="00F3269F"/>
    <w:rsid w:val="00F32E07"/>
    <w:rsid w:val="00F33F64"/>
    <w:rsid w:val="00F34A7B"/>
    <w:rsid w:val="00F354AD"/>
    <w:rsid w:val="00F37BE9"/>
    <w:rsid w:val="00F40472"/>
    <w:rsid w:val="00F40D38"/>
    <w:rsid w:val="00F415F3"/>
    <w:rsid w:val="00F41DEA"/>
    <w:rsid w:val="00F4271C"/>
    <w:rsid w:val="00F42881"/>
    <w:rsid w:val="00F42BF5"/>
    <w:rsid w:val="00F42FAC"/>
    <w:rsid w:val="00F43A14"/>
    <w:rsid w:val="00F43BD2"/>
    <w:rsid w:val="00F4510A"/>
    <w:rsid w:val="00F501CE"/>
    <w:rsid w:val="00F519B4"/>
    <w:rsid w:val="00F51A04"/>
    <w:rsid w:val="00F52CBE"/>
    <w:rsid w:val="00F53A8F"/>
    <w:rsid w:val="00F551E6"/>
    <w:rsid w:val="00F5545D"/>
    <w:rsid w:val="00F55A04"/>
    <w:rsid w:val="00F5725C"/>
    <w:rsid w:val="00F61BD4"/>
    <w:rsid w:val="00F61ECF"/>
    <w:rsid w:val="00F63CCC"/>
    <w:rsid w:val="00F6444F"/>
    <w:rsid w:val="00F662F7"/>
    <w:rsid w:val="00F66381"/>
    <w:rsid w:val="00F67EE2"/>
    <w:rsid w:val="00F67F42"/>
    <w:rsid w:val="00F73CA6"/>
    <w:rsid w:val="00F740BE"/>
    <w:rsid w:val="00F74556"/>
    <w:rsid w:val="00F7603E"/>
    <w:rsid w:val="00F76CC1"/>
    <w:rsid w:val="00F7734F"/>
    <w:rsid w:val="00F801BB"/>
    <w:rsid w:val="00F81C9D"/>
    <w:rsid w:val="00F85B04"/>
    <w:rsid w:val="00F90993"/>
    <w:rsid w:val="00F91585"/>
    <w:rsid w:val="00F91D5A"/>
    <w:rsid w:val="00F94DBB"/>
    <w:rsid w:val="00F94F47"/>
    <w:rsid w:val="00F96BDA"/>
    <w:rsid w:val="00F96FAA"/>
    <w:rsid w:val="00FA0597"/>
    <w:rsid w:val="00FA1E5C"/>
    <w:rsid w:val="00FA264D"/>
    <w:rsid w:val="00FA4510"/>
    <w:rsid w:val="00FA5BE0"/>
    <w:rsid w:val="00FA5CCE"/>
    <w:rsid w:val="00FA65AE"/>
    <w:rsid w:val="00FA6DA6"/>
    <w:rsid w:val="00FB0998"/>
    <w:rsid w:val="00FB177D"/>
    <w:rsid w:val="00FB21D1"/>
    <w:rsid w:val="00FB54CA"/>
    <w:rsid w:val="00FB57CC"/>
    <w:rsid w:val="00FB5EF3"/>
    <w:rsid w:val="00FB604E"/>
    <w:rsid w:val="00FB634D"/>
    <w:rsid w:val="00FB7DE0"/>
    <w:rsid w:val="00FC0A8F"/>
    <w:rsid w:val="00FC2670"/>
    <w:rsid w:val="00FC3387"/>
    <w:rsid w:val="00FC355E"/>
    <w:rsid w:val="00FC4126"/>
    <w:rsid w:val="00FC48B6"/>
    <w:rsid w:val="00FC500F"/>
    <w:rsid w:val="00FC5FE0"/>
    <w:rsid w:val="00FC7E7C"/>
    <w:rsid w:val="00FD0C41"/>
    <w:rsid w:val="00FD170D"/>
    <w:rsid w:val="00FD1756"/>
    <w:rsid w:val="00FD2AF1"/>
    <w:rsid w:val="00FD3996"/>
    <w:rsid w:val="00FD3A3C"/>
    <w:rsid w:val="00FD439D"/>
    <w:rsid w:val="00FD4B79"/>
    <w:rsid w:val="00FD5F3B"/>
    <w:rsid w:val="00FD6EAA"/>
    <w:rsid w:val="00FE0161"/>
    <w:rsid w:val="00FE109F"/>
    <w:rsid w:val="00FE235D"/>
    <w:rsid w:val="00FE4133"/>
    <w:rsid w:val="00FE6569"/>
    <w:rsid w:val="00FE7E85"/>
    <w:rsid w:val="00FF10B2"/>
    <w:rsid w:val="00FF1FD4"/>
    <w:rsid w:val="00FF21BF"/>
    <w:rsid w:val="00FF234D"/>
    <w:rsid w:val="00FF425E"/>
    <w:rsid w:val="00FF52D6"/>
    <w:rsid w:val="00FF751A"/>
    <w:rsid w:val="12AE4DDD"/>
    <w:rsid w:val="1AF4918D"/>
    <w:rsid w:val="20532F7E"/>
    <w:rsid w:val="3F1EB211"/>
    <w:rsid w:val="4558EAEE"/>
    <w:rsid w:val="573A1436"/>
    <w:rsid w:val="5EB2F338"/>
    <w:rsid w:val="60F1669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E5236"/>
  <w15:chartTrackingRefBased/>
  <w15:docId w15:val="{CB24A682-E490-485E-9A56-F84B9ED6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ES"/>
    </w:rPr>
  </w:style>
  <w:style w:type="paragraph" w:styleId="Ttulo1">
    <w:name w:val="heading 1"/>
    <w:basedOn w:val="Normal"/>
    <w:next w:val="Normal"/>
    <w:link w:val="Ttulo1Car"/>
    <w:uiPriority w:val="9"/>
    <w:qFormat/>
    <w:rsid w:val="00394D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9C4A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A451E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62278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67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6731"/>
    <w:rPr>
      <w:lang w:val="es-ES"/>
    </w:rPr>
  </w:style>
  <w:style w:type="paragraph" w:styleId="Piedepgina">
    <w:name w:val="footer"/>
    <w:basedOn w:val="Normal"/>
    <w:link w:val="PiedepginaCar"/>
    <w:uiPriority w:val="99"/>
    <w:unhideWhenUsed/>
    <w:rsid w:val="002B67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6731"/>
    <w:rPr>
      <w:lang w:val="es-ES"/>
    </w:rPr>
  </w:style>
  <w:style w:type="character" w:styleId="Hipervnculo">
    <w:name w:val="Hyperlink"/>
    <w:basedOn w:val="Fuentedeprrafopredeter"/>
    <w:uiPriority w:val="99"/>
    <w:rsid w:val="002B6731"/>
    <w:rPr>
      <w:color w:val="0000FF"/>
      <w:u w:val="single"/>
    </w:rPr>
  </w:style>
  <w:style w:type="paragraph" w:customStyle="1" w:styleId="paragraph">
    <w:name w:val="paragraph"/>
    <w:basedOn w:val="Normal"/>
    <w:rsid w:val="002B6731"/>
    <w:pPr>
      <w:spacing w:after="0" w:line="240" w:lineRule="auto"/>
    </w:pPr>
    <w:rPr>
      <w:rFonts w:ascii="Times New Roman" w:eastAsia="Times New Roman" w:hAnsi="Times New Roman" w:cs="Times New Roman"/>
      <w:sz w:val="24"/>
      <w:szCs w:val="24"/>
      <w:lang w:val="es-CR" w:eastAsia="es-CR"/>
    </w:rPr>
  </w:style>
  <w:style w:type="character" w:customStyle="1" w:styleId="normaltextrun1">
    <w:name w:val="normaltextrun1"/>
    <w:basedOn w:val="Fuentedeprrafopredeter"/>
    <w:rsid w:val="002B6731"/>
  </w:style>
  <w:style w:type="character" w:customStyle="1" w:styleId="eop">
    <w:name w:val="eop"/>
    <w:basedOn w:val="Fuentedeprrafopredeter"/>
    <w:rsid w:val="002B6731"/>
  </w:style>
  <w:style w:type="character" w:customStyle="1" w:styleId="Ttulo1Car">
    <w:name w:val="Título 1 Car"/>
    <w:basedOn w:val="Fuentedeprrafopredeter"/>
    <w:link w:val="Ttulo1"/>
    <w:uiPriority w:val="9"/>
    <w:rsid w:val="00394DBE"/>
    <w:rPr>
      <w:rFonts w:asciiTheme="majorHAnsi" w:eastAsiaTheme="majorEastAsia" w:hAnsiTheme="majorHAnsi" w:cstheme="majorBidi"/>
      <w:color w:val="365F91" w:themeColor="accent1" w:themeShade="BF"/>
      <w:sz w:val="32"/>
      <w:szCs w:val="32"/>
      <w:lang w:val="es-ES"/>
    </w:rPr>
  </w:style>
  <w:style w:type="paragraph" w:styleId="TtuloTDC">
    <w:name w:val="TOC Heading"/>
    <w:basedOn w:val="Ttulo1"/>
    <w:next w:val="Normal"/>
    <w:uiPriority w:val="39"/>
    <w:unhideWhenUsed/>
    <w:qFormat/>
    <w:rsid w:val="00F27883"/>
    <w:pPr>
      <w:spacing w:line="259" w:lineRule="auto"/>
      <w:outlineLvl w:val="9"/>
    </w:pPr>
    <w:rPr>
      <w:lang w:val="es-CR" w:eastAsia="es-CR"/>
    </w:rPr>
  </w:style>
  <w:style w:type="paragraph" w:styleId="TDC2">
    <w:name w:val="toc 2"/>
    <w:basedOn w:val="Normal"/>
    <w:next w:val="Normal"/>
    <w:autoRedefine/>
    <w:uiPriority w:val="39"/>
    <w:unhideWhenUsed/>
    <w:rsid w:val="00F27883"/>
    <w:pPr>
      <w:spacing w:after="100" w:line="259" w:lineRule="auto"/>
      <w:ind w:left="220"/>
    </w:pPr>
    <w:rPr>
      <w:rFonts w:eastAsiaTheme="minorEastAsia" w:cs="Times New Roman"/>
      <w:lang w:val="es-CR" w:eastAsia="es-CR"/>
    </w:rPr>
  </w:style>
  <w:style w:type="paragraph" w:styleId="TDC1">
    <w:name w:val="toc 1"/>
    <w:basedOn w:val="Normal"/>
    <w:next w:val="Normal"/>
    <w:autoRedefine/>
    <w:uiPriority w:val="39"/>
    <w:unhideWhenUsed/>
    <w:rsid w:val="00F27883"/>
    <w:pPr>
      <w:spacing w:after="100" w:line="259" w:lineRule="auto"/>
    </w:pPr>
    <w:rPr>
      <w:rFonts w:eastAsiaTheme="minorEastAsia" w:cs="Times New Roman"/>
      <w:lang w:val="es-CR" w:eastAsia="es-CR"/>
    </w:rPr>
  </w:style>
  <w:style w:type="paragraph" w:styleId="TDC3">
    <w:name w:val="toc 3"/>
    <w:basedOn w:val="Normal"/>
    <w:next w:val="Normal"/>
    <w:autoRedefine/>
    <w:uiPriority w:val="39"/>
    <w:unhideWhenUsed/>
    <w:rsid w:val="00F27883"/>
    <w:pPr>
      <w:spacing w:after="100" w:line="259" w:lineRule="auto"/>
      <w:ind w:left="440"/>
    </w:pPr>
    <w:rPr>
      <w:rFonts w:eastAsiaTheme="minorEastAsia" w:cs="Times New Roman"/>
      <w:lang w:val="es-CR" w:eastAsia="es-CR"/>
    </w:rPr>
  </w:style>
  <w:style w:type="paragraph" w:styleId="Textonotapie">
    <w:name w:val="footnote text"/>
    <w:basedOn w:val="Normal"/>
    <w:link w:val="TextonotapieCar"/>
    <w:uiPriority w:val="99"/>
    <w:semiHidden/>
    <w:unhideWhenUsed/>
    <w:rsid w:val="00700711"/>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700711"/>
    <w:rPr>
      <w:rFonts w:ascii="Calibri" w:eastAsia="Calibri" w:hAnsi="Calibri" w:cs="Times New Roman"/>
      <w:sz w:val="20"/>
      <w:szCs w:val="20"/>
      <w:lang w:val="es-ES"/>
    </w:rPr>
  </w:style>
  <w:style w:type="character" w:styleId="Refdenotaalpie">
    <w:name w:val="footnote reference"/>
    <w:uiPriority w:val="99"/>
    <w:semiHidden/>
    <w:unhideWhenUsed/>
    <w:rsid w:val="00700711"/>
    <w:rPr>
      <w:vertAlign w:val="superscript"/>
    </w:rPr>
  </w:style>
  <w:style w:type="table" w:styleId="Tablaconcuadrcula4-nfasis1">
    <w:name w:val="Grid Table 4 Accent 1"/>
    <w:basedOn w:val="Tablanormal"/>
    <w:uiPriority w:val="49"/>
    <w:rsid w:val="00700711"/>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2Car">
    <w:name w:val="Título 2 Car"/>
    <w:basedOn w:val="Fuentedeprrafopredeter"/>
    <w:link w:val="Ttulo2"/>
    <w:uiPriority w:val="9"/>
    <w:rsid w:val="009C4A22"/>
    <w:rPr>
      <w:rFonts w:asciiTheme="majorHAnsi" w:eastAsiaTheme="majorEastAsia" w:hAnsiTheme="majorHAnsi" w:cstheme="majorBidi"/>
      <w:color w:val="365F91" w:themeColor="accent1" w:themeShade="BF"/>
      <w:sz w:val="26"/>
      <w:szCs w:val="26"/>
      <w:lang w:val="es-ES"/>
    </w:rPr>
  </w:style>
  <w:style w:type="paragraph" w:styleId="Prrafodelista">
    <w:name w:val="List Paragraph"/>
    <w:aliases w:val="Informe"/>
    <w:basedOn w:val="Normal"/>
    <w:link w:val="PrrafodelistaCar"/>
    <w:uiPriority w:val="34"/>
    <w:qFormat/>
    <w:rsid w:val="00405190"/>
    <w:pPr>
      <w:ind w:left="720"/>
      <w:contextualSpacing/>
    </w:pPr>
  </w:style>
  <w:style w:type="paragraph" w:styleId="Descripcin">
    <w:name w:val="caption"/>
    <w:basedOn w:val="Normal"/>
    <w:next w:val="Normal"/>
    <w:uiPriority w:val="35"/>
    <w:unhideWhenUsed/>
    <w:qFormat/>
    <w:rsid w:val="00F96FAA"/>
    <w:pPr>
      <w:spacing w:line="240" w:lineRule="auto"/>
    </w:pPr>
    <w:rPr>
      <w:i/>
      <w:iCs/>
      <w:color w:val="1F497D" w:themeColor="text2"/>
      <w:sz w:val="18"/>
      <w:szCs w:val="18"/>
    </w:rPr>
  </w:style>
  <w:style w:type="table" w:styleId="Tablanormal1">
    <w:name w:val="Plain Table 1"/>
    <w:basedOn w:val="Tablanormal"/>
    <w:uiPriority w:val="41"/>
    <w:rsid w:val="00560BD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deglobo">
    <w:name w:val="Balloon Text"/>
    <w:basedOn w:val="Normal"/>
    <w:link w:val="TextodegloboCar"/>
    <w:uiPriority w:val="99"/>
    <w:semiHidden/>
    <w:unhideWhenUsed/>
    <w:rsid w:val="009314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447"/>
    <w:rPr>
      <w:rFonts w:ascii="Segoe UI" w:hAnsi="Segoe UI" w:cs="Segoe UI"/>
      <w:sz w:val="18"/>
      <w:szCs w:val="18"/>
      <w:lang w:val="es-ES"/>
    </w:rPr>
  </w:style>
  <w:style w:type="table" w:styleId="Tablaconcuadrcula4-nfasis5">
    <w:name w:val="Grid Table 4 Accent 5"/>
    <w:basedOn w:val="Tablanormal"/>
    <w:uiPriority w:val="49"/>
    <w:rsid w:val="00585CF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
    <w:name w:val="Table Grid"/>
    <w:basedOn w:val="Tablanormal"/>
    <w:uiPriority w:val="39"/>
    <w:rsid w:val="00021969"/>
    <w:pPr>
      <w:spacing w:after="0" w:line="240" w:lineRule="auto"/>
      <w:jc w:val="center"/>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Informe Car"/>
    <w:link w:val="Prrafodelista"/>
    <w:uiPriority w:val="34"/>
    <w:rsid w:val="00021969"/>
    <w:rPr>
      <w:lang w:val="es-ES"/>
    </w:rPr>
  </w:style>
  <w:style w:type="character" w:customStyle="1" w:styleId="normaltextrun">
    <w:name w:val="normaltextrun"/>
    <w:basedOn w:val="Fuentedeprrafopredeter"/>
    <w:rsid w:val="00021969"/>
  </w:style>
  <w:style w:type="character" w:customStyle="1" w:styleId="Ttulo3Car">
    <w:name w:val="Título 3 Car"/>
    <w:basedOn w:val="Fuentedeprrafopredeter"/>
    <w:link w:val="Ttulo3"/>
    <w:uiPriority w:val="9"/>
    <w:rsid w:val="00A451EE"/>
    <w:rPr>
      <w:rFonts w:asciiTheme="majorHAnsi" w:eastAsiaTheme="majorEastAsia" w:hAnsiTheme="majorHAnsi" w:cstheme="majorBidi"/>
      <w:color w:val="243F60" w:themeColor="accent1" w:themeShade="7F"/>
      <w:sz w:val="24"/>
      <w:szCs w:val="24"/>
      <w:lang w:val="es-ES"/>
    </w:rPr>
  </w:style>
  <w:style w:type="paragraph" w:styleId="Textocomentario">
    <w:name w:val="annotation text"/>
    <w:basedOn w:val="Normal"/>
    <w:link w:val="TextocomentarioCar"/>
    <w:uiPriority w:val="99"/>
    <w:semiHidden/>
    <w:unhideWhenUsed/>
    <w:rsid w:val="005715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152B"/>
    <w:rPr>
      <w:sz w:val="20"/>
      <w:szCs w:val="20"/>
      <w:lang w:val="es-ES"/>
    </w:rPr>
  </w:style>
  <w:style w:type="character" w:styleId="Refdecomentario">
    <w:name w:val="annotation reference"/>
    <w:basedOn w:val="Fuentedeprrafopredeter"/>
    <w:uiPriority w:val="99"/>
    <w:semiHidden/>
    <w:unhideWhenUsed/>
    <w:rsid w:val="0057152B"/>
    <w:rPr>
      <w:sz w:val="16"/>
      <w:szCs w:val="16"/>
    </w:rPr>
  </w:style>
  <w:style w:type="character" w:customStyle="1" w:styleId="hps">
    <w:name w:val="hps"/>
    <w:basedOn w:val="Fuentedeprrafopredeter"/>
    <w:rsid w:val="008C0B7D"/>
  </w:style>
  <w:style w:type="table" w:styleId="Tablaconcuadrcula5oscura-nfasis1">
    <w:name w:val="Grid Table 5 Dark Accent 1"/>
    <w:basedOn w:val="Tablanormal"/>
    <w:uiPriority w:val="50"/>
    <w:rsid w:val="001D58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rmalWeb">
    <w:name w:val="Normal (Web)"/>
    <w:basedOn w:val="Normal"/>
    <w:uiPriority w:val="99"/>
    <w:semiHidden/>
    <w:unhideWhenUsed/>
    <w:rsid w:val="00E26C70"/>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character" w:customStyle="1" w:styleId="Ttulo4Car">
    <w:name w:val="Título 4 Car"/>
    <w:basedOn w:val="Fuentedeprrafopredeter"/>
    <w:link w:val="Ttulo4"/>
    <w:uiPriority w:val="9"/>
    <w:semiHidden/>
    <w:rsid w:val="00622780"/>
    <w:rPr>
      <w:rFonts w:asciiTheme="majorHAnsi" w:eastAsiaTheme="majorEastAsia" w:hAnsiTheme="majorHAnsi" w:cstheme="majorBidi"/>
      <w:i/>
      <w:iCs/>
      <w:color w:val="365F91" w:themeColor="accent1" w:themeShade="BF"/>
      <w:lang w:val="es-ES"/>
    </w:rPr>
  </w:style>
  <w:style w:type="character" w:styleId="Hipervnculovisitado">
    <w:name w:val="FollowedHyperlink"/>
    <w:basedOn w:val="Fuentedeprrafopredeter"/>
    <w:uiPriority w:val="99"/>
    <w:semiHidden/>
    <w:unhideWhenUsed/>
    <w:rsid w:val="007E2AA4"/>
    <w:rPr>
      <w:color w:val="954F72"/>
      <w:u w:val="single"/>
    </w:rPr>
  </w:style>
  <w:style w:type="paragraph" w:customStyle="1" w:styleId="msonormal0">
    <w:name w:val="msonormal"/>
    <w:basedOn w:val="Normal"/>
    <w:rsid w:val="007E2AA4"/>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customStyle="1" w:styleId="xl64">
    <w:name w:val="xl64"/>
    <w:basedOn w:val="Normal"/>
    <w:rsid w:val="007E2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65">
    <w:name w:val="xl65"/>
    <w:basedOn w:val="Normal"/>
    <w:rsid w:val="007E2AA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66">
    <w:name w:val="xl66"/>
    <w:basedOn w:val="Normal"/>
    <w:rsid w:val="007E2AA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67">
    <w:name w:val="xl67"/>
    <w:basedOn w:val="Normal"/>
    <w:rsid w:val="007E2AA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68">
    <w:name w:val="xl68"/>
    <w:basedOn w:val="Normal"/>
    <w:rsid w:val="007E2AA4"/>
    <w:pPr>
      <w:pBdr>
        <w:top w:val="single" w:sz="4" w:space="0" w:color="auto"/>
        <w:left w:val="single" w:sz="4" w:space="0" w:color="auto"/>
        <w:bottom w:val="single" w:sz="8"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69">
    <w:name w:val="xl69"/>
    <w:basedOn w:val="Normal"/>
    <w:rsid w:val="007E2AA4"/>
    <w:pPr>
      <w:pBdr>
        <w:top w:val="single" w:sz="4" w:space="0" w:color="auto"/>
        <w:left w:val="single" w:sz="4" w:space="0" w:color="auto"/>
        <w:bottom w:val="single" w:sz="8"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70">
    <w:name w:val="xl70"/>
    <w:basedOn w:val="Normal"/>
    <w:rsid w:val="007E2A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71">
    <w:name w:val="xl71"/>
    <w:basedOn w:val="Normal"/>
    <w:rsid w:val="007E2AA4"/>
    <w:pPr>
      <w:pBdr>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72">
    <w:name w:val="xl72"/>
    <w:basedOn w:val="Normal"/>
    <w:rsid w:val="007E2AA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73">
    <w:name w:val="xl73"/>
    <w:basedOn w:val="Normal"/>
    <w:rsid w:val="007E2AA4"/>
    <w:pPr>
      <w:pBdr>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74">
    <w:name w:val="xl74"/>
    <w:basedOn w:val="Normal"/>
    <w:rsid w:val="007E2AA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75">
    <w:name w:val="xl75"/>
    <w:basedOn w:val="Normal"/>
    <w:rsid w:val="007E2AA4"/>
    <w:pPr>
      <w:pBdr>
        <w:left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76">
    <w:name w:val="xl76"/>
    <w:basedOn w:val="Normal"/>
    <w:rsid w:val="007E2AA4"/>
    <w:pPr>
      <w:pBdr>
        <w:top w:val="single" w:sz="4" w:space="0" w:color="auto"/>
        <w:left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77">
    <w:name w:val="xl77"/>
    <w:basedOn w:val="Normal"/>
    <w:rsid w:val="007E2AA4"/>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78">
    <w:name w:val="xl78"/>
    <w:basedOn w:val="Normal"/>
    <w:rsid w:val="007E2AA4"/>
    <w:pPr>
      <w:pBdr>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79">
    <w:name w:val="xl79"/>
    <w:basedOn w:val="Normal"/>
    <w:rsid w:val="007E2AA4"/>
    <w:pPr>
      <w:pBdr>
        <w:top w:val="single" w:sz="4" w:space="0" w:color="auto"/>
        <w:left w:val="single" w:sz="4" w:space="0" w:color="auto"/>
        <w:bottom w:val="single" w:sz="8"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80">
    <w:name w:val="xl80"/>
    <w:basedOn w:val="Normal"/>
    <w:rsid w:val="007E2AA4"/>
    <w:pPr>
      <w:pBdr>
        <w:top w:val="single" w:sz="8"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81">
    <w:name w:val="xl81"/>
    <w:basedOn w:val="Normal"/>
    <w:rsid w:val="007E2AA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CR" w:eastAsia="es-CR"/>
    </w:rPr>
  </w:style>
  <w:style w:type="paragraph" w:customStyle="1" w:styleId="xl82">
    <w:name w:val="xl82"/>
    <w:basedOn w:val="Normal"/>
    <w:rsid w:val="007E2AA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CR" w:eastAsia="es-CR"/>
    </w:rPr>
  </w:style>
  <w:style w:type="paragraph" w:customStyle="1" w:styleId="xl83">
    <w:name w:val="xl83"/>
    <w:basedOn w:val="Normal"/>
    <w:rsid w:val="007E2AA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CR" w:eastAsia="es-CR"/>
    </w:rPr>
  </w:style>
  <w:style w:type="paragraph" w:customStyle="1" w:styleId="xl84">
    <w:name w:val="xl84"/>
    <w:basedOn w:val="Normal"/>
    <w:rsid w:val="007E2AA4"/>
    <w:pPr>
      <w:pBdr>
        <w:top w:val="single" w:sz="8" w:space="0" w:color="auto"/>
        <w:left w:val="single" w:sz="4" w:space="0" w:color="auto"/>
        <w:bottom w:val="single" w:sz="4"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CR" w:eastAsia="es-CR"/>
    </w:rPr>
  </w:style>
  <w:style w:type="paragraph" w:customStyle="1" w:styleId="xl85">
    <w:name w:val="xl85"/>
    <w:basedOn w:val="Normal"/>
    <w:rsid w:val="007E2AA4"/>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CR" w:eastAsia="es-CR"/>
    </w:rPr>
  </w:style>
  <w:style w:type="paragraph" w:customStyle="1" w:styleId="xl86">
    <w:name w:val="xl86"/>
    <w:basedOn w:val="Normal"/>
    <w:rsid w:val="007E2AA4"/>
    <w:pPr>
      <w:pBdr>
        <w:top w:val="single" w:sz="4" w:space="0" w:color="auto"/>
        <w:left w:val="single" w:sz="4"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CR" w:eastAsia="es-CR"/>
    </w:rPr>
  </w:style>
  <w:style w:type="paragraph" w:customStyle="1" w:styleId="xl87">
    <w:name w:val="xl87"/>
    <w:basedOn w:val="Normal"/>
    <w:rsid w:val="007E2AA4"/>
    <w:pPr>
      <w:pBdr>
        <w:top w:val="single" w:sz="4" w:space="0" w:color="auto"/>
        <w:left w:val="single" w:sz="4" w:space="0" w:color="auto"/>
        <w:bottom w:val="single" w:sz="8"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CR" w:eastAsia="es-CR"/>
    </w:rPr>
  </w:style>
  <w:style w:type="paragraph" w:customStyle="1" w:styleId="xl88">
    <w:name w:val="xl88"/>
    <w:basedOn w:val="Normal"/>
    <w:rsid w:val="007E2AA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CR" w:eastAsia="es-CR"/>
    </w:rPr>
  </w:style>
  <w:style w:type="paragraph" w:customStyle="1" w:styleId="xl89">
    <w:name w:val="xl89"/>
    <w:basedOn w:val="Normal"/>
    <w:rsid w:val="007E2AA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CR" w:eastAsia="es-CR"/>
    </w:rPr>
  </w:style>
  <w:style w:type="paragraph" w:customStyle="1" w:styleId="xl90">
    <w:name w:val="xl90"/>
    <w:basedOn w:val="Normal"/>
    <w:rsid w:val="007E2AA4"/>
    <w:pPr>
      <w:pBdr>
        <w:top w:val="single" w:sz="8"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CR" w:eastAsia="es-CR"/>
    </w:rPr>
  </w:style>
  <w:style w:type="paragraph" w:customStyle="1" w:styleId="xl91">
    <w:name w:val="xl91"/>
    <w:basedOn w:val="Normal"/>
    <w:rsid w:val="007E2AA4"/>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CR" w:eastAsia="es-CR"/>
    </w:rPr>
  </w:style>
  <w:style w:type="paragraph" w:customStyle="1" w:styleId="xl92">
    <w:name w:val="xl92"/>
    <w:basedOn w:val="Normal"/>
    <w:rsid w:val="007E2AA4"/>
    <w:pPr>
      <w:pBdr>
        <w:top w:val="single" w:sz="4" w:space="0" w:color="auto"/>
        <w:left w:val="single" w:sz="4"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CR" w:eastAsia="es-CR"/>
    </w:rPr>
  </w:style>
  <w:style w:type="paragraph" w:customStyle="1" w:styleId="xl93">
    <w:name w:val="xl93"/>
    <w:basedOn w:val="Normal"/>
    <w:rsid w:val="007E2AA4"/>
    <w:pPr>
      <w:pBdr>
        <w:top w:val="single" w:sz="4" w:space="0" w:color="auto"/>
        <w:left w:val="single" w:sz="4" w:space="0" w:color="auto"/>
        <w:bottom w:val="single" w:sz="8"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CR" w:eastAsia="es-CR"/>
    </w:rPr>
  </w:style>
  <w:style w:type="paragraph" w:customStyle="1" w:styleId="xl94">
    <w:name w:val="xl94"/>
    <w:basedOn w:val="Normal"/>
    <w:rsid w:val="007E2AA4"/>
    <w:pPr>
      <w:pBdr>
        <w:left w:val="single" w:sz="8" w:space="0" w:color="auto"/>
        <w:bottom w:val="single" w:sz="12" w:space="0" w:color="auto"/>
        <w:right w:val="single" w:sz="12"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95">
    <w:name w:val="xl95"/>
    <w:basedOn w:val="Normal"/>
    <w:rsid w:val="007E2AA4"/>
    <w:pPr>
      <w:pBdr>
        <w:bottom w:val="single" w:sz="12"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s-CR" w:eastAsia="es-CR"/>
    </w:rPr>
  </w:style>
  <w:style w:type="paragraph" w:customStyle="1" w:styleId="xl96">
    <w:name w:val="xl96"/>
    <w:basedOn w:val="Normal"/>
    <w:rsid w:val="007E2AA4"/>
    <w:pPr>
      <w:pBdr>
        <w:bottom w:val="single" w:sz="12" w:space="0" w:color="auto"/>
        <w:right w:val="single" w:sz="8"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s-CR" w:eastAsia="es-CR"/>
    </w:rPr>
  </w:style>
  <w:style w:type="paragraph" w:customStyle="1" w:styleId="xl97">
    <w:name w:val="xl97"/>
    <w:basedOn w:val="Normal"/>
    <w:rsid w:val="007E2AA4"/>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s-CR" w:eastAsia="es-CR"/>
    </w:rPr>
  </w:style>
  <w:style w:type="paragraph" w:customStyle="1" w:styleId="xl98">
    <w:name w:val="xl98"/>
    <w:basedOn w:val="Normal"/>
    <w:rsid w:val="007E2AA4"/>
    <w:pPr>
      <w:pBdr>
        <w:left w:val="single" w:sz="12"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99">
    <w:name w:val="xl99"/>
    <w:basedOn w:val="Normal"/>
    <w:rsid w:val="007E2AA4"/>
    <w:pPr>
      <w:pBdr>
        <w:left w:val="single" w:sz="8" w:space="0" w:color="auto"/>
        <w:right w:val="single" w:sz="12"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00">
    <w:name w:val="xl100"/>
    <w:basedOn w:val="Normal"/>
    <w:rsid w:val="007E2AA4"/>
    <w:pPr>
      <w:pBdr>
        <w:bottom w:val="single" w:sz="8"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s-CR" w:eastAsia="es-CR"/>
    </w:rPr>
  </w:style>
  <w:style w:type="paragraph" w:customStyle="1" w:styleId="xl101">
    <w:name w:val="xl101"/>
    <w:basedOn w:val="Normal"/>
    <w:rsid w:val="007E2AA4"/>
    <w:pPr>
      <w:pBdr>
        <w:bottom w:val="single" w:sz="8" w:space="0" w:color="auto"/>
        <w:right w:val="single" w:sz="8"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s-CR" w:eastAsia="es-CR"/>
    </w:rPr>
  </w:style>
  <w:style w:type="paragraph" w:customStyle="1" w:styleId="xl102">
    <w:name w:val="xl102"/>
    <w:basedOn w:val="Normal"/>
    <w:rsid w:val="007E2AA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s-CR" w:eastAsia="es-CR"/>
    </w:rPr>
  </w:style>
  <w:style w:type="paragraph" w:customStyle="1" w:styleId="xl103">
    <w:name w:val="xl103"/>
    <w:basedOn w:val="Normal"/>
    <w:rsid w:val="007E2AA4"/>
    <w:pPr>
      <w:pBdr>
        <w:left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04">
    <w:name w:val="xl104"/>
    <w:basedOn w:val="Normal"/>
    <w:rsid w:val="007E2AA4"/>
    <w:pPr>
      <w:pBdr>
        <w:top w:val="single" w:sz="12" w:space="0" w:color="auto"/>
        <w:left w:val="single" w:sz="8" w:space="0" w:color="auto"/>
        <w:right w:val="single" w:sz="12"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05">
    <w:name w:val="xl105"/>
    <w:basedOn w:val="Normal"/>
    <w:rsid w:val="007E2AA4"/>
    <w:pPr>
      <w:pBdr>
        <w:bottom w:val="single" w:sz="8"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s-CR" w:eastAsia="es-CR"/>
    </w:rPr>
  </w:style>
  <w:style w:type="paragraph" w:customStyle="1" w:styleId="xl106">
    <w:name w:val="xl106"/>
    <w:basedOn w:val="Normal"/>
    <w:rsid w:val="007E2AA4"/>
    <w:pPr>
      <w:pBdr>
        <w:top w:val="single" w:sz="12" w:space="0" w:color="auto"/>
        <w:left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07">
    <w:name w:val="xl107"/>
    <w:basedOn w:val="Normal"/>
    <w:rsid w:val="007E2AA4"/>
    <w:pPr>
      <w:pBdr>
        <w:bottom w:val="single" w:sz="12" w:space="0" w:color="auto"/>
        <w:right w:val="single" w:sz="8"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s-CR" w:eastAsia="es-CR"/>
    </w:rPr>
  </w:style>
  <w:style w:type="paragraph" w:customStyle="1" w:styleId="xl108">
    <w:name w:val="xl108"/>
    <w:basedOn w:val="Normal"/>
    <w:rsid w:val="007E2AA4"/>
    <w:pPr>
      <w:pBdr>
        <w:bottom w:val="single" w:sz="12"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s-CR" w:eastAsia="es-CR"/>
    </w:rPr>
  </w:style>
  <w:style w:type="paragraph" w:customStyle="1" w:styleId="xl109">
    <w:name w:val="xl109"/>
    <w:basedOn w:val="Normal"/>
    <w:rsid w:val="007E2AA4"/>
    <w:pPr>
      <w:pBdr>
        <w:bottom w:val="single" w:sz="8" w:space="0" w:color="auto"/>
        <w:right w:val="single" w:sz="8"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s-CR" w:eastAsia="es-CR"/>
    </w:rPr>
  </w:style>
  <w:style w:type="paragraph" w:customStyle="1" w:styleId="xl110">
    <w:name w:val="xl110"/>
    <w:basedOn w:val="Normal"/>
    <w:rsid w:val="007E2AA4"/>
    <w:pPr>
      <w:pBdr>
        <w:left w:val="single" w:sz="8" w:space="0" w:color="auto"/>
        <w:bottom w:val="single" w:sz="12" w:space="0" w:color="auto"/>
        <w:right w:val="single" w:sz="12"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11">
    <w:name w:val="xl111"/>
    <w:basedOn w:val="Normal"/>
    <w:rsid w:val="007E2AA4"/>
    <w:pPr>
      <w:pBdr>
        <w:left w:val="single" w:sz="8" w:space="0" w:color="auto"/>
        <w:right w:val="single" w:sz="12"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12">
    <w:name w:val="xl112"/>
    <w:basedOn w:val="Normal"/>
    <w:rsid w:val="007E2AA4"/>
    <w:pPr>
      <w:pBdr>
        <w:top w:val="single" w:sz="12" w:space="0" w:color="auto"/>
        <w:left w:val="single" w:sz="8" w:space="0" w:color="auto"/>
        <w:right w:val="single" w:sz="12"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13">
    <w:name w:val="xl113"/>
    <w:basedOn w:val="Normal"/>
    <w:rsid w:val="007E2AA4"/>
    <w:pPr>
      <w:pBdr>
        <w:left w:val="single" w:sz="8" w:space="0" w:color="auto"/>
        <w:bottom w:val="single" w:sz="12" w:space="0" w:color="auto"/>
        <w:right w:val="single" w:sz="12"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14">
    <w:name w:val="xl114"/>
    <w:basedOn w:val="Normal"/>
    <w:rsid w:val="007E2AA4"/>
    <w:pPr>
      <w:pBdr>
        <w:left w:val="single" w:sz="8" w:space="0" w:color="auto"/>
        <w:right w:val="single" w:sz="12"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15">
    <w:name w:val="xl115"/>
    <w:basedOn w:val="Normal"/>
    <w:rsid w:val="007E2AA4"/>
    <w:pPr>
      <w:pBdr>
        <w:top w:val="single" w:sz="12" w:space="0" w:color="auto"/>
        <w:left w:val="single" w:sz="8" w:space="0" w:color="auto"/>
        <w:right w:val="single" w:sz="12"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16">
    <w:name w:val="xl116"/>
    <w:basedOn w:val="Normal"/>
    <w:rsid w:val="007E2AA4"/>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17">
    <w:name w:val="xl117"/>
    <w:basedOn w:val="Normal"/>
    <w:rsid w:val="007E2AA4"/>
    <w:pPr>
      <w:pBdr>
        <w:top w:val="single" w:sz="12" w:space="0" w:color="auto"/>
        <w:left w:val="single" w:sz="8" w:space="0" w:color="auto"/>
        <w:right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18">
    <w:name w:val="xl118"/>
    <w:basedOn w:val="Normal"/>
    <w:rsid w:val="007E2AA4"/>
    <w:pPr>
      <w:pBdr>
        <w:top w:val="single" w:sz="12"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19">
    <w:name w:val="xl119"/>
    <w:basedOn w:val="Normal"/>
    <w:rsid w:val="007E2AA4"/>
    <w:pPr>
      <w:pBdr>
        <w:top w:val="single" w:sz="12"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20">
    <w:name w:val="xl120"/>
    <w:basedOn w:val="Normal"/>
    <w:rsid w:val="007E2AA4"/>
    <w:pPr>
      <w:pBdr>
        <w:top w:val="single" w:sz="12" w:space="0" w:color="auto"/>
        <w:left w:val="single" w:sz="12"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21">
    <w:name w:val="xl121"/>
    <w:basedOn w:val="Normal"/>
    <w:rsid w:val="007E2AA4"/>
    <w:pPr>
      <w:pBdr>
        <w:left w:val="single" w:sz="12"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22">
    <w:name w:val="xl122"/>
    <w:basedOn w:val="Normal"/>
    <w:rsid w:val="007E2AA4"/>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23">
    <w:name w:val="xl123"/>
    <w:basedOn w:val="Normal"/>
    <w:rsid w:val="007E2AA4"/>
    <w:pPr>
      <w:pBdr>
        <w:left w:val="single" w:sz="8" w:space="0" w:color="auto"/>
        <w:right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24">
    <w:name w:val="xl124"/>
    <w:basedOn w:val="Normal"/>
    <w:rsid w:val="007E2A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s-CR" w:eastAsia="es-CR"/>
    </w:rPr>
  </w:style>
  <w:style w:type="paragraph" w:customStyle="1" w:styleId="Default">
    <w:name w:val="Default"/>
    <w:rsid w:val="0005363C"/>
    <w:pPr>
      <w:autoSpaceDE w:val="0"/>
      <w:autoSpaceDN w:val="0"/>
      <w:adjustRightInd w:val="0"/>
      <w:spacing w:after="0" w:line="240" w:lineRule="auto"/>
    </w:pPr>
    <w:rPr>
      <w:rFonts w:ascii="Century Gothic" w:eastAsiaTheme="minorEastAsia" w:hAnsi="Century Gothic" w:cs="Century Gothic"/>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7726">
      <w:bodyDiv w:val="1"/>
      <w:marLeft w:val="0"/>
      <w:marRight w:val="0"/>
      <w:marTop w:val="0"/>
      <w:marBottom w:val="0"/>
      <w:divBdr>
        <w:top w:val="none" w:sz="0" w:space="0" w:color="auto"/>
        <w:left w:val="none" w:sz="0" w:space="0" w:color="auto"/>
        <w:bottom w:val="none" w:sz="0" w:space="0" w:color="auto"/>
        <w:right w:val="none" w:sz="0" w:space="0" w:color="auto"/>
      </w:divBdr>
      <w:divsChild>
        <w:div w:id="742334244">
          <w:marLeft w:val="0"/>
          <w:marRight w:val="0"/>
          <w:marTop w:val="0"/>
          <w:marBottom w:val="0"/>
          <w:divBdr>
            <w:top w:val="none" w:sz="0" w:space="0" w:color="auto"/>
            <w:left w:val="none" w:sz="0" w:space="0" w:color="auto"/>
            <w:bottom w:val="none" w:sz="0" w:space="0" w:color="auto"/>
            <w:right w:val="none" w:sz="0" w:space="0" w:color="auto"/>
          </w:divBdr>
        </w:div>
      </w:divsChild>
    </w:div>
    <w:div w:id="136267454">
      <w:bodyDiv w:val="1"/>
      <w:marLeft w:val="0"/>
      <w:marRight w:val="0"/>
      <w:marTop w:val="0"/>
      <w:marBottom w:val="0"/>
      <w:divBdr>
        <w:top w:val="none" w:sz="0" w:space="0" w:color="auto"/>
        <w:left w:val="none" w:sz="0" w:space="0" w:color="auto"/>
        <w:bottom w:val="none" w:sz="0" w:space="0" w:color="auto"/>
        <w:right w:val="none" w:sz="0" w:space="0" w:color="auto"/>
      </w:divBdr>
      <w:divsChild>
        <w:div w:id="2118017613">
          <w:marLeft w:val="1138"/>
          <w:marRight w:val="0"/>
          <w:marTop w:val="0"/>
          <w:marBottom w:val="720"/>
          <w:divBdr>
            <w:top w:val="none" w:sz="0" w:space="0" w:color="auto"/>
            <w:left w:val="none" w:sz="0" w:space="0" w:color="auto"/>
            <w:bottom w:val="none" w:sz="0" w:space="0" w:color="auto"/>
            <w:right w:val="none" w:sz="0" w:space="0" w:color="auto"/>
          </w:divBdr>
        </w:div>
        <w:div w:id="875696551">
          <w:marLeft w:val="1138"/>
          <w:marRight w:val="0"/>
          <w:marTop w:val="0"/>
          <w:marBottom w:val="720"/>
          <w:divBdr>
            <w:top w:val="none" w:sz="0" w:space="0" w:color="auto"/>
            <w:left w:val="none" w:sz="0" w:space="0" w:color="auto"/>
            <w:bottom w:val="none" w:sz="0" w:space="0" w:color="auto"/>
            <w:right w:val="none" w:sz="0" w:space="0" w:color="auto"/>
          </w:divBdr>
        </w:div>
        <w:div w:id="86049450">
          <w:marLeft w:val="1138"/>
          <w:marRight w:val="0"/>
          <w:marTop w:val="0"/>
          <w:marBottom w:val="720"/>
          <w:divBdr>
            <w:top w:val="none" w:sz="0" w:space="0" w:color="auto"/>
            <w:left w:val="none" w:sz="0" w:space="0" w:color="auto"/>
            <w:bottom w:val="none" w:sz="0" w:space="0" w:color="auto"/>
            <w:right w:val="none" w:sz="0" w:space="0" w:color="auto"/>
          </w:divBdr>
        </w:div>
        <w:div w:id="1515532391">
          <w:marLeft w:val="1138"/>
          <w:marRight w:val="0"/>
          <w:marTop w:val="0"/>
          <w:marBottom w:val="720"/>
          <w:divBdr>
            <w:top w:val="none" w:sz="0" w:space="0" w:color="auto"/>
            <w:left w:val="none" w:sz="0" w:space="0" w:color="auto"/>
            <w:bottom w:val="none" w:sz="0" w:space="0" w:color="auto"/>
            <w:right w:val="none" w:sz="0" w:space="0" w:color="auto"/>
          </w:divBdr>
        </w:div>
        <w:div w:id="1703480855">
          <w:marLeft w:val="1138"/>
          <w:marRight w:val="0"/>
          <w:marTop w:val="0"/>
          <w:marBottom w:val="720"/>
          <w:divBdr>
            <w:top w:val="none" w:sz="0" w:space="0" w:color="auto"/>
            <w:left w:val="none" w:sz="0" w:space="0" w:color="auto"/>
            <w:bottom w:val="none" w:sz="0" w:space="0" w:color="auto"/>
            <w:right w:val="none" w:sz="0" w:space="0" w:color="auto"/>
          </w:divBdr>
        </w:div>
      </w:divsChild>
    </w:div>
    <w:div w:id="191043176">
      <w:bodyDiv w:val="1"/>
      <w:marLeft w:val="0"/>
      <w:marRight w:val="0"/>
      <w:marTop w:val="0"/>
      <w:marBottom w:val="0"/>
      <w:divBdr>
        <w:top w:val="none" w:sz="0" w:space="0" w:color="auto"/>
        <w:left w:val="none" w:sz="0" w:space="0" w:color="auto"/>
        <w:bottom w:val="none" w:sz="0" w:space="0" w:color="auto"/>
        <w:right w:val="none" w:sz="0" w:space="0" w:color="auto"/>
      </w:divBdr>
      <w:divsChild>
        <w:div w:id="90591348">
          <w:marLeft w:val="547"/>
          <w:marRight w:val="0"/>
          <w:marTop w:val="0"/>
          <w:marBottom w:val="0"/>
          <w:divBdr>
            <w:top w:val="none" w:sz="0" w:space="0" w:color="auto"/>
            <w:left w:val="none" w:sz="0" w:space="0" w:color="auto"/>
            <w:bottom w:val="none" w:sz="0" w:space="0" w:color="auto"/>
            <w:right w:val="none" w:sz="0" w:space="0" w:color="auto"/>
          </w:divBdr>
        </w:div>
      </w:divsChild>
    </w:div>
    <w:div w:id="195899110">
      <w:bodyDiv w:val="1"/>
      <w:marLeft w:val="0"/>
      <w:marRight w:val="0"/>
      <w:marTop w:val="0"/>
      <w:marBottom w:val="0"/>
      <w:divBdr>
        <w:top w:val="none" w:sz="0" w:space="0" w:color="auto"/>
        <w:left w:val="none" w:sz="0" w:space="0" w:color="auto"/>
        <w:bottom w:val="none" w:sz="0" w:space="0" w:color="auto"/>
        <w:right w:val="none" w:sz="0" w:space="0" w:color="auto"/>
      </w:divBdr>
    </w:div>
    <w:div w:id="266617732">
      <w:bodyDiv w:val="1"/>
      <w:marLeft w:val="0"/>
      <w:marRight w:val="0"/>
      <w:marTop w:val="0"/>
      <w:marBottom w:val="0"/>
      <w:divBdr>
        <w:top w:val="none" w:sz="0" w:space="0" w:color="auto"/>
        <w:left w:val="none" w:sz="0" w:space="0" w:color="auto"/>
        <w:bottom w:val="none" w:sz="0" w:space="0" w:color="auto"/>
        <w:right w:val="none" w:sz="0" w:space="0" w:color="auto"/>
      </w:divBdr>
    </w:div>
    <w:div w:id="307243629">
      <w:bodyDiv w:val="1"/>
      <w:marLeft w:val="0"/>
      <w:marRight w:val="0"/>
      <w:marTop w:val="0"/>
      <w:marBottom w:val="0"/>
      <w:divBdr>
        <w:top w:val="none" w:sz="0" w:space="0" w:color="auto"/>
        <w:left w:val="none" w:sz="0" w:space="0" w:color="auto"/>
        <w:bottom w:val="none" w:sz="0" w:space="0" w:color="auto"/>
        <w:right w:val="none" w:sz="0" w:space="0" w:color="auto"/>
      </w:divBdr>
    </w:div>
    <w:div w:id="383985756">
      <w:bodyDiv w:val="1"/>
      <w:marLeft w:val="0"/>
      <w:marRight w:val="0"/>
      <w:marTop w:val="0"/>
      <w:marBottom w:val="0"/>
      <w:divBdr>
        <w:top w:val="none" w:sz="0" w:space="0" w:color="auto"/>
        <w:left w:val="none" w:sz="0" w:space="0" w:color="auto"/>
        <w:bottom w:val="none" w:sz="0" w:space="0" w:color="auto"/>
        <w:right w:val="none" w:sz="0" w:space="0" w:color="auto"/>
      </w:divBdr>
    </w:div>
    <w:div w:id="392049821">
      <w:bodyDiv w:val="1"/>
      <w:marLeft w:val="0"/>
      <w:marRight w:val="0"/>
      <w:marTop w:val="0"/>
      <w:marBottom w:val="0"/>
      <w:divBdr>
        <w:top w:val="none" w:sz="0" w:space="0" w:color="auto"/>
        <w:left w:val="none" w:sz="0" w:space="0" w:color="auto"/>
        <w:bottom w:val="none" w:sz="0" w:space="0" w:color="auto"/>
        <w:right w:val="none" w:sz="0" w:space="0" w:color="auto"/>
      </w:divBdr>
    </w:div>
    <w:div w:id="434135216">
      <w:bodyDiv w:val="1"/>
      <w:marLeft w:val="0"/>
      <w:marRight w:val="0"/>
      <w:marTop w:val="0"/>
      <w:marBottom w:val="0"/>
      <w:divBdr>
        <w:top w:val="none" w:sz="0" w:space="0" w:color="auto"/>
        <w:left w:val="none" w:sz="0" w:space="0" w:color="auto"/>
        <w:bottom w:val="none" w:sz="0" w:space="0" w:color="auto"/>
        <w:right w:val="none" w:sz="0" w:space="0" w:color="auto"/>
      </w:divBdr>
    </w:div>
    <w:div w:id="553203483">
      <w:bodyDiv w:val="1"/>
      <w:marLeft w:val="0"/>
      <w:marRight w:val="0"/>
      <w:marTop w:val="0"/>
      <w:marBottom w:val="0"/>
      <w:divBdr>
        <w:top w:val="none" w:sz="0" w:space="0" w:color="auto"/>
        <w:left w:val="none" w:sz="0" w:space="0" w:color="auto"/>
        <w:bottom w:val="none" w:sz="0" w:space="0" w:color="auto"/>
        <w:right w:val="none" w:sz="0" w:space="0" w:color="auto"/>
      </w:divBdr>
    </w:div>
    <w:div w:id="614603857">
      <w:bodyDiv w:val="1"/>
      <w:marLeft w:val="0"/>
      <w:marRight w:val="0"/>
      <w:marTop w:val="0"/>
      <w:marBottom w:val="0"/>
      <w:divBdr>
        <w:top w:val="none" w:sz="0" w:space="0" w:color="auto"/>
        <w:left w:val="none" w:sz="0" w:space="0" w:color="auto"/>
        <w:bottom w:val="none" w:sz="0" w:space="0" w:color="auto"/>
        <w:right w:val="none" w:sz="0" w:space="0" w:color="auto"/>
      </w:divBdr>
    </w:div>
    <w:div w:id="731389772">
      <w:bodyDiv w:val="1"/>
      <w:marLeft w:val="0"/>
      <w:marRight w:val="0"/>
      <w:marTop w:val="0"/>
      <w:marBottom w:val="0"/>
      <w:divBdr>
        <w:top w:val="none" w:sz="0" w:space="0" w:color="auto"/>
        <w:left w:val="none" w:sz="0" w:space="0" w:color="auto"/>
        <w:bottom w:val="none" w:sz="0" w:space="0" w:color="auto"/>
        <w:right w:val="none" w:sz="0" w:space="0" w:color="auto"/>
      </w:divBdr>
    </w:div>
    <w:div w:id="751588255">
      <w:bodyDiv w:val="1"/>
      <w:marLeft w:val="0"/>
      <w:marRight w:val="0"/>
      <w:marTop w:val="0"/>
      <w:marBottom w:val="0"/>
      <w:divBdr>
        <w:top w:val="none" w:sz="0" w:space="0" w:color="auto"/>
        <w:left w:val="none" w:sz="0" w:space="0" w:color="auto"/>
        <w:bottom w:val="none" w:sz="0" w:space="0" w:color="auto"/>
        <w:right w:val="none" w:sz="0" w:space="0" w:color="auto"/>
      </w:divBdr>
    </w:div>
    <w:div w:id="795412032">
      <w:bodyDiv w:val="1"/>
      <w:marLeft w:val="0"/>
      <w:marRight w:val="0"/>
      <w:marTop w:val="0"/>
      <w:marBottom w:val="0"/>
      <w:divBdr>
        <w:top w:val="none" w:sz="0" w:space="0" w:color="auto"/>
        <w:left w:val="none" w:sz="0" w:space="0" w:color="auto"/>
        <w:bottom w:val="none" w:sz="0" w:space="0" w:color="auto"/>
        <w:right w:val="none" w:sz="0" w:space="0" w:color="auto"/>
      </w:divBdr>
    </w:div>
    <w:div w:id="805202811">
      <w:bodyDiv w:val="1"/>
      <w:marLeft w:val="0"/>
      <w:marRight w:val="0"/>
      <w:marTop w:val="0"/>
      <w:marBottom w:val="0"/>
      <w:divBdr>
        <w:top w:val="none" w:sz="0" w:space="0" w:color="auto"/>
        <w:left w:val="none" w:sz="0" w:space="0" w:color="auto"/>
        <w:bottom w:val="none" w:sz="0" w:space="0" w:color="auto"/>
        <w:right w:val="none" w:sz="0" w:space="0" w:color="auto"/>
      </w:divBdr>
    </w:div>
    <w:div w:id="805968758">
      <w:bodyDiv w:val="1"/>
      <w:marLeft w:val="0"/>
      <w:marRight w:val="0"/>
      <w:marTop w:val="0"/>
      <w:marBottom w:val="0"/>
      <w:divBdr>
        <w:top w:val="none" w:sz="0" w:space="0" w:color="auto"/>
        <w:left w:val="none" w:sz="0" w:space="0" w:color="auto"/>
        <w:bottom w:val="none" w:sz="0" w:space="0" w:color="auto"/>
        <w:right w:val="none" w:sz="0" w:space="0" w:color="auto"/>
      </w:divBdr>
    </w:div>
    <w:div w:id="815728078">
      <w:bodyDiv w:val="1"/>
      <w:marLeft w:val="0"/>
      <w:marRight w:val="0"/>
      <w:marTop w:val="0"/>
      <w:marBottom w:val="0"/>
      <w:divBdr>
        <w:top w:val="none" w:sz="0" w:space="0" w:color="auto"/>
        <w:left w:val="none" w:sz="0" w:space="0" w:color="auto"/>
        <w:bottom w:val="none" w:sz="0" w:space="0" w:color="auto"/>
        <w:right w:val="none" w:sz="0" w:space="0" w:color="auto"/>
      </w:divBdr>
    </w:div>
    <w:div w:id="873611667">
      <w:bodyDiv w:val="1"/>
      <w:marLeft w:val="0"/>
      <w:marRight w:val="0"/>
      <w:marTop w:val="0"/>
      <w:marBottom w:val="0"/>
      <w:divBdr>
        <w:top w:val="none" w:sz="0" w:space="0" w:color="auto"/>
        <w:left w:val="none" w:sz="0" w:space="0" w:color="auto"/>
        <w:bottom w:val="none" w:sz="0" w:space="0" w:color="auto"/>
        <w:right w:val="none" w:sz="0" w:space="0" w:color="auto"/>
      </w:divBdr>
    </w:div>
    <w:div w:id="875704363">
      <w:bodyDiv w:val="1"/>
      <w:marLeft w:val="0"/>
      <w:marRight w:val="0"/>
      <w:marTop w:val="0"/>
      <w:marBottom w:val="0"/>
      <w:divBdr>
        <w:top w:val="none" w:sz="0" w:space="0" w:color="auto"/>
        <w:left w:val="none" w:sz="0" w:space="0" w:color="auto"/>
        <w:bottom w:val="none" w:sz="0" w:space="0" w:color="auto"/>
        <w:right w:val="none" w:sz="0" w:space="0" w:color="auto"/>
      </w:divBdr>
    </w:div>
    <w:div w:id="925725453">
      <w:bodyDiv w:val="1"/>
      <w:marLeft w:val="0"/>
      <w:marRight w:val="0"/>
      <w:marTop w:val="0"/>
      <w:marBottom w:val="0"/>
      <w:divBdr>
        <w:top w:val="none" w:sz="0" w:space="0" w:color="auto"/>
        <w:left w:val="none" w:sz="0" w:space="0" w:color="auto"/>
        <w:bottom w:val="none" w:sz="0" w:space="0" w:color="auto"/>
        <w:right w:val="none" w:sz="0" w:space="0" w:color="auto"/>
      </w:divBdr>
      <w:divsChild>
        <w:div w:id="302196350">
          <w:marLeft w:val="1570"/>
          <w:marRight w:val="0"/>
          <w:marTop w:val="0"/>
          <w:marBottom w:val="120"/>
          <w:divBdr>
            <w:top w:val="none" w:sz="0" w:space="0" w:color="auto"/>
            <w:left w:val="none" w:sz="0" w:space="0" w:color="auto"/>
            <w:bottom w:val="none" w:sz="0" w:space="0" w:color="auto"/>
            <w:right w:val="none" w:sz="0" w:space="0" w:color="auto"/>
          </w:divBdr>
        </w:div>
        <w:div w:id="797721783">
          <w:marLeft w:val="1570"/>
          <w:marRight w:val="0"/>
          <w:marTop w:val="0"/>
          <w:marBottom w:val="120"/>
          <w:divBdr>
            <w:top w:val="none" w:sz="0" w:space="0" w:color="auto"/>
            <w:left w:val="none" w:sz="0" w:space="0" w:color="auto"/>
            <w:bottom w:val="none" w:sz="0" w:space="0" w:color="auto"/>
            <w:right w:val="none" w:sz="0" w:space="0" w:color="auto"/>
          </w:divBdr>
        </w:div>
      </w:divsChild>
    </w:div>
    <w:div w:id="959262861">
      <w:bodyDiv w:val="1"/>
      <w:marLeft w:val="0"/>
      <w:marRight w:val="0"/>
      <w:marTop w:val="0"/>
      <w:marBottom w:val="0"/>
      <w:divBdr>
        <w:top w:val="none" w:sz="0" w:space="0" w:color="auto"/>
        <w:left w:val="none" w:sz="0" w:space="0" w:color="auto"/>
        <w:bottom w:val="none" w:sz="0" w:space="0" w:color="auto"/>
        <w:right w:val="none" w:sz="0" w:space="0" w:color="auto"/>
      </w:divBdr>
    </w:div>
    <w:div w:id="992180815">
      <w:bodyDiv w:val="1"/>
      <w:marLeft w:val="0"/>
      <w:marRight w:val="0"/>
      <w:marTop w:val="0"/>
      <w:marBottom w:val="0"/>
      <w:divBdr>
        <w:top w:val="none" w:sz="0" w:space="0" w:color="auto"/>
        <w:left w:val="none" w:sz="0" w:space="0" w:color="auto"/>
        <w:bottom w:val="none" w:sz="0" w:space="0" w:color="auto"/>
        <w:right w:val="none" w:sz="0" w:space="0" w:color="auto"/>
      </w:divBdr>
      <w:divsChild>
        <w:div w:id="1408527596">
          <w:marLeft w:val="1138"/>
          <w:marRight w:val="0"/>
          <w:marTop w:val="0"/>
          <w:marBottom w:val="600"/>
          <w:divBdr>
            <w:top w:val="none" w:sz="0" w:space="0" w:color="auto"/>
            <w:left w:val="none" w:sz="0" w:space="0" w:color="auto"/>
            <w:bottom w:val="none" w:sz="0" w:space="0" w:color="auto"/>
            <w:right w:val="none" w:sz="0" w:space="0" w:color="auto"/>
          </w:divBdr>
        </w:div>
        <w:div w:id="744256893">
          <w:marLeft w:val="1138"/>
          <w:marRight w:val="0"/>
          <w:marTop w:val="0"/>
          <w:marBottom w:val="600"/>
          <w:divBdr>
            <w:top w:val="none" w:sz="0" w:space="0" w:color="auto"/>
            <w:left w:val="none" w:sz="0" w:space="0" w:color="auto"/>
            <w:bottom w:val="none" w:sz="0" w:space="0" w:color="auto"/>
            <w:right w:val="none" w:sz="0" w:space="0" w:color="auto"/>
          </w:divBdr>
        </w:div>
        <w:div w:id="2072774945">
          <w:marLeft w:val="1138"/>
          <w:marRight w:val="0"/>
          <w:marTop w:val="0"/>
          <w:marBottom w:val="600"/>
          <w:divBdr>
            <w:top w:val="none" w:sz="0" w:space="0" w:color="auto"/>
            <w:left w:val="none" w:sz="0" w:space="0" w:color="auto"/>
            <w:bottom w:val="none" w:sz="0" w:space="0" w:color="auto"/>
            <w:right w:val="none" w:sz="0" w:space="0" w:color="auto"/>
          </w:divBdr>
        </w:div>
        <w:div w:id="1544437759">
          <w:marLeft w:val="1138"/>
          <w:marRight w:val="0"/>
          <w:marTop w:val="0"/>
          <w:marBottom w:val="600"/>
          <w:divBdr>
            <w:top w:val="none" w:sz="0" w:space="0" w:color="auto"/>
            <w:left w:val="none" w:sz="0" w:space="0" w:color="auto"/>
            <w:bottom w:val="none" w:sz="0" w:space="0" w:color="auto"/>
            <w:right w:val="none" w:sz="0" w:space="0" w:color="auto"/>
          </w:divBdr>
        </w:div>
        <w:div w:id="2133672099">
          <w:marLeft w:val="1138"/>
          <w:marRight w:val="0"/>
          <w:marTop w:val="0"/>
          <w:marBottom w:val="600"/>
          <w:divBdr>
            <w:top w:val="none" w:sz="0" w:space="0" w:color="auto"/>
            <w:left w:val="none" w:sz="0" w:space="0" w:color="auto"/>
            <w:bottom w:val="none" w:sz="0" w:space="0" w:color="auto"/>
            <w:right w:val="none" w:sz="0" w:space="0" w:color="auto"/>
          </w:divBdr>
        </w:div>
      </w:divsChild>
    </w:div>
    <w:div w:id="1025398398">
      <w:bodyDiv w:val="1"/>
      <w:marLeft w:val="0"/>
      <w:marRight w:val="0"/>
      <w:marTop w:val="0"/>
      <w:marBottom w:val="0"/>
      <w:divBdr>
        <w:top w:val="none" w:sz="0" w:space="0" w:color="auto"/>
        <w:left w:val="none" w:sz="0" w:space="0" w:color="auto"/>
        <w:bottom w:val="none" w:sz="0" w:space="0" w:color="auto"/>
        <w:right w:val="none" w:sz="0" w:space="0" w:color="auto"/>
      </w:divBdr>
    </w:div>
    <w:div w:id="1103695502">
      <w:bodyDiv w:val="1"/>
      <w:marLeft w:val="0"/>
      <w:marRight w:val="0"/>
      <w:marTop w:val="0"/>
      <w:marBottom w:val="0"/>
      <w:divBdr>
        <w:top w:val="none" w:sz="0" w:space="0" w:color="auto"/>
        <w:left w:val="none" w:sz="0" w:space="0" w:color="auto"/>
        <w:bottom w:val="none" w:sz="0" w:space="0" w:color="auto"/>
        <w:right w:val="none" w:sz="0" w:space="0" w:color="auto"/>
      </w:divBdr>
    </w:div>
    <w:div w:id="1156528250">
      <w:bodyDiv w:val="1"/>
      <w:marLeft w:val="0"/>
      <w:marRight w:val="0"/>
      <w:marTop w:val="0"/>
      <w:marBottom w:val="0"/>
      <w:divBdr>
        <w:top w:val="none" w:sz="0" w:space="0" w:color="auto"/>
        <w:left w:val="none" w:sz="0" w:space="0" w:color="auto"/>
        <w:bottom w:val="none" w:sz="0" w:space="0" w:color="auto"/>
        <w:right w:val="none" w:sz="0" w:space="0" w:color="auto"/>
      </w:divBdr>
    </w:div>
    <w:div w:id="1305700170">
      <w:bodyDiv w:val="1"/>
      <w:marLeft w:val="0"/>
      <w:marRight w:val="0"/>
      <w:marTop w:val="0"/>
      <w:marBottom w:val="0"/>
      <w:divBdr>
        <w:top w:val="none" w:sz="0" w:space="0" w:color="auto"/>
        <w:left w:val="none" w:sz="0" w:space="0" w:color="auto"/>
        <w:bottom w:val="none" w:sz="0" w:space="0" w:color="auto"/>
        <w:right w:val="none" w:sz="0" w:space="0" w:color="auto"/>
      </w:divBdr>
    </w:div>
    <w:div w:id="1314093654">
      <w:bodyDiv w:val="1"/>
      <w:marLeft w:val="0"/>
      <w:marRight w:val="0"/>
      <w:marTop w:val="0"/>
      <w:marBottom w:val="0"/>
      <w:divBdr>
        <w:top w:val="none" w:sz="0" w:space="0" w:color="auto"/>
        <w:left w:val="none" w:sz="0" w:space="0" w:color="auto"/>
        <w:bottom w:val="none" w:sz="0" w:space="0" w:color="auto"/>
        <w:right w:val="none" w:sz="0" w:space="0" w:color="auto"/>
      </w:divBdr>
      <w:divsChild>
        <w:div w:id="99763100">
          <w:marLeft w:val="0"/>
          <w:marRight w:val="0"/>
          <w:marTop w:val="0"/>
          <w:marBottom w:val="0"/>
          <w:divBdr>
            <w:top w:val="none" w:sz="0" w:space="0" w:color="auto"/>
            <w:left w:val="none" w:sz="0" w:space="0" w:color="auto"/>
            <w:bottom w:val="none" w:sz="0" w:space="0" w:color="auto"/>
            <w:right w:val="none" w:sz="0" w:space="0" w:color="auto"/>
          </w:divBdr>
          <w:divsChild>
            <w:div w:id="960959710">
              <w:marLeft w:val="0"/>
              <w:marRight w:val="0"/>
              <w:marTop w:val="0"/>
              <w:marBottom w:val="0"/>
              <w:divBdr>
                <w:top w:val="none" w:sz="0" w:space="0" w:color="auto"/>
                <w:left w:val="none" w:sz="0" w:space="0" w:color="auto"/>
                <w:bottom w:val="none" w:sz="0" w:space="0" w:color="auto"/>
                <w:right w:val="none" w:sz="0" w:space="0" w:color="auto"/>
              </w:divBdr>
              <w:divsChild>
                <w:div w:id="1952475088">
                  <w:marLeft w:val="0"/>
                  <w:marRight w:val="0"/>
                  <w:marTop w:val="0"/>
                  <w:marBottom w:val="0"/>
                  <w:divBdr>
                    <w:top w:val="none" w:sz="0" w:space="0" w:color="auto"/>
                    <w:left w:val="none" w:sz="0" w:space="0" w:color="auto"/>
                    <w:bottom w:val="none" w:sz="0" w:space="0" w:color="auto"/>
                    <w:right w:val="none" w:sz="0" w:space="0" w:color="auto"/>
                  </w:divBdr>
                </w:div>
              </w:divsChild>
            </w:div>
            <w:div w:id="1183057273">
              <w:marLeft w:val="0"/>
              <w:marRight w:val="0"/>
              <w:marTop w:val="0"/>
              <w:marBottom w:val="0"/>
              <w:divBdr>
                <w:top w:val="none" w:sz="0" w:space="0" w:color="auto"/>
                <w:left w:val="none" w:sz="0" w:space="0" w:color="auto"/>
                <w:bottom w:val="none" w:sz="0" w:space="0" w:color="auto"/>
                <w:right w:val="none" w:sz="0" w:space="0" w:color="auto"/>
              </w:divBdr>
            </w:div>
          </w:divsChild>
        </w:div>
        <w:div w:id="1785684617">
          <w:marLeft w:val="0"/>
          <w:marRight w:val="0"/>
          <w:marTop w:val="0"/>
          <w:marBottom w:val="0"/>
          <w:divBdr>
            <w:top w:val="none" w:sz="0" w:space="0" w:color="auto"/>
            <w:left w:val="none" w:sz="0" w:space="0" w:color="auto"/>
            <w:bottom w:val="none" w:sz="0" w:space="0" w:color="auto"/>
            <w:right w:val="none" w:sz="0" w:space="0" w:color="auto"/>
          </w:divBdr>
          <w:divsChild>
            <w:div w:id="1137188936">
              <w:marLeft w:val="0"/>
              <w:marRight w:val="0"/>
              <w:marTop w:val="375"/>
              <w:marBottom w:val="300"/>
              <w:divBdr>
                <w:top w:val="single" w:sz="6" w:space="0" w:color="CCCCCC"/>
                <w:left w:val="single" w:sz="6" w:space="0" w:color="CCCCCC"/>
                <w:bottom w:val="single" w:sz="6" w:space="0" w:color="CCCCCC"/>
                <w:right w:val="single" w:sz="6" w:space="0" w:color="CCCCCC"/>
              </w:divBdr>
            </w:div>
          </w:divsChild>
        </w:div>
      </w:divsChild>
    </w:div>
    <w:div w:id="1405108906">
      <w:bodyDiv w:val="1"/>
      <w:marLeft w:val="0"/>
      <w:marRight w:val="0"/>
      <w:marTop w:val="0"/>
      <w:marBottom w:val="0"/>
      <w:divBdr>
        <w:top w:val="none" w:sz="0" w:space="0" w:color="auto"/>
        <w:left w:val="none" w:sz="0" w:space="0" w:color="auto"/>
        <w:bottom w:val="none" w:sz="0" w:space="0" w:color="auto"/>
        <w:right w:val="none" w:sz="0" w:space="0" w:color="auto"/>
      </w:divBdr>
      <w:divsChild>
        <w:div w:id="1532067139">
          <w:marLeft w:val="1138"/>
          <w:marRight w:val="0"/>
          <w:marTop w:val="0"/>
          <w:marBottom w:val="720"/>
          <w:divBdr>
            <w:top w:val="none" w:sz="0" w:space="0" w:color="auto"/>
            <w:left w:val="none" w:sz="0" w:space="0" w:color="auto"/>
            <w:bottom w:val="none" w:sz="0" w:space="0" w:color="auto"/>
            <w:right w:val="none" w:sz="0" w:space="0" w:color="auto"/>
          </w:divBdr>
        </w:div>
        <w:div w:id="1631551286">
          <w:marLeft w:val="1138"/>
          <w:marRight w:val="0"/>
          <w:marTop w:val="0"/>
          <w:marBottom w:val="720"/>
          <w:divBdr>
            <w:top w:val="none" w:sz="0" w:space="0" w:color="auto"/>
            <w:left w:val="none" w:sz="0" w:space="0" w:color="auto"/>
            <w:bottom w:val="none" w:sz="0" w:space="0" w:color="auto"/>
            <w:right w:val="none" w:sz="0" w:space="0" w:color="auto"/>
          </w:divBdr>
        </w:div>
        <w:div w:id="1328249906">
          <w:marLeft w:val="1138"/>
          <w:marRight w:val="0"/>
          <w:marTop w:val="0"/>
          <w:marBottom w:val="720"/>
          <w:divBdr>
            <w:top w:val="none" w:sz="0" w:space="0" w:color="auto"/>
            <w:left w:val="none" w:sz="0" w:space="0" w:color="auto"/>
            <w:bottom w:val="none" w:sz="0" w:space="0" w:color="auto"/>
            <w:right w:val="none" w:sz="0" w:space="0" w:color="auto"/>
          </w:divBdr>
        </w:div>
        <w:div w:id="1730877303">
          <w:marLeft w:val="1138"/>
          <w:marRight w:val="0"/>
          <w:marTop w:val="0"/>
          <w:marBottom w:val="720"/>
          <w:divBdr>
            <w:top w:val="none" w:sz="0" w:space="0" w:color="auto"/>
            <w:left w:val="none" w:sz="0" w:space="0" w:color="auto"/>
            <w:bottom w:val="none" w:sz="0" w:space="0" w:color="auto"/>
            <w:right w:val="none" w:sz="0" w:space="0" w:color="auto"/>
          </w:divBdr>
        </w:div>
        <w:div w:id="574975222">
          <w:marLeft w:val="1138"/>
          <w:marRight w:val="0"/>
          <w:marTop w:val="0"/>
          <w:marBottom w:val="720"/>
          <w:divBdr>
            <w:top w:val="none" w:sz="0" w:space="0" w:color="auto"/>
            <w:left w:val="none" w:sz="0" w:space="0" w:color="auto"/>
            <w:bottom w:val="none" w:sz="0" w:space="0" w:color="auto"/>
            <w:right w:val="none" w:sz="0" w:space="0" w:color="auto"/>
          </w:divBdr>
        </w:div>
      </w:divsChild>
    </w:div>
    <w:div w:id="1433278850">
      <w:bodyDiv w:val="1"/>
      <w:marLeft w:val="0"/>
      <w:marRight w:val="0"/>
      <w:marTop w:val="0"/>
      <w:marBottom w:val="0"/>
      <w:divBdr>
        <w:top w:val="none" w:sz="0" w:space="0" w:color="auto"/>
        <w:left w:val="none" w:sz="0" w:space="0" w:color="auto"/>
        <w:bottom w:val="none" w:sz="0" w:space="0" w:color="auto"/>
        <w:right w:val="none" w:sz="0" w:space="0" w:color="auto"/>
      </w:divBdr>
    </w:div>
    <w:div w:id="1457138324">
      <w:bodyDiv w:val="1"/>
      <w:marLeft w:val="0"/>
      <w:marRight w:val="0"/>
      <w:marTop w:val="0"/>
      <w:marBottom w:val="0"/>
      <w:divBdr>
        <w:top w:val="none" w:sz="0" w:space="0" w:color="auto"/>
        <w:left w:val="none" w:sz="0" w:space="0" w:color="auto"/>
        <w:bottom w:val="none" w:sz="0" w:space="0" w:color="auto"/>
        <w:right w:val="none" w:sz="0" w:space="0" w:color="auto"/>
      </w:divBdr>
      <w:divsChild>
        <w:div w:id="1418746218">
          <w:marLeft w:val="547"/>
          <w:marRight w:val="0"/>
          <w:marTop w:val="0"/>
          <w:marBottom w:val="0"/>
          <w:divBdr>
            <w:top w:val="none" w:sz="0" w:space="0" w:color="auto"/>
            <w:left w:val="none" w:sz="0" w:space="0" w:color="auto"/>
            <w:bottom w:val="none" w:sz="0" w:space="0" w:color="auto"/>
            <w:right w:val="none" w:sz="0" w:space="0" w:color="auto"/>
          </w:divBdr>
        </w:div>
      </w:divsChild>
    </w:div>
    <w:div w:id="1466006280">
      <w:bodyDiv w:val="1"/>
      <w:marLeft w:val="0"/>
      <w:marRight w:val="0"/>
      <w:marTop w:val="0"/>
      <w:marBottom w:val="0"/>
      <w:divBdr>
        <w:top w:val="none" w:sz="0" w:space="0" w:color="auto"/>
        <w:left w:val="none" w:sz="0" w:space="0" w:color="auto"/>
        <w:bottom w:val="none" w:sz="0" w:space="0" w:color="auto"/>
        <w:right w:val="none" w:sz="0" w:space="0" w:color="auto"/>
      </w:divBdr>
    </w:div>
    <w:div w:id="1482885494">
      <w:bodyDiv w:val="1"/>
      <w:marLeft w:val="0"/>
      <w:marRight w:val="0"/>
      <w:marTop w:val="0"/>
      <w:marBottom w:val="0"/>
      <w:divBdr>
        <w:top w:val="none" w:sz="0" w:space="0" w:color="auto"/>
        <w:left w:val="none" w:sz="0" w:space="0" w:color="auto"/>
        <w:bottom w:val="none" w:sz="0" w:space="0" w:color="auto"/>
        <w:right w:val="none" w:sz="0" w:space="0" w:color="auto"/>
      </w:divBdr>
      <w:divsChild>
        <w:div w:id="657422978">
          <w:marLeft w:val="1138"/>
          <w:marRight w:val="0"/>
          <w:marTop w:val="0"/>
          <w:marBottom w:val="600"/>
          <w:divBdr>
            <w:top w:val="none" w:sz="0" w:space="0" w:color="auto"/>
            <w:left w:val="none" w:sz="0" w:space="0" w:color="auto"/>
            <w:bottom w:val="none" w:sz="0" w:space="0" w:color="auto"/>
            <w:right w:val="none" w:sz="0" w:space="0" w:color="auto"/>
          </w:divBdr>
        </w:div>
        <w:div w:id="1909339521">
          <w:marLeft w:val="1138"/>
          <w:marRight w:val="0"/>
          <w:marTop w:val="0"/>
          <w:marBottom w:val="600"/>
          <w:divBdr>
            <w:top w:val="none" w:sz="0" w:space="0" w:color="auto"/>
            <w:left w:val="none" w:sz="0" w:space="0" w:color="auto"/>
            <w:bottom w:val="none" w:sz="0" w:space="0" w:color="auto"/>
            <w:right w:val="none" w:sz="0" w:space="0" w:color="auto"/>
          </w:divBdr>
        </w:div>
        <w:div w:id="1333950793">
          <w:marLeft w:val="1138"/>
          <w:marRight w:val="0"/>
          <w:marTop w:val="0"/>
          <w:marBottom w:val="600"/>
          <w:divBdr>
            <w:top w:val="none" w:sz="0" w:space="0" w:color="auto"/>
            <w:left w:val="none" w:sz="0" w:space="0" w:color="auto"/>
            <w:bottom w:val="none" w:sz="0" w:space="0" w:color="auto"/>
            <w:right w:val="none" w:sz="0" w:space="0" w:color="auto"/>
          </w:divBdr>
        </w:div>
        <w:div w:id="1068531690">
          <w:marLeft w:val="1138"/>
          <w:marRight w:val="0"/>
          <w:marTop w:val="0"/>
          <w:marBottom w:val="600"/>
          <w:divBdr>
            <w:top w:val="none" w:sz="0" w:space="0" w:color="auto"/>
            <w:left w:val="none" w:sz="0" w:space="0" w:color="auto"/>
            <w:bottom w:val="none" w:sz="0" w:space="0" w:color="auto"/>
            <w:right w:val="none" w:sz="0" w:space="0" w:color="auto"/>
          </w:divBdr>
        </w:div>
        <w:div w:id="1715351267">
          <w:marLeft w:val="1138"/>
          <w:marRight w:val="0"/>
          <w:marTop w:val="0"/>
          <w:marBottom w:val="600"/>
          <w:divBdr>
            <w:top w:val="none" w:sz="0" w:space="0" w:color="auto"/>
            <w:left w:val="none" w:sz="0" w:space="0" w:color="auto"/>
            <w:bottom w:val="none" w:sz="0" w:space="0" w:color="auto"/>
            <w:right w:val="none" w:sz="0" w:space="0" w:color="auto"/>
          </w:divBdr>
        </w:div>
      </w:divsChild>
    </w:div>
    <w:div w:id="1509561571">
      <w:bodyDiv w:val="1"/>
      <w:marLeft w:val="0"/>
      <w:marRight w:val="0"/>
      <w:marTop w:val="0"/>
      <w:marBottom w:val="0"/>
      <w:divBdr>
        <w:top w:val="none" w:sz="0" w:space="0" w:color="auto"/>
        <w:left w:val="none" w:sz="0" w:space="0" w:color="auto"/>
        <w:bottom w:val="none" w:sz="0" w:space="0" w:color="auto"/>
        <w:right w:val="none" w:sz="0" w:space="0" w:color="auto"/>
      </w:divBdr>
    </w:div>
    <w:div w:id="1521822039">
      <w:bodyDiv w:val="1"/>
      <w:marLeft w:val="0"/>
      <w:marRight w:val="0"/>
      <w:marTop w:val="0"/>
      <w:marBottom w:val="0"/>
      <w:divBdr>
        <w:top w:val="none" w:sz="0" w:space="0" w:color="auto"/>
        <w:left w:val="none" w:sz="0" w:space="0" w:color="auto"/>
        <w:bottom w:val="none" w:sz="0" w:space="0" w:color="auto"/>
        <w:right w:val="none" w:sz="0" w:space="0" w:color="auto"/>
      </w:divBdr>
    </w:div>
    <w:div w:id="1639452482">
      <w:bodyDiv w:val="1"/>
      <w:marLeft w:val="0"/>
      <w:marRight w:val="0"/>
      <w:marTop w:val="0"/>
      <w:marBottom w:val="0"/>
      <w:divBdr>
        <w:top w:val="none" w:sz="0" w:space="0" w:color="auto"/>
        <w:left w:val="none" w:sz="0" w:space="0" w:color="auto"/>
        <w:bottom w:val="none" w:sz="0" w:space="0" w:color="auto"/>
        <w:right w:val="none" w:sz="0" w:space="0" w:color="auto"/>
      </w:divBdr>
    </w:div>
    <w:div w:id="1649820150">
      <w:bodyDiv w:val="1"/>
      <w:marLeft w:val="0"/>
      <w:marRight w:val="0"/>
      <w:marTop w:val="0"/>
      <w:marBottom w:val="0"/>
      <w:divBdr>
        <w:top w:val="none" w:sz="0" w:space="0" w:color="auto"/>
        <w:left w:val="none" w:sz="0" w:space="0" w:color="auto"/>
        <w:bottom w:val="none" w:sz="0" w:space="0" w:color="auto"/>
        <w:right w:val="none" w:sz="0" w:space="0" w:color="auto"/>
      </w:divBdr>
    </w:div>
    <w:div w:id="1767115576">
      <w:bodyDiv w:val="1"/>
      <w:marLeft w:val="0"/>
      <w:marRight w:val="0"/>
      <w:marTop w:val="0"/>
      <w:marBottom w:val="0"/>
      <w:divBdr>
        <w:top w:val="none" w:sz="0" w:space="0" w:color="auto"/>
        <w:left w:val="none" w:sz="0" w:space="0" w:color="auto"/>
        <w:bottom w:val="none" w:sz="0" w:space="0" w:color="auto"/>
        <w:right w:val="none" w:sz="0" w:space="0" w:color="auto"/>
      </w:divBdr>
    </w:div>
    <w:div w:id="1784230455">
      <w:bodyDiv w:val="1"/>
      <w:marLeft w:val="0"/>
      <w:marRight w:val="0"/>
      <w:marTop w:val="0"/>
      <w:marBottom w:val="0"/>
      <w:divBdr>
        <w:top w:val="none" w:sz="0" w:space="0" w:color="auto"/>
        <w:left w:val="none" w:sz="0" w:space="0" w:color="auto"/>
        <w:bottom w:val="none" w:sz="0" w:space="0" w:color="auto"/>
        <w:right w:val="none" w:sz="0" w:space="0" w:color="auto"/>
      </w:divBdr>
    </w:div>
    <w:div w:id="1785685973">
      <w:bodyDiv w:val="1"/>
      <w:marLeft w:val="0"/>
      <w:marRight w:val="0"/>
      <w:marTop w:val="0"/>
      <w:marBottom w:val="0"/>
      <w:divBdr>
        <w:top w:val="none" w:sz="0" w:space="0" w:color="auto"/>
        <w:left w:val="none" w:sz="0" w:space="0" w:color="auto"/>
        <w:bottom w:val="none" w:sz="0" w:space="0" w:color="auto"/>
        <w:right w:val="none" w:sz="0" w:space="0" w:color="auto"/>
      </w:divBdr>
    </w:div>
    <w:div w:id="1844204921">
      <w:bodyDiv w:val="1"/>
      <w:marLeft w:val="0"/>
      <w:marRight w:val="0"/>
      <w:marTop w:val="0"/>
      <w:marBottom w:val="0"/>
      <w:divBdr>
        <w:top w:val="none" w:sz="0" w:space="0" w:color="auto"/>
        <w:left w:val="none" w:sz="0" w:space="0" w:color="auto"/>
        <w:bottom w:val="none" w:sz="0" w:space="0" w:color="auto"/>
        <w:right w:val="none" w:sz="0" w:space="0" w:color="auto"/>
      </w:divBdr>
    </w:div>
    <w:div w:id="1900362691">
      <w:bodyDiv w:val="1"/>
      <w:marLeft w:val="0"/>
      <w:marRight w:val="0"/>
      <w:marTop w:val="0"/>
      <w:marBottom w:val="0"/>
      <w:divBdr>
        <w:top w:val="none" w:sz="0" w:space="0" w:color="auto"/>
        <w:left w:val="none" w:sz="0" w:space="0" w:color="auto"/>
        <w:bottom w:val="none" w:sz="0" w:space="0" w:color="auto"/>
        <w:right w:val="none" w:sz="0" w:space="0" w:color="auto"/>
      </w:divBdr>
    </w:div>
    <w:div w:id="1915239028">
      <w:bodyDiv w:val="1"/>
      <w:marLeft w:val="0"/>
      <w:marRight w:val="0"/>
      <w:marTop w:val="0"/>
      <w:marBottom w:val="0"/>
      <w:divBdr>
        <w:top w:val="none" w:sz="0" w:space="0" w:color="auto"/>
        <w:left w:val="none" w:sz="0" w:space="0" w:color="auto"/>
        <w:bottom w:val="none" w:sz="0" w:space="0" w:color="auto"/>
        <w:right w:val="none" w:sz="0" w:space="0" w:color="auto"/>
      </w:divBdr>
    </w:div>
    <w:div w:id="1924753953">
      <w:bodyDiv w:val="1"/>
      <w:marLeft w:val="0"/>
      <w:marRight w:val="0"/>
      <w:marTop w:val="0"/>
      <w:marBottom w:val="0"/>
      <w:divBdr>
        <w:top w:val="none" w:sz="0" w:space="0" w:color="auto"/>
        <w:left w:val="none" w:sz="0" w:space="0" w:color="auto"/>
        <w:bottom w:val="none" w:sz="0" w:space="0" w:color="auto"/>
        <w:right w:val="none" w:sz="0" w:space="0" w:color="auto"/>
      </w:divBdr>
    </w:div>
    <w:div w:id="1972712708">
      <w:bodyDiv w:val="1"/>
      <w:marLeft w:val="0"/>
      <w:marRight w:val="0"/>
      <w:marTop w:val="0"/>
      <w:marBottom w:val="0"/>
      <w:divBdr>
        <w:top w:val="none" w:sz="0" w:space="0" w:color="auto"/>
        <w:left w:val="none" w:sz="0" w:space="0" w:color="auto"/>
        <w:bottom w:val="none" w:sz="0" w:space="0" w:color="auto"/>
        <w:right w:val="none" w:sz="0" w:space="0" w:color="auto"/>
      </w:divBdr>
    </w:div>
    <w:div w:id="2024621449">
      <w:bodyDiv w:val="1"/>
      <w:marLeft w:val="0"/>
      <w:marRight w:val="0"/>
      <w:marTop w:val="0"/>
      <w:marBottom w:val="0"/>
      <w:divBdr>
        <w:top w:val="none" w:sz="0" w:space="0" w:color="auto"/>
        <w:left w:val="none" w:sz="0" w:space="0" w:color="auto"/>
        <w:bottom w:val="none" w:sz="0" w:space="0" w:color="auto"/>
        <w:right w:val="none" w:sz="0" w:space="0" w:color="auto"/>
      </w:divBdr>
    </w:div>
    <w:div w:id="2029065229">
      <w:bodyDiv w:val="1"/>
      <w:marLeft w:val="0"/>
      <w:marRight w:val="0"/>
      <w:marTop w:val="0"/>
      <w:marBottom w:val="0"/>
      <w:divBdr>
        <w:top w:val="none" w:sz="0" w:space="0" w:color="auto"/>
        <w:left w:val="none" w:sz="0" w:space="0" w:color="auto"/>
        <w:bottom w:val="none" w:sz="0" w:space="0" w:color="auto"/>
        <w:right w:val="none" w:sz="0" w:space="0" w:color="auto"/>
      </w:divBdr>
      <w:divsChild>
        <w:div w:id="1100835191">
          <w:marLeft w:val="1138"/>
          <w:marRight w:val="0"/>
          <w:marTop w:val="0"/>
          <w:marBottom w:val="720"/>
          <w:divBdr>
            <w:top w:val="none" w:sz="0" w:space="0" w:color="auto"/>
            <w:left w:val="none" w:sz="0" w:space="0" w:color="auto"/>
            <w:bottom w:val="none" w:sz="0" w:space="0" w:color="auto"/>
            <w:right w:val="none" w:sz="0" w:space="0" w:color="auto"/>
          </w:divBdr>
        </w:div>
        <w:div w:id="1150829421">
          <w:marLeft w:val="1138"/>
          <w:marRight w:val="0"/>
          <w:marTop w:val="0"/>
          <w:marBottom w:val="720"/>
          <w:divBdr>
            <w:top w:val="none" w:sz="0" w:space="0" w:color="auto"/>
            <w:left w:val="none" w:sz="0" w:space="0" w:color="auto"/>
            <w:bottom w:val="none" w:sz="0" w:space="0" w:color="auto"/>
            <w:right w:val="none" w:sz="0" w:space="0" w:color="auto"/>
          </w:divBdr>
        </w:div>
        <w:div w:id="1130980293">
          <w:marLeft w:val="1138"/>
          <w:marRight w:val="0"/>
          <w:marTop w:val="0"/>
          <w:marBottom w:val="720"/>
          <w:divBdr>
            <w:top w:val="none" w:sz="0" w:space="0" w:color="auto"/>
            <w:left w:val="none" w:sz="0" w:space="0" w:color="auto"/>
            <w:bottom w:val="none" w:sz="0" w:space="0" w:color="auto"/>
            <w:right w:val="none" w:sz="0" w:space="0" w:color="auto"/>
          </w:divBdr>
        </w:div>
        <w:div w:id="41832520">
          <w:marLeft w:val="1138"/>
          <w:marRight w:val="0"/>
          <w:marTop w:val="0"/>
          <w:marBottom w:val="7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hart" Target="charts/chart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pen@supen.fi.c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upen@supen.fi.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D:\RESPALDO%20ANA%20YANCI\LibreTransferencia%20reactivaci&#243;n%20setiembre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supen-my.sharepoint.com/personal/cespedesld_supen_fi_cr/Documents/SUPEN/InformeConassifSep2020/CarteraSep202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Sicere!$E$6</c:f>
              <c:strCache>
                <c:ptCount val="1"/>
                <c:pt idx="0">
                  <c:v>I TRIMESTRE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Sicere!$D$7:$D$8</c:f>
              <c:strCache>
                <c:ptCount val="2"/>
                <c:pt idx="0">
                  <c:v>ROP</c:v>
                </c:pt>
                <c:pt idx="1">
                  <c:v>FCL</c:v>
                </c:pt>
              </c:strCache>
            </c:strRef>
          </c:cat>
          <c:val>
            <c:numRef>
              <c:f>Sicere!$E$7:$E$8</c:f>
              <c:numCache>
                <c:formatCode>_-* #,##0_-;\-* #,##0_-;_-* "-"??_-;_-@_-</c:formatCode>
                <c:ptCount val="2"/>
                <c:pt idx="0">
                  <c:v>39506215358</c:v>
                </c:pt>
                <c:pt idx="1">
                  <c:v>92854997459</c:v>
                </c:pt>
              </c:numCache>
            </c:numRef>
          </c:val>
          <c:extLst>
            <c:ext xmlns:c16="http://schemas.microsoft.com/office/drawing/2014/chart" uri="{C3380CC4-5D6E-409C-BE32-E72D297353CC}">
              <c16:uniqueId val="{00000000-2B9B-4C21-9E52-9C0F2D249E22}"/>
            </c:ext>
          </c:extLst>
        </c:ser>
        <c:ser>
          <c:idx val="1"/>
          <c:order val="1"/>
          <c:tx>
            <c:strRef>
              <c:f>Sicere!$F$6</c:f>
              <c:strCache>
                <c:ptCount val="1"/>
                <c:pt idx="0">
                  <c:v>II TRIMESTRE </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Sicere!$D$7:$D$8</c:f>
              <c:strCache>
                <c:ptCount val="2"/>
                <c:pt idx="0">
                  <c:v>ROP</c:v>
                </c:pt>
                <c:pt idx="1">
                  <c:v>FCL</c:v>
                </c:pt>
              </c:strCache>
            </c:strRef>
          </c:cat>
          <c:val>
            <c:numRef>
              <c:f>Sicere!$F$7:$F$8</c:f>
              <c:numCache>
                <c:formatCode>_-* #,##0_-;\-* #,##0_-;_-* "-"??_-;_-@_-</c:formatCode>
                <c:ptCount val="2"/>
                <c:pt idx="0">
                  <c:v>35402345978</c:v>
                </c:pt>
                <c:pt idx="1">
                  <c:v>80398149065</c:v>
                </c:pt>
              </c:numCache>
            </c:numRef>
          </c:val>
          <c:extLst>
            <c:ext xmlns:c16="http://schemas.microsoft.com/office/drawing/2014/chart" uri="{C3380CC4-5D6E-409C-BE32-E72D297353CC}">
              <c16:uniqueId val="{00000001-2B9B-4C21-9E52-9C0F2D249E22}"/>
            </c:ext>
          </c:extLst>
        </c:ser>
        <c:ser>
          <c:idx val="2"/>
          <c:order val="2"/>
          <c:tx>
            <c:strRef>
              <c:f>Sicere!$G$6</c:f>
              <c:strCache>
                <c:ptCount val="1"/>
                <c:pt idx="0">
                  <c:v>III TRIMESTRE</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Sicere!$D$7:$D$8</c:f>
              <c:strCache>
                <c:ptCount val="2"/>
                <c:pt idx="0">
                  <c:v>ROP</c:v>
                </c:pt>
                <c:pt idx="1">
                  <c:v>FCL</c:v>
                </c:pt>
              </c:strCache>
            </c:strRef>
          </c:cat>
          <c:val>
            <c:numRef>
              <c:f>Sicere!$G$7:$G$8</c:f>
              <c:numCache>
                <c:formatCode>_-* #,##0_-;\-* #,##0_-;_-* "-"??_-;_-@_-</c:formatCode>
                <c:ptCount val="2"/>
                <c:pt idx="0">
                  <c:v>33553621080</c:v>
                </c:pt>
                <c:pt idx="1">
                  <c:v>77652315026</c:v>
                </c:pt>
              </c:numCache>
            </c:numRef>
          </c:val>
          <c:extLst>
            <c:ext xmlns:c16="http://schemas.microsoft.com/office/drawing/2014/chart" uri="{C3380CC4-5D6E-409C-BE32-E72D297353CC}">
              <c16:uniqueId val="{00000002-2B9B-4C21-9E52-9C0F2D249E22}"/>
            </c:ext>
          </c:extLst>
        </c:ser>
        <c:dLbls>
          <c:showLegendKey val="0"/>
          <c:showVal val="0"/>
          <c:showCatName val="0"/>
          <c:showSerName val="0"/>
          <c:showPercent val="0"/>
          <c:showBubbleSize val="0"/>
        </c:dLbls>
        <c:gapWidth val="150"/>
        <c:axId val="541429887"/>
        <c:axId val="12435391"/>
      </c:barChart>
      <c:catAx>
        <c:axId val="541429887"/>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s-CR"/>
          </a:p>
        </c:txPr>
        <c:crossAx val="12435391"/>
        <c:crosses val="autoZero"/>
        <c:auto val="1"/>
        <c:lblAlgn val="ctr"/>
        <c:lblOffset val="100"/>
        <c:noMultiLvlLbl val="0"/>
      </c:catAx>
      <c:valAx>
        <c:axId val="12435391"/>
        <c:scaling>
          <c:orientation val="minMax"/>
        </c:scaling>
        <c:delete val="0"/>
        <c:axPos val="l"/>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541429887"/>
        <c:crosses val="autoZero"/>
        <c:crossBetween val="between"/>
        <c:dispUnits>
          <c:builtInUnit val="millions"/>
          <c:dispUnitsLbl>
            <c:layout>
              <c:manualLayout>
                <c:xMode val="edge"/>
                <c:yMode val="edge"/>
                <c:x val="2.206703357835646E-2"/>
                <c:y val="0.38072007804824043"/>
              </c:manualLayout>
            </c:layout>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s-CR"/>
              </a:p>
            </c:txPr>
          </c:dispUnitsLbl>
        </c:dispUnits>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R"/>
        </a:p>
      </c:txPr>
    </c:legend>
    <c:plotVisOnly val="1"/>
    <c:dispBlanksAs val="gap"/>
    <c:showDLblsOverMax val="0"/>
  </c:chart>
  <c:spPr>
    <a:solidFill>
      <a:schemeClr val="bg1"/>
    </a:solidFill>
    <a:ln w="9525" cap="sq" cmpd="sng" algn="ctr">
      <a:solidFill>
        <a:schemeClr val="tx1">
          <a:lumMod val="15000"/>
          <a:lumOff val="85000"/>
        </a:schemeClr>
      </a:solidFill>
      <a:miter lim="800000"/>
    </a:ln>
    <a:effectLst/>
  </c:spPr>
  <c:txPr>
    <a:bodyPr/>
    <a:lstStyle/>
    <a:p>
      <a:pPr>
        <a:defRPr/>
      </a:pPr>
      <a:endParaRPr lang="es-C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8370476093747"/>
          <c:y val="4.8661800486618008E-2"/>
          <c:w val="0.74097410430620814"/>
          <c:h val="0.55140995564008377"/>
        </c:manualLayout>
      </c:layout>
      <c:barChart>
        <c:barDir val="col"/>
        <c:grouping val="stacked"/>
        <c:varyColors val="0"/>
        <c:ser>
          <c:idx val="0"/>
          <c:order val="0"/>
          <c:tx>
            <c:strRef>
              <c:f>ActivoxTipoFon!$B$32</c:f>
              <c:strCache>
                <c:ptCount val="1"/>
                <c:pt idx="0">
                  <c:v>Regímenes Básicos Sustitutos</c:v>
                </c:pt>
              </c:strCache>
            </c:strRef>
          </c:tx>
          <c:spPr>
            <a:solidFill>
              <a:schemeClr val="accent1"/>
            </a:solidFill>
            <a:ln>
              <a:noFill/>
            </a:ln>
            <a:effectLst/>
          </c:spPr>
          <c:invertIfNegative val="0"/>
          <c:cat>
            <c:strRef>
              <c:f>ActivoxTipoFon!$A$33:$A$43</c:f>
              <c:strCache>
                <c:ptCount val="11"/>
                <c:pt idx="0">
                  <c:v>2010</c:v>
                </c:pt>
                <c:pt idx="1">
                  <c:v>2011</c:v>
                </c:pt>
                <c:pt idx="2">
                  <c:v>2012</c:v>
                </c:pt>
                <c:pt idx="3">
                  <c:v>2013</c:v>
                </c:pt>
                <c:pt idx="4">
                  <c:v>2014</c:v>
                </c:pt>
                <c:pt idx="5">
                  <c:v>2015</c:v>
                </c:pt>
                <c:pt idx="6">
                  <c:v>2016</c:v>
                </c:pt>
                <c:pt idx="7">
                  <c:v>2017</c:v>
                </c:pt>
                <c:pt idx="8">
                  <c:v>2018</c:v>
                </c:pt>
                <c:pt idx="9">
                  <c:v>2019</c:v>
                </c:pt>
                <c:pt idx="10">
                  <c:v>2020*</c:v>
                </c:pt>
              </c:strCache>
            </c:strRef>
          </c:cat>
          <c:val>
            <c:numRef>
              <c:f>ActivoxTipoFon!$B$33:$B$43</c:f>
              <c:numCache>
                <c:formatCode>_-* #,##0.0_-;\-* #,##0.0_-;_-* "-"??_-;_-@_-</c:formatCode>
                <c:ptCount val="11"/>
                <c:pt idx="0">
                  <c:v>0.88037330314799012</c:v>
                </c:pt>
                <c:pt idx="1">
                  <c:v>1.0429848027931201</c:v>
                </c:pt>
                <c:pt idx="2">
                  <c:v>1.23840305218469</c:v>
                </c:pt>
                <c:pt idx="3">
                  <c:v>1.43910679533172</c:v>
                </c:pt>
                <c:pt idx="4">
                  <c:v>1.6723162251665902</c:v>
                </c:pt>
                <c:pt idx="5">
                  <c:v>2.00195846850034</c:v>
                </c:pt>
                <c:pt idx="6">
                  <c:v>2.3342637255577601</c:v>
                </c:pt>
                <c:pt idx="7">
                  <c:v>2.6547632996576702</c:v>
                </c:pt>
                <c:pt idx="8">
                  <c:v>3.0031769200416898</c:v>
                </c:pt>
                <c:pt idx="9">
                  <c:v>3.6225673215315504</c:v>
                </c:pt>
                <c:pt idx="10">
                  <c:v>3.8487364491214198</c:v>
                </c:pt>
              </c:numCache>
            </c:numRef>
          </c:val>
          <c:extLst>
            <c:ext xmlns:c16="http://schemas.microsoft.com/office/drawing/2014/chart" uri="{C3380CC4-5D6E-409C-BE32-E72D297353CC}">
              <c16:uniqueId val="{00000000-BA33-4783-A505-043CBD382E31}"/>
            </c:ext>
          </c:extLst>
        </c:ser>
        <c:ser>
          <c:idx val="1"/>
          <c:order val="1"/>
          <c:tx>
            <c:strRef>
              <c:f>ActivoxTipoFon!$C$32</c:f>
              <c:strCache>
                <c:ptCount val="1"/>
                <c:pt idx="0">
                  <c:v>Planes Ocupacionales Complementarios</c:v>
                </c:pt>
              </c:strCache>
            </c:strRef>
          </c:tx>
          <c:spPr>
            <a:solidFill>
              <a:schemeClr val="accent2"/>
            </a:solidFill>
            <a:ln>
              <a:noFill/>
            </a:ln>
            <a:effectLst/>
          </c:spPr>
          <c:invertIfNegative val="0"/>
          <c:cat>
            <c:strRef>
              <c:f>ActivoxTipoFon!$A$33:$A$43</c:f>
              <c:strCache>
                <c:ptCount val="11"/>
                <c:pt idx="0">
                  <c:v>2010</c:v>
                </c:pt>
                <c:pt idx="1">
                  <c:v>2011</c:v>
                </c:pt>
                <c:pt idx="2">
                  <c:v>2012</c:v>
                </c:pt>
                <c:pt idx="3">
                  <c:v>2013</c:v>
                </c:pt>
                <c:pt idx="4">
                  <c:v>2014</c:v>
                </c:pt>
                <c:pt idx="5">
                  <c:v>2015</c:v>
                </c:pt>
                <c:pt idx="6">
                  <c:v>2016</c:v>
                </c:pt>
                <c:pt idx="7">
                  <c:v>2017</c:v>
                </c:pt>
                <c:pt idx="8">
                  <c:v>2018</c:v>
                </c:pt>
                <c:pt idx="9">
                  <c:v>2019</c:v>
                </c:pt>
                <c:pt idx="10">
                  <c:v>2020*</c:v>
                </c:pt>
              </c:strCache>
            </c:strRef>
          </c:cat>
          <c:val>
            <c:numRef>
              <c:f>ActivoxTipoFon!$C$33:$C$43</c:f>
              <c:numCache>
                <c:formatCode>_-* #,##0.0_-;\-* #,##0.0_-;_-* "-"??_-;_-@_-</c:formatCode>
                <c:ptCount val="11"/>
                <c:pt idx="0">
                  <c:v>0.44127581254288001</c:v>
                </c:pt>
                <c:pt idx="1">
                  <c:v>0.50070804437267002</c:v>
                </c:pt>
                <c:pt idx="2">
                  <c:v>0.54788500003783003</c:v>
                </c:pt>
                <c:pt idx="3">
                  <c:v>0.62232204967185001</c:v>
                </c:pt>
                <c:pt idx="4">
                  <c:v>0.67686945057893999</c:v>
                </c:pt>
                <c:pt idx="5">
                  <c:v>0.74383261028803993</c:v>
                </c:pt>
                <c:pt idx="6">
                  <c:v>0.78788628585081999</c:v>
                </c:pt>
                <c:pt idx="7">
                  <c:v>0.79824832826771996</c:v>
                </c:pt>
                <c:pt idx="8">
                  <c:v>0.82641658157190989</c:v>
                </c:pt>
                <c:pt idx="9">
                  <c:v>0.90873995754376002</c:v>
                </c:pt>
                <c:pt idx="10">
                  <c:v>0.93154405828289999</c:v>
                </c:pt>
              </c:numCache>
            </c:numRef>
          </c:val>
          <c:extLst>
            <c:ext xmlns:c16="http://schemas.microsoft.com/office/drawing/2014/chart" uri="{C3380CC4-5D6E-409C-BE32-E72D297353CC}">
              <c16:uniqueId val="{00000001-BA33-4783-A505-043CBD382E31}"/>
            </c:ext>
          </c:extLst>
        </c:ser>
        <c:ser>
          <c:idx val="2"/>
          <c:order val="2"/>
          <c:tx>
            <c:strRef>
              <c:f>ActivoxTipoFon!$D$32</c:f>
              <c:strCache>
                <c:ptCount val="1"/>
                <c:pt idx="0">
                  <c:v>Régimen Obligario Complementario</c:v>
                </c:pt>
              </c:strCache>
            </c:strRef>
          </c:tx>
          <c:spPr>
            <a:solidFill>
              <a:schemeClr val="accent3"/>
            </a:solidFill>
            <a:ln>
              <a:noFill/>
            </a:ln>
            <a:effectLst/>
          </c:spPr>
          <c:invertIfNegative val="0"/>
          <c:cat>
            <c:strRef>
              <c:f>ActivoxTipoFon!$A$33:$A$43</c:f>
              <c:strCache>
                <c:ptCount val="11"/>
                <c:pt idx="0">
                  <c:v>2010</c:v>
                </c:pt>
                <c:pt idx="1">
                  <c:v>2011</c:v>
                </c:pt>
                <c:pt idx="2">
                  <c:v>2012</c:v>
                </c:pt>
                <c:pt idx="3">
                  <c:v>2013</c:v>
                </c:pt>
                <c:pt idx="4">
                  <c:v>2014</c:v>
                </c:pt>
                <c:pt idx="5">
                  <c:v>2015</c:v>
                </c:pt>
                <c:pt idx="6">
                  <c:v>2016</c:v>
                </c:pt>
                <c:pt idx="7">
                  <c:v>2017</c:v>
                </c:pt>
                <c:pt idx="8">
                  <c:v>2018</c:v>
                </c:pt>
                <c:pt idx="9">
                  <c:v>2019</c:v>
                </c:pt>
                <c:pt idx="10">
                  <c:v>2020*</c:v>
                </c:pt>
              </c:strCache>
            </c:strRef>
          </c:cat>
          <c:val>
            <c:numRef>
              <c:f>ActivoxTipoFon!$D$33:$D$43</c:f>
              <c:numCache>
                <c:formatCode>_-* #,##0.0_-;\-* #,##0.0_-;_-* "-"??_-;_-@_-</c:formatCode>
                <c:ptCount val="11"/>
                <c:pt idx="0">
                  <c:v>1.4568919565431799</c:v>
                </c:pt>
                <c:pt idx="1">
                  <c:v>1.8055407988371301</c:v>
                </c:pt>
                <c:pt idx="2">
                  <c:v>2.22898511556757</c:v>
                </c:pt>
                <c:pt idx="3">
                  <c:v>2.7433472076480796</c:v>
                </c:pt>
                <c:pt idx="4">
                  <c:v>3.2168575319971304</c:v>
                </c:pt>
                <c:pt idx="5">
                  <c:v>3.87641127595831</c:v>
                </c:pt>
                <c:pt idx="6">
                  <c:v>4.4579054772766105</c:v>
                </c:pt>
                <c:pt idx="7">
                  <c:v>5.0534913627572404</c:v>
                </c:pt>
                <c:pt idx="8">
                  <c:v>5.6668539109234404</c:v>
                </c:pt>
                <c:pt idx="9">
                  <c:v>6.8508475886768601</c:v>
                </c:pt>
                <c:pt idx="10">
                  <c:v>7.4187229202812004</c:v>
                </c:pt>
              </c:numCache>
            </c:numRef>
          </c:val>
          <c:extLst>
            <c:ext xmlns:c16="http://schemas.microsoft.com/office/drawing/2014/chart" uri="{C3380CC4-5D6E-409C-BE32-E72D297353CC}">
              <c16:uniqueId val="{00000002-BA33-4783-A505-043CBD382E31}"/>
            </c:ext>
          </c:extLst>
        </c:ser>
        <c:ser>
          <c:idx val="3"/>
          <c:order val="3"/>
          <c:tx>
            <c:strRef>
              <c:f>ActivoxTipoFon!$E$32</c:f>
              <c:strCache>
                <c:ptCount val="1"/>
                <c:pt idx="0">
                  <c:v>Planes Voluntarios</c:v>
                </c:pt>
              </c:strCache>
            </c:strRef>
          </c:tx>
          <c:spPr>
            <a:solidFill>
              <a:schemeClr val="accent4"/>
            </a:solidFill>
            <a:ln>
              <a:noFill/>
            </a:ln>
            <a:effectLst/>
          </c:spPr>
          <c:invertIfNegative val="0"/>
          <c:cat>
            <c:strRef>
              <c:f>ActivoxTipoFon!$A$33:$A$43</c:f>
              <c:strCache>
                <c:ptCount val="11"/>
                <c:pt idx="0">
                  <c:v>2010</c:v>
                </c:pt>
                <c:pt idx="1">
                  <c:v>2011</c:v>
                </c:pt>
                <c:pt idx="2">
                  <c:v>2012</c:v>
                </c:pt>
                <c:pt idx="3">
                  <c:v>2013</c:v>
                </c:pt>
                <c:pt idx="4">
                  <c:v>2014</c:v>
                </c:pt>
                <c:pt idx="5">
                  <c:v>2015</c:v>
                </c:pt>
                <c:pt idx="6">
                  <c:v>2016</c:v>
                </c:pt>
                <c:pt idx="7">
                  <c:v>2017</c:v>
                </c:pt>
                <c:pt idx="8">
                  <c:v>2018</c:v>
                </c:pt>
                <c:pt idx="9">
                  <c:v>2019</c:v>
                </c:pt>
                <c:pt idx="10">
                  <c:v>2020*</c:v>
                </c:pt>
              </c:strCache>
            </c:strRef>
          </c:cat>
          <c:val>
            <c:numRef>
              <c:f>ActivoxTipoFon!$E$33:$E$43</c:f>
              <c:numCache>
                <c:formatCode>_-* #,##0.0_-;\-* #,##0.0_-;_-* "-"??_-;_-@_-</c:formatCode>
                <c:ptCount val="11"/>
                <c:pt idx="0">
                  <c:v>0.17195749478047295</c:v>
                </c:pt>
                <c:pt idx="1">
                  <c:v>0.17952226052714107</c:v>
                </c:pt>
                <c:pt idx="2">
                  <c:v>0.18462721917343405</c:v>
                </c:pt>
                <c:pt idx="3">
                  <c:v>0.20362797783182987</c:v>
                </c:pt>
                <c:pt idx="4">
                  <c:v>0.21923935125043525</c:v>
                </c:pt>
                <c:pt idx="5">
                  <c:v>0.25086128230229521</c:v>
                </c:pt>
                <c:pt idx="6">
                  <c:v>0.28851913269344537</c:v>
                </c:pt>
                <c:pt idx="7">
                  <c:v>0.31846053929418322</c:v>
                </c:pt>
                <c:pt idx="8">
                  <c:v>0.3419950561601765</c:v>
                </c:pt>
                <c:pt idx="9">
                  <c:v>0.39361887619519653</c:v>
                </c:pt>
                <c:pt idx="10">
                  <c:v>0.41782915954315997</c:v>
                </c:pt>
              </c:numCache>
            </c:numRef>
          </c:val>
          <c:extLst>
            <c:ext xmlns:c16="http://schemas.microsoft.com/office/drawing/2014/chart" uri="{C3380CC4-5D6E-409C-BE32-E72D297353CC}">
              <c16:uniqueId val="{00000003-BA33-4783-A505-043CBD382E31}"/>
            </c:ext>
          </c:extLst>
        </c:ser>
        <c:ser>
          <c:idx val="4"/>
          <c:order val="4"/>
          <c:tx>
            <c:strRef>
              <c:f>ActivoxTipoFon!$F$32</c:f>
              <c:strCache>
                <c:ptCount val="1"/>
                <c:pt idx="0">
                  <c:v>Fondo de Capitalización laboral</c:v>
                </c:pt>
              </c:strCache>
            </c:strRef>
          </c:tx>
          <c:spPr>
            <a:solidFill>
              <a:schemeClr val="accent5"/>
            </a:solidFill>
            <a:ln>
              <a:noFill/>
            </a:ln>
            <a:effectLst/>
          </c:spPr>
          <c:invertIfNegative val="0"/>
          <c:cat>
            <c:strRef>
              <c:f>ActivoxTipoFon!$A$33:$A$43</c:f>
              <c:strCache>
                <c:ptCount val="11"/>
                <c:pt idx="0">
                  <c:v>2010</c:v>
                </c:pt>
                <c:pt idx="1">
                  <c:v>2011</c:v>
                </c:pt>
                <c:pt idx="2">
                  <c:v>2012</c:v>
                </c:pt>
                <c:pt idx="3">
                  <c:v>2013</c:v>
                </c:pt>
                <c:pt idx="4">
                  <c:v>2014</c:v>
                </c:pt>
                <c:pt idx="5">
                  <c:v>2015</c:v>
                </c:pt>
                <c:pt idx="6">
                  <c:v>2016</c:v>
                </c:pt>
                <c:pt idx="7">
                  <c:v>2017</c:v>
                </c:pt>
                <c:pt idx="8">
                  <c:v>2018</c:v>
                </c:pt>
                <c:pt idx="9">
                  <c:v>2019</c:v>
                </c:pt>
                <c:pt idx="10">
                  <c:v>2020*</c:v>
                </c:pt>
              </c:strCache>
            </c:strRef>
          </c:cat>
          <c:val>
            <c:numRef>
              <c:f>ActivoxTipoFon!$F$33:$F$43</c:f>
              <c:numCache>
                <c:formatCode>_-* #,##0.0_-;\-* #,##0.0_-;_-* "-"??_-;_-@_-</c:formatCode>
                <c:ptCount val="11"/>
                <c:pt idx="0">
                  <c:v>0.37758497349278997</c:v>
                </c:pt>
                <c:pt idx="1">
                  <c:v>0.30237424868655</c:v>
                </c:pt>
                <c:pt idx="2">
                  <c:v>0.37924599498111999</c:v>
                </c:pt>
                <c:pt idx="3">
                  <c:v>0.46087351818978001</c:v>
                </c:pt>
                <c:pt idx="4">
                  <c:v>0.5317262203373001</c:v>
                </c:pt>
                <c:pt idx="5">
                  <c:v>0.62663351038924997</c:v>
                </c:pt>
                <c:pt idx="6">
                  <c:v>0.49952520989501004</c:v>
                </c:pt>
                <c:pt idx="7">
                  <c:v>0.56977895297608994</c:v>
                </c:pt>
                <c:pt idx="8">
                  <c:v>0.62508713847675001</c:v>
                </c:pt>
                <c:pt idx="9">
                  <c:v>0.72465513350761002</c:v>
                </c:pt>
                <c:pt idx="10">
                  <c:v>0.66574378941863999</c:v>
                </c:pt>
              </c:numCache>
            </c:numRef>
          </c:val>
          <c:extLst>
            <c:ext xmlns:c16="http://schemas.microsoft.com/office/drawing/2014/chart" uri="{C3380CC4-5D6E-409C-BE32-E72D297353CC}">
              <c16:uniqueId val="{00000004-BA33-4783-A505-043CBD382E31}"/>
            </c:ext>
          </c:extLst>
        </c:ser>
        <c:ser>
          <c:idx val="6"/>
          <c:order val="5"/>
          <c:tx>
            <c:strRef>
              <c:f>ActivoxTipoFon!$G$32</c:f>
              <c:strCache>
                <c:ptCount val="1"/>
                <c:pt idx="0">
                  <c:v>Régimen Básico</c:v>
                </c:pt>
              </c:strCache>
            </c:strRef>
          </c:tx>
          <c:spPr>
            <a:solidFill>
              <a:schemeClr val="accent1">
                <a:lumMod val="60000"/>
              </a:schemeClr>
            </a:solidFill>
            <a:ln>
              <a:noFill/>
            </a:ln>
            <a:effectLst/>
          </c:spPr>
          <c:invertIfNegative val="0"/>
          <c:cat>
            <c:strRef>
              <c:f>ActivoxTipoFon!$A$33:$A$43</c:f>
              <c:strCache>
                <c:ptCount val="11"/>
                <c:pt idx="0">
                  <c:v>2010</c:v>
                </c:pt>
                <c:pt idx="1">
                  <c:v>2011</c:v>
                </c:pt>
                <c:pt idx="2">
                  <c:v>2012</c:v>
                </c:pt>
                <c:pt idx="3">
                  <c:v>2013</c:v>
                </c:pt>
                <c:pt idx="4">
                  <c:v>2014</c:v>
                </c:pt>
                <c:pt idx="5">
                  <c:v>2015</c:v>
                </c:pt>
                <c:pt idx="6">
                  <c:v>2016</c:v>
                </c:pt>
                <c:pt idx="7">
                  <c:v>2017</c:v>
                </c:pt>
                <c:pt idx="8">
                  <c:v>2018</c:v>
                </c:pt>
                <c:pt idx="9">
                  <c:v>2019</c:v>
                </c:pt>
                <c:pt idx="10">
                  <c:v>2020*</c:v>
                </c:pt>
              </c:strCache>
            </c:strRef>
          </c:cat>
          <c:val>
            <c:numRef>
              <c:f>ActivoxTipoFon!$G$33:$G$43</c:f>
              <c:numCache>
                <c:formatCode>_-* #,##0.0_-;\-* #,##0.0_-;_-* "-"??_-;_-@_-</c:formatCode>
                <c:ptCount val="11"/>
                <c:pt idx="0">
                  <c:v>1.4729985092146101</c:v>
                </c:pt>
                <c:pt idx="1">
                  <c:v>1.6342733009999999</c:v>
                </c:pt>
                <c:pt idx="2">
                  <c:v>1.7682857299999999</c:v>
                </c:pt>
                <c:pt idx="3">
                  <c:v>1.8846139</c:v>
                </c:pt>
                <c:pt idx="4">
                  <c:v>1.9898470124800001</c:v>
                </c:pt>
                <c:pt idx="5">
                  <c:v>2.0740344951358001</c:v>
                </c:pt>
                <c:pt idx="6">
                  <c:v>2.2244389324399001</c:v>
                </c:pt>
                <c:pt idx="7">
                  <c:v>2.4159253760000001</c:v>
                </c:pt>
                <c:pt idx="8">
                  <c:v>2.7003552487618099</c:v>
                </c:pt>
                <c:pt idx="9">
                  <c:v>2.9214915709656499</c:v>
                </c:pt>
                <c:pt idx="10">
                  <c:v>3.0682076621427998</c:v>
                </c:pt>
              </c:numCache>
            </c:numRef>
          </c:val>
          <c:extLst>
            <c:ext xmlns:c16="http://schemas.microsoft.com/office/drawing/2014/chart" uri="{C3380CC4-5D6E-409C-BE32-E72D297353CC}">
              <c16:uniqueId val="{00000005-BA33-4783-A505-043CBD382E31}"/>
            </c:ext>
          </c:extLst>
        </c:ser>
        <c:dLbls>
          <c:showLegendKey val="0"/>
          <c:showVal val="0"/>
          <c:showCatName val="0"/>
          <c:showSerName val="0"/>
          <c:showPercent val="0"/>
          <c:showBubbleSize val="0"/>
        </c:dLbls>
        <c:gapWidth val="75"/>
        <c:overlap val="100"/>
        <c:axId val="1185764736"/>
        <c:axId val="1767790496"/>
      </c:barChart>
      <c:lineChart>
        <c:grouping val="stacked"/>
        <c:varyColors val="0"/>
        <c:ser>
          <c:idx val="5"/>
          <c:order val="6"/>
          <c:tx>
            <c:strRef>
              <c:f>ActivoxTipoFon!$K$32</c:f>
              <c:strCache>
                <c:ptCount val="1"/>
                <c:pt idx="0">
                  <c:v>% del PIB</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dLbl>
              <c:idx val="0"/>
              <c:layout>
                <c:manualLayout>
                  <c:x val="-2.7210880466958721E-2"/>
                  <c:y val="-4.74777448071216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A33-4783-A505-043CBD382E31}"/>
                </c:ext>
              </c:extLst>
            </c:dLbl>
            <c:dLbl>
              <c:idx val="1"/>
              <c:layout>
                <c:manualLayout>
                  <c:x val="-2.9024939164755955E-2"/>
                  <c:y val="-3.9564787339268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A33-4783-A505-043CBD382E31}"/>
                </c:ext>
              </c:extLst>
            </c:dLbl>
            <c:dLbl>
              <c:idx val="2"/>
              <c:layout>
                <c:manualLayout>
                  <c:x val="-3.8095232653742192E-2"/>
                  <c:y val="-4.35212660731948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A33-4783-A505-043CBD382E31}"/>
                </c:ext>
              </c:extLst>
            </c:dLbl>
            <c:dLbl>
              <c:idx val="3"/>
              <c:layout>
                <c:manualLayout>
                  <c:x val="-3.8095232653742254E-2"/>
                  <c:y val="-3.56083086053412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A33-4783-A505-043CBD382E31}"/>
                </c:ext>
              </c:extLst>
            </c:dLbl>
            <c:dLbl>
              <c:idx val="4"/>
              <c:layout>
                <c:manualLayout>
                  <c:x val="-3.0838997862553199E-2"/>
                  <c:y val="-4.35212486737030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A33-4783-A505-043CBD382E31}"/>
                </c:ext>
              </c:extLst>
            </c:dLbl>
            <c:dLbl>
              <c:idx val="5"/>
              <c:layout>
                <c:manualLayout>
                  <c:x val="-3.2653056560350446E-2"/>
                  <c:y val="-4.35212660731948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A33-4783-A505-043CBD382E31}"/>
                </c:ext>
              </c:extLst>
            </c:dLbl>
            <c:dLbl>
              <c:idx val="6"/>
              <c:layout>
                <c:manualLayout>
                  <c:x val="-2.9024939164755955E-2"/>
                  <c:y val="-4.74777448071216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A33-4783-A505-043CBD382E31}"/>
                </c:ext>
              </c:extLst>
            </c:dLbl>
            <c:dLbl>
              <c:idx val="7"/>
              <c:layout>
                <c:manualLayout>
                  <c:x val="-3.7627781252394368E-2"/>
                  <c:y val="-3.86302243075620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A33-4783-A505-043CBD382E31}"/>
                </c:ext>
              </c:extLst>
            </c:dLbl>
            <c:dLbl>
              <c:idx val="8"/>
              <c:layout>
                <c:manualLayout>
                  <c:x val="-3.9441887483005644E-2"/>
                  <c:y val="-3.90973357925481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A33-4783-A505-043CBD382E31}"/>
                </c:ext>
              </c:extLst>
            </c:dLbl>
            <c:dLbl>
              <c:idx val="9"/>
              <c:layout>
                <c:manualLayout>
                  <c:x val="-4.8493709162118565E-2"/>
                  <c:y val="-3.419562601124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A33-4783-A505-043CBD382E31}"/>
                </c:ext>
              </c:extLst>
            </c:dLbl>
            <c:dLbl>
              <c:idx val="10"/>
              <c:layout>
                <c:manualLayout>
                  <c:x val="-3.7178932063227497E-2"/>
                  <c:y val="-2.83109269602746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A33-4783-A505-043CBD382E3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ActivoxTipoFon!$A$33:$A$43</c:f>
              <c:strCache>
                <c:ptCount val="11"/>
                <c:pt idx="0">
                  <c:v>2010</c:v>
                </c:pt>
                <c:pt idx="1">
                  <c:v>2011</c:v>
                </c:pt>
                <c:pt idx="2">
                  <c:v>2012</c:v>
                </c:pt>
                <c:pt idx="3">
                  <c:v>2013</c:v>
                </c:pt>
                <c:pt idx="4">
                  <c:v>2014</c:v>
                </c:pt>
                <c:pt idx="5">
                  <c:v>2015</c:v>
                </c:pt>
                <c:pt idx="6">
                  <c:v>2016</c:v>
                </c:pt>
                <c:pt idx="7">
                  <c:v>2017</c:v>
                </c:pt>
                <c:pt idx="8">
                  <c:v>2018</c:v>
                </c:pt>
                <c:pt idx="9">
                  <c:v>2019</c:v>
                </c:pt>
                <c:pt idx="10">
                  <c:v>2020*</c:v>
                </c:pt>
              </c:strCache>
            </c:strRef>
          </c:cat>
          <c:val>
            <c:numRef>
              <c:f>ActivoxTipoFon!$K$33:$K$43</c:f>
              <c:numCache>
                <c:formatCode>0.0%</c:formatCode>
                <c:ptCount val="11"/>
                <c:pt idx="0">
                  <c:v>0.24499145599009536</c:v>
                </c:pt>
                <c:pt idx="1">
                  <c:v>0.25574243902643268</c:v>
                </c:pt>
                <c:pt idx="2">
                  <c:v>0.27158965671396729</c:v>
                </c:pt>
                <c:pt idx="3">
                  <c:v>0.29580097989038912</c:v>
                </c:pt>
                <c:pt idx="4">
                  <c:v>0.30509756321279607</c:v>
                </c:pt>
                <c:pt idx="5">
                  <c:v>0.3269563739883754</c:v>
                </c:pt>
                <c:pt idx="6">
                  <c:v>0.34019999844597487</c:v>
                </c:pt>
                <c:pt idx="7">
                  <c:v>0.35585854821046636</c:v>
                </c:pt>
                <c:pt idx="8">
                  <c:v>0.37677912323194168</c:v>
                </c:pt>
                <c:pt idx="9">
                  <c:v>0.42489756548833979</c:v>
                </c:pt>
                <c:pt idx="10">
                  <c:v>0.47435859736951153</c:v>
                </c:pt>
              </c:numCache>
            </c:numRef>
          </c:val>
          <c:smooth val="0"/>
          <c:extLst>
            <c:ext xmlns:c16="http://schemas.microsoft.com/office/drawing/2014/chart" uri="{C3380CC4-5D6E-409C-BE32-E72D297353CC}">
              <c16:uniqueId val="{00000011-BA33-4783-A505-043CBD382E31}"/>
            </c:ext>
          </c:extLst>
        </c:ser>
        <c:dLbls>
          <c:showLegendKey val="0"/>
          <c:showVal val="0"/>
          <c:showCatName val="0"/>
          <c:showSerName val="0"/>
          <c:showPercent val="0"/>
          <c:showBubbleSize val="0"/>
        </c:dLbls>
        <c:marker val="1"/>
        <c:smooth val="0"/>
        <c:axId val="1933359712"/>
        <c:axId val="1597076160"/>
      </c:lineChart>
      <c:catAx>
        <c:axId val="11857647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Año</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1767790496"/>
        <c:crosses val="autoZero"/>
        <c:auto val="1"/>
        <c:lblAlgn val="ctr"/>
        <c:lblOffset val="100"/>
        <c:noMultiLvlLbl val="0"/>
      </c:catAx>
      <c:valAx>
        <c:axId val="176779049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Activo en billones de colones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R"/>
            </a:p>
          </c:txPr>
        </c:title>
        <c:numFmt formatCode="_-* #,##0.0_-;\-* #,##0.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1185764736"/>
        <c:crosses val="autoZero"/>
        <c:crossBetween val="between"/>
      </c:valAx>
      <c:valAx>
        <c:axId val="1597076160"/>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Porcentaje del PIB</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R"/>
            </a:p>
          </c:tx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1933359712"/>
        <c:crosses val="max"/>
        <c:crossBetween val="between"/>
      </c:valAx>
      <c:catAx>
        <c:axId val="1933359712"/>
        <c:scaling>
          <c:orientation val="minMax"/>
        </c:scaling>
        <c:delete val="1"/>
        <c:axPos val="b"/>
        <c:numFmt formatCode="General" sourceLinked="1"/>
        <c:majorTickMark val="out"/>
        <c:minorTickMark val="none"/>
        <c:tickLblPos val="nextTo"/>
        <c:crossAx val="1597076160"/>
        <c:crosses val="autoZero"/>
        <c:auto val="1"/>
        <c:lblAlgn val="ctr"/>
        <c:lblOffset val="100"/>
        <c:noMultiLvlLbl val="0"/>
      </c:catAx>
      <c:spPr>
        <a:noFill/>
        <a:ln>
          <a:noFill/>
        </a:ln>
        <a:effectLst/>
      </c:spPr>
    </c:plotArea>
    <c:legend>
      <c:legendPos val="b"/>
      <c:layout>
        <c:manualLayout>
          <c:xMode val="edge"/>
          <c:yMode val="edge"/>
          <c:x val="7.862044692692742E-2"/>
          <c:y val="0.71513166195471856"/>
          <c:w val="0.83187475395936161"/>
          <c:h val="0.2611294656417206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4117C8289EC6846922D7AD0AE758DB1" ma:contentTypeVersion="15" ma:contentTypeDescription="Crear nuevo documento." ma:contentTypeScope="" ma:versionID="b63f3bcf0276a04e22e39c3f0d1614ce">
  <xsd:schema xmlns:xsd="http://www.w3.org/2001/XMLSchema" xmlns:xs="http://www.w3.org/2001/XMLSchema" xmlns:p="http://schemas.microsoft.com/office/2006/metadata/properties" xmlns:ns3="e142e62d-f4b1-4a71-b622-57f775f2bca3" xmlns:ns4="bd473624-898d-45c1-9f2f-d8e776dc9725" targetNamespace="http://schemas.microsoft.com/office/2006/metadata/properties" ma:root="true" ma:fieldsID="aa729d9a8929a85eaaff3f24f849356d" ns3:_="" ns4:_="">
    <xsd:import namespace="e142e62d-f4b1-4a71-b622-57f775f2bca3"/>
    <xsd:import namespace="bd473624-898d-45c1-9f2f-d8e776dc972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2e62d-f4b1-4a71-b622-57f775f2bca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element name="LastSharedByUser" ma:index="11" nillable="true" ma:displayName="Última vez que se compartió por usuario" ma:description="" ma:internalName="LastSharedByUser" ma:readOnly="true">
      <xsd:simpleType>
        <xsd:restriction base="dms:Note">
          <xsd:maxLength value="255"/>
        </xsd:restriction>
      </xsd:simpleType>
    </xsd:element>
    <xsd:element name="LastSharedByTime" ma:index="12"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d473624-898d-45c1-9f2f-d8e776dc972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65F07-94A6-4D63-BEAE-C6F8C3DF1112}">
  <ds:schemaRefs>
    <ds:schemaRef ds:uri="http://schemas.microsoft.com/sharepoint/v3/contenttype/forms"/>
  </ds:schemaRefs>
</ds:datastoreItem>
</file>

<file path=customXml/itemProps2.xml><?xml version="1.0" encoding="utf-8"?>
<ds:datastoreItem xmlns:ds="http://schemas.openxmlformats.org/officeDocument/2006/customXml" ds:itemID="{F85B4269-2719-4891-AB1A-558B33340D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993305-FD24-4F99-8605-167285347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2e62d-f4b1-4a71-b622-57f775f2bca3"/>
    <ds:schemaRef ds:uri="bd473624-898d-45c1-9f2f-d8e776dc9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E70100-5F40-41B5-BA51-F06AB7C16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4986</Words>
  <Characters>27425</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InformeCoyunturaSep2020.docx</vt:lpstr>
    </vt:vector>
  </TitlesOfParts>
  <Company/>
  <LinksUpToDate>false</LinksUpToDate>
  <CharactersWithSpaces>32347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InformeCoyunturaSep2020.docx</dc:title>
  <dc:subject/>
  <dc:creator>CESPEDES LOPEZ DAISY</dc:creator>
  <cp:keywords/>
  <dc:description/>
  <cp:lastModifiedBy>ARIAS GONZALEZ JOSE EZEQUIEL</cp:lastModifiedBy>
  <cp:revision>7</cp:revision>
  <dcterms:created xsi:type="dcterms:W3CDTF">2021-02-12T22:23:00Z</dcterms:created>
  <dcterms:modified xsi:type="dcterms:W3CDTF">2021-02-12T22:25:00Z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0x010100F4117C8289EC6846922D7AD0AE758DB1</vt:lpwstr>
  </property>
</Properties>
</file>