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8283" w14:textId="77777777" w:rsidR="002B6731" w:rsidRPr="00D70332" w:rsidRDefault="002B6731" w:rsidP="00C07436">
      <w:pPr>
        <w:jc w:val="center"/>
        <w:rPr>
          <w:rFonts w:ascii="Segoe UI" w:hAnsi="Segoe UI" w:cs="Segoe UI"/>
        </w:rPr>
      </w:pPr>
      <w:bookmarkStart w:id="0" w:name="_Hlk8031810"/>
      <w:bookmarkEnd w:id="0"/>
      <w:r w:rsidRPr="00D70332">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16C507AC" wp14:editId="1FC40F74">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CCA020D"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40"/>
                                <w:szCs w:val="40"/>
                              </w:rPr>
                            </w:pPr>
                          </w:p>
                          <w:p w14:paraId="3CBD69B7"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40"/>
                                <w:szCs w:val="40"/>
                              </w:rPr>
                            </w:pPr>
                          </w:p>
                          <w:p w14:paraId="498D65C6"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40"/>
                                <w:szCs w:val="40"/>
                              </w:rPr>
                            </w:pPr>
                          </w:p>
                          <w:p w14:paraId="50864408" w14:textId="77777777" w:rsidR="00A62F86" w:rsidRPr="00007611" w:rsidRDefault="00A62F86" w:rsidP="002B6731">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9ECBE59"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32"/>
                                <w:szCs w:val="40"/>
                              </w:rPr>
                            </w:pPr>
                          </w:p>
                          <w:p w14:paraId="1A4F3533" w14:textId="77777777" w:rsidR="00A62F86" w:rsidRPr="00C26828" w:rsidRDefault="00A62F86" w:rsidP="002B6731">
                            <w:pPr>
                              <w:pBdr>
                                <w:left w:val="single" w:sz="4" w:space="9" w:color="4F81BD" w:themeColor="accent1"/>
                              </w:pBdr>
                              <w:rPr>
                                <w:rFonts w:asciiTheme="majorHAnsi" w:eastAsiaTheme="majorEastAsia" w:hAnsiTheme="majorHAnsi" w:cstheme="majorBidi"/>
                                <w:sz w:val="32"/>
                                <w:szCs w:val="40"/>
                              </w:rPr>
                            </w:pPr>
                          </w:p>
                          <w:p w14:paraId="6BB8A956" w14:textId="77777777" w:rsidR="00A62F86" w:rsidRDefault="00A62F86"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264530D8" w14:textId="77777777" w:rsidR="00A62F86" w:rsidRDefault="00A62F86"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476F97D3" w14:textId="77777777" w:rsidR="00A62F86" w:rsidRPr="00AC2538" w:rsidRDefault="00A62F86" w:rsidP="002B6731">
                            <w:pPr>
                              <w:pBdr>
                                <w:left w:val="single" w:sz="4" w:space="9" w:color="4F81BD" w:themeColor="accent1"/>
                              </w:pBdr>
                              <w:jc w:val="center"/>
                              <w:rPr>
                                <w:rFonts w:asciiTheme="majorHAnsi" w:eastAsiaTheme="majorEastAsia" w:hAnsiTheme="majorHAnsi" w:cstheme="majorBidi"/>
                                <w:sz w:val="32"/>
                                <w:szCs w:val="40"/>
                              </w:rPr>
                            </w:pPr>
                          </w:p>
                          <w:p w14:paraId="1F204CD3" w14:textId="77777777" w:rsidR="00A62F86" w:rsidRPr="00AC2538" w:rsidRDefault="00A62F86" w:rsidP="002B6731">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Segundo </w:t>
                            </w:r>
                            <w:r w:rsidRPr="00AC2538">
                              <w:rPr>
                                <w:rFonts w:asciiTheme="majorHAnsi" w:eastAsiaTheme="majorEastAsia" w:hAnsiTheme="majorHAnsi" w:cstheme="majorBidi"/>
                                <w:sz w:val="32"/>
                                <w:szCs w:val="40"/>
                              </w:rPr>
                              <w:t>Trimestre</w:t>
                            </w:r>
                          </w:p>
                          <w:p w14:paraId="353005F5" w14:textId="77777777" w:rsidR="00A62F86" w:rsidRPr="00AC2538" w:rsidRDefault="00A62F86" w:rsidP="002B6731">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20</w:t>
                            </w:r>
                          </w:p>
                          <w:p w14:paraId="0E61508A" w14:textId="77777777" w:rsidR="00A62F86" w:rsidRPr="00AC2538" w:rsidRDefault="00A62F86" w:rsidP="002B6731">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07AC"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0CCA020D"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40"/>
                          <w:szCs w:val="40"/>
                        </w:rPr>
                      </w:pPr>
                    </w:p>
                    <w:p w14:paraId="3CBD69B7"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40"/>
                          <w:szCs w:val="40"/>
                        </w:rPr>
                      </w:pPr>
                    </w:p>
                    <w:p w14:paraId="498D65C6"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40"/>
                          <w:szCs w:val="40"/>
                        </w:rPr>
                      </w:pPr>
                    </w:p>
                    <w:p w14:paraId="50864408" w14:textId="77777777" w:rsidR="00A62F86" w:rsidRPr="00007611" w:rsidRDefault="00A62F86" w:rsidP="002B6731">
                      <w:pPr>
                        <w:pBdr>
                          <w:left w:val="single" w:sz="4" w:space="9" w:color="4F81BD" w:themeColor="accent1"/>
                        </w:pBdr>
                        <w:jc w:val="center"/>
                        <w:rPr>
                          <w:rFonts w:asciiTheme="majorHAnsi" w:eastAsiaTheme="majorEastAsia" w:hAnsiTheme="majorHAnsi" w:cstheme="majorBidi"/>
                          <w:b/>
                          <w:sz w:val="36"/>
                          <w:szCs w:val="40"/>
                        </w:rPr>
                      </w:pPr>
                      <w:r w:rsidRPr="00007611">
                        <w:rPr>
                          <w:rFonts w:asciiTheme="majorHAnsi" w:eastAsiaTheme="majorEastAsia" w:hAnsiTheme="majorHAnsi" w:cstheme="majorBidi"/>
                          <w:b/>
                          <w:sz w:val="36"/>
                          <w:szCs w:val="40"/>
                        </w:rPr>
                        <w:t>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9ECBE59" w14:textId="77777777" w:rsidR="00A62F86" w:rsidRPr="00C26828" w:rsidRDefault="00A62F86" w:rsidP="002B6731">
                      <w:pPr>
                        <w:pBdr>
                          <w:left w:val="single" w:sz="4" w:space="9" w:color="4F81BD" w:themeColor="accent1"/>
                        </w:pBdr>
                        <w:jc w:val="center"/>
                        <w:rPr>
                          <w:rFonts w:asciiTheme="majorHAnsi" w:eastAsiaTheme="majorEastAsia" w:hAnsiTheme="majorHAnsi" w:cstheme="majorBidi"/>
                          <w:sz w:val="32"/>
                          <w:szCs w:val="40"/>
                        </w:rPr>
                      </w:pPr>
                    </w:p>
                    <w:p w14:paraId="1A4F3533" w14:textId="77777777" w:rsidR="00A62F86" w:rsidRPr="00C26828" w:rsidRDefault="00A62F86" w:rsidP="002B6731">
                      <w:pPr>
                        <w:pBdr>
                          <w:left w:val="single" w:sz="4" w:space="9" w:color="4F81BD" w:themeColor="accent1"/>
                        </w:pBdr>
                        <w:rPr>
                          <w:rFonts w:asciiTheme="majorHAnsi" w:eastAsiaTheme="majorEastAsia" w:hAnsiTheme="majorHAnsi" w:cstheme="majorBidi"/>
                          <w:sz w:val="32"/>
                          <w:szCs w:val="40"/>
                        </w:rPr>
                      </w:pPr>
                    </w:p>
                    <w:p w14:paraId="6BB8A956" w14:textId="77777777" w:rsidR="00A62F86" w:rsidRDefault="00A62F86"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264530D8" w14:textId="77777777" w:rsidR="00A62F86" w:rsidRDefault="00A62F86" w:rsidP="002B6731">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476F97D3" w14:textId="77777777" w:rsidR="00A62F86" w:rsidRPr="00AC2538" w:rsidRDefault="00A62F86" w:rsidP="002B6731">
                      <w:pPr>
                        <w:pBdr>
                          <w:left w:val="single" w:sz="4" w:space="9" w:color="4F81BD" w:themeColor="accent1"/>
                        </w:pBdr>
                        <w:jc w:val="center"/>
                        <w:rPr>
                          <w:rFonts w:asciiTheme="majorHAnsi" w:eastAsiaTheme="majorEastAsia" w:hAnsiTheme="majorHAnsi" w:cstheme="majorBidi"/>
                          <w:sz w:val="32"/>
                          <w:szCs w:val="40"/>
                        </w:rPr>
                      </w:pPr>
                    </w:p>
                    <w:p w14:paraId="1F204CD3" w14:textId="77777777" w:rsidR="00A62F86" w:rsidRPr="00AC2538" w:rsidRDefault="00A62F86" w:rsidP="002B6731">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Segundo </w:t>
                      </w:r>
                      <w:r w:rsidRPr="00AC2538">
                        <w:rPr>
                          <w:rFonts w:asciiTheme="majorHAnsi" w:eastAsiaTheme="majorEastAsia" w:hAnsiTheme="majorHAnsi" w:cstheme="majorBidi"/>
                          <w:sz w:val="32"/>
                          <w:szCs w:val="40"/>
                        </w:rPr>
                        <w:t>Trimestre</w:t>
                      </w:r>
                    </w:p>
                    <w:p w14:paraId="353005F5" w14:textId="77777777" w:rsidR="00A62F86" w:rsidRPr="00AC2538" w:rsidRDefault="00A62F86" w:rsidP="002B6731">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20</w:t>
                      </w:r>
                    </w:p>
                    <w:p w14:paraId="0E61508A" w14:textId="77777777" w:rsidR="00A62F86" w:rsidRPr="00AC2538" w:rsidRDefault="00A62F86" w:rsidP="002B6731">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465B6B04" w14:textId="77777777" w:rsidR="002B6731" w:rsidRPr="00D70332" w:rsidRDefault="002B6731" w:rsidP="002B6731">
      <w:pPr>
        <w:rPr>
          <w:rFonts w:ascii="Segoe UI" w:hAnsi="Segoe UI" w:cs="Segoe UI"/>
        </w:rPr>
      </w:pPr>
    </w:p>
    <w:p w14:paraId="3C254ABA" w14:textId="77777777" w:rsidR="002B6731" w:rsidRPr="00D70332" w:rsidRDefault="002B6731" w:rsidP="002B6731">
      <w:pPr>
        <w:rPr>
          <w:rFonts w:ascii="Segoe UI" w:hAnsi="Segoe UI" w:cs="Segoe UI"/>
        </w:rPr>
      </w:pPr>
    </w:p>
    <w:p w14:paraId="7DB085FA" w14:textId="77777777" w:rsidR="002B6731" w:rsidRPr="00D70332" w:rsidRDefault="002B6731" w:rsidP="002B6731">
      <w:pPr>
        <w:rPr>
          <w:rFonts w:ascii="Segoe UI" w:hAnsi="Segoe UI" w:cs="Segoe UI"/>
        </w:rPr>
      </w:pPr>
    </w:p>
    <w:p w14:paraId="7810C1CD" w14:textId="77777777" w:rsidR="002B6731" w:rsidRPr="00D70332" w:rsidRDefault="002B6731" w:rsidP="002B6731">
      <w:pPr>
        <w:rPr>
          <w:rFonts w:ascii="Segoe UI" w:hAnsi="Segoe UI" w:cs="Segoe UI"/>
        </w:rPr>
      </w:pPr>
    </w:p>
    <w:p w14:paraId="35E7CA96" w14:textId="77777777" w:rsidR="002B6731" w:rsidRPr="00D70332" w:rsidRDefault="002B6731" w:rsidP="002B6731">
      <w:pPr>
        <w:rPr>
          <w:rFonts w:ascii="Segoe UI" w:hAnsi="Segoe UI" w:cs="Segoe UI"/>
        </w:rPr>
      </w:pPr>
      <w:r w:rsidRPr="00D70332">
        <w:rPr>
          <w:rFonts w:ascii="Segoe UI" w:hAnsi="Segoe UI" w:cs="Segoe UI"/>
          <w:noProof/>
          <w:lang w:eastAsia="es-ES"/>
        </w:rPr>
        <w:drawing>
          <wp:anchor distT="0" distB="0" distL="114300" distR="114300" simplePos="0" relativeHeight="251658241" behindDoc="1" locked="0" layoutInCell="1" allowOverlap="1" wp14:anchorId="3F9190EF" wp14:editId="4E71F8B7">
            <wp:simplePos x="0" y="0"/>
            <wp:positionH relativeFrom="page">
              <wp:posOffset>161925</wp:posOffset>
            </wp:positionH>
            <wp:positionV relativeFrom="page">
              <wp:posOffset>2381250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1853B2BD" w14:textId="77777777" w:rsidR="002B6731" w:rsidRPr="00D70332" w:rsidRDefault="002B6731" w:rsidP="002B6731">
      <w:pPr>
        <w:rPr>
          <w:rFonts w:ascii="Segoe UI" w:hAnsi="Segoe UI" w:cs="Segoe UI"/>
        </w:rPr>
      </w:pPr>
    </w:p>
    <w:p w14:paraId="4600B16B" w14:textId="77777777" w:rsidR="002B6731" w:rsidRPr="00D70332" w:rsidRDefault="002B6731" w:rsidP="002B6731">
      <w:pPr>
        <w:rPr>
          <w:rFonts w:ascii="Segoe UI" w:hAnsi="Segoe UI" w:cs="Segoe UI"/>
        </w:rPr>
        <w:sectPr w:rsidR="002B6731" w:rsidRPr="00D70332" w:rsidSect="004722B6">
          <w:headerReference w:type="default" r:id="rId12"/>
          <w:footerReference w:type="default" r:id="rId13"/>
          <w:pgSz w:w="12240" w:h="15840"/>
          <w:pgMar w:top="1417" w:right="1701" w:bottom="1417" w:left="1701" w:header="708" w:footer="708" w:gutter="0"/>
          <w:cols w:space="708"/>
          <w:titlePg/>
          <w:docGrid w:linePitch="360"/>
        </w:sectPr>
      </w:pPr>
    </w:p>
    <w:p w14:paraId="23A339D4" w14:textId="77777777" w:rsidR="002B6731" w:rsidRPr="00D70332" w:rsidRDefault="002B6731" w:rsidP="002B6731">
      <w:pPr>
        <w:jc w:val="center"/>
        <w:rPr>
          <w:rFonts w:ascii="Segoe UI" w:hAnsi="Segoe UI" w:cs="Segoe UI"/>
        </w:rPr>
      </w:pPr>
    </w:p>
    <w:p w14:paraId="47EE3954" w14:textId="77777777" w:rsidR="005F5DAD" w:rsidRPr="0093453D" w:rsidRDefault="002B6731" w:rsidP="002B6731">
      <w:pPr>
        <w:pStyle w:val="paragraph"/>
        <w:jc w:val="both"/>
        <w:textAlignment w:val="baseline"/>
        <w:rPr>
          <w:rStyle w:val="eop"/>
          <w:rFonts w:asciiTheme="minorHAnsi" w:hAnsiTheme="minorHAnsi" w:cs="Segoe UI"/>
          <w:sz w:val="22"/>
          <w:szCs w:val="22"/>
          <w:lang w:val="es-ES"/>
        </w:rPr>
      </w:pPr>
      <w:r w:rsidRPr="0093453D">
        <w:rPr>
          <w:rStyle w:val="normaltextrun1"/>
          <w:rFonts w:asciiTheme="minorHAnsi" w:hAnsiTheme="minorHAnsi" w:cs="Segoe UI"/>
          <w:sz w:val="22"/>
          <w:szCs w:val="22"/>
        </w:rPr>
        <w:t xml:space="preserve">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93453D">
          <w:rPr>
            <w:rStyle w:val="normaltextrun1"/>
            <w:rFonts w:asciiTheme="minorHAnsi" w:hAnsiTheme="minorHAnsi" w:cs="Segoe UI"/>
            <w:color w:val="548DD4"/>
            <w:sz w:val="22"/>
            <w:szCs w:val="22"/>
            <w:u w:val="single"/>
          </w:rPr>
          <w:t>Supen@Supen.fi.cr</w:t>
        </w:r>
      </w:hyperlink>
      <w:r w:rsidRPr="0093453D">
        <w:rPr>
          <w:rStyle w:val="eop"/>
          <w:rFonts w:asciiTheme="minorHAnsi" w:hAnsiTheme="minorHAnsi" w:cs="Segoe UI"/>
          <w:sz w:val="22"/>
          <w:szCs w:val="22"/>
          <w:lang w:val="es-ES"/>
        </w:rPr>
        <w:t> </w:t>
      </w:r>
      <w:r w:rsidR="005F5DAD" w:rsidRPr="0093453D">
        <w:rPr>
          <w:rStyle w:val="eop"/>
          <w:rFonts w:asciiTheme="minorHAnsi" w:hAnsiTheme="minorHAnsi" w:cs="Segoe UI"/>
          <w:sz w:val="22"/>
          <w:szCs w:val="22"/>
          <w:lang w:val="es-ES"/>
        </w:rPr>
        <w:br w:type="page"/>
      </w:r>
    </w:p>
    <w:sdt>
      <w:sdtPr>
        <w:rPr>
          <w:rFonts w:asciiTheme="minorHAnsi" w:eastAsiaTheme="minorHAnsi" w:hAnsiTheme="minorHAnsi" w:cstheme="minorBidi"/>
          <w:color w:val="auto"/>
          <w:sz w:val="22"/>
          <w:szCs w:val="22"/>
          <w:lang w:val="es-ES" w:eastAsia="en-US"/>
        </w:rPr>
        <w:id w:val="1721554443"/>
        <w:docPartObj>
          <w:docPartGallery w:val="Table of Contents"/>
          <w:docPartUnique/>
        </w:docPartObj>
      </w:sdtPr>
      <w:sdtEndPr>
        <w:rPr>
          <w:b/>
          <w:bCs/>
        </w:rPr>
      </w:sdtEndPr>
      <w:sdtContent>
        <w:p w14:paraId="191A3804" w14:textId="77777777" w:rsidR="00F27883" w:rsidRDefault="00F27883">
          <w:pPr>
            <w:pStyle w:val="TtuloTDC"/>
          </w:pPr>
          <w:r>
            <w:rPr>
              <w:lang w:val="es-ES"/>
            </w:rPr>
            <w:t>Contenido</w:t>
          </w:r>
        </w:p>
        <w:p w14:paraId="5154F7A4" w14:textId="58890B6E" w:rsidR="00C52D9C" w:rsidRDefault="00F27883">
          <w:pPr>
            <w:pStyle w:val="TDC1"/>
            <w:tabs>
              <w:tab w:val="left" w:pos="440"/>
              <w:tab w:val="right" w:leader="dot" w:pos="8828"/>
            </w:tabs>
            <w:rPr>
              <w:rFonts w:cstheme="minorBidi"/>
              <w:noProof/>
            </w:rPr>
          </w:pPr>
          <w:r>
            <w:fldChar w:fldCharType="begin"/>
          </w:r>
          <w:r>
            <w:instrText xml:space="preserve"> TOC \o "1-3" \h \z \u </w:instrText>
          </w:r>
          <w:r>
            <w:fldChar w:fldCharType="separate"/>
          </w:r>
          <w:hyperlink w:anchor="_Toc50731050" w:history="1">
            <w:r w:rsidR="00C52D9C" w:rsidRPr="005F68D8">
              <w:rPr>
                <w:rStyle w:val="Hipervnculo"/>
                <w:noProof/>
              </w:rPr>
              <w:t>1.</w:t>
            </w:r>
            <w:r w:rsidR="00C52D9C">
              <w:rPr>
                <w:rFonts w:cstheme="minorBidi"/>
                <w:noProof/>
              </w:rPr>
              <w:tab/>
            </w:r>
            <w:r w:rsidR="00C52D9C" w:rsidRPr="005F68D8">
              <w:rPr>
                <w:rStyle w:val="Hipervnculo"/>
                <w:noProof/>
              </w:rPr>
              <w:t>Definiciones</w:t>
            </w:r>
            <w:r w:rsidR="00C52D9C">
              <w:rPr>
                <w:noProof/>
                <w:webHidden/>
              </w:rPr>
              <w:tab/>
            </w:r>
            <w:r w:rsidR="00C52D9C">
              <w:rPr>
                <w:noProof/>
                <w:webHidden/>
              </w:rPr>
              <w:fldChar w:fldCharType="begin"/>
            </w:r>
            <w:r w:rsidR="00C52D9C">
              <w:rPr>
                <w:noProof/>
                <w:webHidden/>
              </w:rPr>
              <w:instrText xml:space="preserve"> PAGEREF _Toc50731050 \h </w:instrText>
            </w:r>
            <w:r w:rsidR="00C52D9C">
              <w:rPr>
                <w:noProof/>
                <w:webHidden/>
              </w:rPr>
            </w:r>
            <w:r w:rsidR="00C52D9C">
              <w:rPr>
                <w:noProof/>
                <w:webHidden/>
              </w:rPr>
              <w:fldChar w:fldCharType="separate"/>
            </w:r>
            <w:r w:rsidR="00C52D9C">
              <w:rPr>
                <w:noProof/>
                <w:webHidden/>
              </w:rPr>
              <w:t>4</w:t>
            </w:r>
            <w:r w:rsidR="00C52D9C">
              <w:rPr>
                <w:noProof/>
                <w:webHidden/>
              </w:rPr>
              <w:fldChar w:fldCharType="end"/>
            </w:r>
          </w:hyperlink>
        </w:p>
        <w:p w14:paraId="43AD232C" w14:textId="56FC8FA6" w:rsidR="00C52D9C" w:rsidRDefault="00732E9F">
          <w:pPr>
            <w:pStyle w:val="TDC1"/>
            <w:tabs>
              <w:tab w:val="left" w:pos="440"/>
              <w:tab w:val="right" w:leader="dot" w:pos="8828"/>
            </w:tabs>
            <w:rPr>
              <w:rFonts w:cstheme="minorBidi"/>
              <w:noProof/>
            </w:rPr>
          </w:pPr>
          <w:hyperlink w:anchor="_Toc50731051" w:history="1">
            <w:r w:rsidR="00C52D9C" w:rsidRPr="005F68D8">
              <w:rPr>
                <w:rStyle w:val="Hipervnculo"/>
                <w:noProof/>
              </w:rPr>
              <w:t>2.</w:t>
            </w:r>
            <w:r w:rsidR="00C52D9C">
              <w:rPr>
                <w:rFonts w:cstheme="minorBidi"/>
                <w:noProof/>
              </w:rPr>
              <w:tab/>
            </w:r>
            <w:r w:rsidR="00C52D9C" w:rsidRPr="005F68D8">
              <w:rPr>
                <w:rStyle w:val="Hipervnculo"/>
                <w:noProof/>
              </w:rPr>
              <w:t>Resumen ejecutivo</w:t>
            </w:r>
            <w:r w:rsidR="00C52D9C">
              <w:rPr>
                <w:noProof/>
                <w:webHidden/>
              </w:rPr>
              <w:tab/>
            </w:r>
            <w:r w:rsidR="00C52D9C">
              <w:rPr>
                <w:noProof/>
                <w:webHidden/>
              </w:rPr>
              <w:fldChar w:fldCharType="begin"/>
            </w:r>
            <w:r w:rsidR="00C52D9C">
              <w:rPr>
                <w:noProof/>
                <w:webHidden/>
              </w:rPr>
              <w:instrText xml:space="preserve"> PAGEREF _Toc50731051 \h </w:instrText>
            </w:r>
            <w:r w:rsidR="00C52D9C">
              <w:rPr>
                <w:noProof/>
                <w:webHidden/>
              </w:rPr>
            </w:r>
            <w:r w:rsidR="00C52D9C">
              <w:rPr>
                <w:noProof/>
                <w:webHidden/>
              </w:rPr>
              <w:fldChar w:fldCharType="separate"/>
            </w:r>
            <w:r w:rsidR="00C52D9C">
              <w:rPr>
                <w:noProof/>
                <w:webHidden/>
              </w:rPr>
              <w:t>5</w:t>
            </w:r>
            <w:r w:rsidR="00C52D9C">
              <w:rPr>
                <w:noProof/>
                <w:webHidden/>
              </w:rPr>
              <w:fldChar w:fldCharType="end"/>
            </w:r>
          </w:hyperlink>
        </w:p>
        <w:p w14:paraId="642B2B98" w14:textId="5B0A5111" w:rsidR="00C52D9C" w:rsidRDefault="00732E9F">
          <w:pPr>
            <w:pStyle w:val="TDC1"/>
            <w:tabs>
              <w:tab w:val="left" w:pos="440"/>
              <w:tab w:val="right" w:leader="dot" w:pos="8828"/>
            </w:tabs>
            <w:rPr>
              <w:rFonts w:cstheme="minorBidi"/>
              <w:noProof/>
            </w:rPr>
          </w:pPr>
          <w:hyperlink w:anchor="_Toc50731052" w:history="1">
            <w:r w:rsidR="00C52D9C" w:rsidRPr="005F68D8">
              <w:rPr>
                <w:rStyle w:val="Hipervnculo"/>
                <w:noProof/>
              </w:rPr>
              <w:t>3.</w:t>
            </w:r>
            <w:r w:rsidR="00C52D9C">
              <w:rPr>
                <w:rFonts w:cstheme="minorBidi"/>
                <w:noProof/>
              </w:rPr>
              <w:tab/>
            </w:r>
            <w:r w:rsidR="00C52D9C" w:rsidRPr="005F68D8">
              <w:rPr>
                <w:rStyle w:val="Hipervnculo"/>
                <w:noProof/>
              </w:rPr>
              <w:t>Introducción</w:t>
            </w:r>
            <w:r w:rsidR="00C52D9C">
              <w:rPr>
                <w:noProof/>
                <w:webHidden/>
              </w:rPr>
              <w:tab/>
            </w:r>
            <w:r w:rsidR="00C52D9C">
              <w:rPr>
                <w:noProof/>
                <w:webHidden/>
              </w:rPr>
              <w:fldChar w:fldCharType="begin"/>
            </w:r>
            <w:r w:rsidR="00C52D9C">
              <w:rPr>
                <w:noProof/>
                <w:webHidden/>
              </w:rPr>
              <w:instrText xml:space="preserve"> PAGEREF _Toc50731052 \h </w:instrText>
            </w:r>
            <w:r w:rsidR="00C52D9C">
              <w:rPr>
                <w:noProof/>
                <w:webHidden/>
              </w:rPr>
            </w:r>
            <w:r w:rsidR="00C52D9C">
              <w:rPr>
                <w:noProof/>
                <w:webHidden/>
              </w:rPr>
              <w:fldChar w:fldCharType="separate"/>
            </w:r>
            <w:r w:rsidR="00C52D9C">
              <w:rPr>
                <w:noProof/>
                <w:webHidden/>
              </w:rPr>
              <w:t>6</w:t>
            </w:r>
            <w:r w:rsidR="00C52D9C">
              <w:rPr>
                <w:noProof/>
                <w:webHidden/>
              </w:rPr>
              <w:fldChar w:fldCharType="end"/>
            </w:r>
          </w:hyperlink>
        </w:p>
        <w:p w14:paraId="67345389" w14:textId="6B6D7B3B" w:rsidR="00C52D9C" w:rsidRDefault="00732E9F">
          <w:pPr>
            <w:pStyle w:val="TDC1"/>
            <w:tabs>
              <w:tab w:val="left" w:pos="440"/>
              <w:tab w:val="right" w:leader="dot" w:pos="8828"/>
            </w:tabs>
            <w:rPr>
              <w:rFonts w:cstheme="minorBidi"/>
              <w:noProof/>
            </w:rPr>
          </w:pPr>
          <w:hyperlink w:anchor="_Toc50731053" w:history="1">
            <w:r w:rsidR="00C52D9C" w:rsidRPr="005F68D8">
              <w:rPr>
                <w:rStyle w:val="Hipervnculo"/>
                <w:noProof/>
              </w:rPr>
              <w:t>4.</w:t>
            </w:r>
            <w:r w:rsidR="00C52D9C">
              <w:rPr>
                <w:rFonts w:cstheme="minorBidi"/>
                <w:noProof/>
              </w:rPr>
              <w:tab/>
            </w:r>
            <w:r w:rsidR="00C52D9C" w:rsidRPr="005F68D8">
              <w:rPr>
                <w:rStyle w:val="Hipervnculo"/>
                <w:noProof/>
              </w:rPr>
              <w:t>Efectos del Covid-19 en los Fondos de pensión</w:t>
            </w:r>
            <w:r w:rsidR="00C52D9C">
              <w:rPr>
                <w:noProof/>
                <w:webHidden/>
              </w:rPr>
              <w:tab/>
            </w:r>
            <w:r w:rsidR="00C52D9C">
              <w:rPr>
                <w:noProof/>
                <w:webHidden/>
              </w:rPr>
              <w:fldChar w:fldCharType="begin"/>
            </w:r>
            <w:r w:rsidR="00C52D9C">
              <w:rPr>
                <w:noProof/>
                <w:webHidden/>
              </w:rPr>
              <w:instrText xml:space="preserve"> PAGEREF _Toc50731053 \h </w:instrText>
            </w:r>
            <w:r w:rsidR="00C52D9C">
              <w:rPr>
                <w:noProof/>
                <w:webHidden/>
              </w:rPr>
            </w:r>
            <w:r w:rsidR="00C52D9C">
              <w:rPr>
                <w:noProof/>
                <w:webHidden/>
              </w:rPr>
              <w:fldChar w:fldCharType="separate"/>
            </w:r>
            <w:r w:rsidR="00C52D9C">
              <w:rPr>
                <w:noProof/>
                <w:webHidden/>
              </w:rPr>
              <w:t>7</w:t>
            </w:r>
            <w:r w:rsidR="00C52D9C">
              <w:rPr>
                <w:noProof/>
                <w:webHidden/>
              </w:rPr>
              <w:fldChar w:fldCharType="end"/>
            </w:r>
          </w:hyperlink>
        </w:p>
        <w:p w14:paraId="5D75AF7F" w14:textId="6DB2EE31" w:rsidR="00C52D9C" w:rsidRDefault="00732E9F">
          <w:pPr>
            <w:pStyle w:val="TDC2"/>
            <w:tabs>
              <w:tab w:val="left" w:pos="880"/>
              <w:tab w:val="right" w:leader="dot" w:pos="8828"/>
            </w:tabs>
            <w:rPr>
              <w:rFonts w:cstheme="minorBidi"/>
              <w:noProof/>
            </w:rPr>
          </w:pPr>
          <w:hyperlink w:anchor="_Toc50731054" w:history="1">
            <w:r w:rsidR="00C52D9C" w:rsidRPr="005F68D8">
              <w:rPr>
                <w:rStyle w:val="Hipervnculo"/>
                <w:noProof/>
              </w:rPr>
              <w:t>4.1.</w:t>
            </w:r>
            <w:r w:rsidR="00C52D9C">
              <w:rPr>
                <w:rFonts w:cstheme="minorBidi"/>
                <w:noProof/>
              </w:rPr>
              <w:tab/>
            </w:r>
            <w:r w:rsidR="00C52D9C" w:rsidRPr="005F68D8">
              <w:rPr>
                <w:rStyle w:val="Hipervnculo"/>
                <w:noProof/>
              </w:rPr>
              <w:t>Acciones implementadas en la supervisión</w:t>
            </w:r>
            <w:r w:rsidR="00C52D9C">
              <w:rPr>
                <w:noProof/>
                <w:webHidden/>
              </w:rPr>
              <w:tab/>
            </w:r>
            <w:r w:rsidR="00C52D9C">
              <w:rPr>
                <w:noProof/>
                <w:webHidden/>
              </w:rPr>
              <w:fldChar w:fldCharType="begin"/>
            </w:r>
            <w:r w:rsidR="00C52D9C">
              <w:rPr>
                <w:noProof/>
                <w:webHidden/>
              </w:rPr>
              <w:instrText xml:space="preserve"> PAGEREF _Toc50731054 \h </w:instrText>
            </w:r>
            <w:r w:rsidR="00C52D9C">
              <w:rPr>
                <w:noProof/>
                <w:webHidden/>
              </w:rPr>
            </w:r>
            <w:r w:rsidR="00C52D9C">
              <w:rPr>
                <w:noProof/>
                <w:webHidden/>
              </w:rPr>
              <w:fldChar w:fldCharType="separate"/>
            </w:r>
            <w:r w:rsidR="00C52D9C">
              <w:rPr>
                <w:noProof/>
                <w:webHidden/>
              </w:rPr>
              <w:t>7</w:t>
            </w:r>
            <w:r w:rsidR="00C52D9C">
              <w:rPr>
                <w:noProof/>
                <w:webHidden/>
              </w:rPr>
              <w:fldChar w:fldCharType="end"/>
            </w:r>
          </w:hyperlink>
        </w:p>
        <w:p w14:paraId="06DA773A" w14:textId="30E2D790" w:rsidR="00C52D9C" w:rsidRDefault="00732E9F">
          <w:pPr>
            <w:pStyle w:val="TDC2"/>
            <w:tabs>
              <w:tab w:val="left" w:pos="880"/>
              <w:tab w:val="right" w:leader="dot" w:pos="8828"/>
            </w:tabs>
            <w:rPr>
              <w:rFonts w:cstheme="minorBidi"/>
              <w:noProof/>
            </w:rPr>
          </w:pPr>
          <w:hyperlink w:anchor="_Toc50731055" w:history="1">
            <w:r w:rsidR="00C52D9C" w:rsidRPr="005F68D8">
              <w:rPr>
                <w:rStyle w:val="Hipervnculo"/>
                <w:noProof/>
              </w:rPr>
              <w:t>4.2.</w:t>
            </w:r>
            <w:r w:rsidR="00C52D9C">
              <w:rPr>
                <w:rFonts w:cstheme="minorBidi"/>
                <w:noProof/>
              </w:rPr>
              <w:tab/>
            </w:r>
            <w:r w:rsidR="00C52D9C" w:rsidRPr="005F68D8">
              <w:rPr>
                <w:rStyle w:val="Hipervnculo"/>
                <w:noProof/>
              </w:rPr>
              <w:t>Impacto del COVID-19 en la recaudación de los fondos</w:t>
            </w:r>
            <w:r w:rsidR="00C52D9C">
              <w:rPr>
                <w:noProof/>
                <w:webHidden/>
              </w:rPr>
              <w:tab/>
            </w:r>
            <w:r w:rsidR="00C52D9C">
              <w:rPr>
                <w:noProof/>
                <w:webHidden/>
              </w:rPr>
              <w:fldChar w:fldCharType="begin"/>
            </w:r>
            <w:r w:rsidR="00C52D9C">
              <w:rPr>
                <w:noProof/>
                <w:webHidden/>
              </w:rPr>
              <w:instrText xml:space="preserve"> PAGEREF _Toc50731055 \h </w:instrText>
            </w:r>
            <w:r w:rsidR="00C52D9C">
              <w:rPr>
                <w:noProof/>
                <w:webHidden/>
              </w:rPr>
            </w:r>
            <w:r w:rsidR="00C52D9C">
              <w:rPr>
                <w:noProof/>
                <w:webHidden/>
              </w:rPr>
              <w:fldChar w:fldCharType="separate"/>
            </w:r>
            <w:r w:rsidR="00C52D9C">
              <w:rPr>
                <w:noProof/>
                <w:webHidden/>
              </w:rPr>
              <w:t>7</w:t>
            </w:r>
            <w:r w:rsidR="00C52D9C">
              <w:rPr>
                <w:noProof/>
                <w:webHidden/>
              </w:rPr>
              <w:fldChar w:fldCharType="end"/>
            </w:r>
          </w:hyperlink>
        </w:p>
        <w:p w14:paraId="061CA89E" w14:textId="52F9C275" w:rsidR="00C52D9C" w:rsidRDefault="00732E9F">
          <w:pPr>
            <w:pStyle w:val="TDC2"/>
            <w:tabs>
              <w:tab w:val="left" w:pos="880"/>
              <w:tab w:val="right" w:leader="dot" w:pos="8828"/>
            </w:tabs>
            <w:rPr>
              <w:rFonts w:cstheme="minorBidi"/>
              <w:noProof/>
            </w:rPr>
          </w:pPr>
          <w:hyperlink w:anchor="_Toc50731056" w:history="1">
            <w:r w:rsidR="00C52D9C" w:rsidRPr="005F68D8">
              <w:rPr>
                <w:rStyle w:val="Hipervnculo"/>
                <w:noProof/>
              </w:rPr>
              <w:t>4.3.</w:t>
            </w:r>
            <w:r w:rsidR="00C52D9C">
              <w:rPr>
                <w:rFonts w:cstheme="minorBidi"/>
                <w:noProof/>
              </w:rPr>
              <w:tab/>
            </w:r>
            <w:r w:rsidR="00C52D9C" w:rsidRPr="005F68D8">
              <w:rPr>
                <w:rStyle w:val="Hipervnculo"/>
                <w:noProof/>
              </w:rPr>
              <w:t>Efectos en Regímenes de Capitalización Individual</w:t>
            </w:r>
            <w:r w:rsidR="00C52D9C">
              <w:rPr>
                <w:noProof/>
                <w:webHidden/>
              </w:rPr>
              <w:tab/>
            </w:r>
            <w:r w:rsidR="00C52D9C">
              <w:rPr>
                <w:noProof/>
                <w:webHidden/>
              </w:rPr>
              <w:fldChar w:fldCharType="begin"/>
            </w:r>
            <w:r w:rsidR="00C52D9C">
              <w:rPr>
                <w:noProof/>
                <w:webHidden/>
              </w:rPr>
              <w:instrText xml:space="preserve"> PAGEREF _Toc50731056 \h </w:instrText>
            </w:r>
            <w:r w:rsidR="00C52D9C">
              <w:rPr>
                <w:noProof/>
                <w:webHidden/>
              </w:rPr>
            </w:r>
            <w:r w:rsidR="00C52D9C">
              <w:rPr>
                <w:noProof/>
                <w:webHidden/>
              </w:rPr>
              <w:fldChar w:fldCharType="separate"/>
            </w:r>
            <w:r w:rsidR="00C52D9C">
              <w:rPr>
                <w:noProof/>
                <w:webHidden/>
              </w:rPr>
              <w:t>7</w:t>
            </w:r>
            <w:r w:rsidR="00C52D9C">
              <w:rPr>
                <w:noProof/>
                <w:webHidden/>
              </w:rPr>
              <w:fldChar w:fldCharType="end"/>
            </w:r>
          </w:hyperlink>
        </w:p>
        <w:p w14:paraId="147D5FE3" w14:textId="1BA1DC97" w:rsidR="00C52D9C" w:rsidRDefault="00732E9F">
          <w:pPr>
            <w:pStyle w:val="TDC3"/>
            <w:tabs>
              <w:tab w:val="left" w:pos="1320"/>
              <w:tab w:val="right" w:leader="dot" w:pos="8828"/>
            </w:tabs>
            <w:rPr>
              <w:rFonts w:cstheme="minorBidi"/>
              <w:noProof/>
            </w:rPr>
          </w:pPr>
          <w:hyperlink w:anchor="_Toc50731057" w:history="1">
            <w:r w:rsidR="00C52D9C" w:rsidRPr="005F68D8">
              <w:rPr>
                <w:rStyle w:val="Hipervnculo"/>
                <w:noProof/>
              </w:rPr>
              <w:t>4.3.1.</w:t>
            </w:r>
            <w:r w:rsidR="00C52D9C">
              <w:rPr>
                <w:rFonts w:cstheme="minorBidi"/>
                <w:noProof/>
              </w:rPr>
              <w:tab/>
            </w:r>
            <w:r w:rsidR="00C52D9C" w:rsidRPr="005F68D8">
              <w:rPr>
                <w:rStyle w:val="Hipervnculo"/>
                <w:noProof/>
              </w:rPr>
              <w:t>Suspensión de los traslados de recursos entre operadoras por libre transferencia</w:t>
            </w:r>
            <w:r w:rsidR="00C52D9C">
              <w:rPr>
                <w:noProof/>
                <w:webHidden/>
              </w:rPr>
              <w:tab/>
            </w:r>
            <w:r w:rsidR="00C52D9C">
              <w:rPr>
                <w:noProof/>
                <w:webHidden/>
              </w:rPr>
              <w:fldChar w:fldCharType="begin"/>
            </w:r>
            <w:r w:rsidR="00C52D9C">
              <w:rPr>
                <w:noProof/>
                <w:webHidden/>
              </w:rPr>
              <w:instrText xml:space="preserve"> PAGEREF _Toc50731057 \h </w:instrText>
            </w:r>
            <w:r w:rsidR="00C52D9C">
              <w:rPr>
                <w:noProof/>
                <w:webHidden/>
              </w:rPr>
            </w:r>
            <w:r w:rsidR="00C52D9C">
              <w:rPr>
                <w:noProof/>
                <w:webHidden/>
              </w:rPr>
              <w:fldChar w:fldCharType="separate"/>
            </w:r>
            <w:r w:rsidR="00C52D9C">
              <w:rPr>
                <w:noProof/>
                <w:webHidden/>
              </w:rPr>
              <w:t>7</w:t>
            </w:r>
            <w:r w:rsidR="00C52D9C">
              <w:rPr>
                <w:noProof/>
                <w:webHidden/>
              </w:rPr>
              <w:fldChar w:fldCharType="end"/>
            </w:r>
          </w:hyperlink>
        </w:p>
        <w:p w14:paraId="28D43A91" w14:textId="2C863CAE" w:rsidR="00C52D9C" w:rsidRDefault="00732E9F">
          <w:pPr>
            <w:pStyle w:val="TDC3"/>
            <w:tabs>
              <w:tab w:val="left" w:pos="1320"/>
              <w:tab w:val="right" w:leader="dot" w:pos="8828"/>
            </w:tabs>
            <w:rPr>
              <w:rFonts w:cstheme="minorBidi"/>
              <w:noProof/>
            </w:rPr>
          </w:pPr>
          <w:hyperlink w:anchor="_Toc50731058" w:history="1">
            <w:r w:rsidR="00C52D9C" w:rsidRPr="005F68D8">
              <w:rPr>
                <w:rStyle w:val="Hipervnculo"/>
                <w:noProof/>
              </w:rPr>
              <w:t>4.3.2.</w:t>
            </w:r>
            <w:r w:rsidR="00C52D9C">
              <w:rPr>
                <w:rFonts w:cstheme="minorBidi"/>
                <w:noProof/>
              </w:rPr>
              <w:tab/>
            </w:r>
            <w:r w:rsidR="00C52D9C" w:rsidRPr="005F68D8">
              <w:rPr>
                <w:rStyle w:val="Hipervnculo"/>
                <w:noProof/>
              </w:rPr>
              <w:t>Retiros FCL por nuevas causales</w:t>
            </w:r>
            <w:r w:rsidR="00C52D9C">
              <w:rPr>
                <w:noProof/>
                <w:webHidden/>
              </w:rPr>
              <w:tab/>
            </w:r>
            <w:r w:rsidR="00C52D9C">
              <w:rPr>
                <w:noProof/>
                <w:webHidden/>
              </w:rPr>
              <w:fldChar w:fldCharType="begin"/>
            </w:r>
            <w:r w:rsidR="00C52D9C">
              <w:rPr>
                <w:noProof/>
                <w:webHidden/>
              </w:rPr>
              <w:instrText xml:space="preserve"> PAGEREF _Toc50731058 \h </w:instrText>
            </w:r>
            <w:r w:rsidR="00C52D9C">
              <w:rPr>
                <w:noProof/>
                <w:webHidden/>
              </w:rPr>
            </w:r>
            <w:r w:rsidR="00C52D9C">
              <w:rPr>
                <w:noProof/>
                <w:webHidden/>
              </w:rPr>
              <w:fldChar w:fldCharType="separate"/>
            </w:r>
            <w:r w:rsidR="00C52D9C">
              <w:rPr>
                <w:noProof/>
                <w:webHidden/>
              </w:rPr>
              <w:t>7</w:t>
            </w:r>
            <w:r w:rsidR="00C52D9C">
              <w:rPr>
                <w:noProof/>
                <w:webHidden/>
              </w:rPr>
              <w:fldChar w:fldCharType="end"/>
            </w:r>
          </w:hyperlink>
        </w:p>
        <w:p w14:paraId="70D7A1DE" w14:textId="7AA02A68" w:rsidR="00C52D9C" w:rsidRDefault="00732E9F">
          <w:pPr>
            <w:pStyle w:val="TDC3"/>
            <w:tabs>
              <w:tab w:val="left" w:pos="1320"/>
              <w:tab w:val="right" w:leader="dot" w:pos="8828"/>
            </w:tabs>
            <w:rPr>
              <w:rFonts w:cstheme="minorBidi"/>
              <w:noProof/>
            </w:rPr>
          </w:pPr>
          <w:hyperlink w:anchor="_Toc50731059" w:history="1">
            <w:r w:rsidR="00C52D9C" w:rsidRPr="005F68D8">
              <w:rPr>
                <w:rStyle w:val="Hipervnculo"/>
                <w:noProof/>
              </w:rPr>
              <w:t>4.3.3.</w:t>
            </w:r>
            <w:r w:rsidR="00C52D9C">
              <w:rPr>
                <w:rFonts w:cstheme="minorBidi"/>
                <w:noProof/>
              </w:rPr>
              <w:tab/>
            </w:r>
            <w:r w:rsidR="00C52D9C" w:rsidRPr="005F68D8">
              <w:rPr>
                <w:rStyle w:val="Hipervnculo"/>
                <w:noProof/>
              </w:rPr>
              <w:t>Registro de la pérdida esperada por riesgo crédito (deterioro)</w:t>
            </w:r>
            <w:r w:rsidR="00C52D9C">
              <w:rPr>
                <w:noProof/>
                <w:webHidden/>
              </w:rPr>
              <w:tab/>
            </w:r>
            <w:r w:rsidR="00C52D9C">
              <w:rPr>
                <w:noProof/>
                <w:webHidden/>
              </w:rPr>
              <w:fldChar w:fldCharType="begin"/>
            </w:r>
            <w:r w:rsidR="00C52D9C">
              <w:rPr>
                <w:noProof/>
                <w:webHidden/>
              </w:rPr>
              <w:instrText xml:space="preserve"> PAGEREF _Toc50731059 \h </w:instrText>
            </w:r>
            <w:r w:rsidR="00C52D9C">
              <w:rPr>
                <w:noProof/>
                <w:webHidden/>
              </w:rPr>
            </w:r>
            <w:r w:rsidR="00C52D9C">
              <w:rPr>
                <w:noProof/>
                <w:webHidden/>
              </w:rPr>
              <w:fldChar w:fldCharType="separate"/>
            </w:r>
            <w:r w:rsidR="00C52D9C">
              <w:rPr>
                <w:noProof/>
                <w:webHidden/>
              </w:rPr>
              <w:t>8</w:t>
            </w:r>
            <w:r w:rsidR="00C52D9C">
              <w:rPr>
                <w:noProof/>
                <w:webHidden/>
              </w:rPr>
              <w:fldChar w:fldCharType="end"/>
            </w:r>
          </w:hyperlink>
        </w:p>
        <w:p w14:paraId="1B69AFA5" w14:textId="7759E5AC" w:rsidR="00C52D9C" w:rsidRDefault="00732E9F">
          <w:pPr>
            <w:pStyle w:val="TDC2"/>
            <w:tabs>
              <w:tab w:val="left" w:pos="880"/>
              <w:tab w:val="right" w:leader="dot" w:pos="8828"/>
            </w:tabs>
            <w:rPr>
              <w:rFonts w:cstheme="minorBidi"/>
              <w:noProof/>
            </w:rPr>
          </w:pPr>
          <w:hyperlink w:anchor="_Toc50731060" w:history="1">
            <w:r w:rsidR="00C52D9C" w:rsidRPr="005F68D8">
              <w:rPr>
                <w:rStyle w:val="Hipervnculo"/>
                <w:noProof/>
              </w:rPr>
              <w:t>4.4.</w:t>
            </w:r>
            <w:r w:rsidR="00C52D9C">
              <w:rPr>
                <w:rFonts w:cstheme="minorBidi"/>
                <w:noProof/>
              </w:rPr>
              <w:tab/>
            </w:r>
            <w:r w:rsidR="00C52D9C" w:rsidRPr="005F68D8">
              <w:rPr>
                <w:rStyle w:val="Hipervnculo"/>
                <w:noProof/>
              </w:rPr>
              <w:t>Efectos en Regímenes de Capitalización Colectiva</w:t>
            </w:r>
            <w:r w:rsidR="00C52D9C">
              <w:rPr>
                <w:noProof/>
                <w:webHidden/>
              </w:rPr>
              <w:tab/>
            </w:r>
            <w:r w:rsidR="00C52D9C">
              <w:rPr>
                <w:noProof/>
                <w:webHidden/>
              </w:rPr>
              <w:fldChar w:fldCharType="begin"/>
            </w:r>
            <w:r w:rsidR="00C52D9C">
              <w:rPr>
                <w:noProof/>
                <w:webHidden/>
              </w:rPr>
              <w:instrText xml:space="preserve"> PAGEREF _Toc50731060 \h </w:instrText>
            </w:r>
            <w:r w:rsidR="00C52D9C">
              <w:rPr>
                <w:noProof/>
                <w:webHidden/>
              </w:rPr>
            </w:r>
            <w:r w:rsidR="00C52D9C">
              <w:rPr>
                <w:noProof/>
                <w:webHidden/>
              </w:rPr>
              <w:fldChar w:fldCharType="separate"/>
            </w:r>
            <w:r w:rsidR="00C52D9C">
              <w:rPr>
                <w:noProof/>
                <w:webHidden/>
              </w:rPr>
              <w:t>8</w:t>
            </w:r>
            <w:r w:rsidR="00C52D9C">
              <w:rPr>
                <w:noProof/>
                <w:webHidden/>
              </w:rPr>
              <w:fldChar w:fldCharType="end"/>
            </w:r>
          </w:hyperlink>
        </w:p>
        <w:p w14:paraId="4084194B" w14:textId="7F23E1AB" w:rsidR="00C52D9C" w:rsidRDefault="00732E9F">
          <w:pPr>
            <w:pStyle w:val="TDC1"/>
            <w:tabs>
              <w:tab w:val="left" w:pos="440"/>
              <w:tab w:val="right" w:leader="dot" w:pos="8828"/>
            </w:tabs>
            <w:rPr>
              <w:rFonts w:cstheme="minorBidi"/>
              <w:noProof/>
            </w:rPr>
          </w:pPr>
          <w:hyperlink w:anchor="_Toc50731061" w:history="1">
            <w:r w:rsidR="00C52D9C" w:rsidRPr="005F68D8">
              <w:rPr>
                <w:rStyle w:val="Hipervnculo"/>
                <w:noProof/>
              </w:rPr>
              <w:t>5.</w:t>
            </w:r>
            <w:r w:rsidR="00C52D9C">
              <w:rPr>
                <w:rFonts w:cstheme="minorBidi"/>
                <w:noProof/>
              </w:rPr>
              <w:tab/>
            </w:r>
            <w:r w:rsidR="00C52D9C" w:rsidRPr="005F68D8">
              <w:rPr>
                <w:rStyle w:val="Hipervnculo"/>
                <w:noProof/>
              </w:rPr>
              <w:t>Estadísticas</w:t>
            </w:r>
            <w:r w:rsidR="00C52D9C">
              <w:rPr>
                <w:noProof/>
                <w:webHidden/>
              </w:rPr>
              <w:tab/>
            </w:r>
            <w:r w:rsidR="00C52D9C">
              <w:rPr>
                <w:noProof/>
                <w:webHidden/>
              </w:rPr>
              <w:fldChar w:fldCharType="begin"/>
            </w:r>
            <w:r w:rsidR="00C52D9C">
              <w:rPr>
                <w:noProof/>
                <w:webHidden/>
              </w:rPr>
              <w:instrText xml:space="preserve"> PAGEREF _Toc50731061 \h </w:instrText>
            </w:r>
            <w:r w:rsidR="00C52D9C">
              <w:rPr>
                <w:noProof/>
                <w:webHidden/>
              </w:rPr>
            </w:r>
            <w:r w:rsidR="00C52D9C">
              <w:rPr>
                <w:noProof/>
                <w:webHidden/>
              </w:rPr>
              <w:fldChar w:fldCharType="separate"/>
            </w:r>
            <w:r w:rsidR="00C52D9C">
              <w:rPr>
                <w:noProof/>
                <w:webHidden/>
              </w:rPr>
              <w:t>9</w:t>
            </w:r>
            <w:r w:rsidR="00C52D9C">
              <w:rPr>
                <w:noProof/>
                <w:webHidden/>
              </w:rPr>
              <w:fldChar w:fldCharType="end"/>
            </w:r>
          </w:hyperlink>
        </w:p>
        <w:p w14:paraId="26CB2F9C" w14:textId="042358D1" w:rsidR="00C52D9C" w:rsidRDefault="00732E9F">
          <w:pPr>
            <w:pStyle w:val="TDC2"/>
            <w:tabs>
              <w:tab w:val="left" w:pos="880"/>
              <w:tab w:val="right" w:leader="dot" w:pos="8828"/>
            </w:tabs>
            <w:rPr>
              <w:rFonts w:cstheme="minorBidi"/>
              <w:noProof/>
            </w:rPr>
          </w:pPr>
          <w:hyperlink w:anchor="_Toc50731062" w:history="1">
            <w:r w:rsidR="00C52D9C" w:rsidRPr="005F68D8">
              <w:rPr>
                <w:rStyle w:val="Hipervnculo"/>
                <w:noProof/>
              </w:rPr>
              <w:t>5.1.</w:t>
            </w:r>
            <w:r w:rsidR="00C52D9C">
              <w:rPr>
                <w:rFonts w:cstheme="minorBidi"/>
                <w:noProof/>
              </w:rPr>
              <w:tab/>
            </w:r>
            <w:r w:rsidR="00C52D9C" w:rsidRPr="005F68D8">
              <w:rPr>
                <w:rStyle w:val="Hipervnculo"/>
                <w:noProof/>
              </w:rPr>
              <w:t>Sistema Nacional de Pensiones</w:t>
            </w:r>
            <w:r w:rsidR="00C52D9C">
              <w:rPr>
                <w:noProof/>
                <w:webHidden/>
              </w:rPr>
              <w:tab/>
            </w:r>
            <w:r w:rsidR="00C52D9C">
              <w:rPr>
                <w:noProof/>
                <w:webHidden/>
              </w:rPr>
              <w:fldChar w:fldCharType="begin"/>
            </w:r>
            <w:r w:rsidR="00C52D9C">
              <w:rPr>
                <w:noProof/>
                <w:webHidden/>
              </w:rPr>
              <w:instrText xml:space="preserve"> PAGEREF _Toc50731062 \h </w:instrText>
            </w:r>
            <w:r w:rsidR="00C52D9C">
              <w:rPr>
                <w:noProof/>
                <w:webHidden/>
              </w:rPr>
            </w:r>
            <w:r w:rsidR="00C52D9C">
              <w:rPr>
                <w:noProof/>
                <w:webHidden/>
              </w:rPr>
              <w:fldChar w:fldCharType="separate"/>
            </w:r>
            <w:r w:rsidR="00C52D9C">
              <w:rPr>
                <w:noProof/>
                <w:webHidden/>
              </w:rPr>
              <w:t>9</w:t>
            </w:r>
            <w:r w:rsidR="00C52D9C">
              <w:rPr>
                <w:noProof/>
                <w:webHidden/>
              </w:rPr>
              <w:fldChar w:fldCharType="end"/>
            </w:r>
          </w:hyperlink>
        </w:p>
        <w:p w14:paraId="5BEE3396" w14:textId="3FE9DE72" w:rsidR="00C52D9C" w:rsidRDefault="00732E9F">
          <w:pPr>
            <w:pStyle w:val="TDC2"/>
            <w:tabs>
              <w:tab w:val="left" w:pos="880"/>
              <w:tab w:val="right" w:leader="dot" w:pos="8828"/>
            </w:tabs>
            <w:rPr>
              <w:rFonts w:cstheme="minorBidi"/>
              <w:noProof/>
            </w:rPr>
          </w:pPr>
          <w:hyperlink w:anchor="_Toc50731063" w:history="1">
            <w:r w:rsidR="00C52D9C" w:rsidRPr="005F68D8">
              <w:rPr>
                <w:rStyle w:val="Hipervnculo"/>
                <w:noProof/>
              </w:rPr>
              <w:t>5.2.</w:t>
            </w:r>
            <w:r w:rsidR="00C52D9C">
              <w:rPr>
                <w:rFonts w:cstheme="minorBidi"/>
                <w:noProof/>
              </w:rPr>
              <w:tab/>
            </w:r>
            <w:r w:rsidR="00C52D9C" w:rsidRPr="005F68D8">
              <w:rPr>
                <w:rStyle w:val="Hipervnculo"/>
                <w:noProof/>
              </w:rPr>
              <w:t>Activos administrados</w:t>
            </w:r>
            <w:r w:rsidR="00C52D9C">
              <w:rPr>
                <w:noProof/>
                <w:webHidden/>
              </w:rPr>
              <w:tab/>
            </w:r>
            <w:r w:rsidR="00C52D9C">
              <w:rPr>
                <w:noProof/>
                <w:webHidden/>
              </w:rPr>
              <w:fldChar w:fldCharType="begin"/>
            </w:r>
            <w:r w:rsidR="00C52D9C">
              <w:rPr>
                <w:noProof/>
                <w:webHidden/>
              </w:rPr>
              <w:instrText xml:space="preserve"> PAGEREF _Toc50731063 \h </w:instrText>
            </w:r>
            <w:r w:rsidR="00C52D9C">
              <w:rPr>
                <w:noProof/>
                <w:webHidden/>
              </w:rPr>
            </w:r>
            <w:r w:rsidR="00C52D9C">
              <w:rPr>
                <w:noProof/>
                <w:webHidden/>
              </w:rPr>
              <w:fldChar w:fldCharType="separate"/>
            </w:r>
            <w:r w:rsidR="00C52D9C">
              <w:rPr>
                <w:noProof/>
                <w:webHidden/>
              </w:rPr>
              <w:t>9</w:t>
            </w:r>
            <w:r w:rsidR="00C52D9C">
              <w:rPr>
                <w:noProof/>
                <w:webHidden/>
              </w:rPr>
              <w:fldChar w:fldCharType="end"/>
            </w:r>
          </w:hyperlink>
        </w:p>
        <w:p w14:paraId="5C3DD902" w14:textId="6644325C" w:rsidR="00C52D9C" w:rsidRDefault="00732E9F">
          <w:pPr>
            <w:pStyle w:val="TDC2"/>
            <w:tabs>
              <w:tab w:val="left" w:pos="880"/>
              <w:tab w:val="right" w:leader="dot" w:pos="8828"/>
            </w:tabs>
            <w:rPr>
              <w:rFonts w:cstheme="minorBidi"/>
              <w:noProof/>
            </w:rPr>
          </w:pPr>
          <w:hyperlink w:anchor="_Toc50731064" w:history="1">
            <w:r w:rsidR="00C52D9C" w:rsidRPr="005F68D8">
              <w:rPr>
                <w:rStyle w:val="Hipervnculo"/>
                <w:noProof/>
              </w:rPr>
              <w:t>5.3.</w:t>
            </w:r>
            <w:r w:rsidR="00C52D9C">
              <w:rPr>
                <w:rFonts w:cstheme="minorBidi"/>
                <w:noProof/>
              </w:rPr>
              <w:tab/>
            </w:r>
            <w:r w:rsidR="00C52D9C" w:rsidRPr="005F68D8">
              <w:rPr>
                <w:rStyle w:val="Hipervnculo"/>
                <w:noProof/>
              </w:rPr>
              <w:t>Inversiones</w:t>
            </w:r>
            <w:r w:rsidR="00C52D9C">
              <w:rPr>
                <w:noProof/>
                <w:webHidden/>
              </w:rPr>
              <w:tab/>
            </w:r>
            <w:r w:rsidR="00C52D9C">
              <w:rPr>
                <w:noProof/>
                <w:webHidden/>
              </w:rPr>
              <w:fldChar w:fldCharType="begin"/>
            </w:r>
            <w:r w:rsidR="00C52D9C">
              <w:rPr>
                <w:noProof/>
                <w:webHidden/>
              </w:rPr>
              <w:instrText xml:space="preserve"> PAGEREF _Toc50731064 \h </w:instrText>
            </w:r>
            <w:r w:rsidR="00C52D9C">
              <w:rPr>
                <w:noProof/>
                <w:webHidden/>
              </w:rPr>
            </w:r>
            <w:r w:rsidR="00C52D9C">
              <w:rPr>
                <w:noProof/>
                <w:webHidden/>
              </w:rPr>
              <w:fldChar w:fldCharType="separate"/>
            </w:r>
            <w:r w:rsidR="00C52D9C">
              <w:rPr>
                <w:noProof/>
                <w:webHidden/>
              </w:rPr>
              <w:t>10</w:t>
            </w:r>
            <w:r w:rsidR="00C52D9C">
              <w:rPr>
                <w:noProof/>
                <w:webHidden/>
              </w:rPr>
              <w:fldChar w:fldCharType="end"/>
            </w:r>
          </w:hyperlink>
        </w:p>
        <w:p w14:paraId="4BBB018F" w14:textId="16A11CF1" w:rsidR="00C52D9C" w:rsidRDefault="00732E9F">
          <w:pPr>
            <w:pStyle w:val="TDC2"/>
            <w:tabs>
              <w:tab w:val="left" w:pos="880"/>
              <w:tab w:val="right" w:leader="dot" w:pos="8828"/>
            </w:tabs>
            <w:rPr>
              <w:rFonts w:cstheme="minorBidi"/>
              <w:noProof/>
            </w:rPr>
          </w:pPr>
          <w:hyperlink w:anchor="_Toc50731065" w:history="1">
            <w:r w:rsidR="00C52D9C" w:rsidRPr="005F68D8">
              <w:rPr>
                <w:rStyle w:val="Hipervnculo"/>
                <w:noProof/>
              </w:rPr>
              <w:t>5.4.</w:t>
            </w:r>
            <w:r w:rsidR="00C52D9C">
              <w:rPr>
                <w:rFonts w:cstheme="minorBidi"/>
                <w:noProof/>
              </w:rPr>
              <w:tab/>
            </w:r>
            <w:r w:rsidR="00C52D9C" w:rsidRPr="005F68D8">
              <w:rPr>
                <w:rStyle w:val="Hipervnculo"/>
                <w:noProof/>
              </w:rPr>
              <w:t>Disponibilidades</w:t>
            </w:r>
            <w:r w:rsidR="00C52D9C">
              <w:rPr>
                <w:noProof/>
                <w:webHidden/>
              </w:rPr>
              <w:tab/>
            </w:r>
            <w:r w:rsidR="00C52D9C">
              <w:rPr>
                <w:noProof/>
                <w:webHidden/>
              </w:rPr>
              <w:fldChar w:fldCharType="begin"/>
            </w:r>
            <w:r w:rsidR="00C52D9C">
              <w:rPr>
                <w:noProof/>
                <w:webHidden/>
              </w:rPr>
              <w:instrText xml:space="preserve"> PAGEREF _Toc50731065 \h </w:instrText>
            </w:r>
            <w:r w:rsidR="00C52D9C">
              <w:rPr>
                <w:noProof/>
                <w:webHidden/>
              </w:rPr>
            </w:r>
            <w:r w:rsidR="00C52D9C">
              <w:rPr>
                <w:noProof/>
                <w:webHidden/>
              </w:rPr>
              <w:fldChar w:fldCharType="separate"/>
            </w:r>
            <w:r w:rsidR="00C52D9C">
              <w:rPr>
                <w:noProof/>
                <w:webHidden/>
              </w:rPr>
              <w:t>11</w:t>
            </w:r>
            <w:r w:rsidR="00C52D9C">
              <w:rPr>
                <w:noProof/>
                <w:webHidden/>
              </w:rPr>
              <w:fldChar w:fldCharType="end"/>
            </w:r>
          </w:hyperlink>
        </w:p>
        <w:p w14:paraId="6037B100" w14:textId="00EF9691" w:rsidR="00C52D9C" w:rsidRDefault="00732E9F">
          <w:pPr>
            <w:pStyle w:val="TDC2"/>
            <w:tabs>
              <w:tab w:val="left" w:pos="880"/>
              <w:tab w:val="right" w:leader="dot" w:pos="8828"/>
            </w:tabs>
            <w:rPr>
              <w:rFonts w:cstheme="minorBidi"/>
              <w:noProof/>
            </w:rPr>
          </w:pPr>
          <w:hyperlink w:anchor="_Toc50731066" w:history="1">
            <w:r w:rsidR="00C52D9C" w:rsidRPr="005F68D8">
              <w:rPr>
                <w:rStyle w:val="Hipervnculo"/>
                <w:noProof/>
              </w:rPr>
              <w:t>5.5.</w:t>
            </w:r>
            <w:r w:rsidR="00C52D9C">
              <w:rPr>
                <w:rFonts w:cstheme="minorBidi"/>
                <w:noProof/>
              </w:rPr>
              <w:tab/>
            </w:r>
            <w:r w:rsidR="00C52D9C" w:rsidRPr="005F68D8">
              <w:rPr>
                <w:rStyle w:val="Hipervnculo"/>
                <w:noProof/>
              </w:rPr>
              <w:t>Rentabilidad</w:t>
            </w:r>
            <w:r w:rsidR="00C52D9C">
              <w:rPr>
                <w:noProof/>
                <w:webHidden/>
              </w:rPr>
              <w:tab/>
            </w:r>
            <w:r w:rsidR="00C52D9C">
              <w:rPr>
                <w:noProof/>
                <w:webHidden/>
              </w:rPr>
              <w:fldChar w:fldCharType="begin"/>
            </w:r>
            <w:r w:rsidR="00C52D9C">
              <w:rPr>
                <w:noProof/>
                <w:webHidden/>
              </w:rPr>
              <w:instrText xml:space="preserve"> PAGEREF _Toc50731066 \h </w:instrText>
            </w:r>
            <w:r w:rsidR="00C52D9C">
              <w:rPr>
                <w:noProof/>
                <w:webHidden/>
              </w:rPr>
            </w:r>
            <w:r w:rsidR="00C52D9C">
              <w:rPr>
                <w:noProof/>
                <w:webHidden/>
              </w:rPr>
              <w:fldChar w:fldCharType="separate"/>
            </w:r>
            <w:r w:rsidR="00C52D9C">
              <w:rPr>
                <w:noProof/>
                <w:webHidden/>
              </w:rPr>
              <w:t>12</w:t>
            </w:r>
            <w:r w:rsidR="00C52D9C">
              <w:rPr>
                <w:noProof/>
                <w:webHidden/>
              </w:rPr>
              <w:fldChar w:fldCharType="end"/>
            </w:r>
          </w:hyperlink>
        </w:p>
        <w:p w14:paraId="538E35F9" w14:textId="1BA38D27" w:rsidR="00C52D9C" w:rsidRDefault="00732E9F">
          <w:pPr>
            <w:pStyle w:val="TDC1"/>
            <w:tabs>
              <w:tab w:val="left" w:pos="440"/>
              <w:tab w:val="right" w:leader="dot" w:pos="8828"/>
            </w:tabs>
            <w:rPr>
              <w:rFonts w:cstheme="minorBidi"/>
              <w:noProof/>
            </w:rPr>
          </w:pPr>
          <w:hyperlink w:anchor="_Toc50731067" w:history="1">
            <w:r w:rsidR="00C52D9C" w:rsidRPr="005F68D8">
              <w:rPr>
                <w:rStyle w:val="Hipervnculo"/>
                <w:noProof/>
              </w:rPr>
              <w:t>6.</w:t>
            </w:r>
            <w:r w:rsidR="00C52D9C">
              <w:rPr>
                <w:rFonts w:cstheme="minorBidi"/>
                <w:noProof/>
              </w:rPr>
              <w:tab/>
            </w:r>
            <w:r w:rsidR="00C52D9C" w:rsidRPr="005F68D8">
              <w:rPr>
                <w:rStyle w:val="Hipervnculo"/>
                <w:noProof/>
              </w:rPr>
              <w:t>Aspectos jurídicos relevantes</w:t>
            </w:r>
            <w:r w:rsidR="00C52D9C">
              <w:rPr>
                <w:noProof/>
                <w:webHidden/>
              </w:rPr>
              <w:tab/>
            </w:r>
            <w:r w:rsidR="00C52D9C">
              <w:rPr>
                <w:noProof/>
                <w:webHidden/>
              </w:rPr>
              <w:fldChar w:fldCharType="begin"/>
            </w:r>
            <w:r w:rsidR="00C52D9C">
              <w:rPr>
                <w:noProof/>
                <w:webHidden/>
              </w:rPr>
              <w:instrText xml:space="preserve"> PAGEREF _Toc50731067 \h </w:instrText>
            </w:r>
            <w:r w:rsidR="00C52D9C">
              <w:rPr>
                <w:noProof/>
                <w:webHidden/>
              </w:rPr>
            </w:r>
            <w:r w:rsidR="00C52D9C">
              <w:rPr>
                <w:noProof/>
                <w:webHidden/>
              </w:rPr>
              <w:fldChar w:fldCharType="separate"/>
            </w:r>
            <w:r w:rsidR="00C52D9C">
              <w:rPr>
                <w:noProof/>
                <w:webHidden/>
              </w:rPr>
              <w:t>14</w:t>
            </w:r>
            <w:r w:rsidR="00C52D9C">
              <w:rPr>
                <w:noProof/>
                <w:webHidden/>
              </w:rPr>
              <w:fldChar w:fldCharType="end"/>
            </w:r>
          </w:hyperlink>
        </w:p>
        <w:p w14:paraId="11B97DA8" w14:textId="76A7BB3A" w:rsidR="00C52D9C" w:rsidRDefault="00732E9F">
          <w:pPr>
            <w:pStyle w:val="TDC1"/>
            <w:tabs>
              <w:tab w:val="left" w:pos="440"/>
              <w:tab w:val="right" w:leader="dot" w:pos="8828"/>
            </w:tabs>
            <w:rPr>
              <w:rFonts w:cstheme="minorBidi"/>
              <w:noProof/>
            </w:rPr>
          </w:pPr>
          <w:hyperlink w:anchor="_Toc50731068" w:history="1">
            <w:r w:rsidR="00C52D9C" w:rsidRPr="005F68D8">
              <w:rPr>
                <w:rStyle w:val="Hipervnculo"/>
                <w:noProof/>
              </w:rPr>
              <w:t>7.</w:t>
            </w:r>
            <w:r w:rsidR="00C52D9C">
              <w:rPr>
                <w:rFonts w:cstheme="minorBidi"/>
                <w:noProof/>
              </w:rPr>
              <w:tab/>
            </w:r>
            <w:r w:rsidR="00C52D9C" w:rsidRPr="005F68D8">
              <w:rPr>
                <w:rStyle w:val="Hipervnculo"/>
                <w:noProof/>
              </w:rPr>
              <w:t>Proyectos de Ley</w:t>
            </w:r>
            <w:r w:rsidR="00C52D9C">
              <w:rPr>
                <w:noProof/>
                <w:webHidden/>
              </w:rPr>
              <w:tab/>
            </w:r>
            <w:r w:rsidR="00C52D9C">
              <w:rPr>
                <w:noProof/>
                <w:webHidden/>
              </w:rPr>
              <w:fldChar w:fldCharType="begin"/>
            </w:r>
            <w:r w:rsidR="00C52D9C">
              <w:rPr>
                <w:noProof/>
                <w:webHidden/>
              </w:rPr>
              <w:instrText xml:space="preserve"> PAGEREF _Toc50731068 \h </w:instrText>
            </w:r>
            <w:r w:rsidR="00C52D9C">
              <w:rPr>
                <w:noProof/>
                <w:webHidden/>
              </w:rPr>
            </w:r>
            <w:r w:rsidR="00C52D9C">
              <w:rPr>
                <w:noProof/>
                <w:webHidden/>
              </w:rPr>
              <w:fldChar w:fldCharType="separate"/>
            </w:r>
            <w:r w:rsidR="00C52D9C">
              <w:rPr>
                <w:noProof/>
                <w:webHidden/>
              </w:rPr>
              <w:t>15</w:t>
            </w:r>
            <w:r w:rsidR="00C52D9C">
              <w:rPr>
                <w:noProof/>
                <w:webHidden/>
              </w:rPr>
              <w:fldChar w:fldCharType="end"/>
            </w:r>
          </w:hyperlink>
        </w:p>
        <w:p w14:paraId="14165499" w14:textId="77B564CD" w:rsidR="00C52D9C" w:rsidRDefault="00732E9F">
          <w:pPr>
            <w:pStyle w:val="TDC1"/>
            <w:tabs>
              <w:tab w:val="left" w:pos="440"/>
              <w:tab w:val="right" w:leader="dot" w:pos="8828"/>
            </w:tabs>
            <w:rPr>
              <w:rFonts w:cstheme="minorBidi"/>
              <w:noProof/>
            </w:rPr>
          </w:pPr>
          <w:hyperlink w:anchor="_Toc50731069" w:history="1">
            <w:r w:rsidR="00C52D9C" w:rsidRPr="005F68D8">
              <w:rPr>
                <w:rStyle w:val="Hipervnculo"/>
                <w:noProof/>
              </w:rPr>
              <w:t>8.</w:t>
            </w:r>
            <w:r w:rsidR="00C52D9C">
              <w:rPr>
                <w:rFonts w:cstheme="minorBidi"/>
                <w:noProof/>
              </w:rPr>
              <w:tab/>
            </w:r>
            <w:r w:rsidR="00C52D9C" w:rsidRPr="005F68D8">
              <w:rPr>
                <w:rStyle w:val="Hipervnculo"/>
                <w:noProof/>
              </w:rPr>
              <w:t>Acuerdos del Superintendente</w:t>
            </w:r>
            <w:r w:rsidR="00C52D9C">
              <w:rPr>
                <w:noProof/>
                <w:webHidden/>
              </w:rPr>
              <w:tab/>
            </w:r>
            <w:r w:rsidR="00C52D9C">
              <w:rPr>
                <w:noProof/>
                <w:webHidden/>
              </w:rPr>
              <w:fldChar w:fldCharType="begin"/>
            </w:r>
            <w:r w:rsidR="00C52D9C">
              <w:rPr>
                <w:noProof/>
                <w:webHidden/>
              </w:rPr>
              <w:instrText xml:space="preserve"> PAGEREF _Toc50731069 \h </w:instrText>
            </w:r>
            <w:r w:rsidR="00C52D9C">
              <w:rPr>
                <w:noProof/>
                <w:webHidden/>
              </w:rPr>
            </w:r>
            <w:r w:rsidR="00C52D9C">
              <w:rPr>
                <w:noProof/>
                <w:webHidden/>
              </w:rPr>
              <w:fldChar w:fldCharType="separate"/>
            </w:r>
            <w:r w:rsidR="00C52D9C">
              <w:rPr>
                <w:noProof/>
                <w:webHidden/>
              </w:rPr>
              <w:t>17</w:t>
            </w:r>
            <w:r w:rsidR="00C52D9C">
              <w:rPr>
                <w:noProof/>
                <w:webHidden/>
              </w:rPr>
              <w:fldChar w:fldCharType="end"/>
            </w:r>
          </w:hyperlink>
        </w:p>
        <w:p w14:paraId="37B83EC2" w14:textId="432A0DD5" w:rsidR="00C52D9C" w:rsidRDefault="00732E9F">
          <w:pPr>
            <w:pStyle w:val="TDC1"/>
            <w:tabs>
              <w:tab w:val="left" w:pos="440"/>
              <w:tab w:val="right" w:leader="dot" w:pos="8828"/>
            </w:tabs>
            <w:rPr>
              <w:rFonts w:cstheme="minorBidi"/>
              <w:noProof/>
            </w:rPr>
          </w:pPr>
          <w:hyperlink w:anchor="_Toc50731070" w:history="1">
            <w:r w:rsidR="00C52D9C" w:rsidRPr="005F68D8">
              <w:rPr>
                <w:rStyle w:val="Hipervnculo"/>
                <w:noProof/>
              </w:rPr>
              <w:t>9.</w:t>
            </w:r>
            <w:r w:rsidR="00C52D9C">
              <w:rPr>
                <w:rFonts w:cstheme="minorBidi"/>
                <w:noProof/>
              </w:rPr>
              <w:tab/>
            </w:r>
            <w:r w:rsidR="00C52D9C" w:rsidRPr="005F68D8">
              <w:rPr>
                <w:rStyle w:val="Hipervnculo"/>
                <w:noProof/>
              </w:rPr>
              <w:t>Proyectos Normativos</w:t>
            </w:r>
            <w:r w:rsidR="00C52D9C">
              <w:rPr>
                <w:noProof/>
                <w:webHidden/>
              </w:rPr>
              <w:tab/>
            </w:r>
            <w:r w:rsidR="00C52D9C">
              <w:rPr>
                <w:noProof/>
                <w:webHidden/>
              </w:rPr>
              <w:fldChar w:fldCharType="begin"/>
            </w:r>
            <w:r w:rsidR="00C52D9C">
              <w:rPr>
                <w:noProof/>
                <w:webHidden/>
              </w:rPr>
              <w:instrText xml:space="preserve"> PAGEREF _Toc50731070 \h </w:instrText>
            </w:r>
            <w:r w:rsidR="00C52D9C">
              <w:rPr>
                <w:noProof/>
                <w:webHidden/>
              </w:rPr>
            </w:r>
            <w:r w:rsidR="00C52D9C">
              <w:rPr>
                <w:noProof/>
                <w:webHidden/>
              </w:rPr>
              <w:fldChar w:fldCharType="separate"/>
            </w:r>
            <w:r w:rsidR="00C52D9C">
              <w:rPr>
                <w:noProof/>
                <w:webHidden/>
              </w:rPr>
              <w:t>18</w:t>
            </w:r>
            <w:r w:rsidR="00C52D9C">
              <w:rPr>
                <w:noProof/>
                <w:webHidden/>
              </w:rPr>
              <w:fldChar w:fldCharType="end"/>
            </w:r>
          </w:hyperlink>
        </w:p>
        <w:p w14:paraId="414779CF" w14:textId="324C75C3" w:rsidR="00F27883" w:rsidRDefault="00F27883">
          <w:r>
            <w:rPr>
              <w:b/>
              <w:bCs/>
            </w:rPr>
            <w:fldChar w:fldCharType="end"/>
          </w:r>
        </w:p>
      </w:sdtContent>
    </w:sdt>
    <w:p w14:paraId="6E18C9FF" w14:textId="77777777" w:rsidR="002518C9" w:rsidRDefault="002518C9">
      <w:pPr>
        <w:rPr>
          <w:rFonts w:asciiTheme="majorHAnsi" w:eastAsiaTheme="majorEastAsia" w:hAnsiTheme="majorHAnsi" w:cstheme="majorBidi"/>
          <w:color w:val="365F91" w:themeColor="accent1" w:themeShade="BF"/>
          <w:sz w:val="32"/>
          <w:szCs w:val="32"/>
        </w:rPr>
      </w:pPr>
    </w:p>
    <w:p w14:paraId="480A26A2" w14:textId="77777777" w:rsidR="008C0B7D" w:rsidRDefault="008C0B7D">
      <w:pPr>
        <w:rPr>
          <w:rFonts w:asciiTheme="majorHAnsi" w:eastAsiaTheme="majorEastAsia" w:hAnsiTheme="majorHAnsi" w:cstheme="majorBidi"/>
          <w:color w:val="365F91" w:themeColor="accent1" w:themeShade="BF"/>
          <w:sz w:val="32"/>
          <w:szCs w:val="32"/>
        </w:rPr>
      </w:pPr>
    </w:p>
    <w:p w14:paraId="4878FD60" w14:textId="3DC9477B" w:rsidR="008C0B7D" w:rsidRDefault="008C0B7D">
      <w:pPr>
        <w:rPr>
          <w:rFonts w:asciiTheme="majorHAnsi" w:eastAsiaTheme="majorEastAsia" w:hAnsiTheme="majorHAnsi" w:cstheme="majorBidi"/>
          <w:color w:val="365F91" w:themeColor="accent1" w:themeShade="BF"/>
          <w:sz w:val="32"/>
          <w:szCs w:val="32"/>
        </w:rPr>
      </w:pPr>
    </w:p>
    <w:p w14:paraId="6DC800DD" w14:textId="74912A99" w:rsidR="00C52D9C" w:rsidRDefault="00C52D9C">
      <w:pPr>
        <w:rPr>
          <w:rFonts w:asciiTheme="majorHAnsi" w:eastAsiaTheme="majorEastAsia" w:hAnsiTheme="majorHAnsi" w:cstheme="majorBidi"/>
          <w:color w:val="365F91" w:themeColor="accent1" w:themeShade="BF"/>
          <w:sz w:val="32"/>
          <w:szCs w:val="32"/>
        </w:rPr>
      </w:pPr>
    </w:p>
    <w:p w14:paraId="001C181C" w14:textId="77777777" w:rsidR="00C52D9C" w:rsidRDefault="00C52D9C">
      <w:pPr>
        <w:rPr>
          <w:rFonts w:asciiTheme="majorHAnsi" w:eastAsiaTheme="majorEastAsia" w:hAnsiTheme="majorHAnsi" w:cstheme="majorBidi"/>
          <w:color w:val="365F91" w:themeColor="accent1" w:themeShade="BF"/>
          <w:sz w:val="32"/>
          <w:szCs w:val="32"/>
        </w:rPr>
      </w:pPr>
    </w:p>
    <w:p w14:paraId="649D349F" w14:textId="77777777" w:rsidR="00C01A6B" w:rsidRDefault="00C01A6B" w:rsidP="00C01A6B">
      <w:pPr>
        <w:pStyle w:val="Ttulo1"/>
        <w:numPr>
          <w:ilvl w:val="0"/>
          <w:numId w:val="2"/>
        </w:numPr>
      </w:pPr>
      <w:bookmarkStart w:id="1" w:name="_Toc50731050"/>
      <w:r>
        <w:lastRenderedPageBreak/>
        <w:t>Definiciones</w:t>
      </w:r>
      <w:bookmarkEnd w:id="1"/>
    </w:p>
    <w:p w14:paraId="7DF8B56A" w14:textId="77777777" w:rsidR="00C01A6B" w:rsidRDefault="00C01A6B" w:rsidP="008C0B7D">
      <w:pPr>
        <w:spacing w:after="0" w:line="240" w:lineRule="auto"/>
        <w:jc w:val="both"/>
        <w:rPr>
          <w:rFonts w:ascii="Calibri" w:eastAsia="Times New Roman" w:hAnsi="Calibri" w:cs="Calibri"/>
          <w:color w:val="000000"/>
          <w:lang w:val="es-CR" w:eastAsia="es-CR"/>
        </w:rPr>
      </w:pPr>
    </w:p>
    <w:p w14:paraId="495494CD" w14:textId="77777777" w:rsidR="008C0B7D" w:rsidRDefault="008C0B7D" w:rsidP="008C0B7D">
      <w:pPr>
        <w:spacing w:after="0" w:line="240" w:lineRule="auto"/>
        <w:jc w:val="both"/>
        <w:rPr>
          <w:rFonts w:ascii="Calibri" w:eastAsia="Times New Roman" w:hAnsi="Calibri" w:cs="Calibri"/>
          <w:color w:val="000000"/>
          <w:lang w:val="es-CR" w:eastAsia="es-CR"/>
        </w:rPr>
      </w:pPr>
      <w:r w:rsidRPr="008C0B7D">
        <w:rPr>
          <w:rFonts w:ascii="Calibri" w:eastAsia="Times New Roman" w:hAnsi="Calibri" w:cs="Calibri"/>
          <w:color w:val="000000"/>
          <w:lang w:val="es-CR" w:eastAsia="es-CR"/>
        </w:rPr>
        <w:t>Para efectos de este reporte se utilizarán las definiciones y abreviaturas que se indican a continuación:</w:t>
      </w:r>
    </w:p>
    <w:p w14:paraId="4CDD4886" w14:textId="77777777" w:rsidR="008C0B7D" w:rsidRPr="008C0B7D" w:rsidRDefault="008C0B7D" w:rsidP="008C0B7D">
      <w:pPr>
        <w:spacing w:after="0" w:line="240" w:lineRule="auto"/>
        <w:jc w:val="both"/>
        <w:rPr>
          <w:rFonts w:ascii="Calibri" w:eastAsia="Times New Roman" w:hAnsi="Calibri" w:cs="Calibri"/>
          <w:color w:val="000000"/>
          <w:lang w:val="es-CR" w:eastAsia="es-CR"/>
        </w:rPr>
      </w:pPr>
    </w:p>
    <w:p w14:paraId="60342487"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Bomberos: Fondo de Pensiones y Jubilaciones para los miembros del Benemérito Cuerpo de Bomberos de Costa Rica.</w:t>
      </w:r>
    </w:p>
    <w:p w14:paraId="4B6A45CE"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CCSS: Caja Costarricense del Seguro Social.</w:t>
      </w:r>
    </w:p>
    <w:p w14:paraId="4704C5DA"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FBCR: Fondo de Jubilaciones de los Empleados del Banco de Costa Rica</w:t>
      </w:r>
    </w:p>
    <w:p w14:paraId="1D272A1E"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FBNCR: Fondo de Garantías y Jubilaciones de los Empleados del Banco Nacional de Costa Rica.</w:t>
      </w:r>
    </w:p>
    <w:p w14:paraId="02878649"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FCL: Fondo de capitalización laboral</w:t>
      </w:r>
    </w:p>
    <w:p w14:paraId="243759A4"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FGN: Fondo de Garantía Notarial</w:t>
      </w:r>
    </w:p>
    <w:p w14:paraId="7A76A81E"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FICE: Fondo de Garantías y Ahorro de los Empleados del Instituto Costarricense de Electricidad.</w:t>
      </w:r>
    </w:p>
    <w:p w14:paraId="351C78F1"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FICT: Fondo de Empleados del Instituto Costarricense de Turismo</w:t>
      </w:r>
    </w:p>
    <w:p w14:paraId="20587AB6"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FPJ: Fondo de Jubilaciones y Pensiones del Poder Judicial.</w:t>
      </w:r>
    </w:p>
    <w:p w14:paraId="7D6864B1"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FRE: Fondo de Retiro de los Empleados de la Caja Costarricense de Seguro Social.</w:t>
      </w:r>
    </w:p>
    <w:p w14:paraId="28EBCC91" w14:textId="77777777" w:rsid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FVENLOT: Fondo de Jubilaciones y Pensiones de los Vendedores de Lotería.</w:t>
      </w:r>
    </w:p>
    <w:p w14:paraId="7913B0A9" w14:textId="77777777" w:rsidR="00E716A6" w:rsidRDefault="00E716A6" w:rsidP="000E7D3E">
      <w:pPr>
        <w:pStyle w:val="Prrafodelista"/>
        <w:numPr>
          <w:ilvl w:val="0"/>
          <w:numId w:val="24"/>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INEC: I</w:t>
      </w:r>
      <w:r w:rsidR="00F31D6E">
        <w:rPr>
          <w:rFonts w:ascii="Calibri" w:eastAsia="Times New Roman" w:hAnsi="Calibri" w:cs="Calibri"/>
          <w:color w:val="000000"/>
          <w:lang w:val="es-CR" w:eastAsia="es-CR"/>
        </w:rPr>
        <w:t>nstituto Nacional de Estadística y Censos</w:t>
      </w:r>
    </w:p>
    <w:p w14:paraId="036D495F" w14:textId="77777777" w:rsidR="00681C9F" w:rsidRPr="000E7D3E" w:rsidRDefault="00681C9F" w:rsidP="000E7D3E">
      <w:pPr>
        <w:pStyle w:val="Prrafodelista"/>
        <w:numPr>
          <w:ilvl w:val="0"/>
          <w:numId w:val="24"/>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JUPEMA: Junta de Pensiones del Magisterio Nacional</w:t>
      </w:r>
    </w:p>
    <w:p w14:paraId="12A46C4D" w14:textId="77777777" w:rsid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LPT: Ley de Protección al trabajador</w:t>
      </w:r>
    </w:p>
    <w:p w14:paraId="48DB6E95" w14:textId="77777777" w:rsidR="00202EB9" w:rsidRDefault="00202EB9" w:rsidP="000E7D3E">
      <w:pPr>
        <w:pStyle w:val="Prrafodelista"/>
        <w:numPr>
          <w:ilvl w:val="0"/>
          <w:numId w:val="24"/>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MS</w:t>
      </w:r>
      <w:r w:rsidR="00AE2E8F">
        <w:rPr>
          <w:rFonts w:ascii="Calibri" w:eastAsia="Times New Roman" w:hAnsi="Calibri" w:cs="Calibri"/>
          <w:color w:val="000000"/>
          <w:lang w:val="es-CR" w:eastAsia="es-CR"/>
        </w:rPr>
        <w:t xml:space="preserve">ER </w:t>
      </w:r>
      <w:r w:rsidR="00AE2E8F" w:rsidRPr="00AE2E8F">
        <w:rPr>
          <w:rFonts w:ascii="Calibri" w:eastAsia="Times New Roman" w:hAnsi="Calibri" w:cs="Calibri"/>
          <w:color w:val="000000"/>
          <w:lang w:val="es-CR" w:eastAsia="es-CR"/>
        </w:rPr>
        <w:t xml:space="preserve">Modelo de supervisión y evaluación de riesgos </w:t>
      </w:r>
    </w:p>
    <w:p w14:paraId="252E3534" w14:textId="77777777" w:rsid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OPC: Operadoras de pensiones </w:t>
      </w:r>
    </w:p>
    <w:p w14:paraId="78BBD504" w14:textId="77777777" w:rsidR="00EA3529" w:rsidRPr="000E7D3E" w:rsidRDefault="00EA3529" w:rsidP="000E7D3E">
      <w:pPr>
        <w:pStyle w:val="Prrafodelista"/>
        <w:numPr>
          <w:ilvl w:val="0"/>
          <w:numId w:val="24"/>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PIB: Producto Interno Bruto</w:t>
      </w:r>
    </w:p>
    <w:p w14:paraId="58E80572"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RCCMN: Régimen de Capitalización Colectiva del Sistema de Pensiones y Jubilaciones del Magisterio Nacional.</w:t>
      </w:r>
    </w:p>
    <w:p w14:paraId="5825BE27"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RIVM: Régimen de Invalidez, Vejez y Muerte de la CCSS.</w:t>
      </w:r>
    </w:p>
    <w:p w14:paraId="3AFCD2E8"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ROP: Régimen Obligatorios de Pensiones Complementario</w:t>
      </w:r>
    </w:p>
    <w:p w14:paraId="1033E7F9" w14:textId="77777777" w:rsidR="000E7D3E"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SNP: Sistema Nacional de Pensiones</w:t>
      </w:r>
    </w:p>
    <w:p w14:paraId="3256FF32" w14:textId="77777777" w:rsidR="005C12B3" w:rsidRPr="000E7D3E" w:rsidRDefault="000E7D3E" w:rsidP="000E7D3E">
      <w:pPr>
        <w:pStyle w:val="Prrafodelista"/>
        <w:numPr>
          <w:ilvl w:val="0"/>
          <w:numId w:val="24"/>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SUPEN: Superintendencia de Pensiones, órgano de desconcentración máxima del Banco Central de Costa Rica.</w:t>
      </w:r>
    </w:p>
    <w:p w14:paraId="4E88DC6F" w14:textId="77777777" w:rsidR="008C0B7D" w:rsidRDefault="008C0B7D">
      <w:pPr>
        <w:rPr>
          <w:rFonts w:asciiTheme="majorHAnsi" w:eastAsiaTheme="majorEastAsia" w:hAnsiTheme="majorHAnsi" w:cstheme="majorBidi"/>
          <w:color w:val="365F91" w:themeColor="accent1" w:themeShade="BF"/>
          <w:sz w:val="32"/>
          <w:szCs w:val="32"/>
        </w:rPr>
      </w:pPr>
    </w:p>
    <w:p w14:paraId="737D5BCC" w14:textId="77777777" w:rsidR="00AE417E" w:rsidRDefault="00AE417E">
      <w:pPr>
        <w:rPr>
          <w:rFonts w:asciiTheme="majorHAnsi" w:eastAsiaTheme="majorEastAsia" w:hAnsiTheme="majorHAnsi" w:cstheme="majorBidi"/>
          <w:color w:val="365F91" w:themeColor="accent1" w:themeShade="BF"/>
          <w:sz w:val="32"/>
          <w:szCs w:val="32"/>
        </w:rPr>
      </w:pPr>
      <w:r>
        <w:br w:type="page"/>
      </w:r>
    </w:p>
    <w:p w14:paraId="2B379A45" w14:textId="77777777" w:rsidR="002B6731" w:rsidRDefault="00394DBE" w:rsidP="00394DBE">
      <w:pPr>
        <w:pStyle w:val="Ttulo1"/>
        <w:numPr>
          <w:ilvl w:val="0"/>
          <w:numId w:val="2"/>
        </w:numPr>
      </w:pPr>
      <w:bookmarkStart w:id="2" w:name="_Toc50731051"/>
      <w:r>
        <w:lastRenderedPageBreak/>
        <w:t>Resumen ejecutivo</w:t>
      </w:r>
      <w:bookmarkEnd w:id="2"/>
    </w:p>
    <w:p w14:paraId="0F2617F8" w14:textId="77777777" w:rsidR="00512A6F" w:rsidRDefault="00512A6F" w:rsidP="00512A6F">
      <w:pPr>
        <w:spacing w:after="0" w:line="240" w:lineRule="auto"/>
        <w:jc w:val="both"/>
        <w:rPr>
          <w:rFonts w:ascii="Calibri" w:eastAsia="Times New Roman" w:hAnsi="Calibri" w:cs="Calibri"/>
          <w:color w:val="000000"/>
          <w:lang w:val="es-CR" w:eastAsia="es-CR"/>
        </w:rPr>
      </w:pPr>
    </w:p>
    <w:p w14:paraId="437242D6" w14:textId="77777777" w:rsidR="00512A6F" w:rsidRDefault="00512A6F" w:rsidP="00512A6F">
      <w:pPr>
        <w:spacing w:after="0" w:line="240" w:lineRule="auto"/>
        <w:jc w:val="both"/>
      </w:pPr>
      <w:r>
        <w:t xml:space="preserve">El Sistema Nacional de Pensiones (SNP) y el Fondo de Capitalización Laboral (FCL) administran recursos, a junio del 2020, que totalizan </w:t>
      </w:r>
      <w:bookmarkStart w:id="3" w:name="_Hlk48293175"/>
      <w:r w:rsidRPr="00841412">
        <w:t>₡</w:t>
      </w:r>
      <w:bookmarkEnd w:id="3"/>
      <w:r>
        <w:t xml:space="preserve">16,1 billones, </w:t>
      </w:r>
      <w:r w:rsidR="00256911">
        <w:t>equivalentes</w:t>
      </w:r>
      <w:r>
        <w:t xml:space="preserve"> al 46,6% del Producto Interno Bruto (PIB). El crecimiento durante los primeros seis meses del año ha sido del 4,1%, </w:t>
      </w:r>
      <w:r w:rsidR="00EF5E48">
        <w:t xml:space="preserve">menor </w:t>
      </w:r>
      <w:r>
        <w:t xml:space="preserve">en comparación con el crecimiento promedio anual de los últimos 10 años que ronda el 13,9%. </w:t>
      </w:r>
    </w:p>
    <w:p w14:paraId="117AD8FF" w14:textId="77777777" w:rsidR="008B459A" w:rsidRDefault="008B459A" w:rsidP="00512A6F">
      <w:pPr>
        <w:spacing w:after="0" w:line="240" w:lineRule="auto"/>
        <w:jc w:val="both"/>
      </w:pPr>
    </w:p>
    <w:p w14:paraId="30E36C87" w14:textId="77777777" w:rsidR="00252FBB" w:rsidRDefault="00512A6F" w:rsidP="00512A6F">
      <w:pPr>
        <w:spacing w:after="0" w:line="240" w:lineRule="auto"/>
        <w:jc w:val="both"/>
        <w:rPr>
          <w:rFonts w:ascii="Calibri" w:eastAsia="Times New Roman" w:hAnsi="Calibri" w:cs="Calibri"/>
          <w:color w:val="000000"/>
          <w:lang w:val="es-CR" w:eastAsia="es-CR"/>
        </w:rPr>
      </w:pPr>
      <w:r w:rsidRPr="00512A6F">
        <w:rPr>
          <w:rFonts w:ascii="Calibri" w:eastAsia="Times New Roman" w:hAnsi="Calibri" w:cs="Calibri"/>
          <w:color w:val="000000"/>
          <w:lang w:val="es-CR" w:eastAsia="es-CR"/>
        </w:rPr>
        <w:t xml:space="preserve">A partir de marzo vemos </w:t>
      </w:r>
      <w:r w:rsidR="0039020E">
        <w:rPr>
          <w:rFonts w:ascii="Calibri" w:eastAsia="Times New Roman" w:hAnsi="Calibri" w:cs="Calibri"/>
          <w:color w:val="000000"/>
          <w:lang w:val="es-CR" w:eastAsia="es-CR"/>
        </w:rPr>
        <w:t>los efectos</w:t>
      </w:r>
      <w:r w:rsidR="0039020E" w:rsidRPr="00512A6F">
        <w:rPr>
          <w:rFonts w:ascii="Calibri" w:eastAsia="Times New Roman" w:hAnsi="Calibri" w:cs="Calibri"/>
          <w:color w:val="000000"/>
          <w:lang w:val="es-CR" w:eastAsia="es-CR"/>
        </w:rPr>
        <w:t xml:space="preserve"> </w:t>
      </w:r>
      <w:r w:rsidR="0088082D">
        <w:rPr>
          <w:rFonts w:ascii="Calibri" w:eastAsia="Times New Roman" w:hAnsi="Calibri" w:cs="Calibri"/>
          <w:color w:val="000000"/>
          <w:lang w:val="es-CR" w:eastAsia="es-CR"/>
        </w:rPr>
        <w:t>provocadas</w:t>
      </w:r>
      <w:r w:rsidR="00790B90">
        <w:rPr>
          <w:rFonts w:ascii="Calibri" w:eastAsia="Times New Roman" w:hAnsi="Calibri" w:cs="Calibri"/>
          <w:color w:val="000000"/>
          <w:lang w:val="es-CR" w:eastAsia="es-CR"/>
        </w:rPr>
        <w:t xml:space="preserve"> </w:t>
      </w:r>
      <w:r w:rsidRPr="00512A6F">
        <w:rPr>
          <w:rFonts w:ascii="Calibri" w:eastAsia="Times New Roman" w:hAnsi="Calibri" w:cs="Calibri"/>
          <w:color w:val="000000"/>
          <w:lang w:val="es-CR" w:eastAsia="es-CR"/>
        </w:rPr>
        <w:t>por el COVID19,</w:t>
      </w:r>
      <w:r w:rsidR="00461010">
        <w:rPr>
          <w:rFonts w:ascii="Calibri" w:eastAsia="Times New Roman" w:hAnsi="Calibri" w:cs="Calibri"/>
          <w:color w:val="000000"/>
          <w:lang w:val="es-CR" w:eastAsia="es-CR"/>
        </w:rPr>
        <w:t xml:space="preserve"> </w:t>
      </w:r>
      <w:r w:rsidR="008B06A0">
        <w:rPr>
          <w:rFonts w:ascii="Calibri" w:eastAsia="Times New Roman" w:hAnsi="Calibri" w:cs="Calibri"/>
          <w:color w:val="000000"/>
          <w:lang w:val="es-CR" w:eastAsia="es-CR"/>
        </w:rPr>
        <w:t>en</w:t>
      </w:r>
      <w:r w:rsidR="008D24A1">
        <w:rPr>
          <w:rFonts w:ascii="Calibri" w:eastAsia="Times New Roman" w:hAnsi="Calibri" w:cs="Calibri"/>
          <w:color w:val="000000"/>
          <w:lang w:val="es-CR" w:eastAsia="es-CR"/>
        </w:rPr>
        <w:t xml:space="preserve"> la actividad económica,</w:t>
      </w:r>
      <w:r w:rsidR="008B06A0">
        <w:rPr>
          <w:rFonts w:ascii="Calibri" w:eastAsia="Times New Roman" w:hAnsi="Calibri" w:cs="Calibri"/>
          <w:color w:val="000000"/>
          <w:lang w:val="es-CR" w:eastAsia="es-CR"/>
        </w:rPr>
        <w:t xml:space="preserve"> el </w:t>
      </w:r>
      <w:r w:rsidR="008D24A1">
        <w:rPr>
          <w:rFonts w:ascii="Calibri" w:eastAsia="Times New Roman" w:hAnsi="Calibri" w:cs="Calibri"/>
          <w:color w:val="000000"/>
          <w:lang w:val="es-CR" w:eastAsia="es-CR"/>
        </w:rPr>
        <w:t xml:space="preserve">empleo y </w:t>
      </w:r>
      <w:r w:rsidR="00C42973">
        <w:rPr>
          <w:rFonts w:ascii="Calibri" w:eastAsia="Times New Roman" w:hAnsi="Calibri" w:cs="Calibri"/>
          <w:color w:val="000000"/>
          <w:lang w:val="es-CR" w:eastAsia="es-CR"/>
        </w:rPr>
        <w:t xml:space="preserve">los mercados financieros. Como primera consecuencia, </w:t>
      </w:r>
      <w:r w:rsidR="00440C42">
        <w:rPr>
          <w:rFonts w:ascii="Calibri" w:eastAsia="Times New Roman" w:hAnsi="Calibri" w:cs="Calibri"/>
          <w:color w:val="000000"/>
          <w:lang w:val="es-CR" w:eastAsia="es-CR"/>
        </w:rPr>
        <w:t>ha generado una reducción en la recaudación en los</w:t>
      </w:r>
      <w:r w:rsidR="00C42973">
        <w:rPr>
          <w:rFonts w:ascii="Calibri" w:eastAsia="Times New Roman" w:hAnsi="Calibri" w:cs="Calibri"/>
          <w:color w:val="000000"/>
          <w:lang w:val="es-CR" w:eastAsia="es-CR"/>
        </w:rPr>
        <w:t xml:space="preserve"> </w:t>
      </w:r>
      <w:r w:rsidR="00AB3BF7">
        <w:rPr>
          <w:rFonts w:ascii="Calibri" w:eastAsia="Times New Roman" w:hAnsi="Calibri" w:cs="Calibri"/>
          <w:color w:val="000000"/>
          <w:lang w:val="es-CR" w:eastAsia="es-CR"/>
        </w:rPr>
        <w:t>fondos de pensiones</w:t>
      </w:r>
      <w:r w:rsidR="00790B90">
        <w:rPr>
          <w:rFonts w:ascii="Calibri" w:eastAsia="Times New Roman" w:hAnsi="Calibri" w:cs="Calibri"/>
          <w:color w:val="000000"/>
          <w:lang w:val="es-CR" w:eastAsia="es-CR"/>
        </w:rPr>
        <w:t>,</w:t>
      </w:r>
      <w:r w:rsidR="003E7728">
        <w:rPr>
          <w:rFonts w:ascii="Calibri" w:eastAsia="Times New Roman" w:hAnsi="Calibri" w:cs="Calibri"/>
          <w:color w:val="000000"/>
          <w:lang w:val="es-CR" w:eastAsia="es-CR"/>
        </w:rPr>
        <w:t xml:space="preserve"> principalmente por la di</w:t>
      </w:r>
      <w:r w:rsidR="004944B8">
        <w:rPr>
          <w:rFonts w:ascii="Calibri" w:eastAsia="Times New Roman" w:hAnsi="Calibri" w:cs="Calibri"/>
          <w:color w:val="000000"/>
          <w:lang w:val="es-CR" w:eastAsia="es-CR"/>
        </w:rPr>
        <w:t>s</w:t>
      </w:r>
      <w:r w:rsidR="003E7728">
        <w:rPr>
          <w:rFonts w:ascii="Calibri" w:eastAsia="Times New Roman" w:hAnsi="Calibri" w:cs="Calibri"/>
          <w:color w:val="000000"/>
          <w:lang w:val="es-CR" w:eastAsia="es-CR"/>
        </w:rPr>
        <w:t>minución en los aportes de los afiliados</w:t>
      </w:r>
      <w:r w:rsidR="00D71234">
        <w:rPr>
          <w:rFonts w:ascii="Calibri" w:eastAsia="Times New Roman" w:hAnsi="Calibri" w:cs="Calibri"/>
          <w:color w:val="000000"/>
          <w:lang w:val="es-CR" w:eastAsia="es-CR"/>
        </w:rPr>
        <w:t>. Adicionalmente</w:t>
      </w:r>
      <w:r w:rsidR="00DF4D95">
        <w:rPr>
          <w:rFonts w:ascii="Calibri" w:eastAsia="Times New Roman" w:hAnsi="Calibri" w:cs="Calibri"/>
          <w:color w:val="000000"/>
          <w:lang w:val="es-CR" w:eastAsia="es-CR"/>
        </w:rPr>
        <w:t>,</w:t>
      </w:r>
      <w:r w:rsidR="00D71234">
        <w:rPr>
          <w:rFonts w:ascii="Calibri" w:eastAsia="Times New Roman" w:hAnsi="Calibri" w:cs="Calibri"/>
          <w:color w:val="000000"/>
          <w:lang w:val="es-CR" w:eastAsia="es-CR"/>
        </w:rPr>
        <w:t xml:space="preserve"> se presentan situaciones </w:t>
      </w:r>
      <w:r w:rsidR="0047684A">
        <w:rPr>
          <w:rFonts w:ascii="Calibri" w:eastAsia="Times New Roman" w:hAnsi="Calibri" w:cs="Calibri"/>
          <w:color w:val="000000"/>
          <w:lang w:val="es-CR" w:eastAsia="es-CR"/>
        </w:rPr>
        <w:t>inéditas</w:t>
      </w:r>
      <w:r w:rsidR="00D71234">
        <w:rPr>
          <w:rFonts w:ascii="Calibri" w:eastAsia="Times New Roman" w:hAnsi="Calibri" w:cs="Calibri"/>
          <w:color w:val="000000"/>
          <w:lang w:val="es-CR" w:eastAsia="es-CR"/>
        </w:rPr>
        <w:t xml:space="preserve"> en los fondos como </w:t>
      </w:r>
      <w:r w:rsidR="000F319B">
        <w:rPr>
          <w:rFonts w:ascii="Calibri" w:eastAsia="Times New Roman" w:hAnsi="Calibri" w:cs="Calibri"/>
          <w:color w:val="000000"/>
          <w:lang w:val="es-CR" w:eastAsia="es-CR"/>
        </w:rPr>
        <w:t>la su</w:t>
      </w:r>
      <w:r w:rsidR="000F319B" w:rsidRPr="000F319B">
        <w:rPr>
          <w:rFonts w:ascii="Calibri" w:eastAsia="Times New Roman" w:hAnsi="Calibri" w:cs="Calibri"/>
          <w:color w:val="000000"/>
          <w:lang w:val="es-CR" w:eastAsia="es-CR"/>
        </w:rPr>
        <w:t>spensión de los traslados de recursos entre operadoras por</w:t>
      </w:r>
      <w:r w:rsidR="007B4A4A">
        <w:rPr>
          <w:rFonts w:ascii="Calibri" w:eastAsia="Times New Roman" w:hAnsi="Calibri" w:cs="Calibri"/>
          <w:color w:val="000000"/>
          <w:lang w:val="es-CR" w:eastAsia="es-CR"/>
        </w:rPr>
        <w:t xml:space="preserve"> la suspensión de la</w:t>
      </w:r>
      <w:r w:rsidR="000F319B" w:rsidRPr="000F319B">
        <w:rPr>
          <w:rFonts w:ascii="Calibri" w:eastAsia="Times New Roman" w:hAnsi="Calibri" w:cs="Calibri"/>
          <w:color w:val="000000"/>
          <w:lang w:val="es-CR" w:eastAsia="es-CR"/>
        </w:rPr>
        <w:t xml:space="preserve"> libre transferencia</w:t>
      </w:r>
      <w:r w:rsidR="000F319B">
        <w:rPr>
          <w:rFonts w:ascii="Calibri" w:eastAsia="Times New Roman" w:hAnsi="Calibri" w:cs="Calibri"/>
          <w:color w:val="000000"/>
          <w:lang w:val="es-CR" w:eastAsia="es-CR"/>
        </w:rPr>
        <w:t>, los retiros</w:t>
      </w:r>
      <w:r w:rsidR="00592873">
        <w:rPr>
          <w:rFonts w:ascii="Calibri" w:eastAsia="Times New Roman" w:hAnsi="Calibri" w:cs="Calibri"/>
          <w:color w:val="000000"/>
          <w:lang w:val="es-CR" w:eastAsia="es-CR"/>
        </w:rPr>
        <w:t xml:space="preserve"> </w:t>
      </w:r>
      <w:r w:rsidR="007B4A4A">
        <w:rPr>
          <w:rFonts w:ascii="Calibri" w:eastAsia="Times New Roman" w:hAnsi="Calibri" w:cs="Calibri"/>
          <w:color w:val="000000"/>
          <w:lang w:val="es-CR" w:eastAsia="es-CR"/>
        </w:rPr>
        <w:t xml:space="preserve">extraordinarios </w:t>
      </w:r>
      <w:r w:rsidR="00592873">
        <w:rPr>
          <w:rFonts w:ascii="Calibri" w:eastAsia="Times New Roman" w:hAnsi="Calibri" w:cs="Calibri"/>
          <w:color w:val="000000"/>
          <w:lang w:val="es-CR" w:eastAsia="es-CR"/>
        </w:rPr>
        <w:t>del FCL</w:t>
      </w:r>
      <w:r w:rsidR="000F319B">
        <w:rPr>
          <w:rFonts w:ascii="Calibri" w:eastAsia="Times New Roman" w:hAnsi="Calibri" w:cs="Calibri"/>
          <w:color w:val="000000"/>
          <w:lang w:val="es-CR" w:eastAsia="es-CR"/>
        </w:rPr>
        <w:t xml:space="preserve"> por reducción de jornada laboral y </w:t>
      </w:r>
      <w:r w:rsidR="00592873">
        <w:rPr>
          <w:rFonts w:ascii="Calibri" w:eastAsia="Times New Roman" w:hAnsi="Calibri" w:cs="Calibri"/>
          <w:color w:val="000000"/>
          <w:lang w:val="es-CR" w:eastAsia="es-CR"/>
        </w:rPr>
        <w:t>suspensión del contrato</w:t>
      </w:r>
      <w:r w:rsidR="0052133B">
        <w:rPr>
          <w:rFonts w:ascii="Calibri" w:eastAsia="Times New Roman" w:hAnsi="Calibri" w:cs="Calibri"/>
          <w:color w:val="000000"/>
          <w:lang w:val="es-CR" w:eastAsia="es-CR"/>
        </w:rPr>
        <w:t xml:space="preserve"> y</w:t>
      </w:r>
      <w:r w:rsidR="00592873">
        <w:rPr>
          <w:rFonts w:ascii="Calibri" w:eastAsia="Times New Roman" w:hAnsi="Calibri" w:cs="Calibri"/>
          <w:color w:val="000000"/>
          <w:lang w:val="es-CR" w:eastAsia="es-CR"/>
        </w:rPr>
        <w:t xml:space="preserve"> </w:t>
      </w:r>
      <w:r w:rsidR="00252FBB">
        <w:rPr>
          <w:rFonts w:ascii="Calibri" w:eastAsia="Times New Roman" w:hAnsi="Calibri" w:cs="Calibri"/>
          <w:color w:val="000000"/>
          <w:lang w:val="es-CR" w:eastAsia="es-CR"/>
        </w:rPr>
        <w:t xml:space="preserve">el efecto en la estimación de la pérdida esperada por la </w:t>
      </w:r>
      <w:r w:rsidR="005A5AF4">
        <w:rPr>
          <w:rFonts w:ascii="Calibri" w:eastAsia="Times New Roman" w:hAnsi="Calibri" w:cs="Calibri"/>
          <w:color w:val="000000"/>
          <w:lang w:val="es-CR" w:eastAsia="es-CR"/>
        </w:rPr>
        <w:t>reducción en la</w:t>
      </w:r>
      <w:r w:rsidR="005A5AF4" w:rsidRPr="005A5AF4">
        <w:rPr>
          <w:rFonts w:ascii="Calibri" w:eastAsia="Times New Roman" w:hAnsi="Calibri" w:cs="Calibri"/>
          <w:color w:val="000000"/>
          <w:lang w:val="es-CR" w:eastAsia="es-CR"/>
        </w:rPr>
        <w:t xml:space="preserve"> </w:t>
      </w:r>
      <w:r w:rsidR="005A5AF4" w:rsidRPr="00E02898">
        <w:rPr>
          <w:rFonts w:ascii="Calibri" w:eastAsia="Times New Roman" w:hAnsi="Calibri" w:cs="Calibri"/>
          <w:color w:val="000000"/>
          <w:lang w:val="es-CR" w:eastAsia="es-CR"/>
        </w:rPr>
        <w:t>calificación crediticia de largo plazo para la deuda externa costarricense</w:t>
      </w:r>
      <w:r w:rsidR="00F17A2C">
        <w:rPr>
          <w:rFonts w:ascii="Calibri" w:eastAsia="Times New Roman" w:hAnsi="Calibri" w:cs="Calibri"/>
          <w:color w:val="000000"/>
          <w:lang w:val="es-CR" w:eastAsia="es-CR"/>
        </w:rPr>
        <w:t xml:space="preserve"> de</w:t>
      </w:r>
      <w:r w:rsidR="00EC5166">
        <w:rPr>
          <w:rFonts w:ascii="Calibri" w:eastAsia="Times New Roman" w:hAnsi="Calibri" w:cs="Calibri"/>
          <w:color w:val="000000"/>
          <w:lang w:val="es-CR" w:eastAsia="es-CR"/>
        </w:rPr>
        <w:t xml:space="preserve"> </w:t>
      </w:r>
      <w:r w:rsidR="00F17A2C" w:rsidRPr="00E02898">
        <w:rPr>
          <w:rFonts w:ascii="Calibri" w:eastAsia="Times New Roman" w:hAnsi="Calibri" w:cs="Calibri"/>
          <w:color w:val="000000"/>
          <w:lang w:val="es-CR" w:eastAsia="es-CR"/>
        </w:rPr>
        <w:t xml:space="preserve">Standard &amp; </w:t>
      </w:r>
      <w:proofErr w:type="spellStart"/>
      <w:r w:rsidR="00F17A2C" w:rsidRPr="00E02898">
        <w:rPr>
          <w:rFonts w:ascii="Calibri" w:eastAsia="Times New Roman" w:hAnsi="Calibri" w:cs="Calibri"/>
          <w:color w:val="000000"/>
          <w:lang w:val="es-CR" w:eastAsia="es-CR"/>
        </w:rPr>
        <w:t>Poor´s</w:t>
      </w:r>
      <w:proofErr w:type="spellEnd"/>
      <w:r w:rsidR="0099611A">
        <w:rPr>
          <w:rFonts w:ascii="Calibri" w:eastAsia="Times New Roman" w:hAnsi="Calibri" w:cs="Calibri"/>
          <w:color w:val="000000"/>
          <w:lang w:val="es-CR" w:eastAsia="es-CR"/>
        </w:rPr>
        <w:t xml:space="preserve">, </w:t>
      </w:r>
      <w:r w:rsidR="0014333B">
        <w:rPr>
          <w:rFonts w:ascii="Calibri" w:eastAsia="Times New Roman" w:hAnsi="Calibri" w:cs="Calibri"/>
          <w:color w:val="000000"/>
          <w:lang w:val="es-CR" w:eastAsia="es-CR"/>
        </w:rPr>
        <w:t>ente otros.</w:t>
      </w:r>
    </w:p>
    <w:p w14:paraId="1FC7523C" w14:textId="77777777" w:rsidR="000C2E69" w:rsidRDefault="000C2E69" w:rsidP="00512A6F">
      <w:pPr>
        <w:spacing w:after="0" w:line="240" w:lineRule="auto"/>
        <w:jc w:val="both"/>
        <w:rPr>
          <w:rFonts w:ascii="Calibri" w:eastAsia="Times New Roman" w:hAnsi="Calibri" w:cs="Calibri"/>
          <w:color w:val="000000"/>
          <w:lang w:val="es-CR" w:eastAsia="es-CR"/>
        </w:rPr>
      </w:pPr>
    </w:p>
    <w:p w14:paraId="3CAA7D72" w14:textId="77777777" w:rsidR="000C2E69" w:rsidRDefault="000C2E69" w:rsidP="000C2E69">
      <w:pPr>
        <w:spacing w:after="0" w:line="240" w:lineRule="auto"/>
        <w:jc w:val="both"/>
      </w:pPr>
      <w:r>
        <w:t>La inversión en el extranjero de los portafolios de pensiones ha presentado una recuperación durante el trimestre, l</w:t>
      </w:r>
      <w:r w:rsidRPr="008C60E1">
        <w:t>a exposición de cada fondo depende de su propia composición</w:t>
      </w:r>
      <w:r>
        <w:t xml:space="preserve">, </w:t>
      </w:r>
      <w:r w:rsidRPr="008C60E1">
        <w:t>entre mayor sea el porcentaje de la cartera invertido en valores extranjeros, mayor ha sido la recuperación</w:t>
      </w:r>
      <w:r>
        <w:t xml:space="preserve"> </w:t>
      </w:r>
      <w:r w:rsidRPr="008C60E1">
        <w:t xml:space="preserve">de las pérdidas sufridas </w:t>
      </w:r>
      <w:r>
        <w:t xml:space="preserve">durante </w:t>
      </w:r>
      <w:r w:rsidRPr="008C60E1">
        <w:t>marzo</w:t>
      </w:r>
      <w:r>
        <w:t xml:space="preserve">. </w:t>
      </w:r>
    </w:p>
    <w:p w14:paraId="739B5A59" w14:textId="77777777" w:rsidR="000C2E69" w:rsidRPr="00E8627A" w:rsidRDefault="000C2E69" w:rsidP="00512A6F">
      <w:pPr>
        <w:spacing w:after="0" w:line="240" w:lineRule="auto"/>
        <w:jc w:val="both"/>
      </w:pPr>
    </w:p>
    <w:p w14:paraId="29E603AA" w14:textId="77777777" w:rsidR="00662B8B" w:rsidRDefault="000C2E69" w:rsidP="00662B8B">
      <w:pPr>
        <w:spacing w:after="0" w:line="240" w:lineRule="auto"/>
        <w:jc w:val="both"/>
      </w:pPr>
      <w:r>
        <w:t xml:space="preserve">En el mercado local, </w:t>
      </w:r>
      <w:r w:rsidRPr="00611B8C">
        <w:t xml:space="preserve">la volatilidad del tipo de cambio mostró fluctuaciones relevantes en este trimestre, oscilando su valor entre un mínimo de </w:t>
      </w:r>
      <w:r w:rsidR="00825829" w:rsidRPr="00841412">
        <w:t>₡</w:t>
      </w:r>
      <w:r w:rsidRPr="00611B8C">
        <w:t xml:space="preserve">565,11 y un máximo de </w:t>
      </w:r>
      <w:r w:rsidR="00825829" w:rsidRPr="00841412">
        <w:t>₡</w:t>
      </w:r>
      <w:r w:rsidRPr="00611B8C">
        <w:t>584,02</w:t>
      </w:r>
      <w:r>
        <w:t>. L</w:t>
      </w:r>
      <w:r w:rsidRPr="00611B8C">
        <w:t>a tasa básica pasiva (TBP), su valor se mantuvo entre 4,15% (1° de abril) y 3,75% (16 de abril), cerrando el trimestre en 3</w:t>
      </w:r>
      <w:r>
        <w:t>,</w:t>
      </w:r>
      <w:r w:rsidRPr="00611B8C">
        <w:t xml:space="preserve">95%. La tasa de política monetaria (TPM) bajó de 1,25% a 0,75% a partir del 18 de junio. </w:t>
      </w:r>
      <w:r w:rsidR="0068680E">
        <w:t>L</w:t>
      </w:r>
      <w:r w:rsidR="0068680E" w:rsidRPr="00E8627A">
        <w:t xml:space="preserve">o </w:t>
      </w:r>
      <w:r w:rsidR="004E01EB">
        <w:t xml:space="preserve">anterior </w:t>
      </w:r>
      <w:r w:rsidR="0068680E" w:rsidRPr="00E8627A">
        <w:t xml:space="preserve">generó variaciones en la rentabilidad de los fondos que mantienen un porcentaje significativo de su portafolio en títulos </w:t>
      </w:r>
      <w:r w:rsidR="00E8627A" w:rsidRPr="00E8627A">
        <w:t>del mercado costarricense</w:t>
      </w:r>
      <w:r w:rsidR="0068680E" w:rsidRPr="00E8627A">
        <w:t>.</w:t>
      </w:r>
    </w:p>
    <w:p w14:paraId="782769FF" w14:textId="77777777" w:rsidR="00662B8B" w:rsidRDefault="00662B8B" w:rsidP="00662B8B">
      <w:pPr>
        <w:spacing w:after="0" w:line="240" w:lineRule="auto"/>
        <w:jc w:val="both"/>
      </w:pPr>
    </w:p>
    <w:p w14:paraId="1B1A424B" w14:textId="77777777" w:rsidR="00662B8B" w:rsidRDefault="00662B8B" w:rsidP="00662B8B">
      <w:pPr>
        <w:spacing w:after="0" w:line="240" w:lineRule="auto"/>
        <w:jc w:val="both"/>
      </w:pPr>
      <w:r>
        <w:t>Se aprobó el proyecto de Ley 21.874 que introduce en la LPT nuevas causales para el retiro del FCL: reducción de la jornada o la suspensión del contrato.</w:t>
      </w:r>
      <w:r w:rsidR="00ED4F87">
        <w:t xml:space="preserve"> </w:t>
      </w:r>
    </w:p>
    <w:p w14:paraId="596DE507" w14:textId="77777777" w:rsidR="00895CD8" w:rsidRDefault="00895CD8" w:rsidP="00662B8B">
      <w:pPr>
        <w:spacing w:after="0" w:line="240" w:lineRule="auto"/>
        <w:jc w:val="both"/>
      </w:pPr>
    </w:p>
    <w:p w14:paraId="67F816B5" w14:textId="77777777" w:rsidR="00A27CC6" w:rsidRPr="000D5DDF" w:rsidRDefault="00895CD8" w:rsidP="000D5DDF">
      <w:pPr>
        <w:spacing w:after="0" w:line="240" w:lineRule="auto"/>
        <w:jc w:val="both"/>
      </w:pPr>
      <w:r>
        <w:t>El país no ha estado ajeno de las presiones que el sh</w:t>
      </w:r>
      <w:r w:rsidR="00291A63">
        <w:t xml:space="preserve">ock de ingresos en las personas está generando </w:t>
      </w:r>
      <w:r w:rsidR="00825592">
        <w:t xml:space="preserve">por anticipar retiros de los fondos de pensión, esa tensión ha impulsado diferentes proyectos de ley </w:t>
      </w:r>
      <w:r w:rsidR="00FB634D">
        <w:t xml:space="preserve">que se discuten en la </w:t>
      </w:r>
      <w:r w:rsidR="00ED4F87">
        <w:t>Asamblea</w:t>
      </w:r>
      <w:r w:rsidR="00662B8B">
        <w:t xml:space="preserve"> </w:t>
      </w:r>
      <w:r w:rsidR="00ED4F87">
        <w:t>Legislativa</w:t>
      </w:r>
      <w:r w:rsidR="00662B8B">
        <w:t xml:space="preserve"> relacionados con pensiones, entre ellos el </w:t>
      </w:r>
      <w:r w:rsidR="00A27CC6">
        <w:t>N°</w:t>
      </w:r>
      <w:r w:rsidR="00662B8B">
        <w:t>21.309 para resguardar el derecho del trabajador a retirar los recursos de la pensión complementaria</w:t>
      </w:r>
      <w:r w:rsidR="00B0086C">
        <w:t xml:space="preserve">, el </w:t>
      </w:r>
      <w:r w:rsidR="00A27CC6">
        <w:t>N°</w:t>
      </w:r>
      <w:r w:rsidR="00B0086C" w:rsidRPr="000D5DDF">
        <w:t>21.865</w:t>
      </w:r>
      <w:r w:rsidR="00A27CC6">
        <w:t xml:space="preserve"> de p</w:t>
      </w:r>
      <w:r w:rsidR="00B0086C" w:rsidRPr="00B0086C">
        <w:t>rotección a personas trabajadoras afectadas por el desempleo desencadenado como consecuencia del Covid-19</w:t>
      </w:r>
      <w:r w:rsidR="00A27CC6">
        <w:t xml:space="preserve"> y el N°</w:t>
      </w:r>
      <w:r w:rsidR="00A27CC6" w:rsidRPr="000D5DDF">
        <w:t>21.892</w:t>
      </w:r>
      <w:r w:rsidR="00155A25" w:rsidRPr="000D5DDF">
        <w:t xml:space="preserve"> p</w:t>
      </w:r>
      <w:r w:rsidR="00A27CC6" w:rsidRPr="000D5DDF">
        <w:t>ara el apoyo económico solidario, financiado por el régimen obligatorio de pensiones complementarias</w:t>
      </w:r>
      <w:r w:rsidR="00155A25" w:rsidRPr="000D5DDF">
        <w:t>.</w:t>
      </w:r>
    </w:p>
    <w:p w14:paraId="338BFD70" w14:textId="77777777" w:rsidR="00B0086C" w:rsidRPr="00B0086C" w:rsidRDefault="00B0086C" w:rsidP="000D5DDF">
      <w:pPr>
        <w:jc w:val="both"/>
        <w:rPr>
          <w:lang w:val="es-CR"/>
        </w:rPr>
      </w:pPr>
    </w:p>
    <w:p w14:paraId="1C8689CE" w14:textId="77777777" w:rsidR="00662B8B" w:rsidRDefault="00662B8B" w:rsidP="000D5DDF">
      <w:pPr>
        <w:spacing w:after="0" w:line="240" w:lineRule="auto"/>
        <w:jc w:val="both"/>
      </w:pPr>
    </w:p>
    <w:p w14:paraId="70616EB0" w14:textId="77777777" w:rsidR="00351FA1" w:rsidRDefault="00351FA1">
      <w:pPr>
        <w:rPr>
          <w:rFonts w:asciiTheme="majorHAnsi" w:eastAsiaTheme="majorEastAsia" w:hAnsiTheme="majorHAnsi" w:cstheme="majorBidi"/>
          <w:color w:val="365F91" w:themeColor="accent1" w:themeShade="BF"/>
          <w:sz w:val="32"/>
          <w:szCs w:val="32"/>
        </w:rPr>
      </w:pPr>
      <w:r>
        <w:br w:type="page"/>
      </w:r>
    </w:p>
    <w:p w14:paraId="64E04162" w14:textId="77777777" w:rsidR="00394DBE" w:rsidRPr="00394DBE" w:rsidRDefault="00394DBE" w:rsidP="00394DBE">
      <w:pPr>
        <w:pStyle w:val="Ttulo1"/>
        <w:numPr>
          <w:ilvl w:val="0"/>
          <w:numId w:val="2"/>
        </w:numPr>
      </w:pPr>
      <w:bookmarkStart w:id="4" w:name="_Toc50731052"/>
      <w:r>
        <w:lastRenderedPageBreak/>
        <w:t>Introducción</w:t>
      </w:r>
      <w:bookmarkEnd w:id="4"/>
    </w:p>
    <w:p w14:paraId="0A3938BA" w14:textId="77777777" w:rsidR="00DA1AF3" w:rsidRDefault="00DA1AF3" w:rsidP="00C9285A">
      <w:pPr>
        <w:spacing w:after="0" w:line="240" w:lineRule="auto"/>
        <w:jc w:val="both"/>
        <w:rPr>
          <w:rFonts w:ascii="Calibri" w:eastAsia="Times New Roman" w:hAnsi="Calibri" w:cs="Calibri"/>
          <w:color w:val="000000"/>
          <w:lang w:val="es-CR" w:eastAsia="es-CR"/>
        </w:rPr>
      </w:pPr>
    </w:p>
    <w:p w14:paraId="5041EF2B" w14:textId="77777777" w:rsidR="00C9285A" w:rsidRPr="00C9285A" w:rsidRDefault="00C9285A" w:rsidP="00C9285A">
      <w:pPr>
        <w:spacing w:after="0" w:line="240" w:lineRule="auto"/>
        <w:jc w:val="both"/>
        <w:rPr>
          <w:rFonts w:ascii="Calibri" w:eastAsia="Times New Roman" w:hAnsi="Calibri" w:cs="Calibri"/>
          <w:color w:val="000000"/>
          <w:lang w:val="es-CR" w:eastAsia="es-CR"/>
        </w:rPr>
      </w:pPr>
      <w:r w:rsidRPr="00C9285A">
        <w:rPr>
          <w:rFonts w:ascii="Calibri" w:eastAsia="Times New Roman" w:hAnsi="Calibri" w:cs="Calibri"/>
          <w:color w:val="000000"/>
          <w:lang w:val="es-CR" w:eastAsia="es-CR"/>
        </w:rPr>
        <w:t xml:space="preserve">La Superintendencia de Pensiones presenta al Consejo Nacional de Supervisión del Sistema Financiero (CONASSIF) un informe trimestral sobre la evolución del sistema de pensiones (SNP) y la situación de los entes supervisados, según lo dispuesto en el artículo 38, inciso n) de la Ley 7523, Régimen Privado de Pensiones Complementarias. </w:t>
      </w:r>
    </w:p>
    <w:p w14:paraId="0C8115EC" w14:textId="77777777" w:rsidR="00C9285A" w:rsidRPr="00C9285A" w:rsidRDefault="00C9285A" w:rsidP="00C9285A">
      <w:pPr>
        <w:spacing w:after="0" w:line="240" w:lineRule="auto"/>
        <w:jc w:val="both"/>
        <w:rPr>
          <w:rFonts w:ascii="Calibri" w:eastAsia="Times New Roman" w:hAnsi="Calibri" w:cs="Calibri"/>
          <w:color w:val="000000"/>
          <w:lang w:val="es-CR" w:eastAsia="es-CR"/>
        </w:rPr>
      </w:pPr>
    </w:p>
    <w:p w14:paraId="4F32B548" w14:textId="77777777" w:rsidR="00C9285A" w:rsidRPr="00C9285A" w:rsidRDefault="00C9285A" w:rsidP="00C9285A">
      <w:pPr>
        <w:spacing w:after="0" w:line="240" w:lineRule="auto"/>
        <w:jc w:val="both"/>
        <w:rPr>
          <w:rFonts w:ascii="Calibri" w:eastAsia="Times New Roman" w:hAnsi="Calibri" w:cs="Calibri"/>
          <w:color w:val="000000"/>
          <w:lang w:val="es-CR" w:eastAsia="es-CR"/>
        </w:rPr>
      </w:pPr>
      <w:r w:rsidRPr="00C9285A">
        <w:rPr>
          <w:rFonts w:ascii="Calibri" w:eastAsia="Times New Roman" w:hAnsi="Calibri" w:cs="Calibri"/>
          <w:color w:val="000000"/>
          <w:lang w:val="es-CR" w:eastAsia="es-CR"/>
        </w:rPr>
        <w:t xml:space="preserve">Este informe tiene una visión global del sistema de pensiones, en el sentido de que analiza tanto las variables relevantes respecto a la caracterización del ahorro nacional, así como las situaciones particulares relevantes que enfrentan cada uno de los sujetos fiscalizados, permitiendo a los señores miembros del Consejo un criterio informado, de lo que acontece y de las labores que el supervisor ha emprendido. </w:t>
      </w:r>
    </w:p>
    <w:p w14:paraId="67616DFC" w14:textId="77777777" w:rsidR="00C9285A" w:rsidRPr="00C9285A" w:rsidRDefault="00C9285A" w:rsidP="00C9285A">
      <w:pPr>
        <w:spacing w:after="0" w:line="240" w:lineRule="auto"/>
        <w:jc w:val="both"/>
        <w:rPr>
          <w:rFonts w:ascii="Calibri" w:eastAsia="Times New Roman" w:hAnsi="Calibri" w:cs="Calibri"/>
          <w:color w:val="000000"/>
          <w:lang w:val="es-CR" w:eastAsia="es-CR"/>
        </w:rPr>
      </w:pPr>
    </w:p>
    <w:p w14:paraId="1FC54CCB" w14:textId="77777777" w:rsidR="006929F8" w:rsidRDefault="00C9285A" w:rsidP="00C9285A">
      <w:pPr>
        <w:spacing w:after="0" w:line="240" w:lineRule="auto"/>
        <w:jc w:val="both"/>
        <w:rPr>
          <w:rFonts w:ascii="Calibri" w:eastAsia="Times New Roman" w:hAnsi="Calibri" w:cs="Calibri"/>
          <w:color w:val="000000"/>
          <w:lang w:val="es-CR" w:eastAsia="es-CR"/>
        </w:rPr>
      </w:pPr>
      <w:r w:rsidRPr="00C9285A">
        <w:rPr>
          <w:rFonts w:ascii="Calibri" w:eastAsia="Times New Roman" w:hAnsi="Calibri" w:cs="Calibri"/>
          <w:color w:val="000000"/>
          <w:lang w:val="es-CR" w:eastAsia="es-CR"/>
        </w:rPr>
        <w:t>El documento enfatiza los hechos relevantes sucedidos en el trimestre en análisis, con influencia en el desempeño del SNP</w:t>
      </w:r>
      <w:r w:rsidR="00FC355E">
        <w:rPr>
          <w:rFonts w:ascii="Calibri" w:eastAsia="Times New Roman" w:hAnsi="Calibri" w:cs="Calibri"/>
          <w:color w:val="000000"/>
          <w:lang w:val="es-CR" w:eastAsia="es-CR"/>
        </w:rPr>
        <w:t xml:space="preserve">. </w:t>
      </w:r>
      <w:r w:rsidR="00974E59">
        <w:rPr>
          <w:rFonts w:ascii="Calibri" w:eastAsia="Times New Roman" w:hAnsi="Calibri" w:cs="Calibri"/>
          <w:color w:val="000000"/>
          <w:lang w:val="es-CR" w:eastAsia="es-CR"/>
        </w:rPr>
        <w:t xml:space="preserve">Además, </w:t>
      </w:r>
      <w:r w:rsidR="001E6FE7">
        <w:rPr>
          <w:rFonts w:ascii="Calibri" w:eastAsia="Times New Roman" w:hAnsi="Calibri" w:cs="Calibri"/>
          <w:color w:val="000000"/>
          <w:lang w:val="es-CR" w:eastAsia="es-CR"/>
        </w:rPr>
        <w:t>d</w:t>
      </w:r>
      <w:r w:rsidR="005B53AB">
        <w:rPr>
          <w:rFonts w:ascii="Calibri" w:eastAsia="Times New Roman" w:hAnsi="Calibri" w:cs="Calibri"/>
          <w:color w:val="000000"/>
          <w:lang w:val="es-CR" w:eastAsia="es-CR"/>
        </w:rPr>
        <w:t>escribe</w:t>
      </w:r>
      <w:r w:rsidRPr="00C9285A">
        <w:rPr>
          <w:rFonts w:ascii="Calibri" w:eastAsia="Times New Roman" w:hAnsi="Calibri" w:cs="Calibri"/>
          <w:color w:val="000000"/>
          <w:lang w:val="es-CR" w:eastAsia="es-CR"/>
        </w:rPr>
        <w:t xml:space="preserve"> los hechos puntuales que han afectado</w:t>
      </w:r>
      <w:r w:rsidR="00243E13">
        <w:rPr>
          <w:rFonts w:ascii="Calibri" w:eastAsia="Times New Roman" w:hAnsi="Calibri" w:cs="Calibri"/>
          <w:color w:val="000000"/>
          <w:lang w:val="es-CR" w:eastAsia="es-CR"/>
        </w:rPr>
        <w:t xml:space="preserve"> a</w:t>
      </w:r>
      <w:r w:rsidR="005B53AB">
        <w:rPr>
          <w:rFonts w:ascii="Calibri" w:eastAsia="Times New Roman" w:hAnsi="Calibri" w:cs="Calibri"/>
          <w:color w:val="000000"/>
          <w:lang w:val="es-CR" w:eastAsia="es-CR"/>
        </w:rPr>
        <w:t xml:space="preserve"> las entidades supervisadas </w:t>
      </w:r>
      <w:r w:rsidR="001E6FE7">
        <w:rPr>
          <w:rFonts w:ascii="Calibri" w:eastAsia="Times New Roman" w:hAnsi="Calibri" w:cs="Calibri"/>
          <w:color w:val="000000"/>
          <w:lang w:val="es-CR" w:eastAsia="es-CR"/>
        </w:rPr>
        <w:t>producto</w:t>
      </w:r>
      <w:r w:rsidRPr="00C9285A">
        <w:rPr>
          <w:rFonts w:ascii="Calibri" w:eastAsia="Times New Roman" w:hAnsi="Calibri" w:cs="Calibri"/>
          <w:color w:val="000000"/>
          <w:lang w:val="es-CR" w:eastAsia="es-CR"/>
        </w:rPr>
        <w:t xml:space="preserve"> del COVID-19. </w:t>
      </w:r>
    </w:p>
    <w:p w14:paraId="6F1FBEF7" w14:textId="77777777" w:rsidR="001F7B97" w:rsidRPr="00C9285A" w:rsidRDefault="001F7B97" w:rsidP="00C9285A">
      <w:pPr>
        <w:spacing w:after="0" w:line="240" w:lineRule="auto"/>
        <w:jc w:val="both"/>
        <w:rPr>
          <w:rFonts w:ascii="Calibri" w:eastAsia="Times New Roman" w:hAnsi="Calibri" w:cs="Calibri"/>
          <w:color w:val="000000"/>
          <w:lang w:val="es-CR" w:eastAsia="es-CR"/>
        </w:rPr>
      </w:pPr>
    </w:p>
    <w:p w14:paraId="2FEE04EA" w14:textId="77777777" w:rsidR="00C01A6B" w:rsidRDefault="00C01A6B">
      <w:pPr>
        <w:rPr>
          <w:rFonts w:asciiTheme="majorHAnsi" w:eastAsiaTheme="majorEastAsia" w:hAnsiTheme="majorHAnsi" w:cstheme="majorBidi"/>
          <w:color w:val="365F91" w:themeColor="accent1" w:themeShade="BF"/>
          <w:sz w:val="32"/>
          <w:szCs w:val="32"/>
        </w:rPr>
      </w:pPr>
      <w:r>
        <w:br w:type="page"/>
      </w:r>
    </w:p>
    <w:p w14:paraId="593F5029" w14:textId="77777777" w:rsidR="006929F8" w:rsidRDefault="006929F8" w:rsidP="00394DBE">
      <w:pPr>
        <w:pStyle w:val="Ttulo1"/>
        <w:numPr>
          <w:ilvl w:val="0"/>
          <w:numId w:val="2"/>
        </w:numPr>
      </w:pPr>
      <w:bookmarkStart w:id="5" w:name="_Toc50731053"/>
      <w:r>
        <w:lastRenderedPageBreak/>
        <w:t xml:space="preserve">Efectos </w:t>
      </w:r>
      <w:r w:rsidR="009975CE">
        <w:t xml:space="preserve">del </w:t>
      </w:r>
      <w:r>
        <w:t>Covid-19</w:t>
      </w:r>
      <w:r w:rsidR="009975CE">
        <w:t xml:space="preserve"> en los Fondos de pensión</w:t>
      </w:r>
      <w:bookmarkEnd w:id="5"/>
    </w:p>
    <w:p w14:paraId="6CF315D9" w14:textId="77777777" w:rsidR="00607B97" w:rsidRPr="00607B97" w:rsidRDefault="00607B97" w:rsidP="00C02D33">
      <w:pPr>
        <w:spacing w:after="0" w:line="240" w:lineRule="auto"/>
      </w:pPr>
    </w:p>
    <w:p w14:paraId="449A27AF" w14:textId="77777777" w:rsidR="00607B97" w:rsidRDefault="00C02D33" w:rsidP="00FF1FD4">
      <w:pPr>
        <w:pStyle w:val="Ttulo2"/>
        <w:numPr>
          <w:ilvl w:val="1"/>
          <w:numId w:val="2"/>
        </w:numPr>
      </w:pPr>
      <w:bookmarkStart w:id="6" w:name="_Toc50731054"/>
      <w:r>
        <w:t>Acciones implementadas en la supervisión</w:t>
      </w:r>
      <w:bookmarkEnd w:id="6"/>
    </w:p>
    <w:p w14:paraId="68F1362B" w14:textId="77777777" w:rsidR="00AD5AED" w:rsidRPr="00AD5AED" w:rsidRDefault="00AD5AED" w:rsidP="00AD5AED">
      <w:pPr>
        <w:spacing w:after="0" w:line="240" w:lineRule="auto"/>
      </w:pPr>
    </w:p>
    <w:p w14:paraId="08B80869" w14:textId="77777777" w:rsidR="00CD698F" w:rsidRDefault="00C02D33" w:rsidP="00841412">
      <w:pPr>
        <w:spacing w:after="0" w:line="240" w:lineRule="auto"/>
        <w:jc w:val="both"/>
        <w:rPr>
          <w:rFonts w:ascii="Calibri" w:eastAsia="Times New Roman" w:hAnsi="Calibri" w:cs="Calibri"/>
          <w:color w:val="000000"/>
          <w:lang w:val="es-CR" w:eastAsia="es-CR"/>
        </w:rPr>
      </w:pPr>
      <w:r w:rsidRPr="00C02D33">
        <w:rPr>
          <w:rFonts w:ascii="Calibri" w:eastAsia="Times New Roman" w:hAnsi="Calibri" w:cs="Calibri"/>
          <w:color w:val="000000"/>
          <w:lang w:val="es-CR" w:eastAsia="es-CR"/>
        </w:rPr>
        <w:t>La Superintendencia de Pensiones se mantiene operando bajo la modalidad de teletrabajo</w:t>
      </w:r>
      <w:r w:rsidR="00844D6D">
        <w:rPr>
          <w:rFonts w:ascii="Calibri" w:eastAsia="Times New Roman" w:hAnsi="Calibri" w:cs="Calibri"/>
          <w:color w:val="000000"/>
          <w:lang w:val="es-CR" w:eastAsia="es-CR"/>
        </w:rPr>
        <w:t xml:space="preserve">, </w:t>
      </w:r>
      <w:r w:rsidRPr="00C02D33">
        <w:rPr>
          <w:rFonts w:ascii="Calibri" w:eastAsia="Times New Roman" w:hAnsi="Calibri" w:cs="Calibri"/>
          <w:color w:val="000000"/>
          <w:lang w:val="es-CR" w:eastAsia="es-CR"/>
        </w:rPr>
        <w:t xml:space="preserve">las labores </w:t>
      </w:r>
      <w:r w:rsidR="00844D6D">
        <w:rPr>
          <w:rFonts w:ascii="Calibri" w:eastAsia="Times New Roman" w:hAnsi="Calibri" w:cs="Calibri"/>
          <w:color w:val="000000"/>
          <w:lang w:val="es-CR" w:eastAsia="es-CR"/>
        </w:rPr>
        <w:t xml:space="preserve">de supervisión </w:t>
      </w:r>
      <w:r w:rsidRPr="00C02D33">
        <w:rPr>
          <w:rFonts w:ascii="Calibri" w:eastAsia="Times New Roman" w:hAnsi="Calibri" w:cs="Calibri"/>
          <w:color w:val="000000"/>
          <w:lang w:val="es-CR" w:eastAsia="es-CR"/>
        </w:rPr>
        <w:t xml:space="preserve">se han desempeñado con normalidad, ejecutando las actividades de supervisión de forma virtual, según lo planificado en el Plan Anual de Supervisión (PAS) de 2020 y en aplicación del Modelo de Supervisión y Evaluación de Riesgos (MSER). </w:t>
      </w:r>
    </w:p>
    <w:p w14:paraId="17275021" w14:textId="77777777" w:rsidR="00CD698F" w:rsidRDefault="00CD698F" w:rsidP="00841412">
      <w:pPr>
        <w:spacing w:after="0" w:line="240" w:lineRule="auto"/>
        <w:jc w:val="both"/>
        <w:rPr>
          <w:rFonts w:ascii="Calibri" w:eastAsia="Times New Roman" w:hAnsi="Calibri" w:cs="Calibri"/>
          <w:color w:val="000000"/>
          <w:lang w:val="es-CR" w:eastAsia="es-CR"/>
        </w:rPr>
      </w:pPr>
    </w:p>
    <w:p w14:paraId="5A39CD5D" w14:textId="77777777" w:rsidR="00A451EE" w:rsidRDefault="00607B97" w:rsidP="000559A5">
      <w:pPr>
        <w:pStyle w:val="Ttulo2"/>
        <w:numPr>
          <w:ilvl w:val="1"/>
          <w:numId w:val="2"/>
        </w:numPr>
      </w:pPr>
      <w:bookmarkStart w:id="7" w:name="_Toc50731055"/>
      <w:r w:rsidRPr="00FF1FD4">
        <w:t xml:space="preserve">Impacto </w:t>
      </w:r>
      <w:r w:rsidR="00CD69A5">
        <w:t>del COVID</w:t>
      </w:r>
      <w:r w:rsidR="00CB01A8">
        <w:t xml:space="preserve">-19 </w:t>
      </w:r>
      <w:r w:rsidRPr="00FF1FD4">
        <w:t xml:space="preserve">en la recaudación </w:t>
      </w:r>
      <w:r>
        <w:t>de l</w:t>
      </w:r>
      <w:r w:rsidR="00050943">
        <w:t>os fondos</w:t>
      </w:r>
      <w:bookmarkEnd w:id="7"/>
      <w:r w:rsidR="00A451EE" w:rsidRPr="00FF1FD4">
        <w:t xml:space="preserve"> </w:t>
      </w:r>
    </w:p>
    <w:p w14:paraId="76885EA5" w14:textId="77777777" w:rsidR="002A01D8" w:rsidRPr="002A01D8" w:rsidRDefault="002A01D8" w:rsidP="002A01D8">
      <w:pPr>
        <w:spacing w:after="0" w:line="240" w:lineRule="auto"/>
      </w:pPr>
    </w:p>
    <w:p w14:paraId="68A3D56D" w14:textId="77777777" w:rsidR="002A01D8" w:rsidRDefault="002A01D8" w:rsidP="002A01D8">
      <w:pPr>
        <w:pStyle w:val="Descripcin"/>
        <w:spacing w:after="0"/>
        <w:ind w:left="360"/>
        <w:jc w:val="center"/>
      </w:pPr>
      <w:r>
        <w:t xml:space="preserve">Tabla </w:t>
      </w:r>
      <w:r>
        <w:fldChar w:fldCharType="begin"/>
      </w:r>
      <w:r>
        <w:instrText xml:space="preserve"> SEQ Tabla \* ARABIC </w:instrText>
      </w:r>
      <w:r>
        <w:fldChar w:fldCharType="separate"/>
      </w:r>
      <w:r>
        <w:rPr>
          <w:noProof/>
        </w:rPr>
        <w:t>1</w:t>
      </w:r>
      <w:r>
        <w:fldChar w:fldCharType="end"/>
      </w:r>
      <w:r>
        <w:t>:</w:t>
      </w:r>
      <w:r w:rsidR="00AD5AED">
        <w:t xml:space="preserve"> </w:t>
      </w:r>
      <w:r w:rsidR="00AD5AED" w:rsidRPr="00AD5AED">
        <w:t>Impacto en la recaudación de los fondos</w:t>
      </w:r>
    </w:p>
    <w:tbl>
      <w:tblPr>
        <w:tblStyle w:val="Tablaconcuadrcula4-nfasis1"/>
        <w:tblW w:w="10201" w:type="dxa"/>
        <w:jc w:val="center"/>
        <w:tblLook w:val="04A0" w:firstRow="1" w:lastRow="0" w:firstColumn="1" w:lastColumn="0" w:noHBand="0" w:noVBand="1"/>
      </w:tblPr>
      <w:tblGrid>
        <w:gridCol w:w="1129"/>
        <w:gridCol w:w="9072"/>
      </w:tblGrid>
      <w:tr w:rsidR="0017053E" w:rsidRPr="0017053E" w14:paraId="0B5BB77B" w14:textId="77777777" w:rsidTr="005A2B5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03FAF9B" w14:textId="77777777" w:rsidR="0017053E" w:rsidRPr="0017053E" w:rsidRDefault="0017053E" w:rsidP="0017053E">
            <w:pPr>
              <w:rPr>
                <w:rFonts w:eastAsia="Times New Roman" w:cs="Calibri"/>
                <w:lang w:val="es-CR"/>
              </w:rPr>
            </w:pPr>
            <w:r w:rsidRPr="0017053E">
              <w:rPr>
                <w:rFonts w:eastAsia="Times New Roman" w:cs="Calibri"/>
                <w:lang w:val="es-CR"/>
              </w:rPr>
              <w:t>Fondo</w:t>
            </w:r>
          </w:p>
        </w:tc>
        <w:tc>
          <w:tcPr>
            <w:tcW w:w="9072" w:type="dxa"/>
            <w:hideMark/>
          </w:tcPr>
          <w:p w14:paraId="5640B48F" w14:textId="77777777" w:rsidR="0017053E" w:rsidRPr="0017053E" w:rsidRDefault="00405E27" w:rsidP="0017053E">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Pr>
                <w:rFonts w:eastAsia="Times New Roman" w:cs="Calibri"/>
                <w:lang w:val="es-CR"/>
              </w:rPr>
              <w:t>Impacto en recaudación</w:t>
            </w:r>
          </w:p>
        </w:tc>
      </w:tr>
      <w:tr w:rsidR="00AD5AED" w:rsidRPr="0017053E" w14:paraId="3F2C462D" w14:textId="77777777" w:rsidTr="005A2B54">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1129" w:type="dxa"/>
          </w:tcPr>
          <w:p w14:paraId="589AA1E1" w14:textId="77777777" w:rsidR="00AD5AED" w:rsidRPr="0017053E" w:rsidRDefault="00AD5AED" w:rsidP="00AD5966">
            <w:pPr>
              <w:rPr>
                <w:rFonts w:eastAsia="Times New Roman" w:cs="Calibri"/>
                <w:color w:val="000000"/>
                <w:lang w:val="es-CR"/>
              </w:rPr>
            </w:pPr>
            <w:r w:rsidRPr="006B2868">
              <w:rPr>
                <w:rFonts w:eastAsia="Times New Roman" w:cs="Calibri"/>
                <w:color w:val="000000"/>
                <w:lang w:val="es-CR"/>
              </w:rPr>
              <w:t>ROP</w:t>
            </w:r>
            <w:r w:rsidR="00AD5966">
              <w:rPr>
                <w:rFonts w:eastAsia="Times New Roman" w:cs="Calibri"/>
                <w:color w:val="000000"/>
                <w:lang w:val="es-CR"/>
              </w:rPr>
              <w:t xml:space="preserve"> y </w:t>
            </w:r>
            <w:r w:rsidRPr="006B2868">
              <w:rPr>
                <w:rFonts w:eastAsia="Times New Roman" w:cs="Calibri"/>
                <w:color w:val="000000"/>
                <w:lang w:val="es-CR"/>
              </w:rPr>
              <w:t>FC</w:t>
            </w:r>
            <w:r w:rsidR="006B2868">
              <w:rPr>
                <w:rFonts w:eastAsia="Times New Roman" w:cs="Calibri"/>
                <w:color w:val="000000"/>
                <w:lang w:val="es-CR"/>
              </w:rPr>
              <w:t>L</w:t>
            </w:r>
          </w:p>
        </w:tc>
        <w:tc>
          <w:tcPr>
            <w:tcW w:w="9072" w:type="dxa"/>
          </w:tcPr>
          <w:p w14:paraId="3F41176B" w14:textId="3D1EA460" w:rsidR="00AD5AED" w:rsidRPr="00AD5AED" w:rsidRDefault="00AD5AED" w:rsidP="00AD5AED">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val="es-CR"/>
              </w:rPr>
            </w:pPr>
            <w:r w:rsidRPr="00AD5AED">
              <w:rPr>
                <w:rFonts w:eastAsia="Times New Roman" w:cs="Calibri"/>
                <w:color w:val="000000"/>
                <w:lang w:val="es-CR"/>
              </w:rPr>
              <w:t xml:space="preserve">Desde finales de marzo de 2020 varias empresas han optado por cesar trabajadores o por suspender o reducir la jornada laboral de estos. </w:t>
            </w:r>
          </w:p>
        </w:tc>
      </w:tr>
      <w:tr w:rsidR="0017053E" w:rsidRPr="0017053E" w14:paraId="7BF20710" w14:textId="77777777" w:rsidTr="005A2B54">
        <w:trPr>
          <w:trHeight w:val="589"/>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08D122D" w14:textId="77777777" w:rsidR="0017053E" w:rsidRPr="0017053E" w:rsidRDefault="005A2B54" w:rsidP="0017053E">
            <w:pPr>
              <w:rPr>
                <w:rFonts w:eastAsia="Times New Roman" w:cs="Calibri"/>
                <w:color w:val="000000"/>
                <w:lang w:val="es-CR"/>
              </w:rPr>
            </w:pPr>
            <w:r>
              <w:rPr>
                <w:rFonts w:eastAsia="Times New Roman" w:cs="Calibri"/>
                <w:color w:val="000000"/>
                <w:lang w:val="es-CR"/>
              </w:rPr>
              <w:t>R</w:t>
            </w:r>
            <w:r w:rsidR="0017053E" w:rsidRPr="0017053E">
              <w:rPr>
                <w:rFonts w:eastAsia="Times New Roman" w:cs="Calibri"/>
                <w:color w:val="000000"/>
                <w:lang w:val="es-CR"/>
              </w:rPr>
              <w:t>IVM</w:t>
            </w:r>
          </w:p>
        </w:tc>
        <w:tc>
          <w:tcPr>
            <w:tcW w:w="9072" w:type="dxa"/>
            <w:hideMark/>
          </w:tcPr>
          <w:p w14:paraId="5EFF1C6A" w14:textId="74A87650" w:rsidR="0017053E" w:rsidRPr="0017053E" w:rsidRDefault="0017053E" w:rsidP="00EB653B">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7053E">
              <w:rPr>
                <w:rFonts w:eastAsia="Times New Roman" w:cs="Calibri"/>
                <w:color w:val="000000"/>
                <w:lang w:val="es-CR"/>
              </w:rPr>
              <w:t xml:space="preserve">De marzo a mayo de 2020, se evidencia una disminución de afiliados lo que corresponde a una reducción en la masa salarial y recaudación de la institución. </w:t>
            </w:r>
          </w:p>
        </w:tc>
      </w:tr>
      <w:tr w:rsidR="0017053E" w:rsidRPr="0017053E" w14:paraId="34FFC079" w14:textId="77777777" w:rsidTr="005A2B54">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F05FAFC" w14:textId="77777777" w:rsidR="0017053E" w:rsidRPr="0017053E" w:rsidRDefault="0017053E" w:rsidP="0017053E">
            <w:pPr>
              <w:rPr>
                <w:rFonts w:eastAsia="Times New Roman" w:cs="Calibri"/>
                <w:color w:val="000000"/>
                <w:lang w:val="es-CR"/>
              </w:rPr>
            </w:pPr>
            <w:r w:rsidRPr="0017053E">
              <w:rPr>
                <w:rFonts w:eastAsia="Times New Roman" w:cs="Calibri"/>
                <w:color w:val="000000"/>
                <w:lang w:val="es-CR"/>
              </w:rPr>
              <w:t>FPJ</w:t>
            </w:r>
          </w:p>
        </w:tc>
        <w:tc>
          <w:tcPr>
            <w:tcW w:w="9072" w:type="dxa"/>
            <w:hideMark/>
          </w:tcPr>
          <w:p w14:paraId="737A46EC" w14:textId="77777777" w:rsidR="0017053E" w:rsidRPr="0017053E" w:rsidRDefault="0017053E" w:rsidP="00EB653B">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7053E">
              <w:rPr>
                <w:rFonts w:eastAsia="Times New Roman" w:cs="Calibri"/>
                <w:color w:val="000000"/>
                <w:lang w:val="es-CR"/>
              </w:rPr>
              <w:t>Se presenta una disminución de planilla de afiliados por no renovación de contratos a interinos, afectando el ingreso por concepto de aportes al Fondo.</w:t>
            </w:r>
          </w:p>
        </w:tc>
      </w:tr>
      <w:tr w:rsidR="0017053E" w:rsidRPr="0017053E" w14:paraId="56AF4695" w14:textId="77777777" w:rsidTr="005A2B54">
        <w:trPr>
          <w:trHeight w:val="503"/>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287BBCC" w14:textId="77777777" w:rsidR="0017053E" w:rsidRPr="0017053E" w:rsidRDefault="0017053E" w:rsidP="0017053E">
            <w:pPr>
              <w:rPr>
                <w:rFonts w:eastAsia="Times New Roman" w:cs="Calibri"/>
                <w:color w:val="000000"/>
                <w:lang w:val="es-CR"/>
              </w:rPr>
            </w:pPr>
            <w:r w:rsidRPr="0017053E">
              <w:rPr>
                <w:rFonts w:eastAsia="Times New Roman" w:cs="Calibri"/>
                <w:color w:val="000000"/>
                <w:lang w:val="es-CR"/>
              </w:rPr>
              <w:t>FVENLOT</w:t>
            </w:r>
          </w:p>
        </w:tc>
        <w:tc>
          <w:tcPr>
            <w:tcW w:w="9072" w:type="dxa"/>
            <w:hideMark/>
          </w:tcPr>
          <w:p w14:paraId="3C3C52C8" w14:textId="77777777" w:rsidR="00C30006" w:rsidRDefault="00C30006" w:rsidP="00EB653B">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C30006">
              <w:rPr>
                <w:rFonts w:eastAsia="Times New Roman" w:cs="Calibri"/>
                <w:color w:val="000000"/>
                <w:lang w:val="es-CR"/>
              </w:rPr>
              <w:t>La venta de lotería impresa ha decaído a causa de las medidas sanitarias, impactando los ingresos del Fondo. La Junta de Protección Social aprobó un nuevo canal de distribución de lotería a través de una plataforma tecnológica, que no aporta a FOMUVEL ni al Fondo de Pensiones.</w:t>
            </w:r>
          </w:p>
          <w:p w14:paraId="71409C0B" w14:textId="77777777" w:rsidR="0017053E" w:rsidRPr="0017053E" w:rsidRDefault="0017053E" w:rsidP="00EB653B">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7053E">
              <w:rPr>
                <w:rFonts w:eastAsia="Times New Roman" w:cs="Calibri"/>
                <w:color w:val="000000"/>
                <w:lang w:val="es-CR"/>
              </w:rPr>
              <w:t>FOMUVEL promueve ante la JPS que se autorice la comercialización de lotería a través de una plataforma digital que beneficie al fondo.</w:t>
            </w:r>
          </w:p>
        </w:tc>
      </w:tr>
    </w:tbl>
    <w:p w14:paraId="1D33B43F" w14:textId="77777777" w:rsidR="00680185" w:rsidRPr="00405E27" w:rsidRDefault="00405E27" w:rsidP="00AD5AED">
      <w:pPr>
        <w:pStyle w:val="Descripcin"/>
        <w:spacing w:after="0"/>
      </w:pPr>
      <w:r>
        <w:t>Fuente: Elaboración propia</w:t>
      </w:r>
    </w:p>
    <w:p w14:paraId="6396A0DD" w14:textId="77777777" w:rsidR="009E2143" w:rsidRPr="009E2143" w:rsidRDefault="009E2143" w:rsidP="00E725EC">
      <w:pPr>
        <w:spacing w:after="0" w:line="240" w:lineRule="auto"/>
        <w:jc w:val="both"/>
      </w:pPr>
    </w:p>
    <w:p w14:paraId="24A61F2B" w14:textId="77777777" w:rsidR="00040FCB" w:rsidRDefault="00E809EF" w:rsidP="00040FCB">
      <w:pPr>
        <w:pStyle w:val="Ttulo2"/>
        <w:numPr>
          <w:ilvl w:val="1"/>
          <w:numId w:val="2"/>
        </w:numPr>
      </w:pPr>
      <w:bookmarkStart w:id="8" w:name="_Toc50731056"/>
      <w:r>
        <w:t>Efectos en</w:t>
      </w:r>
      <w:r w:rsidR="00C74688" w:rsidRPr="00C74688">
        <w:t xml:space="preserve"> </w:t>
      </w:r>
      <w:r w:rsidR="00040FCB">
        <w:t>Regímenes de Capitalización Individual</w:t>
      </w:r>
      <w:bookmarkEnd w:id="8"/>
      <w:r w:rsidR="00040FCB" w:rsidRPr="00040FCB">
        <w:t xml:space="preserve"> </w:t>
      </w:r>
    </w:p>
    <w:p w14:paraId="14068925" w14:textId="77777777" w:rsidR="00F42881" w:rsidRPr="00F42881" w:rsidRDefault="00F42881" w:rsidP="00E725EC">
      <w:pPr>
        <w:spacing w:after="0" w:line="240" w:lineRule="auto"/>
        <w:jc w:val="both"/>
      </w:pPr>
    </w:p>
    <w:p w14:paraId="59C7FFB8" w14:textId="77777777" w:rsidR="00040FCB" w:rsidRDefault="00040FCB" w:rsidP="0089566B">
      <w:pPr>
        <w:pStyle w:val="Ttulo3"/>
        <w:numPr>
          <w:ilvl w:val="2"/>
          <w:numId w:val="2"/>
        </w:numPr>
      </w:pPr>
      <w:bookmarkStart w:id="9" w:name="_Toc50731057"/>
      <w:r w:rsidRPr="00FF1FD4">
        <w:t>Suspensión de los traslados de recursos entre operadoras por libre transferencia</w:t>
      </w:r>
      <w:bookmarkEnd w:id="9"/>
    </w:p>
    <w:p w14:paraId="68AA2748" w14:textId="77777777" w:rsidR="00622FD1" w:rsidRPr="00622FD1" w:rsidRDefault="00622FD1" w:rsidP="00622FD1">
      <w:pPr>
        <w:spacing w:after="0" w:line="240" w:lineRule="auto"/>
      </w:pPr>
    </w:p>
    <w:p w14:paraId="62B1F582" w14:textId="77777777" w:rsidR="007959EE" w:rsidRDefault="007959EE" w:rsidP="003C155C">
      <w:pPr>
        <w:spacing w:after="0" w:line="240" w:lineRule="auto"/>
        <w:jc w:val="both"/>
        <w:rPr>
          <w:rFonts w:ascii="Calibri" w:eastAsia="Times New Roman" w:hAnsi="Calibri" w:cs="Calibri"/>
          <w:color w:val="000000"/>
          <w:lang w:val="es-CR" w:eastAsia="es-CR"/>
        </w:rPr>
      </w:pPr>
      <w:r w:rsidRPr="00D8140D">
        <w:t>Dada la caída histórica en los rendimientos de los fondos administrados y siendo que el transitorio II de la Ley 9839 le otorgó al CONASSIF la potestad de suspender la libre transferencia para evitar que los afiliados incurrieran en pérdidas de imposible y difícil reparación, a partir del martes 26 de mayo, ese órgano colegiado emitió, a solicitud de SUPEN, la resolución fundada para suspender el traslado de los recursos entre las operadoras derivados del ejercicio del derecho a la libre transferencia por parte de los afiliados. Al 1 de julio de 2020,</w:t>
      </w:r>
      <w:r w:rsidRPr="007959EE">
        <w:rPr>
          <w:rFonts w:ascii="Calibri" w:eastAsia="Times New Roman" w:hAnsi="Calibri" w:cs="Calibri"/>
          <w:color w:val="000000"/>
          <w:lang w:val="es-CR" w:eastAsia="es-CR"/>
        </w:rPr>
        <w:t xml:space="preserve"> se mantienen pendientes de trasladar 11 643 operaciones salientes en los fondos administrados, por un importe total de ₡20 337 millones.</w:t>
      </w:r>
    </w:p>
    <w:p w14:paraId="3B7A1A1F" w14:textId="03C534D7" w:rsidR="00836B70" w:rsidRDefault="00836B70">
      <w:pPr>
        <w:rPr>
          <w:rFonts w:ascii="Calibri" w:eastAsia="Times New Roman" w:hAnsi="Calibri" w:cs="Calibri"/>
          <w:color w:val="000000"/>
          <w:lang w:val="es-CR" w:eastAsia="es-CR"/>
        </w:rPr>
      </w:pPr>
      <w:r>
        <w:rPr>
          <w:rFonts w:ascii="Calibri" w:eastAsia="Times New Roman" w:hAnsi="Calibri" w:cs="Calibri"/>
          <w:color w:val="000000"/>
          <w:lang w:val="es-CR" w:eastAsia="es-CR"/>
        </w:rPr>
        <w:br w:type="page"/>
      </w:r>
    </w:p>
    <w:p w14:paraId="3F88C2FE" w14:textId="77777777" w:rsidR="00EC7965" w:rsidRPr="007959EE" w:rsidRDefault="00EC7965" w:rsidP="003C155C">
      <w:pPr>
        <w:spacing w:after="0" w:line="240" w:lineRule="auto"/>
        <w:jc w:val="both"/>
        <w:rPr>
          <w:rFonts w:ascii="Calibri" w:eastAsia="Times New Roman" w:hAnsi="Calibri" w:cs="Calibri"/>
          <w:color w:val="000000"/>
          <w:lang w:val="es-CR" w:eastAsia="es-CR"/>
        </w:rPr>
      </w:pPr>
    </w:p>
    <w:p w14:paraId="5CC386CD" w14:textId="77777777" w:rsidR="00040FCB" w:rsidRDefault="003F028F" w:rsidP="0089566B">
      <w:pPr>
        <w:pStyle w:val="Ttulo3"/>
        <w:numPr>
          <w:ilvl w:val="2"/>
          <w:numId w:val="2"/>
        </w:numPr>
      </w:pPr>
      <w:bookmarkStart w:id="10" w:name="_Toc50731058"/>
      <w:r>
        <w:t>Retiros</w:t>
      </w:r>
      <w:r w:rsidR="00040FCB" w:rsidRPr="0089566B">
        <w:t xml:space="preserve"> FCL por nuevas causales</w:t>
      </w:r>
      <w:bookmarkEnd w:id="10"/>
    </w:p>
    <w:p w14:paraId="541751B2" w14:textId="77777777" w:rsidR="003F028F" w:rsidRDefault="003F028F" w:rsidP="00B70133">
      <w:pPr>
        <w:pStyle w:val="Descripcin"/>
        <w:spacing w:after="0"/>
        <w:jc w:val="center"/>
      </w:pPr>
    </w:p>
    <w:p w14:paraId="1DA5F0BC" w14:textId="77777777" w:rsidR="00B70133" w:rsidRDefault="006238D9" w:rsidP="00B70133">
      <w:pPr>
        <w:pStyle w:val="Descripcin"/>
        <w:spacing w:after="0"/>
        <w:jc w:val="center"/>
      </w:pPr>
      <w:r>
        <w:t xml:space="preserve">Tabla </w:t>
      </w:r>
      <w:r>
        <w:fldChar w:fldCharType="begin"/>
      </w:r>
      <w:r>
        <w:instrText xml:space="preserve"> SEQ Tabla \* ARABIC </w:instrText>
      </w:r>
      <w:r>
        <w:fldChar w:fldCharType="separate"/>
      </w:r>
      <w:r>
        <w:rPr>
          <w:noProof/>
        </w:rPr>
        <w:t>2</w:t>
      </w:r>
      <w:r>
        <w:fldChar w:fldCharType="end"/>
      </w:r>
      <w:r>
        <w:t xml:space="preserve">: </w:t>
      </w:r>
      <w:r w:rsidR="00B70133">
        <w:t>Retiros del Fondo de Capitalización Laboral</w:t>
      </w:r>
    </w:p>
    <w:p w14:paraId="02111253" w14:textId="77777777" w:rsidR="00723D1F" w:rsidRDefault="00B70133" w:rsidP="00723D1F">
      <w:pPr>
        <w:pStyle w:val="Descripcin"/>
        <w:spacing w:after="0"/>
        <w:jc w:val="center"/>
      </w:pPr>
      <w:r>
        <w:t xml:space="preserve">Atendidas </w:t>
      </w:r>
      <w:r w:rsidR="005F0338">
        <w:t>d</w:t>
      </w:r>
      <w:r w:rsidR="00E007CA">
        <w:t xml:space="preserve">el </w:t>
      </w:r>
      <w:r w:rsidR="005F0338" w:rsidRPr="005F0338">
        <w:t xml:space="preserve">10 de abril hasta el </w:t>
      </w:r>
      <w:r w:rsidR="005F0338">
        <w:t>0</w:t>
      </w:r>
      <w:r w:rsidR="005F0338" w:rsidRPr="005F0338">
        <w:t>1 de julio de 2020</w:t>
      </w:r>
    </w:p>
    <w:p w14:paraId="63F8AC34" w14:textId="77777777" w:rsidR="004A6855" w:rsidRPr="004A6855" w:rsidRDefault="004A6855" w:rsidP="004A6855">
      <w:pPr>
        <w:pStyle w:val="Descripcin"/>
        <w:spacing w:after="0"/>
        <w:jc w:val="center"/>
      </w:pPr>
      <w:r>
        <w:t>Monto en miles de colones</w:t>
      </w:r>
    </w:p>
    <w:tbl>
      <w:tblPr>
        <w:tblStyle w:val="Tablaconcuadrcula4-nfasis1"/>
        <w:tblW w:w="7083" w:type="dxa"/>
        <w:jc w:val="center"/>
        <w:tblLook w:val="04E0" w:firstRow="1" w:lastRow="1" w:firstColumn="1" w:lastColumn="0" w:noHBand="0" w:noVBand="1"/>
      </w:tblPr>
      <w:tblGrid>
        <w:gridCol w:w="3280"/>
        <w:gridCol w:w="1545"/>
        <w:gridCol w:w="2258"/>
      </w:tblGrid>
      <w:tr w:rsidR="00740A5F" w:rsidRPr="00740A5F" w14:paraId="2956D690" w14:textId="77777777" w:rsidTr="00684E15">
        <w:trPr>
          <w:cnfStyle w:val="100000000000" w:firstRow="1" w:lastRow="0"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3280" w:type="dxa"/>
            <w:noWrap/>
            <w:hideMark/>
          </w:tcPr>
          <w:p w14:paraId="55F32D9E" w14:textId="77777777" w:rsidR="00740A5F" w:rsidRPr="00740A5F" w:rsidRDefault="00740A5F" w:rsidP="00740A5F">
            <w:pPr>
              <w:rPr>
                <w:rFonts w:eastAsia="Times New Roman" w:cs="Calibri"/>
                <w:lang w:val="es-CR"/>
              </w:rPr>
            </w:pPr>
            <w:r w:rsidRPr="00740A5F">
              <w:rPr>
                <w:rFonts w:eastAsia="Times New Roman" w:cs="Calibri"/>
                <w:lang w:val="es-CR"/>
              </w:rPr>
              <w:t>Motivo</w:t>
            </w:r>
          </w:p>
        </w:tc>
        <w:tc>
          <w:tcPr>
            <w:tcW w:w="1545" w:type="dxa"/>
            <w:noWrap/>
            <w:hideMark/>
          </w:tcPr>
          <w:p w14:paraId="6D29F85D" w14:textId="77777777" w:rsidR="00740A5F" w:rsidRPr="00740A5F" w:rsidRDefault="00740A5F" w:rsidP="00740A5F">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740A5F">
              <w:rPr>
                <w:rFonts w:eastAsia="Times New Roman" w:cs="Calibri"/>
                <w:lang w:val="es-CR"/>
              </w:rPr>
              <w:t>Monto pagado</w:t>
            </w:r>
          </w:p>
        </w:tc>
        <w:tc>
          <w:tcPr>
            <w:tcW w:w="2258" w:type="dxa"/>
            <w:noWrap/>
            <w:hideMark/>
          </w:tcPr>
          <w:p w14:paraId="7E29EC30" w14:textId="77777777" w:rsidR="00740A5F" w:rsidRPr="00740A5F" w:rsidRDefault="00740A5F" w:rsidP="00740A5F">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740A5F">
              <w:rPr>
                <w:rFonts w:eastAsia="Times New Roman" w:cs="Calibri"/>
                <w:lang w:val="es-CR"/>
              </w:rPr>
              <w:t>Cantidad de solicitudes</w:t>
            </w:r>
          </w:p>
        </w:tc>
      </w:tr>
      <w:tr w:rsidR="00B22AA2" w:rsidRPr="00740A5F" w14:paraId="4A328024" w14:textId="77777777" w:rsidTr="00684E15">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3280" w:type="dxa"/>
            <w:noWrap/>
            <w:hideMark/>
          </w:tcPr>
          <w:p w14:paraId="03722629" w14:textId="77777777" w:rsidR="00B22AA2" w:rsidRPr="00740A5F" w:rsidRDefault="00B22AA2" w:rsidP="00B22AA2">
            <w:pPr>
              <w:rPr>
                <w:rFonts w:eastAsia="Times New Roman" w:cs="Calibri"/>
                <w:color w:val="000000"/>
                <w:lang w:val="es-CR"/>
              </w:rPr>
            </w:pPr>
            <w:r w:rsidRPr="00740A5F">
              <w:rPr>
                <w:rFonts w:eastAsia="Times New Roman" w:cs="Calibri"/>
                <w:color w:val="000000"/>
                <w:lang w:val="es-CR"/>
              </w:rPr>
              <w:t xml:space="preserve">Cese laboral </w:t>
            </w:r>
          </w:p>
        </w:tc>
        <w:tc>
          <w:tcPr>
            <w:tcW w:w="1545" w:type="dxa"/>
            <w:noWrap/>
            <w:hideMark/>
          </w:tcPr>
          <w:p w14:paraId="4D2EB02F" w14:textId="77777777" w:rsidR="00B22AA2" w:rsidRPr="00740A5F" w:rsidRDefault="00B22AA2" w:rsidP="00E615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40A5F">
              <w:rPr>
                <w:rFonts w:eastAsia="Times New Roman" w:cs="Calibri"/>
                <w:color w:val="000000"/>
                <w:lang w:val="es-CR"/>
              </w:rPr>
              <w:t xml:space="preserve">    17 882 </w:t>
            </w:r>
          </w:p>
        </w:tc>
        <w:tc>
          <w:tcPr>
            <w:tcW w:w="2258" w:type="dxa"/>
            <w:noWrap/>
            <w:hideMark/>
          </w:tcPr>
          <w:p w14:paraId="1329EB3F" w14:textId="77777777" w:rsidR="00B22AA2" w:rsidRPr="00740A5F" w:rsidRDefault="00B22AA2" w:rsidP="00B22AA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6A76F2">
              <w:t xml:space="preserve"> 121 984 </w:t>
            </w:r>
          </w:p>
        </w:tc>
      </w:tr>
      <w:tr w:rsidR="00B22AA2" w:rsidRPr="00740A5F" w14:paraId="3B87CBC2" w14:textId="77777777" w:rsidTr="00684E15">
        <w:trPr>
          <w:trHeight w:val="229"/>
          <w:jc w:val="center"/>
        </w:trPr>
        <w:tc>
          <w:tcPr>
            <w:cnfStyle w:val="001000000000" w:firstRow="0" w:lastRow="0" w:firstColumn="1" w:lastColumn="0" w:oddVBand="0" w:evenVBand="0" w:oddHBand="0" w:evenHBand="0" w:firstRowFirstColumn="0" w:firstRowLastColumn="0" w:lastRowFirstColumn="0" w:lastRowLastColumn="0"/>
            <w:tcW w:w="3280" w:type="dxa"/>
            <w:noWrap/>
            <w:hideMark/>
          </w:tcPr>
          <w:p w14:paraId="0E6ABE05" w14:textId="77777777" w:rsidR="00B22AA2" w:rsidRPr="00740A5F" w:rsidRDefault="00B22AA2" w:rsidP="00B22AA2">
            <w:pPr>
              <w:rPr>
                <w:rFonts w:eastAsia="Times New Roman" w:cs="Calibri"/>
                <w:color w:val="000000"/>
                <w:lang w:val="es-CR"/>
              </w:rPr>
            </w:pPr>
            <w:r w:rsidRPr="00740A5F">
              <w:rPr>
                <w:rFonts w:eastAsia="Times New Roman" w:cs="Calibri"/>
                <w:color w:val="000000"/>
                <w:lang w:val="es-CR"/>
              </w:rPr>
              <w:t>Suspensión del contrato</w:t>
            </w:r>
          </w:p>
        </w:tc>
        <w:tc>
          <w:tcPr>
            <w:tcW w:w="1545" w:type="dxa"/>
            <w:noWrap/>
            <w:hideMark/>
          </w:tcPr>
          <w:p w14:paraId="30089099" w14:textId="77777777" w:rsidR="00B22AA2" w:rsidRPr="00740A5F" w:rsidRDefault="00B22AA2" w:rsidP="00E615E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40A5F">
              <w:rPr>
                <w:rFonts w:eastAsia="Times New Roman" w:cs="Calibri"/>
                <w:color w:val="000000"/>
                <w:lang w:val="es-CR"/>
              </w:rPr>
              <w:t xml:space="preserve">      5 794 </w:t>
            </w:r>
          </w:p>
        </w:tc>
        <w:tc>
          <w:tcPr>
            <w:tcW w:w="2258" w:type="dxa"/>
            <w:noWrap/>
            <w:hideMark/>
          </w:tcPr>
          <w:p w14:paraId="539FFBB2" w14:textId="77777777" w:rsidR="00B22AA2" w:rsidRPr="00740A5F" w:rsidRDefault="00B22AA2" w:rsidP="00B22AA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6A76F2">
              <w:t xml:space="preserve"> 30 978 </w:t>
            </w:r>
          </w:p>
        </w:tc>
      </w:tr>
      <w:tr w:rsidR="00B22AA2" w:rsidRPr="00740A5F" w14:paraId="0D60409C" w14:textId="77777777" w:rsidTr="00684E15">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3280" w:type="dxa"/>
            <w:noWrap/>
            <w:hideMark/>
          </w:tcPr>
          <w:p w14:paraId="63A0A120" w14:textId="77777777" w:rsidR="00B22AA2" w:rsidRPr="00740A5F" w:rsidRDefault="00B22AA2" w:rsidP="00B22AA2">
            <w:pPr>
              <w:rPr>
                <w:rFonts w:eastAsia="Times New Roman" w:cs="Calibri"/>
                <w:color w:val="000000"/>
                <w:lang w:val="es-CR"/>
              </w:rPr>
            </w:pPr>
            <w:r w:rsidRPr="00740A5F">
              <w:rPr>
                <w:rFonts w:eastAsia="Times New Roman" w:cs="Calibri"/>
                <w:color w:val="000000"/>
                <w:lang w:val="es-CR"/>
              </w:rPr>
              <w:t>Reducción de la jornada</w:t>
            </w:r>
          </w:p>
        </w:tc>
        <w:tc>
          <w:tcPr>
            <w:tcW w:w="1545" w:type="dxa"/>
            <w:noWrap/>
            <w:hideMark/>
          </w:tcPr>
          <w:p w14:paraId="245225B0" w14:textId="77777777" w:rsidR="00B22AA2" w:rsidRPr="00740A5F" w:rsidRDefault="00B22AA2" w:rsidP="00E615E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40A5F">
              <w:rPr>
                <w:rFonts w:eastAsia="Times New Roman" w:cs="Calibri"/>
                <w:color w:val="000000"/>
                <w:lang w:val="es-CR"/>
              </w:rPr>
              <w:t xml:space="preserve">    21 581 </w:t>
            </w:r>
          </w:p>
        </w:tc>
        <w:tc>
          <w:tcPr>
            <w:tcW w:w="2258" w:type="dxa"/>
            <w:noWrap/>
            <w:hideMark/>
          </w:tcPr>
          <w:p w14:paraId="7E7C9B56" w14:textId="77777777" w:rsidR="00B22AA2" w:rsidRPr="00740A5F" w:rsidRDefault="00B22AA2" w:rsidP="00B22AA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6A76F2">
              <w:t xml:space="preserve"> 71 799 </w:t>
            </w:r>
          </w:p>
        </w:tc>
      </w:tr>
      <w:tr w:rsidR="00B22AA2" w:rsidRPr="00740A5F" w14:paraId="5C285C82" w14:textId="77777777" w:rsidTr="00684E15">
        <w:trPr>
          <w:cnfStyle w:val="010000000000" w:firstRow="0" w:lastRow="1"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3280" w:type="dxa"/>
            <w:noWrap/>
            <w:hideMark/>
          </w:tcPr>
          <w:p w14:paraId="409B58A5" w14:textId="77777777" w:rsidR="00B22AA2" w:rsidRPr="00740A5F" w:rsidRDefault="00B22AA2" w:rsidP="00B22AA2">
            <w:pPr>
              <w:rPr>
                <w:rFonts w:eastAsia="Times New Roman" w:cs="Calibri"/>
                <w:color w:val="000000"/>
                <w:lang w:val="es-CR"/>
              </w:rPr>
            </w:pPr>
            <w:r w:rsidRPr="00740A5F">
              <w:rPr>
                <w:rFonts w:eastAsia="Times New Roman" w:cs="Calibri"/>
                <w:color w:val="000000"/>
                <w:lang w:val="es-CR"/>
              </w:rPr>
              <w:t>Total</w:t>
            </w:r>
          </w:p>
        </w:tc>
        <w:tc>
          <w:tcPr>
            <w:tcW w:w="1545" w:type="dxa"/>
            <w:noWrap/>
            <w:hideMark/>
          </w:tcPr>
          <w:p w14:paraId="22A47FB8" w14:textId="77777777" w:rsidR="00B22AA2" w:rsidRPr="00740A5F" w:rsidRDefault="00B22AA2" w:rsidP="00E615E5">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740A5F">
              <w:rPr>
                <w:rFonts w:eastAsia="Times New Roman" w:cs="Calibri"/>
                <w:color w:val="000000"/>
                <w:lang w:val="es-CR"/>
              </w:rPr>
              <w:t xml:space="preserve">    45 257 </w:t>
            </w:r>
          </w:p>
        </w:tc>
        <w:tc>
          <w:tcPr>
            <w:tcW w:w="2258" w:type="dxa"/>
            <w:noWrap/>
            <w:hideMark/>
          </w:tcPr>
          <w:p w14:paraId="1BC47E27" w14:textId="77777777" w:rsidR="00B22AA2" w:rsidRPr="00740A5F" w:rsidRDefault="00B22AA2" w:rsidP="00B22AA2">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6A76F2">
              <w:t xml:space="preserve"> 224 761 </w:t>
            </w:r>
          </w:p>
        </w:tc>
      </w:tr>
    </w:tbl>
    <w:p w14:paraId="1371C5DD" w14:textId="77777777" w:rsidR="00680F11" w:rsidRDefault="00680F11" w:rsidP="00680F11">
      <w:pPr>
        <w:pStyle w:val="Descripcin"/>
        <w:spacing w:after="0"/>
        <w:ind w:firstLine="708"/>
      </w:pPr>
      <w:r>
        <w:t xml:space="preserve">Fuente: Elaboración propia </w:t>
      </w:r>
      <w:r w:rsidR="00723D1F">
        <w:t>con datos suministrados por las entidades</w:t>
      </w:r>
    </w:p>
    <w:p w14:paraId="0EC07293" w14:textId="77777777" w:rsidR="00A905A8" w:rsidRDefault="00A905A8" w:rsidP="00A905A8">
      <w:pPr>
        <w:spacing w:after="0" w:line="240" w:lineRule="auto"/>
        <w:rPr>
          <w:rFonts w:ascii="Calibri" w:eastAsia="Times New Roman" w:hAnsi="Calibri" w:cs="Calibri"/>
          <w:color w:val="000000"/>
          <w:lang w:val="es-CR" w:eastAsia="es-CR"/>
        </w:rPr>
      </w:pPr>
    </w:p>
    <w:p w14:paraId="07F8293A" w14:textId="77777777" w:rsidR="00C277E1" w:rsidRDefault="00BE4225" w:rsidP="003C155C">
      <w:pPr>
        <w:spacing w:after="0" w:line="240" w:lineRule="auto"/>
        <w:jc w:val="both"/>
        <w:rPr>
          <w:rFonts w:ascii="Calibri" w:eastAsia="Times New Roman" w:hAnsi="Calibri" w:cs="Calibri"/>
          <w:color w:val="000000"/>
          <w:lang w:val="es-CR" w:eastAsia="es-CR"/>
        </w:rPr>
      </w:pPr>
      <w:r w:rsidRPr="00BE4225">
        <w:rPr>
          <w:rFonts w:ascii="Calibri" w:eastAsia="Times New Roman" w:hAnsi="Calibri" w:cs="Calibri"/>
          <w:color w:val="000000"/>
          <w:lang w:val="es-CR" w:eastAsia="es-CR"/>
        </w:rPr>
        <w:t xml:space="preserve">Al respecto, desde el 10 de abril hasta el </w:t>
      </w:r>
      <w:r>
        <w:rPr>
          <w:rFonts w:ascii="Calibri" w:eastAsia="Times New Roman" w:hAnsi="Calibri" w:cs="Calibri"/>
          <w:color w:val="000000"/>
          <w:lang w:val="es-CR" w:eastAsia="es-CR"/>
        </w:rPr>
        <w:t>0</w:t>
      </w:r>
      <w:r w:rsidRPr="00BE4225">
        <w:rPr>
          <w:rFonts w:ascii="Calibri" w:eastAsia="Times New Roman" w:hAnsi="Calibri" w:cs="Calibri"/>
          <w:color w:val="000000"/>
          <w:lang w:val="es-CR" w:eastAsia="es-CR"/>
        </w:rPr>
        <w:t xml:space="preserve">1 de julio de 2020, las operadoras de pensiones habían recibido </w:t>
      </w:r>
      <w:r w:rsidR="00842D71" w:rsidRPr="00842D71">
        <w:rPr>
          <w:rFonts w:ascii="Calibri" w:eastAsia="Times New Roman" w:hAnsi="Calibri" w:cs="Calibri"/>
          <w:color w:val="000000"/>
          <w:lang w:val="es-CR" w:eastAsia="es-CR"/>
        </w:rPr>
        <w:t>229</w:t>
      </w:r>
      <w:r w:rsidR="00842D71">
        <w:rPr>
          <w:rFonts w:ascii="Calibri" w:eastAsia="Times New Roman" w:hAnsi="Calibri" w:cs="Calibri"/>
          <w:color w:val="000000"/>
          <w:lang w:val="es-CR" w:eastAsia="es-CR"/>
        </w:rPr>
        <w:t> </w:t>
      </w:r>
      <w:r w:rsidR="00842D71" w:rsidRPr="00842D71">
        <w:rPr>
          <w:rFonts w:ascii="Calibri" w:eastAsia="Times New Roman" w:hAnsi="Calibri" w:cs="Calibri"/>
          <w:color w:val="000000"/>
          <w:lang w:val="es-CR" w:eastAsia="es-CR"/>
        </w:rPr>
        <w:t>039</w:t>
      </w:r>
      <w:r w:rsidR="00842D71">
        <w:rPr>
          <w:rFonts w:ascii="Calibri" w:eastAsia="Times New Roman" w:hAnsi="Calibri" w:cs="Calibri"/>
          <w:color w:val="000000"/>
          <w:lang w:val="es-CR" w:eastAsia="es-CR"/>
        </w:rPr>
        <w:t xml:space="preserve"> </w:t>
      </w:r>
      <w:r w:rsidRPr="00BE4225">
        <w:rPr>
          <w:rFonts w:ascii="Calibri" w:eastAsia="Times New Roman" w:hAnsi="Calibri" w:cs="Calibri"/>
          <w:color w:val="000000"/>
          <w:lang w:val="es-CR" w:eastAsia="es-CR"/>
        </w:rPr>
        <w:t>solicitudes de retiro del FCL, de las cuales el 9</w:t>
      </w:r>
      <w:r w:rsidR="00842D71">
        <w:rPr>
          <w:rFonts w:ascii="Calibri" w:eastAsia="Times New Roman" w:hAnsi="Calibri" w:cs="Calibri"/>
          <w:color w:val="000000"/>
          <w:lang w:val="es-CR" w:eastAsia="es-CR"/>
        </w:rPr>
        <w:t>8</w:t>
      </w:r>
      <w:r w:rsidRPr="00BE4225">
        <w:rPr>
          <w:rFonts w:ascii="Calibri" w:eastAsia="Times New Roman" w:hAnsi="Calibri" w:cs="Calibri"/>
          <w:color w:val="000000"/>
          <w:lang w:val="es-CR" w:eastAsia="es-CR"/>
        </w:rPr>
        <w:t xml:space="preserve">% había sido pagado a esa misma fecha. </w:t>
      </w:r>
    </w:p>
    <w:p w14:paraId="565255E8" w14:textId="77777777" w:rsidR="00C277E1" w:rsidRDefault="00C277E1" w:rsidP="003C155C">
      <w:pPr>
        <w:spacing w:after="0" w:line="240" w:lineRule="auto"/>
        <w:jc w:val="both"/>
        <w:rPr>
          <w:rFonts w:ascii="Calibri" w:eastAsia="Times New Roman" w:hAnsi="Calibri" w:cs="Calibri"/>
          <w:color w:val="000000"/>
          <w:lang w:val="es-CR" w:eastAsia="es-CR"/>
        </w:rPr>
      </w:pPr>
    </w:p>
    <w:p w14:paraId="2FB69C32" w14:textId="77777777" w:rsidR="0038661D" w:rsidRDefault="0038661D" w:rsidP="003C155C">
      <w:pPr>
        <w:spacing w:after="0" w:line="240" w:lineRule="auto"/>
        <w:jc w:val="both"/>
        <w:rPr>
          <w:rFonts w:ascii="Calibri" w:eastAsia="Times New Roman" w:hAnsi="Calibri" w:cs="Calibri"/>
          <w:color w:val="000000"/>
          <w:lang w:val="es-CR" w:eastAsia="es-CR"/>
        </w:rPr>
      </w:pPr>
      <w:r w:rsidRPr="0038661D">
        <w:rPr>
          <w:rFonts w:ascii="Calibri" w:eastAsia="Times New Roman" w:hAnsi="Calibri" w:cs="Calibri"/>
          <w:color w:val="000000"/>
          <w:lang w:val="es-CR" w:eastAsia="es-CR"/>
        </w:rPr>
        <w:t xml:space="preserve">El pago de estos recursos se ha realizado con los </w:t>
      </w:r>
      <w:r w:rsidR="00566313" w:rsidRPr="0038661D">
        <w:rPr>
          <w:rFonts w:ascii="Calibri" w:eastAsia="Times New Roman" w:hAnsi="Calibri" w:cs="Calibri"/>
          <w:color w:val="000000"/>
          <w:lang w:val="es-CR" w:eastAsia="es-CR"/>
        </w:rPr>
        <w:t>dineros</w:t>
      </w:r>
      <w:r w:rsidRPr="0038661D">
        <w:rPr>
          <w:rFonts w:ascii="Calibri" w:eastAsia="Times New Roman" w:hAnsi="Calibri" w:cs="Calibri"/>
          <w:color w:val="000000"/>
          <w:lang w:val="es-CR" w:eastAsia="es-CR"/>
        </w:rPr>
        <w:t xml:space="preserve"> provenientes de la recaudación y de vencimientos, sin necesidad de acudir a otros mecanismos como los previstos en la reciente modificación a la </w:t>
      </w:r>
      <w:r w:rsidR="00741055">
        <w:rPr>
          <w:rFonts w:ascii="Calibri" w:eastAsia="Times New Roman" w:hAnsi="Calibri" w:cs="Calibri"/>
          <w:color w:val="000000"/>
          <w:lang w:val="es-CR" w:eastAsia="es-CR"/>
        </w:rPr>
        <w:t>LPT</w:t>
      </w:r>
      <w:r w:rsidRPr="0038661D">
        <w:rPr>
          <w:rFonts w:ascii="Calibri" w:eastAsia="Times New Roman" w:hAnsi="Calibri" w:cs="Calibri"/>
          <w:color w:val="000000"/>
          <w:lang w:val="es-CR" w:eastAsia="es-CR"/>
        </w:rPr>
        <w:t xml:space="preserve">. SUPEN continúa dando seguimiento a la gestión de la liquidez y a la evolución de las solicitudes de retiro de los trabajadores. </w:t>
      </w:r>
    </w:p>
    <w:p w14:paraId="0B92E7C2" w14:textId="77777777" w:rsidR="003C155C" w:rsidRPr="0038661D" w:rsidRDefault="003C155C" w:rsidP="003C155C">
      <w:pPr>
        <w:spacing w:after="0" w:line="240" w:lineRule="auto"/>
        <w:jc w:val="both"/>
        <w:rPr>
          <w:rFonts w:ascii="Calibri" w:eastAsia="Times New Roman" w:hAnsi="Calibri" w:cs="Calibri"/>
          <w:color w:val="000000"/>
          <w:lang w:val="es-CR" w:eastAsia="es-CR"/>
        </w:rPr>
      </w:pPr>
    </w:p>
    <w:p w14:paraId="1DD1BCCB" w14:textId="77777777" w:rsidR="00040FCB" w:rsidRDefault="00040FCB" w:rsidP="0089566B">
      <w:pPr>
        <w:pStyle w:val="Ttulo3"/>
        <w:numPr>
          <w:ilvl w:val="2"/>
          <w:numId w:val="2"/>
        </w:numPr>
      </w:pPr>
      <w:bookmarkStart w:id="11" w:name="_Toc50731059"/>
      <w:r w:rsidRPr="0089566B">
        <w:t>Registro de la pérdida esperada por riesgo crédito (deterioro)</w:t>
      </w:r>
      <w:bookmarkEnd w:id="11"/>
    </w:p>
    <w:p w14:paraId="12447DE2" w14:textId="77777777" w:rsidR="00E02898" w:rsidRPr="00E02898" w:rsidRDefault="00E02898" w:rsidP="00622FD1">
      <w:pPr>
        <w:spacing w:after="0" w:line="240" w:lineRule="auto"/>
      </w:pPr>
    </w:p>
    <w:p w14:paraId="689DFB2D" w14:textId="77777777" w:rsidR="00E02898" w:rsidRDefault="00E02898" w:rsidP="003C155C">
      <w:pPr>
        <w:spacing w:after="0" w:line="240" w:lineRule="auto"/>
        <w:jc w:val="both"/>
        <w:rPr>
          <w:rFonts w:ascii="Calibri" w:eastAsia="Times New Roman" w:hAnsi="Calibri" w:cs="Calibri"/>
          <w:color w:val="000000"/>
          <w:lang w:val="es-CR" w:eastAsia="es-CR"/>
        </w:rPr>
      </w:pPr>
      <w:r w:rsidRPr="00E02898">
        <w:rPr>
          <w:rFonts w:ascii="Calibri" w:eastAsia="Times New Roman" w:hAnsi="Calibri" w:cs="Calibri"/>
          <w:color w:val="000000"/>
          <w:lang w:val="es-CR" w:eastAsia="es-CR"/>
        </w:rPr>
        <w:t xml:space="preserve">En junio de 2020, la calificadora de riesgo Standard &amp; </w:t>
      </w:r>
      <w:proofErr w:type="spellStart"/>
      <w:r w:rsidRPr="00E02898">
        <w:rPr>
          <w:rFonts w:ascii="Calibri" w:eastAsia="Times New Roman" w:hAnsi="Calibri" w:cs="Calibri"/>
          <w:color w:val="000000"/>
          <w:lang w:val="es-CR" w:eastAsia="es-CR"/>
        </w:rPr>
        <w:t>Poor´s</w:t>
      </w:r>
      <w:proofErr w:type="spellEnd"/>
      <w:r w:rsidRPr="00E02898">
        <w:rPr>
          <w:rFonts w:ascii="Calibri" w:eastAsia="Times New Roman" w:hAnsi="Calibri" w:cs="Calibri"/>
          <w:color w:val="000000"/>
          <w:lang w:val="es-CR" w:eastAsia="es-CR"/>
        </w:rPr>
        <w:t xml:space="preserve"> redujo la calificación crediticia de largo plazo para la deuda externa costarricense de B+ a B con perspectiva negativa. Este efecto debe reflejarse en el registro del deterioro (pérdidas esperadas por riesgo crediticio), según requiere la NIIF9 para aquellos instrumentos clasificados en los modelos de valor razonable con cambios al otro resultado integral (ORI) y a costo amortizado. </w:t>
      </w:r>
    </w:p>
    <w:p w14:paraId="07C45598" w14:textId="77777777" w:rsidR="007C2374" w:rsidRDefault="007C2374" w:rsidP="003C155C">
      <w:pPr>
        <w:spacing w:after="0" w:line="240" w:lineRule="auto"/>
        <w:jc w:val="both"/>
        <w:rPr>
          <w:rFonts w:ascii="Calibri" w:eastAsia="Times New Roman" w:hAnsi="Calibri" w:cs="Calibri"/>
          <w:color w:val="000000"/>
          <w:lang w:val="es-CR" w:eastAsia="es-CR"/>
        </w:rPr>
      </w:pPr>
    </w:p>
    <w:p w14:paraId="12145148" w14:textId="77777777" w:rsidR="00040FCB" w:rsidRDefault="00E809EF" w:rsidP="0089566B">
      <w:pPr>
        <w:pStyle w:val="Ttulo2"/>
        <w:numPr>
          <w:ilvl w:val="1"/>
          <w:numId w:val="2"/>
        </w:numPr>
      </w:pPr>
      <w:bookmarkStart w:id="12" w:name="_Toc50731060"/>
      <w:r>
        <w:t>Efectos en</w:t>
      </w:r>
      <w:r w:rsidRPr="00C74688">
        <w:t xml:space="preserve"> </w:t>
      </w:r>
      <w:r w:rsidR="0089566B">
        <w:t>Regímenes de Capitalización Colectiva</w:t>
      </w:r>
      <w:bookmarkEnd w:id="12"/>
    </w:p>
    <w:p w14:paraId="307EFF50" w14:textId="77777777" w:rsidR="00D05C1E" w:rsidRPr="00D05C1E" w:rsidRDefault="00D05C1E" w:rsidP="00D05C1E">
      <w:pPr>
        <w:spacing w:after="0" w:line="240" w:lineRule="auto"/>
      </w:pPr>
    </w:p>
    <w:p w14:paraId="131576D5" w14:textId="77777777" w:rsidR="00A01AB1" w:rsidRDefault="00A01AB1" w:rsidP="00A01AB1">
      <w:pPr>
        <w:pStyle w:val="Descripcin"/>
        <w:spacing w:after="0"/>
        <w:jc w:val="center"/>
      </w:pPr>
      <w:r>
        <w:t xml:space="preserve">Tabla </w:t>
      </w:r>
      <w:r>
        <w:fldChar w:fldCharType="begin"/>
      </w:r>
      <w:r>
        <w:instrText xml:space="preserve"> SEQ Tabla \* ARABIC </w:instrText>
      </w:r>
      <w:r>
        <w:fldChar w:fldCharType="separate"/>
      </w:r>
      <w:r w:rsidR="00F67EE2">
        <w:rPr>
          <w:noProof/>
        </w:rPr>
        <w:t>3</w:t>
      </w:r>
      <w:r>
        <w:fldChar w:fldCharType="end"/>
      </w:r>
      <w:r>
        <w:t xml:space="preserve">: </w:t>
      </w:r>
      <w:r w:rsidR="00D05C1E">
        <w:t>Efectos del COVID-19 en</w:t>
      </w:r>
      <w:r w:rsidRPr="00AD5AED">
        <w:t xml:space="preserve"> los fondos</w:t>
      </w:r>
    </w:p>
    <w:p w14:paraId="397C89E5" w14:textId="77777777" w:rsidR="00A451EE" w:rsidRDefault="009B5E88" w:rsidP="00D05C1E">
      <w:pPr>
        <w:pStyle w:val="Descripcin"/>
        <w:spacing w:after="0"/>
        <w:jc w:val="center"/>
        <w:rPr>
          <w:rFonts w:ascii="Times New Roman" w:hAnsi="Times New Roman" w:cs="Times New Roman"/>
          <w:sz w:val="24"/>
          <w:szCs w:val="24"/>
        </w:rPr>
      </w:pPr>
      <w:r>
        <w:t>Regímenes de Capitalización Colectiva</w:t>
      </w:r>
    </w:p>
    <w:tbl>
      <w:tblPr>
        <w:tblStyle w:val="Tablaconcuadrcula4-nfasis1"/>
        <w:tblW w:w="5778" w:type="pct"/>
        <w:jc w:val="center"/>
        <w:tblLook w:val="04A0" w:firstRow="1" w:lastRow="0" w:firstColumn="1" w:lastColumn="0" w:noHBand="0" w:noVBand="1"/>
      </w:tblPr>
      <w:tblGrid>
        <w:gridCol w:w="847"/>
        <w:gridCol w:w="9355"/>
      </w:tblGrid>
      <w:tr w:rsidR="002B11CB" w:rsidRPr="002B11CB" w14:paraId="2186473C" w14:textId="77777777" w:rsidTr="001F32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5" w:type="pct"/>
            <w:hideMark/>
          </w:tcPr>
          <w:p w14:paraId="79C2D8B9" w14:textId="77777777" w:rsidR="002B11CB" w:rsidRPr="002B11CB" w:rsidRDefault="002B11CB" w:rsidP="002B11CB">
            <w:pPr>
              <w:rPr>
                <w:rFonts w:eastAsia="Times New Roman" w:cs="Calibri"/>
                <w:lang w:val="es-CR"/>
              </w:rPr>
            </w:pPr>
            <w:r w:rsidRPr="002B11CB">
              <w:rPr>
                <w:rFonts w:eastAsia="Times New Roman" w:cs="Calibri"/>
                <w:lang w:val="es-CR"/>
              </w:rPr>
              <w:t>Fondo</w:t>
            </w:r>
          </w:p>
        </w:tc>
        <w:tc>
          <w:tcPr>
            <w:tcW w:w="4585" w:type="pct"/>
            <w:hideMark/>
          </w:tcPr>
          <w:p w14:paraId="43013CCC" w14:textId="77777777" w:rsidR="002B11CB" w:rsidRPr="002B11CB" w:rsidRDefault="002B11CB" w:rsidP="002B11CB">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2B11CB">
              <w:rPr>
                <w:rFonts w:eastAsia="Times New Roman" w:cs="Calibri"/>
                <w:lang w:val="es-CR"/>
              </w:rPr>
              <w:t>Efectos</w:t>
            </w:r>
          </w:p>
        </w:tc>
      </w:tr>
      <w:tr w:rsidR="002B11CB" w:rsidRPr="002B11CB" w14:paraId="492EEE5B" w14:textId="77777777" w:rsidTr="00EC7965">
        <w:trPr>
          <w:cnfStyle w:val="000000100000" w:firstRow="0" w:lastRow="0" w:firstColumn="0" w:lastColumn="0" w:oddVBand="0" w:evenVBand="0" w:oddHBand="1" w:evenHBand="0" w:firstRowFirstColumn="0" w:firstRowLastColumn="0" w:lastRowFirstColumn="0" w:lastRowLastColumn="0"/>
          <w:trHeight w:val="1001"/>
          <w:jc w:val="center"/>
        </w:trPr>
        <w:tc>
          <w:tcPr>
            <w:cnfStyle w:val="001000000000" w:firstRow="0" w:lastRow="0" w:firstColumn="1" w:lastColumn="0" w:oddVBand="0" w:evenVBand="0" w:oddHBand="0" w:evenHBand="0" w:firstRowFirstColumn="0" w:firstRowLastColumn="0" w:lastRowFirstColumn="0" w:lastRowLastColumn="0"/>
            <w:tcW w:w="415" w:type="pct"/>
            <w:hideMark/>
          </w:tcPr>
          <w:p w14:paraId="37679C91" w14:textId="77777777" w:rsidR="002B11CB" w:rsidRPr="002B11CB" w:rsidRDefault="00832C53" w:rsidP="002B11CB">
            <w:pPr>
              <w:rPr>
                <w:rFonts w:eastAsia="Times New Roman" w:cs="Calibri"/>
                <w:color w:val="000000"/>
                <w:lang w:val="es-CR"/>
              </w:rPr>
            </w:pPr>
            <w:r>
              <w:rPr>
                <w:rFonts w:eastAsia="Times New Roman" w:cs="Calibri"/>
                <w:color w:val="000000"/>
                <w:lang w:val="es-CR"/>
              </w:rPr>
              <w:t>R</w:t>
            </w:r>
            <w:r w:rsidR="002B11CB">
              <w:rPr>
                <w:rFonts w:eastAsia="Times New Roman" w:cs="Calibri"/>
                <w:color w:val="000000"/>
                <w:lang w:val="es-CR"/>
              </w:rPr>
              <w:t>IVM</w:t>
            </w:r>
          </w:p>
        </w:tc>
        <w:tc>
          <w:tcPr>
            <w:tcW w:w="4585" w:type="pct"/>
            <w:hideMark/>
          </w:tcPr>
          <w:p w14:paraId="1CEE435D" w14:textId="27B7CA63" w:rsidR="00A01AB1" w:rsidRDefault="002B11CB" w:rsidP="002B11CB">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B11CB">
              <w:rPr>
                <w:rFonts w:eastAsia="Times New Roman" w:cs="Calibri"/>
                <w:b/>
                <w:bCs/>
                <w:color w:val="000000"/>
                <w:lang w:val="es-CR"/>
              </w:rPr>
              <w:t>Créditos</w:t>
            </w:r>
            <w:r w:rsidRPr="002B11CB">
              <w:rPr>
                <w:rFonts w:eastAsia="Times New Roman" w:cs="Calibri"/>
                <w:color w:val="000000"/>
                <w:lang w:val="es-CR"/>
              </w:rPr>
              <w:t xml:space="preserve">: 254 deudores se acogieron a la opción de postergación del pago de cuotas. Los créditos con atraso </w:t>
            </w:r>
            <w:r w:rsidR="009973CA">
              <w:rPr>
                <w:rFonts w:eastAsia="Times New Roman" w:cs="Calibri"/>
                <w:color w:val="000000"/>
                <w:lang w:val="es-CR"/>
              </w:rPr>
              <w:t>mayor</w:t>
            </w:r>
            <w:r w:rsidR="009973CA" w:rsidRPr="002B11CB">
              <w:rPr>
                <w:rFonts w:eastAsia="Times New Roman" w:cs="Calibri"/>
                <w:color w:val="000000"/>
                <w:lang w:val="es-CR"/>
              </w:rPr>
              <w:t xml:space="preserve"> </w:t>
            </w:r>
            <w:r w:rsidRPr="002B11CB">
              <w:rPr>
                <w:rFonts w:eastAsia="Times New Roman" w:cs="Calibri"/>
                <w:color w:val="000000"/>
                <w:lang w:val="es-CR"/>
              </w:rPr>
              <w:t>a los 90 días no se trasladaron a cobro judicial</w:t>
            </w:r>
            <w:r w:rsidR="008533D9">
              <w:rPr>
                <w:rFonts w:eastAsia="Times New Roman" w:cs="Calibri"/>
                <w:color w:val="000000"/>
                <w:lang w:val="es-CR"/>
              </w:rPr>
              <w:t>.</w:t>
            </w:r>
          </w:p>
          <w:p w14:paraId="7B9B14B5" w14:textId="3919B526" w:rsidR="002B11CB" w:rsidRDefault="002B11CB" w:rsidP="002B11CB">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5EB2F338">
              <w:rPr>
                <w:rFonts w:eastAsia="Times New Roman" w:cs="Calibri"/>
                <w:b/>
                <w:color w:val="000000" w:themeColor="text1"/>
                <w:lang w:val="es-CR"/>
              </w:rPr>
              <w:t>Aportes de patronos y trabajadores independientes</w:t>
            </w:r>
            <w:r w:rsidRPr="5EB2F338">
              <w:rPr>
                <w:rFonts w:eastAsia="Times New Roman" w:cs="Calibri"/>
                <w:color w:val="000000" w:themeColor="text1"/>
                <w:lang w:val="es-CR"/>
              </w:rPr>
              <w:t xml:space="preserve">: La base mínima contributiva se redujo </w:t>
            </w:r>
            <w:r w:rsidR="008D1ECA">
              <w:rPr>
                <w:rFonts w:eastAsia="Times New Roman" w:cs="Calibri"/>
                <w:color w:val="000000" w:themeColor="text1"/>
                <w:lang w:val="es-CR"/>
              </w:rPr>
              <w:t>a</w:t>
            </w:r>
            <w:r w:rsidRPr="5EB2F338">
              <w:rPr>
                <w:rFonts w:eastAsia="Times New Roman" w:cs="Calibri"/>
                <w:color w:val="000000" w:themeColor="text1"/>
                <w:lang w:val="es-CR"/>
              </w:rPr>
              <w:t xml:space="preserve"> un 25%, y pasó de </w:t>
            </w:r>
            <w:r w:rsidR="00E615E5" w:rsidRPr="00EA313A">
              <w:rPr>
                <w:rFonts w:eastAsia="Times New Roman" w:cs="Calibri"/>
                <w:color w:val="000000"/>
                <w:lang w:val="es-CR"/>
              </w:rPr>
              <w:t>₡</w:t>
            </w:r>
            <w:r w:rsidRPr="5EB2F338">
              <w:rPr>
                <w:rFonts w:eastAsia="Times New Roman" w:cs="Calibri"/>
                <w:color w:val="000000" w:themeColor="text1"/>
                <w:lang w:val="es-CR"/>
              </w:rPr>
              <w:t>275</w:t>
            </w:r>
            <w:r w:rsidR="00F61BD4">
              <w:rPr>
                <w:rFonts w:eastAsia="Times New Roman" w:cs="Calibri"/>
                <w:color w:val="000000" w:themeColor="text1"/>
                <w:lang w:val="es-CR"/>
              </w:rPr>
              <w:t xml:space="preserve"> </w:t>
            </w:r>
            <w:r w:rsidRPr="5EB2F338">
              <w:rPr>
                <w:rFonts w:eastAsia="Times New Roman" w:cs="Calibri"/>
                <w:color w:val="000000" w:themeColor="text1"/>
                <w:lang w:val="es-CR"/>
              </w:rPr>
              <w:t xml:space="preserve">759 a </w:t>
            </w:r>
            <w:r w:rsidR="00E615E5" w:rsidRPr="00EA313A">
              <w:rPr>
                <w:rFonts w:eastAsia="Times New Roman" w:cs="Calibri"/>
                <w:color w:val="000000"/>
                <w:lang w:val="es-CR"/>
              </w:rPr>
              <w:t>₡</w:t>
            </w:r>
            <w:r w:rsidRPr="5EB2F338">
              <w:rPr>
                <w:rFonts w:eastAsia="Times New Roman" w:cs="Calibri"/>
                <w:color w:val="000000" w:themeColor="text1"/>
                <w:lang w:val="es-CR"/>
              </w:rPr>
              <w:t>68</w:t>
            </w:r>
            <w:r w:rsidR="00F61BD4">
              <w:rPr>
                <w:rFonts w:eastAsia="Times New Roman" w:cs="Calibri"/>
                <w:color w:val="000000" w:themeColor="text1"/>
                <w:lang w:val="es-CR"/>
              </w:rPr>
              <w:t xml:space="preserve"> </w:t>
            </w:r>
            <w:r w:rsidR="00E615E5">
              <w:rPr>
                <w:rFonts w:eastAsia="Times New Roman" w:cs="Calibri"/>
                <w:color w:val="000000" w:themeColor="text1"/>
                <w:lang w:val="es-CR"/>
              </w:rPr>
              <w:t>940</w:t>
            </w:r>
            <w:r w:rsidRPr="5EB2F338">
              <w:rPr>
                <w:rFonts w:eastAsia="Times New Roman" w:cs="Calibri"/>
                <w:color w:val="000000" w:themeColor="text1"/>
                <w:lang w:val="es-CR"/>
              </w:rPr>
              <w:t xml:space="preserve"> para </w:t>
            </w:r>
            <w:r w:rsidR="0051768A">
              <w:rPr>
                <w:rFonts w:eastAsia="Times New Roman" w:cs="Calibri"/>
                <w:color w:val="000000" w:themeColor="text1"/>
                <w:lang w:val="es-CR"/>
              </w:rPr>
              <w:t>el cálculo de las cuotas obrero-patronales</w:t>
            </w:r>
            <w:r w:rsidR="00573250">
              <w:rPr>
                <w:rFonts w:eastAsia="Times New Roman" w:cs="Calibri"/>
                <w:color w:val="000000" w:themeColor="text1"/>
                <w:lang w:val="es-CR"/>
              </w:rPr>
              <w:t>.</w:t>
            </w:r>
          </w:p>
          <w:p w14:paraId="635B85F5" w14:textId="6CEEFF33" w:rsidR="002B11CB" w:rsidRPr="002B11CB" w:rsidRDefault="002B11CB" w:rsidP="002B11CB">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B11CB">
              <w:rPr>
                <w:rFonts w:eastAsia="Times New Roman" w:cs="Calibri"/>
                <w:b/>
                <w:bCs/>
                <w:color w:val="000000"/>
                <w:lang w:val="es-CR"/>
              </w:rPr>
              <w:t>Inversiones:</w:t>
            </w:r>
            <w:r w:rsidRPr="002B11CB">
              <w:rPr>
                <w:rFonts w:eastAsia="Times New Roman" w:cs="Calibri"/>
                <w:color w:val="000000"/>
                <w:lang w:val="es-CR"/>
              </w:rPr>
              <w:t xml:space="preserve"> Se realizó la provisión para el pago de aguinaldo 2020 con el vencimiento de inversiones. </w:t>
            </w:r>
          </w:p>
        </w:tc>
      </w:tr>
      <w:tr w:rsidR="002B11CB" w:rsidRPr="002B11CB" w14:paraId="766516A9" w14:textId="77777777" w:rsidTr="00EC7965">
        <w:trPr>
          <w:trHeight w:val="561"/>
          <w:jc w:val="center"/>
        </w:trPr>
        <w:tc>
          <w:tcPr>
            <w:cnfStyle w:val="001000000000" w:firstRow="0" w:lastRow="0" w:firstColumn="1" w:lastColumn="0" w:oddVBand="0" w:evenVBand="0" w:oddHBand="0" w:evenHBand="0" w:firstRowFirstColumn="0" w:firstRowLastColumn="0" w:lastRowFirstColumn="0" w:lastRowLastColumn="0"/>
            <w:tcW w:w="415" w:type="pct"/>
            <w:hideMark/>
          </w:tcPr>
          <w:p w14:paraId="287AF78C" w14:textId="77777777" w:rsidR="002B11CB" w:rsidRPr="002B11CB" w:rsidRDefault="002B11CB" w:rsidP="002B11CB">
            <w:pPr>
              <w:rPr>
                <w:rFonts w:eastAsia="Times New Roman" w:cs="Calibri"/>
                <w:color w:val="000000"/>
                <w:lang w:val="es-CR"/>
              </w:rPr>
            </w:pPr>
            <w:r w:rsidRPr="002B11CB">
              <w:rPr>
                <w:rFonts w:eastAsia="Times New Roman" w:cs="Calibri"/>
                <w:color w:val="000000"/>
                <w:lang w:val="es-CR"/>
              </w:rPr>
              <w:t>RCCMN</w:t>
            </w:r>
          </w:p>
        </w:tc>
        <w:tc>
          <w:tcPr>
            <w:tcW w:w="4585" w:type="pct"/>
            <w:hideMark/>
          </w:tcPr>
          <w:p w14:paraId="5058B6AE" w14:textId="1C3E8531" w:rsidR="002B11CB" w:rsidRPr="002B11CB" w:rsidRDefault="002B11CB" w:rsidP="007A4C5F">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B11CB">
              <w:rPr>
                <w:rFonts w:eastAsia="Times New Roman" w:cs="Calibri"/>
                <w:color w:val="000000"/>
                <w:lang w:val="es-CR"/>
              </w:rPr>
              <w:t xml:space="preserve">JUPEMA ofreció a los centros educativos privados la posibilidad de posponer el pago de las cotizaciones de marzo, abril y mayo hasta el mes de setiembre de 2020, y las cotizaciones de junio, julio y agosto hasta el 31 de diciembre de 2020. </w:t>
            </w:r>
          </w:p>
        </w:tc>
      </w:tr>
      <w:tr w:rsidR="002B11CB" w:rsidRPr="002B11CB" w14:paraId="4DB70A27" w14:textId="77777777" w:rsidTr="001F3267">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415" w:type="pct"/>
            <w:hideMark/>
          </w:tcPr>
          <w:p w14:paraId="1F234F5A" w14:textId="77777777" w:rsidR="002B11CB" w:rsidRPr="002B11CB" w:rsidRDefault="002B11CB" w:rsidP="002B11CB">
            <w:pPr>
              <w:rPr>
                <w:rFonts w:eastAsia="Times New Roman" w:cs="Calibri"/>
                <w:color w:val="000000"/>
                <w:lang w:val="es-CR"/>
              </w:rPr>
            </w:pPr>
            <w:r w:rsidRPr="002B11CB">
              <w:rPr>
                <w:rFonts w:eastAsia="Times New Roman" w:cs="Calibri"/>
                <w:color w:val="000000"/>
                <w:lang w:val="es-CR"/>
              </w:rPr>
              <w:t>FRE</w:t>
            </w:r>
          </w:p>
        </w:tc>
        <w:tc>
          <w:tcPr>
            <w:tcW w:w="4585" w:type="pct"/>
            <w:hideMark/>
          </w:tcPr>
          <w:p w14:paraId="28A7F036" w14:textId="258862CC" w:rsidR="002B11CB" w:rsidRPr="002B11CB" w:rsidRDefault="002B11CB" w:rsidP="00A01AB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2B11CB">
              <w:rPr>
                <w:rFonts w:eastAsia="Times New Roman" w:cs="Calibri"/>
                <w:color w:val="000000"/>
                <w:lang w:val="es-CR"/>
              </w:rPr>
              <w:t>El Fondo tomó la decisión de mantener todos los vencimientos de cupones y principales de abril, mayo y junio como inversiones a la vista</w:t>
            </w:r>
            <w:r w:rsidR="000824D1">
              <w:rPr>
                <w:rFonts w:eastAsia="Times New Roman" w:cs="Calibri"/>
                <w:color w:val="000000"/>
                <w:lang w:val="es-CR"/>
              </w:rPr>
              <w:t>.</w:t>
            </w:r>
          </w:p>
        </w:tc>
      </w:tr>
      <w:tr w:rsidR="002B11CB" w:rsidRPr="002B11CB" w14:paraId="7A9DDBD3" w14:textId="77777777" w:rsidTr="001F3267">
        <w:trPr>
          <w:trHeight w:val="70"/>
          <w:jc w:val="center"/>
        </w:trPr>
        <w:tc>
          <w:tcPr>
            <w:cnfStyle w:val="001000000000" w:firstRow="0" w:lastRow="0" w:firstColumn="1" w:lastColumn="0" w:oddVBand="0" w:evenVBand="0" w:oddHBand="0" w:evenHBand="0" w:firstRowFirstColumn="0" w:firstRowLastColumn="0" w:lastRowFirstColumn="0" w:lastRowLastColumn="0"/>
            <w:tcW w:w="415" w:type="pct"/>
            <w:hideMark/>
          </w:tcPr>
          <w:p w14:paraId="020D5F66" w14:textId="77777777" w:rsidR="002B11CB" w:rsidRPr="002B11CB" w:rsidRDefault="002B11CB" w:rsidP="002B11CB">
            <w:pPr>
              <w:rPr>
                <w:rFonts w:eastAsia="Times New Roman" w:cs="Calibri"/>
                <w:color w:val="000000"/>
                <w:lang w:val="es-CR"/>
              </w:rPr>
            </w:pPr>
            <w:r w:rsidRPr="002B11CB">
              <w:rPr>
                <w:rFonts w:eastAsia="Times New Roman" w:cs="Calibri"/>
                <w:color w:val="000000"/>
                <w:lang w:val="es-CR"/>
              </w:rPr>
              <w:t>FICE</w:t>
            </w:r>
          </w:p>
        </w:tc>
        <w:tc>
          <w:tcPr>
            <w:tcW w:w="4585" w:type="pct"/>
            <w:hideMark/>
          </w:tcPr>
          <w:p w14:paraId="56118EBD" w14:textId="7C42F636" w:rsidR="002B11CB" w:rsidRPr="002B11CB" w:rsidRDefault="002B11CB" w:rsidP="00A01AB1">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B11CB">
              <w:rPr>
                <w:rFonts w:eastAsia="Times New Roman" w:cs="Calibri"/>
                <w:color w:val="000000"/>
                <w:lang w:val="es-CR"/>
              </w:rPr>
              <w:t>El Fondo mantiene una gestión activa dentro de las posibilidades del mercado bursátil</w:t>
            </w:r>
            <w:r w:rsidR="009565D8">
              <w:rPr>
                <w:rFonts w:eastAsia="Times New Roman" w:cs="Calibri"/>
                <w:color w:val="000000"/>
                <w:lang w:val="es-CR"/>
              </w:rPr>
              <w:t>.</w:t>
            </w:r>
          </w:p>
        </w:tc>
      </w:tr>
      <w:tr w:rsidR="00161AF0" w:rsidRPr="002B11CB" w14:paraId="63EBC8F0" w14:textId="77777777" w:rsidTr="001F3267">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15" w:type="pct"/>
          </w:tcPr>
          <w:p w14:paraId="15072577" w14:textId="77777777" w:rsidR="00161AF0" w:rsidRPr="002B11CB" w:rsidRDefault="00161AF0" w:rsidP="002B11CB">
            <w:pPr>
              <w:rPr>
                <w:rFonts w:eastAsia="Times New Roman" w:cs="Calibri"/>
                <w:color w:val="000000"/>
                <w:lang w:val="es-CR"/>
              </w:rPr>
            </w:pPr>
            <w:r>
              <w:rPr>
                <w:rFonts w:eastAsia="Times New Roman" w:cs="Calibri"/>
                <w:color w:val="000000"/>
                <w:lang w:val="es-CR"/>
              </w:rPr>
              <w:lastRenderedPageBreak/>
              <w:t>RNC</w:t>
            </w:r>
          </w:p>
        </w:tc>
        <w:tc>
          <w:tcPr>
            <w:tcW w:w="4585" w:type="pct"/>
          </w:tcPr>
          <w:p w14:paraId="4E350ACA" w14:textId="77777777" w:rsidR="00161AF0" w:rsidRPr="002B11CB" w:rsidRDefault="00161AF0" w:rsidP="00A01AB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A313A">
              <w:rPr>
                <w:rFonts w:eastAsia="Times New Roman" w:cs="Calibri"/>
                <w:color w:val="000000"/>
                <w:lang w:val="es-CR"/>
              </w:rPr>
              <w:t>Se suspende temporalmente el presupuesto destinado para el otorgamiento de nuevas pensiones, situación que ha originado a junio 2020, que el régimen tenga 12</w:t>
            </w:r>
            <w:r>
              <w:rPr>
                <w:rFonts w:eastAsia="Times New Roman" w:cs="Calibri"/>
                <w:color w:val="000000"/>
                <w:lang w:val="es-CR"/>
              </w:rPr>
              <w:t xml:space="preserve"> </w:t>
            </w:r>
            <w:r w:rsidRPr="00EA313A">
              <w:rPr>
                <w:rFonts w:eastAsia="Times New Roman" w:cs="Calibri"/>
                <w:color w:val="000000"/>
                <w:lang w:val="es-CR"/>
              </w:rPr>
              <w:t>304 solicitudes pendientes de evaluar.</w:t>
            </w:r>
          </w:p>
        </w:tc>
      </w:tr>
    </w:tbl>
    <w:p w14:paraId="67888C0E" w14:textId="77777777" w:rsidR="00191B26" w:rsidRDefault="00A01AB1" w:rsidP="00A01AB1">
      <w:pPr>
        <w:pStyle w:val="Descripcin"/>
        <w:spacing w:after="0"/>
      </w:pPr>
      <w:r>
        <w:t>Fuente: Elaboración propia</w:t>
      </w:r>
    </w:p>
    <w:p w14:paraId="7C71F25D" w14:textId="77777777" w:rsidR="00191B26" w:rsidRDefault="00191B26">
      <w:pPr>
        <w:rPr>
          <w:i/>
          <w:iCs/>
          <w:color w:val="1F497D" w:themeColor="text2"/>
          <w:sz w:val="18"/>
          <w:szCs w:val="18"/>
        </w:rPr>
      </w:pPr>
      <w:r>
        <w:br w:type="page"/>
      </w:r>
    </w:p>
    <w:p w14:paraId="3A6BCE99" w14:textId="77777777" w:rsidR="00394DBE" w:rsidRDefault="006929F8" w:rsidP="00394DBE">
      <w:pPr>
        <w:pStyle w:val="Ttulo1"/>
        <w:numPr>
          <w:ilvl w:val="0"/>
          <w:numId w:val="2"/>
        </w:numPr>
      </w:pPr>
      <w:bookmarkStart w:id="13" w:name="_Toc50731061"/>
      <w:r>
        <w:lastRenderedPageBreak/>
        <w:t>Estadísticas</w:t>
      </w:r>
      <w:bookmarkEnd w:id="13"/>
    </w:p>
    <w:p w14:paraId="54E1A450" w14:textId="77777777" w:rsidR="00CF174B" w:rsidRPr="0074601B" w:rsidRDefault="00657BE3" w:rsidP="0074601B">
      <w:pPr>
        <w:pStyle w:val="Ttulo2"/>
        <w:numPr>
          <w:ilvl w:val="1"/>
          <w:numId w:val="2"/>
        </w:numPr>
      </w:pPr>
      <w:bookmarkStart w:id="14" w:name="_Toc50731062"/>
      <w:r>
        <w:t>Sistema Nacional de Pensiones</w:t>
      </w:r>
      <w:bookmarkEnd w:id="14"/>
    </w:p>
    <w:p w14:paraId="6F697E01" w14:textId="77777777" w:rsidR="00CF174B" w:rsidRPr="00CF174B" w:rsidRDefault="00CF174B" w:rsidP="00CF174B">
      <w:pPr>
        <w:spacing w:after="0" w:line="240" w:lineRule="auto"/>
        <w:jc w:val="both"/>
        <w:rPr>
          <w:rFonts w:ascii="Calibri" w:eastAsia="Times New Roman" w:hAnsi="Calibri" w:cs="Calibri"/>
          <w:color w:val="000000"/>
          <w:lang w:val="es-CR" w:eastAsia="es-CR"/>
        </w:rPr>
      </w:pPr>
      <w:bookmarkStart w:id="15" w:name="_GoBack"/>
      <w:bookmarkEnd w:id="15"/>
    </w:p>
    <w:p w14:paraId="3D13F09D" w14:textId="77777777" w:rsidR="00BC1E76" w:rsidRDefault="001B3226" w:rsidP="001B3226">
      <w:pPr>
        <w:pStyle w:val="Descripcin"/>
        <w:spacing w:after="0"/>
        <w:jc w:val="center"/>
      </w:pPr>
      <w:r>
        <w:t xml:space="preserve">Tabla </w:t>
      </w:r>
      <w:r>
        <w:fldChar w:fldCharType="begin"/>
      </w:r>
      <w:r>
        <w:instrText xml:space="preserve"> SEQ Tabla \* ARABIC </w:instrText>
      </w:r>
      <w:r>
        <w:fldChar w:fldCharType="separate"/>
      </w:r>
      <w:r w:rsidR="00E93B2D">
        <w:rPr>
          <w:noProof/>
        </w:rPr>
        <w:t>4</w:t>
      </w:r>
      <w:r>
        <w:fldChar w:fldCharType="end"/>
      </w:r>
      <w:r>
        <w:t xml:space="preserve">: </w:t>
      </w:r>
      <w:r w:rsidR="007E170D">
        <w:t>Afiliados, pensionados</w:t>
      </w:r>
      <w:r w:rsidR="00DB5E51">
        <w:t xml:space="preserve">, pensión promedio </w:t>
      </w:r>
      <w:r w:rsidR="007E170D">
        <w:t xml:space="preserve">y </w:t>
      </w:r>
      <w:r w:rsidR="00A058D6">
        <w:t>contribuciones</w:t>
      </w:r>
      <w:r w:rsidR="007E170D">
        <w:t xml:space="preserve"> </w:t>
      </w:r>
    </w:p>
    <w:p w14:paraId="41028170" w14:textId="77777777" w:rsidR="001B3226" w:rsidRDefault="00BC1E76" w:rsidP="00BC1E76">
      <w:pPr>
        <w:pStyle w:val="Descripcin"/>
        <w:spacing w:after="0"/>
        <w:jc w:val="center"/>
      </w:pPr>
      <w:r>
        <w:t xml:space="preserve">Sistema Nacional de Pensiones </w:t>
      </w:r>
      <w:r w:rsidR="001B3226">
        <w:t xml:space="preserve"> </w:t>
      </w:r>
    </w:p>
    <w:p w14:paraId="182C8DB1" w14:textId="77777777" w:rsidR="001B3226" w:rsidRDefault="001B3226" w:rsidP="001B3226">
      <w:pPr>
        <w:pStyle w:val="Descripcin"/>
        <w:tabs>
          <w:tab w:val="center" w:pos="4419"/>
          <w:tab w:val="left" w:pos="5788"/>
        </w:tabs>
        <w:spacing w:after="0"/>
        <w:jc w:val="center"/>
      </w:pPr>
      <w:r>
        <w:t>Al 30 de junio del 2020</w:t>
      </w:r>
    </w:p>
    <w:tbl>
      <w:tblPr>
        <w:tblStyle w:val="Tablaconcuadrcula4-nfasis1"/>
        <w:tblW w:w="10343" w:type="dxa"/>
        <w:jc w:val="center"/>
        <w:tblLook w:val="04A0" w:firstRow="1" w:lastRow="0" w:firstColumn="1" w:lastColumn="0" w:noHBand="0" w:noVBand="1"/>
      </w:tblPr>
      <w:tblGrid>
        <w:gridCol w:w="3912"/>
        <w:gridCol w:w="1106"/>
        <w:gridCol w:w="1298"/>
        <w:gridCol w:w="1127"/>
        <w:gridCol w:w="1057"/>
        <w:gridCol w:w="777"/>
        <w:gridCol w:w="1066"/>
      </w:tblGrid>
      <w:tr w:rsidR="00AC04A5" w:rsidRPr="001D586E" w14:paraId="180D74A2" w14:textId="77777777" w:rsidTr="00A058D6">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12"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6" w:space="0" w:color="8DB3E2" w:themeColor="text2" w:themeTint="66"/>
            </w:tcBorders>
            <w:noWrap/>
            <w:vAlign w:val="center"/>
            <w:hideMark/>
          </w:tcPr>
          <w:p w14:paraId="00447747" w14:textId="77777777" w:rsidR="00AC04A5" w:rsidRPr="001D586E" w:rsidRDefault="00AC04A5" w:rsidP="001D586E">
            <w:pPr>
              <w:jc w:val="center"/>
              <w:rPr>
                <w:rFonts w:eastAsia="Times New Roman" w:cs="Calibri"/>
                <w:lang w:val="es-CR"/>
              </w:rPr>
            </w:pPr>
            <w:r w:rsidRPr="001D586E">
              <w:rPr>
                <w:rFonts w:eastAsia="Times New Roman" w:cs="Calibri"/>
                <w:lang w:val="es-CR"/>
              </w:rPr>
              <w:t>Tipo de Fondo</w:t>
            </w:r>
          </w:p>
        </w:tc>
        <w:tc>
          <w:tcPr>
            <w:tcW w:w="1106" w:type="dxa"/>
            <w:vMerge w:val="restart"/>
            <w:tcBorders>
              <w:top w:val="single" w:sz="4" w:space="0" w:color="8DB3E2" w:themeColor="text2" w:themeTint="66"/>
              <w:left w:val="single" w:sz="6" w:space="0" w:color="8DB3E2" w:themeColor="text2" w:themeTint="66"/>
              <w:bottom w:val="single" w:sz="4" w:space="0" w:color="8DB3E2" w:themeColor="text2" w:themeTint="66"/>
              <w:right w:val="single" w:sz="6" w:space="0" w:color="8DB3E2" w:themeColor="text2" w:themeTint="66"/>
            </w:tcBorders>
            <w:noWrap/>
            <w:vAlign w:val="center"/>
            <w:hideMark/>
          </w:tcPr>
          <w:p w14:paraId="5DA08634" w14:textId="77777777" w:rsidR="00AC04A5" w:rsidRPr="001D586E"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1D586E">
              <w:rPr>
                <w:rFonts w:eastAsia="Times New Roman" w:cs="Calibri"/>
                <w:lang w:val="es-CR"/>
              </w:rPr>
              <w:t>Afiliados</w:t>
            </w:r>
          </w:p>
        </w:tc>
        <w:tc>
          <w:tcPr>
            <w:tcW w:w="1298" w:type="dxa"/>
            <w:vMerge w:val="restart"/>
            <w:tcBorders>
              <w:top w:val="single" w:sz="4" w:space="0" w:color="8DB3E2" w:themeColor="text2" w:themeTint="66"/>
              <w:left w:val="single" w:sz="6" w:space="0" w:color="8DB3E2" w:themeColor="text2" w:themeTint="66"/>
              <w:bottom w:val="single" w:sz="4" w:space="0" w:color="8DB3E2" w:themeColor="text2" w:themeTint="66"/>
              <w:right w:val="single" w:sz="6" w:space="0" w:color="8DB3E2" w:themeColor="text2" w:themeTint="66"/>
            </w:tcBorders>
            <w:noWrap/>
            <w:vAlign w:val="center"/>
            <w:hideMark/>
          </w:tcPr>
          <w:p w14:paraId="7249678F" w14:textId="77777777" w:rsidR="00AC04A5" w:rsidRPr="001D586E"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1D586E">
              <w:rPr>
                <w:rFonts w:eastAsia="Times New Roman" w:cs="Calibri"/>
                <w:lang w:val="es-CR"/>
              </w:rPr>
              <w:t>Pensionados</w:t>
            </w:r>
          </w:p>
        </w:tc>
        <w:tc>
          <w:tcPr>
            <w:tcW w:w="2961" w:type="dxa"/>
            <w:gridSpan w:val="3"/>
            <w:tcBorders>
              <w:top w:val="single" w:sz="4" w:space="0" w:color="8DB3E2" w:themeColor="text2" w:themeTint="66"/>
              <w:left w:val="single" w:sz="6" w:space="0" w:color="8DB3E2" w:themeColor="text2" w:themeTint="66"/>
              <w:bottom w:val="single" w:sz="4" w:space="0" w:color="8DB3E2" w:themeColor="text2" w:themeTint="66"/>
              <w:right w:val="single" w:sz="6" w:space="0" w:color="8DB3E2" w:themeColor="text2" w:themeTint="66"/>
            </w:tcBorders>
            <w:noWrap/>
            <w:vAlign w:val="center"/>
            <w:hideMark/>
          </w:tcPr>
          <w:p w14:paraId="0516CC0B" w14:textId="77777777" w:rsidR="00AC04A5" w:rsidRPr="001D586E"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1D586E">
              <w:rPr>
                <w:rFonts w:eastAsia="Times New Roman" w:cs="Calibri"/>
                <w:lang w:val="es-CR"/>
              </w:rPr>
              <w:t>Contribuciones</w:t>
            </w:r>
          </w:p>
        </w:tc>
        <w:tc>
          <w:tcPr>
            <w:tcW w:w="1066" w:type="dxa"/>
            <w:vMerge w:val="restart"/>
            <w:tcBorders>
              <w:top w:val="single" w:sz="4" w:space="0" w:color="8DB3E2" w:themeColor="text2" w:themeTint="66"/>
              <w:left w:val="single" w:sz="6" w:space="0" w:color="8DB3E2" w:themeColor="text2" w:themeTint="66"/>
              <w:right w:val="single" w:sz="4" w:space="0" w:color="8DB3E2" w:themeColor="text2" w:themeTint="66"/>
            </w:tcBorders>
            <w:noWrap/>
            <w:vAlign w:val="center"/>
            <w:hideMark/>
          </w:tcPr>
          <w:p w14:paraId="569E7579" w14:textId="77777777" w:rsidR="00AC04A5" w:rsidRPr="001D586E" w:rsidRDefault="00AC04A5" w:rsidP="001D586E">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1D586E">
              <w:rPr>
                <w:rFonts w:eastAsia="Times New Roman" w:cs="Calibri"/>
                <w:lang w:val="es-CR"/>
              </w:rPr>
              <w:t>Pensión promedio</w:t>
            </w:r>
          </w:p>
        </w:tc>
      </w:tr>
      <w:tr w:rsidR="00AC04A5" w:rsidRPr="001D586E" w14:paraId="1576F2A7" w14:textId="77777777" w:rsidTr="00A058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12" w:type="dxa"/>
            <w:vMerge/>
            <w:tcBorders>
              <w:top w:val="single" w:sz="4" w:space="0" w:color="8DB3E2" w:themeColor="text2" w:themeTint="66"/>
            </w:tcBorders>
            <w:hideMark/>
          </w:tcPr>
          <w:p w14:paraId="57401DE0" w14:textId="77777777" w:rsidR="00AC04A5" w:rsidRPr="001D586E" w:rsidRDefault="00AC04A5" w:rsidP="001D586E">
            <w:pPr>
              <w:rPr>
                <w:rFonts w:eastAsia="Times New Roman" w:cs="Calibri"/>
                <w:color w:val="000000"/>
                <w:lang w:val="es-CR"/>
              </w:rPr>
            </w:pPr>
          </w:p>
        </w:tc>
        <w:tc>
          <w:tcPr>
            <w:tcW w:w="1106" w:type="dxa"/>
            <w:vMerge/>
            <w:tcBorders>
              <w:top w:val="single" w:sz="4" w:space="0" w:color="8DB3E2" w:themeColor="text2" w:themeTint="66"/>
            </w:tcBorders>
            <w:hideMark/>
          </w:tcPr>
          <w:p w14:paraId="51C70EF6" w14:textId="77777777" w:rsidR="00AC04A5" w:rsidRPr="001D586E"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val="es-CR"/>
              </w:rPr>
            </w:pPr>
          </w:p>
        </w:tc>
        <w:tc>
          <w:tcPr>
            <w:tcW w:w="1298" w:type="dxa"/>
            <w:vMerge/>
            <w:tcBorders>
              <w:top w:val="single" w:sz="4" w:space="0" w:color="8DB3E2" w:themeColor="text2" w:themeTint="66"/>
            </w:tcBorders>
            <w:hideMark/>
          </w:tcPr>
          <w:p w14:paraId="5C95E57B" w14:textId="77777777" w:rsidR="00AC04A5" w:rsidRPr="001D586E"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val="es-CR"/>
              </w:rPr>
            </w:pPr>
          </w:p>
        </w:tc>
        <w:tc>
          <w:tcPr>
            <w:tcW w:w="1127" w:type="dxa"/>
            <w:tcBorders>
              <w:top w:val="single" w:sz="4" w:space="0" w:color="8DB3E2" w:themeColor="text2" w:themeTint="66"/>
            </w:tcBorders>
            <w:shd w:val="clear" w:color="auto" w:fill="4F81BD" w:themeFill="accent1"/>
            <w:noWrap/>
            <w:hideMark/>
          </w:tcPr>
          <w:p w14:paraId="7D919205" w14:textId="77777777" w:rsidR="00AC04A5" w:rsidRPr="001D586E"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1D586E">
              <w:rPr>
                <w:rFonts w:eastAsia="Times New Roman" w:cs="Calibri"/>
                <w:b/>
                <w:bCs/>
                <w:color w:val="FFFFFF" w:themeColor="background1"/>
                <w:lang w:val="es-CR"/>
              </w:rPr>
              <w:t>Trabajador</w:t>
            </w:r>
          </w:p>
        </w:tc>
        <w:tc>
          <w:tcPr>
            <w:tcW w:w="1057" w:type="dxa"/>
            <w:tcBorders>
              <w:top w:val="single" w:sz="4" w:space="0" w:color="8DB3E2" w:themeColor="text2" w:themeTint="66"/>
            </w:tcBorders>
            <w:shd w:val="clear" w:color="auto" w:fill="4F81BD" w:themeFill="accent1"/>
            <w:noWrap/>
            <w:hideMark/>
          </w:tcPr>
          <w:p w14:paraId="549BD110" w14:textId="77777777" w:rsidR="00AC04A5" w:rsidRPr="001D586E"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1D586E">
              <w:rPr>
                <w:rFonts w:eastAsia="Times New Roman" w:cs="Calibri"/>
                <w:b/>
                <w:bCs/>
                <w:color w:val="FFFFFF" w:themeColor="background1"/>
                <w:lang w:val="es-CR"/>
              </w:rPr>
              <w:t>Patrono</w:t>
            </w:r>
          </w:p>
        </w:tc>
        <w:tc>
          <w:tcPr>
            <w:tcW w:w="777" w:type="dxa"/>
            <w:tcBorders>
              <w:top w:val="single" w:sz="4" w:space="0" w:color="8DB3E2" w:themeColor="text2" w:themeTint="66"/>
              <w:right w:val="single" w:sz="6" w:space="0" w:color="8DB3E2" w:themeColor="text2" w:themeTint="66"/>
            </w:tcBorders>
            <w:shd w:val="clear" w:color="auto" w:fill="4F81BD" w:themeFill="accent1"/>
            <w:noWrap/>
            <w:hideMark/>
          </w:tcPr>
          <w:p w14:paraId="78B02767" w14:textId="77777777" w:rsidR="00AC04A5" w:rsidRPr="001D586E"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1D586E">
              <w:rPr>
                <w:rFonts w:eastAsia="Times New Roman" w:cs="Calibri"/>
                <w:b/>
                <w:bCs/>
                <w:color w:val="FFFFFF" w:themeColor="background1"/>
                <w:lang w:val="es-CR"/>
              </w:rPr>
              <w:t>Estado</w:t>
            </w:r>
          </w:p>
        </w:tc>
        <w:tc>
          <w:tcPr>
            <w:tcW w:w="1066" w:type="dxa"/>
            <w:vMerge/>
            <w:tcBorders>
              <w:left w:val="single" w:sz="6" w:space="0" w:color="8DB3E2" w:themeColor="text2" w:themeTint="66"/>
              <w:right w:val="single" w:sz="4" w:space="0" w:color="8DB3E2" w:themeColor="text2" w:themeTint="66"/>
            </w:tcBorders>
            <w:hideMark/>
          </w:tcPr>
          <w:p w14:paraId="18E49D65" w14:textId="77777777" w:rsidR="00AC04A5" w:rsidRPr="001D586E" w:rsidRDefault="00AC04A5" w:rsidP="001D586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val="es-CR"/>
              </w:rPr>
            </w:pPr>
          </w:p>
        </w:tc>
      </w:tr>
      <w:tr w:rsidR="00A058D6" w:rsidRPr="001D586E" w14:paraId="46B21A1B" w14:textId="77777777" w:rsidTr="00A058D6">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0F47A4AC" w14:textId="77777777" w:rsidR="001D586E" w:rsidRPr="001D586E" w:rsidRDefault="001D586E" w:rsidP="001D586E">
            <w:pPr>
              <w:rPr>
                <w:rFonts w:eastAsia="Times New Roman" w:cs="Calibri"/>
                <w:color w:val="000000"/>
                <w:lang w:val="es-CR"/>
              </w:rPr>
            </w:pPr>
            <w:r w:rsidRPr="001D586E">
              <w:rPr>
                <w:rFonts w:eastAsia="Times New Roman" w:cs="Calibri"/>
                <w:color w:val="000000"/>
                <w:lang w:val="es-CR"/>
              </w:rPr>
              <w:t>Régimen Básico (FIVM)*</w:t>
            </w:r>
          </w:p>
        </w:tc>
        <w:tc>
          <w:tcPr>
            <w:tcW w:w="1106" w:type="dxa"/>
            <w:hideMark/>
          </w:tcPr>
          <w:p w14:paraId="4A851035" w14:textId="77777777" w:rsidR="001D586E" w:rsidRPr="001D586E" w:rsidRDefault="001D586E" w:rsidP="004A721D">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1 270 232</w:t>
            </w:r>
          </w:p>
        </w:tc>
        <w:tc>
          <w:tcPr>
            <w:tcW w:w="1298" w:type="dxa"/>
            <w:hideMark/>
          </w:tcPr>
          <w:p w14:paraId="6DCBA428"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282 190</w:t>
            </w:r>
          </w:p>
        </w:tc>
        <w:tc>
          <w:tcPr>
            <w:tcW w:w="1127" w:type="dxa"/>
            <w:noWrap/>
            <w:hideMark/>
          </w:tcPr>
          <w:p w14:paraId="386589BE"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4%</w:t>
            </w:r>
          </w:p>
        </w:tc>
        <w:tc>
          <w:tcPr>
            <w:tcW w:w="1057" w:type="dxa"/>
            <w:noWrap/>
            <w:hideMark/>
          </w:tcPr>
          <w:p w14:paraId="2A621790"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5,25%</w:t>
            </w:r>
          </w:p>
        </w:tc>
        <w:tc>
          <w:tcPr>
            <w:tcW w:w="777" w:type="dxa"/>
            <w:noWrap/>
            <w:hideMark/>
          </w:tcPr>
          <w:p w14:paraId="102ECB7A"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1,41%</w:t>
            </w:r>
          </w:p>
        </w:tc>
        <w:tc>
          <w:tcPr>
            <w:tcW w:w="1066" w:type="dxa"/>
            <w:noWrap/>
            <w:hideMark/>
          </w:tcPr>
          <w:p w14:paraId="6E40CAD4" w14:textId="77777777" w:rsidR="001D586E" w:rsidRPr="001D586E" w:rsidRDefault="000C37E4"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0C37E4">
              <w:rPr>
                <w:rFonts w:eastAsia="Times New Roman" w:cs="Calibri"/>
                <w:color w:val="000000"/>
                <w:lang w:val="es-CR"/>
              </w:rPr>
              <w:t>278</w:t>
            </w:r>
            <w:r>
              <w:rPr>
                <w:rFonts w:eastAsia="Times New Roman" w:cs="Calibri"/>
                <w:color w:val="000000"/>
                <w:lang w:val="es-CR"/>
              </w:rPr>
              <w:t xml:space="preserve"> </w:t>
            </w:r>
            <w:r w:rsidRPr="000C37E4">
              <w:rPr>
                <w:rFonts w:eastAsia="Times New Roman" w:cs="Calibri"/>
                <w:color w:val="000000"/>
                <w:lang w:val="es-CR"/>
              </w:rPr>
              <w:t>453</w:t>
            </w:r>
          </w:p>
        </w:tc>
      </w:tr>
      <w:tr w:rsidR="001D586E" w:rsidRPr="001D586E" w14:paraId="574F4CFA" w14:textId="77777777" w:rsidTr="00A058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343" w:type="dxa"/>
            <w:gridSpan w:val="7"/>
            <w:noWrap/>
            <w:hideMark/>
          </w:tcPr>
          <w:p w14:paraId="39A057A6" w14:textId="77777777" w:rsidR="001D586E" w:rsidRPr="001D586E" w:rsidRDefault="001D586E" w:rsidP="001D586E">
            <w:pPr>
              <w:rPr>
                <w:rFonts w:eastAsia="Times New Roman" w:cs="Calibri"/>
                <w:color w:val="000000"/>
                <w:lang w:val="es-CR"/>
              </w:rPr>
            </w:pPr>
            <w:r w:rsidRPr="001D586E">
              <w:rPr>
                <w:rFonts w:eastAsia="Times New Roman" w:cs="Calibri"/>
                <w:color w:val="000000"/>
                <w:lang w:val="es-CR"/>
              </w:rPr>
              <w:t>Regímenes Básicos sustitutos</w:t>
            </w:r>
          </w:p>
        </w:tc>
      </w:tr>
      <w:tr w:rsidR="000C051C" w:rsidRPr="001D586E" w14:paraId="7C15B0CD" w14:textId="77777777" w:rsidTr="00A058D6">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1848EC36" w14:textId="77777777" w:rsidR="000C051C" w:rsidRPr="001D586E" w:rsidRDefault="000C051C" w:rsidP="000C051C">
            <w:pPr>
              <w:rPr>
                <w:rFonts w:eastAsia="Times New Roman" w:cs="Calibri"/>
                <w:color w:val="000000"/>
                <w:lang w:val="es-CR"/>
              </w:rPr>
            </w:pPr>
            <w:r w:rsidRPr="001D586E">
              <w:rPr>
                <w:rFonts w:eastAsia="Times New Roman" w:cs="Calibri"/>
                <w:color w:val="000000"/>
                <w:lang w:val="es-CR"/>
              </w:rPr>
              <w:t xml:space="preserve">     RCCMN</w:t>
            </w:r>
            <w:r>
              <w:rPr>
                <w:rFonts w:eastAsia="Times New Roman" w:cs="Calibri"/>
                <w:color w:val="000000"/>
                <w:lang w:val="es-CR"/>
              </w:rPr>
              <w:t>*</w:t>
            </w:r>
          </w:p>
        </w:tc>
        <w:tc>
          <w:tcPr>
            <w:tcW w:w="1106" w:type="dxa"/>
          </w:tcPr>
          <w:p w14:paraId="409AA1D8"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96 089</w:t>
            </w:r>
          </w:p>
        </w:tc>
        <w:tc>
          <w:tcPr>
            <w:tcW w:w="1298" w:type="dxa"/>
          </w:tcPr>
          <w:p w14:paraId="073FA73A"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2 530</w:t>
            </w:r>
          </w:p>
        </w:tc>
        <w:tc>
          <w:tcPr>
            <w:tcW w:w="1127" w:type="dxa"/>
            <w:noWrap/>
          </w:tcPr>
          <w:p w14:paraId="2FFF01B0"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8%</w:t>
            </w:r>
          </w:p>
        </w:tc>
        <w:tc>
          <w:tcPr>
            <w:tcW w:w="1057" w:type="dxa"/>
            <w:noWrap/>
          </w:tcPr>
          <w:p w14:paraId="64F07774"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6,75%</w:t>
            </w:r>
          </w:p>
        </w:tc>
        <w:tc>
          <w:tcPr>
            <w:tcW w:w="777" w:type="dxa"/>
            <w:noWrap/>
          </w:tcPr>
          <w:p w14:paraId="78239805"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1,41%</w:t>
            </w:r>
          </w:p>
        </w:tc>
        <w:tc>
          <w:tcPr>
            <w:tcW w:w="1066" w:type="dxa"/>
            <w:noWrap/>
          </w:tcPr>
          <w:p w14:paraId="088BF3D4"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437A2">
              <w:t xml:space="preserve"> 354 425 </w:t>
            </w:r>
          </w:p>
        </w:tc>
      </w:tr>
      <w:tr w:rsidR="00AE0C13" w:rsidRPr="001D586E" w14:paraId="66B7AC90" w14:textId="77777777" w:rsidTr="00A058D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672CAFCB" w14:textId="77777777" w:rsidR="000C051C" w:rsidRPr="001D586E" w:rsidRDefault="000C051C" w:rsidP="000C051C">
            <w:pPr>
              <w:rPr>
                <w:rFonts w:eastAsia="Times New Roman" w:cs="Calibri"/>
                <w:color w:val="000000"/>
                <w:lang w:val="es-CR"/>
              </w:rPr>
            </w:pPr>
            <w:r w:rsidRPr="001D586E">
              <w:rPr>
                <w:rFonts w:eastAsia="Times New Roman" w:cs="Calibri"/>
                <w:color w:val="000000"/>
                <w:lang w:val="es-CR"/>
              </w:rPr>
              <w:t xml:space="preserve">     FPJ</w:t>
            </w:r>
          </w:p>
        </w:tc>
        <w:tc>
          <w:tcPr>
            <w:tcW w:w="1106" w:type="dxa"/>
            <w:hideMark/>
          </w:tcPr>
          <w:p w14:paraId="3860DA62" w14:textId="77777777" w:rsidR="000C051C" w:rsidRPr="001D586E" w:rsidRDefault="000C051C" w:rsidP="000C05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13 529</w:t>
            </w:r>
          </w:p>
        </w:tc>
        <w:tc>
          <w:tcPr>
            <w:tcW w:w="1298" w:type="dxa"/>
            <w:hideMark/>
          </w:tcPr>
          <w:p w14:paraId="76A6C10F" w14:textId="77777777" w:rsidR="000C051C" w:rsidRPr="001D586E" w:rsidRDefault="000C051C" w:rsidP="000C05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4 241</w:t>
            </w:r>
          </w:p>
        </w:tc>
        <w:tc>
          <w:tcPr>
            <w:tcW w:w="1127" w:type="dxa"/>
            <w:noWrap/>
            <w:hideMark/>
          </w:tcPr>
          <w:p w14:paraId="76494605" w14:textId="77777777" w:rsidR="000C051C" w:rsidRPr="001D586E" w:rsidRDefault="000C051C" w:rsidP="000C05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11%**</w:t>
            </w:r>
          </w:p>
        </w:tc>
        <w:tc>
          <w:tcPr>
            <w:tcW w:w="1057" w:type="dxa"/>
            <w:noWrap/>
            <w:hideMark/>
          </w:tcPr>
          <w:p w14:paraId="74102B78" w14:textId="77777777" w:rsidR="000C051C" w:rsidRPr="001D586E" w:rsidRDefault="000C051C" w:rsidP="000C05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14,36%</w:t>
            </w:r>
          </w:p>
        </w:tc>
        <w:tc>
          <w:tcPr>
            <w:tcW w:w="777" w:type="dxa"/>
            <w:noWrap/>
            <w:hideMark/>
          </w:tcPr>
          <w:p w14:paraId="2B608BF6" w14:textId="77777777" w:rsidR="000C051C" w:rsidRPr="001D586E" w:rsidRDefault="000C051C" w:rsidP="000C05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1,41%</w:t>
            </w:r>
          </w:p>
        </w:tc>
        <w:tc>
          <w:tcPr>
            <w:tcW w:w="1066" w:type="dxa"/>
            <w:noWrap/>
            <w:hideMark/>
          </w:tcPr>
          <w:p w14:paraId="31E62F77" w14:textId="77777777" w:rsidR="000C051C" w:rsidRPr="001D586E" w:rsidRDefault="000C051C" w:rsidP="000C05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7437A2">
              <w:t xml:space="preserve"> 1 789 388 </w:t>
            </w:r>
          </w:p>
        </w:tc>
      </w:tr>
      <w:tr w:rsidR="00AE0C13" w:rsidRPr="001D586E" w14:paraId="2E197ED2" w14:textId="77777777" w:rsidTr="00A058D6">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2F640354" w14:textId="77777777" w:rsidR="000C051C" w:rsidRPr="001D586E" w:rsidRDefault="000C051C" w:rsidP="000C051C">
            <w:pPr>
              <w:rPr>
                <w:rFonts w:eastAsia="Times New Roman" w:cs="Calibri"/>
                <w:color w:val="000000"/>
                <w:lang w:val="es-CR"/>
              </w:rPr>
            </w:pPr>
            <w:r>
              <w:rPr>
                <w:rFonts w:eastAsia="Times New Roman" w:cs="Calibri"/>
                <w:color w:val="000000"/>
                <w:lang w:val="es-CR"/>
              </w:rPr>
              <w:t xml:space="preserve">     FBOMBEROS</w:t>
            </w:r>
          </w:p>
        </w:tc>
        <w:tc>
          <w:tcPr>
            <w:tcW w:w="1106" w:type="dxa"/>
          </w:tcPr>
          <w:p w14:paraId="2AE08063"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A7C6E">
              <w:t>4</w:t>
            </w:r>
          </w:p>
        </w:tc>
        <w:tc>
          <w:tcPr>
            <w:tcW w:w="1298" w:type="dxa"/>
          </w:tcPr>
          <w:p w14:paraId="01AA2BC3"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A7C6E">
              <w:t>222</w:t>
            </w:r>
          </w:p>
        </w:tc>
        <w:tc>
          <w:tcPr>
            <w:tcW w:w="1127" w:type="dxa"/>
            <w:noWrap/>
          </w:tcPr>
          <w:p w14:paraId="785D8A7D"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A7C6E">
              <w:t>12,5%</w:t>
            </w:r>
          </w:p>
        </w:tc>
        <w:tc>
          <w:tcPr>
            <w:tcW w:w="1057" w:type="dxa"/>
            <w:noWrap/>
          </w:tcPr>
          <w:p w14:paraId="3796D586"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A7C6E">
              <w:t>37,5%**</w:t>
            </w:r>
          </w:p>
        </w:tc>
        <w:tc>
          <w:tcPr>
            <w:tcW w:w="777" w:type="dxa"/>
            <w:noWrap/>
          </w:tcPr>
          <w:p w14:paraId="308A3B4A"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A7C6E">
              <w:t>0%</w:t>
            </w:r>
          </w:p>
        </w:tc>
        <w:tc>
          <w:tcPr>
            <w:tcW w:w="1066" w:type="dxa"/>
            <w:noWrap/>
          </w:tcPr>
          <w:p w14:paraId="421155E8" w14:textId="77777777" w:rsidR="000C051C" w:rsidRPr="001D586E" w:rsidRDefault="000C051C" w:rsidP="000C05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7437A2">
              <w:t xml:space="preserve"> 913 502 </w:t>
            </w:r>
          </w:p>
        </w:tc>
      </w:tr>
      <w:tr w:rsidR="001D586E" w:rsidRPr="001D586E" w14:paraId="14BA97A7" w14:textId="77777777" w:rsidTr="00A058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343" w:type="dxa"/>
            <w:gridSpan w:val="7"/>
            <w:noWrap/>
            <w:hideMark/>
          </w:tcPr>
          <w:p w14:paraId="23231A74" w14:textId="77777777" w:rsidR="001D586E" w:rsidRPr="001D586E" w:rsidRDefault="001D586E" w:rsidP="001D586E">
            <w:pPr>
              <w:rPr>
                <w:rFonts w:eastAsia="Times New Roman" w:cs="Calibri"/>
                <w:color w:val="000000"/>
                <w:lang w:val="es-CR"/>
              </w:rPr>
            </w:pPr>
            <w:r w:rsidRPr="001D586E">
              <w:rPr>
                <w:rFonts w:eastAsia="Times New Roman" w:cs="Calibri"/>
                <w:color w:val="000000"/>
                <w:lang w:val="es-CR"/>
              </w:rPr>
              <w:t>Regímenes Ocupacionales Complementarios</w:t>
            </w:r>
          </w:p>
        </w:tc>
      </w:tr>
      <w:tr w:rsidR="00DD461C" w:rsidRPr="001D586E" w14:paraId="7F5D7786" w14:textId="77777777" w:rsidTr="00A058D6">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5558AE65" w14:textId="77777777" w:rsidR="00DD461C" w:rsidRPr="001D586E" w:rsidRDefault="00DD461C" w:rsidP="00DD461C">
            <w:pPr>
              <w:rPr>
                <w:rFonts w:eastAsia="Times New Roman" w:cs="Calibri"/>
                <w:color w:val="000000"/>
                <w:lang w:val="es-CR"/>
              </w:rPr>
            </w:pPr>
            <w:r w:rsidRPr="001D586E">
              <w:rPr>
                <w:rFonts w:eastAsia="Times New Roman" w:cs="Calibri"/>
                <w:color w:val="000000"/>
                <w:lang w:val="es-CR"/>
              </w:rPr>
              <w:t xml:space="preserve">     FBNCR</w:t>
            </w:r>
            <w:r w:rsidR="00F551E6">
              <w:rPr>
                <w:rFonts w:eastAsia="Times New Roman" w:cs="Calibri"/>
                <w:color w:val="000000"/>
                <w:lang w:val="es-CR"/>
              </w:rPr>
              <w:t xml:space="preserve"> </w:t>
            </w:r>
          </w:p>
        </w:tc>
        <w:tc>
          <w:tcPr>
            <w:tcW w:w="1106" w:type="dxa"/>
            <w:hideMark/>
          </w:tcPr>
          <w:p w14:paraId="46273288"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5 171</w:t>
            </w:r>
          </w:p>
        </w:tc>
        <w:tc>
          <w:tcPr>
            <w:tcW w:w="1298" w:type="dxa"/>
            <w:hideMark/>
          </w:tcPr>
          <w:p w14:paraId="68CA5D13"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1 556</w:t>
            </w:r>
          </w:p>
        </w:tc>
        <w:tc>
          <w:tcPr>
            <w:tcW w:w="1127" w:type="dxa"/>
            <w:noWrap/>
            <w:hideMark/>
          </w:tcPr>
          <w:p w14:paraId="3661A1A8"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5%</w:t>
            </w:r>
          </w:p>
        </w:tc>
        <w:tc>
          <w:tcPr>
            <w:tcW w:w="1057" w:type="dxa"/>
            <w:noWrap/>
            <w:hideMark/>
          </w:tcPr>
          <w:p w14:paraId="5A837841"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10%</w:t>
            </w:r>
          </w:p>
        </w:tc>
        <w:tc>
          <w:tcPr>
            <w:tcW w:w="777" w:type="dxa"/>
            <w:noWrap/>
            <w:hideMark/>
          </w:tcPr>
          <w:p w14:paraId="00A947BC"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hideMark/>
          </w:tcPr>
          <w:p w14:paraId="79319CE8"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21721">
              <w:t xml:space="preserve"> 749 841 </w:t>
            </w:r>
          </w:p>
        </w:tc>
      </w:tr>
      <w:tr w:rsidR="004A721D" w:rsidRPr="001D586E" w14:paraId="5D84D682" w14:textId="77777777" w:rsidTr="00A058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3FBF562D" w14:textId="77777777" w:rsidR="00DD461C" w:rsidRPr="001D586E" w:rsidRDefault="00DD461C" w:rsidP="00DD461C">
            <w:pPr>
              <w:rPr>
                <w:rFonts w:eastAsia="Times New Roman" w:cs="Calibri"/>
                <w:color w:val="000000"/>
                <w:lang w:val="es-CR"/>
              </w:rPr>
            </w:pPr>
            <w:r w:rsidRPr="001D586E">
              <w:rPr>
                <w:rFonts w:eastAsia="Times New Roman" w:cs="Calibri"/>
                <w:color w:val="000000"/>
                <w:lang w:val="es-CR"/>
              </w:rPr>
              <w:t xml:space="preserve">     FICE</w:t>
            </w:r>
          </w:p>
        </w:tc>
        <w:tc>
          <w:tcPr>
            <w:tcW w:w="1106" w:type="dxa"/>
            <w:hideMark/>
          </w:tcPr>
          <w:p w14:paraId="2A59D7FD"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12 106</w:t>
            </w:r>
          </w:p>
        </w:tc>
        <w:tc>
          <w:tcPr>
            <w:tcW w:w="1298" w:type="dxa"/>
            <w:hideMark/>
          </w:tcPr>
          <w:p w14:paraId="53BFBE01"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4 223</w:t>
            </w:r>
          </w:p>
        </w:tc>
        <w:tc>
          <w:tcPr>
            <w:tcW w:w="1127" w:type="dxa"/>
            <w:noWrap/>
            <w:hideMark/>
          </w:tcPr>
          <w:p w14:paraId="7DE915EF"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w:t>
            </w:r>
          </w:p>
        </w:tc>
        <w:tc>
          <w:tcPr>
            <w:tcW w:w="1057" w:type="dxa"/>
            <w:noWrap/>
            <w:hideMark/>
          </w:tcPr>
          <w:p w14:paraId="71FB6F67"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4,5%</w:t>
            </w:r>
          </w:p>
        </w:tc>
        <w:tc>
          <w:tcPr>
            <w:tcW w:w="777" w:type="dxa"/>
            <w:noWrap/>
            <w:hideMark/>
          </w:tcPr>
          <w:p w14:paraId="55EDACBD"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hideMark/>
          </w:tcPr>
          <w:p w14:paraId="1A08C546"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21721">
              <w:t xml:space="preserve"> 279 556 </w:t>
            </w:r>
          </w:p>
        </w:tc>
      </w:tr>
      <w:tr w:rsidR="00DD461C" w:rsidRPr="001D586E" w14:paraId="52C4FD08" w14:textId="77777777" w:rsidTr="00A058D6">
        <w:trPr>
          <w:trHeight w:val="260"/>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4C262F63" w14:textId="77777777" w:rsidR="00DD461C" w:rsidRPr="001D586E" w:rsidRDefault="00DD461C" w:rsidP="00DD461C">
            <w:pPr>
              <w:rPr>
                <w:rFonts w:eastAsia="Times New Roman" w:cs="Calibri"/>
                <w:color w:val="000000"/>
                <w:lang w:val="es-CR"/>
              </w:rPr>
            </w:pPr>
            <w:r w:rsidRPr="001D586E">
              <w:rPr>
                <w:rFonts w:eastAsia="Times New Roman" w:cs="Calibri"/>
                <w:color w:val="000000"/>
                <w:lang w:val="es-CR"/>
              </w:rPr>
              <w:t xml:space="preserve">     FRE</w:t>
            </w:r>
          </w:p>
        </w:tc>
        <w:tc>
          <w:tcPr>
            <w:tcW w:w="1106" w:type="dxa"/>
            <w:hideMark/>
          </w:tcPr>
          <w:p w14:paraId="6FF4D3F6"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56 710</w:t>
            </w:r>
          </w:p>
        </w:tc>
        <w:tc>
          <w:tcPr>
            <w:tcW w:w="1298" w:type="dxa"/>
            <w:hideMark/>
          </w:tcPr>
          <w:p w14:paraId="1E746CE5"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17 834</w:t>
            </w:r>
          </w:p>
        </w:tc>
        <w:tc>
          <w:tcPr>
            <w:tcW w:w="1127" w:type="dxa"/>
            <w:noWrap/>
            <w:hideMark/>
          </w:tcPr>
          <w:p w14:paraId="73824FA6"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57" w:type="dxa"/>
            <w:noWrap/>
            <w:hideMark/>
          </w:tcPr>
          <w:p w14:paraId="693697ED"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2%</w:t>
            </w:r>
          </w:p>
        </w:tc>
        <w:tc>
          <w:tcPr>
            <w:tcW w:w="777" w:type="dxa"/>
            <w:noWrap/>
            <w:hideMark/>
          </w:tcPr>
          <w:p w14:paraId="6E6F4C6A"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hideMark/>
          </w:tcPr>
          <w:p w14:paraId="3ED37F3C" w14:textId="77777777" w:rsidR="00DD461C" w:rsidRPr="001D586E" w:rsidRDefault="00DD461C" w:rsidP="00DD461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21721">
              <w:t xml:space="preserve"> 130 229 </w:t>
            </w:r>
          </w:p>
        </w:tc>
      </w:tr>
      <w:tr w:rsidR="00DD461C" w:rsidRPr="001D586E" w14:paraId="1DFFB66A" w14:textId="77777777" w:rsidTr="00A058D6">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912" w:type="dxa"/>
            <w:noWrap/>
            <w:vAlign w:val="center"/>
            <w:hideMark/>
          </w:tcPr>
          <w:p w14:paraId="6A2C0CBF" w14:textId="77777777" w:rsidR="00DD461C" w:rsidRPr="001D586E" w:rsidRDefault="00DD461C" w:rsidP="00DD461C">
            <w:pPr>
              <w:rPr>
                <w:rFonts w:eastAsia="Times New Roman" w:cs="Calibri"/>
                <w:color w:val="000000"/>
                <w:lang w:val="es-CR"/>
              </w:rPr>
            </w:pPr>
            <w:r w:rsidRPr="001D586E">
              <w:rPr>
                <w:rFonts w:eastAsia="Times New Roman" w:cs="Calibri"/>
                <w:color w:val="000000"/>
                <w:lang w:val="es-CR"/>
              </w:rPr>
              <w:t xml:space="preserve">     FVENTLOT</w:t>
            </w:r>
          </w:p>
        </w:tc>
        <w:tc>
          <w:tcPr>
            <w:tcW w:w="1106" w:type="dxa"/>
            <w:vAlign w:val="center"/>
            <w:hideMark/>
          </w:tcPr>
          <w:p w14:paraId="36F1EA5B"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1 895</w:t>
            </w:r>
          </w:p>
        </w:tc>
        <w:tc>
          <w:tcPr>
            <w:tcW w:w="1298" w:type="dxa"/>
            <w:vAlign w:val="center"/>
            <w:hideMark/>
          </w:tcPr>
          <w:p w14:paraId="79B87F45"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448</w:t>
            </w:r>
          </w:p>
        </w:tc>
        <w:tc>
          <w:tcPr>
            <w:tcW w:w="1127" w:type="dxa"/>
            <w:vAlign w:val="center"/>
            <w:hideMark/>
          </w:tcPr>
          <w:p w14:paraId="35F76E95" w14:textId="77777777" w:rsidR="00DD461C" w:rsidRPr="001D586E" w:rsidRDefault="00DD461C" w:rsidP="00DD461C">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R"/>
              </w:rPr>
            </w:pPr>
            <w:r w:rsidRPr="001D586E">
              <w:rPr>
                <w:rFonts w:eastAsia="Times New Roman" w:cs="Calibri"/>
                <w:color w:val="000000"/>
                <w:sz w:val="16"/>
                <w:szCs w:val="16"/>
                <w:lang w:val="es-CR"/>
              </w:rPr>
              <w:t>0,25% del monto aportado por Patrono</w:t>
            </w:r>
          </w:p>
        </w:tc>
        <w:tc>
          <w:tcPr>
            <w:tcW w:w="1057" w:type="dxa"/>
            <w:vAlign w:val="center"/>
            <w:hideMark/>
          </w:tcPr>
          <w:p w14:paraId="705A0EFC" w14:textId="77777777" w:rsidR="00DD461C" w:rsidRPr="001D586E" w:rsidRDefault="00DD461C" w:rsidP="00DD461C">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R"/>
              </w:rPr>
            </w:pPr>
            <w:r w:rsidRPr="001D586E">
              <w:rPr>
                <w:rFonts w:eastAsia="Times New Roman" w:cs="Calibri"/>
                <w:color w:val="000000"/>
                <w:sz w:val="16"/>
                <w:szCs w:val="16"/>
                <w:lang w:val="es-CR"/>
              </w:rPr>
              <w:t>1% de ventas de lotería</w:t>
            </w:r>
          </w:p>
        </w:tc>
        <w:tc>
          <w:tcPr>
            <w:tcW w:w="777" w:type="dxa"/>
            <w:noWrap/>
            <w:vAlign w:val="center"/>
            <w:hideMark/>
          </w:tcPr>
          <w:p w14:paraId="49FDD6FA" w14:textId="77777777" w:rsidR="00DD461C" w:rsidRPr="001D586E" w:rsidRDefault="00DD461C" w:rsidP="00DD461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vAlign w:val="center"/>
            <w:hideMark/>
          </w:tcPr>
          <w:p w14:paraId="2A2D115C" w14:textId="77777777" w:rsidR="00DD461C" w:rsidRPr="00DD461C" w:rsidRDefault="00DD461C" w:rsidP="00DD461C">
            <w:pPr>
              <w:jc w:val="right"/>
              <w:cnfStyle w:val="000000100000" w:firstRow="0" w:lastRow="0" w:firstColumn="0" w:lastColumn="0" w:oddVBand="0" w:evenVBand="0" w:oddHBand="1" w:evenHBand="0" w:firstRowFirstColumn="0" w:firstRowLastColumn="0" w:lastRowFirstColumn="0" w:lastRowLastColumn="0"/>
            </w:pPr>
            <w:r w:rsidRPr="00321721">
              <w:t xml:space="preserve"> </w:t>
            </w:r>
            <w:r w:rsidRPr="00DD461C">
              <w:rPr>
                <w:rFonts w:eastAsia="Times New Roman" w:cs="Calibri"/>
                <w:color w:val="000000"/>
                <w:lang w:val="es-CR"/>
              </w:rPr>
              <w:t>144</w:t>
            </w:r>
            <w:r w:rsidRPr="00321721">
              <w:t xml:space="preserve"> 143</w:t>
            </w:r>
          </w:p>
        </w:tc>
      </w:tr>
      <w:tr w:rsidR="00724362" w:rsidRPr="001D586E" w14:paraId="52BE964F" w14:textId="77777777" w:rsidTr="00A058D6">
        <w:trPr>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7605B8A0" w14:textId="77777777" w:rsidR="00724362" w:rsidRPr="001D586E" w:rsidRDefault="00724362" w:rsidP="00724362">
            <w:pPr>
              <w:rPr>
                <w:rFonts w:eastAsia="Times New Roman" w:cs="Calibri"/>
                <w:color w:val="000000"/>
                <w:lang w:val="es-CR"/>
              </w:rPr>
            </w:pPr>
            <w:r w:rsidRPr="003B2A19">
              <w:rPr>
                <w:rFonts w:eastAsia="Times New Roman" w:cs="Calibri"/>
                <w:color w:val="000000"/>
                <w:lang w:val="es-CR"/>
              </w:rPr>
              <w:t xml:space="preserve">     FBCR</w:t>
            </w:r>
          </w:p>
        </w:tc>
        <w:tc>
          <w:tcPr>
            <w:tcW w:w="1106" w:type="dxa"/>
          </w:tcPr>
          <w:p w14:paraId="5488D433" w14:textId="77777777" w:rsidR="00724362" w:rsidRPr="00C549AA" w:rsidRDefault="00705498" w:rsidP="0072436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3 965</w:t>
            </w:r>
          </w:p>
        </w:tc>
        <w:tc>
          <w:tcPr>
            <w:tcW w:w="1298" w:type="dxa"/>
          </w:tcPr>
          <w:p w14:paraId="20418EF5" w14:textId="77777777" w:rsidR="00724362" w:rsidRPr="00C549AA" w:rsidRDefault="00C549AA" w:rsidP="0072436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C549AA">
              <w:rPr>
                <w:rFonts w:eastAsia="Times New Roman" w:cs="Calibri"/>
                <w:color w:val="000000"/>
                <w:lang w:val="es-CR"/>
              </w:rPr>
              <w:t>8</w:t>
            </w:r>
          </w:p>
        </w:tc>
        <w:tc>
          <w:tcPr>
            <w:tcW w:w="1127" w:type="dxa"/>
            <w:noWrap/>
          </w:tcPr>
          <w:p w14:paraId="0E160C19" w14:textId="77777777" w:rsidR="00724362" w:rsidRPr="001D586E" w:rsidRDefault="000C3D87" w:rsidP="0072436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0,5%</w:t>
            </w:r>
          </w:p>
        </w:tc>
        <w:tc>
          <w:tcPr>
            <w:tcW w:w="1057" w:type="dxa"/>
            <w:noWrap/>
          </w:tcPr>
          <w:p w14:paraId="7EDACC4E" w14:textId="77777777" w:rsidR="00724362" w:rsidRPr="001D586E" w:rsidRDefault="00643CDB" w:rsidP="0072436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10%</w:t>
            </w:r>
          </w:p>
        </w:tc>
        <w:tc>
          <w:tcPr>
            <w:tcW w:w="777" w:type="dxa"/>
            <w:noWrap/>
          </w:tcPr>
          <w:p w14:paraId="2ADCD981" w14:textId="77777777" w:rsidR="00724362" w:rsidRPr="001D586E" w:rsidRDefault="000C3D87" w:rsidP="0072436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w:t>
            </w:r>
          </w:p>
        </w:tc>
        <w:tc>
          <w:tcPr>
            <w:tcW w:w="1066" w:type="dxa"/>
            <w:noWrap/>
          </w:tcPr>
          <w:p w14:paraId="7590E56E" w14:textId="77777777" w:rsidR="00724362" w:rsidRPr="001D586E" w:rsidRDefault="008C15BE" w:rsidP="00724362">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8C15BE">
              <w:rPr>
                <w:rFonts w:eastAsia="Times New Roman" w:cs="Calibri"/>
                <w:color w:val="000000"/>
                <w:lang w:val="es-CR"/>
              </w:rPr>
              <w:t>162 313</w:t>
            </w:r>
          </w:p>
        </w:tc>
      </w:tr>
      <w:tr w:rsidR="00724362" w:rsidRPr="001D586E" w14:paraId="43E93329" w14:textId="77777777" w:rsidTr="00A058D6">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tcPr>
          <w:p w14:paraId="74993D85" w14:textId="77777777" w:rsidR="00724362" w:rsidRPr="001D586E" w:rsidRDefault="00724362" w:rsidP="00724362">
            <w:pPr>
              <w:rPr>
                <w:rFonts w:eastAsia="Times New Roman" w:cs="Calibri"/>
                <w:color w:val="000000"/>
                <w:lang w:val="es-CR"/>
              </w:rPr>
            </w:pPr>
            <w:r w:rsidRPr="003B2A19">
              <w:rPr>
                <w:rFonts w:eastAsia="Times New Roman" w:cs="Calibri"/>
                <w:color w:val="000000"/>
                <w:lang w:val="es-CR"/>
              </w:rPr>
              <w:t xml:space="preserve">     FICT</w:t>
            </w:r>
          </w:p>
        </w:tc>
        <w:tc>
          <w:tcPr>
            <w:tcW w:w="1106" w:type="dxa"/>
          </w:tcPr>
          <w:p w14:paraId="35DA1BF1" w14:textId="77777777" w:rsidR="00724362" w:rsidRPr="00C549AA" w:rsidRDefault="00705498" w:rsidP="00705498">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300</w:t>
            </w:r>
          </w:p>
        </w:tc>
        <w:tc>
          <w:tcPr>
            <w:tcW w:w="1298" w:type="dxa"/>
          </w:tcPr>
          <w:p w14:paraId="0B6EB383" w14:textId="77777777" w:rsidR="00724362" w:rsidRPr="00C549AA" w:rsidRDefault="00273831"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w:t>
            </w:r>
          </w:p>
        </w:tc>
        <w:tc>
          <w:tcPr>
            <w:tcW w:w="1127" w:type="dxa"/>
            <w:noWrap/>
          </w:tcPr>
          <w:p w14:paraId="30E95C97" w14:textId="77777777" w:rsidR="00724362" w:rsidRPr="001D586E" w:rsidRDefault="00CB145F"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w:t>
            </w:r>
          </w:p>
        </w:tc>
        <w:tc>
          <w:tcPr>
            <w:tcW w:w="1057" w:type="dxa"/>
            <w:noWrap/>
          </w:tcPr>
          <w:p w14:paraId="0391E8F2" w14:textId="77777777" w:rsidR="00724362" w:rsidRPr="001D586E" w:rsidRDefault="00CB145F"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5%</w:t>
            </w:r>
          </w:p>
        </w:tc>
        <w:tc>
          <w:tcPr>
            <w:tcW w:w="777" w:type="dxa"/>
            <w:noWrap/>
          </w:tcPr>
          <w:p w14:paraId="0FA24876" w14:textId="77777777" w:rsidR="00724362" w:rsidRPr="001D586E" w:rsidRDefault="000C3D87"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w:t>
            </w:r>
          </w:p>
        </w:tc>
        <w:tc>
          <w:tcPr>
            <w:tcW w:w="1066" w:type="dxa"/>
            <w:noWrap/>
          </w:tcPr>
          <w:p w14:paraId="5FC2815A" w14:textId="77777777" w:rsidR="00724362" w:rsidRPr="001D586E" w:rsidRDefault="00AC04A5" w:rsidP="00724362">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w:t>
            </w:r>
          </w:p>
        </w:tc>
      </w:tr>
      <w:tr w:rsidR="00AE0C13" w:rsidRPr="001D586E" w14:paraId="6F004898" w14:textId="77777777" w:rsidTr="00A058D6">
        <w:trPr>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645C8116" w14:textId="77777777" w:rsidR="001D586E" w:rsidRPr="001D586E" w:rsidRDefault="00163ABA" w:rsidP="001D586E">
            <w:pPr>
              <w:rPr>
                <w:rFonts w:eastAsia="Times New Roman" w:cs="Calibri"/>
                <w:color w:val="000000"/>
                <w:lang w:val="es-CR"/>
              </w:rPr>
            </w:pPr>
            <w:r w:rsidRPr="001D586E">
              <w:rPr>
                <w:rFonts w:eastAsia="Times New Roman" w:cs="Calibri"/>
                <w:color w:val="000000"/>
                <w:lang w:val="es-CR"/>
              </w:rPr>
              <w:t xml:space="preserve">Régimen Obligatorio Complementario </w:t>
            </w:r>
            <w:r>
              <w:rPr>
                <w:rFonts w:eastAsia="Times New Roman" w:cs="Calibri"/>
                <w:color w:val="000000"/>
                <w:lang w:val="es-CR"/>
              </w:rPr>
              <w:t>(</w:t>
            </w:r>
            <w:r w:rsidR="001D586E" w:rsidRPr="001D586E">
              <w:rPr>
                <w:rFonts w:eastAsia="Times New Roman" w:cs="Calibri"/>
                <w:color w:val="000000"/>
                <w:lang w:val="es-CR"/>
              </w:rPr>
              <w:t>ROP</w:t>
            </w:r>
            <w:r>
              <w:rPr>
                <w:rFonts w:eastAsia="Times New Roman" w:cs="Calibri"/>
                <w:color w:val="000000"/>
                <w:lang w:val="es-CR"/>
              </w:rPr>
              <w:t>)</w:t>
            </w:r>
          </w:p>
        </w:tc>
        <w:tc>
          <w:tcPr>
            <w:tcW w:w="1106" w:type="dxa"/>
            <w:hideMark/>
          </w:tcPr>
          <w:p w14:paraId="4BD116FD"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2 774 479</w:t>
            </w:r>
          </w:p>
        </w:tc>
        <w:tc>
          <w:tcPr>
            <w:tcW w:w="1298" w:type="dxa"/>
            <w:hideMark/>
          </w:tcPr>
          <w:p w14:paraId="2F6BB443"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10 919</w:t>
            </w:r>
          </w:p>
        </w:tc>
        <w:tc>
          <w:tcPr>
            <w:tcW w:w="1127" w:type="dxa"/>
            <w:noWrap/>
            <w:hideMark/>
          </w:tcPr>
          <w:p w14:paraId="51EF4BB3"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w:t>
            </w:r>
          </w:p>
        </w:tc>
        <w:tc>
          <w:tcPr>
            <w:tcW w:w="1057" w:type="dxa"/>
            <w:noWrap/>
            <w:hideMark/>
          </w:tcPr>
          <w:p w14:paraId="6437F84D"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3,25%</w:t>
            </w:r>
          </w:p>
        </w:tc>
        <w:tc>
          <w:tcPr>
            <w:tcW w:w="777" w:type="dxa"/>
            <w:noWrap/>
            <w:hideMark/>
          </w:tcPr>
          <w:p w14:paraId="523D9FDA"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hideMark/>
          </w:tcPr>
          <w:p w14:paraId="212A4E08"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 xml:space="preserve">98 039 </w:t>
            </w:r>
          </w:p>
        </w:tc>
      </w:tr>
      <w:tr w:rsidR="0063459A" w:rsidRPr="001D586E" w14:paraId="011D2C0F" w14:textId="77777777" w:rsidTr="00A058D6">
        <w:trPr>
          <w:cnfStyle w:val="000000100000" w:firstRow="0" w:lastRow="0" w:firstColumn="0" w:lastColumn="0" w:oddVBand="0" w:evenVBand="0" w:oddHBand="1" w:evenHBand="0" w:firstRowFirstColumn="0" w:firstRowLastColumn="0" w:lastRowFirstColumn="0" w:lastRowLastColumn="0"/>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78EDD831" w14:textId="77777777" w:rsidR="001D586E" w:rsidRPr="001D586E" w:rsidRDefault="00C25276" w:rsidP="001D586E">
            <w:pPr>
              <w:rPr>
                <w:rFonts w:eastAsia="Times New Roman" w:cs="Calibri"/>
                <w:color w:val="000000"/>
                <w:lang w:val="es-CR"/>
              </w:rPr>
            </w:pPr>
            <w:r w:rsidRPr="001D586E">
              <w:rPr>
                <w:rFonts w:eastAsia="Times New Roman" w:cs="Calibri"/>
                <w:color w:val="000000"/>
                <w:lang w:val="es-CR"/>
              </w:rPr>
              <w:t>Planes Voluntarios</w:t>
            </w:r>
          </w:p>
        </w:tc>
        <w:tc>
          <w:tcPr>
            <w:tcW w:w="1106" w:type="dxa"/>
            <w:hideMark/>
          </w:tcPr>
          <w:p w14:paraId="578BBC12" w14:textId="77777777" w:rsidR="001D586E" w:rsidRPr="001D586E" w:rsidRDefault="0063459A"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137 535</w:t>
            </w:r>
          </w:p>
        </w:tc>
        <w:tc>
          <w:tcPr>
            <w:tcW w:w="1298" w:type="dxa"/>
            <w:noWrap/>
            <w:hideMark/>
          </w:tcPr>
          <w:p w14:paraId="26BAEA83" w14:textId="77777777" w:rsidR="001D586E" w:rsidRPr="001D586E" w:rsidRDefault="00D33F6A"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0</w:t>
            </w:r>
          </w:p>
        </w:tc>
        <w:tc>
          <w:tcPr>
            <w:tcW w:w="1127" w:type="dxa"/>
            <w:hideMark/>
          </w:tcPr>
          <w:p w14:paraId="6BC3739C" w14:textId="77777777" w:rsidR="001D586E" w:rsidRPr="001D586E" w:rsidRDefault="001D586E" w:rsidP="00A25946">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Libre</w:t>
            </w:r>
          </w:p>
        </w:tc>
        <w:tc>
          <w:tcPr>
            <w:tcW w:w="1057" w:type="dxa"/>
            <w:noWrap/>
            <w:hideMark/>
          </w:tcPr>
          <w:p w14:paraId="44372793" w14:textId="77777777" w:rsidR="001D586E" w:rsidRPr="001D586E" w:rsidRDefault="001D586E"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777" w:type="dxa"/>
            <w:noWrap/>
            <w:hideMark/>
          </w:tcPr>
          <w:p w14:paraId="12F60EA4" w14:textId="77777777" w:rsidR="001D586E" w:rsidRPr="001D586E" w:rsidRDefault="001D586E"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hideMark/>
          </w:tcPr>
          <w:p w14:paraId="049C7410" w14:textId="77777777" w:rsidR="001D586E" w:rsidRPr="001D586E" w:rsidRDefault="001D586E" w:rsidP="001D586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NA</w:t>
            </w:r>
          </w:p>
        </w:tc>
      </w:tr>
      <w:tr w:rsidR="0063459A" w:rsidRPr="001D586E" w14:paraId="73864725" w14:textId="77777777" w:rsidTr="00A058D6">
        <w:trPr>
          <w:trHeight w:val="55"/>
          <w:jc w:val="center"/>
        </w:trPr>
        <w:tc>
          <w:tcPr>
            <w:cnfStyle w:val="001000000000" w:firstRow="0" w:lastRow="0" w:firstColumn="1" w:lastColumn="0" w:oddVBand="0" w:evenVBand="0" w:oddHBand="0" w:evenHBand="0" w:firstRowFirstColumn="0" w:firstRowLastColumn="0" w:lastRowFirstColumn="0" w:lastRowLastColumn="0"/>
            <w:tcW w:w="3912" w:type="dxa"/>
            <w:noWrap/>
            <w:hideMark/>
          </w:tcPr>
          <w:p w14:paraId="572FEF4C" w14:textId="77777777" w:rsidR="001D586E" w:rsidRPr="000249CC" w:rsidRDefault="001D586E" w:rsidP="001D586E">
            <w:pPr>
              <w:rPr>
                <w:rFonts w:eastAsia="Times New Roman" w:cs="Calibri"/>
                <w:color w:val="000000"/>
                <w:lang w:val="es-CR"/>
              </w:rPr>
            </w:pPr>
            <w:r w:rsidRPr="000249CC">
              <w:rPr>
                <w:rFonts w:eastAsia="Times New Roman" w:cs="Calibri"/>
                <w:color w:val="000000"/>
                <w:lang w:val="es-CR"/>
              </w:rPr>
              <w:t>Fondo de Capitalización Laboral (FCL)</w:t>
            </w:r>
          </w:p>
        </w:tc>
        <w:tc>
          <w:tcPr>
            <w:tcW w:w="1106" w:type="dxa"/>
            <w:hideMark/>
          </w:tcPr>
          <w:p w14:paraId="64FC2B1F"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2 502 684</w:t>
            </w:r>
          </w:p>
        </w:tc>
        <w:tc>
          <w:tcPr>
            <w:tcW w:w="1298" w:type="dxa"/>
            <w:noWrap/>
            <w:hideMark/>
          </w:tcPr>
          <w:p w14:paraId="390F3AE0"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NA</w:t>
            </w:r>
          </w:p>
        </w:tc>
        <w:tc>
          <w:tcPr>
            <w:tcW w:w="1127" w:type="dxa"/>
            <w:noWrap/>
            <w:hideMark/>
          </w:tcPr>
          <w:p w14:paraId="18526B75"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1,50%</w:t>
            </w:r>
          </w:p>
        </w:tc>
        <w:tc>
          <w:tcPr>
            <w:tcW w:w="1057" w:type="dxa"/>
            <w:noWrap/>
            <w:hideMark/>
          </w:tcPr>
          <w:p w14:paraId="2CF1374E"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777" w:type="dxa"/>
            <w:noWrap/>
            <w:hideMark/>
          </w:tcPr>
          <w:p w14:paraId="3CE36FF9"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0%</w:t>
            </w:r>
          </w:p>
        </w:tc>
        <w:tc>
          <w:tcPr>
            <w:tcW w:w="1066" w:type="dxa"/>
            <w:noWrap/>
            <w:hideMark/>
          </w:tcPr>
          <w:p w14:paraId="7C4B659E" w14:textId="77777777" w:rsidR="001D586E" w:rsidRPr="001D586E" w:rsidRDefault="001D586E" w:rsidP="001D586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1D586E">
              <w:rPr>
                <w:rFonts w:eastAsia="Times New Roman" w:cs="Calibri"/>
                <w:color w:val="000000"/>
                <w:lang w:val="es-CR"/>
              </w:rPr>
              <w:t>NA</w:t>
            </w:r>
          </w:p>
        </w:tc>
      </w:tr>
    </w:tbl>
    <w:p w14:paraId="01645440" w14:textId="77777777" w:rsidR="00775F83" w:rsidRDefault="00775F83" w:rsidP="00775F83">
      <w:pPr>
        <w:pStyle w:val="Descripcin"/>
        <w:spacing w:after="0"/>
      </w:pPr>
      <w:r>
        <w:t>* Datos de afiliados y pensionados a mayo 2020</w:t>
      </w:r>
    </w:p>
    <w:p w14:paraId="0100CDD5" w14:textId="77777777" w:rsidR="00775F83" w:rsidRDefault="00775F83" w:rsidP="00775F83">
      <w:pPr>
        <w:pStyle w:val="Descripcin"/>
        <w:spacing w:after="0"/>
      </w:pPr>
      <w:r>
        <w:t>**Cotizan el trabajador y el pensionado</w:t>
      </w:r>
    </w:p>
    <w:p w14:paraId="16E508CC" w14:textId="77777777" w:rsidR="00AE03F5" w:rsidRDefault="00D33F6A" w:rsidP="00C83D68">
      <w:pPr>
        <w:pStyle w:val="Descripcin"/>
        <w:spacing w:after="0"/>
      </w:pPr>
      <w:r>
        <w:t>Fuente: Elaboración propia</w:t>
      </w:r>
    </w:p>
    <w:p w14:paraId="6B8F43B9" w14:textId="77777777" w:rsidR="00C83D68" w:rsidRPr="00C83D68" w:rsidRDefault="00C83D68" w:rsidP="00C83D68">
      <w:pPr>
        <w:spacing w:after="0" w:line="240" w:lineRule="auto"/>
      </w:pPr>
    </w:p>
    <w:p w14:paraId="7225F7F1" w14:textId="77777777" w:rsidR="004308B6" w:rsidRDefault="006929F8" w:rsidP="004308B6">
      <w:pPr>
        <w:pStyle w:val="Ttulo2"/>
        <w:numPr>
          <w:ilvl w:val="1"/>
          <w:numId w:val="2"/>
        </w:numPr>
      </w:pPr>
      <w:bookmarkStart w:id="16" w:name="_Toc50731063"/>
      <w:r>
        <w:t>Activos administrados</w:t>
      </w:r>
      <w:bookmarkEnd w:id="16"/>
      <w:r w:rsidR="20532F7E">
        <w:t xml:space="preserve"> </w:t>
      </w:r>
    </w:p>
    <w:p w14:paraId="35A5D828" w14:textId="77777777" w:rsidR="00CA77B1" w:rsidRDefault="00CA77B1" w:rsidP="00CA77B1">
      <w:pPr>
        <w:spacing w:after="0" w:line="240" w:lineRule="auto"/>
      </w:pPr>
    </w:p>
    <w:p w14:paraId="366236E5" w14:textId="77777777" w:rsidR="00CA77B1" w:rsidRDefault="00CA77B1" w:rsidP="00841412">
      <w:pPr>
        <w:spacing w:after="0" w:line="240" w:lineRule="auto"/>
        <w:jc w:val="both"/>
      </w:pPr>
      <w:r>
        <w:t>El Sistema Nacional de Pensiones (SNP) y el FCL</w:t>
      </w:r>
      <w:r w:rsidR="00681C9F">
        <w:t xml:space="preserve"> </w:t>
      </w:r>
      <w:r>
        <w:t xml:space="preserve">administran recursos, a junio del 2020, que totalizan </w:t>
      </w:r>
      <w:r w:rsidR="00C13D0C" w:rsidRPr="00841412">
        <w:t>₡</w:t>
      </w:r>
      <w:r>
        <w:t>16,</w:t>
      </w:r>
      <w:r w:rsidR="00612296">
        <w:t>1</w:t>
      </w:r>
      <w:r>
        <w:t xml:space="preserve"> billones, esto corresponde al 4</w:t>
      </w:r>
      <w:r w:rsidR="00B1514A">
        <w:t>6</w:t>
      </w:r>
      <w:r w:rsidR="00C13D0C">
        <w:t>,</w:t>
      </w:r>
      <w:r w:rsidR="00CB63A3">
        <w:t>6</w:t>
      </w:r>
      <w:r>
        <w:t xml:space="preserve">% del PIB. El crecimiento </w:t>
      </w:r>
      <w:r w:rsidR="00110043">
        <w:t xml:space="preserve">durante </w:t>
      </w:r>
      <w:r w:rsidR="009A13F0">
        <w:t>los primeros seis meses del año</w:t>
      </w:r>
      <w:r w:rsidR="009417A3">
        <w:t xml:space="preserve"> ha sido d</w:t>
      </w:r>
      <w:r>
        <w:t>el 4</w:t>
      </w:r>
      <w:r w:rsidR="00110043">
        <w:t>,1</w:t>
      </w:r>
      <w:r>
        <w:t>%</w:t>
      </w:r>
      <w:r w:rsidR="009417A3">
        <w:t>,</w:t>
      </w:r>
      <w:r>
        <w:t xml:space="preserve"> </w:t>
      </w:r>
      <w:r w:rsidR="009417A3">
        <w:t>bajo en comparaci</w:t>
      </w:r>
      <w:r w:rsidR="000C6C6E">
        <w:t>ó</w:t>
      </w:r>
      <w:r w:rsidR="009417A3">
        <w:t xml:space="preserve">n con el crecimiento promedio anual de los últimos 10 años que </w:t>
      </w:r>
      <w:r>
        <w:t xml:space="preserve">ronda el </w:t>
      </w:r>
      <w:r w:rsidR="009A13F0">
        <w:t>13,9</w:t>
      </w:r>
      <w:r>
        <w:t>%</w:t>
      </w:r>
      <w:r w:rsidR="00B23D86">
        <w:t>. El crecimiento de los activos</w:t>
      </w:r>
      <w:r>
        <w:t xml:space="preserve"> se </w:t>
      </w:r>
      <w:r w:rsidR="009A13F0">
        <w:t xml:space="preserve">explica por el </w:t>
      </w:r>
      <w:r w:rsidR="00B744FE">
        <w:t>ingreso</w:t>
      </w:r>
      <w:r>
        <w:t xml:space="preserve"> de</w:t>
      </w:r>
      <w:r w:rsidR="00B744FE">
        <w:t xml:space="preserve"> </w:t>
      </w:r>
      <w:r>
        <w:t>aportes</w:t>
      </w:r>
      <w:r w:rsidR="00B744FE">
        <w:t xml:space="preserve"> a los diferentes fondos</w:t>
      </w:r>
      <w:r>
        <w:t xml:space="preserve"> y la valoración de los activos</w:t>
      </w:r>
      <w:r w:rsidR="00320871">
        <w:t>,</w:t>
      </w:r>
      <w:r w:rsidR="00184F61">
        <w:t xml:space="preserve"> ambos</w:t>
      </w:r>
      <w:r w:rsidR="00910CCE">
        <w:t xml:space="preserve"> afectados por</w:t>
      </w:r>
      <w:r>
        <w:t xml:space="preserve"> </w:t>
      </w:r>
      <w:r w:rsidR="00320871">
        <w:t>el COVID-19</w:t>
      </w:r>
      <w:r>
        <w:t xml:space="preserve">. </w:t>
      </w:r>
    </w:p>
    <w:p w14:paraId="70E0CA27" w14:textId="77777777" w:rsidR="00841412" w:rsidRDefault="00841412" w:rsidP="00841412">
      <w:pPr>
        <w:spacing w:after="0" w:line="240" w:lineRule="auto"/>
        <w:jc w:val="both"/>
      </w:pPr>
    </w:p>
    <w:p w14:paraId="7AB827A3" w14:textId="77777777" w:rsidR="00CA77B1" w:rsidRDefault="00CA77B1" w:rsidP="00841412">
      <w:pPr>
        <w:spacing w:after="0" w:line="240" w:lineRule="auto"/>
        <w:jc w:val="both"/>
      </w:pPr>
      <w:r>
        <w:t>El Régimen de Invalidez, Vejez y Muerte administrado por la CCSS</w:t>
      </w:r>
      <w:r w:rsidR="0020715C">
        <w:t xml:space="preserve"> </w:t>
      </w:r>
      <w:r>
        <w:t xml:space="preserve">creció un 5% </w:t>
      </w:r>
      <w:r w:rsidR="00C40EAC">
        <w:t xml:space="preserve">en los primeros </w:t>
      </w:r>
      <w:r w:rsidR="0020715C">
        <w:t>seis</w:t>
      </w:r>
      <w:r w:rsidR="00C40EAC">
        <w:t xml:space="preserve"> meses del año</w:t>
      </w:r>
      <w:r>
        <w:t xml:space="preserve">, este fondo representa un </w:t>
      </w:r>
      <w:r w:rsidR="00F5725C">
        <w:t>8,9</w:t>
      </w:r>
      <w:r>
        <w:t>% del PIB.</w:t>
      </w:r>
    </w:p>
    <w:p w14:paraId="05D58098" w14:textId="77777777" w:rsidR="00B9565E" w:rsidRDefault="00B9565E" w:rsidP="00841412">
      <w:pPr>
        <w:spacing w:after="0" w:line="240" w:lineRule="auto"/>
        <w:jc w:val="both"/>
      </w:pPr>
    </w:p>
    <w:p w14:paraId="6AB2FBBE" w14:textId="77777777" w:rsidR="00B9565E" w:rsidRDefault="00B9565E" w:rsidP="00B9565E">
      <w:pPr>
        <w:spacing w:after="0" w:line="240" w:lineRule="auto"/>
        <w:jc w:val="both"/>
      </w:pPr>
      <w:r>
        <w:t xml:space="preserve">De los 14 gestores de fondos de pensiones, tres administran </w:t>
      </w:r>
      <w:r w:rsidRPr="00A053EB">
        <w:t>₡</w:t>
      </w:r>
      <w:r>
        <w:t xml:space="preserve">9,35 billones, que representan el 58,2% del total de activos. Estos tres gestores administran activos de más </w:t>
      </w:r>
      <w:r w:rsidRPr="00A053EB">
        <w:t>₡</w:t>
      </w:r>
      <w:r>
        <w:t>3 billones cada uno, a saber, RIVM, JUPEMA y Popular Pensiones, los dos primeros regímenes básicos y el último, régimen complementario.</w:t>
      </w:r>
    </w:p>
    <w:p w14:paraId="6F708E86" w14:textId="77777777" w:rsidR="00B9565E" w:rsidRDefault="00B9565E" w:rsidP="00B9565E">
      <w:pPr>
        <w:spacing w:after="0" w:line="240" w:lineRule="auto"/>
        <w:jc w:val="both"/>
      </w:pPr>
      <w:r>
        <w:t xml:space="preserve">El mayor volumen de activos lo administran los planes obligatorios complementarios (ROP), los planes ocupacionales básicos y régimen de seguridad social. Los fondos voluntarios han </w:t>
      </w:r>
      <w:r>
        <w:lastRenderedPageBreak/>
        <w:t>experimentado un menor crecimiento a lo largo de los años, debido a que perdieron los beneficios fiscales que tenían en sus orígenes y a la poca diferenciación respecto a los fondos de inversión abiertos en cuanto a rentabilidad y flexibilidad.</w:t>
      </w:r>
    </w:p>
    <w:p w14:paraId="4C18971A" w14:textId="77777777" w:rsidR="00B9565E" w:rsidRDefault="00B9565E" w:rsidP="00841412">
      <w:pPr>
        <w:spacing w:after="0" w:line="240" w:lineRule="auto"/>
        <w:jc w:val="both"/>
      </w:pPr>
    </w:p>
    <w:p w14:paraId="666993FD" w14:textId="77777777" w:rsidR="00C42B4F" w:rsidRPr="00C42B4F" w:rsidRDefault="00BC414E" w:rsidP="00BC414E">
      <w:pPr>
        <w:pStyle w:val="Descripcin"/>
        <w:tabs>
          <w:tab w:val="center" w:pos="4419"/>
          <w:tab w:val="left" w:pos="5331"/>
        </w:tabs>
        <w:spacing w:after="0"/>
      </w:pPr>
      <w:r>
        <w:tab/>
      </w:r>
      <w:r w:rsidR="00C42B4F">
        <w:t xml:space="preserve">Gráfico </w:t>
      </w:r>
      <w:r w:rsidR="00C42B4F">
        <w:fldChar w:fldCharType="begin"/>
      </w:r>
      <w:r w:rsidR="00C42B4F">
        <w:instrText xml:space="preserve"> SEQ Gráfico \* ARABIC </w:instrText>
      </w:r>
      <w:r w:rsidR="00C42B4F">
        <w:fldChar w:fldCharType="separate"/>
      </w:r>
      <w:r w:rsidR="00A058D6">
        <w:rPr>
          <w:noProof/>
        </w:rPr>
        <w:t>1</w:t>
      </w:r>
      <w:r w:rsidR="00C42B4F">
        <w:fldChar w:fldCharType="end"/>
      </w:r>
      <w:r>
        <w:t xml:space="preserve">: </w:t>
      </w:r>
      <w:r w:rsidR="00C42B4F" w:rsidRPr="00C42B4F">
        <w:t>Activos del Sistema Nacional de Pensiones y FCL</w:t>
      </w:r>
    </w:p>
    <w:p w14:paraId="7B5F3F0D" w14:textId="77777777" w:rsidR="00C42B4F" w:rsidRPr="00C42B4F" w:rsidRDefault="00336650" w:rsidP="00C42B4F">
      <w:pPr>
        <w:pStyle w:val="Descripcin"/>
        <w:spacing w:after="0"/>
        <w:jc w:val="center"/>
      </w:pPr>
      <w:r>
        <w:t>Por tipo de fondo c</w:t>
      </w:r>
      <w:r w:rsidR="00C42B4F" w:rsidRPr="00C42B4F">
        <w:t>omo porcentaje de PIB</w:t>
      </w:r>
    </w:p>
    <w:p w14:paraId="1002D661" w14:textId="77777777" w:rsidR="003C32E5" w:rsidRDefault="00C42B4F" w:rsidP="00C42B4F">
      <w:pPr>
        <w:pStyle w:val="Descripcin"/>
        <w:spacing w:after="0"/>
        <w:jc w:val="center"/>
      </w:pPr>
      <w:r w:rsidRPr="00C42B4F">
        <w:t xml:space="preserve">Billones de colones costarricenses a </w:t>
      </w:r>
      <w:r>
        <w:t>diciembre</w:t>
      </w:r>
      <w:r w:rsidRPr="00C42B4F">
        <w:t xml:space="preserve"> de cada año</w:t>
      </w:r>
    </w:p>
    <w:p w14:paraId="57E6F611" w14:textId="77777777" w:rsidR="000A0AD4" w:rsidRDefault="000A0AD4" w:rsidP="000A0AD4"/>
    <w:p w14:paraId="527AD82B" w14:textId="77777777" w:rsidR="00C42B4F" w:rsidRDefault="006D36C4" w:rsidP="00283B15">
      <w:pPr>
        <w:spacing w:after="40"/>
      </w:pPr>
      <w:r>
        <w:rPr>
          <w:noProof/>
        </w:rPr>
        <w:drawing>
          <wp:inline distT="0" distB="0" distL="0" distR="0" wp14:anchorId="0179E53E" wp14:editId="2917E887">
            <wp:extent cx="5612130" cy="3219450"/>
            <wp:effectExtent l="0" t="0" r="7620" b="0"/>
            <wp:docPr id="8" name="Gráfico 8">
              <a:extLst xmlns:a="http://schemas.openxmlformats.org/drawingml/2006/main">
                <a:ext uri="{FF2B5EF4-FFF2-40B4-BE49-F238E27FC236}">
                  <a16:creationId xmlns:a16="http://schemas.microsoft.com/office/drawing/2014/main" id="{FCF62146-89DB-41DF-8861-47BE06B754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C3DC56" w14:textId="77777777" w:rsidR="00FA6DA6" w:rsidRPr="00C42B4F" w:rsidRDefault="00A053EB" w:rsidP="00A62AC9">
      <w:pPr>
        <w:pStyle w:val="Descripcin"/>
        <w:spacing w:after="0"/>
      </w:pPr>
      <w:r>
        <w:t xml:space="preserve">   </w:t>
      </w:r>
      <w:r w:rsidR="00FA6DA6">
        <w:t xml:space="preserve">* </w:t>
      </w:r>
      <w:r w:rsidR="00A62AC9">
        <w:t>Datos a junio 2020, excepto IVM último dato disponible a mayo 2020</w:t>
      </w:r>
    </w:p>
    <w:p w14:paraId="6DE8AC9A" w14:textId="77777777" w:rsidR="00C42B4F" w:rsidRDefault="00A053EB" w:rsidP="00C42B4F">
      <w:pPr>
        <w:pStyle w:val="Descripcin"/>
        <w:spacing w:after="0"/>
      </w:pPr>
      <w:r>
        <w:t xml:space="preserve">   </w:t>
      </w:r>
      <w:r w:rsidR="00C42B4F">
        <w:t>Fuente: Elaboración propia</w:t>
      </w:r>
    </w:p>
    <w:p w14:paraId="1232763A" w14:textId="77777777" w:rsidR="00A25946" w:rsidRDefault="00A25946" w:rsidP="007E49A1">
      <w:pPr>
        <w:spacing w:after="0" w:line="240" w:lineRule="auto"/>
        <w:jc w:val="both"/>
      </w:pPr>
    </w:p>
    <w:p w14:paraId="34EE404D" w14:textId="77777777" w:rsidR="00050943" w:rsidRDefault="00050943" w:rsidP="004308B6">
      <w:pPr>
        <w:pStyle w:val="Ttulo2"/>
        <w:numPr>
          <w:ilvl w:val="1"/>
          <w:numId w:val="2"/>
        </w:numPr>
      </w:pPr>
      <w:bookmarkStart w:id="17" w:name="_Toc50731064"/>
      <w:r>
        <w:t>I</w:t>
      </w:r>
      <w:r w:rsidR="006929F8">
        <w:t>nversiones</w:t>
      </w:r>
      <w:bookmarkEnd w:id="17"/>
      <w:r w:rsidR="1AF4918D">
        <w:t xml:space="preserve"> </w:t>
      </w:r>
    </w:p>
    <w:p w14:paraId="33258A69" w14:textId="77777777" w:rsidR="00992437" w:rsidRPr="00992437" w:rsidRDefault="00992437" w:rsidP="00992437">
      <w:pPr>
        <w:spacing w:after="0" w:line="240" w:lineRule="auto"/>
        <w:jc w:val="both"/>
      </w:pPr>
    </w:p>
    <w:p w14:paraId="423BC013" w14:textId="77777777" w:rsidR="00992437" w:rsidRDefault="00992437" w:rsidP="00841412">
      <w:pPr>
        <w:spacing w:after="0" w:line="240" w:lineRule="auto"/>
        <w:jc w:val="both"/>
      </w:pPr>
      <w:r w:rsidRPr="00992437">
        <w:t xml:space="preserve">El portafolio de las inversiones (sin incluir carteras de créditos) del </w:t>
      </w:r>
      <w:r w:rsidR="00AC0240">
        <w:t>SNP</w:t>
      </w:r>
      <w:r w:rsidRPr="00992437">
        <w:t xml:space="preserve"> y el </w:t>
      </w:r>
      <w:r w:rsidR="00AC0240">
        <w:t>FCL</w:t>
      </w:r>
      <w:r w:rsidRPr="00992437">
        <w:t xml:space="preserve"> equivale a</w:t>
      </w:r>
      <w:r w:rsidR="00F17D7F">
        <w:t xml:space="preserve"> </w:t>
      </w:r>
      <w:r w:rsidR="00F17D7F" w:rsidRPr="00A35039">
        <w:rPr>
          <w:rFonts w:cs="Calibri"/>
        </w:rPr>
        <w:t>₡</w:t>
      </w:r>
      <w:r w:rsidR="00ED4066">
        <w:t>14</w:t>
      </w:r>
      <w:r w:rsidR="00F17D7F">
        <w:t>,1</w:t>
      </w:r>
      <w:r w:rsidRPr="00992437">
        <w:t xml:space="preserve"> billone</w:t>
      </w:r>
      <w:r w:rsidR="00F17D7F">
        <w:t>s</w:t>
      </w:r>
      <w:r w:rsidRPr="00992437">
        <w:t>. Del total de inversiones hay una concentración de</w:t>
      </w:r>
      <w:r w:rsidR="006658D0">
        <w:t xml:space="preserve"> </w:t>
      </w:r>
      <w:r w:rsidR="006658D0" w:rsidRPr="00A35039">
        <w:rPr>
          <w:rFonts w:cs="Calibri"/>
        </w:rPr>
        <w:t>₡</w:t>
      </w:r>
      <w:r w:rsidR="00730DE2">
        <w:rPr>
          <w:rFonts w:cs="Calibri"/>
        </w:rPr>
        <w:t>11</w:t>
      </w:r>
      <w:r w:rsidRPr="00992437">
        <w:t xml:space="preserve"> billones en Sector Público (un 7</w:t>
      </w:r>
      <w:r w:rsidR="00F81C9D">
        <w:t>8,3</w:t>
      </w:r>
      <w:r w:rsidRPr="00992437">
        <w:t xml:space="preserve">%), de estos </w:t>
      </w:r>
      <w:r w:rsidR="003F66BE">
        <w:t>10</w:t>
      </w:r>
      <w:r w:rsidRPr="00992437">
        <w:t xml:space="preserve"> billones se encuentran invertidos en instrumentos del Ministerio de Hacienda y Banco Central de Costa Rica.</w:t>
      </w:r>
      <w:r w:rsidR="00FE235D">
        <w:t xml:space="preserve"> El 80% de las inversiones se concentra en colones costarricenses y el restante 20% en dólares.</w:t>
      </w:r>
    </w:p>
    <w:p w14:paraId="09448241" w14:textId="77777777" w:rsidR="00B9565E" w:rsidRDefault="00B9565E" w:rsidP="00841412">
      <w:pPr>
        <w:spacing w:after="0" w:line="240" w:lineRule="auto"/>
        <w:jc w:val="both"/>
      </w:pPr>
    </w:p>
    <w:p w14:paraId="2445B9ED" w14:textId="3F617F91" w:rsidR="00B9565E" w:rsidRDefault="00B9565E" w:rsidP="00B9565E">
      <w:pPr>
        <w:spacing w:after="0" w:line="240" w:lineRule="auto"/>
        <w:jc w:val="both"/>
      </w:pPr>
      <w:r>
        <w:t xml:space="preserve">El 7,1% del total del portafolio del SNP se invierte en el sector extranjero, donde </w:t>
      </w:r>
      <w:r w:rsidRPr="00C66CDE">
        <w:t>cerca del 9</w:t>
      </w:r>
      <w:r>
        <w:t>4,2</w:t>
      </w:r>
      <w:r w:rsidRPr="00C66CDE">
        <w:t xml:space="preserve">% lo explica el ROP. </w:t>
      </w:r>
      <w:r w:rsidRPr="008C174A">
        <w:t xml:space="preserve">Las inversiones de este tipo se concentran en </w:t>
      </w:r>
      <w:r w:rsidRPr="00BE2D9E">
        <w:t xml:space="preserve">Exchange </w:t>
      </w:r>
      <w:proofErr w:type="spellStart"/>
      <w:r w:rsidRPr="00BE2D9E">
        <w:t>Traded</w:t>
      </w:r>
      <w:proofErr w:type="spellEnd"/>
      <w:r w:rsidRPr="00BE2D9E">
        <w:t xml:space="preserve"> </w:t>
      </w:r>
      <w:proofErr w:type="spellStart"/>
      <w:r w:rsidRPr="00BE2D9E">
        <w:t>Funds</w:t>
      </w:r>
      <w:proofErr w:type="spellEnd"/>
      <w:r w:rsidRPr="00BE2D9E">
        <w:t xml:space="preserve"> </w:t>
      </w:r>
      <w:r>
        <w:t>(</w:t>
      </w:r>
      <w:r w:rsidRPr="008C174A">
        <w:t>ET</w:t>
      </w:r>
      <w:r>
        <w:t>F)</w:t>
      </w:r>
      <w:r w:rsidRPr="008C174A">
        <w:t xml:space="preserve"> y participaciones de fondos</w:t>
      </w:r>
      <w:r>
        <w:t xml:space="preserve"> de</w:t>
      </w:r>
      <w:r w:rsidRPr="008C174A">
        <w:t xml:space="preserve"> nivel I. El </w:t>
      </w:r>
      <w:r>
        <w:t xml:space="preserve">87% del monto invertido en el extranjero se concentra en </w:t>
      </w:r>
      <w:r w:rsidRPr="008C174A">
        <w:t>10 emisores</w:t>
      </w:r>
      <w:r>
        <w:t xml:space="preserve">, representados por los más grandes gestores </w:t>
      </w:r>
      <w:r w:rsidRPr="00246384">
        <w:t>de inversiones</w:t>
      </w:r>
      <w:r>
        <w:t xml:space="preserve"> globales. </w:t>
      </w:r>
    </w:p>
    <w:p w14:paraId="1A67B9B1" w14:textId="3304070F" w:rsidR="00C52D9C" w:rsidRDefault="00C52D9C" w:rsidP="00B9565E">
      <w:pPr>
        <w:spacing w:after="0" w:line="240" w:lineRule="auto"/>
        <w:jc w:val="both"/>
      </w:pPr>
    </w:p>
    <w:p w14:paraId="3C8FA32A" w14:textId="6D735E7E" w:rsidR="00C52D9C" w:rsidRDefault="00C52D9C" w:rsidP="00B9565E">
      <w:pPr>
        <w:spacing w:after="0" w:line="240" w:lineRule="auto"/>
        <w:jc w:val="both"/>
      </w:pPr>
    </w:p>
    <w:p w14:paraId="21FA896C" w14:textId="77777777" w:rsidR="00B9565E" w:rsidRDefault="00B9565E" w:rsidP="00841412">
      <w:pPr>
        <w:spacing w:after="0" w:line="240" w:lineRule="auto"/>
        <w:jc w:val="both"/>
      </w:pPr>
    </w:p>
    <w:p w14:paraId="1E2E9333" w14:textId="77777777" w:rsidR="00177F37" w:rsidRDefault="00177F37" w:rsidP="00177F37">
      <w:pPr>
        <w:pStyle w:val="Descripcin"/>
        <w:spacing w:after="0"/>
        <w:jc w:val="center"/>
      </w:pPr>
      <w:r>
        <w:lastRenderedPageBreak/>
        <w:t xml:space="preserve">Tabla </w:t>
      </w:r>
      <w:r>
        <w:fldChar w:fldCharType="begin"/>
      </w:r>
      <w:r>
        <w:instrText xml:space="preserve"> SEQ Tabla \* ARABIC </w:instrText>
      </w:r>
      <w:r>
        <w:fldChar w:fldCharType="separate"/>
      </w:r>
      <w:r w:rsidR="00EE198C">
        <w:rPr>
          <w:noProof/>
        </w:rPr>
        <w:t>4</w:t>
      </w:r>
      <w:r>
        <w:fldChar w:fldCharType="end"/>
      </w:r>
      <w:r>
        <w:t xml:space="preserve">: </w:t>
      </w:r>
      <w:r w:rsidR="003F35B3">
        <w:t>Inversiones de</w:t>
      </w:r>
      <w:r w:rsidR="00006851">
        <w:t>l Sistema Nacional de Pensiones</w:t>
      </w:r>
      <w:r w:rsidR="00FC7E7C">
        <w:t xml:space="preserve"> y FCL</w:t>
      </w:r>
    </w:p>
    <w:p w14:paraId="7BD1D088" w14:textId="77777777" w:rsidR="00E34558" w:rsidRDefault="003B2A19" w:rsidP="003B2A19">
      <w:pPr>
        <w:pStyle w:val="Descripcin"/>
        <w:tabs>
          <w:tab w:val="center" w:pos="4419"/>
          <w:tab w:val="left" w:pos="5788"/>
        </w:tabs>
        <w:spacing w:after="0"/>
      </w:pPr>
      <w:r>
        <w:tab/>
      </w:r>
      <w:r w:rsidR="003F35B3">
        <w:t>Por sector y tipo de fondo</w:t>
      </w:r>
    </w:p>
    <w:p w14:paraId="3B39FCC6" w14:textId="77777777" w:rsidR="00177F37" w:rsidRDefault="00E34558" w:rsidP="00E34558">
      <w:pPr>
        <w:pStyle w:val="Descripcin"/>
        <w:tabs>
          <w:tab w:val="center" w:pos="4419"/>
          <w:tab w:val="left" w:pos="5788"/>
        </w:tabs>
        <w:spacing w:after="0"/>
        <w:jc w:val="center"/>
      </w:pPr>
      <w:r>
        <w:t>Al 30 de junio del 2020</w:t>
      </w:r>
    </w:p>
    <w:tbl>
      <w:tblPr>
        <w:tblStyle w:val="Tablaconcuadrcula4-nfasis1"/>
        <w:tblW w:w="10600" w:type="dxa"/>
        <w:jc w:val="center"/>
        <w:tblLook w:val="04E0" w:firstRow="1" w:lastRow="1" w:firstColumn="1" w:lastColumn="0" w:noHBand="0" w:noVBand="1"/>
      </w:tblPr>
      <w:tblGrid>
        <w:gridCol w:w="3374"/>
        <w:gridCol w:w="1085"/>
        <w:gridCol w:w="713"/>
        <w:gridCol w:w="1206"/>
        <w:gridCol w:w="970"/>
        <w:gridCol w:w="6"/>
        <w:gridCol w:w="1319"/>
        <w:gridCol w:w="755"/>
        <w:gridCol w:w="1172"/>
      </w:tblGrid>
      <w:tr w:rsidR="0066788C" w:rsidRPr="003B2A19" w14:paraId="01EA3780" w14:textId="77777777" w:rsidTr="001E40B1">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3AA30C13" w14:textId="77777777" w:rsidR="0066788C" w:rsidRPr="003B2A19" w:rsidRDefault="0066788C" w:rsidP="003B2A19">
            <w:pPr>
              <w:rPr>
                <w:rFonts w:eastAsia="Times New Roman" w:cs="Calibri"/>
                <w:lang w:val="es-CR"/>
              </w:rPr>
            </w:pPr>
            <w:r w:rsidRPr="003B2A19">
              <w:rPr>
                <w:rFonts w:eastAsia="Times New Roman" w:cs="Calibri"/>
                <w:lang w:val="es-CR"/>
              </w:rPr>
              <w:t>Tipo de Fondo</w:t>
            </w:r>
          </w:p>
        </w:tc>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1C130E12" w14:textId="77777777" w:rsidR="0066788C" w:rsidRPr="003B2A19" w:rsidRDefault="0066788C" w:rsidP="00B31035">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3B2A19">
              <w:rPr>
                <w:rFonts w:eastAsia="Times New Roman" w:cs="Calibri"/>
                <w:lang w:val="es-CR"/>
              </w:rPr>
              <w:t>Extranjero</w:t>
            </w:r>
          </w:p>
        </w:tc>
        <w:tc>
          <w:tcPr>
            <w:tcW w:w="2176"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220F81DD" w14:textId="77777777" w:rsidR="0066788C" w:rsidRPr="0066788C" w:rsidRDefault="0066788C" w:rsidP="00185030">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val="es-CR"/>
              </w:rPr>
            </w:pPr>
            <w:r w:rsidRPr="0066788C">
              <w:rPr>
                <w:rFonts w:eastAsia="Times New Roman" w:cs="Calibri"/>
                <w:lang w:val="es-CR"/>
              </w:rPr>
              <w:t xml:space="preserve">   </w:t>
            </w:r>
            <w:r w:rsidRPr="003B2A19">
              <w:rPr>
                <w:rFonts w:eastAsia="Times New Roman" w:cs="Calibri"/>
                <w:lang w:val="es-CR"/>
              </w:rPr>
              <w:t>Privado</w:t>
            </w:r>
          </w:p>
        </w:tc>
        <w:tc>
          <w:tcPr>
            <w:tcW w:w="208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7F5AD0A" w14:textId="77777777" w:rsidR="0066788C" w:rsidRPr="003B2A19" w:rsidRDefault="0066788C" w:rsidP="00185030">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3B2A19">
              <w:rPr>
                <w:rFonts w:eastAsia="Times New Roman" w:cs="Calibri"/>
                <w:lang w:val="es-CR"/>
              </w:rPr>
              <w:t>Público</w:t>
            </w:r>
          </w:p>
        </w:tc>
        <w:tc>
          <w:tcPr>
            <w:tcW w:w="11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36FC237D" w14:textId="77777777" w:rsidR="0066788C" w:rsidRPr="003B2A19" w:rsidRDefault="0066788C" w:rsidP="003B2A19">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3B2A19">
              <w:rPr>
                <w:rFonts w:eastAsia="Times New Roman" w:cs="Calibri"/>
                <w:lang w:val="es-CR"/>
              </w:rPr>
              <w:t>Total</w:t>
            </w:r>
          </w:p>
        </w:tc>
      </w:tr>
      <w:tr w:rsidR="0066788C" w:rsidRPr="003B2A19" w14:paraId="3E99BFA8"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tcPr>
          <w:p w14:paraId="115FC8C0" w14:textId="77777777" w:rsidR="0066788C" w:rsidRPr="0066788C" w:rsidRDefault="0066788C" w:rsidP="0066788C">
            <w:pPr>
              <w:rPr>
                <w:rFonts w:eastAsia="Times New Roman" w:cs="Calibri"/>
                <w:color w:val="FFFFFF" w:themeColor="background1"/>
                <w:lang w:val="es-CR"/>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22A5176A"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Monto</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328007B0"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w:t>
            </w:r>
          </w:p>
        </w:tc>
        <w:tc>
          <w:tcPr>
            <w:tcW w:w="12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74B3BE08"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Monto</w:t>
            </w:r>
          </w:p>
        </w:tc>
        <w:tc>
          <w:tcPr>
            <w:tcW w:w="976"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2E8E239B"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1DF8BDF6"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Monto</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6A9C593C"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w:t>
            </w:r>
          </w:p>
        </w:tc>
        <w:tc>
          <w:tcPr>
            <w:tcW w:w="11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tcPr>
          <w:p w14:paraId="0B184EF5" w14:textId="77777777" w:rsidR="0066788C" w:rsidRPr="00F01047" w:rsidRDefault="0066788C" w:rsidP="00F0104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F01047">
              <w:rPr>
                <w:rFonts w:eastAsia="Times New Roman" w:cs="Calibri"/>
                <w:b/>
                <w:bCs/>
                <w:color w:val="FFFFFF" w:themeColor="background1"/>
                <w:lang w:val="es-CR"/>
              </w:rPr>
              <w:t>Monto</w:t>
            </w:r>
          </w:p>
        </w:tc>
      </w:tr>
      <w:tr w:rsidR="00185030" w:rsidRPr="003B2A19" w14:paraId="03946F61"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DB3E2" w:themeColor="text2" w:themeTint="66"/>
            </w:tcBorders>
            <w:noWrap/>
            <w:hideMark/>
          </w:tcPr>
          <w:p w14:paraId="2B5A61C8"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Régimen Básico (RIVM)</w:t>
            </w:r>
          </w:p>
        </w:tc>
        <w:tc>
          <w:tcPr>
            <w:tcW w:w="0" w:type="auto"/>
            <w:tcBorders>
              <w:top w:val="single" w:sz="4" w:space="0" w:color="8DB3E2" w:themeColor="text2" w:themeTint="66"/>
            </w:tcBorders>
            <w:noWrap/>
            <w:hideMark/>
          </w:tcPr>
          <w:p w14:paraId="4565EFA7" w14:textId="77777777" w:rsidR="003B2A19" w:rsidRPr="003B2A19" w:rsidRDefault="003B2A19" w:rsidP="00B310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tcBorders>
              <w:top w:val="single" w:sz="4" w:space="0" w:color="8DB3E2" w:themeColor="text2" w:themeTint="66"/>
            </w:tcBorders>
            <w:noWrap/>
            <w:hideMark/>
          </w:tcPr>
          <w:p w14:paraId="72A7A3C5"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tcBorders>
              <w:top w:val="single" w:sz="4" w:space="0" w:color="8DB3E2" w:themeColor="text2" w:themeTint="66"/>
            </w:tcBorders>
            <w:noWrap/>
            <w:hideMark/>
          </w:tcPr>
          <w:p w14:paraId="2442AF0F"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93 109 </w:t>
            </w:r>
          </w:p>
        </w:tc>
        <w:tc>
          <w:tcPr>
            <w:tcW w:w="976" w:type="dxa"/>
            <w:gridSpan w:val="2"/>
            <w:tcBorders>
              <w:top w:val="single" w:sz="4" w:space="0" w:color="8DB3E2" w:themeColor="text2" w:themeTint="66"/>
            </w:tcBorders>
            <w:noWrap/>
            <w:hideMark/>
          </w:tcPr>
          <w:p w14:paraId="2D429AE8"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4,3%</w:t>
            </w:r>
          </w:p>
        </w:tc>
        <w:tc>
          <w:tcPr>
            <w:tcW w:w="0" w:type="auto"/>
            <w:tcBorders>
              <w:top w:val="single" w:sz="4" w:space="0" w:color="8DB3E2" w:themeColor="text2" w:themeTint="66"/>
            </w:tcBorders>
            <w:noWrap/>
            <w:hideMark/>
          </w:tcPr>
          <w:p w14:paraId="6F3D828E" w14:textId="77777777" w:rsidR="003B2A19" w:rsidRPr="003B2A19" w:rsidRDefault="003B2A19" w:rsidP="003B2A19">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2 083 176 </w:t>
            </w:r>
          </w:p>
        </w:tc>
        <w:tc>
          <w:tcPr>
            <w:tcW w:w="0" w:type="auto"/>
            <w:tcBorders>
              <w:top w:val="single" w:sz="4" w:space="0" w:color="8DB3E2" w:themeColor="text2" w:themeTint="66"/>
            </w:tcBorders>
            <w:noWrap/>
            <w:hideMark/>
          </w:tcPr>
          <w:p w14:paraId="25C67E58"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95,7%</w:t>
            </w:r>
          </w:p>
        </w:tc>
        <w:tc>
          <w:tcPr>
            <w:tcW w:w="1172" w:type="dxa"/>
            <w:tcBorders>
              <w:top w:val="single" w:sz="4" w:space="0" w:color="8DB3E2" w:themeColor="text2" w:themeTint="66"/>
            </w:tcBorders>
            <w:noWrap/>
            <w:hideMark/>
          </w:tcPr>
          <w:p w14:paraId="4AE9BA14" w14:textId="77777777" w:rsidR="003B2A19" w:rsidRPr="003B2A19" w:rsidRDefault="003B2A19" w:rsidP="00983C17">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2 176 284 </w:t>
            </w:r>
          </w:p>
        </w:tc>
      </w:tr>
      <w:tr w:rsidR="00B31035" w:rsidRPr="003B2A19" w14:paraId="364227D7"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0600" w:type="dxa"/>
            <w:gridSpan w:val="9"/>
            <w:noWrap/>
            <w:hideMark/>
          </w:tcPr>
          <w:p w14:paraId="7081951B" w14:textId="77777777" w:rsidR="00B31035" w:rsidRPr="003B2A19" w:rsidRDefault="00B31035" w:rsidP="00185030">
            <w:pPr>
              <w:rPr>
                <w:rFonts w:eastAsia="Times New Roman" w:cs="Calibri"/>
                <w:color w:val="000000"/>
                <w:lang w:val="es-CR"/>
              </w:rPr>
            </w:pPr>
            <w:r w:rsidRPr="003B2A19">
              <w:rPr>
                <w:rFonts w:eastAsia="Times New Roman" w:cs="Calibri"/>
                <w:color w:val="000000"/>
                <w:lang w:val="es-CR"/>
              </w:rPr>
              <w:t>Regímenes Básicos Sustitutos</w:t>
            </w:r>
          </w:p>
        </w:tc>
      </w:tr>
      <w:tr w:rsidR="00185030" w:rsidRPr="003B2A19" w14:paraId="5A04C5EF"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FF46D6"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FCCMN</w:t>
            </w:r>
          </w:p>
        </w:tc>
        <w:tc>
          <w:tcPr>
            <w:tcW w:w="0" w:type="auto"/>
            <w:noWrap/>
            <w:hideMark/>
          </w:tcPr>
          <w:p w14:paraId="364D5084" w14:textId="77777777" w:rsidR="003B2A19" w:rsidRPr="003B2A19" w:rsidRDefault="003B2A19" w:rsidP="00B310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4F16AA73"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3395D718"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415 648 </w:t>
            </w:r>
          </w:p>
        </w:tc>
        <w:tc>
          <w:tcPr>
            <w:tcW w:w="976" w:type="dxa"/>
            <w:gridSpan w:val="2"/>
            <w:noWrap/>
            <w:hideMark/>
          </w:tcPr>
          <w:p w14:paraId="16697AFA"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14,9%</w:t>
            </w:r>
          </w:p>
        </w:tc>
        <w:tc>
          <w:tcPr>
            <w:tcW w:w="0" w:type="auto"/>
            <w:noWrap/>
            <w:hideMark/>
          </w:tcPr>
          <w:p w14:paraId="679F98B1"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2 370 343 </w:t>
            </w:r>
          </w:p>
        </w:tc>
        <w:tc>
          <w:tcPr>
            <w:tcW w:w="0" w:type="auto"/>
            <w:noWrap/>
            <w:hideMark/>
          </w:tcPr>
          <w:p w14:paraId="70B1B044"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85,1%</w:t>
            </w:r>
          </w:p>
        </w:tc>
        <w:tc>
          <w:tcPr>
            <w:tcW w:w="1172" w:type="dxa"/>
            <w:noWrap/>
            <w:hideMark/>
          </w:tcPr>
          <w:p w14:paraId="6BC4051B" w14:textId="77777777" w:rsidR="003B2A19" w:rsidRPr="003B2A19" w:rsidRDefault="003B2A19" w:rsidP="001E40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2 785 991 </w:t>
            </w:r>
          </w:p>
        </w:tc>
      </w:tr>
      <w:tr w:rsidR="00185030" w:rsidRPr="003B2A19" w14:paraId="6603EA83"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2A35AC"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FPJ</w:t>
            </w:r>
          </w:p>
        </w:tc>
        <w:tc>
          <w:tcPr>
            <w:tcW w:w="0" w:type="auto"/>
            <w:noWrap/>
            <w:hideMark/>
          </w:tcPr>
          <w:p w14:paraId="6259C4C6" w14:textId="77777777" w:rsidR="003B2A19" w:rsidRPr="003B2A19" w:rsidRDefault="003B2A19" w:rsidP="00B3103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28DED019"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06E225B4"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111 492 </w:t>
            </w:r>
          </w:p>
        </w:tc>
        <w:tc>
          <w:tcPr>
            <w:tcW w:w="976" w:type="dxa"/>
            <w:gridSpan w:val="2"/>
            <w:noWrap/>
            <w:hideMark/>
          </w:tcPr>
          <w:p w14:paraId="2CCD1CF8"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18,9%</w:t>
            </w:r>
          </w:p>
        </w:tc>
        <w:tc>
          <w:tcPr>
            <w:tcW w:w="0" w:type="auto"/>
            <w:noWrap/>
            <w:hideMark/>
          </w:tcPr>
          <w:p w14:paraId="53DD20DF"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477 234 </w:t>
            </w:r>
          </w:p>
        </w:tc>
        <w:tc>
          <w:tcPr>
            <w:tcW w:w="0" w:type="auto"/>
            <w:noWrap/>
            <w:hideMark/>
          </w:tcPr>
          <w:p w14:paraId="6542EF7D"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81,1%</w:t>
            </w:r>
          </w:p>
        </w:tc>
        <w:tc>
          <w:tcPr>
            <w:tcW w:w="1172" w:type="dxa"/>
            <w:noWrap/>
            <w:hideMark/>
          </w:tcPr>
          <w:p w14:paraId="53EA7E81" w14:textId="77777777" w:rsidR="003B2A19" w:rsidRPr="003B2A19" w:rsidRDefault="003B2A19" w:rsidP="001E40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588 726 </w:t>
            </w:r>
          </w:p>
        </w:tc>
      </w:tr>
      <w:tr w:rsidR="00263835" w:rsidRPr="003B2A19" w14:paraId="694F0FE9"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3F4880A7" w14:textId="77777777" w:rsidR="00263835" w:rsidRPr="003B2A19" w:rsidRDefault="00263835" w:rsidP="00263835">
            <w:pPr>
              <w:rPr>
                <w:rFonts w:eastAsia="Times New Roman" w:cs="Calibri"/>
                <w:color w:val="000000"/>
                <w:lang w:val="es-CR"/>
              </w:rPr>
            </w:pPr>
            <w:r w:rsidRPr="003B2A19">
              <w:rPr>
                <w:rFonts w:eastAsia="Times New Roman" w:cs="Calibri"/>
                <w:color w:val="000000"/>
                <w:lang w:val="es-CR"/>
              </w:rPr>
              <w:t xml:space="preserve">     FBOMBEROS</w:t>
            </w:r>
          </w:p>
        </w:tc>
        <w:tc>
          <w:tcPr>
            <w:tcW w:w="0" w:type="auto"/>
            <w:noWrap/>
          </w:tcPr>
          <w:p w14:paraId="5B7C5112"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tcPr>
          <w:p w14:paraId="4B3F078A"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tcPr>
          <w:p w14:paraId="4C111778"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15 996 </w:t>
            </w:r>
          </w:p>
        </w:tc>
        <w:tc>
          <w:tcPr>
            <w:tcW w:w="976" w:type="dxa"/>
            <w:gridSpan w:val="2"/>
            <w:noWrap/>
          </w:tcPr>
          <w:p w14:paraId="46BE245F"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32,7%</w:t>
            </w:r>
          </w:p>
        </w:tc>
        <w:tc>
          <w:tcPr>
            <w:tcW w:w="0" w:type="auto"/>
            <w:noWrap/>
          </w:tcPr>
          <w:p w14:paraId="078618D2"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32 986 </w:t>
            </w:r>
          </w:p>
        </w:tc>
        <w:tc>
          <w:tcPr>
            <w:tcW w:w="0" w:type="auto"/>
            <w:noWrap/>
          </w:tcPr>
          <w:p w14:paraId="3E72EEA1"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67,3%</w:t>
            </w:r>
          </w:p>
        </w:tc>
        <w:tc>
          <w:tcPr>
            <w:tcW w:w="1172" w:type="dxa"/>
            <w:noWrap/>
          </w:tcPr>
          <w:p w14:paraId="5A39751F" w14:textId="77777777" w:rsidR="00263835" w:rsidRPr="003B2A19" w:rsidRDefault="00263835" w:rsidP="002638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48 983 </w:t>
            </w:r>
          </w:p>
        </w:tc>
      </w:tr>
      <w:tr w:rsidR="00B31035" w:rsidRPr="003B2A19" w14:paraId="515E1A38"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0600" w:type="dxa"/>
            <w:gridSpan w:val="9"/>
            <w:noWrap/>
            <w:hideMark/>
          </w:tcPr>
          <w:p w14:paraId="19223BD5" w14:textId="77777777" w:rsidR="00B31035" w:rsidRPr="003B2A19" w:rsidRDefault="00B31035" w:rsidP="00185030">
            <w:pPr>
              <w:rPr>
                <w:rFonts w:eastAsia="Times New Roman" w:cs="Calibri"/>
                <w:color w:val="000000"/>
                <w:lang w:val="es-CR"/>
              </w:rPr>
            </w:pPr>
            <w:r w:rsidRPr="003B2A19">
              <w:rPr>
                <w:rFonts w:eastAsia="Times New Roman" w:cs="Calibri"/>
                <w:color w:val="000000"/>
                <w:lang w:val="es-CR"/>
              </w:rPr>
              <w:t>Regímenes Ocupacionales Complementarios</w:t>
            </w:r>
          </w:p>
        </w:tc>
      </w:tr>
      <w:tr w:rsidR="00185030" w:rsidRPr="003B2A19" w14:paraId="7A25BEFB"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20A6E5"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FBNCR</w:t>
            </w:r>
          </w:p>
        </w:tc>
        <w:tc>
          <w:tcPr>
            <w:tcW w:w="0" w:type="auto"/>
            <w:noWrap/>
            <w:hideMark/>
          </w:tcPr>
          <w:p w14:paraId="59AF5CC8" w14:textId="77777777" w:rsidR="003B2A19" w:rsidRPr="003B2A19" w:rsidRDefault="003B2A19" w:rsidP="00B310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37874A56"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5C3B8B60"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35 973 </w:t>
            </w:r>
          </w:p>
        </w:tc>
        <w:tc>
          <w:tcPr>
            <w:tcW w:w="976" w:type="dxa"/>
            <w:gridSpan w:val="2"/>
            <w:noWrap/>
            <w:hideMark/>
          </w:tcPr>
          <w:p w14:paraId="735EBC50"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19,3%</w:t>
            </w:r>
          </w:p>
        </w:tc>
        <w:tc>
          <w:tcPr>
            <w:tcW w:w="0" w:type="auto"/>
            <w:noWrap/>
            <w:hideMark/>
          </w:tcPr>
          <w:p w14:paraId="146B2C1F"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150 450 </w:t>
            </w:r>
          </w:p>
        </w:tc>
        <w:tc>
          <w:tcPr>
            <w:tcW w:w="0" w:type="auto"/>
            <w:noWrap/>
            <w:hideMark/>
          </w:tcPr>
          <w:p w14:paraId="6E8859D4"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80,7%</w:t>
            </w:r>
          </w:p>
        </w:tc>
        <w:tc>
          <w:tcPr>
            <w:tcW w:w="1172" w:type="dxa"/>
            <w:noWrap/>
            <w:hideMark/>
          </w:tcPr>
          <w:p w14:paraId="7FEB1F89" w14:textId="77777777" w:rsidR="003B2A19" w:rsidRPr="003B2A19" w:rsidRDefault="003B2A19" w:rsidP="001E40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186 423 </w:t>
            </w:r>
          </w:p>
        </w:tc>
      </w:tr>
      <w:tr w:rsidR="00185030" w:rsidRPr="003B2A19" w14:paraId="21960EEA"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51C98E6"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FICE</w:t>
            </w:r>
          </w:p>
        </w:tc>
        <w:tc>
          <w:tcPr>
            <w:tcW w:w="0" w:type="auto"/>
            <w:noWrap/>
            <w:hideMark/>
          </w:tcPr>
          <w:p w14:paraId="052270D2" w14:textId="77777777" w:rsidR="003B2A19" w:rsidRPr="003B2A19" w:rsidRDefault="003B2A19" w:rsidP="00B3103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154EE3C9"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0E85520A"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44 723 </w:t>
            </w:r>
          </w:p>
        </w:tc>
        <w:tc>
          <w:tcPr>
            <w:tcW w:w="976" w:type="dxa"/>
            <w:gridSpan w:val="2"/>
            <w:noWrap/>
            <w:hideMark/>
          </w:tcPr>
          <w:p w14:paraId="2BA91011"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12,6%</w:t>
            </w:r>
          </w:p>
        </w:tc>
        <w:tc>
          <w:tcPr>
            <w:tcW w:w="0" w:type="auto"/>
            <w:noWrap/>
            <w:hideMark/>
          </w:tcPr>
          <w:p w14:paraId="0FDA2C21"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310 303 </w:t>
            </w:r>
          </w:p>
        </w:tc>
        <w:tc>
          <w:tcPr>
            <w:tcW w:w="0" w:type="auto"/>
            <w:noWrap/>
            <w:hideMark/>
          </w:tcPr>
          <w:p w14:paraId="3FDB9A32"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87,4%</w:t>
            </w:r>
          </w:p>
        </w:tc>
        <w:tc>
          <w:tcPr>
            <w:tcW w:w="1172" w:type="dxa"/>
            <w:noWrap/>
            <w:hideMark/>
          </w:tcPr>
          <w:p w14:paraId="66B75072" w14:textId="77777777" w:rsidR="003B2A19" w:rsidRPr="003B2A19" w:rsidRDefault="003B2A19" w:rsidP="001E40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355 026 </w:t>
            </w:r>
          </w:p>
        </w:tc>
      </w:tr>
      <w:tr w:rsidR="00185030" w:rsidRPr="003B2A19" w14:paraId="4F33CEFA"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C6F742"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FRE</w:t>
            </w:r>
          </w:p>
        </w:tc>
        <w:tc>
          <w:tcPr>
            <w:tcW w:w="0" w:type="auto"/>
            <w:noWrap/>
            <w:hideMark/>
          </w:tcPr>
          <w:p w14:paraId="3008670F" w14:textId="77777777" w:rsidR="003B2A19" w:rsidRPr="003B2A19" w:rsidRDefault="003B2A19" w:rsidP="00B310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4D667A3F"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6F6CADE2"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49 013 </w:t>
            </w:r>
          </w:p>
        </w:tc>
        <w:tc>
          <w:tcPr>
            <w:tcW w:w="976" w:type="dxa"/>
            <w:gridSpan w:val="2"/>
            <w:noWrap/>
            <w:hideMark/>
          </w:tcPr>
          <w:p w14:paraId="37579FA1"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24,4%</w:t>
            </w:r>
          </w:p>
        </w:tc>
        <w:tc>
          <w:tcPr>
            <w:tcW w:w="0" w:type="auto"/>
            <w:noWrap/>
            <w:hideMark/>
          </w:tcPr>
          <w:p w14:paraId="3793A5F3"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152 059 </w:t>
            </w:r>
          </w:p>
        </w:tc>
        <w:tc>
          <w:tcPr>
            <w:tcW w:w="0" w:type="auto"/>
            <w:noWrap/>
            <w:hideMark/>
          </w:tcPr>
          <w:p w14:paraId="3652398A"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75,6%</w:t>
            </w:r>
          </w:p>
        </w:tc>
        <w:tc>
          <w:tcPr>
            <w:tcW w:w="1172" w:type="dxa"/>
            <w:noWrap/>
            <w:hideMark/>
          </w:tcPr>
          <w:p w14:paraId="0B7629F2" w14:textId="77777777" w:rsidR="003B2A19" w:rsidRPr="003B2A19" w:rsidRDefault="003B2A19" w:rsidP="001E40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201 072 </w:t>
            </w:r>
          </w:p>
        </w:tc>
      </w:tr>
      <w:tr w:rsidR="00185030" w:rsidRPr="003B2A19" w14:paraId="19E85868"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1983127"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FVENLOT</w:t>
            </w:r>
          </w:p>
        </w:tc>
        <w:tc>
          <w:tcPr>
            <w:tcW w:w="0" w:type="auto"/>
            <w:noWrap/>
            <w:hideMark/>
          </w:tcPr>
          <w:p w14:paraId="16A260F7" w14:textId="77777777" w:rsidR="003B2A19" w:rsidRPr="003B2A19" w:rsidRDefault="003B2A19" w:rsidP="00B3103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6E6E9541"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2360E14A"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7 809 </w:t>
            </w:r>
          </w:p>
        </w:tc>
        <w:tc>
          <w:tcPr>
            <w:tcW w:w="976" w:type="dxa"/>
            <w:gridSpan w:val="2"/>
            <w:noWrap/>
            <w:hideMark/>
          </w:tcPr>
          <w:p w14:paraId="56AFA554"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28,2%</w:t>
            </w:r>
          </w:p>
        </w:tc>
        <w:tc>
          <w:tcPr>
            <w:tcW w:w="0" w:type="auto"/>
            <w:noWrap/>
            <w:hideMark/>
          </w:tcPr>
          <w:p w14:paraId="2B66725D"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19 911 </w:t>
            </w:r>
          </w:p>
        </w:tc>
        <w:tc>
          <w:tcPr>
            <w:tcW w:w="0" w:type="auto"/>
            <w:noWrap/>
            <w:hideMark/>
          </w:tcPr>
          <w:p w14:paraId="143E3460"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71,8%</w:t>
            </w:r>
          </w:p>
        </w:tc>
        <w:tc>
          <w:tcPr>
            <w:tcW w:w="1172" w:type="dxa"/>
            <w:noWrap/>
            <w:hideMark/>
          </w:tcPr>
          <w:p w14:paraId="316C1181" w14:textId="77777777" w:rsidR="003B2A19" w:rsidRPr="003B2A19" w:rsidRDefault="003B2A19" w:rsidP="001E40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27 720 </w:t>
            </w:r>
          </w:p>
        </w:tc>
      </w:tr>
      <w:tr w:rsidR="00185030" w:rsidRPr="003B2A19" w14:paraId="599C6078"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945FC2"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FBCR</w:t>
            </w:r>
          </w:p>
        </w:tc>
        <w:tc>
          <w:tcPr>
            <w:tcW w:w="0" w:type="auto"/>
            <w:noWrap/>
            <w:hideMark/>
          </w:tcPr>
          <w:p w14:paraId="342A3E04" w14:textId="77777777" w:rsidR="003B2A19" w:rsidRPr="003B2A19" w:rsidRDefault="003B2A19" w:rsidP="00B3103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5399DD32"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50C79FEA"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39 142 </w:t>
            </w:r>
          </w:p>
        </w:tc>
        <w:tc>
          <w:tcPr>
            <w:tcW w:w="976" w:type="dxa"/>
            <w:gridSpan w:val="2"/>
            <w:noWrap/>
            <w:hideMark/>
          </w:tcPr>
          <w:p w14:paraId="154EC6F3"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33,0%</w:t>
            </w:r>
          </w:p>
        </w:tc>
        <w:tc>
          <w:tcPr>
            <w:tcW w:w="0" w:type="auto"/>
            <w:noWrap/>
            <w:hideMark/>
          </w:tcPr>
          <w:p w14:paraId="0A33242F"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79 564 </w:t>
            </w:r>
          </w:p>
        </w:tc>
        <w:tc>
          <w:tcPr>
            <w:tcW w:w="0" w:type="auto"/>
            <w:noWrap/>
            <w:hideMark/>
          </w:tcPr>
          <w:p w14:paraId="66FFD29F"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67,0%</w:t>
            </w:r>
          </w:p>
        </w:tc>
        <w:tc>
          <w:tcPr>
            <w:tcW w:w="1172" w:type="dxa"/>
            <w:noWrap/>
            <w:hideMark/>
          </w:tcPr>
          <w:p w14:paraId="7F401CC3" w14:textId="77777777" w:rsidR="003B2A19" w:rsidRPr="003B2A19" w:rsidRDefault="003B2A19" w:rsidP="001E40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118 706 </w:t>
            </w:r>
          </w:p>
        </w:tc>
      </w:tr>
      <w:tr w:rsidR="00185030" w:rsidRPr="003B2A19" w14:paraId="3A3CD250"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2DD0B5"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 xml:space="preserve">     FICT</w:t>
            </w:r>
          </w:p>
        </w:tc>
        <w:tc>
          <w:tcPr>
            <w:tcW w:w="0" w:type="auto"/>
            <w:noWrap/>
            <w:hideMark/>
          </w:tcPr>
          <w:p w14:paraId="7BAC85EB" w14:textId="77777777" w:rsidR="003B2A19" w:rsidRPr="003B2A19" w:rsidRDefault="003B2A19" w:rsidP="00B3103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   </w:t>
            </w:r>
          </w:p>
        </w:tc>
        <w:tc>
          <w:tcPr>
            <w:tcW w:w="0" w:type="auto"/>
            <w:noWrap/>
            <w:hideMark/>
          </w:tcPr>
          <w:p w14:paraId="249A843B"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0,0%</w:t>
            </w:r>
          </w:p>
        </w:tc>
        <w:tc>
          <w:tcPr>
            <w:tcW w:w="1206" w:type="dxa"/>
            <w:noWrap/>
            <w:hideMark/>
          </w:tcPr>
          <w:p w14:paraId="56CF88A6"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1 933 </w:t>
            </w:r>
          </w:p>
        </w:tc>
        <w:tc>
          <w:tcPr>
            <w:tcW w:w="976" w:type="dxa"/>
            <w:gridSpan w:val="2"/>
            <w:noWrap/>
            <w:hideMark/>
          </w:tcPr>
          <w:p w14:paraId="72BA3180"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35,5%</w:t>
            </w:r>
          </w:p>
        </w:tc>
        <w:tc>
          <w:tcPr>
            <w:tcW w:w="0" w:type="auto"/>
            <w:noWrap/>
            <w:hideMark/>
          </w:tcPr>
          <w:p w14:paraId="6C09FC99"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3 506 </w:t>
            </w:r>
          </w:p>
        </w:tc>
        <w:tc>
          <w:tcPr>
            <w:tcW w:w="0" w:type="auto"/>
            <w:noWrap/>
            <w:hideMark/>
          </w:tcPr>
          <w:p w14:paraId="562C7896"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64,5%</w:t>
            </w:r>
          </w:p>
        </w:tc>
        <w:tc>
          <w:tcPr>
            <w:tcW w:w="1172" w:type="dxa"/>
            <w:noWrap/>
            <w:hideMark/>
          </w:tcPr>
          <w:p w14:paraId="031AE7D7" w14:textId="77777777" w:rsidR="003B2A19" w:rsidRPr="003B2A19" w:rsidRDefault="003B2A19" w:rsidP="001E40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5 440 </w:t>
            </w:r>
          </w:p>
        </w:tc>
      </w:tr>
      <w:tr w:rsidR="00185030" w:rsidRPr="003B2A19" w14:paraId="7F60A386"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5D0B2D" w14:textId="77777777" w:rsidR="003B2A19" w:rsidRPr="003B2A19" w:rsidRDefault="00B31035" w:rsidP="003B2A19">
            <w:pPr>
              <w:rPr>
                <w:rFonts w:eastAsia="Times New Roman" w:cs="Calibri"/>
                <w:color w:val="000000"/>
                <w:lang w:val="es-CR"/>
              </w:rPr>
            </w:pPr>
            <w:r w:rsidRPr="003B2A19">
              <w:rPr>
                <w:rFonts w:eastAsia="Times New Roman" w:cs="Calibri"/>
                <w:color w:val="000000"/>
                <w:lang w:val="es-CR"/>
              </w:rPr>
              <w:t>Régimen</w:t>
            </w:r>
            <w:r w:rsidR="003B2A19" w:rsidRPr="003B2A19">
              <w:rPr>
                <w:rFonts w:eastAsia="Times New Roman" w:cs="Calibri"/>
                <w:color w:val="000000"/>
                <w:lang w:val="es-CR"/>
              </w:rPr>
              <w:t xml:space="preserve"> Obligatorio Complementario</w:t>
            </w:r>
          </w:p>
        </w:tc>
        <w:tc>
          <w:tcPr>
            <w:tcW w:w="0" w:type="auto"/>
            <w:noWrap/>
            <w:hideMark/>
          </w:tcPr>
          <w:p w14:paraId="6E828C18"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947 117 </w:t>
            </w:r>
          </w:p>
        </w:tc>
        <w:tc>
          <w:tcPr>
            <w:tcW w:w="0" w:type="auto"/>
            <w:noWrap/>
            <w:hideMark/>
          </w:tcPr>
          <w:p w14:paraId="21457140"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14,2%</w:t>
            </w:r>
          </w:p>
        </w:tc>
        <w:tc>
          <w:tcPr>
            <w:tcW w:w="1206" w:type="dxa"/>
            <w:noWrap/>
            <w:hideMark/>
          </w:tcPr>
          <w:p w14:paraId="001679E6"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971 569 </w:t>
            </w:r>
          </w:p>
        </w:tc>
        <w:tc>
          <w:tcPr>
            <w:tcW w:w="976" w:type="dxa"/>
            <w:gridSpan w:val="2"/>
            <w:noWrap/>
            <w:hideMark/>
          </w:tcPr>
          <w:p w14:paraId="794F1144"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14,6%</w:t>
            </w:r>
          </w:p>
        </w:tc>
        <w:tc>
          <w:tcPr>
            <w:tcW w:w="0" w:type="auto"/>
            <w:noWrap/>
            <w:hideMark/>
          </w:tcPr>
          <w:p w14:paraId="69565E0E"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4 739 435 </w:t>
            </w:r>
          </w:p>
        </w:tc>
        <w:tc>
          <w:tcPr>
            <w:tcW w:w="0" w:type="auto"/>
            <w:noWrap/>
            <w:hideMark/>
          </w:tcPr>
          <w:p w14:paraId="31632C68"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71,2%</w:t>
            </w:r>
          </w:p>
        </w:tc>
        <w:tc>
          <w:tcPr>
            <w:tcW w:w="1172" w:type="dxa"/>
            <w:noWrap/>
            <w:hideMark/>
          </w:tcPr>
          <w:p w14:paraId="44AB6C25" w14:textId="77777777" w:rsidR="003B2A19" w:rsidRPr="003B2A19" w:rsidRDefault="003B2A19" w:rsidP="001E40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6 658 121 </w:t>
            </w:r>
          </w:p>
        </w:tc>
      </w:tr>
      <w:tr w:rsidR="00185030" w:rsidRPr="003B2A19" w14:paraId="546DF958" w14:textId="77777777" w:rsidTr="001E40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6E54F3"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Planes Voluntarios</w:t>
            </w:r>
          </w:p>
        </w:tc>
        <w:tc>
          <w:tcPr>
            <w:tcW w:w="0" w:type="auto"/>
            <w:noWrap/>
            <w:hideMark/>
          </w:tcPr>
          <w:p w14:paraId="58BDBF20"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9 215 </w:t>
            </w:r>
          </w:p>
        </w:tc>
        <w:tc>
          <w:tcPr>
            <w:tcW w:w="0" w:type="auto"/>
            <w:noWrap/>
            <w:hideMark/>
          </w:tcPr>
          <w:p w14:paraId="025A0818"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2,5%</w:t>
            </w:r>
          </w:p>
        </w:tc>
        <w:tc>
          <w:tcPr>
            <w:tcW w:w="1206" w:type="dxa"/>
            <w:noWrap/>
            <w:hideMark/>
          </w:tcPr>
          <w:p w14:paraId="52F52F8C"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98 987 </w:t>
            </w:r>
          </w:p>
        </w:tc>
        <w:tc>
          <w:tcPr>
            <w:tcW w:w="976" w:type="dxa"/>
            <w:gridSpan w:val="2"/>
            <w:noWrap/>
            <w:hideMark/>
          </w:tcPr>
          <w:p w14:paraId="232DFBDC"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27,1%</w:t>
            </w:r>
          </w:p>
        </w:tc>
        <w:tc>
          <w:tcPr>
            <w:tcW w:w="0" w:type="auto"/>
            <w:noWrap/>
            <w:hideMark/>
          </w:tcPr>
          <w:p w14:paraId="3623E3EA" w14:textId="77777777" w:rsidR="003B2A19" w:rsidRPr="003B2A19" w:rsidRDefault="003B2A19" w:rsidP="0018503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257 692 </w:t>
            </w:r>
          </w:p>
        </w:tc>
        <w:tc>
          <w:tcPr>
            <w:tcW w:w="0" w:type="auto"/>
            <w:noWrap/>
            <w:hideMark/>
          </w:tcPr>
          <w:p w14:paraId="19EB5C4E" w14:textId="77777777" w:rsidR="003B2A19" w:rsidRPr="003B2A19" w:rsidRDefault="003B2A19" w:rsidP="003B2A19">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70,4%</w:t>
            </w:r>
          </w:p>
        </w:tc>
        <w:tc>
          <w:tcPr>
            <w:tcW w:w="1172" w:type="dxa"/>
            <w:noWrap/>
            <w:hideMark/>
          </w:tcPr>
          <w:p w14:paraId="7540DD12" w14:textId="77777777" w:rsidR="003B2A19" w:rsidRPr="003B2A19" w:rsidRDefault="003B2A19" w:rsidP="001E40B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365 894 </w:t>
            </w:r>
          </w:p>
        </w:tc>
      </w:tr>
      <w:tr w:rsidR="00185030" w:rsidRPr="003B2A19" w14:paraId="3FD86709" w14:textId="77777777" w:rsidTr="001E40B1">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037DE9"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Fondo de Capitalización Laboral</w:t>
            </w:r>
          </w:p>
        </w:tc>
        <w:tc>
          <w:tcPr>
            <w:tcW w:w="0" w:type="auto"/>
            <w:noWrap/>
            <w:hideMark/>
          </w:tcPr>
          <w:p w14:paraId="13021E6D"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48 630 </w:t>
            </w:r>
          </w:p>
        </w:tc>
        <w:tc>
          <w:tcPr>
            <w:tcW w:w="0" w:type="auto"/>
            <w:noWrap/>
            <w:hideMark/>
          </w:tcPr>
          <w:p w14:paraId="5355F9B6"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8,3%</w:t>
            </w:r>
          </w:p>
        </w:tc>
        <w:tc>
          <w:tcPr>
            <w:tcW w:w="1206" w:type="dxa"/>
            <w:noWrap/>
            <w:hideMark/>
          </w:tcPr>
          <w:p w14:paraId="2459AB36"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164 065 </w:t>
            </w:r>
          </w:p>
        </w:tc>
        <w:tc>
          <w:tcPr>
            <w:tcW w:w="976" w:type="dxa"/>
            <w:gridSpan w:val="2"/>
            <w:noWrap/>
            <w:hideMark/>
          </w:tcPr>
          <w:p w14:paraId="1F0A0645"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28,0%</w:t>
            </w:r>
          </w:p>
        </w:tc>
        <w:tc>
          <w:tcPr>
            <w:tcW w:w="0" w:type="auto"/>
            <w:noWrap/>
            <w:hideMark/>
          </w:tcPr>
          <w:p w14:paraId="5E9F3BC3" w14:textId="77777777" w:rsidR="003B2A19" w:rsidRPr="003B2A19" w:rsidRDefault="003B2A19" w:rsidP="0018503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372 964 </w:t>
            </w:r>
          </w:p>
        </w:tc>
        <w:tc>
          <w:tcPr>
            <w:tcW w:w="0" w:type="auto"/>
            <w:noWrap/>
            <w:hideMark/>
          </w:tcPr>
          <w:p w14:paraId="1DC4989C" w14:textId="77777777" w:rsidR="003B2A19" w:rsidRPr="003B2A19" w:rsidRDefault="003B2A19" w:rsidP="003B2A19">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63,7%</w:t>
            </w:r>
          </w:p>
        </w:tc>
        <w:tc>
          <w:tcPr>
            <w:tcW w:w="1172" w:type="dxa"/>
            <w:noWrap/>
            <w:hideMark/>
          </w:tcPr>
          <w:p w14:paraId="1A1F5A50" w14:textId="77777777" w:rsidR="003B2A19" w:rsidRPr="003B2A19" w:rsidRDefault="003B2A19" w:rsidP="001E40B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585 659 </w:t>
            </w:r>
          </w:p>
        </w:tc>
      </w:tr>
      <w:tr w:rsidR="0066788C" w:rsidRPr="003B2A19" w14:paraId="154F0EBE" w14:textId="77777777" w:rsidTr="001E40B1">
        <w:trPr>
          <w:cnfStyle w:val="010000000000" w:firstRow="0" w:lastRow="1"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F5920B" w14:textId="77777777" w:rsidR="003B2A19" w:rsidRPr="003B2A19" w:rsidRDefault="003B2A19" w:rsidP="003B2A19">
            <w:pPr>
              <w:rPr>
                <w:rFonts w:eastAsia="Times New Roman" w:cs="Calibri"/>
                <w:color w:val="000000"/>
                <w:lang w:val="es-CR"/>
              </w:rPr>
            </w:pPr>
            <w:r w:rsidRPr="003B2A19">
              <w:rPr>
                <w:rFonts w:eastAsia="Times New Roman" w:cs="Calibri"/>
                <w:color w:val="000000"/>
                <w:lang w:val="es-CR"/>
              </w:rPr>
              <w:t>Total</w:t>
            </w:r>
          </w:p>
        </w:tc>
        <w:tc>
          <w:tcPr>
            <w:tcW w:w="0" w:type="auto"/>
            <w:noWrap/>
            <w:hideMark/>
          </w:tcPr>
          <w:p w14:paraId="46F09EAA" w14:textId="77777777" w:rsidR="003B2A19" w:rsidRPr="003B2A19" w:rsidRDefault="003B2A19" w:rsidP="00185030">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1 004 962 </w:t>
            </w:r>
          </w:p>
        </w:tc>
        <w:tc>
          <w:tcPr>
            <w:tcW w:w="0" w:type="auto"/>
            <w:noWrap/>
            <w:hideMark/>
          </w:tcPr>
          <w:p w14:paraId="1803C48A" w14:textId="77777777" w:rsidR="003B2A19" w:rsidRPr="003B2A19" w:rsidRDefault="003B2A19" w:rsidP="003B2A19">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7,1%</w:t>
            </w:r>
          </w:p>
        </w:tc>
        <w:tc>
          <w:tcPr>
            <w:tcW w:w="1206" w:type="dxa"/>
            <w:noWrap/>
            <w:hideMark/>
          </w:tcPr>
          <w:p w14:paraId="6397A15F" w14:textId="77777777" w:rsidR="003B2A19" w:rsidRPr="003B2A19" w:rsidRDefault="003B2A19" w:rsidP="00185030">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2 049 459 </w:t>
            </w:r>
          </w:p>
        </w:tc>
        <w:tc>
          <w:tcPr>
            <w:tcW w:w="976" w:type="dxa"/>
            <w:gridSpan w:val="2"/>
            <w:noWrap/>
            <w:hideMark/>
          </w:tcPr>
          <w:p w14:paraId="4B169F0A" w14:textId="77777777" w:rsidR="003B2A19" w:rsidRPr="003B2A19" w:rsidRDefault="003B2A19" w:rsidP="003B2A19">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14,5%</w:t>
            </w:r>
          </w:p>
        </w:tc>
        <w:tc>
          <w:tcPr>
            <w:tcW w:w="0" w:type="auto"/>
            <w:noWrap/>
            <w:hideMark/>
          </w:tcPr>
          <w:p w14:paraId="3DE02131" w14:textId="77777777" w:rsidR="003B2A19" w:rsidRPr="003B2A19" w:rsidRDefault="003B2A19" w:rsidP="00185030">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11 049 624 </w:t>
            </w:r>
          </w:p>
        </w:tc>
        <w:tc>
          <w:tcPr>
            <w:tcW w:w="0" w:type="auto"/>
            <w:noWrap/>
            <w:hideMark/>
          </w:tcPr>
          <w:p w14:paraId="5A66377B" w14:textId="77777777" w:rsidR="003B2A19" w:rsidRPr="003B2A19" w:rsidRDefault="003B2A19" w:rsidP="003B2A19">
            <w:pPr>
              <w:jc w:val="right"/>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78,3%</w:t>
            </w:r>
          </w:p>
        </w:tc>
        <w:tc>
          <w:tcPr>
            <w:tcW w:w="1172" w:type="dxa"/>
            <w:noWrap/>
            <w:hideMark/>
          </w:tcPr>
          <w:p w14:paraId="1E6B4BFE" w14:textId="77777777" w:rsidR="003B2A19" w:rsidRPr="003B2A19" w:rsidRDefault="003B2A19" w:rsidP="003B2A19">
            <w:pPr>
              <w:cnfStyle w:val="010000000000" w:firstRow="0" w:lastRow="1" w:firstColumn="0" w:lastColumn="0" w:oddVBand="0" w:evenVBand="0" w:oddHBand="0" w:evenHBand="0" w:firstRowFirstColumn="0" w:firstRowLastColumn="0" w:lastRowFirstColumn="0" w:lastRowLastColumn="0"/>
              <w:rPr>
                <w:rFonts w:eastAsia="Times New Roman" w:cs="Calibri"/>
                <w:color w:val="000000"/>
                <w:lang w:val="es-CR"/>
              </w:rPr>
            </w:pPr>
            <w:r w:rsidRPr="003B2A19">
              <w:rPr>
                <w:rFonts w:eastAsia="Times New Roman" w:cs="Calibri"/>
                <w:color w:val="000000"/>
                <w:lang w:val="es-CR"/>
              </w:rPr>
              <w:t xml:space="preserve"> 14 104 045 </w:t>
            </w:r>
          </w:p>
        </w:tc>
      </w:tr>
    </w:tbl>
    <w:p w14:paraId="14F53CBC" w14:textId="77777777" w:rsidR="00213CA5" w:rsidRDefault="00CB1A2D" w:rsidP="00B9565E">
      <w:pPr>
        <w:pStyle w:val="Descripcin"/>
        <w:spacing w:after="0"/>
      </w:pPr>
      <w:r>
        <w:t xml:space="preserve"> </w:t>
      </w:r>
      <w:r w:rsidR="00177F37">
        <w:t>Fuente: Elaboración propia</w:t>
      </w:r>
    </w:p>
    <w:p w14:paraId="1F27A422" w14:textId="77777777" w:rsidR="00FC3387" w:rsidRPr="00F30D84" w:rsidRDefault="00FC3387" w:rsidP="00841412">
      <w:pPr>
        <w:spacing w:after="0" w:line="240" w:lineRule="auto"/>
        <w:jc w:val="both"/>
      </w:pPr>
    </w:p>
    <w:p w14:paraId="4ED069CB" w14:textId="77777777" w:rsidR="005A5565" w:rsidRDefault="00050943" w:rsidP="0066788C">
      <w:pPr>
        <w:pStyle w:val="Ttulo2"/>
        <w:numPr>
          <w:ilvl w:val="1"/>
          <w:numId w:val="2"/>
        </w:numPr>
      </w:pPr>
      <w:bookmarkStart w:id="18" w:name="_Toc50731065"/>
      <w:r>
        <w:t>Di</w:t>
      </w:r>
      <w:r w:rsidR="006929F8">
        <w:t>sponibilidades</w:t>
      </w:r>
      <w:bookmarkEnd w:id="18"/>
      <w:r w:rsidR="00AA66AE">
        <w:t xml:space="preserve"> </w:t>
      </w:r>
    </w:p>
    <w:p w14:paraId="2C77687D" w14:textId="77777777" w:rsidR="005A5565" w:rsidRDefault="005A5565" w:rsidP="00841412">
      <w:pPr>
        <w:spacing w:after="0" w:line="240" w:lineRule="auto"/>
        <w:jc w:val="both"/>
      </w:pPr>
    </w:p>
    <w:p w14:paraId="7BF051C8" w14:textId="77777777" w:rsidR="00B54A78" w:rsidRDefault="00841412" w:rsidP="00A52D21">
      <w:pPr>
        <w:spacing w:after="0" w:line="240" w:lineRule="auto"/>
        <w:jc w:val="both"/>
      </w:pPr>
      <w:r>
        <w:t xml:space="preserve">La cuenta </w:t>
      </w:r>
      <w:r w:rsidR="00E44842">
        <w:t xml:space="preserve">de </w:t>
      </w:r>
      <w:r w:rsidR="00A52D21" w:rsidRPr="00363BBA">
        <w:rPr>
          <w:i/>
          <w:iCs/>
        </w:rPr>
        <w:t>“Efectivo y equivalentes de efectivo”</w:t>
      </w:r>
      <w:r w:rsidR="00A52D21">
        <w:t xml:space="preserve"> se ha mantenido con movimiento volátiles durante el trimestre en algunos de los fondos de pensiones</w:t>
      </w:r>
      <w:r w:rsidR="008B5C26">
        <w:t>.</w:t>
      </w:r>
    </w:p>
    <w:p w14:paraId="4D7E65B5" w14:textId="77777777" w:rsidR="008B5C26" w:rsidRDefault="008B5C26" w:rsidP="00A52D21">
      <w:pPr>
        <w:spacing w:after="0" w:line="240" w:lineRule="auto"/>
        <w:jc w:val="both"/>
      </w:pPr>
    </w:p>
    <w:p w14:paraId="0510BAEE" w14:textId="77777777" w:rsidR="008B1D07" w:rsidRDefault="008B1D07" w:rsidP="008B1D07">
      <w:pPr>
        <w:pStyle w:val="Descripcin"/>
        <w:spacing w:after="0"/>
        <w:jc w:val="center"/>
      </w:pPr>
      <w:r>
        <w:t xml:space="preserve">Gráfico </w:t>
      </w:r>
      <w:r>
        <w:fldChar w:fldCharType="begin"/>
      </w:r>
      <w:r>
        <w:instrText xml:space="preserve"> SEQ Gráfico \* ARABIC </w:instrText>
      </w:r>
      <w:r>
        <w:fldChar w:fldCharType="separate"/>
      </w:r>
      <w:r w:rsidR="003B7072">
        <w:rPr>
          <w:noProof/>
        </w:rPr>
        <w:t>2</w:t>
      </w:r>
      <w:r>
        <w:fldChar w:fldCharType="end"/>
      </w:r>
      <w:r w:rsidR="002F4417">
        <w:t xml:space="preserve">: </w:t>
      </w:r>
      <w:r>
        <w:t>Efectivo y equivalentes de efectivo</w:t>
      </w:r>
    </w:p>
    <w:p w14:paraId="6DDFFEB2" w14:textId="77777777" w:rsidR="008B1D07" w:rsidRPr="00C42B4F" w:rsidRDefault="008B1D07" w:rsidP="008B1D07">
      <w:pPr>
        <w:pStyle w:val="Descripcin"/>
        <w:spacing w:after="0"/>
        <w:jc w:val="center"/>
      </w:pPr>
      <w:r w:rsidRPr="00C42B4F">
        <w:t>del Sistema Nacional de Pensiones y FCL</w:t>
      </w:r>
    </w:p>
    <w:p w14:paraId="453AE262" w14:textId="77777777" w:rsidR="008B1D07" w:rsidRPr="008B1D07" w:rsidRDefault="00B54A78" w:rsidP="00B54A78">
      <w:pPr>
        <w:spacing w:after="40" w:line="240" w:lineRule="auto"/>
      </w:pPr>
      <w:r>
        <w:rPr>
          <w:noProof/>
        </w:rPr>
        <w:drawing>
          <wp:inline distT="0" distB="0" distL="0" distR="0" wp14:anchorId="300E7C6F" wp14:editId="6958BEC2">
            <wp:extent cx="5514975" cy="1977390"/>
            <wp:effectExtent l="0" t="0" r="9525" b="3810"/>
            <wp:docPr id="7" name="Gráfico 7">
              <a:extLst xmlns:a="http://schemas.openxmlformats.org/drawingml/2006/main">
                <a:ext uri="{FF2B5EF4-FFF2-40B4-BE49-F238E27FC236}">
                  <a16:creationId xmlns:a16="http://schemas.microsoft.com/office/drawing/2014/main" id="{5FBC6D9E-AE45-40BC-A03F-C593EABBC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0B9CD8" w14:textId="77777777" w:rsidR="008B1D07" w:rsidRPr="00C42B4F" w:rsidRDefault="008B1D07" w:rsidP="008B1D07">
      <w:pPr>
        <w:pStyle w:val="Descripcin"/>
        <w:spacing w:after="0"/>
      </w:pPr>
      <w:r>
        <w:t>Fuente: Elaboración propia</w:t>
      </w:r>
    </w:p>
    <w:p w14:paraId="7B8D031A" w14:textId="77777777" w:rsidR="00D9603A" w:rsidRDefault="00D9603A" w:rsidP="004174A0">
      <w:pPr>
        <w:tabs>
          <w:tab w:val="left" w:pos="1737"/>
        </w:tabs>
        <w:spacing w:after="0" w:line="240" w:lineRule="auto"/>
        <w:jc w:val="both"/>
      </w:pPr>
    </w:p>
    <w:p w14:paraId="6BBCE75E" w14:textId="77777777" w:rsidR="008B5C26" w:rsidRDefault="00CA083C" w:rsidP="004174A0">
      <w:pPr>
        <w:tabs>
          <w:tab w:val="left" w:pos="1737"/>
        </w:tabs>
        <w:spacing w:after="0" w:line="240" w:lineRule="auto"/>
        <w:jc w:val="both"/>
      </w:pPr>
      <w:r w:rsidRPr="00732136">
        <w:t xml:space="preserve">En el ROP, </w:t>
      </w:r>
      <w:r w:rsidR="008B5C26" w:rsidRPr="00732136">
        <w:t xml:space="preserve">las operadoras BN Vital, Popular Pensiones y BAC San José han </w:t>
      </w:r>
      <w:r w:rsidR="0045173C" w:rsidRPr="00732136">
        <w:t xml:space="preserve">aumentado </w:t>
      </w:r>
      <w:r w:rsidR="008B5C26" w:rsidRPr="00732136">
        <w:t xml:space="preserve">los niveles de disponibilidades, comportamiento </w:t>
      </w:r>
      <w:r w:rsidR="000963CD" w:rsidRPr="00732136">
        <w:t xml:space="preserve">que se explica </w:t>
      </w:r>
      <w:r w:rsidR="008B5C26" w:rsidRPr="00732136">
        <w:t xml:space="preserve">por la incertidumbre ante eventuales cambios de ley en la modalidad de retiro de este fondo, la espera por mejores oportunidades de inversión (efecto refugio) y a la suspensión del traslado de fondos por libre transferencia. Este incremento de </w:t>
      </w:r>
      <w:r w:rsidR="008B5C26" w:rsidRPr="00732136">
        <w:lastRenderedPageBreak/>
        <w:t>disponibilidades no se ha mostrado en las restantes operadoras (Vida Plena, BCR Pensión y OPC CCSS), en estos casos principalmente por la toma de oportunidades de inversión.</w:t>
      </w:r>
    </w:p>
    <w:p w14:paraId="4904E2C8" w14:textId="77777777" w:rsidR="00CF1E07" w:rsidRDefault="00CF1E07" w:rsidP="008B5C26">
      <w:pPr>
        <w:spacing w:after="0" w:line="240" w:lineRule="auto"/>
        <w:jc w:val="both"/>
      </w:pPr>
    </w:p>
    <w:p w14:paraId="5B7CE035" w14:textId="77777777" w:rsidR="00332EFF" w:rsidRDefault="004174A0" w:rsidP="00332EFF">
      <w:pPr>
        <w:spacing w:after="0" w:line="240" w:lineRule="auto"/>
        <w:jc w:val="both"/>
      </w:pPr>
      <w:r>
        <w:t>En el</w:t>
      </w:r>
      <w:r w:rsidR="00EB254A">
        <w:t xml:space="preserve"> </w:t>
      </w:r>
      <w:r w:rsidR="00332EFF" w:rsidRPr="00332EFF">
        <w:t xml:space="preserve">FCL, las disponibilidades acumuladas los primeros meses de este año fueron canalizadas al pago de retiros de recursos por cese, reducción de jornada y suspensión de la relación laboral. Estos pagos </w:t>
      </w:r>
      <w:r w:rsidR="00332EFF">
        <w:t xml:space="preserve">han </w:t>
      </w:r>
      <w:r w:rsidR="00332EFF" w:rsidRPr="00332EFF">
        <w:t>origina</w:t>
      </w:r>
      <w:r w:rsidR="00332EFF">
        <w:t>do</w:t>
      </w:r>
      <w:r w:rsidR="00332EFF" w:rsidRPr="00332EFF">
        <w:t xml:space="preserve"> una disminución generalizada en las disponibilidades</w:t>
      </w:r>
      <w:r w:rsidR="00F76CC1">
        <w:t>.</w:t>
      </w:r>
    </w:p>
    <w:p w14:paraId="60B22B04" w14:textId="77777777" w:rsidR="00E12CE5" w:rsidRDefault="00E12CE5" w:rsidP="00332EFF">
      <w:pPr>
        <w:spacing w:after="0" w:line="240" w:lineRule="auto"/>
        <w:jc w:val="both"/>
      </w:pPr>
    </w:p>
    <w:p w14:paraId="2E292985" w14:textId="77777777" w:rsidR="00E12CE5" w:rsidRDefault="00E12CE5" w:rsidP="00332EFF">
      <w:pPr>
        <w:spacing w:after="0" w:line="240" w:lineRule="auto"/>
        <w:jc w:val="both"/>
      </w:pPr>
      <w:r w:rsidRPr="00DF5A62">
        <w:t xml:space="preserve">Los fondos voluntarios de Popular </w:t>
      </w:r>
      <w:r w:rsidR="004174A0">
        <w:t>P</w:t>
      </w:r>
      <w:r w:rsidRPr="00DF5A62">
        <w:t>ensiones también han incrementado su</w:t>
      </w:r>
      <w:r w:rsidR="00E5557C" w:rsidRPr="00DF5A62">
        <w:t xml:space="preserve"> posición en </w:t>
      </w:r>
      <w:r w:rsidR="00855795" w:rsidRPr="00DF5A62">
        <w:t>disponibilidades</w:t>
      </w:r>
      <w:r w:rsidR="00ED24C5" w:rsidRPr="00DF5A62">
        <w:t xml:space="preserve"> debido a la espera por mejores oportunidades de inversión (efecto refugio).</w:t>
      </w:r>
    </w:p>
    <w:p w14:paraId="7C2AB0D3" w14:textId="77777777" w:rsidR="00FE4133" w:rsidRDefault="00FE4133" w:rsidP="00332EFF">
      <w:pPr>
        <w:spacing w:after="0" w:line="240" w:lineRule="auto"/>
        <w:jc w:val="both"/>
      </w:pPr>
    </w:p>
    <w:p w14:paraId="0CCE82DF" w14:textId="77777777" w:rsidR="00AA66AE" w:rsidRDefault="00AA66AE" w:rsidP="0066788C">
      <w:pPr>
        <w:pStyle w:val="Ttulo2"/>
        <w:numPr>
          <w:ilvl w:val="1"/>
          <w:numId w:val="2"/>
        </w:numPr>
      </w:pPr>
      <w:bookmarkStart w:id="19" w:name="_Toc50731066"/>
      <w:r>
        <w:t>Rentabilidad</w:t>
      </w:r>
      <w:bookmarkEnd w:id="19"/>
      <w:r w:rsidR="0056317E">
        <w:t xml:space="preserve"> </w:t>
      </w:r>
    </w:p>
    <w:p w14:paraId="697F4DFF" w14:textId="77777777" w:rsidR="008C60E1" w:rsidRDefault="008C60E1" w:rsidP="00293FB1">
      <w:pPr>
        <w:spacing w:after="0" w:line="240" w:lineRule="auto"/>
        <w:jc w:val="both"/>
      </w:pPr>
    </w:p>
    <w:p w14:paraId="53E01730" w14:textId="77777777" w:rsidR="00B73B8C" w:rsidRDefault="00226648" w:rsidP="00F0352E">
      <w:pPr>
        <w:spacing w:after="0" w:line="240" w:lineRule="auto"/>
        <w:jc w:val="both"/>
      </w:pPr>
      <w:r>
        <w:t xml:space="preserve">La </w:t>
      </w:r>
      <w:r w:rsidR="00FD4B79">
        <w:t>inversión en</w:t>
      </w:r>
      <w:r w:rsidR="009828CA">
        <w:t xml:space="preserve"> el</w:t>
      </w:r>
      <w:r>
        <w:t xml:space="preserve"> extranjero de los</w:t>
      </w:r>
      <w:r w:rsidR="001C5D21">
        <w:t xml:space="preserve"> portafolios de pensiones</w:t>
      </w:r>
      <w:r w:rsidR="009828CA">
        <w:t xml:space="preserve"> ha presentado una recuperación durante el trimestre</w:t>
      </w:r>
      <w:r w:rsidR="00D14129">
        <w:t>,</w:t>
      </w:r>
      <w:r w:rsidR="001C5D21">
        <w:t xml:space="preserve"> </w:t>
      </w:r>
      <w:r w:rsidR="001D3519">
        <w:t>l</w:t>
      </w:r>
      <w:r w:rsidR="008C60E1" w:rsidRPr="008C60E1">
        <w:t>a exposición de cada fondo depende de su propia composición</w:t>
      </w:r>
      <w:r w:rsidR="001D3519">
        <w:t xml:space="preserve">, </w:t>
      </w:r>
      <w:r w:rsidR="008C60E1" w:rsidRPr="008C60E1">
        <w:t>entre mayor sea el porcentaje de la cartera invertido en valores extranjeros, mayor ha sido la recuperación</w:t>
      </w:r>
      <w:r w:rsidR="00F53A8F">
        <w:t xml:space="preserve"> </w:t>
      </w:r>
      <w:r w:rsidR="008C60E1" w:rsidRPr="008C60E1">
        <w:t xml:space="preserve">de las pérdidas sufridas </w:t>
      </w:r>
      <w:r w:rsidR="001D3519">
        <w:t xml:space="preserve">durante </w:t>
      </w:r>
      <w:r w:rsidR="008C60E1" w:rsidRPr="008C60E1">
        <w:t>marzo</w:t>
      </w:r>
      <w:r w:rsidR="00F0352E">
        <w:t>.</w:t>
      </w:r>
      <w:r w:rsidR="00A13AA1">
        <w:t xml:space="preserve"> </w:t>
      </w:r>
    </w:p>
    <w:p w14:paraId="56E66753" w14:textId="77777777" w:rsidR="003E41A4" w:rsidRDefault="003E41A4" w:rsidP="00F0352E">
      <w:pPr>
        <w:spacing w:after="0" w:line="240" w:lineRule="auto"/>
        <w:jc w:val="both"/>
      </w:pPr>
    </w:p>
    <w:p w14:paraId="6016C1A7" w14:textId="77777777" w:rsidR="00766731" w:rsidRDefault="00907B37" w:rsidP="00780F08">
      <w:pPr>
        <w:spacing w:after="0" w:line="240" w:lineRule="auto"/>
        <w:jc w:val="both"/>
      </w:pPr>
      <w:r>
        <w:t>En el mercado local, d</w:t>
      </w:r>
      <w:r w:rsidR="00F0352E">
        <w:t>urante</w:t>
      </w:r>
      <w:r w:rsidR="00801BFB">
        <w:t xml:space="preserve"> abril y mayo </w:t>
      </w:r>
      <w:r w:rsidR="00FC48B6">
        <w:t xml:space="preserve">la curva de rendimientos en colones del BCCR </w:t>
      </w:r>
      <w:r w:rsidR="00717D49">
        <w:t>pres</w:t>
      </w:r>
      <w:r w:rsidR="001F3FD4">
        <w:t>e</w:t>
      </w:r>
      <w:r w:rsidR="00717D49">
        <w:t xml:space="preserve">ntó un desplazamiento hacia arriba, </w:t>
      </w:r>
      <w:r w:rsidR="0068020F" w:rsidRPr="00801BFB">
        <w:t xml:space="preserve">afectando </w:t>
      </w:r>
      <w:r w:rsidR="001F3FD4">
        <w:t xml:space="preserve">de manera negativa </w:t>
      </w:r>
      <w:r w:rsidR="0068020F" w:rsidRPr="00801BFB">
        <w:t xml:space="preserve">el valor </w:t>
      </w:r>
      <w:r w:rsidR="0068020F">
        <w:t xml:space="preserve">de las inversiones en </w:t>
      </w:r>
      <w:r w:rsidR="00A400A0">
        <w:t xml:space="preserve">locales </w:t>
      </w:r>
      <w:r w:rsidR="001F3FD4">
        <w:t>de los portafolios de pensiones</w:t>
      </w:r>
      <w:r w:rsidR="00A33DEB">
        <w:t xml:space="preserve">. </w:t>
      </w:r>
      <w:r w:rsidR="00637EBB">
        <w:t>Sin embargo, d</w:t>
      </w:r>
      <w:r w:rsidR="00A33DEB">
        <w:t xml:space="preserve">urante el mes de junio </w:t>
      </w:r>
      <w:r w:rsidR="00E20D21">
        <w:t xml:space="preserve">se presenta </w:t>
      </w:r>
      <w:r w:rsidR="00A33DEB">
        <w:t xml:space="preserve">un desplazamiento de la curva </w:t>
      </w:r>
      <w:r w:rsidR="004F113A">
        <w:t xml:space="preserve">en colones </w:t>
      </w:r>
      <w:r w:rsidR="00801BFB" w:rsidRPr="00801BFB">
        <w:t>hacia abajo para los plazos menores a 7 años</w:t>
      </w:r>
      <w:r w:rsidR="00766731">
        <w:t xml:space="preserve"> y p</w:t>
      </w:r>
      <w:r w:rsidR="00801BFB" w:rsidRPr="00801BFB">
        <w:t xml:space="preserve">ara plazos superiores las tasas se sitúan por encima </w:t>
      </w:r>
      <w:r w:rsidR="00E20D21">
        <w:t>de los meses an</w:t>
      </w:r>
      <w:r w:rsidR="002E06A7">
        <w:t>t</w:t>
      </w:r>
      <w:r w:rsidR="00E20D21">
        <w:t>eriores</w:t>
      </w:r>
      <w:r w:rsidR="00801BFB" w:rsidRPr="00801BFB">
        <w:t xml:space="preserve">. </w:t>
      </w:r>
      <w:r w:rsidR="005C0F80">
        <w:t>Pero el efecto total del trimestre para la inversión local de los portafolios de pensiones es negativo.</w:t>
      </w:r>
    </w:p>
    <w:p w14:paraId="64101016" w14:textId="77777777" w:rsidR="00780F08" w:rsidRDefault="00780F08" w:rsidP="00780F08">
      <w:pPr>
        <w:spacing w:after="0" w:line="240" w:lineRule="auto"/>
        <w:jc w:val="both"/>
      </w:pPr>
    </w:p>
    <w:p w14:paraId="574615D3" w14:textId="77777777" w:rsidR="00780F08" w:rsidRDefault="00907B37" w:rsidP="00780F08">
      <w:pPr>
        <w:spacing w:after="0" w:line="240" w:lineRule="auto"/>
        <w:jc w:val="both"/>
      </w:pPr>
      <w:r>
        <w:t>Por otro lado,</w:t>
      </w:r>
      <w:r w:rsidR="005B3BA5">
        <w:t xml:space="preserve"> </w:t>
      </w:r>
      <w:r w:rsidR="00A27B83">
        <w:t>el</w:t>
      </w:r>
      <w:r w:rsidR="00780F08" w:rsidRPr="00611B8C">
        <w:t xml:space="preserve"> tipo de </w:t>
      </w:r>
      <w:r w:rsidR="00123F47" w:rsidRPr="00611B8C">
        <w:t>cambio</w:t>
      </w:r>
      <w:r w:rsidR="00780F08" w:rsidRPr="00611B8C">
        <w:t xml:space="preserve"> mostró fluctuaciones relevantes en este trimestre, oscilando su valor entre un mínimo de </w:t>
      </w:r>
      <w:r w:rsidR="00A827E4" w:rsidRPr="00EA313A">
        <w:rPr>
          <w:rFonts w:eastAsia="Times New Roman" w:cs="Calibri"/>
          <w:color w:val="000000"/>
          <w:lang w:val="es-CR"/>
        </w:rPr>
        <w:t>₡</w:t>
      </w:r>
      <w:r w:rsidR="00780F08" w:rsidRPr="00611B8C">
        <w:t xml:space="preserve">565,11 y un máximo de </w:t>
      </w:r>
      <w:r w:rsidR="00A827E4" w:rsidRPr="00EA313A">
        <w:rPr>
          <w:rFonts w:eastAsia="Times New Roman" w:cs="Calibri"/>
          <w:color w:val="000000"/>
          <w:lang w:val="es-CR"/>
        </w:rPr>
        <w:t>₡</w:t>
      </w:r>
      <w:r w:rsidR="00780F08" w:rsidRPr="00611B8C">
        <w:t>584,02</w:t>
      </w:r>
      <w:r w:rsidR="00794D98">
        <w:t>. L</w:t>
      </w:r>
      <w:r w:rsidR="00780F08" w:rsidRPr="00611B8C">
        <w:t>a tasa básica pasiva (TBP), su valor se mantuvo entre 4,15% (1° de abril) y 3,75% (16 de abril), cerrando el trimestre en 3</w:t>
      </w:r>
      <w:r w:rsidR="00794D98">
        <w:t>,</w:t>
      </w:r>
      <w:r w:rsidR="00780F08" w:rsidRPr="00611B8C">
        <w:t xml:space="preserve">95%. La tasa de política monetaria (TPM) bajó de 1,25% a 0,75% a partir del 18 de junio. </w:t>
      </w:r>
    </w:p>
    <w:p w14:paraId="36C026D4" w14:textId="77777777" w:rsidR="002F6A07" w:rsidRDefault="002F6A07" w:rsidP="002F6A07">
      <w:pPr>
        <w:spacing w:after="0" w:line="240" w:lineRule="auto"/>
        <w:jc w:val="both"/>
      </w:pPr>
    </w:p>
    <w:p w14:paraId="049E716E" w14:textId="77777777" w:rsidR="002F6A07" w:rsidRDefault="002F6A07" w:rsidP="002F6A07">
      <w:pPr>
        <w:spacing w:after="0" w:line="240" w:lineRule="auto"/>
        <w:jc w:val="both"/>
      </w:pPr>
      <w:r w:rsidRPr="00611B8C">
        <w:t>La combinación de la evolución de los mercados internacionales y del mercado local afect</w:t>
      </w:r>
      <w:r w:rsidR="00196EE3">
        <w:t>ó</w:t>
      </w:r>
      <w:r w:rsidRPr="00611B8C">
        <w:t xml:space="preserve"> negativa</w:t>
      </w:r>
      <w:r w:rsidR="00196EE3">
        <w:t xml:space="preserve"> o positivamente</w:t>
      </w:r>
      <w:r w:rsidRPr="00611B8C">
        <w:t xml:space="preserve"> la rentabilidad de los fondos administrados en este segundo semestre, </w:t>
      </w:r>
      <w:r w:rsidR="00757EBE">
        <w:t xml:space="preserve">dependiendo de la </w:t>
      </w:r>
      <w:r w:rsidR="00AF2AAF">
        <w:t xml:space="preserve">composición de los portafolios. </w:t>
      </w:r>
    </w:p>
    <w:p w14:paraId="4D723757" w14:textId="77777777" w:rsidR="00C61921" w:rsidRDefault="00C61921" w:rsidP="002F6A07">
      <w:pPr>
        <w:spacing w:after="0" w:line="240" w:lineRule="auto"/>
        <w:jc w:val="both"/>
      </w:pPr>
    </w:p>
    <w:p w14:paraId="31C1EF28" w14:textId="77777777" w:rsidR="00BB6CB8" w:rsidRDefault="00BB6CB8" w:rsidP="00BB6CB8">
      <w:pPr>
        <w:spacing w:after="0" w:line="240" w:lineRule="auto"/>
        <w:jc w:val="both"/>
      </w:pPr>
      <w:r>
        <w:t>Ahora bien, los fondos de pensiones son de largo plazo, por lo tanto, para un análisis prudencial debiéramos mirar indicadores de largo plazo porque los de corto plazo suelen ser muy volátiles.  Por ejemplo, cuando observamos la rentabilidad histórica anualizada o la rentabilidad a 10 años (indicadores de más largo plazo) del ROP podemos ver que la tendencia en todas las Operadoras de Pensiones es más estable.</w:t>
      </w:r>
    </w:p>
    <w:p w14:paraId="7800903E" w14:textId="77777777" w:rsidR="00BB6CB8" w:rsidRDefault="00BB6CB8" w:rsidP="002F6A07">
      <w:pPr>
        <w:spacing w:after="0" w:line="240" w:lineRule="auto"/>
        <w:jc w:val="both"/>
      </w:pPr>
    </w:p>
    <w:p w14:paraId="48AA9C00" w14:textId="78AFEEC9" w:rsidR="001B7047" w:rsidRDefault="001B7047" w:rsidP="002F6A07">
      <w:pPr>
        <w:spacing w:after="0" w:line="240" w:lineRule="auto"/>
        <w:jc w:val="both"/>
      </w:pPr>
    </w:p>
    <w:p w14:paraId="542F810B" w14:textId="39C5B392" w:rsidR="001B7047" w:rsidRDefault="001B7047" w:rsidP="002F6A07">
      <w:pPr>
        <w:spacing w:after="0" w:line="240" w:lineRule="auto"/>
        <w:jc w:val="both"/>
      </w:pPr>
    </w:p>
    <w:p w14:paraId="7086B37D" w14:textId="77777777" w:rsidR="00C52D9C" w:rsidRDefault="00C52D9C" w:rsidP="002F6A07">
      <w:pPr>
        <w:spacing w:after="0" w:line="240" w:lineRule="auto"/>
        <w:jc w:val="both"/>
      </w:pPr>
    </w:p>
    <w:p w14:paraId="3D76630E" w14:textId="77777777" w:rsidR="001B7047" w:rsidRDefault="001B7047" w:rsidP="002F6A07">
      <w:pPr>
        <w:spacing w:after="0" w:line="240" w:lineRule="auto"/>
        <w:jc w:val="both"/>
      </w:pPr>
    </w:p>
    <w:p w14:paraId="01C2E4AF" w14:textId="77777777" w:rsidR="001B7047" w:rsidRDefault="001B7047" w:rsidP="002F6A07">
      <w:pPr>
        <w:spacing w:after="0" w:line="240" w:lineRule="auto"/>
        <w:jc w:val="both"/>
      </w:pPr>
    </w:p>
    <w:p w14:paraId="2CCBC3D3" w14:textId="77777777" w:rsidR="001B7047" w:rsidRDefault="001B7047" w:rsidP="002F6A07">
      <w:pPr>
        <w:spacing w:after="0" w:line="240" w:lineRule="auto"/>
        <w:jc w:val="both"/>
      </w:pPr>
    </w:p>
    <w:p w14:paraId="20243C9D" w14:textId="77777777" w:rsidR="001B7047" w:rsidRDefault="001B7047" w:rsidP="002F6A07">
      <w:pPr>
        <w:spacing w:after="0" w:line="240" w:lineRule="auto"/>
        <w:jc w:val="both"/>
      </w:pPr>
    </w:p>
    <w:p w14:paraId="29361E0A" w14:textId="77777777" w:rsidR="00526266" w:rsidRDefault="00526266" w:rsidP="007C6A23">
      <w:pPr>
        <w:pStyle w:val="Descripcin"/>
        <w:spacing w:after="0"/>
        <w:jc w:val="center"/>
      </w:pPr>
      <w:r>
        <w:t xml:space="preserve">Gráfico </w:t>
      </w:r>
      <w:r>
        <w:fldChar w:fldCharType="begin"/>
      </w:r>
      <w:r>
        <w:instrText xml:space="preserve"> SEQ Gráfico \* ARABIC </w:instrText>
      </w:r>
      <w:r>
        <w:fldChar w:fldCharType="separate"/>
      </w:r>
      <w:r w:rsidR="003B7072">
        <w:rPr>
          <w:noProof/>
        </w:rPr>
        <w:t>3</w:t>
      </w:r>
      <w:r>
        <w:fldChar w:fldCharType="end"/>
      </w:r>
      <w:r w:rsidR="00740F3F">
        <w:t xml:space="preserve">: </w:t>
      </w:r>
      <w:r>
        <w:t xml:space="preserve">Rentabilidad </w:t>
      </w:r>
    </w:p>
    <w:p w14:paraId="1C2B38A8" w14:textId="77777777" w:rsidR="00526266" w:rsidRPr="00C42B4F" w:rsidRDefault="00DC1517" w:rsidP="007C6A23">
      <w:pPr>
        <w:pStyle w:val="Descripcin"/>
        <w:spacing w:after="0"/>
        <w:jc w:val="center"/>
      </w:pPr>
      <w:r>
        <w:t>Régimen Obligatorio de Pensiones Complementario</w:t>
      </w:r>
    </w:p>
    <w:p w14:paraId="41294266" w14:textId="77777777" w:rsidR="006E17A3" w:rsidRDefault="00DC1517" w:rsidP="007C6A23">
      <w:pPr>
        <w:pStyle w:val="Descripcin"/>
        <w:spacing w:after="0"/>
        <w:jc w:val="center"/>
      </w:pPr>
      <w:r>
        <w:t>De enero a Junio 2020</w:t>
      </w:r>
    </w:p>
    <w:p w14:paraId="66E513D3" w14:textId="77777777" w:rsidR="00C35167" w:rsidRDefault="00D9603A" w:rsidP="00BF47CD">
      <w:pPr>
        <w:ind w:left="-567"/>
        <w:jc w:val="center"/>
      </w:pPr>
      <w:r>
        <w:rPr>
          <w:noProof/>
        </w:rPr>
        <w:drawing>
          <wp:inline distT="0" distB="0" distL="0" distR="0" wp14:anchorId="3A08C2B6" wp14:editId="1DCC8A85">
            <wp:extent cx="6296694" cy="185737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0670" cy="1858548"/>
                    </a:xfrm>
                    <a:prstGeom prst="rect">
                      <a:avLst/>
                    </a:prstGeom>
                    <a:noFill/>
                    <a:ln>
                      <a:noFill/>
                    </a:ln>
                  </pic:spPr>
                </pic:pic>
              </a:graphicData>
            </a:graphic>
          </wp:inline>
        </w:drawing>
      </w:r>
    </w:p>
    <w:p w14:paraId="7D367E82" w14:textId="77777777" w:rsidR="002E4F29" w:rsidRDefault="002E4F29" w:rsidP="00BB6CB8">
      <w:pPr>
        <w:pStyle w:val="Descripcin"/>
        <w:tabs>
          <w:tab w:val="left" w:pos="2490"/>
        </w:tabs>
        <w:spacing w:after="0"/>
      </w:pPr>
      <w:r>
        <w:t>Fuente: Elaboración propia</w:t>
      </w:r>
      <w:r w:rsidR="00BB6CB8">
        <w:tab/>
      </w:r>
    </w:p>
    <w:p w14:paraId="2EA040E8" w14:textId="77777777" w:rsidR="00D51DB3" w:rsidRDefault="00D51DB3">
      <w:r>
        <w:br w:type="page"/>
      </w:r>
    </w:p>
    <w:p w14:paraId="0FE12A32" w14:textId="77777777" w:rsidR="006929F8" w:rsidRDefault="004A7D37" w:rsidP="00185D18">
      <w:pPr>
        <w:pStyle w:val="Ttulo1"/>
        <w:numPr>
          <w:ilvl w:val="0"/>
          <w:numId w:val="2"/>
        </w:numPr>
      </w:pPr>
      <w:bookmarkStart w:id="20" w:name="_Toc50731067"/>
      <w:r>
        <w:lastRenderedPageBreak/>
        <w:t xml:space="preserve">Aspectos </w:t>
      </w:r>
      <w:r w:rsidR="00D50BC8">
        <w:t>j</w:t>
      </w:r>
      <w:r>
        <w:t>urídicos</w:t>
      </w:r>
      <w:r w:rsidR="00D50BC8">
        <w:t xml:space="preserve"> relevantes</w:t>
      </w:r>
      <w:bookmarkEnd w:id="20"/>
    </w:p>
    <w:p w14:paraId="4C1C7DC1" w14:textId="77777777" w:rsidR="003E0662" w:rsidRPr="003E0662" w:rsidRDefault="003E0662" w:rsidP="003E0662">
      <w:pPr>
        <w:spacing w:after="0" w:line="240" w:lineRule="auto"/>
      </w:pPr>
    </w:p>
    <w:p w14:paraId="7C113ACA" w14:textId="77777777" w:rsidR="00700711" w:rsidRDefault="00F96FAA" w:rsidP="00F96FAA">
      <w:pPr>
        <w:pStyle w:val="Descripcin"/>
        <w:spacing w:after="0"/>
        <w:jc w:val="center"/>
      </w:pPr>
      <w:r>
        <w:t xml:space="preserve">Tabla </w:t>
      </w:r>
      <w:r>
        <w:fldChar w:fldCharType="begin"/>
      </w:r>
      <w:r>
        <w:instrText xml:space="preserve"> SEQ Tabla \* ARABIC </w:instrText>
      </w:r>
      <w:r>
        <w:fldChar w:fldCharType="separate"/>
      </w:r>
      <w:r w:rsidR="00E56E1E">
        <w:rPr>
          <w:noProof/>
        </w:rPr>
        <w:t>10</w:t>
      </w:r>
      <w:r>
        <w:fldChar w:fldCharType="end"/>
      </w:r>
      <w:r>
        <w:t>: Consultas y Denuncias</w:t>
      </w:r>
    </w:p>
    <w:p w14:paraId="3C0943E1" w14:textId="77777777" w:rsidR="00F96FAA" w:rsidRDefault="00F96FAA" w:rsidP="00F96FAA">
      <w:pPr>
        <w:pStyle w:val="Descripcin"/>
        <w:spacing w:after="0"/>
        <w:jc w:val="center"/>
      </w:pPr>
      <w:r>
        <w:t>Atendidas durante el segundo trimestre del 2020</w:t>
      </w:r>
    </w:p>
    <w:p w14:paraId="4A7DE92D" w14:textId="77777777" w:rsidR="00242194" w:rsidRPr="00242194" w:rsidRDefault="00242194" w:rsidP="00242194">
      <w:pPr>
        <w:pStyle w:val="Descripcin"/>
        <w:spacing w:after="0"/>
        <w:jc w:val="center"/>
      </w:pPr>
      <w:r>
        <w:t>por la división jurídica de SUPEN</w:t>
      </w:r>
    </w:p>
    <w:tbl>
      <w:tblPr>
        <w:tblStyle w:val="Tablaconcuadrcula4-nfasis1"/>
        <w:tblW w:w="9640" w:type="dxa"/>
        <w:jc w:val="center"/>
        <w:tblLook w:val="04A0" w:firstRow="1" w:lastRow="0" w:firstColumn="1" w:lastColumn="0" w:noHBand="0" w:noVBand="1"/>
      </w:tblPr>
      <w:tblGrid>
        <w:gridCol w:w="2127"/>
        <w:gridCol w:w="992"/>
        <w:gridCol w:w="6521"/>
      </w:tblGrid>
      <w:tr w:rsidR="00700711" w:rsidRPr="00F85B04" w14:paraId="0B39767B" w14:textId="77777777" w:rsidTr="009A6C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5B674667" w14:textId="77777777" w:rsidR="00700711" w:rsidRPr="00F85B04" w:rsidRDefault="00700711" w:rsidP="00560BDB">
            <w:pPr>
              <w:rPr>
                <w:rFonts w:asciiTheme="minorHAnsi" w:hAnsiTheme="minorHAnsi" w:cs="Segoe UI"/>
                <w:b w:val="0"/>
                <w:bCs w:val="0"/>
                <w:lang w:val="es-CR"/>
              </w:rPr>
            </w:pPr>
            <w:r w:rsidRPr="00F85B04">
              <w:rPr>
                <w:rFonts w:asciiTheme="minorHAnsi" w:hAnsiTheme="minorHAnsi" w:cs="Segoe UI"/>
                <w:b w:val="0"/>
                <w:bCs w:val="0"/>
                <w:lang w:val="es-CR"/>
              </w:rPr>
              <w:t>Trámite</w:t>
            </w:r>
          </w:p>
        </w:tc>
        <w:tc>
          <w:tcPr>
            <w:tcW w:w="992" w:type="dxa"/>
          </w:tcPr>
          <w:p w14:paraId="2404BC34" w14:textId="77777777" w:rsidR="00700711" w:rsidRPr="00F85B04" w:rsidRDefault="00700711" w:rsidP="00560BDB">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F85B04">
              <w:rPr>
                <w:rFonts w:asciiTheme="minorHAnsi" w:hAnsiTheme="minorHAnsi" w:cs="Segoe UI"/>
                <w:b w:val="0"/>
                <w:bCs w:val="0"/>
                <w:lang w:val="es-CR"/>
              </w:rPr>
              <w:t>Cantidad</w:t>
            </w:r>
          </w:p>
        </w:tc>
        <w:tc>
          <w:tcPr>
            <w:tcW w:w="6521" w:type="dxa"/>
          </w:tcPr>
          <w:p w14:paraId="64B4E81C" w14:textId="77777777" w:rsidR="00700711" w:rsidRPr="00F85B04" w:rsidRDefault="00700711" w:rsidP="00560BDB">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F85B04">
              <w:rPr>
                <w:rFonts w:asciiTheme="minorHAnsi" w:hAnsiTheme="minorHAnsi" w:cs="Segoe UI"/>
                <w:b w:val="0"/>
                <w:bCs w:val="0"/>
                <w:lang w:val="es-CR"/>
              </w:rPr>
              <w:t>Temas</w:t>
            </w:r>
          </w:p>
        </w:tc>
      </w:tr>
      <w:tr w:rsidR="00700711" w:rsidRPr="00F85B04" w14:paraId="0DD217E3" w14:textId="77777777" w:rsidTr="009A6C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36830D46" w14:textId="77777777" w:rsidR="00700711" w:rsidRPr="00F85B04" w:rsidRDefault="00700711" w:rsidP="00EC0F17">
            <w:pPr>
              <w:jc w:val="both"/>
              <w:rPr>
                <w:rFonts w:asciiTheme="minorHAnsi" w:hAnsiTheme="minorHAnsi" w:cs="Segoe UI"/>
                <w:b w:val="0"/>
                <w:bCs w:val="0"/>
                <w:lang w:val="es-CR"/>
              </w:rPr>
            </w:pPr>
            <w:r w:rsidRPr="00F85B04">
              <w:rPr>
                <w:rFonts w:asciiTheme="minorHAnsi" w:hAnsiTheme="minorHAnsi" w:cs="Segoe UI"/>
                <w:b w:val="0"/>
                <w:bCs w:val="0"/>
                <w:lang w:val="es-CR"/>
              </w:rPr>
              <w:t>Consultas</w:t>
            </w:r>
          </w:p>
        </w:tc>
        <w:tc>
          <w:tcPr>
            <w:tcW w:w="992" w:type="dxa"/>
          </w:tcPr>
          <w:p w14:paraId="5CA0FFEF" w14:textId="77777777" w:rsidR="00700711" w:rsidRPr="00F85B04" w:rsidRDefault="00700711" w:rsidP="0070071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208</w:t>
            </w:r>
          </w:p>
        </w:tc>
        <w:tc>
          <w:tcPr>
            <w:tcW w:w="6521" w:type="dxa"/>
          </w:tcPr>
          <w:p w14:paraId="278754EF" w14:textId="77777777" w:rsidR="00700711" w:rsidRPr="00F85B04" w:rsidRDefault="00700711"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Rendimientos negativos. Retiro del ROP y del FCL.</w:t>
            </w:r>
          </w:p>
        </w:tc>
      </w:tr>
      <w:tr w:rsidR="00700711" w:rsidRPr="00F85B04" w14:paraId="34F30D50" w14:textId="77777777" w:rsidTr="009A6CE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4FEB28BE" w14:textId="77777777" w:rsidR="00700711" w:rsidRPr="00F85B04" w:rsidRDefault="00700711" w:rsidP="00EC0F17">
            <w:pPr>
              <w:jc w:val="both"/>
              <w:rPr>
                <w:rFonts w:asciiTheme="minorHAnsi" w:hAnsiTheme="minorHAnsi" w:cs="Segoe UI"/>
                <w:b w:val="0"/>
                <w:bCs w:val="0"/>
                <w:lang w:val="es-CR"/>
              </w:rPr>
            </w:pPr>
            <w:r w:rsidRPr="00F85B04">
              <w:rPr>
                <w:rFonts w:asciiTheme="minorHAnsi" w:hAnsiTheme="minorHAnsi" w:cs="Segoe UI"/>
                <w:b w:val="0"/>
                <w:bCs w:val="0"/>
                <w:lang w:val="es-CR"/>
              </w:rPr>
              <w:t>Denuncias</w:t>
            </w:r>
          </w:p>
        </w:tc>
        <w:tc>
          <w:tcPr>
            <w:tcW w:w="992" w:type="dxa"/>
          </w:tcPr>
          <w:p w14:paraId="0B86F398" w14:textId="77777777" w:rsidR="00700711" w:rsidRPr="00F85B04" w:rsidRDefault="00700711" w:rsidP="0070071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13</w:t>
            </w:r>
          </w:p>
        </w:tc>
        <w:tc>
          <w:tcPr>
            <w:tcW w:w="6521" w:type="dxa"/>
          </w:tcPr>
          <w:p w14:paraId="533BB747" w14:textId="77777777" w:rsidR="00700711" w:rsidRPr="00F85B04" w:rsidRDefault="00700711"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rPr>
              <w:t>Retiro del FCL. Libre transferencia. Traslado anual del FCL al ROP.</w:t>
            </w:r>
          </w:p>
        </w:tc>
      </w:tr>
      <w:tr w:rsidR="00700711" w:rsidRPr="00F85B04" w14:paraId="3B666AE6" w14:textId="77777777" w:rsidTr="009A6C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6B528CD4" w14:textId="77777777" w:rsidR="00700711" w:rsidRPr="00F85B04" w:rsidRDefault="00700711" w:rsidP="00EC0F17">
            <w:pPr>
              <w:jc w:val="both"/>
              <w:rPr>
                <w:rFonts w:asciiTheme="minorHAnsi" w:hAnsiTheme="minorHAnsi" w:cs="Segoe UI"/>
                <w:b w:val="0"/>
                <w:bCs w:val="0"/>
                <w:lang w:val="es-CR"/>
              </w:rPr>
            </w:pPr>
            <w:r w:rsidRPr="00F85B04">
              <w:rPr>
                <w:rFonts w:asciiTheme="minorHAnsi" w:hAnsiTheme="minorHAnsi" w:cs="Segoe UI"/>
                <w:b w:val="0"/>
                <w:bCs w:val="0"/>
                <w:lang w:val="es-CR"/>
              </w:rPr>
              <w:t>Consultas rápidas</w:t>
            </w:r>
            <w:r w:rsidRPr="00F85B04">
              <w:rPr>
                <w:rStyle w:val="Refdenotaalpie"/>
                <w:rFonts w:asciiTheme="minorHAnsi" w:hAnsiTheme="minorHAnsi" w:cs="Segoe UI"/>
                <w:b w:val="0"/>
                <w:bCs w:val="0"/>
                <w:lang w:val="es-CR"/>
              </w:rPr>
              <w:footnoteReference w:id="2"/>
            </w:r>
          </w:p>
        </w:tc>
        <w:tc>
          <w:tcPr>
            <w:tcW w:w="992" w:type="dxa"/>
          </w:tcPr>
          <w:p w14:paraId="57658AAB" w14:textId="77777777" w:rsidR="00700711" w:rsidRPr="00F85B04" w:rsidRDefault="00700711" w:rsidP="0070071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16 280</w:t>
            </w:r>
          </w:p>
        </w:tc>
        <w:tc>
          <w:tcPr>
            <w:tcW w:w="6521" w:type="dxa"/>
          </w:tcPr>
          <w:p w14:paraId="6D85A70C" w14:textId="77777777" w:rsidR="00700711" w:rsidRPr="00F85B04" w:rsidRDefault="00700711"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Retiro del FCL y del ROP. Pensión del IVM.</w:t>
            </w:r>
          </w:p>
        </w:tc>
      </w:tr>
    </w:tbl>
    <w:p w14:paraId="631FD6FD" w14:textId="77777777" w:rsidR="00700711" w:rsidRDefault="003A3141" w:rsidP="00721801">
      <w:pPr>
        <w:pStyle w:val="Descripcin"/>
        <w:spacing w:after="0"/>
      </w:pPr>
      <w:r>
        <w:t xml:space="preserve">Fuente: Elaboración propia </w:t>
      </w:r>
    </w:p>
    <w:p w14:paraId="57879528" w14:textId="77777777" w:rsidR="00560BDB" w:rsidRPr="00560BDB" w:rsidRDefault="00560BDB" w:rsidP="00560BDB">
      <w:pPr>
        <w:spacing w:after="0" w:line="240" w:lineRule="auto"/>
      </w:pPr>
    </w:p>
    <w:p w14:paraId="0771F2EE" w14:textId="77777777" w:rsidR="00242194" w:rsidRDefault="00242194" w:rsidP="00242194">
      <w:pPr>
        <w:pStyle w:val="Descripcin"/>
        <w:spacing w:after="0"/>
        <w:jc w:val="center"/>
      </w:pPr>
      <w:r>
        <w:t xml:space="preserve">Tabla </w:t>
      </w:r>
      <w:r>
        <w:fldChar w:fldCharType="begin"/>
      </w:r>
      <w:r>
        <w:instrText xml:space="preserve"> SEQ Tabla \* ARABIC </w:instrText>
      </w:r>
      <w:r>
        <w:fldChar w:fldCharType="separate"/>
      </w:r>
      <w:r w:rsidR="00E56E1E">
        <w:rPr>
          <w:noProof/>
        </w:rPr>
        <w:t>11</w:t>
      </w:r>
      <w:r>
        <w:fldChar w:fldCharType="end"/>
      </w:r>
      <w:r>
        <w:t>: Criterios juríd</w:t>
      </w:r>
      <w:r w:rsidR="00AD4962">
        <w:t>i</w:t>
      </w:r>
      <w:r>
        <w:t>cos</w:t>
      </w:r>
    </w:p>
    <w:p w14:paraId="39814E4E" w14:textId="77777777" w:rsidR="00242194" w:rsidRDefault="00242194" w:rsidP="00242194">
      <w:pPr>
        <w:pStyle w:val="Descripcin"/>
        <w:spacing w:after="0"/>
        <w:jc w:val="center"/>
      </w:pPr>
      <w:r>
        <w:t>Atendidas durante el segundo trimestre del 2020</w:t>
      </w:r>
    </w:p>
    <w:p w14:paraId="30A5E8DE" w14:textId="77777777" w:rsidR="00242194" w:rsidRDefault="00242194" w:rsidP="00242194">
      <w:pPr>
        <w:pStyle w:val="Descripcin"/>
        <w:spacing w:after="0"/>
        <w:jc w:val="center"/>
      </w:pPr>
      <w:r>
        <w:t>por la división jurídica de SUPEN</w:t>
      </w:r>
    </w:p>
    <w:tbl>
      <w:tblPr>
        <w:tblStyle w:val="Tablaconcuadrcula4-nfasis1"/>
        <w:tblW w:w="10485" w:type="dxa"/>
        <w:jc w:val="center"/>
        <w:tblLook w:val="04A0" w:firstRow="1" w:lastRow="0" w:firstColumn="1" w:lastColumn="0" w:noHBand="0" w:noVBand="1"/>
      </w:tblPr>
      <w:tblGrid>
        <w:gridCol w:w="1418"/>
        <w:gridCol w:w="9067"/>
      </w:tblGrid>
      <w:tr w:rsidR="00560BDB" w:rsidRPr="00F85B04" w14:paraId="40391C00" w14:textId="77777777" w:rsidTr="00D960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14:paraId="67E36104" w14:textId="77777777" w:rsidR="00560BDB" w:rsidRPr="00F85B04" w:rsidRDefault="00560BDB" w:rsidP="00EC0F17">
            <w:pPr>
              <w:jc w:val="both"/>
              <w:rPr>
                <w:rFonts w:asciiTheme="minorHAnsi" w:hAnsiTheme="minorHAnsi" w:cs="Segoe UI"/>
                <w:b w:val="0"/>
                <w:bCs w:val="0"/>
                <w:lang w:val="es-CR"/>
              </w:rPr>
            </w:pPr>
            <w:r w:rsidRPr="00F85B04">
              <w:rPr>
                <w:rFonts w:asciiTheme="minorHAnsi" w:hAnsiTheme="minorHAnsi" w:cs="Segoe UI"/>
                <w:b w:val="0"/>
                <w:bCs w:val="0"/>
                <w:lang w:val="es-CR"/>
              </w:rPr>
              <w:t>Criterio</w:t>
            </w:r>
          </w:p>
        </w:tc>
        <w:tc>
          <w:tcPr>
            <w:tcW w:w="9067" w:type="dxa"/>
          </w:tcPr>
          <w:p w14:paraId="190DC487" w14:textId="77777777" w:rsidR="00560BDB" w:rsidRPr="00F85B04" w:rsidRDefault="00560BDB" w:rsidP="00EC0F1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F85B04">
              <w:rPr>
                <w:rFonts w:asciiTheme="minorHAnsi" w:hAnsiTheme="minorHAnsi" w:cs="Segoe UI"/>
                <w:b w:val="0"/>
                <w:bCs w:val="0"/>
                <w:lang w:val="es-CR"/>
              </w:rPr>
              <w:t>Temas</w:t>
            </w:r>
          </w:p>
        </w:tc>
      </w:tr>
      <w:tr w:rsidR="00560BDB" w:rsidRPr="00F85B04" w14:paraId="4AF28E8F" w14:textId="77777777" w:rsidTr="00D96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14:paraId="69F4053D" w14:textId="77777777" w:rsidR="00560BDB" w:rsidRPr="00F85B04" w:rsidRDefault="00560BDB" w:rsidP="00EC0F17">
            <w:pPr>
              <w:jc w:val="both"/>
              <w:rPr>
                <w:rFonts w:asciiTheme="minorHAnsi" w:hAnsiTheme="minorHAnsi" w:cs="Segoe UI"/>
                <w:b w:val="0"/>
                <w:bCs w:val="0"/>
                <w:lang w:val="es-CR"/>
              </w:rPr>
            </w:pPr>
            <w:r w:rsidRPr="00F85B04">
              <w:rPr>
                <w:rFonts w:asciiTheme="minorHAnsi" w:hAnsiTheme="minorHAnsi" w:cs="Segoe UI"/>
                <w:b w:val="0"/>
                <w:bCs w:val="0"/>
                <w:lang w:val="es-CR"/>
              </w:rPr>
              <w:t>PJD-</w:t>
            </w:r>
            <w:r w:rsidR="00F85B04">
              <w:rPr>
                <w:rFonts w:asciiTheme="minorHAnsi" w:hAnsiTheme="minorHAnsi" w:cs="Segoe UI"/>
                <w:b w:val="0"/>
                <w:bCs w:val="0"/>
                <w:lang w:val="es-CR"/>
              </w:rPr>
              <w:t>0</w:t>
            </w:r>
            <w:r w:rsidRPr="00F85B04">
              <w:rPr>
                <w:rFonts w:asciiTheme="minorHAnsi" w:hAnsiTheme="minorHAnsi" w:cs="Segoe UI"/>
                <w:b w:val="0"/>
                <w:bCs w:val="0"/>
                <w:lang w:val="es-CR"/>
              </w:rPr>
              <w:t>9-2020</w:t>
            </w:r>
          </w:p>
        </w:tc>
        <w:tc>
          <w:tcPr>
            <w:tcW w:w="9067" w:type="dxa"/>
          </w:tcPr>
          <w:p w14:paraId="5179DBD0" w14:textId="77777777" w:rsidR="00560BDB" w:rsidRPr="00F85B04" w:rsidRDefault="00560BDB"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 xml:space="preserve">Criterio jurídico conjunto respecto de la viabilidad del proyecto de “Reglamento para la consulta de los presupuestos de las superintendencias financieras y el CONASSIF”. </w:t>
            </w:r>
          </w:p>
        </w:tc>
      </w:tr>
      <w:tr w:rsidR="00560BDB" w:rsidRPr="00F85B04" w14:paraId="747F29CB" w14:textId="77777777" w:rsidTr="00D9603A">
        <w:trPr>
          <w:jc w:val="center"/>
        </w:trPr>
        <w:tc>
          <w:tcPr>
            <w:cnfStyle w:val="001000000000" w:firstRow="0" w:lastRow="0" w:firstColumn="1" w:lastColumn="0" w:oddVBand="0" w:evenVBand="0" w:oddHBand="0" w:evenHBand="0" w:firstRowFirstColumn="0" w:firstRowLastColumn="0" w:lastRowFirstColumn="0" w:lastRowLastColumn="0"/>
            <w:tcW w:w="1418" w:type="dxa"/>
          </w:tcPr>
          <w:p w14:paraId="5653CF2D" w14:textId="77777777" w:rsidR="00560BDB" w:rsidRPr="00F85B04" w:rsidRDefault="00560BDB" w:rsidP="00EC0F17">
            <w:pPr>
              <w:jc w:val="both"/>
              <w:rPr>
                <w:rFonts w:asciiTheme="minorHAnsi" w:hAnsiTheme="minorHAnsi" w:cs="Segoe UI"/>
                <w:b w:val="0"/>
                <w:bCs w:val="0"/>
                <w:lang w:val="es-CR"/>
              </w:rPr>
            </w:pPr>
            <w:r w:rsidRPr="00F85B04">
              <w:rPr>
                <w:rFonts w:asciiTheme="minorHAnsi" w:hAnsiTheme="minorHAnsi" w:cs="Segoe UI"/>
                <w:b w:val="0"/>
                <w:bCs w:val="0"/>
                <w:lang w:val="es-CR"/>
              </w:rPr>
              <w:t>PJD-12-2020</w:t>
            </w:r>
          </w:p>
        </w:tc>
        <w:tc>
          <w:tcPr>
            <w:tcW w:w="9067" w:type="dxa"/>
          </w:tcPr>
          <w:p w14:paraId="683FD945" w14:textId="77777777" w:rsidR="00560BDB" w:rsidRPr="00F85B04" w:rsidRDefault="00560BDB"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Reforma del artículo 19 del Reglamento de beneficios. Trámite para retiro de recursos de fallecidos sin beneficiarios designados.</w:t>
            </w:r>
          </w:p>
        </w:tc>
      </w:tr>
      <w:tr w:rsidR="00560BDB" w:rsidRPr="00F85B04" w14:paraId="1DA1DCBF" w14:textId="77777777" w:rsidTr="00D96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14:paraId="4D734901" w14:textId="77777777" w:rsidR="00560BDB" w:rsidRPr="00F85B04" w:rsidRDefault="00560BDB" w:rsidP="00EC0F17">
            <w:pPr>
              <w:jc w:val="both"/>
              <w:rPr>
                <w:rFonts w:asciiTheme="minorHAnsi" w:hAnsiTheme="minorHAnsi" w:cs="Segoe UI"/>
                <w:b w:val="0"/>
                <w:bCs w:val="0"/>
                <w:lang w:val="es-CR"/>
              </w:rPr>
            </w:pPr>
            <w:r w:rsidRPr="00F85B04">
              <w:rPr>
                <w:rFonts w:asciiTheme="minorHAnsi" w:hAnsiTheme="minorHAnsi" w:cs="Segoe UI"/>
                <w:b w:val="0"/>
                <w:bCs w:val="0"/>
                <w:lang w:val="es-CR"/>
              </w:rPr>
              <w:t>PJD-13-2020</w:t>
            </w:r>
          </w:p>
        </w:tc>
        <w:tc>
          <w:tcPr>
            <w:tcW w:w="9067" w:type="dxa"/>
          </w:tcPr>
          <w:p w14:paraId="5AC499BB" w14:textId="77777777" w:rsidR="00560BDB" w:rsidRPr="00F85B04" w:rsidRDefault="00560BDB"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Datos personales del afiliado de acceso restringido.</w:t>
            </w:r>
          </w:p>
          <w:p w14:paraId="434A8A21" w14:textId="77777777" w:rsidR="00560BDB" w:rsidRPr="00F85B04" w:rsidRDefault="00560BDB"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Afiliación.</w:t>
            </w:r>
          </w:p>
        </w:tc>
      </w:tr>
      <w:tr w:rsidR="00560BDB" w:rsidRPr="00F85B04" w14:paraId="71E91282" w14:textId="77777777" w:rsidTr="00D9603A">
        <w:trPr>
          <w:jc w:val="center"/>
        </w:trPr>
        <w:tc>
          <w:tcPr>
            <w:cnfStyle w:val="001000000000" w:firstRow="0" w:lastRow="0" w:firstColumn="1" w:lastColumn="0" w:oddVBand="0" w:evenVBand="0" w:oddHBand="0" w:evenHBand="0" w:firstRowFirstColumn="0" w:firstRowLastColumn="0" w:lastRowFirstColumn="0" w:lastRowLastColumn="0"/>
            <w:tcW w:w="1418" w:type="dxa"/>
          </w:tcPr>
          <w:p w14:paraId="659E4D2C" w14:textId="77777777" w:rsidR="00560BDB" w:rsidRPr="00F85B04" w:rsidRDefault="00560BDB" w:rsidP="00EC0F17">
            <w:pPr>
              <w:jc w:val="both"/>
              <w:rPr>
                <w:rFonts w:asciiTheme="minorHAnsi" w:hAnsiTheme="minorHAnsi" w:cs="Segoe UI"/>
                <w:b w:val="0"/>
                <w:bCs w:val="0"/>
                <w:lang w:val="es-CR"/>
              </w:rPr>
            </w:pPr>
            <w:r w:rsidRPr="00F85B04">
              <w:rPr>
                <w:rFonts w:asciiTheme="minorHAnsi" w:hAnsiTheme="minorHAnsi" w:cs="Segoe UI"/>
                <w:b w:val="0"/>
                <w:bCs w:val="0"/>
                <w:lang w:val="es-CR"/>
              </w:rPr>
              <w:t>PJD-14-2020</w:t>
            </w:r>
          </w:p>
        </w:tc>
        <w:tc>
          <w:tcPr>
            <w:tcW w:w="9067" w:type="dxa"/>
          </w:tcPr>
          <w:p w14:paraId="05037D42" w14:textId="77777777" w:rsidR="00560BDB" w:rsidRPr="00F85B04" w:rsidRDefault="00560BDB"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lang w:val="es-CR"/>
              </w:rPr>
            </w:pPr>
            <w:r w:rsidRPr="00F85B04">
              <w:rPr>
                <w:rFonts w:asciiTheme="minorHAnsi" w:hAnsiTheme="minorHAnsi" w:cs="Segoe UI"/>
                <w:lang w:val="es-CR"/>
              </w:rPr>
              <w:t>Imposibilidad legal de la CCSS de invertir los recursos del IVM en el Mercado integrado de liquidez (MIL).</w:t>
            </w:r>
          </w:p>
        </w:tc>
      </w:tr>
    </w:tbl>
    <w:p w14:paraId="1577F4A6" w14:textId="77777777" w:rsidR="00242194" w:rsidRDefault="00242194" w:rsidP="00242194">
      <w:pPr>
        <w:pStyle w:val="Descripcin"/>
        <w:spacing w:after="0"/>
      </w:pPr>
      <w:r>
        <w:t xml:space="preserve">Fuente: Elaboración propia </w:t>
      </w:r>
    </w:p>
    <w:p w14:paraId="35F13BAD" w14:textId="77777777" w:rsidR="00242194" w:rsidRDefault="00242194" w:rsidP="000E7393">
      <w:pPr>
        <w:spacing w:after="0" w:line="240" w:lineRule="auto"/>
      </w:pPr>
    </w:p>
    <w:p w14:paraId="028B3E9B" w14:textId="77777777" w:rsidR="00560BDB" w:rsidRDefault="00560BDB" w:rsidP="00560BDB">
      <w:pPr>
        <w:pStyle w:val="Descripcin"/>
        <w:spacing w:after="0"/>
        <w:jc w:val="center"/>
      </w:pPr>
      <w:r>
        <w:t xml:space="preserve">Tabla </w:t>
      </w:r>
      <w:r>
        <w:fldChar w:fldCharType="begin"/>
      </w:r>
      <w:r>
        <w:instrText xml:space="preserve"> SEQ Tabla \* ARABIC </w:instrText>
      </w:r>
      <w:r>
        <w:fldChar w:fldCharType="separate"/>
      </w:r>
      <w:r w:rsidR="00E56E1E">
        <w:rPr>
          <w:noProof/>
        </w:rPr>
        <w:t>12</w:t>
      </w:r>
      <w:r>
        <w:fldChar w:fldCharType="end"/>
      </w:r>
      <w:r>
        <w:t>: Recursos de amparo</w:t>
      </w:r>
    </w:p>
    <w:p w14:paraId="32ED8338" w14:textId="77777777" w:rsidR="00560BDB" w:rsidRDefault="00560BDB" w:rsidP="00560BDB">
      <w:pPr>
        <w:pStyle w:val="Descripcin"/>
        <w:spacing w:after="0"/>
        <w:jc w:val="center"/>
      </w:pPr>
      <w:r>
        <w:t>Atendidas durante el segundo trimestre del 2020</w:t>
      </w:r>
    </w:p>
    <w:p w14:paraId="5CCFDD0D" w14:textId="77777777" w:rsidR="009A6CE9" w:rsidRDefault="00560BDB" w:rsidP="009A6CE9">
      <w:pPr>
        <w:pStyle w:val="Descripcin"/>
        <w:spacing w:after="0"/>
        <w:jc w:val="center"/>
      </w:pPr>
      <w:r>
        <w:t>por la división jurídica de SUPEN</w:t>
      </w:r>
    </w:p>
    <w:tbl>
      <w:tblPr>
        <w:tblStyle w:val="Tablaconcuadrcula4-nfasis1"/>
        <w:tblW w:w="11619" w:type="dxa"/>
        <w:jc w:val="center"/>
        <w:tblLook w:val="04A0" w:firstRow="1" w:lastRow="0" w:firstColumn="1" w:lastColumn="0" w:noHBand="0" w:noVBand="1"/>
      </w:tblPr>
      <w:tblGrid>
        <w:gridCol w:w="1418"/>
        <w:gridCol w:w="5807"/>
        <w:gridCol w:w="4394"/>
      </w:tblGrid>
      <w:tr w:rsidR="009A6CE9" w:rsidRPr="00EB6E81" w14:paraId="56A3C710" w14:textId="77777777" w:rsidTr="00D960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14:paraId="2D60272C" w14:textId="77777777" w:rsidR="009A6CE9" w:rsidRPr="00EB6E81" w:rsidRDefault="009A6CE9" w:rsidP="009A6CE9">
            <w:pPr>
              <w:rPr>
                <w:rFonts w:asciiTheme="minorHAnsi" w:hAnsiTheme="minorHAnsi" w:cs="Segoe UI"/>
                <w:b w:val="0"/>
                <w:bCs w:val="0"/>
                <w:lang w:val="es-CR"/>
              </w:rPr>
            </w:pPr>
            <w:bookmarkStart w:id="21" w:name="_Hlk46395294"/>
            <w:r w:rsidRPr="00EB6E81">
              <w:rPr>
                <w:rFonts w:asciiTheme="minorHAnsi" w:hAnsiTheme="minorHAnsi" w:cs="Segoe UI"/>
                <w:b w:val="0"/>
                <w:bCs w:val="0"/>
                <w:lang w:val="es-CR"/>
              </w:rPr>
              <w:t>Expediente</w:t>
            </w:r>
          </w:p>
        </w:tc>
        <w:tc>
          <w:tcPr>
            <w:tcW w:w="5807" w:type="dxa"/>
          </w:tcPr>
          <w:p w14:paraId="5CCB8897" w14:textId="77777777" w:rsidR="009A6CE9" w:rsidRPr="00EB6E81" w:rsidRDefault="009A6CE9" w:rsidP="009A6CE9">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EB6E81">
              <w:rPr>
                <w:rFonts w:asciiTheme="minorHAnsi" w:hAnsiTheme="minorHAnsi" w:cs="Segoe UI"/>
                <w:b w:val="0"/>
                <w:bCs w:val="0"/>
                <w:lang w:val="es-CR"/>
              </w:rPr>
              <w:t>Resumen del asunto</w:t>
            </w:r>
          </w:p>
        </w:tc>
        <w:tc>
          <w:tcPr>
            <w:tcW w:w="4394" w:type="dxa"/>
          </w:tcPr>
          <w:p w14:paraId="0743FF3F" w14:textId="77777777" w:rsidR="009A6CE9" w:rsidRPr="00EB6E81" w:rsidRDefault="009A6CE9" w:rsidP="009A6CE9">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EB6E81">
              <w:rPr>
                <w:rFonts w:asciiTheme="minorHAnsi" w:hAnsiTheme="minorHAnsi" w:cs="Segoe UI"/>
                <w:b w:val="0"/>
                <w:bCs w:val="0"/>
                <w:lang w:val="es-CR"/>
              </w:rPr>
              <w:t>Estado actual</w:t>
            </w:r>
          </w:p>
        </w:tc>
      </w:tr>
      <w:tr w:rsidR="009A6CE9" w:rsidRPr="00EB6E81" w14:paraId="5600C67A" w14:textId="77777777" w:rsidTr="00D96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14:paraId="64188CF9" w14:textId="77777777" w:rsidR="009A6CE9" w:rsidRPr="00EB6E81" w:rsidRDefault="009A6CE9" w:rsidP="00EC0F17">
            <w:pPr>
              <w:jc w:val="both"/>
              <w:rPr>
                <w:rFonts w:asciiTheme="minorHAnsi" w:hAnsiTheme="minorHAnsi" w:cs="Segoe UI"/>
                <w:b w:val="0"/>
                <w:lang w:val="es-CR"/>
              </w:rPr>
            </w:pPr>
            <w:r w:rsidRPr="00EB6E81">
              <w:rPr>
                <w:rFonts w:asciiTheme="minorHAnsi" w:hAnsiTheme="minorHAnsi" w:cs="Segoe UI"/>
                <w:b w:val="0"/>
                <w:lang w:val="es-CR"/>
              </w:rPr>
              <w:t xml:space="preserve">20-006943-0007-CO </w:t>
            </w:r>
          </w:p>
        </w:tc>
        <w:tc>
          <w:tcPr>
            <w:tcW w:w="5807" w:type="dxa"/>
          </w:tcPr>
          <w:p w14:paraId="1CE51655" w14:textId="77777777" w:rsidR="009A6CE9" w:rsidRPr="00EB6E81" w:rsidRDefault="009A6CE9"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bCs/>
                <w:lang w:val="es-CR"/>
              </w:rPr>
            </w:pPr>
            <w:r w:rsidRPr="00EB6E81">
              <w:rPr>
                <w:rFonts w:asciiTheme="minorHAnsi" w:hAnsiTheme="minorHAnsi" w:cs="Segoe UI"/>
                <w:bCs/>
                <w:lang w:val="es-CR"/>
              </w:rPr>
              <w:t>El paciente tiene cáncer, no está en fase terminal, al contrario, todos los tratamientos que se le han ofrecido son para aumentar la posibilidad de curación. Sin embargo, el tumor que tiene es de alto riesgo, puede recurrir rápidamente y volverse una enfermedad incurable y terminal con el tiempo, pero no en este momento. Expectativa de vida es de un 14% a 5 años. El tutelado tiene 64 años y se condena al pago de una renta.</w:t>
            </w:r>
            <w:r w:rsidR="00D719C9">
              <w:rPr>
                <w:rFonts w:asciiTheme="minorHAnsi" w:hAnsiTheme="minorHAnsi" w:cs="Segoe UI"/>
                <w:bCs/>
                <w:lang w:val="es-CR"/>
              </w:rPr>
              <w:t xml:space="preserve"> Esta resolución </w:t>
            </w:r>
            <w:r w:rsidR="00F21FB8">
              <w:rPr>
                <w:rFonts w:asciiTheme="minorHAnsi" w:hAnsiTheme="minorHAnsi" w:cs="Segoe UI"/>
                <w:bCs/>
                <w:lang w:val="es-CR"/>
              </w:rPr>
              <w:t xml:space="preserve">amplía la interpretación de la Sala de enfermedad terminal a sobrevida, con </w:t>
            </w:r>
            <w:r w:rsidR="0084426E">
              <w:rPr>
                <w:rFonts w:asciiTheme="minorHAnsi" w:hAnsiTheme="minorHAnsi" w:cs="Segoe UI"/>
                <w:bCs/>
                <w:lang w:val="es-CR"/>
              </w:rPr>
              <w:t>implicaciones para el ROP.</w:t>
            </w:r>
          </w:p>
        </w:tc>
        <w:tc>
          <w:tcPr>
            <w:tcW w:w="4394" w:type="dxa"/>
          </w:tcPr>
          <w:p w14:paraId="1B96879C" w14:textId="77777777" w:rsidR="009A6CE9" w:rsidRPr="00EB6E81" w:rsidRDefault="009A6CE9"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lang w:val="es-CR"/>
              </w:rPr>
            </w:pPr>
            <w:r w:rsidRPr="00EB6E81">
              <w:rPr>
                <w:rFonts w:asciiTheme="minorHAnsi" w:hAnsiTheme="minorHAnsi" w:cs="Segoe UI"/>
                <w:lang w:val="es-CR"/>
              </w:rPr>
              <w:t>Res. 2020-0011741, de las 9:05 horas del 26 de junio de 2020.</w:t>
            </w:r>
            <w:r w:rsidRPr="00EB6E81">
              <w:rPr>
                <w:rFonts w:asciiTheme="minorHAnsi" w:hAnsiTheme="minorHAnsi"/>
              </w:rPr>
              <w:t xml:space="preserve"> </w:t>
            </w:r>
          </w:p>
          <w:p w14:paraId="78DD1F25" w14:textId="77777777" w:rsidR="009A6CE9" w:rsidRPr="00EB6E81" w:rsidRDefault="009A6CE9" w:rsidP="00EC0F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lang w:val="es-CR"/>
              </w:rPr>
            </w:pPr>
            <w:r w:rsidRPr="00EB6E81">
              <w:rPr>
                <w:rFonts w:asciiTheme="minorHAnsi" w:hAnsiTheme="minorHAnsi" w:cs="Segoe UI"/>
                <w:lang w:val="es-CR"/>
              </w:rPr>
              <w:t>Se ordenó coordinar con la operadora para la entrega del ROP en tractos mensuales hasta el cumplimiento de la edad de 69.6 años.</w:t>
            </w:r>
          </w:p>
        </w:tc>
      </w:tr>
      <w:tr w:rsidR="009A6CE9" w:rsidRPr="00EB6E81" w14:paraId="75077A3D" w14:textId="77777777" w:rsidTr="00D9603A">
        <w:trPr>
          <w:jc w:val="center"/>
        </w:trPr>
        <w:tc>
          <w:tcPr>
            <w:cnfStyle w:val="001000000000" w:firstRow="0" w:lastRow="0" w:firstColumn="1" w:lastColumn="0" w:oddVBand="0" w:evenVBand="0" w:oddHBand="0" w:evenHBand="0" w:firstRowFirstColumn="0" w:firstRowLastColumn="0" w:lastRowFirstColumn="0" w:lastRowLastColumn="0"/>
            <w:tcW w:w="1418" w:type="dxa"/>
          </w:tcPr>
          <w:p w14:paraId="76CB0FDB" w14:textId="77777777" w:rsidR="009A6CE9" w:rsidRPr="00EB6E81" w:rsidRDefault="009A6CE9" w:rsidP="00EC0F17">
            <w:pPr>
              <w:jc w:val="both"/>
              <w:rPr>
                <w:rFonts w:asciiTheme="minorHAnsi" w:hAnsiTheme="minorHAnsi" w:cs="Segoe UI"/>
                <w:b w:val="0"/>
                <w:lang w:val="es-CR"/>
              </w:rPr>
            </w:pPr>
            <w:r w:rsidRPr="00EB6E81">
              <w:rPr>
                <w:rFonts w:asciiTheme="minorHAnsi" w:hAnsiTheme="minorHAnsi" w:cs="Segoe UI"/>
                <w:b w:val="0"/>
                <w:lang w:val="es-CR"/>
              </w:rPr>
              <w:t>20-011951-0007-CO</w:t>
            </w:r>
          </w:p>
        </w:tc>
        <w:tc>
          <w:tcPr>
            <w:tcW w:w="5807" w:type="dxa"/>
          </w:tcPr>
          <w:p w14:paraId="672C4715" w14:textId="77777777" w:rsidR="009A6CE9" w:rsidRPr="00EB6E81" w:rsidRDefault="009A6CE9"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bCs/>
                <w:lang w:val="es-CR"/>
              </w:rPr>
            </w:pPr>
            <w:r w:rsidRPr="00EB6E81">
              <w:rPr>
                <w:rFonts w:asciiTheme="minorHAnsi" w:hAnsiTheme="minorHAnsi" w:cs="Segoe UI"/>
                <w:bCs/>
                <w:lang w:val="es-CR"/>
              </w:rPr>
              <w:t xml:space="preserve">El amparado tiene cáncer en estadio IV (metastásico) y no se encuentra en fase terminal, dado que todavía tiene opciones de recibir más tratamientos sistémicos para prolongar su sobrevida. Con respecto a su expectativa de vida, el tiempo de vida promedio para los pacientes con diagnóstico de GIST se aproxima a los 5 años, con un aproximado del 50% vivos al llegar a los 5 años de su diagnóstico. </w:t>
            </w:r>
          </w:p>
        </w:tc>
        <w:tc>
          <w:tcPr>
            <w:tcW w:w="4394" w:type="dxa"/>
          </w:tcPr>
          <w:p w14:paraId="28AFDAA7" w14:textId="77777777" w:rsidR="009A6CE9" w:rsidRPr="00EB6E81" w:rsidRDefault="009A6CE9"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bCs/>
                <w:lang w:val="es-CR"/>
              </w:rPr>
            </w:pPr>
            <w:r w:rsidRPr="00EB6E81">
              <w:rPr>
                <w:rFonts w:asciiTheme="minorHAnsi" w:hAnsiTheme="minorHAnsi" w:cs="Segoe UI"/>
                <w:bCs/>
                <w:lang w:val="es-CR"/>
              </w:rPr>
              <w:t>Res. 2020-009728, de las 9:15 horas del 29 de mayo de 2020.</w:t>
            </w:r>
          </w:p>
          <w:p w14:paraId="7D641354" w14:textId="77777777" w:rsidR="009A6CE9" w:rsidRPr="00EB6E81" w:rsidRDefault="009A6CE9"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bCs/>
                <w:lang w:val="es-CR"/>
              </w:rPr>
            </w:pPr>
            <w:r w:rsidRPr="00EB6E81">
              <w:rPr>
                <w:rFonts w:asciiTheme="minorHAnsi" w:hAnsiTheme="minorHAnsi" w:cs="Segoe UI"/>
                <w:bCs/>
                <w:lang w:val="es-CR"/>
              </w:rPr>
              <w:t>Popular Pensiones OPC entregó la totalidad del ROP.</w:t>
            </w:r>
          </w:p>
          <w:p w14:paraId="0346757B" w14:textId="77777777" w:rsidR="009A6CE9" w:rsidRPr="00EB6E81" w:rsidRDefault="009A6CE9"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bCs/>
                <w:lang w:val="es-CR"/>
              </w:rPr>
            </w:pPr>
            <w:r w:rsidRPr="00EB6E81">
              <w:rPr>
                <w:rFonts w:asciiTheme="minorHAnsi" w:hAnsiTheme="minorHAnsi" w:cs="Segoe UI"/>
                <w:bCs/>
                <w:lang w:val="es-CR"/>
              </w:rPr>
              <w:t>Se condenó a la OPC al pago de daños y perjuicios.</w:t>
            </w:r>
          </w:p>
          <w:p w14:paraId="41159BD1" w14:textId="77777777" w:rsidR="009A6CE9" w:rsidRPr="00EB6E81" w:rsidRDefault="009A6CE9" w:rsidP="00EC0F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Segoe UI"/>
                <w:bCs/>
                <w:lang w:val="es-CR"/>
              </w:rPr>
            </w:pPr>
          </w:p>
        </w:tc>
      </w:tr>
    </w:tbl>
    <w:bookmarkEnd w:id="21"/>
    <w:p w14:paraId="3AE97AC9" w14:textId="77777777" w:rsidR="00560BDB" w:rsidRDefault="00560BDB" w:rsidP="009A6CE9">
      <w:pPr>
        <w:pStyle w:val="Descripcin"/>
        <w:spacing w:after="0"/>
      </w:pPr>
      <w:r>
        <w:t xml:space="preserve">Fuente: Elaboración propia </w:t>
      </w:r>
    </w:p>
    <w:p w14:paraId="2A1837FA" w14:textId="77777777" w:rsidR="006929F8" w:rsidRDefault="006929F8" w:rsidP="00185D18">
      <w:pPr>
        <w:pStyle w:val="Ttulo1"/>
        <w:numPr>
          <w:ilvl w:val="0"/>
          <w:numId w:val="2"/>
        </w:numPr>
      </w:pPr>
      <w:bookmarkStart w:id="22" w:name="_Toc50731068"/>
      <w:r>
        <w:lastRenderedPageBreak/>
        <w:t>Proyectos de Ley</w:t>
      </w:r>
      <w:bookmarkEnd w:id="22"/>
    </w:p>
    <w:p w14:paraId="7E284C2E" w14:textId="77777777" w:rsidR="00DB47A4" w:rsidRDefault="00DB47A4" w:rsidP="00A439E3">
      <w:pPr>
        <w:pStyle w:val="Descripcin"/>
        <w:spacing w:after="0"/>
        <w:jc w:val="center"/>
      </w:pPr>
    </w:p>
    <w:p w14:paraId="6AFF8329" w14:textId="77777777" w:rsidR="00A439E3" w:rsidRDefault="00A439E3" w:rsidP="00A439E3">
      <w:pPr>
        <w:pStyle w:val="Descripcin"/>
        <w:spacing w:after="0"/>
        <w:jc w:val="center"/>
      </w:pPr>
      <w:r>
        <w:t xml:space="preserve">Tabla </w:t>
      </w:r>
      <w:r>
        <w:fldChar w:fldCharType="begin"/>
      </w:r>
      <w:r>
        <w:instrText xml:space="preserve"> SEQ Tabla \* ARABIC </w:instrText>
      </w:r>
      <w:r>
        <w:fldChar w:fldCharType="separate"/>
      </w:r>
      <w:r w:rsidR="00E56E1E">
        <w:rPr>
          <w:noProof/>
        </w:rPr>
        <w:t>13</w:t>
      </w:r>
      <w:r>
        <w:fldChar w:fldCharType="end"/>
      </w:r>
      <w:r>
        <w:t>: Expedientes Legislativos</w:t>
      </w:r>
    </w:p>
    <w:p w14:paraId="67579EDF" w14:textId="77777777" w:rsidR="003B0175" w:rsidRDefault="00A439E3" w:rsidP="00A439E3">
      <w:pPr>
        <w:pStyle w:val="Descripcin"/>
        <w:spacing w:after="0"/>
        <w:jc w:val="center"/>
      </w:pPr>
      <w:r>
        <w:t xml:space="preserve">Atendidas </w:t>
      </w:r>
      <w:r w:rsidR="003B0175">
        <w:t xml:space="preserve">por SUPEN </w:t>
      </w:r>
    </w:p>
    <w:p w14:paraId="2776CF45" w14:textId="77777777" w:rsidR="00A439E3" w:rsidRDefault="00A439E3" w:rsidP="00A439E3">
      <w:pPr>
        <w:pStyle w:val="Descripcin"/>
        <w:spacing w:after="0"/>
        <w:jc w:val="center"/>
      </w:pPr>
      <w:r>
        <w:t>durante el segundo trimestre del 2020</w:t>
      </w:r>
    </w:p>
    <w:tbl>
      <w:tblPr>
        <w:tblStyle w:val="Tablaconcuadrcula4-nfasis1"/>
        <w:tblW w:w="6260" w:type="pct"/>
        <w:jc w:val="center"/>
        <w:tblLayout w:type="fixed"/>
        <w:tblLook w:val="04A0" w:firstRow="1" w:lastRow="0" w:firstColumn="1" w:lastColumn="0" w:noHBand="0" w:noVBand="1"/>
      </w:tblPr>
      <w:tblGrid>
        <w:gridCol w:w="2261"/>
        <w:gridCol w:w="4965"/>
        <w:gridCol w:w="1276"/>
        <w:gridCol w:w="2551"/>
      </w:tblGrid>
      <w:tr w:rsidR="00F801BB" w:rsidRPr="00EB6E81" w14:paraId="77FF545B" w14:textId="77777777" w:rsidTr="00982A2D">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023" w:type="pct"/>
            <w:hideMark/>
          </w:tcPr>
          <w:p w14:paraId="13FA4005" w14:textId="77777777" w:rsidR="00585CF0" w:rsidRPr="00EB6E81" w:rsidRDefault="00585CF0" w:rsidP="00585CF0">
            <w:pPr>
              <w:rPr>
                <w:rFonts w:asciiTheme="minorHAnsi" w:hAnsiTheme="minorHAnsi" w:cs="Segoe UI"/>
                <w:b w:val="0"/>
                <w:bCs w:val="0"/>
                <w:lang w:val="es-CR"/>
              </w:rPr>
            </w:pPr>
            <w:r w:rsidRPr="00EB6E81">
              <w:rPr>
                <w:rFonts w:asciiTheme="minorHAnsi" w:hAnsiTheme="minorHAnsi" w:cs="Segoe UI"/>
                <w:b w:val="0"/>
                <w:bCs w:val="0"/>
                <w:lang w:val="es-CR"/>
              </w:rPr>
              <w:t>Proyecto de ley</w:t>
            </w:r>
          </w:p>
        </w:tc>
        <w:tc>
          <w:tcPr>
            <w:tcW w:w="2246" w:type="pct"/>
            <w:hideMark/>
          </w:tcPr>
          <w:p w14:paraId="0276AAE7" w14:textId="77777777" w:rsidR="00585CF0" w:rsidRPr="00EB6E81" w:rsidRDefault="00585CF0" w:rsidP="00585CF0">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EB6E81">
              <w:rPr>
                <w:rFonts w:asciiTheme="minorHAnsi" w:hAnsiTheme="minorHAnsi" w:cs="Segoe UI"/>
                <w:b w:val="0"/>
                <w:bCs w:val="0"/>
                <w:lang w:val="es-CR"/>
              </w:rPr>
              <w:t xml:space="preserve">Alcance </w:t>
            </w:r>
          </w:p>
        </w:tc>
        <w:tc>
          <w:tcPr>
            <w:tcW w:w="577" w:type="pct"/>
            <w:hideMark/>
          </w:tcPr>
          <w:p w14:paraId="1D872468" w14:textId="77777777" w:rsidR="00585CF0" w:rsidRPr="00EB6E81" w:rsidRDefault="00585CF0" w:rsidP="00585CF0">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EB6E81">
              <w:rPr>
                <w:rFonts w:asciiTheme="minorHAnsi" w:hAnsiTheme="minorHAnsi" w:cs="Segoe UI"/>
                <w:b w:val="0"/>
                <w:bCs w:val="0"/>
                <w:lang w:val="es-CR"/>
              </w:rPr>
              <w:t>Estado actual</w:t>
            </w:r>
          </w:p>
        </w:tc>
        <w:tc>
          <w:tcPr>
            <w:tcW w:w="1155" w:type="pct"/>
            <w:hideMark/>
          </w:tcPr>
          <w:p w14:paraId="648C5E02" w14:textId="77777777" w:rsidR="00585CF0" w:rsidRPr="00EB6E81" w:rsidRDefault="00585CF0" w:rsidP="00585CF0">
            <w:pP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lang w:val="es-CR"/>
              </w:rPr>
            </w:pPr>
            <w:r w:rsidRPr="00EB6E81">
              <w:rPr>
                <w:rFonts w:asciiTheme="minorHAnsi" w:hAnsiTheme="minorHAnsi" w:cs="Segoe UI"/>
                <w:b w:val="0"/>
                <w:bCs w:val="0"/>
                <w:lang w:val="es-CR"/>
              </w:rPr>
              <w:t xml:space="preserve"> Atendido mediante</w:t>
            </w:r>
          </w:p>
        </w:tc>
      </w:tr>
      <w:tr w:rsidR="00BC589F" w:rsidRPr="00EB6E81" w14:paraId="3CA221EB" w14:textId="77777777" w:rsidTr="00982A2D">
        <w:trPr>
          <w:cnfStyle w:val="000000100000" w:firstRow="0" w:lastRow="0" w:firstColumn="0" w:lastColumn="0" w:oddVBand="0" w:evenVBand="0" w:oddHBand="1" w:evenHBand="0" w:firstRowFirstColumn="0" w:firstRowLastColumn="0" w:lastRowFirstColumn="0" w:lastRowLastColumn="0"/>
          <w:trHeight w:val="1270"/>
          <w:jc w:val="center"/>
        </w:trPr>
        <w:tc>
          <w:tcPr>
            <w:cnfStyle w:val="001000000000" w:firstRow="0" w:lastRow="0" w:firstColumn="1" w:lastColumn="0" w:oddVBand="0" w:evenVBand="0" w:oddHBand="0" w:evenHBand="0" w:firstRowFirstColumn="0" w:firstRowLastColumn="0" w:lastRowFirstColumn="0" w:lastRowLastColumn="0"/>
            <w:tcW w:w="1023" w:type="pct"/>
            <w:hideMark/>
          </w:tcPr>
          <w:p w14:paraId="19541AE7" w14:textId="77777777" w:rsidR="00585CF0" w:rsidRPr="00EB6E81" w:rsidRDefault="00585CF0" w:rsidP="00585CF0">
            <w:pPr>
              <w:rPr>
                <w:rFonts w:eastAsia="Times New Roman" w:cs="Calibri"/>
                <w:color w:val="000000"/>
                <w:lang w:val="es-CR"/>
              </w:rPr>
            </w:pPr>
            <w:r w:rsidRPr="00EB6E81">
              <w:rPr>
                <w:rFonts w:eastAsia="Times New Roman" w:cs="Calibri"/>
                <w:color w:val="000000"/>
                <w:lang w:val="es-CR"/>
              </w:rPr>
              <w:t>21.874 Entrega del fondo de capitalización laboral a los trabajadores afectados por crisis económica</w:t>
            </w:r>
          </w:p>
        </w:tc>
        <w:tc>
          <w:tcPr>
            <w:tcW w:w="2246" w:type="pct"/>
            <w:hideMark/>
          </w:tcPr>
          <w:p w14:paraId="4A98BC80" w14:textId="77777777" w:rsidR="00585CF0" w:rsidRPr="00EB6E81" w:rsidRDefault="00585CF0" w:rsidP="0048444A">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Introduce en la LPT nuevas causales para el retiro del FCL: reducción de la jornada o la suspensión del contrato.</w:t>
            </w:r>
            <w:r w:rsidRPr="00EB6E81">
              <w:rPr>
                <w:rFonts w:eastAsia="Times New Roman" w:cs="Calibri"/>
                <w:color w:val="000000"/>
                <w:lang w:val="es-CR"/>
              </w:rPr>
              <w:br/>
              <w:t xml:space="preserve">Regula documentación que debe presentar el afiliado para retirar su FCL, así como el plazo en que la operadora debe entregarlo. </w:t>
            </w:r>
            <w:r w:rsidRPr="00EB6E81">
              <w:rPr>
                <w:rFonts w:eastAsia="Times New Roman" w:cs="Calibri"/>
                <w:color w:val="000000"/>
                <w:lang w:val="es-CR"/>
              </w:rPr>
              <w:br/>
              <w:t>Establece un mecanismo de entrega de recursos para casos en que la operadora no tenga la liquidez.</w:t>
            </w:r>
          </w:p>
        </w:tc>
        <w:tc>
          <w:tcPr>
            <w:tcW w:w="577" w:type="pct"/>
            <w:noWrap/>
            <w:hideMark/>
          </w:tcPr>
          <w:p w14:paraId="60845742" w14:textId="77777777" w:rsidR="00585CF0" w:rsidRPr="00EB6E81" w:rsidRDefault="00585CF0" w:rsidP="00585CF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Aprobado</w:t>
            </w:r>
          </w:p>
        </w:tc>
        <w:tc>
          <w:tcPr>
            <w:tcW w:w="1155" w:type="pct"/>
            <w:noWrap/>
            <w:hideMark/>
          </w:tcPr>
          <w:p w14:paraId="50147A3C" w14:textId="77777777" w:rsidR="00585CF0" w:rsidRPr="00EB6E81" w:rsidRDefault="00585CF0" w:rsidP="00585CF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SP-378-2020 del 1 de abril de 2020.</w:t>
            </w:r>
          </w:p>
        </w:tc>
      </w:tr>
      <w:tr w:rsidR="00585CF0" w:rsidRPr="00EB6E81" w14:paraId="24B5498C" w14:textId="77777777" w:rsidTr="00982A2D">
        <w:trPr>
          <w:trHeight w:val="1560"/>
          <w:jc w:val="center"/>
        </w:trPr>
        <w:tc>
          <w:tcPr>
            <w:cnfStyle w:val="001000000000" w:firstRow="0" w:lastRow="0" w:firstColumn="1" w:lastColumn="0" w:oddVBand="0" w:evenVBand="0" w:oddHBand="0" w:evenHBand="0" w:firstRowFirstColumn="0" w:firstRowLastColumn="0" w:lastRowFirstColumn="0" w:lastRowLastColumn="0"/>
            <w:tcW w:w="1023" w:type="pct"/>
            <w:hideMark/>
          </w:tcPr>
          <w:p w14:paraId="32FC1135" w14:textId="77777777" w:rsidR="00585CF0" w:rsidRPr="00EB6E81" w:rsidRDefault="00585CF0" w:rsidP="00585CF0">
            <w:pPr>
              <w:rPr>
                <w:rFonts w:eastAsia="Times New Roman" w:cs="Calibri"/>
                <w:color w:val="000000"/>
                <w:lang w:val="es-CR"/>
              </w:rPr>
            </w:pPr>
            <w:r w:rsidRPr="00EB6E81">
              <w:rPr>
                <w:rFonts w:eastAsia="Times New Roman" w:cs="Calibri"/>
                <w:color w:val="000000"/>
                <w:lang w:val="es-CR"/>
              </w:rPr>
              <w:t>21.538 Ley para la supervisión del Régimen de Invalidez, Vejez y Muerte por parte de la SUPEN</w:t>
            </w:r>
          </w:p>
        </w:tc>
        <w:tc>
          <w:tcPr>
            <w:tcW w:w="2246" w:type="pct"/>
            <w:hideMark/>
          </w:tcPr>
          <w:p w14:paraId="0B2CFA1F" w14:textId="77777777" w:rsidR="00585CF0" w:rsidRPr="00EB6E81" w:rsidRDefault="00585CF0" w:rsidP="0048444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 xml:space="preserve">Propone que la SUPEN pueda supervisar al SICERE, así como autorizar las comisiones que </w:t>
            </w:r>
            <w:r w:rsidR="00BC589F" w:rsidRPr="00EB6E81">
              <w:rPr>
                <w:rFonts w:eastAsia="Times New Roman" w:cs="Calibri"/>
                <w:color w:val="000000"/>
                <w:lang w:val="es-CR"/>
              </w:rPr>
              <w:t>esta cobra</w:t>
            </w:r>
            <w:r w:rsidRPr="00EB6E81">
              <w:rPr>
                <w:rFonts w:eastAsia="Times New Roman" w:cs="Calibri"/>
                <w:color w:val="000000"/>
                <w:lang w:val="es-CR"/>
              </w:rPr>
              <w:t xml:space="preserve"> por los servicios de control, recaudación y distribución de los aportes.</w:t>
            </w:r>
            <w:r w:rsidRPr="00EB6E81">
              <w:rPr>
                <w:rFonts w:eastAsia="Times New Roman" w:cs="Calibri"/>
                <w:color w:val="000000"/>
                <w:lang w:val="es-CR"/>
              </w:rPr>
              <w:br/>
              <w:t>Adicionalmente, fortalece y extiende la supervisión del IVM.</w:t>
            </w:r>
          </w:p>
        </w:tc>
        <w:tc>
          <w:tcPr>
            <w:tcW w:w="577" w:type="pct"/>
            <w:noWrap/>
            <w:hideMark/>
          </w:tcPr>
          <w:p w14:paraId="57841EE6" w14:textId="77777777" w:rsidR="00585CF0" w:rsidRPr="00EB6E81" w:rsidRDefault="00585CF0" w:rsidP="00585CF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Iniciativa</w:t>
            </w:r>
          </w:p>
        </w:tc>
        <w:tc>
          <w:tcPr>
            <w:tcW w:w="1155" w:type="pct"/>
            <w:noWrap/>
            <w:hideMark/>
          </w:tcPr>
          <w:p w14:paraId="02A23AC5" w14:textId="77777777" w:rsidR="00585CF0" w:rsidRPr="00EB6E81" w:rsidRDefault="00585CF0" w:rsidP="00585CF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SP-424-2020 del 7 de abril de 2020.</w:t>
            </w:r>
          </w:p>
        </w:tc>
      </w:tr>
      <w:tr w:rsidR="00BC589F" w:rsidRPr="00EB6E81" w14:paraId="247A8F84" w14:textId="77777777" w:rsidTr="00982A2D">
        <w:trPr>
          <w:cnfStyle w:val="000000100000" w:firstRow="0" w:lastRow="0" w:firstColumn="0" w:lastColumn="0" w:oddVBand="0" w:evenVBand="0" w:oddHBand="1" w:evenHBand="0" w:firstRowFirstColumn="0" w:firstRowLastColumn="0" w:lastRowFirstColumn="0" w:lastRowLastColumn="0"/>
          <w:trHeight w:val="2100"/>
          <w:jc w:val="center"/>
        </w:trPr>
        <w:tc>
          <w:tcPr>
            <w:cnfStyle w:val="001000000000" w:firstRow="0" w:lastRow="0" w:firstColumn="1" w:lastColumn="0" w:oddVBand="0" w:evenVBand="0" w:oddHBand="0" w:evenHBand="0" w:firstRowFirstColumn="0" w:firstRowLastColumn="0" w:lastRowFirstColumn="0" w:lastRowLastColumn="0"/>
            <w:tcW w:w="1023" w:type="pct"/>
            <w:hideMark/>
          </w:tcPr>
          <w:p w14:paraId="59D33941" w14:textId="77777777" w:rsidR="00585CF0" w:rsidRPr="00EB6E81" w:rsidRDefault="00585CF0" w:rsidP="00585CF0">
            <w:pPr>
              <w:rPr>
                <w:rFonts w:eastAsia="Times New Roman" w:cs="Calibri"/>
                <w:color w:val="000000"/>
                <w:lang w:val="es-CR"/>
              </w:rPr>
            </w:pPr>
            <w:r w:rsidRPr="00EB6E81">
              <w:rPr>
                <w:rFonts w:eastAsia="Times New Roman" w:cs="Calibri"/>
                <w:color w:val="000000"/>
                <w:lang w:val="es-CR"/>
              </w:rPr>
              <w:t>21.309 Ley para resguardar el derecho del trabajador a retirar los recursos de la pensión complementaria</w:t>
            </w:r>
          </w:p>
        </w:tc>
        <w:tc>
          <w:tcPr>
            <w:tcW w:w="2246" w:type="pct"/>
            <w:hideMark/>
          </w:tcPr>
          <w:p w14:paraId="174868B4" w14:textId="77777777" w:rsidR="00585CF0" w:rsidRPr="00EB6E81" w:rsidRDefault="00585CF0" w:rsidP="00324A6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 xml:space="preserve">El proyecto original reforma la LPT, para permitir a los pensionados el retiro total de los recursos del ROP; para establecer que, en caso de muerte del afiliado o pensionado, los recursos le corresponden, en primer lugar, a los beneficiarios que este haya designado; y, para establecer en 45 días hábiles el plazo para la entrega de los recursos del ROP. </w:t>
            </w:r>
          </w:p>
        </w:tc>
        <w:tc>
          <w:tcPr>
            <w:tcW w:w="577" w:type="pct"/>
            <w:hideMark/>
          </w:tcPr>
          <w:p w14:paraId="4FE57F0E" w14:textId="77777777" w:rsidR="00585CF0" w:rsidRPr="00EB6E81" w:rsidRDefault="00585CF0" w:rsidP="00585CF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 xml:space="preserve">Dictamen Afirmativo Mayoría Comisión Ordinaria de Asuntos Hacendarios </w:t>
            </w:r>
          </w:p>
        </w:tc>
        <w:tc>
          <w:tcPr>
            <w:tcW w:w="1155" w:type="pct"/>
            <w:hideMark/>
          </w:tcPr>
          <w:p w14:paraId="324828BC" w14:textId="77777777" w:rsidR="00324A61" w:rsidRPr="00EB6E81" w:rsidRDefault="00585CF0" w:rsidP="00324A6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SP-429-2020 del 8 de abril de 2020</w:t>
            </w:r>
            <w:r w:rsidRPr="00EB6E81">
              <w:rPr>
                <w:rFonts w:eastAsia="Times New Roman" w:cs="Calibri"/>
                <w:color w:val="000000"/>
                <w:lang w:val="es-CR"/>
              </w:rPr>
              <w:br/>
              <w:t>SP-965-2020 del 14 de julio de 2020</w:t>
            </w:r>
          </w:p>
          <w:p w14:paraId="154F7650" w14:textId="77777777" w:rsidR="00585CF0" w:rsidRPr="00EB6E81" w:rsidRDefault="00585CF0" w:rsidP="00324A6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La división jurídica elaboró una propuesta de texto sustitutivo y los análisis técnicos, para ser analizada por la Comisión Legislativa</w:t>
            </w:r>
          </w:p>
        </w:tc>
      </w:tr>
      <w:tr w:rsidR="00585CF0" w:rsidRPr="00EB6E81" w14:paraId="3C7CA88C" w14:textId="77777777" w:rsidTr="00982A2D">
        <w:trPr>
          <w:trHeight w:val="614"/>
          <w:jc w:val="center"/>
        </w:trPr>
        <w:tc>
          <w:tcPr>
            <w:cnfStyle w:val="001000000000" w:firstRow="0" w:lastRow="0" w:firstColumn="1" w:lastColumn="0" w:oddVBand="0" w:evenVBand="0" w:oddHBand="0" w:evenHBand="0" w:firstRowFirstColumn="0" w:firstRowLastColumn="0" w:lastRowFirstColumn="0" w:lastRowLastColumn="0"/>
            <w:tcW w:w="1023" w:type="pct"/>
            <w:hideMark/>
          </w:tcPr>
          <w:p w14:paraId="0CE07420" w14:textId="77777777" w:rsidR="00585CF0" w:rsidRPr="00EB6E81" w:rsidRDefault="00585CF0" w:rsidP="00585CF0">
            <w:pPr>
              <w:rPr>
                <w:rFonts w:eastAsia="Times New Roman" w:cs="Calibri"/>
                <w:color w:val="000000"/>
                <w:lang w:val="es-CR"/>
              </w:rPr>
            </w:pPr>
            <w:r w:rsidRPr="00EB6E81">
              <w:rPr>
                <w:rFonts w:eastAsia="Times New Roman" w:cs="Calibri"/>
                <w:color w:val="000000"/>
                <w:lang w:val="es-CR"/>
              </w:rPr>
              <w:t>21.639 Ley de Pensión Basada en el Consumo</w:t>
            </w:r>
          </w:p>
        </w:tc>
        <w:tc>
          <w:tcPr>
            <w:tcW w:w="2246" w:type="pct"/>
            <w:hideMark/>
          </w:tcPr>
          <w:p w14:paraId="19D3B9CF" w14:textId="77777777" w:rsidR="00585CF0" w:rsidRPr="00EB6E81" w:rsidRDefault="00585CF0" w:rsidP="00324A61">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Propone destinar una fracción de lo que cada persona paga por concepto del Impuesto al Valor Agregado (3%) al financiamiento de una pensión individual para su vejez.</w:t>
            </w:r>
          </w:p>
        </w:tc>
        <w:tc>
          <w:tcPr>
            <w:tcW w:w="577" w:type="pct"/>
            <w:hideMark/>
          </w:tcPr>
          <w:p w14:paraId="6A8BE6EE" w14:textId="77777777" w:rsidR="00585CF0" w:rsidRPr="00EB6E81" w:rsidRDefault="00585CF0" w:rsidP="00585CF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Iniciativa</w:t>
            </w:r>
          </w:p>
        </w:tc>
        <w:tc>
          <w:tcPr>
            <w:tcW w:w="1155" w:type="pct"/>
            <w:noWrap/>
            <w:hideMark/>
          </w:tcPr>
          <w:p w14:paraId="14272329" w14:textId="77777777" w:rsidR="00585CF0" w:rsidRPr="00EB6E81" w:rsidRDefault="00585CF0" w:rsidP="00585CF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SP-581-2020 del 18 de mayo de 2020</w:t>
            </w:r>
          </w:p>
        </w:tc>
      </w:tr>
      <w:tr w:rsidR="00BC589F" w:rsidRPr="00EB6E81" w14:paraId="6DC04484" w14:textId="77777777" w:rsidTr="00982A2D">
        <w:trPr>
          <w:cnfStyle w:val="000000100000" w:firstRow="0" w:lastRow="0" w:firstColumn="0" w:lastColumn="0" w:oddVBand="0" w:evenVBand="0" w:oddHBand="1" w:evenHBand="0" w:firstRowFirstColumn="0" w:firstRowLastColumn="0" w:lastRowFirstColumn="0" w:lastRowLastColumn="0"/>
          <w:trHeight w:val="1593"/>
          <w:jc w:val="center"/>
        </w:trPr>
        <w:tc>
          <w:tcPr>
            <w:cnfStyle w:val="001000000000" w:firstRow="0" w:lastRow="0" w:firstColumn="1" w:lastColumn="0" w:oddVBand="0" w:evenVBand="0" w:oddHBand="0" w:evenHBand="0" w:firstRowFirstColumn="0" w:firstRowLastColumn="0" w:lastRowFirstColumn="0" w:lastRowLastColumn="0"/>
            <w:tcW w:w="1023" w:type="pct"/>
            <w:hideMark/>
          </w:tcPr>
          <w:p w14:paraId="155AD5BC" w14:textId="77777777" w:rsidR="00585CF0" w:rsidRPr="00EB6E81" w:rsidRDefault="00585CF0" w:rsidP="00585CF0">
            <w:pPr>
              <w:rPr>
                <w:rFonts w:eastAsia="Times New Roman" w:cs="Calibri"/>
                <w:color w:val="000000"/>
                <w:lang w:val="es-CR"/>
              </w:rPr>
            </w:pPr>
            <w:r w:rsidRPr="00EB6E81">
              <w:rPr>
                <w:rFonts w:eastAsia="Times New Roman" w:cs="Calibri"/>
                <w:color w:val="000000"/>
                <w:lang w:val="es-CR"/>
              </w:rPr>
              <w:t>21.905 Ley para ampliar los aportes al régimen no contributivo de la CCSS, con el propósito de aumentar su base de beneficiarios</w:t>
            </w:r>
          </w:p>
        </w:tc>
        <w:tc>
          <w:tcPr>
            <w:tcW w:w="2246" w:type="pct"/>
            <w:hideMark/>
          </w:tcPr>
          <w:p w14:paraId="58C63CBA" w14:textId="77777777" w:rsidR="00585CF0" w:rsidRPr="00EB6E81" w:rsidRDefault="00585CF0" w:rsidP="00324A61">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 xml:space="preserve">Propone hacer un traslado de fondos de la Junta de Protección Social, para que el Régimen sea sostenible y ampliar a futuro su cobertura, dado que según cifras oficiales los recursos actuales que recibe el Régimen no Contributivo son absolutamente insuficientes, para atender la demanda que actualmente tiene el régimen y así cumplir con el segundo objetivo, el cual se debe visualizar a futuro, cuando nos haya llegado el cambio demográfico y la cobertura esté debidamente asegurada. </w:t>
            </w:r>
          </w:p>
        </w:tc>
        <w:tc>
          <w:tcPr>
            <w:tcW w:w="577" w:type="pct"/>
            <w:noWrap/>
            <w:hideMark/>
          </w:tcPr>
          <w:p w14:paraId="48148496" w14:textId="77777777" w:rsidR="00585CF0" w:rsidRPr="00EB6E81" w:rsidRDefault="00585CF0" w:rsidP="00585CF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Iniciativa</w:t>
            </w:r>
          </w:p>
        </w:tc>
        <w:tc>
          <w:tcPr>
            <w:tcW w:w="1155" w:type="pct"/>
            <w:noWrap/>
            <w:hideMark/>
          </w:tcPr>
          <w:p w14:paraId="562F403D" w14:textId="77777777" w:rsidR="00585CF0" w:rsidRPr="00EB6E81" w:rsidRDefault="00585CF0" w:rsidP="00585CF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SP-752-2020 del 9 de junio de 2020</w:t>
            </w:r>
          </w:p>
        </w:tc>
      </w:tr>
      <w:tr w:rsidR="00585CF0" w:rsidRPr="00EB6E81" w14:paraId="67EA6811" w14:textId="77777777" w:rsidTr="00982A2D">
        <w:trPr>
          <w:trHeight w:val="1200"/>
          <w:jc w:val="center"/>
        </w:trPr>
        <w:tc>
          <w:tcPr>
            <w:cnfStyle w:val="001000000000" w:firstRow="0" w:lastRow="0" w:firstColumn="1" w:lastColumn="0" w:oddVBand="0" w:evenVBand="0" w:oddHBand="0" w:evenHBand="0" w:firstRowFirstColumn="0" w:firstRowLastColumn="0" w:lastRowFirstColumn="0" w:lastRowLastColumn="0"/>
            <w:tcW w:w="1023" w:type="pct"/>
            <w:noWrap/>
            <w:hideMark/>
          </w:tcPr>
          <w:p w14:paraId="04116C6D" w14:textId="77777777" w:rsidR="00585CF0" w:rsidRPr="00EB6E81" w:rsidRDefault="00585CF0" w:rsidP="00585CF0">
            <w:pPr>
              <w:rPr>
                <w:rFonts w:eastAsia="Times New Roman" w:cs="Calibri"/>
                <w:color w:val="000000"/>
                <w:lang w:val="es-CR"/>
              </w:rPr>
            </w:pPr>
            <w:r w:rsidRPr="00EB6E81">
              <w:rPr>
                <w:rFonts w:eastAsia="Times New Roman" w:cs="Calibri"/>
                <w:color w:val="000000"/>
                <w:lang w:val="es-CR"/>
              </w:rPr>
              <w:t>21.824 Ley para derogar los regímenes de pensiones complementarios especiales</w:t>
            </w:r>
          </w:p>
        </w:tc>
        <w:tc>
          <w:tcPr>
            <w:tcW w:w="2246" w:type="pct"/>
            <w:hideMark/>
          </w:tcPr>
          <w:p w14:paraId="2B793770" w14:textId="77777777" w:rsidR="00585CF0" w:rsidRPr="00EB6E81" w:rsidRDefault="00585CF0" w:rsidP="00324A61">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Pretende eliminar los regímenes de pensiones complementarios especiales para racionalizar el uso de los fondos públicos.</w:t>
            </w:r>
          </w:p>
        </w:tc>
        <w:tc>
          <w:tcPr>
            <w:tcW w:w="577" w:type="pct"/>
            <w:noWrap/>
            <w:hideMark/>
          </w:tcPr>
          <w:p w14:paraId="6450931C" w14:textId="77777777" w:rsidR="00585CF0" w:rsidRPr="00EB6E81" w:rsidRDefault="00585CF0" w:rsidP="00585CF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Iniciativa</w:t>
            </w:r>
          </w:p>
        </w:tc>
        <w:tc>
          <w:tcPr>
            <w:tcW w:w="1155" w:type="pct"/>
            <w:hideMark/>
          </w:tcPr>
          <w:p w14:paraId="022887B2" w14:textId="77777777" w:rsidR="00585CF0" w:rsidRPr="00EB6E81" w:rsidRDefault="00585CF0" w:rsidP="00585CF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B6E81">
              <w:rPr>
                <w:rFonts w:eastAsia="Times New Roman" w:cs="Calibri"/>
                <w:color w:val="000000"/>
                <w:lang w:val="es-CR"/>
              </w:rPr>
              <w:t>SP-849-2020 del 25 de junio de 2020</w:t>
            </w:r>
            <w:r w:rsidRPr="00EB6E81">
              <w:rPr>
                <w:rFonts w:eastAsia="Times New Roman" w:cs="Calibri"/>
                <w:color w:val="000000"/>
                <w:lang w:val="es-CR"/>
              </w:rPr>
              <w:br/>
              <w:t>SP-964-2020 del 14 de julio de 2020</w:t>
            </w:r>
          </w:p>
        </w:tc>
      </w:tr>
    </w:tbl>
    <w:p w14:paraId="26A73B0E" w14:textId="77777777" w:rsidR="00A439E3" w:rsidRDefault="00A439E3" w:rsidP="00A439E3">
      <w:pPr>
        <w:pStyle w:val="Descripcin"/>
        <w:spacing w:after="0"/>
      </w:pPr>
      <w:r>
        <w:t xml:space="preserve">Fuente: Elaboración propia </w:t>
      </w:r>
    </w:p>
    <w:p w14:paraId="7891619F" w14:textId="77777777" w:rsidR="00A439E3" w:rsidRDefault="00F354AD" w:rsidP="00F801BB">
      <w:pPr>
        <w:pStyle w:val="Descripcin"/>
        <w:spacing w:after="0"/>
      </w:pPr>
      <w:r>
        <w:t xml:space="preserve">Nota: se atendieron otros </w:t>
      </w:r>
      <w:r w:rsidR="00980FCC">
        <w:t>E</w:t>
      </w:r>
      <w:r>
        <w:t>xp</w:t>
      </w:r>
      <w:r w:rsidR="00980FCC">
        <w:t xml:space="preserve">edientes Legislativos no relacionados con pensiones: </w:t>
      </w:r>
      <w:r w:rsidR="00BB4CDC" w:rsidRPr="00BB4CDC">
        <w:t>21.766, 21.941 y 21.714</w:t>
      </w:r>
    </w:p>
    <w:p w14:paraId="7C5B1349" w14:textId="77777777" w:rsidR="005158CE" w:rsidRDefault="005158CE" w:rsidP="005158CE">
      <w:pPr>
        <w:tabs>
          <w:tab w:val="left" w:pos="1485"/>
        </w:tabs>
        <w:spacing w:after="0" w:line="240" w:lineRule="auto"/>
      </w:pPr>
    </w:p>
    <w:p w14:paraId="4CFFC18B" w14:textId="77777777" w:rsidR="00D83D46" w:rsidRDefault="00D01904" w:rsidP="00AC4A95">
      <w:pPr>
        <w:tabs>
          <w:tab w:val="left" w:pos="1485"/>
        </w:tabs>
        <w:spacing w:after="0" w:line="240" w:lineRule="auto"/>
        <w:jc w:val="both"/>
      </w:pPr>
      <w:r>
        <w:lastRenderedPageBreak/>
        <w:t xml:space="preserve">La </w:t>
      </w:r>
      <w:r w:rsidR="00DB47A4" w:rsidRPr="00585CF0">
        <w:rPr>
          <w:rFonts w:ascii="Calibri" w:eastAsia="Times New Roman" w:hAnsi="Calibri" w:cs="Calibri"/>
          <w:color w:val="000000"/>
          <w:lang w:val="es-CR" w:eastAsia="es-CR"/>
        </w:rPr>
        <w:t>propuesta de texto sustitutivo</w:t>
      </w:r>
      <w:r w:rsidR="00DB47A4" w:rsidRPr="00A439E3">
        <w:t xml:space="preserve"> </w:t>
      </w:r>
      <w:r w:rsidR="00DB47A4">
        <w:t>del Expediente Legislativo</w:t>
      </w:r>
      <w:r w:rsidR="00C768CA">
        <w:t xml:space="preserve"> 21.309</w:t>
      </w:r>
      <w:r w:rsidR="00927F96">
        <w:t xml:space="preserve"> elaborado por la División Jurídica de SUPEN</w:t>
      </w:r>
      <w:r w:rsidR="00DB47A4">
        <w:t xml:space="preserve"> </w:t>
      </w:r>
      <w:r w:rsidR="00D83D46" w:rsidRPr="00A439E3">
        <w:t xml:space="preserve">propone: </w:t>
      </w:r>
    </w:p>
    <w:p w14:paraId="0AB0CC3D" w14:textId="77777777" w:rsidR="00AC4A95" w:rsidRPr="00A439E3" w:rsidRDefault="00AC4A95" w:rsidP="00AC4A95">
      <w:pPr>
        <w:tabs>
          <w:tab w:val="left" w:pos="1485"/>
        </w:tabs>
        <w:spacing w:after="0" w:line="240" w:lineRule="auto"/>
      </w:pPr>
    </w:p>
    <w:p w14:paraId="3B97F25D" w14:textId="77777777" w:rsidR="00D83D46" w:rsidRPr="00A439E3" w:rsidRDefault="00D83D46" w:rsidP="00AC4A95">
      <w:pPr>
        <w:pStyle w:val="Prrafodelista"/>
        <w:numPr>
          <w:ilvl w:val="0"/>
          <w:numId w:val="4"/>
        </w:numPr>
        <w:spacing w:after="0" w:line="240" w:lineRule="auto"/>
        <w:jc w:val="both"/>
      </w:pPr>
      <w:r w:rsidRPr="00A439E3">
        <w:t xml:space="preserve">Eliminar los traslados del FCL al ROP y del Banco Popular y de Desarrollo </w:t>
      </w:r>
      <w:r w:rsidR="008412B2">
        <w:t>C</w:t>
      </w:r>
      <w:r w:rsidRPr="00A439E3">
        <w:t xml:space="preserve">omunal al ROP. </w:t>
      </w:r>
    </w:p>
    <w:p w14:paraId="4F39A816" w14:textId="77777777" w:rsidR="00D83D46" w:rsidRPr="00A439E3" w:rsidRDefault="00D83D46" w:rsidP="00AC4A95">
      <w:pPr>
        <w:pStyle w:val="Prrafodelista"/>
        <w:numPr>
          <w:ilvl w:val="0"/>
          <w:numId w:val="4"/>
        </w:numPr>
        <w:spacing w:after="0" w:line="240" w:lineRule="auto"/>
        <w:jc w:val="both"/>
      </w:pPr>
      <w:r w:rsidRPr="00A439E3">
        <w:t>Crear una nueva modalidad de pensión complementaria denominada “</w:t>
      </w:r>
      <w:r w:rsidRPr="00DD5D6F">
        <w:rPr>
          <w:i/>
          <w:iCs/>
        </w:rPr>
        <w:t>Renta temporal hasta la expectativa de vida condicionada</w:t>
      </w:r>
      <w:r w:rsidRPr="00A439E3">
        <w:t xml:space="preserve">”. </w:t>
      </w:r>
    </w:p>
    <w:p w14:paraId="71F226B6" w14:textId="77777777" w:rsidR="00D83D46" w:rsidRPr="00A439E3" w:rsidRDefault="00D83D46" w:rsidP="00AC4A95">
      <w:pPr>
        <w:pStyle w:val="Prrafodelista"/>
        <w:numPr>
          <w:ilvl w:val="0"/>
          <w:numId w:val="4"/>
        </w:numPr>
        <w:spacing w:after="0" w:line="240" w:lineRule="auto"/>
        <w:jc w:val="both"/>
      </w:pPr>
      <w:r w:rsidRPr="00A439E3">
        <w:t xml:space="preserve">Adicionar dos transitorios a la </w:t>
      </w:r>
      <w:r w:rsidR="008412B2">
        <w:t>LPT</w:t>
      </w:r>
      <w:r w:rsidRPr="00A439E3">
        <w:t xml:space="preserve"> para que quienes se pensionen antes del 31 de diciembre de 2020, puedan retirar los recursos en tres años, en tres pagos anuales; y para que quienes se pensionen entre el 1 de enero de 2021 y el 18 de febrero de 2030, puedan retirar recursos en rentas temporales por un plazo equivalente a la cantidad de cuotas aportadas al ROP.  </w:t>
      </w:r>
    </w:p>
    <w:p w14:paraId="71C40256" w14:textId="77777777" w:rsidR="00D83D46" w:rsidRPr="00A439E3" w:rsidRDefault="00D83D46" w:rsidP="00AC4A95">
      <w:pPr>
        <w:pStyle w:val="Prrafodelista"/>
        <w:numPr>
          <w:ilvl w:val="0"/>
          <w:numId w:val="4"/>
        </w:numPr>
        <w:spacing w:after="0" w:line="240" w:lineRule="auto"/>
        <w:jc w:val="both"/>
      </w:pPr>
      <w:r w:rsidRPr="00A439E3">
        <w:t xml:space="preserve">Establecer que SICERE será una entidad regulada en relación con el registro de los afiliados y el control de los aportes al FCL y al ROP, además, SUPEN aprobará la comisión que dicho órgano le cobra a las operadoras de pensiones. </w:t>
      </w:r>
    </w:p>
    <w:p w14:paraId="079A7E94" w14:textId="77777777" w:rsidR="00AC4A95" w:rsidRDefault="00D83D46" w:rsidP="00AC4A95">
      <w:pPr>
        <w:pStyle w:val="Prrafodelista"/>
        <w:numPr>
          <w:ilvl w:val="0"/>
          <w:numId w:val="4"/>
        </w:numPr>
        <w:spacing w:after="0" w:line="240" w:lineRule="auto"/>
        <w:jc w:val="both"/>
      </w:pPr>
      <w:r w:rsidRPr="00A439E3">
        <w:t xml:space="preserve">Establecer que los recursos del ROP que no hayan sido retirados en un plazo de 10 años, contados a partir del fallecimiento del afiliado o pensionado, sean girados al Régimen No Contributivo; igual tratamiento se </w:t>
      </w:r>
      <w:r w:rsidR="002C78A8" w:rsidRPr="00A439E3">
        <w:t>les</w:t>
      </w:r>
      <w:r w:rsidRPr="00A439E3">
        <w:t xml:space="preserve"> dará también a los registros erróneos.  </w:t>
      </w:r>
    </w:p>
    <w:p w14:paraId="4CF6A571" w14:textId="77777777" w:rsidR="00AC4A95" w:rsidRPr="00A439E3" w:rsidRDefault="00825F1D">
      <w:r>
        <w:br w:type="page"/>
      </w:r>
    </w:p>
    <w:p w14:paraId="2D35CA4D" w14:textId="77777777" w:rsidR="006929F8" w:rsidRDefault="006929F8" w:rsidP="00185D18">
      <w:pPr>
        <w:pStyle w:val="Ttulo1"/>
        <w:numPr>
          <w:ilvl w:val="0"/>
          <w:numId w:val="2"/>
        </w:numPr>
      </w:pPr>
      <w:bookmarkStart w:id="23" w:name="_Toc50731069"/>
      <w:r>
        <w:lastRenderedPageBreak/>
        <w:t>Acuerdos del Superintendente</w:t>
      </w:r>
      <w:bookmarkEnd w:id="23"/>
    </w:p>
    <w:p w14:paraId="039EB52E" w14:textId="77777777" w:rsidR="00AD50FA" w:rsidRDefault="00AD50FA" w:rsidP="00DD5D6F">
      <w:pPr>
        <w:tabs>
          <w:tab w:val="left" w:pos="1485"/>
        </w:tabs>
        <w:spacing w:after="0" w:line="240" w:lineRule="auto"/>
      </w:pPr>
    </w:p>
    <w:p w14:paraId="7A996AF1" w14:textId="77777777" w:rsidR="00AD50FA" w:rsidRDefault="00AD50FA" w:rsidP="00AD50FA">
      <w:pPr>
        <w:pStyle w:val="Descripcin"/>
        <w:spacing w:after="0"/>
        <w:jc w:val="center"/>
      </w:pPr>
      <w:r>
        <w:t xml:space="preserve">Tabla </w:t>
      </w:r>
      <w:r>
        <w:fldChar w:fldCharType="begin"/>
      </w:r>
      <w:r>
        <w:instrText xml:space="preserve"> SEQ Tabla \* ARABIC </w:instrText>
      </w:r>
      <w:r>
        <w:fldChar w:fldCharType="separate"/>
      </w:r>
      <w:r w:rsidR="00E56E1E">
        <w:rPr>
          <w:noProof/>
        </w:rPr>
        <w:t>14</w:t>
      </w:r>
      <w:r>
        <w:fldChar w:fldCharType="end"/>
      </w:r>
      <w:r>
        <w:t xml:space="preserve">: Acuerdos de </w:t>
      </w:r>
      <w:r w:rsidR="005F0F5C">
        <w:t>Superintendente</w:t>
      </w:r>
    </w:p>
    <w:p w14:paraId="6AA89975" w14:textId="77777777" w:rsidR="005F0F5C" w:rsidRDefault="005F0F5C" w:rsidP="00AD50FA">
      <w:pPr>
        <w:pStyle w:val="Descripcin"/>
        <w:spacing w:after="0"/>
        <w:jc w:val="center"/>
      </w:pPr>
      <w:r>
        <w:t>Emitidos por SUPEN</w:t>
      </w:r>
    </w:p>
    <w:p w14:paraId="61140BB9" w14:textId="77777777" w:rsidR="00AD50FA" w:rsidRDefault="00AD50FA" w:rsidP="00AD50FA">
      <w:pPr>
        <w:pStyle w:val="Descripcin"/>
        <w:spacing w:after="0"/>
        <w:jc w:val="center"/>
      </w:pPr>
      <w:r>
        <w:t>durante el segundo trimestre del 2020</w:t>
      </w:r>
    </w:p>
    <w:tbl>
      <w:tblPr>
        <w:tblStyle w:val="Tablaconcuadrcula4-nfasis1"/>
        <w:tblW w:w="5938" w:type="pct"/>
        <w:jc w:val="center"/>
        <w:tblLook w:val="04A0" w:firstRow="1" w:lastRow="0" w:firstColumn="1" w:lastColumn="0" w:noHBand="0" w:noVBand="1"/>
      </w:tblPr>
      <w:tblGrid>
        <w:gridCol w:w="1844"/>
        <w:gridCol w:w="8640"/>
      </w:tblGrid>
      <w:tr w:rsidR="008869E2" w:rsidRPr="008869E2" w14:paraId="536B0778" w14:textId="77777777" w:rsidTr="00DD5D6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79" w:type="pct"/>
            <w:noWrap/>
            <w:hideMark/>
          </w:tcPr>
          <w:p w14:paraId="59129976" w14:textId="77777777" w:rsidR="008869E2" w:rsidRPr="008869E2" w:rsidRDefault="008869E2" w:rsidP="008869E2">
            <w:pPr>
              <w:rPr>
                <w:rFonts w:eastAsia="Times New Roman" w:cs="Calibri"/>
                <w:b w:val="0"/>
                <w:bCs w:val="0"/>
                <w:lang w:val="es-CR"/>
              </w:rPr>
            </w:pPr>
            <w:r w:rsidRPr="008869E2">
              <w:rPr>
                <w:rFonts w:eastAsia="Times New Roman" w:cs="Calibri"/>
                <w:b w:val="0"/>
                <w:bCs w:val="0"/>
                <w:lang w:val="es-CR"/>
              </w:rPr>
              <w:t>Acuerdo</w:t>
            </w:r>
          </w:p>
        </w:tc>
        <w:tc>
          <w:tcPr>
            <w:tcW w:w="4121" w:type="pct"/>
            <w:noWrap/>
            <w:hideMark/>
          </w:tcPr>
          <w:p w14:paraId="39963B3B" w14:textId="77777777" w:rsidR="008869E2" w:rsidRPr="008869E2" w:rsidRDefault="008869E2" w:rsidP="008869E2">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val="es-CR"/>
              </w:rPr>
            </w:pPr>
            <w:r w:rsidRPr="008869E2">
              <w:rPr>
                <w:rFonts w:eastAsia="Times New Roman" w:cs="Calibri"/>
                <w:b w:val="0"/>
                <w:bCs w:val="0"/>
                <w:lang w:val="es-CR"/>
              </w:rPr>
              <w:t>Alcance</w:t>
            </w:r>
          </w:p>
        </w:tc>
      </w:tr>
      <w:tr w:rsidR="008869E2" w:rsidRPr="008869E2" w14:paraId="5C97BBC7" w14:textId="77777777" w:rsidTr="00DD5D6F">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879" w:type="pct"/>
            <w:hideMark/>
          </w:tcPr>
          <w:p w14:paraId="4C0A79E8" w14:textId="77777777" w:rsidR="00F252B0" w:rsidRDefault="008869E2" w:rsidP="008869E2">
            <w:pPr>
              <w:rPr>
                <w:rFonts w:eastAsia="Times New Roman" w:cs="Calibri"/>
                <w:b w:val="0"/>
                <w:bCs w:val="0"/>
                <w:color w:val="000000"/>
              </w:rPr>
            </w:pPr>
            <w:r w:rsidRPr="008869E2">
              <w:rPr>
                <w:rFonts w:eastAsia="Times New Roman" w:cs="Calibri"/>
                <w:color w:val="000000"/>
              </w:rPr>
              <w:t xml:space="preserve">SP-A-215-2020 del </w:t>
            </w:r>
          </w:p>
          <w:p w14:paraId="48F3A806" w14:textId="77777777" w:rsidR="008869E2" w:rsidRPr="008869E2" w:rsidRDefault="008869E2" w:rsidP="008869E2">
            <w:pPr>
              <w:rPr>
                <w:rFonts w:eastAsia="Times New Roman" w:cs="Calibri"/>
                <w:color w:val="000000"/>
                <w:lang w:val="es-CR"/>
              </w:rPr>
            </w:pPr>
            <w:r w:rsidRPr="008869E2">
              <w:rPr>
                <w:rFonts w:eastAsia="Times New Roman" w:cs="Calibri"/>
                <w:color w:val="000000"/>
              </w:rPr>
              <w:t>8 de abril del 2020</w:t>
            </w:r>
          </w:p>
        </w:tc>
        <w:tc>
          <w:tcPr>
            <w:tcW w:w="4121" w:type="pct"/>
            <w:hideMark/>
          </w:tcPr>
          <w:p w14:paraId="4681D9DA" w14:textId="77777777" w:rsidR="007823EA" w:rsidRDefault="007823EA" w:rsidP="008869E2">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S</w:t>
            </w:r>
            <w:r w:rsidR="008869E2" w:rsidRPr="008869E2">
              <w:rPr>
                <w:rFonts w:eastAsia="Times New Roman" w:cs="Calibri"/>
                <w:color w:val="000000"/>
                <w:lang w:val="es-CR"/>
              </w:rPr>
              <w:t xml:space="preserve">e emitió por las razones de urgencia y el interés público de que los trabajadores retiren los recursos del </w:t>
            </w:r>
            <w:r>
              <w:rPr>
                <w:rFonts w:eastAsia="Times New Roman" w:cs="Calibri"/>
                <w:color w:val="000000"/>
                <w:lang w:val="es-CR"/>
              </w:rPr>
              <w:t>FCL</w:t>
            </w:r>
            <w:r w:rsidR="008869E2" w:rsidRPr="008869E2">
              <w:rPr>
                <w:rFonts w:eastAsia="Times New Roman" w:cs="Calibri"/>
                <w:color w:val="000000"/>
                <w:lang w:val="es-CR"/>
              </w:rPr>
              <w:t xml:space="preserve">, en caso de suspensión de los contratos de trabajo o de reducción de las jornadas laborales. </w:t>
            </w:r>
          </w:p>
          <w:p w14:paraId="7E8F5AB5" w14:textId="77777777" w:rsidR="008869E2" w:rsidRPr="008869E2" w:rsidRDefault="008869E2" w:rsidP="008869E2">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8869E2">
              <w:rPr>
                <w:rFonts w:eastAsia="Times New Roman" w:cs="Calibri"/>
                <w:color w:val="000000"/>
                <w:lang w:val="es-CR"/>
              </w:rPr>
              <w:t xml:space="preserve">Se realizaron cambios en los catálogos de cuentas de los fondos necesarios para lo anterior, así como para el registro de las operaciones derivadas de la reforma a los artículos 60 y 63 de la </w:t>
            </w:r>
            <w:r w:rsidR="00DD0DDE">
              <w:rPr>
                <w:rFonts w:eastAsia="Times New Roman" w:cs="Calibri"/>
                <w:color w:val="000000"/>
                <w:lang w:val="es-CR"/>
              </w:rPr>
              <w:t>LPT</w:t>
            </w:r>
            <w:r w:rsidRPr="008869E2">
              <w:rPr>
                <w:rFonts w:eastAsia="Times New Roman" w:cs="Calibri"/>
                <w:color w:val="000000"/>
                <w:lang w:val="es-CR"/>
              </w:rPr>
              <w:t>.</w:t>
            </w:r>
          </w:p>
        </w:tc>
      </w:tr>
      <w:tr w:rsidR="008869E2" w:rsidRPr="008869E2" w14:paraId="4E02BBE2" w14:textId="77777777" w:rsidTr="00DD5D6F">
        <w:trPr>
          <w:trHeight w:val="797"/>
          <w:jc w:val="center"/>
        </w:trPr>
        <w:tc>
          <w:tcPr>
            <w:cnfStyle w:val="001000000000" w:firstRow="0" w:lastRow="0" w:firstColumn="1" w:lastColumn="0" w:oddVBand="0" w:evenVBand="0" w:oddHBand="0" w:evenHBand="0" w:firstRowFirstColumn="0" w:firstRowLastColumn="0" w:lastRowFirstColumn="0" w:lastRowLastColumn="0"/>
            <w:tcW w:w="879" w:type="pct"/>
            <w:hideMark/>
          </w:tcPr>
          <w:p w14:paraId="440B9C08" w14:textId="77777777" w:rsidR="00F252B0" w:rsidRDefault="008869E2" w:rsidP="008869E2">
            <w:pPr>
              <w:rPr>
                <w:rFonts w:eastAsia="Times New Roman" w:cs="Calibri"/>
                <w:b w:val="0"/>
                <w:bCs w:val="0"/>
                <w:color w:val="000000"/>
              </w:rPr>
            </w:pPr>
            <w:r w:rsidRPr="008869E2">
              <w:rPr>
                <w:rFonts w:eastAsia="Times New Roman" w:cs="Calibri"/>
                <w:color w:val="000000"/>
              </w:rPr>
              <w:t xml:space="preserve">SP-A-218-2020 del </w:t>
            </w:r>
          </w:p>
          <w:p w14:paraId="0C6DB77A" w14:textId="77777777" w:rsidR="008869E2" w:rsidRPr="008869E2" w:rsidRDefault="008869E2" w:rsidP="008869E2">
            <w:pPr>
              <w:rPr>
                <w:rFonts w:eastAsia="Times New Roman" w:cs="Calibri"/>
                <w:color w:val="000000"/>
                <w:lang w:val="es-CR"/>
              </w:rPr>
            </w:pPr>
            <w:r w:rsidRPr="008869E2">
              <w:rPr>
                <w:rFonts w:eastAsia="Times New Roman" w:cs="Calibri"/>
                <w:color w:val="000000"/>
              </w:rPr>
              <w:t>17 de junio de 2020</w:t>
            </w:r>
          </w:p>
        </w:tc>
        <w:tc>
          <w:tcPr>
            <w:tcW w:w="4121" w:type="pct"/>
            <w:hideMark/>
          </w:tcPr>
          <w:p w14:paraId="68246B41" w14:textId="77777777" w:rsidR="002B0561" w:rsidRDefault="003E0F64" w:rsidP="008869E2">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S</w:t>
            </w:r>
            <w:r w:rsidR="008869E2" w:rsidRPr="008869E2">
              <w:rPr>
                <w:rFonts w:eastAsia="Times New Roman" w:cs="Calibri"/>
                <w:color w:val="000000"/>
                <w:lang w:val="es-CR"/>
              </w:rPr>
              <w:t xml:space="preserve">e reformó el Acuerdo SP-A-141-2010, </w:t>
            </w:r>
            <w:r w:rsidR="008869E2" w:rsidRPr="008869E2">
              <w:rPr>
                <w:rFonts w:eastAsia="Times New Roman" w:cs="Calibri"/>
                <w:i/>
                <w:iCs/>
                <w:color w:val="000000"/>
                <w:lang w:val="es-CR"/>
              </w:rPr>
              <w:t>Disposiciones relativas a las modalidades de pensió</w:t>
            </w:r>
            <w:r w:rsidR="00D73EA0">
              <w:rPr>
                <w:rFonts w:eastAsia="Times New Roman" w:cs="Calibri"/>
                <w:i/>
                <w:iCs/>
                <w:color w:val="000000"/>
                <w:lang w:val="es-CR"/>
              </w:rPr>
              <w:t>n</w:t>
            </w:r>
            <w:r>
              <w:rPr>
                <w:rFonts w:eastAsia="Times New Roman" w:cs="Calibri"/>
                <w:i/>
                <w:iCs/>
                <w:color w:val="000000"/>
                <w:lang w:val="es-CR"/>
              </w:rPr>
              <w:t xml:space="preserve">, </w:t>
            </w:r>
            <w:r w:rsidRPr="00BC045D">
              <w:rPr>
                <w:rFonts w:eastAsia="Times New Roman" w:cs="Calibri"/>
                <w:i/>
                <w:iCs/>
                <w:color w:val="000000"/>
                <w:lang w:val="es-CR"/>
              </w:rPr>
              <w:t>con</w:t>
            </w:r>
            <w:r w:rsidR="00BC045D" w:rsidRPr="00BC045D">
              <w:rPr>
                <w:rFonts w:eastAsia="Times New Roman" w:cs="Calibri"/>
                <w:i/>
                <w:iCs/>
                <w:color w:val="000000"/>
                <w:lang w:val="es-CR"/>
              </w:rPr>
              <w:t xml:space="preserve"> e</w:t>
            </w:r>
            <w:r w:rsidR="008869E2" w:rsidRPr="008869E2">
              <w:rPr>
                <w:rFonts w:eastAsia="Times New Roman" w:cs="Calibri"/>
                <w:i/>
                <w:iCs/>
                <w:color w:val="000000"/>
                <w:lang w:val="es-CR"/>
              </w:rPr>
              <w:t>l</w:t>
            </w:r>
            <w:r w:rsidR="008869E2" w:rsidRPr="008869E2">
              <w:rPr>
                <w:rFonts w:eastAsia="Times New Roman" w:cs="Calibri"/>
                <w:color w:val="000000"/>
                <w:lang w:val="es-CR"/>
              </w:rPr>
              <w:t xml:space="preserve"> objetivo de agregar la fórmula para el cálculo del Valor Actuarial Necesario Unitario (VANU), para el caso de los beneficiarios huérfanos y los pensionados a edad avanzada en que se requiere de una renta temporal, según lo previsto en el artículo 6 del Reglamento de</w:t>
            </w:r>
            <w:r w:rsidR="002B0561">
              <w:rPr>
                <w:rFonts w:eastAsia="Times New Roman" w:cs="Calibri"/>
                <w:color w:val="000000"/>
                <w:lang w:val="es-CR"/>
              </w:rPr>
              <w:t xml:space="preserve"> Beneficios</w:t>
            </w:r>
            <w:r w:rsidR="008869E2" w:rsidRPr="008869E2">
              <w:rPr>
                <w:rFonts w:eastAsia="Times New Roman" w:cs="Calibri"/>
                <w:color w:val="000000"/>
                <w:lang w:val="es-CR"/>
              </w:rPr>
              <w:t>.</w:t>
            </w:r>
          </w:p>
          <w:p w14:paraId="583395B2" w14:textId="77777777" w:rsidR="008869E2" w:rsidRPr="008869E2" w:rsidRDefault="002B0561" w:rsidP="008869E2">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Corregido</w:t>
            </w:r>
            <w:r w:rsidR="008869E2" w:rsidRPr="008869E2">
              <w:rPr>
                <w:rFonts w:eastAsia="Times New Roman" w:cs="Calibri"/>
                <w:color w:val="000000"/>
                <w:lang w:val="es-CR"/>
              </w:rPr>
              <w:t xml:space="preserve"> por el SP-A-220-2020 del </w:t>
            </w:r>
            <w:r w:rsidR="00AC458D">
              <w:rPr>
                <w:rFonts w:eastAsia="Times New Roman" w:cs="Calibri"/>
                <w:color w:val="000000"/>
                <w:lang w:val="es-CR"/>
              </w:rPr>
              <w:t>7</w:t>
            </w:r>
            <w:r w:rsidR="008869E2" w:rsidRPr="008869E2">
              <w:rPr>
                <w:rFonts w:eastAsia="Times New Roman" w:cs="Calibri"/>
                <w:color w:val="000000"/>
                <w:lang w:val="es-CR"/>
              </w:rPr>
              <w:t xml:space="preserve"> de julio de 2020.</w:t>
            </w:r>
          </w:p>
        </w:tc>
      </w:tr>
      <w:tr w:rsidR="008869E2" w:rsidRPr="008869E2" w14:paraId="3568CA62" w14:textId="77777777" w:rsidTr="00DD5D6F">
        <w:trPr>
          <w:cnfStyle w:val="000000100000" w:firstRow="0" w:lastRow="0" w:firstColumn="0" w:lastColumn="0" w:oddVBand="0" w:evenVBand="0" w:oddHBand="1" w:evenHBand="0" w:firstRowFirstColumn="0" w:firstRowLastColumn="0" w:lastRowFirstColumn="0" w:lastRowLastColumn="0"/>
          <w:trHeight w:val="957"/>
          <w:jc w:val="center"/>
        </w:trPr>
        <w:tc>
          <w:tcPr>
            <w:cnfStyle w:val="001000000000" w:firstRow="0" w:lastRow="0" w:firstColumn="1" w:lastColumn="0" w:oddVBand="0" w:evenVBand="0" w:oddHBand="0" w:evenHBand="0" w:firstRowFirstColumn="0" w:firstRowLastColumn="0" w:lastRowFirstColumn="0" w:lastRowLastColumn="0"/>
            <w:tcW w:w="879" w:type="pct"/>
            <w:noWrap/>
            <w:hideMark/>
          </w:tcPr>
          <w:p w14:paraId="59EEAE5B" w14:textId="77777777" w:rsidR="00F252B0" w:rsidRDefault="008869E2" w:rsidP="008869E2">
            <w:pPr>
              <w:rPr>
                <w:rFonts w:eastAsia="Times New Roman" w:cs="Calibri"/>
                <w:b w:val="0"/>
                <w:bCs w:val="0"/>
                <w:color w:val="000000"/>
                <w:lang w:val="es-CR"/>
              </w:rPr>
            </w:pPr>
            <w:r w:rsidRPr="008869E2">
              <w:rPr>
                <w:rFonts w:eastAsia="Times New Roman" w:cs="Calibri"/>
                <w:color w:val="000000"/>
                <w:lang w:val="es-CR"/>
              </w:rPr>
              <w:t xml:space="preserve">SP-A-219-2020 del </w:t>
            </w:r>
          </w:p>
          <w:p w14:paraId="34A3D06C" w14:textId="77777777" w:rsidR="008869E2" w:rsidRPr="008869E2" w:rsidRDefault="008869E2" w:rsidP="008869E2">
            <w:pPr>
              <w:rPr>
                <w:rFonts w:eastAsia="Times New Roman" w:cs="Calibri"/>
                <w:color w:val="000000"/>
                <w:lang w:val="es-CR"/>
              </w:rPr>
            </w:pPr>
            <w:r w:rsidRPr="008869E2">
              <w:rPr>
                <w:rFonts w:eastAsia="Times New Roman" w:cs="Calibri"/>
                <w:color w:val="000000"/>
                <w:lang w:val="es-CR"/>
              </w:rPr>
              <w:t>24 de junio de 2020</w:t>
            </w:r>
          </w:p>
        </w:tc>
        <w:tc>
          <w:tcPr>
            <w:tcW w:w="4121" w:type="pct"/>
            <w:hideMark/>
          </w:tcPr>
          <w:p w14:paraId="0B7F8047" w14:textId="77777777" w:rsidR="008869E2" w:rsidRPr="008869E2" w:rsidRDefault="00AC458D" w:rsidP="008869E2">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E</w:t>
            </w:r>
            <w:r w:rsidR="008869E2" w:rsidRPr="008869E2">
              <w:rPr>
                <w:rFonts w:eastAsia="Times New Roman" w:cs="Calibri"/>
                <w:color w:val="000000"/>
                <w:lang w:val="es-CR"/>
              </w:rPr>
              <w:t xml:space="preserve">xime al Fondo de Garantías y Jubilaciones de la Refinadora de Costarricense de Petróleo (RECOPE) de la aplicación de los artículos 5, literales f y g; 6, literales d, h, i, j y k; 8, 9, 10 y 11, así como del Título V.  Límites y prohibiciones y el Título VI. Requerimientos de información para el afiliado, todos del Reglamento de </w:t>
            </w:r>
            <w:r w:rsidR="00A231D0">
              <w:rPr>
                <w:rFonts w:eastAsia="Times New Roman" w:cs="Calibri"/>
                <w:color w:val="000000"/>
                <w:lang w:val="es-CR"/>
              </w:rPr>
              <w:t>G</w:t>
            </w:r>
            <w:r w:rsidR="008869E2" w:rsidRPr="008869E2">
              <w:rPr>
                <w:rFonts w:eastAsia="Times New Roman" w:cs="Calibri"/>
                <w:color w:val="000000"/>
                <w:lang w:val="es-CR"/>
              </w:rPr>
              <w:t xml:space="preserve">estión de </w:t>
            </w:r>
            <w:r w:rsidR="00A231D0">
              <w:rPr>
                <w:rFonts w:eastAsia="Times New Roman" w:cs="Calibri"/>
                <w:color w:val="000000"/>
                <w:lang w:val="es-CR"/>
              </w:rPr>
              <w:t>A</w:t>
            </w:r>
            <w:r w:rsidR="008869E2" w:rsidRPr="008869E2">
              <w:rPr>
                <w:rFonts w:eastAsia="Times New Roman" w:cs="Calibri"/>
                <w:color w:val="000000"/>
                <w:lang w:val="es-CR"/>
              </w:rPr>
              <w:t>ctivos.</w:t>
            </w:r>
          </w:p>
        </w:tc>
      </w:tr>
    </w:tbl>
    <w:p w14:paraId="1028D9FC" w14:textId="77777777" w:rsidR="00AD50FA" w:rsidRDefault="00AD50FA" w:rsidP="00AD50FA">
      <w:pPr>
        <w:pStyle w:val="Descripcin"/>
        <w:spacing w:after="0"/>
      </w:pPr>
      <w:r>
        <w:t xml:space="preserve">Fuente: Elaboración propia </w:t>
      </w:r>
    </w:p>
    <w:p w14:paraId="0A3F5DDC" w14:textId="77777777" w:rsidR="00AD50FA" w:rsidRPr="00AD50FA" w:rsidRDefault="00AD50FA"/>
    <w:p w14:paraId="3C007513" w14:textId="77777777" w:rsidR="00E56E1E" w:rsidRDefault="00E56E1E">
      <w:pPr>
        <w:rPr>
          <w:rFonts w:asciiTheme="majorHAnsi" w:eastAsiaTheme="majorEastAsia" w:hAnsiTheme="majorHAnsi" w:cstheme="majorBidi"/>
          <w:color w:val="365F91" w:themeColor="accent1" w:themeShade="BF"/>
          <w:sz w:val="32"/>
          <w:szCs w:val="32"/>
        </w:rPr>
      </w:pPr>
      <w:r>
        <w:br w:type="page"/>
      </w:r>
    </w:p>
    <w:p w14:paraId="78981D8F" w14:textId="77777777" w:rsidR="006929F8" w:rsidRDefault="006929F8" w:rsidP="00185D18">
      <w:pPr>
        <w:pStyle w:val="Ttulo1"/>
        <w:numPr>
          <w:ilvl w:val="0"/>
          <w:numId w:val="2"/>
        </w:numPr>
      </w:pPr>
      <w:bookmarkStart w:id="24" w:name="_Toc50731070"/>
      <w:r>
        <w:lastRenderedPageBreak/>
        <w:t>Proyectos Normativos</w:t>
      </w:r>
      <w:bookmarkEnd w:id="24"/>
    </w:p>
    <w:p w14:paraId="7EB2F7F9" w14:textId="77777777" w:rsidR="00670E9B" w:rsidRPr="00670E9B" w:rsidRDefault="00670E9B" w:rsidP="00670E9B">
      <w:pPr>
        <w:tabs>
          <w:tab w:val="left" w:pos="1485"/>
        </w:tabs>
        <w:spacing w:after="0" w:line="240" w:lineRule="auto"/>
      </w:pPr>
    </w:p>
    <w:p w14:paraId="32E00391" w14:textId="77777777" w:rsidR="00E85247" w:rsidRDefault="00E85247" w:rsidP="00E85247">
      <w:pPr>
        <w:pStyle w:val="Descripcin"/>
        <w:spacing w:after="0"/>
        <w:jc w:val="center"/>
      </w:pPr>
      <w:r>
        <w:t xml:space="preserve">Tabla </w:t>
      </w:r>
      <w:r>
        <w:fldChar w:fldCharType="begin"/>
      </w:r>
      <w:r>
        <w:instrText xml:space="preserve"> SEQ Tabla \* ARABIC </w:instrText>
      </w:r>
      <w:r>
        <w:fldChar w:fldCharType="separate"/>
      </w:r>
      <w:r w:rsidR="00E56E1E">
        <w:rPr>
          <w:noProof/>
        </w:rPr>
        <w:t>15</w:t>
      </w:r>
      <w:r>
        <w:fldChar w:fldCharType="end"/>
      </w:r>
      <w:r>
        <w:t>: Proyectos normativos</w:t>
      </w:r>
    </w:p>
    <w:p w14:paraId="56F5B21B" w14:textId="77777777" w:rsidR="00E85247" w:rsidRDefault="00E85247" w:rsidP="00E85247">
      <w:pPr>
        <w:pStyle w:val="Descripcin"/>
        <w:spacing w:after="0"/>
        <w:jc w:val="center"/>
      </w:pPr>
      <w:r>
        <w:t>Emitidos por SUPEN</w:t>
      </w:r>
    </w:p>
    <w:p w14:paraId="2ABEAD3F" w14:textId="77777777" w:rsidR="00E85247" w:rsidRDefault="00E85247" w:rsidP="00E85247">
      <w:pPr>
        <w:pStyle w:val="Descripcin"/>
        <w:spacing w:after="0"/>
        <w:jc w:val="center"/>
      </w:pPr>
      <w:r>
        <w:t>durante el segundo trimestre del 2020</w:t>
      </w:r>
    </w:p>
    <w:tbl>
      <w:tblPr>
        <w:tblStyle w:val="Tablaconcuadrcula4-nfasis1"/>
        <w:tblW w:w="6179" w:type="pct"/>
        <w:jc w:val="center"/>
        <w:tblLayout w:type="fixed"/>
        <w:tblLook w:val="04A0" w:firstRow="1" w:lastRow="0" w:firstColumn="1" w:lastColumn="0" w:noHBand="0" w:noVBand="1"/>
      </w:tblPr>
      <w:tblGrid>
        <w:gridCol w:w="2407"/>
        <w:gridCol w:w="6520"/>
        <w:gridCol w:w="1983"/>
      </w:tblGrid>
      <w:tr w:rsidR="00E85247" w:rsidRPr="00E85247" w14:paraId="439FADFA" w14:textId="77777777" w:rsidTr="0089167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3" w:type="pct"/>
            <w:noWrap/>
            <w:vAlign w:val="center"/>
            <w:hideMark/>
          </w:tcPr>
          <w:p w14:paraId="700911E4" w14:textId="77777777" w:rsidR="00E85247" w:rsidRPr="00E716A6" w:rsidRDefault="00E85247" w:rsidP="00E85247">
            <w:pPr>
              <w:rPr>
                <w:rFonts w:eastAsia="Times New Roman" w:cs="Calibri"/>
                <w:lang w:val="es-CR"/>
              </w:rPr>
            </w:pPr>
            <w:r w:rsidRPr="00E716A6">
              <w:rPr>
                <w:rFonts w:eastAsia="Times New Roman" w:cs="Calibri"/>
                <w:lang w:val="es-CR"/>
              </w:rPr>
              <w:t>Reforma Normativa</w:t>
            </w:r>
          </w:p>
        </w:tc>
        <w:tc>
          <w:tcPr>
            <w:tcW w:w="2988" w:type="pct"/>
            <w:noWrap/>
            <w:vAlign w:val="center"/>
            <w:hideMark/>
          </w:tcPr>
          <w:p w14:paraId="27004706" w14:textId="77777777" w:rsidR="00E85247" w:rsidRPr="00E716A6" w:rsidRDefault="00E85247" w:rsidP="00E85247">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716A6">
              <w:rPr>
                <w:rFonts w:eastAsia="Times New Roman" w:cs="Calibri"/>
                <w:lang w:val="es-CR"/>
              </w:rPr>
              <w:t>Alcance</w:t>
            </w:r>
          </w:p>
        </w:tc>
        <w:tc>
          <w:tcPr>
            <w:tcW w:w="909" w:type="pct"/>
            <w:noWrap/>
            <w:hideMark/>
          </w:tcPr>
          <w:p w14:paraId="50B179EF" w14:textId="77777777" w:rsidR="00E85247" w:rsidRPr="00E716A6" w:rsidRDefault="00E85247" w:rsidP="00E85247">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E716A6">
              <w:rPr>
                <w:rFonts w:eastAsia="Times New Roman" w:cs="Calibri"/>
                <w:lang w:val="es-CR"/>
              </w:rPr>
              <w:t>Publicado en el Diario Oficial La Gaceta</w:t>
            </w:r>
          </w:p>
        </w:tc>
      </w:tr>
      <w:tr w:rsidR="00E85247" w:rsidRPr="00E85247" w14:paraId="653E6863" w14:textId="77777777" w:rsidTr="00E716A6">
        <w:trPr>
          <w:cnfStyle w:val="000000100000" w:firstRow="0" w:lastRow="0" w:firstColumn="0" w:lastColumn="0" w:oddVBand="0" w:evenVBand="0" w:oddHBand="1" w:evenHBand="0" w:firstRowFirstColumn="0" w:firstRowLastColumn="0" w:lastRowFirstColumn="0" w:lastRowLastColumn="0"/>
          <w:trHeight w:val="1776"/>
          <w:jc w:val="center"/>
        </w:trPr>
        <w:tc>
          <w:tcPr>
            <w:cnfStyle w:val="001000000000" w:firstRow="0" w:lastRow="0" w:firstColumn="1" w:lastColumn="0" w:oddVBand="0" w:evenVBand="0" w:oddHBand="0" w:evenHBand="0" w:firstRowFirstColumn="0" w:firstRowLastColumn="0" w:lastRowFirstColumn="0" w:lastRowLastColumn="0"/>
            <w:tcW w:w="1103" w:type="pct"/>
            <w:hideMark/>
          </w:tcPr>
          <w:p w14:paraId="5FE215BA" w14:textId="77777777" w:rsidR="00E85247" w:rsidRPr="00E85247" w:rsidRDefault="00E85247" w:rsidP="00E85247">
            <w:pPr>
              <w:rPr>
                <w:rFonts w:eastAsia="Times New Roman" w:cs="Calibri"/>
                <w:color w:val="000000"/>
                <w:lang w:val="es-CR"/>
              </w:rPr>
            </w:pPr>
            <w:r w:rsidRPr="00E85247">
              <w:rPr>
                <w:rFonts w:eastAsia="Times New Roman" w:cs="Calibri"/>
                <w:color w:val="000000"/>
                <w:lang w:val="es-CR"/>
              </w:rPr>
              <w:t>Reforma del artículo 6 del Reglamento de Beneficios del Régimen de Capitalización Individual</w:t>
            </w:r>
          </w:p>
        </w:tc>
        <w:tc>
          <w:tcPr>
            <w:tcW w:w="2988" w:type="pct"/>
            <w:hideMark/>
          </w:tcPr>
          <w:p w14:paraId="7F686C77" w14:textId="77777777" w:rsidR="00E85247" w:rsidRDefault="00E85247" w:rsidP="00E85247">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 xml:space="preserve">Atendiendo la jurisprudencia de la Sala Constitucional, la reforma regula el caso de los afiliados que se pensionen con posterioridad a los </w:t>
            </w:r>
            <w:r w:rsidR="0058323A">
              <w:rPr>
                <w:rFonts w:eastAsia="Times New Roman" w:cs="Calibri"/>
                <w:color w:val="000000"/>
                <w:lang w:val="es-CR"/>
              </w:rPr>
              <w:t>77</w:t>
            </w:r>
            <w:r w:rsidRPr="00E85247">
              <w:rPr>
                <w:rFonts w:eastAsia="Times New Roman" w:cs="Calibri"/>
                <w:color w:val="000000"/>
                <w:lang w:val="es-CR"/>
              </w:rPr>
              <w:t xml:space="preserve"> años o más años, estableciendo que el retiro programado será calculado con un valor actuarial unitario hasta la expectativa de vida al nacer, al momento de cálculo, según el </w:t>
            </w:r>
            <w:r w:rsidR="00E716A6">
              <w:rPr>
                <w:rFonts w:eastAsia="Times New Roman" w:cs="Calibri"/>
                <w:color w:val="000000"/>
                <w:lang w:val="es-CR"/>
              </w:rPr>
              <w:t>INEC</w:t>
            </w:r>
            <w:r w:rsidRPr="00E85247">
              <w:rPr>
                <w:rFonts w:eastAsia="Times New Roman" w:cs="Calibri"/>
                <w:color w:val="000000"/>
                <w:lang w:val="es-CR"/>
              </w:rPr>
              <w:t>, así como el caso de los afiliados, enfermos terminales para que</w:t>
            </w:r>
            <w:r w:rsidR="008949AC">
              <w:rPr>
                <w:rFonts w:eastAsia="Times New Roman" w:cs="Calibri"/>
                <w:color w:val="000000"/>
                <w:lang w:val="es-CR"/>
              </w:rPr>
              <w:t xml:space="preserve"> </w:t>
            </w:r>
            <w:r w:rsidRPr="00E85247">
              <w:rPr>
                <w:rFonts w:eastAsia="Times New Roman" w:cs="Calibri"/>
                <w:color w:val="000000"/>
                <w:lang w:val="es-CR"/>
              </w:rPr>
              <w:t>puedan realizar un retiro total de los recursos del ROP.</w:t>
            </w:r>
          </w:p>
          <w:p w14:paraId="641600A6" w14:textId="77777777" w:rsidR="00E85247" w:rsidRPr="00E85247" w:rsidRDefault="00E85247" w:rsidP="00E85247">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Igualmente regula las pensiones de los hijos beneficiarios en estado de orfandad, para que el retiro programado sea calculado con un valor actuarial unitario hasta los veinticinco años.</w:t>
            </w:r>
          </w:p>
        </w:tc>
        <w:tc>
          <w:tcPr>
            <w:tcW w:w="909" w:type="pct"/>
            <w:hideMark/>
          </w:tcPr>
          <w:p w14:paraId="3B23BE0A" w14:textId="77777777" w:rsidR="00E85247" w:rsidRPr="00E85247" w:rsidRDefault="00E85247" w:rsidP="00E8524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Número 140 del 13 de junio de 2020</w:t>
            </w:r>
          </w:p>
        </w:tc>
      </w:tr>
      <w:tr w:rsidR="00E85247" w:rsidRPr="00E85247" w14:paraId="790E0C64" w14:textId="77777777" w:rsidTr="0089167C">
        <w:trPr>
          <w:trHeight w:val="1245"/>
          <w:jc w:val="center"/>
        </w:trPr>
        <w:tc>
          <w:tcPr>
            <w:cnfStyle w:val="001000000000" w:firstRow="0" w:lastRow="0" w:firstColumn="1" w:lastColumn="0" w:oddVBand="0" w:evenVBand="0" w:oddHBand="0" w:evenHBand="0" w:firstRowFirstColumn="0" w:firstRowLastColumn="0" w:lastRowFirstColumn="0" w:lastRowLastColumn="0"/>
            <w:tcW w:w="1103" w:type="pct"/>
            <w:hideMark/>
          </w:tcPr>
          <w:p w14:paraId="2637873E" w14:textId="77777777" w:rsidR="00E85247" w:rsidRPr="00E85247" w:rsidRDefault="00E85247" w:rsidP="00E85247">
            <w:pPr>
              <w:rPr>
                <w:rFonts w:eastAsia="Times New Roman" w:cs="Calibri"/>
                <w:color w:val="000000"/>
                <w:lang w:val="es-CR"/>
              </w:rPr>
            </w:pPr>
            <w:r w:rsidRPr="00E85247">
              <w:rPr>
                <w:rFonts w:eastAsia="Times New Roman" w:cs="Calibri"/>
                <w:color w:val="000000"/>
                <w:lang w:val="es-CR"/>
              </w:rPr>
              <w:t>Reforma del artículo 19 del Reglamento de Beneficios del Régimen de Capitalización Individual</w:t>
            </w:r>
          </w:p>
        </w:tc>
        <w:tc>
          <w:tcPr>
            <w:tcW w:w="2988" w:type="pct"/>
            <w:hideMark/>
          </w:tcPr>
          <w:p w14:paraId="3B4C10DE" w14:textId="77777777" w:rsidR="00E85247" w:rsidRPr="00E85247" w:rsidRDefault="00E85247" w:rsidP="00E85247">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 xml:space="preserve">La reforma eliminó la necesidad de un proceso sucesorio, caso de muerte del afiliado para, en su lugar, establecer que, si no existieren beneficiarios declarados por el régimen básico, ni tampoco beneficiarios debidamente designados como tales ante la operadora de pensiones, el saldo de la cuenta individual del </w:t>
            </w:r>
            <w:r w:rsidR="006648C9">
              <w:rPr>
                <w:rFonts w:eastAsia="Times New Roman" w:cs="Calibri"/>
                <w:color w:val="000000"/>
                <w:lang w:val="es-CR"/>
              </w:rPr>
              <w:t>ROP</w:t>
            </w:r>
            <w:r w:rsidRPr="00E85247">
              <w:rPr>
                <w:rFonts w:eastAsia="Times New Roman" w:cs="Calibri"/>
                <w:color w:val="000000"/>
                <w:lang w:val="es-CR"/>
              </w:rPr>
              <w:t xml:space="preserve"> podrá ser reclamado ante la autoridad judicial de trabajo que corresponda, por cualquiera de los parientes con interés que se indican en el artículo 85 del Código de Trabajo.   </w:t>
            </w:r>
          </w:p>
        </w:tc>
        <w:tc>
          <w:tcPr>
            <w:tcW w:w="909" w:type="pct"/>
            <w:hideMark/>
          </w:tcPr>
          <w:p w14:paraId="702FE917" w14:textId="77777777" w:rsidR="00E85247" w:rsidRPr="00E85247" w:rsidRDefault="00E85247" w:rsidP="00E8524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Número 131 del 04 de junio de 2020</w:t>
            </w:r>
          </w:p>
        </w:tc>
      </w:tr>
      <w:tr w:rsidR="00E85247" w:rsidRPr="00E85247" w14:paraId="5AF1C3E9" w14:textId="77777777" w:rsidTr="0089167C">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AFE4E0B" w14:textId="77777777" w:rsidR="00E85247" w:rsidRPr="00E85247" w:rsidRDefault="00E85247" w:rsidP="00E85247">
            <w:pPr>
              <w:rPr>
                <w:rFonts w:eastAsia="Times New Roman" w:cs="Calibri"/>
                <w:color w:val="000000"/>
                <w:lang w:val="es-CR"/>
              </w:rPr>
            </w:pPr>
            <w:r w:rsidRPr="00E85247">
              <w:rPr>
                <w:rFonts w:eastAsia="Times New Roman" w:cs="Calibri"/>
                <w:color w:val="000000"/>
                <w:lang w:val="es-CR"/>
              </w:rPr>
              <w:t>SP-R-1967-2020 del 30 de abril de 2020</w:t>
            </w:r>
          </w:p>
        </w:tc>
        <w:tc>
          <w:tcPr>
            <w:tcW w:w="2988" w:type="pct"/>
            <w:hideMark/>
          </w:tcPr>
          <w:p w14:paraId="7904BD41" w14:textId="77777777" w:rsidR="00E85247" w:rsidRPr="00E85247" w:rsidRDefault="00E85247" w:rsidP="00E85247">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Ordena la suspensión de los procedimientos administrativos sancionatorios instruidos y aquellos que cuentan con informe final de investigación preliminar, debido a las órdenes sanitarias y medidas presidenciales establecidas con fundamento en la emergencia nacional decretada por el COVID-19.</w:t>
            </w:r>
          </w:p>
        </w:tc>
        <w:tc>
          <w:tcPr>
            <w:tcW w:w="909" w:type="pct"/>
            <w:noWrap/>
            <w:hideMark/>
          </w:tcPr>
          <w:p w14:paraId="45DD6ED5" w14:textId="77777777" w:rsidR="00E85247" w:rsidRPr="00E85247" w:rsidRDefault="00E85247" w:rsidP="00E8524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NA</w:t>
            </w:r>
          </w:p>
        </w:tc>
      </w:tr>
      <w:tr w:rsidR="00E85247" w:rsidRPr="00E85247" w14:paraId="65E34638" w14:textId="77777777" w:rsidTr="0089167C">
        <w:trPr>
          <w:trHeight w:val="600"/>
          <w:jc w:val="center"/>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7F59604" w14:textId="77777777" w:rsidR="00E85247" w:rsidRPr="00E85247" w:rsidRDefault="00E85247" w:rsidP="00E85247">
            <w:pPr>
              <w:rPr>
                <w:rFonts w:eastAsia="Times New Roman" w:cs="Calibri"/>
                <w:color w:val="000000"/>
                <w:lang w:val="es-CR"/>
              </w:rPr>
            </w:pPr>
            <w:r w:rsidRPr="00E85247">
              <w:rPr>
                <w:rFonts w:eastAsia="Times New Roman" w:cs="Calibri"/>
                <w:color w:val="000000"/>
                <w:lang w:val="es-CR"/>
              </w:rPr>
              <w:t>SP-641-2020 del 22 de mayo de 2020</w:t>
            </w:r>
          </w:p>
        </w:tc>
        <w:tc>
          <w:tcPr>
            <w:tcW w:w="2988" w:type="pct"/>
            <w:hideMark/>
          </w:tcPr>
          <w:p w14:paraId="7388DF28" w14:textId="77777777" w:rsidR="00E85247" w:rsidRPr="00E85247" w:rsidRDefault="00E85247" w:rsidP="00E85247">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 xml:space="preserve">Recomendación al </w:t>
            </w:r>
            <w:proofErr w:type="spellStart"/>
            <w:r w:rsidRPr="00E85247">
              <w:rPr>
                <w:rFonts w:eastAsia="Times New Roman" w:cs="Calibri"/>
                <w:color w:val="000000"/>
                <w:lang w:val="es-CR"/>
              </w:rPr>
              <w:t>Conassif</w:t>
            </w:r>
            <w:proofErr w:type="spellEnd"/>
            <w:r w:rsidRPr="00E85247">
              <w:rPr>
                <w:rFonts w:eastAsia="Times New Roman" w:cs="Calibri"/>
                <w:color w:val="000000"/>
                <w:lang w:val="es-CR"/>
              </w:rPr>
              <w:t xml:space="preserve"> de suspender, durante el plazo de la declaratoria de emergencia nacional, el ejercicio del derecho de la libre transferencia.</w:t>
            </w:r>
          </w:p>
        </w:tc>
        <w:tc>
          <w:tcPr>
            <w:tcW w:w="909" w:type="pct"/>
            <w:noWrap/>
            <w:hideMark/>
          </w:tcPr>
          <w:p w14:paraId="64E5FB36" w14:textId="77777777" w:rsidR="00E85247" w:rsidRPr="00E85247" w:rsidRDefault="00E85247" w:rsidP="00E8524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E85247">
              <w:rPr>
                <w:rFonts w:eastAsia="Times New Roman" w:cs="Calibri"/>
                <w:color w:val="000000"/>
                <w:lang w:val="es-CR"/>
              </w:rPr>
              <w:t>NA</w:t>
            </w:r>
          </w:p>
        </w:tc>
      </w:tr>
    </w:tbl>
    <w:p w14:paraId="5B09B8FF" w14:textId="77777777" w:rsidR="007845DF" w:rsidRDefault="007845DF" w:rsidP="007845DF">
      <w:pPr>
        <w:pStyle w:val="Descripcin"/>
        <w:spacing w:after="0"/>
      </w:pPr>
      <w:r>
        <w:t xml:space="preserve">Fuente: Elaboración propia </w:t>
      </w:r>
    </w:p>
    <w:p w14:paraId="1F0AE2A2" w14:textId="77777777" w:rsidR="006929F8" w:rsidRPr="00CE6F0D" w:rsidRDefault="006929F8" w:rsidP="00CE6F0D">
      <w:pPr>
        <w:tabs>
          <w:tab w:val="left" w:pos="1056"/>
        </w:tabs>
      </w:pPr>
    </w:p>
    <w:sectPr w:rsidR="006929F8" w:rsidRPr="00CE6F0D" w:rsidSect="004722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5F2E" w14:textId="77777777" w:rsidR="00996D64" w:rsidRDefault="00996D64" w:rsidP="00700711">
      <w:pPr>
        <w:spacing w:after="0" w:line="240" w:lineRule="auto"/>
      </w:pPr>
      <w:r>
        <w:separator/>
      </w:r>
    </w:p>
  </w:endnote>
  <w:endnote w:type="continuationSeparator" w:id="0">
    <w:p w14:paraId="780CC5BF" w14:textId="77777777" w:rsidR="00996D64" w:rsidRDefault="00996D64" w:rsidP="00700711">
      <w:pPr>
        <w:spacing w:after="0" w:line="240" w:lineRule="auto"/>
      </w:pPr>
      <w:r>
        <w:continuationSeparator/>
      </w:r>
    </w:p>
  </w:endnote>
  <w:endnote w:type="continuationNotice" w:id="1">
    <w:p w14:paraId="5225B916" w14:textId="77777777" w:rsidR="00996D64" w:rsidRDefault="00996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A9A4" w14:textId="77777777" w:rsidR="00A62F86" w:rsidRPr="00BE078A" w:rsidRDefault="00A62F86" w:rsidP="00EC0F17">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1585B86C" w14:textId="77777777" w:rsidR="00A62F86" w:rsidRDefault="00A62F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7F94" w14:textId="77777777" w:rsidR="00996D64" w:rsidRDefault="00996D64" w:rsidP="00700711">
      <w:pPr>
        <w:spacing w:after="0" w:line="240" w:lineRule="auto"/>
      </w:pPr>
      <w:r>
        <w:separator/>
      </w:r>
    </w:p>
  </w:footnote>
  <w:footnote w:type="continuationSeparator" w:id="0">
    <w:p w14:paraId="451A2D14" w14:textId="77777777" w:rsidR="00996D64" w:rsidRDefault="00996D64" w:rsidP="00700711">
      <w:pPr>
        <w:spacing w:after="0" w:line="240" w:lineRule="auto"/>
      </w:pPr>
      <w:r>
        <w:continuationSeparator/>
      </w:r>
    </w:p>
  </w:footnote>
  <w:footnote w:type="continuationNotice" w:id="1">
    <w:p w14:paraId="73A39266" w14:textId="77777777" w:rsidR="00996D64" w:rsidRDefault="00996D64">
      <w:pPr>
        <w:spacing w:after="0" w:line="240" w:lineRule="auto"/>
      </w:pPr>
    </w:p>
  </w:footnote>
  <w:footnote w:id="2">
    <w:p w14:paraId="01690A36" w14:textId="77777777" w:rsidR="00A62F86" w:rsidRPr="00200043" w:rsidRDefault="00A62F86" w:rsidP="00700711">
      <w:pPr>
        <w:pStyle w:val="Textonotapie"/>
        <w:spacing w:line="240" w:lineRule="auto"/>
        <w:jc w:val="both"/>
        <w:rPr>
          <w:rFonts w:ascii="Segoe UI" w:hAnsi="Segoe UI" w:cs="Segoe UI"/>
          <w:lang w:val="es-CR"/>
        </w:rPr>
      </w:pPr>
      <w:r>
        <w:rPr>
          <w:rStyle w:val="Refdenotaalpie"/>
        </w:rPr>
        <w:footnoteRef/>
      </w:r>
      <w:r>
        <w:t xml:space="preserve"> </w:t>
      </w:r>
      <w:r w:rsidRPr="00200043">
        <w:t>Se refiere a consultas que pueden ser respondidas sin un análisis previo, porque la información está dada y disponible para el funcionario que la atiende en la página web o en los sistemas institucionales.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8B2D" w14:textId="77777777" w:rsidR="00A62F86" w:rsidRDefault="00A62F86" w:rsidP="00EC0F17">
    <w:pPr>
      <w:pStyle w:val="Encabezado"/>
      <w:jc w:val="both"/>
    </w:pPr>
    <w:r>
      <w:rPr>
        <w:noProof/>
      </w:rPr>
      <w:drawing>
        <wp:anchor distT="0" distB="0" distL="114300" distR="114300" simplePos="0" relativeHeight="251658241" behindDoc="0" locked="0" layoutInCell="1" allowOverlap="1" wp14:anchorId="650CA359" wp14:editId="30E38299">
          <wp:simplePos x="0" y="0"/>
          <wp:positionH relativeFrom="margin">
            <wp:align>right</wp:align>
          </wp:positionH>
          <wp:positionV relativeFrom="paragraph">
            <wp:posOffset>-164694</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2315E553" wp14:editId="1A0B6E68">
          <wp:simplePos x="0" y="0"/>
          <wp:positionH relativeFrom="page">
            <wp:posOffset>812165</wp:posOffset>
          </wp:positionH>
          <wp:positionV relativeFrom="page">
            <wp:posOffset>184150</wp:posOffset>
          </wp:positionV>
          <wp:extent cx="1945005" cy="89979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E59"/>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E743A"/>
    <w:multiLevelType w:val="hybridMultilevel"/>
    <w:tmpl w:val="4D784560"/>
    <w:lvl w:ilvl="0" w:tplc="71B4658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6B3C7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3B4AA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22589A"/>
    <w:multiLevelType w:val="hybridMultilevel"/>
    <w:tmpl w:val="87986ED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6700DD"/>
    <w:multiLevelType w:val="multilevel"/>
    <w:tmpl w:val="140A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3361F3"/>
    <w:multiLevelType w:val="hybridMultilevel"/>
    <w:tmpl w:val="04FEFD3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8D23875"/>
    <w:multiLevelType w:val="hybridMultilevel"/>
    <w:tmpl w:val="5A1096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BFB6A52"/>
    <w:multiLevelType w:val="hybridMultilevel"/>
    <w:tmpl w:val="6D220A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DD508AC"/>
    <w:multiLevelType w:val="hybridMultilevel"/>
    <w:tmpl w:val="32A09EE6"/>
    <w:lvl w:ilvl="0" w:tplc="D42C1740">
      <w:numFmt w:val="bullet"/>
      <w:lvlText w:val="-"/>
      <w:lvlJc w:val="left"/>
      <w:pPr>
        <w:ind w:left="1440" w:hanging="360"/>
      </w:pPr>
      <w:rPr>
        <w:rFonts w:ascii="Times New Roman" w:eastAsiaTheme="minorHAnsi" w:hAnsi="Times New Roman" w:cs="Times New Roman"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2E400752"/>
    <w:multiLevelType w:val="multilevel"/>
    <w:tmpl w:val="1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FC95E6B"/>
    <w:multiLevelType w:val="hybridMultilevel"/>
    <w:tmpl w:val="50FA15C2"/>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15:restartNumberingAfterBreak="0">
    <w:nsid w:val="32CF7F04"/>
    <w:multiLevelType w:val="hybridMultilevel"/>
    <w:tmpl w:val="2B420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B3607"/>
    <w:multiLevelType w:val="hybridMultilevel"/>
    <w:tmpl w:val="DE96C1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3B143CCA"/>
    <w:multiLevelType w:val="hybridMultilevel"/>
    <w:tmpl w:val="B5225A04"/>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15:restartNumberingAfterBreak="0">
    <w:nsid w:val="3ED0635E"/>
    <w:multiLevelType w:val="hybridMultilevel"/>
    <w:tmpl w:val="A07C4C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376AEF"/>
    <w:multiLevelType w:val="multilevel"/>
    <w:tmpl w:val="1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AC356E3"/>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617452"/>
    <w:multiLevelType w:val="hybridMultilevel"/>
    <w:tmpl w:val="73F86232"/>
    <w:lvl w:ilvl="0" w:tplc="D5A4A848">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4F4C53"/>
    <w:multiLevelType w:val="hybridMultilevel"/>
    <w:tmpl w:val="A88A4D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E77487C"/>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2C496E"/>
    <w:multiLevelType w:val="hybridMultilevel"/>
    <w:tmpl w:val="9774A478"/>
    <w:lvl w:ilvl="0" w:tplc="19E60D3C">
      <w:start w:val="1"/>
      <w:numFmt w:val="bullet"/>
      <w:lvlText w:val="•"/>
      <w:lvlJc w:val="left"/>
      <w:pPr>
        <w:tabs>
          <w:tab w:val="num" w:pos="720"/>
        </w:tabs>
        <w:ind w:left="720" w:hanging="360"/>
      </w:pPr>
      <w:rPr>
        <w:rFonts w:ascii="Times New Roman" w:hAnsi="Times New Roman" w:hint="default"/>
      </w:rPr>
    </w:lvl>
    <w:lvl w:ilvl="1" w:tplc="15C22A34" w:tentative="1">
      <w:start w:val="1"/>
      <w:numFmt w:val="bullet"/>
      <w:lvlText w:val="•"/>
      <w:lvlJc w:val="left"/>
      <w:pPr>
        <w:tabs>
          <w:tab w:val="num" w:pos="1440"/>
        </w:tabs>
        <w:ind w:left="1440" w:hanging="360"/>
      </w:pPr>
      <w:rPr>
        <w:rFonts w:ascii="Times New Roman" w:hAnsi="Times New Roman" w:hint="default"/>
      </w:rPr>
    </w:lvl>
    <w:lvl w:ilvl="2" w:tplc="5C326270" w:tentative="1">
      <w:start w:val="1"/>
      <w:numFmt w:val="bullet"/>
      <w:lvlText w:val="•"/>
      <w:lvlJc w:val="left"/>
      <w:pPr>
        <w:tabs>
          <w:tab w:val="num" w:pos="2160"/>
        </w:tabs>
        <w:ind w:left="2160" w:hanging="360"/>
      </w:pPr>
      <w:rPr>
        <w:rFonts w:ascii="Times New Roman" w:hAnsi="Times New Roman" w:hint="default"/>
      </w:rPr>
    </w:lvl>
    <w:lvl w:ilvl="3" w:tplc="E0C4806A" w:tentative="1">
      <w:start w:val="1"/>
      <w:numFmt w:val="bullet"/>
      <w:lvlText w:val="•"/>
      <w:lvlJc w:val="left"/>
      <w:pPr>
        <w:tabs>
          <w:tab w:val="num" w:pos="2880"/>
        </w:tabs>
        <w:ind w:left="2880" w:hanging="360"/>
      </w:pPr>
      <w:rPr>
        <w:rFonts w:ascii="Times New Roman" w:hAnsi="Times New Roman" w:hint="default"/>
      </w:rPr>
    </w:lvl>
    <w:lvl w:ilvl="4" w:tplc="C002AE8C" w:tentative="1">
      <w:start w:val="1"/>
      <w:numFmt w:val="bullet"/>
      <w:lvlText w:val="•"/>
      <w:lvlJc w:val="left"/>
      <w:pPr>
        <w:tabs>
          <w:tab w:val="num" w:pos="3600"/>
        </w:tabs>
        <w:ind w:left="3600" w:hanging="360"/>
      </w:pPr>
      <w:rPr>
        <w:rFonts w:ascii="Times New Roman" w:hAnsi="Times New Roman" w:hint="default"/>
      </w:rPr>
    </w:lvl>
    <w:lvl w:ilvl="5" w:tplc="C67C1E12" w:tentative="1">
      <w:start w:val="1"/>
      <w:numFmt w:val="bullet"/>
      <w:lvlText w:val="•"/>
      <w:lvlJc w:val="left"/>
      <w:pPr>
        <w:tabs>
          <w:tab w:val="num" w:pos="4320"/>
        </w:tabs>
        <w:ind w:left="4320" w:hanging="360"/>
      </w:pPr>
      <w:rPr>
        <w:rFonts w:ascii="Times New Roman" w:hAnsi="Times New Roman" w:hint="default"/>
      </w:rPr>
    </w:lvl>
    <w:lvl w:ilvl="6" w:tplc="FC7E2DE0" w:tentative="1">
      <w:start w:val="1"/>
      <w:numFmt w:val="bullet"/>
      <w:lvlText w:val="•"/>
      <w:lvlJc w:val="left"/>
      <w:pPr>
        <w:tabs>
          <w:tab w:val="num" w:pos="5040"/>
        </w:tabs>
        <w:ind w:left="5040" w:hanging="360"/>
      </w:pPr>
      <w:rPr>
        <w:rFonts w:ascii="Times New Roman" w:hAnsi="Times New Roman" w:hint="default"/>
      </w:rPr>
    </w:lvl>
    <w:lvl w:ilvl="7" w:tplc="3E8CD048" w:tentative="1">
      <w:start w:val="1"/>
      <w:numFmt w:val="bullet"/>
      <w:lvlText w:val="•"/>
      <w:lvlJc w:val="left"/>
      <w:pPr>
        <w:tabs>
          <w:tab w:val="num" w:pos="5760"/>
        </w:tabs>
        <w:ind w:left="5760" w:hanging="360"/>
      </w:pPr>
      <w:rPr>
        <w:rFonts w:ascii="Times New Roman" w:hAnsi="Times New Roman" w:hint="default"/>
      </w:rPr>
    </w:lvl>
    <w:lvl w:ilvl="8" w:tplc="EB54B0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796AF4"/>
    <w:multiLevelType w:val="hybridMultilevel"/>
    <w:tmpl w:val="B5BEBE06"/>
    <w:lvl w:ilvl="0" w:tplc="5BBCA4E0">
      <w:start w:val="1"/>
      <w:numFmt w:val="bullet"/>
      <w:lvlText w:val="•"/>
      <w:lvlJc w:val="left"/>
      <w:pPr>
        <w:tabs>
          <w:tab w:val="num" w:pos="720"/>
        </w:tabs>
        <w:ind w:left="720" w:hanging="360"/>
      </w:pPr>
      <w:rPr>
        <w:rFonts w:ascii="Times New Roman" w:hAnsi="Times New Roman" w:hint="default"/>
      </w:rPr>
    </w:lvl>
    <w:lvl w:ilvl="1" w:tplc="C3D20674" w:tentative="1">
      <w:start w:val="1"/>
      <w:numFmt w:val="bullet"/>
      <w:lvlText w:val="•"/>
      <w:lvlJc w:val="left"/>
      <w:pPr>
        <w:tabs>
          <w:tab w:val="num" w:pos="1440"/>
        </w:tabs>
        <w:ind w:left="1440" w:hanging="360"/>
      </w:pPr>
      <w:rPr>
        <w:rFonts w:ascii="Times New Roman" w:hAnsi="Times New Roman" w:hint="default"/>
      </w:rPr>
    </w:lvl>
    <w:lvl w:ilvl="2" w:tplc="0E702B82" w:tentative="1">
      <w:start w:val="1"/>
      <w:numFmt w:val="bullet"/>
      <w:lvlText w:val="•"/>
      <w:lvlJc w:val="left"/>
      <w:pPr>
        <w:tabs>
          <w:tab w:val="num" w:pos="2160"/>
        </w:tabs>
        <w:ind w:left="2160" w:hanging="360"/>
      </w:pPr>
      <w:rPr>
        <w:rFonts w:ascii="Times New Roman" w:hAnsi="Times New Roman" w:hint="default"/>
      </w:rPr>
    </w:lvl>
    <w:lvl w:ilvl="3" w:tplc="7AD49DD6" w:tentative="1">
      <w:start w:val="1"/>
      <w:numFmt w:val="bullet"/>
      <w:lvlText w:val="•"/>
      <w:lvlJc w:val="left"/>
      <w:pPr>
        <w:tabs>
          <w:tab w:val="num" w:pos="2880"/>
        </w:tabs>
        <w:ind w:left="2880" w:hanging="360"/>
      </w:pPr>
      <w:rPr>
        <w:rFonts w:ascii="Times New Roman" w:hAnsi="Times New Roman" w:hint="default"/>
      </w:rPr>
    </w:lvl>
    <w:lvl w:ilvl="4" w:tplc="8C283F3E" w:tentative="1">
      <w:start w:val="1"/>
      <w:numFmt w:val="bullet"/>
      <w:lvlText w:val="•"/>
      <w:lvlJc w:val="left"/>
      <w:pPr>
        <w:tabs>
          <w:tab w:val="num" w:pos="3600"/>
        </w:tabs>
        <w:ind w:left="3600" w:hanging="360"/>
      </w:pPr>
      <w:rPr>
        <w:rFonts w:ascii="Times New Roman" w:hAnsi="Times New Roman" w:hint="default"/>
      </w:rPr>
    </w:lvl>
    <w:lvl w:ilvl="5" w:tplc="AB30D08E" w:tentative="1">
      <w:start w:val="1"/>
      <w:numFmt w:val="bullet"/>
      <w:lvlText w:val="•"/>
      <w:lvlJc w:val="left"/>
      <w:pPr>
        <w:tabs>
          <w:tab w:val="num" w:pos="4320"/>
        </w:tabs>
        <w:ind w:left="4320" w:hanging="360"/>
      </w:pPr>
      <w:rPr>
        <w:rFonts w:ascii="Times New Roman" w:hAnsi="Times New Roman" w:hint="default"/>
      </w:rPr>
    </w:lvl>
    <w:lvl w:ilvl="6" w:tplc="908A6178" w:tentative="1">
      <w:start w:val="1"/>
      <w:numFmt w:val="bullet"/>
      <w:lvlText w:val="•"/>
      <w:lvlJc w:val="left"/>
      <w:pPr>
        <w:tabs>
          <w:tab w:val="num" w:pos="5040"/>
        </w:tabs>
        <w:ind w:left="5040" w:hanging="360"/>
      </w:pPr>
      <w:rPr>
        <w:rFonts w:ascii="Times New Roman" w:hAnsi="Times New Roman" w:hint="default"/>
      </w:rPr>
    </w:lvl>
    <w:lvl w:ilvl="7" w:tplc="96F24078" w:tentative="1">
      <w:start w:val="1"/>
      <w:numFmt w:val="bullet"/>
      <w:lvlText w:val="•"/>
      <w:lvlJc w:val="left"/>
      <w:pPr>
        <w:tabs>
          <w:tab w:val="num" w:pos="5760"/>
        </w:tabs>
        <w:ind w:left="5760" w:hanging="360"/>
      </w:pPr>
      <w:rPr>
        <w:rFonts w:ascii="Times New Roman" w:hAnsi="Times New Roman" w:hint="default"/>
      </w:rPr>
    </w:lvl>
    <w:lvl w:ilvl="8" w:tplc="C0B6ABD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556D88"/>
    <w:multiLevelType w:val="hybridMultilevel"/>
    <w:tmpl w:val="90A8E1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1687FAC"/>
    <w:multiLevelType w:val="hybridMultilevel"/>
    <w:tmpl w:val="27D44618"/>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2E5795D"/>
    <w:multiLevelType w:val="hybridMultilevel"/>
    <w:tmpl w:val="FDF2EDF2"/>
    <w:lvl w:ilvl="0" w:tplc="098EEE8C">
      <w:start w:val="1"/>
      <w:numFmt w:val="decimal"/>
      <w:lvlText w:val="%1."/>
      <w:lvlJc w:val="left"/>
      <w:pPr>
        <w:ind w:left="720" w:hanging="360"/>
      </w:pPr>
      <w:rPr>
        <w:rFonts w:asciiTheme="minorHAnsi" w:eastAsiaTheme="minorHAnsi" w:hAnsiTheme="minorHAnsi" w:cstheme="minorHAns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9435FC"/>
    <w:multiLevelType w:val="hybridMultilevel"/>
    <w:tmpl w:val="6056331E"/>
    <w:lvl w:ilvl="0" w:tplc="414207A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5"/>
  </w:num>
  <w:num w:numId="5">
    <w:abstractNumId w:val="10"/>
  </w:num>
  <w:num w:numId="6">
    <w:abstractNumId w:val="16"/>
  </w:num>
  <w:num w:numId="7">
    <w:abstractNumId w:val="0"/>
  </w:num>
  <w:num w:numId="8">
    <w:abstractNumId w:val="8"/>
  </w:num>
  <w:num w:numId="9">
    <w:abstractNumId w:val="13"/>
  </w:num>
  <w:num w:numId="10">
    <w:abstractNumId w:val="26"/>
  </w:num>
  <w:num w:numId="11">
    <w:abstractNumId w:val="11"/>
  </w:num>
  <w:num w:numId="12">
    <w:abstractNumId w:val="19"/>
  </w:num>
  <w:num w:numId="13">
    <w:abstractNumId w:val="17"/>
  </w:num>
  <w:num w:numId="14">
    <w:abstractNumId w:val="1"/>
  </w:num>
  <w:num w:numId="15">
    <w:abstractNumId w:val="24"/>
  </w:num>
  <w:num w:numId="16">
    <w:abstractNumId w:val="9"/>
  </w:num>
  <w:num w:numId="17">
    <w:abstractNumId w:val="3"/>
  </w:num>
  <w:num w:numId="18">
    <w:abstractNumId w:val="25"/>
  </w:num>
  <w:num w:numId="19">
    <w:abstractNumId w:val="14"/>
  </w:num>
  <w:num w:numId="20">
    <w:abstractNumId w:val="12"/>
  </w:num>
  <w:num w:numId="21">
    <w:abstractNumId w:val="4"/>
  </w:num>
  <w:num w:numId="22">
    <w:abstractNumId w:val="20"/>
  </w:num>
  <w:num w:numId="23">
    <w:abstractNumId w:val="23"/>
  </w:num>
  <w:num w:numId="24">
    <w:abstractNumId w:val="18"/>
  </w:num>
  <w:num w:numId="25">
    <w:abstractNumId w:val="22"/>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B8"/>
    <w:rsid w:val="000027C1"/>
    <w:rsid w:val="00006851"/>
    <w:rsid w:val="00007C43"/>
    <w:rsid w:val="00013812"/>
    <w:rsid w:val="0001719A"/>
    <w:rsid w:val="000213A9"/>
    <w:rsid w:val="00021969"/>
    <w:rsid w:val="00022164"/>
    <w:rsid w:val="00023E90"/>
    <w:rsid w:val="000249CC"/>
    <w:rsid w:val="00025EB5"/>
    <w:rsid w:val="000274AC"/>
    <w:rsid w:val="00034065"/>
    <w:rsid w:val="00036FAC"/>
    <w:rsid w:val="00040FCB"/>
    <w:rsid w:val="00042EFB"/>
    <w:rsid w:val="0004595A"/>
    <w:rsid w:val="00050388"/>
    <w:rsid w:val="00050943"/>
    <w:rsid w:val="00051A66"/>
    <w:rsid w:val="000559A5"/>
    <w:rsid w:val="00064DC3"/>
    <w:rsid w:val="000728C9"/>
    <w:rsid w:val="0007719F"/>
    <w:rsid w:val="00077586"/>
    <w:rsid w:val="000822BD"/>
    <w:rsid w:val="000824D1"/>
    <w:rsid w:val="00082B26"/>
    <w:rsid w:val="00090AA7"/>
    <w:rsid w:val="00092454"/>
    <w:rsid w:val="000938B2"/>
    <w:rsid w:val="00094629"/>
    <w:rsid w:val="000949B3"/>
    <w:rsid w:val="0009547F"/>
    <w:rsid w:val="000963CD"/>
    <w:rsid w:val="00097008"/>
    <w:rsid w:val="000A0AD4"/>
    <w:rsid w:val="000A35F6"/>
    <w:rsid w:val="000B0279"/>
    <w:rsid w:val="000B3887"/>
    <w:rsid w:val="000B62C1"/>
    <w:rsid w:val="000C051C"/>
    <w:rsid w:val="000C2E69"/>
    <w:rsid w:val="000C37E4"/>
    <w:rsid w:val="000C3D87"/>
    <w:rsid w:val="000C4783"/>
    <w:rsid w:val="000C573D"/>
    <w:rsid w:val="000C6C6E"/>
    <w:rsid w:val="000D5DDF"/>
    <w:rsid w:val="000D7AD9"/>
    <w:rsid w:val="000E140E"/>
    <w:rsid w:val="000E7393"/>
    <w:rsid w:val="000E7D3E"/>
    <w:rsid w:val="000F017A"/>
    <w:rsid w:val="000F2447"/>
    <w:rsid w:val="000F319B"/>
    <w:rsid w:val="000F4C71"/>
    <w:rsid w:val="000F72D7"/>
    <w:rsid w:val="00102219"/>
    <w:rsid w:val="00110043"/>
    <w:rsid w:val="001118CF"/>
    <w:rsid w:val="0011353F"/>
    <w:rsid w:val="0011720C"/>
    <w:rsid w:val="00120EAA"/>
    <w:rsid w:val="00123D35"/>
    <w:rsid w:val="00123F47"/>
    <w:rsid w:val="0012619C"/>
    <w:rsid w:val="001264F8"/>
    <w:rsid w:val="00132FE1"/>
    <w:rsid w:val="0013643A"/>
    <w:rsid w:val="00141791"/>
    <w:rsid w:val="0014266B"/>
    <w:rsid w:val="0014333B"/>
    <w:rsid w:val="00144402"/>
    <w:rsid w:val="00144742"/>
    <w:rsid w:val="00151702"/>
    <w:rsid w:val="00155A25"/>
    <w:rsid w:val="001603CE"/>
    <w:rsid w:val="0016176E"/>
    <w:rsid w:val="00161AF0"/>
    <w:rsid w:val="00163ABA"/>
    <w:rsid w:val="00164169"/>
    <w:rsid w:val="001669BF"/>
    <w:rsid w:val="0017053E"/>
    <w:rsid w:val="00170F63"/>
    <w:rsid w:val="0017221D"/>
    <w:rsid w:val="00174B1B"/>
    <w:rsid w:val="00177F37"/>
    <w:rsid w:val="00182060"/>
    <w:rsid w:val="00184F61"/>
    <w:rsid w:val="00185030"/>
    <w:rsid w:val="00185BA0"/>
    <w:rsid w:val="00185D18"/>
    <w:rsid w:val="00190D69"/>
    <w:rsid w:val="00191527"/>
    <w:rsid w:val="00191B26"/>
    <w:rsid w:val="00193BD7"/>
    <w:rsid w:val="00196EE3"/>
    <w:rsid w:val="00196FFE"/>
    <w:rsid w:val="00197E09"/>
    <w:rsid w:val="001A2427"/>
    <w:rsid w:val="001A60D4"/>
    <w:rsid w:val="001A6A99"/>
    <w:rsid w:val="001A79B5"/>
    <w:rsid w:val="001B1D17"/>
    <w:rsid w:val="001B3226"/>
    <w:rsid w:val="001B6E07"/>
    <w:rsid w:val="001B7047"/>
    <w:rsid w:val="001B71C7"/>
    <w:rsid w:val="001C1519"/>
    <w:rsid w:val="001C2AE7"/>
    <w:rsid w:val="001C5D21"/>
    <w:rsid w:val="001C7FB6"/>
    <w:rsid w:val="001D3519"/>
    <w:rsid w:val="001D586E"/>
    <w:rsid w:val="001E40B1"/>
    <w:rsid w:val="001E6FE7"/>
    <w:rsid w:val="001F3267"/>
    <w:rsid w:val="001F3FD4"/>
    <w:rsid w:val="001F7B97"/>
    <w:rsid w:val="0020008E"/>
    <w:rsid w:val="00201328"/>
    <w:rsid w:val="00202EB9"/>
    <w:rsid w:val="00205227"/>
    <w:rsid w:val="0020715C"/>
    <w:rsid w:val="00207201"/>
    <w:rsid w:val="00213CA5"/>
    <w:rsid w:val="002150FF"/>
    <w:rsid w:val="002156F7"/>
    <w:rsid w:val="00217AE0"/>
    <w:rsid w:val="002262FF"/>
    <w:rsid w:val="00226648"/>
    <w:rsid w:val="00240D40"/>
    <w:rsid w:val="00242012"/>
    <w:rsid w:val="00242194"/>
    <w:rsid w:val="00243925"/>
    <w:rsid w:val="00243E13"/>
    <w:rsid w:val="002462A6"/>
    <w:rsid w:val="00246384"/>
    <w:rsid w:val="002518C9"/>
    <w:rsid w:val="00252FBB"/>
    <w:rsid w:val="0025604A"/>
    <w:rsid w:val="002560E2"/>
    <w:rsid w:val="00256911"/>
    <w:rsid w:val="00257768"/>
    <w:rsid w:val="0026217B"/>
    <w:rsid w:val="00262F0E"/>
    <w:rsid w:val="00263835"/>
    <w:rsid w:val="00270CC9"/>
    <w:rsid w:val="002724DB"/>
    <w:rsid w:val="002735C3"/>
    <w:rsid w:val="00273831"/>
    <w:rsid w:val="00273AD9"/>
    <w:rsid w:val="00273F96"/>
    <w:rsid w:val="0027438B"/>
    <w:rsid w:val="00281A3E"/>
    <w:rsid w:val="00283B15"/>
    <w:rsid w:val="00291A63"/>
    <w:rsid w:val="0029213E"/>
    <w:rsid w:val="002926E2"/>
    <w:rsid w:val="002932B7"/>
    <w:rsid w:val="00293FB1"/>
    <w:rsid w:val="00294476"/>
    <w:rsid w:val="00295C0D"/>
    <w:rsid w:val="00295D86"/>
    <w:rsid w:val="00295DFA"/>
    <w:rsid w:val="002A01D8"/>
    <w:rsid w:val="002A12BA"/>
    <w:rsid w:val="002A5017"/>
    <w:rsid w:val="002A58A8"/>
    <w:rsid w:val="002A7D0C"/>
    <w:rsid w:val="002B0561"/>
    <w:rsid w:val="002B11CB"/>
    <w:rsid w:val="002B3FF3"/>
    <w:rsid w:val="002B5E1A"/>
    <w:rsid w:val="002B602A"/>
    <w:rsid w:val="002B6731"/>
    <w:rsid w:val="002B7125"/>
    <w:rsid w:val="002C1A8E"/>
    <w:rsid w:val="002C1AD7"/>
    <w:rsid w:val="002C3725"/>
    <w:rsid w:val="002C38F4"/>
    <w:rsid w:val="002C78A8"/>
    <w:rsid w:val="002D7016"/>
    <w:rsid w:val="002D7433"/>
    <w:rsid w:val="002E06A7"/>
    <w:rsid w:val="002E34F0"/>
    <w:rsid w:val="002E4F29"/>
    <w:rsid w:val="002E526F"/>
    <w:rsid w:val="002E66A1"/>
    <w:rsid w:val="002F4417"/>
    <w:rsid w:val="002F5872"/>
    <w:rsid w:val="002F59B6"/>
    <w:rsid w:val="002F6A07"/>
    <w:rsid w:val="002F7D79"/>
    <w:rsid w:val="00305358"/>
    <w:rsid w:val="00314A47"/>
    <w:rsid w:val="00315548"/>
    <w:rsid w:val="0031766B"/>
    <w:rsid w:val="00320871"/>
    <w:rsid w:val="00324A61"/>
    <w:rsid w:val="00325D50"/>
    <w:rsid w:val="0032628D"/>
    <w:rsid w:val="00326ED8"/>
    <w:rsid w:val="0032728F"/>
    <w:rsid w:val="0033068B"/>
    <w:rsid w:val="00332EFF"/>
    <w:rsid w:val="003343F0"/>
    <w:rsid w:val="0033646A"/>
    <w:rsid w:val="00336650"/>
    <w:rsid w:val="00336712"/>
    <w:rsid w:val="00342002"/>
    <w:rsid w:val="00344699"/>
    <w:rsid w:val="003459CF"/>
    <w:rsid w:val="003463F7"/>
    <w:rsid w:val="00351FA1"/>
    <w:rsid w:val="00352BFF"/>
    <w:rsid w:val="0035475E"/>
    <w:rsid w:val="00363BBA"/>
    <w:rsid w:val="00364753"/>
    <w:rsid w:val="00366333"/>
    <w:rsid w:val="0036682C"/>
    <w:rsid w:val="00370D1C"/>
    <w:rsid w:val="003748A0"/>
    <w:rsid w:val="00376A62"/>
    <w:rsid w:val="00377633"/>
    <w:rsid w:val="00382A75"/>
    <w:rsid w:val="00383C2A"/>
    <w:rsid w:val="0038532C"/>
    <w:rsid w:val="0038661D"/>
    <w:rsid w:val="003868DF"/>
    <w:rsid w:val="003872B1"/>
    <w:rsid w:val="0039020E"/>
    <w:rsid w:val="00390426"/>
    <w:rsid w:val="00391A6B"/>
    <w:rsid w:val="00394DBE"/>
    <w:rsid w:val="003A3141"/>
    <w:rsid w:val="003B0175"/>
    <w:rsid w:val="003B1BC8"/>
    <w:rsid w:val="003B2A19"/>
    <w:rsid w:val="003B2D49"/>
    <w:rsid w:val="003B5728"/>
    <w:rsid w:val="003B6881"/>
    <w:rsid w:val="003B7072"/>
    <w:rsid w:val="003B7E22"/>
    <w:rsid w:val="003C155C"/>
    <w:rsid w:val="003C1E9F"/>
    <w:rsid w:val="003C27E2"/>
    <w:rsid w:val="003C32E5"/>
    <w:rsid w:val="003C41D8"/>
    <w:rsid w:val="003D2C27"/>
    <w:rsid w:val="003D310E"/>
    <w:rsid w:val="003D57DF"/>
    <w:rsid w:val="003E0662"/>
    <w:rsid w:val="003E0F64"/>
    <w:rsid w:val="003E403C"/>
    <w:rsid w:val="003E41A4"/>
    <w:rsid w:val="003E7141"/>
    <w:rsid w:val="003E7728"/>
    <w:rsid w:val="003F028F"/>
    <w:rsid w:val="003F10CD"/>
    <w:rsid w:val="003F35B3"/>
    <w:rsid w:val="003F4EEE"/>
    <w:rsid w:val="003F66BE"/>
    <w:rsid w:val="003F7D8B"/>
    <w:rsid w:val="00400B46"/>
    <w:rsid w:val="00400D68"/>
    <w:rsid w:val="00401227"/>
    <w:rsid w:val="00405190"/>
    <w:rsid w:val="00405E27"/>
    <w:rsid w:val="004075F7"/>
    <w:rsid w:val="004103A9"/>
    <w:rsid w:val="00411229"/>
    <w:rsid w:val="00414F00"/>
    <w:rsid w:val="004174A0"/>
    <w:rsid w:val="00426C9D"/>
    <w:rsid w:val="004308B6"/>
    <w:rsid w:val="00435186"/>
    <w:rsid w:val="00440C42"/>
    <w:rsid w:val="00443515"/>
    <w:rsid w:val="00446C6A"/>
    <w:rsid w:val="00447BB8"/>
    <w:rsid w:val="0045173C"/>
    <w:rsid w:val="00456440"/>
    <w:rsid w:val="004576F1"/>
    <w:rsid w:val="004600B4"/>
    <w:rsid w:val="004603C7"/>
    <w:rsid w:val="00461010"/>
    <w:rsid w:val="004616E7"/>
    <w:rsid w:val="004633C6"/>
    <w:rsid w:val="00467280"/>
    <w:rsid w:val="00470110"/>
    <w:rsid w:val="004722B6"/>
    <w:rsid w:val="00472D67"/>
    <w:rsid w:val="0047684A"/>
    <w:rsid w:val="00484029"/>
    <w:rsid w:val="0048444A"/>
    <w:rsid w:val="00487549"/>
    <w:rsid w:val="004901F1"/>
    <w:rsid w:val="00493FE1"/>
    <w:rsid w:val="004944B8"/>
    <w:rsid w:val="004949D5"/>
    <w:rsid w:val="00497712"/>
    <w:rsid w:val="004A160C"/>
    <w:rsid w:val="004A232C"/>
    <w:rsid w:val="004A5E21"/>
    <w:rsid w:val="004A6855"/>
    <w:rsid w:val="004A721D"/>
    <w:rsid w:val="004A7D37"/>
    <w:rsid w:val="004B06B7"/>
    <w:rsid w:val="004B0A90"/>
    <w:rsid w:val="004B13A0"/>
    <w:rsid w:val="004B13E3"/>
    <w:rsid w:val="004B25ED"/>
    <w:rsid w:val="004B4F38"/>
    <w:rsid w:val="004B7F48"/>
    <w:rsid w:val="004C1EA1"/>
    <w:rsid w:val="004D10DD"/>
    <w:rsid w:val="004D3EC4"/>
    <w:rsid w:val="004D4000"/>
    <w:rsid w:val="004D624C"/>
    <w:rsid w:val="004D6CFB"/>
    <w:rsid w:val="004D7951"/>
    <w:rsid w:val="004E01EB"/>
    <w:rsid w:val="004E521B"/>
    <w:rsid w:val="004E530B"/>
    <w:rsid w:val="004E71D1"/>
    <w:rsid w:val="004E724D"/>
    <w:rsid w:val="004E7585"/>
    <w:rsid w:val="004E7D5C"/>
    <w:rsid w:val="004F113A"/>
    <w:rsid w:val="004F2398"/>
    <w:rsid w:val="004F3376"/>
    <w:rsid w:val="004F459D"/>
    <w:rsid w:val="004F4B7C"/>
    <w:rsid w:val="004F4BDF"/>
    <w:rsid w:val="004F538C"/>
    <w:rsid w:val="004F6C4A"/>
    <w:rsid w:val="0050435A"/>
    <w:rsid w:val="00505522"/>
    <w:rsid w:val="00505D16"/>
    <w:rsid w:val="00506F49"/>
    <w:rsid w:val="005126D7"/>
    <w:rsid w:val="00512A6F"/>
    <w:rsid w:val="005140AC"/>
    <w:rsid w:val="005158CE"/>
    <w:rsid w:val="0051768A"/>
    <w:rsid w:val="0052133B"/>
    <w:rsid w:val="00526266"/>
    <w:rsid w:val="0053023A"/>
    <w:rsid w:val="00532C23"/>
    <w:rsid w:val="00542ED2"/>
    <w:rsid w:val="00552CB6"/>
    <w:rsid w:val="00553BF4"/>
    <w:rsid w:val="00560BDB"/>
    <w:rsid w:val="0056317E"/>
    <w:rsid w:val="005648D7"/>
    <w:rsid w:val="00566313"/>
    <w:rsid w:val="005709E2"/>
    <w:rsid w:val="0057152B"/>
    <w:rsid w:val="00571E1B"/>
    <w:rsid w:val="00572867"/>
    <w:rsid w:val="00573250"/>
    <w:rsid w:val="00576F98"/>
    <w:rsid w:val="00577928"/>
    <w:rsid w:val="00577F62"/>
    <w:rsid w:val="00580DEF"/>
    <w:rsid w:val="0058323A"/>
    <w:rsid w:val="00584910"/>
    <w:rsid w:val="00585CF0"/>
    <w:rsid w:val="00592873"/>
    <w:rsid w:val="005A2B54"/>
    <w:rsid w:val="005A4512"/>
    <w:rsid w:val="005A5565"/>
    <w:rsid w:val="005A5AF4"/>
    <w:rsid w:val="005A7F37"/>
    <w:rsid w:val="005B0712"/>
    <w:rsid w:val="005B17AD"/>
    <w:rsid w:val="005B27DE"/>
    <w:rsid w:val="005B322F"/>
    <w:rsid w:val="005B3BA5"/>
    <w:rsid w:val="005B53AB"/>
    <w:rsid w:val="005B6BEA"/>
    <w:rsid w:val="005C02DE"/>
    <w:rsid w:val="005C0F80"/>
    <w:rsid w:val="005C12B3"/>
    <w:rsid w:val="005C6132"/>
    <w:rsid w:val="005D0A08"/>
    <w:rsid w:val="005D3A43"/>
    <w:rsid w:val="005D4BA7"/>
    <w:rsid w:val="005E07CB"/>
    <w:rsid w:val="005E0B05"/>
    <w:rsid w:val="005E263F"/>
    <w:rsid w:val="005E2ECB"/>
    <w:rsid w:val="005E5884"/>
    <w:rsid w:val="005F0338"/>
    <w:rsid w:val="005F0F5C"/>
    <w:rsid w:val="005F13B3"/>
    <w:rsid w:val="005F49D3"/>
    <w:rsid w:val="005F5DAD"/>
    <w:rsid w:val="006047F8"/>
    <w:rsid w:val="0060502E"/>
    <w:rsid w:val="00606FC2"/>
    <w:rsid w:val="0060763F"/>
    <w:rsid w:val="00607B97"/>
    <w:rsid w:val="00611B8C"/>
    <w:rsid w:val="00611E75"/>
    <w:rsid w:val="00612296"/>
    <w:rsid w:val="006139B7"/>
    <w:rsid w:val="00616706"/>
    <w:rsid w:val="00616D58"/>
    <w:rsid w:val="00620A81"/>
    <w:rsid w:val="00622780"/>
    <w:rsid w:val="00622AFD"/>
    <w:rsid w:val="00622FD1"/>
    <w:rsid w:val="0062312D"/>
    <w:rsid w:val="006238D9"/>
    <w:rsid w:val="00624386"/>
    <w:rsid w:val="0063459A"/>
    <w:rsid w:val="00636EEB"/>
    <w:rsid w:val="00637EBB"/>
    <w:rsid w:val="00642CB8"/>
    <w:rsid w:val="00643CDB"/>
    <w:rsid w:val="006448BC"/>
    <w:rsid w:val="00644FB7"/>
    <w:rsid w:val="0064522C"/>
    <w:rsid w:val="00651533"/>
    <w:rsid w:val="006556D6"/>
    <w:rsid w:val="0065674E"/>
    <w:rsid w:val="00657BE3"/>
    <w:rsid w:val="00661DDD"/>
    <w:rsid w:val="00662B8B"/>
    <w:rsid w:val="006648B8"/>
    <w:rsid w:val="006648C9"/>
    <w:rsid w:val="006658D0"/>
    <w:rsid w:val="00667653"/>
    <w:rsid w:val="0066788C"/>
    <w:rsid w:val="00670E9B"/>
    <w:rsid w:val="0067269D"/>
    <w:rsid w:val="0067301A"/>
    <w:rsid w:val="006735AD"/>
    <w:rsid w:val="00674F3F"/>
    <w:rsid w:val="006765ED"/>
    <w:rsid w:val="00677218"/>
    <w:rsid w:val="00677DD8"/>
    <w:rsid w:val="00680185"/>
    <w:rsid w:val="0068020F"/>
    <w:rsid w:val="00680F11"/>
    <w:rsid w:val="00681C9F"/>
    <w:rsid w:val="00682800"/>
    <w:rsid w:val="0068433E"/>
    <w:rsid w:val="00684E15"/>
    <w:rsid w:val="00686413"/>
    <w:rsid w:val="0068680E"/>
    <w:rsid w:val="00686A6C"/>
    <w:rsid w:val="006929F8"/>
    <w:rsid w:val="0069475C"/>
    <w:rsid w:val="006955BD"/>
    <w:rsid w:val="006969BF"/>
    <w:rsid w:val="006A5F39"/>
    <w:rsid w:val="006B1E4D"/>
    <w:rsid w:val="006B2868"/>
    <w:rsid w:val="006B3467"/>
    <w:rsid w:val="006C174B"/>
    <w:rsid w:val="006C62D1"/>
    <w:rsid w:val="006D250D"/>
    <w:rsid w:val="006D36C4"/>
    <w:rsid w:val="006D47B3"/>
    <w:rsid w:val="006D603A"/>
    <w:rsid w:val="006D7611"/>
    <w:rsid w:val="006D764B"/>
    <w:rsid w:val="006E01AD"/>
    <w:rsid w:val="006E17A3"/>
    <w:rsid w:val="006E17CF"/>
    <w:rsid w:val="006E2E5F"/>
    <w:rsid w:val="006E5A6D"/>
    <w:rsid w:val="006E6AD3"/>
    <w:rsid w:val="006F0B8B"/>
    <w:rsid w:val="006F0CD3"/>
    <w:rsid w:val="006F10FE"/>
    <w:rsid w:val="006F19F1"/>
    <w:rsid w:val="006F1C70"/>
    <w:rsid w:val="006F22D0"/>
    <w:rsid w:val="006F2FF4"/>
    <w:rsid w:val="006F6A33"/>
    <w:rsid w:val="006F7D74"/>
    <w:rsid w:val="00700711"/>
    <w:rsid w:val="00700CF5"/>
    <w:rsid w:val="00704510"/>
    <w:rsid w:val="00705498"/>
    <w:rsid w:val="00705D5C"/>
    <w:rsid w:val="0070698C"/>
    <w:rsid w:val="007070F0"/>
    <w:rsid w:val="0071057F"/>
    <w:rsid w:val="00717768"/>
    <w:rsid w:val="00717D49"/>
    <w:rsid w:val="0072107C"/>
    <w:rsid w:val="00721801"/>
    <w:rsid w:val="0072187A"/>
    <w:rsid w:val="007219CD"/>
    <w:rsid w:val="007219FA"/>
    <w:rsid w:val="0072353C"/>
    <w:rsid w:val="00723D1F"/>
    <w:rsid w:val="00724362"/>
    <w:rsid w:val="00725FE9"/>
    <w:rsid w:val="00726286"/>
    <w:rsid w:val="00730DE2"/>
    <w:rsid w:val="0073202C"/>
    <w:rsid w:val="00732136"/>
    <w:rsid w:val="00732E9F"/>
    <w:rsid w:val="00736683"/>
    <w:rsid w:val="007376C5"/>
    <w:rsid w:val="00740A5F"/>
    <w:rsid w:val="00740F3F"/>
    <w:rsid w:val="00741055"/>
    <w:rsid w:val="007430AE"/>
    <w:rsid w:val="00743BD5"/>
    <w:rsid w:val="0074472B"/>
    <w:rsid w:val="0074601B"/>
    <w:rsid w:val="00757EBE"/>
    <w:rsid w:val="007603C9"/>
    <w:rsid w:val="00761420"/>
    <w:rsid w:val="00766731"/>
    <w:rsid w:val="00767A3D"/>
    <w:rsid w:val="00767AC8"/>
    <w:rsid w:val="00775502"/>
    <w:rsid w:val="00775F83"/>
    <w:rsid w:val="007764DB"/>
    <w:rsid w:val="00780F08"/>
    <w:rsid w:val="00781BDD"/>
    <w:rsid w:val="007823EA"/>
    <w:rsid w:val="007845DF"/>
    <w:rsid w:val="007867BA"/>
    <w:rsid w:val="00786A8E"/>
    <w:rsid w:val="00790210"/>
    <w:rsid w:val="00790B90"/>
    <w:rsid w:val="00791624"/>
    <w:rsid w:val="00792B2A"/>
    <w:rsid w:val="007939C0"/>
    <w:rsid w:val="00794D98"/>
    <w:rsid w:val="00795132"/>
    <w:rsid w:val="007959EE"/>
    <w:rsid w:val="007965CF"/>
    <w:rsid w:val="00796F5A"/>
    <w:rsid w:val="007A20FF"/>
    <w:rsid w:val="007A3787"/>
    <w:rsid w:val="007A4C34"/>
    <w:rsid w:val="007A4C5F"/>
    <w:rsid w:val="007B0412"/>
    <w:rsid w:val="007B04C6"/>
    <w:rsid w:val="007B11DC"/>
    <w:rsid w:val="007B1509"/>
    <w:rsid w:val="007B4A4A"/>
    <w:rsid w:val="007B537C"/>
    <w:rsid w:val="007B6DB1"/>
    <w:rsid w:val="007B7811"/>
    <w:rsid w:val="007B7FFD"/>
    <w:rsid w:val="007C2374"/>
    <w:rsid w:val="007C3140"/>
    <w:rsid w:val="007C6A23"/>
    <w:rsid w:val="007C7902"/>
    <w:rsid w:val="007E170D"/>
    <w:rsid w:val="007E2CA2"/>
    <w:rsid w:val="007E3246"/>
    <w:rsid w:val="007E410E"/>
    <w:rsid w:val="007E49A1"/>
    <w:rsid w:val="007E4C29"/>
    <w:rsid w:val="007E70FB"/>
    <w:rsid w:val="007E72D3"/>
    <w:rsid w:val="007E7562"/>
    <w:rsid w:val="007E7881"/>
    <w:rsid w:val="007F1DEC"/>
    <w:rsid w:val="007F3D6F"/>
    <w:rsid w:val="007F6EAB"/>
    <w:rsid w:val="007F7C64"/>
    <w:rsid w:val="00801B81"/>
    <w:rsid w:val="00801BFB"/>
    <w:rsid w:val="008101E2"/>
    <w:rsid w:val="00811931"/>
    <w:rsid w:val="00814294"/>
    <w:rsid w:val="008164C8"/>
    <w:rsid w:val="00817AD1"/>
    <w:rsid w:val="00825592"/>
    <w:rsid w:val="00825636"/>
    <w:rsid w:val="00825829"/>
    <w:rsid w:val="00825F1D"/>
    <w:rsid w:val="008309EA"/>
    <w:rsid w:val="00831D7E"/>
    <w:rsid w:val="00832C53"/>
    <w:rsid w:val="008338C3"/>
    <w:rsid w:val="008339F4"/>
    <w:rsid w:val="00834D6E"/>
    <w:rsid w:val="008354EC"/>
    <w:rsid w:val="00836B70"/>
    <w:rsid w:val="0084104B"/>
    <w:rsid w:val="008412B2"/>
    <w:rsid w:val="00841412"/>
    <w:rsid w:val="0084208A"/>
    <w:rsid w:val="0084235F"/>
    <w:rsid w:val="00842D71"/>
    <w:rsid w:val="00843174"/>
    <w:rsid w:val="0084369A"/>
    <w:rsid w:val="0084426E"/>
    <w:rsid w:val="00844D6D"/>
    <w:rsid w:val="00846CB0"/>
    <w:rsid w:val="008470CD"/>
    <w:rsid w:val="008533D9"/>
    <w:rsid w:val="00855795"/>
    <w:rsid w:val="008568B4"/>
    <w:rsid w:val="008575BE"/>
    <w:rsid w:val="00864D8A"/>
    <w:rsid w:val="00866C1B"/>
    <w:rsid w:val="00872E54"/>
    <w:rsid w:val="00875D69"/>
    <w:rsid w:val="00876CD1"/>
    <w:rsid w:val="0088082D"/>
    <w:rsid w:val="00882B9A"/>
    <w:rsid w:val="00884A25"/>
    <w:rsid w:val="008869E2"/>
    <w:rsid w:val="0089167C"/>
    <w:rsid w:val="008939F1"/>
    <w:rsid w:val="008949AC"/>
    <w:rsid w:val="0089566B"/>
    <w:rsid w:val="00895CD8"/>
    <w:rsid w:val="008A2BE8"/>
    <w:rsid w:val="008A3CFB"/>
    <w:rsid w:val="008A7512"/>
    <w:rsid w:val="008B06A0"/>
    <w:rsid w:val="008B13C2"/>
    <w:rsid w:val="008B1D07"/>
    <w:rsid w:val="008B2E83"/>
    <w:rsid w:val="008B459A"/>
    <w:rsid w:val="008B5C26"/>
    <w:rsid w:val="008C0B7D"/>
    <w:rsid w:val="008C15BE"/>
    <w:rsid w:val="008C174A"/>
    <w:rsid w:val="008C60E1"/>
    <w:rsid w:val="008C7C31"/>
    <w:rsid w:val="008D1ECA"/>
    <w:rsid w:val="008D2038"/>
    <w:rsid w:val="008D24A1"/>
    <w:rsid w:val="008D56F0"/>
    <w:rsid w:val="008D7A13"/>
    <w:rsid w:val="008D7D3F"/>
    <w:rsid w:val="008E0ACC"/>
    <w:rsid w:val="008E2282"/>
    <w:rsid w:val="008E3B3D"/>
    <w:rsid w:val="008E45B5"/>
    <w:rsid w:val="008E55C2"/>
    <w:rsid w:val="008E5950"/>
    <w:rsid w:val="008E6D5E"/>
    <w:rsid w:val="008F463F"/>
    <w:rsid w:val="0090484E"/>
    <w:rsid w:val="00907B37"/>
    <w:rsid w:val="00910CCE"/>
    <w:rsid w:val="00913340"/>
    <w:rsid w:val="009134BB"/>
    <w:rsid w:val="00920283"/>
    <w:rsid w:val="009236A8"/>
    <w:rsid w:val="00924AEC"/>
    <w:rsid w:val="009273D1"/>
    <w:rsid w:val="0092785C"/>
    <w:rsid w:val="00927F96"/>
    <w:rsid w:val="00931447"/>
    <w:rsid w:val="0093453D"/>
    <w:rsid w:val="00935322"/>
    <w:rsid w:val="0093752B"/>
    <w:rsid w:val="00940EB8"/>
    <w:rsid w:val="009417A3"/>
    <w:rsid w:val="00941CA7"/>
    <w:rsid w:val="009435AC"/>
    <w:rsid w:val="00945379"/>
    <w:rsid w:val="009565D8"/>
    <w:rsid w:val="00964245"/>
    <w:rsid w:val="00970CD3"/>
    <w:rsid w:val="009746F3"/>
    <w:rsid w:val="00974E59"/>
    <w:rsid w:val="009763F2"/>
    <w:rsid w:val="00980FCC"/>
    <w:rsid w:val="00981C7C"/>
    <w:rsid w:val="009828CA"/>
    <w:rsid w:val="00982A2D"/>
    <w:rsid w:val="00983465"/>
    <w:rsid w:val="00983C17"/>
    <w:rsid w:val="009856E4"/>
    <w:rsid w:val="009870F8"/>
    <w:rsid w:val="00990959"/>
    <w:rsid w:val="00992437"/>
    <w:rsid w:val="0099372F"/>
    <w:rsid w:val="00993C08"/>
    <w:rsid w:val="009946DE"/>
    <w:rsid w:val="009952B2"/>
    <w:rsid w:val="0099611A"/>
    <w:rsid w:val="00996D64"/>
    <w:rsid w:val="009973CA"/>
    <w:rsid w:val="009975CE"/>
    <w:rsid w:val="009A13F0"/>
    <w:rsid w:val="009A4ABC"/>
    <w:rsid w:val="009A6CE9"/>
    <w:rsid w:val="009B10B2"/>
    <w:rsid w:val="009B4C96"/>
    <w:rsid w:val="009B4CF7"/>
    <w:rsid w:val="009B5DE3"/>
    <w:rsid w:val="009B5E88"/>
    <w:rsid w:val="009C03BC"/>
    <w:rsid w:val="009C1E75"/>
    <w:rsid w:val="009C4A22"/>
    <w:rsid w:val="009C4E38"/>
    <w:rsid w:val="009C7177"/>
    <w:rsid w:val="009D079F"/>
    <w:rsid w:val="009E0C85"/>
    <w:rsid w:val="009E2143"/>
    <w:rsid w:val="009E5410"/>
    <w:rsid w:val="009F26A3"/>
    <w:rsid w:val="009F4300"/>
    <w:rsid w:val="009F7D5C"/>
    <w:rsid w:val="00A007F1"/>
    <w:rsid w:val="00A01A6A"/>
    <w:rsid w:val="00A01AB1"/>
    <w:rsid w:val="00A03B4A"/>
    <w:rsid w:val="00A053EB"/>
    <w:rsid w:val="00A058D6"/>
    <w:rsid w:val="00A0739F"/>
    <w:rsid w:val="00A117DB"/>
    <w:rsid w:val="00A131D6"/>
    <w:rsid w:val="00A13AA1"/>
    <w:rsid w:val="00A16127"/>
    <w:rsid w:val="00A231D0"/>
    <w:rsid w:val="00A25946"/>
    <w:rsid w:val="00A25DC3"/>
    <w:rsid w:val="00A27B83"/>
    <w:rsid w:val="00A27CC6"/>
    <w:rsid w:val="00A300F7"/>
    <w:rsid w:val="00A33DEB"/>
    <w:rsid w:val="00A35039"/>
    <w:rsid w:val="00A400A0"/>
    <w:rsid w:val="00A40A1F"/>
    <w:rsid w:val="00A439E3"/>
    <w:rsid w:val="00A451EE"/>
    <w:rsid w:val="00A45B1A"/>
    <w:rsid w:val="00A4706B"/>
    <w:rsid w:val="00A471C7"/>
    <w:rsid w:val="00A52D21"/>
    <w:rsid w:val="00A562D0"/>
    <w:rsid w:val="00A5734E"/>
    <w:rsid w:val="00A61B46"/>
    <w:rsid w:val="00A62AC9"/>
    <w:rsid w:val="00A62F86"/>
    <w:rsid w:val="00A6364F"/>
    <w:rsid w:val="00A71553"/>
    <w:rsid w:val="00A824E8"/>
    <w:rsid w:val="00A827E4"/>
    <w:rsid w:val="00A83B68"/>
    <w:rsid w:val="00A905A8"/>
    <w:rsid w:val="00A90BEB"/>
    <w:rsid w:val="00A919A6"/>
    <w:rsid w:val="00A9597D"/>
    <w:rsid w:val="00A95C2D"/>
    <w:rsid w:val="00A969FC"/>
    <w:rsid w:val="00A96A95"/>
    <w:rsid w:val="00AA406B"/>
    <w:rsid w:val="00AA4D19"/>
    <w:rsid w:val="00AA66AE"/>
    <w:rsid w:val="00AB2AFE"/>
    <w:rsid w:val="00AB3BF7"/>
    <w:rsid w:val="00AC0240"/>
    <w:rsid w:val="00AC04A5"/>
    <w:rsid w:val="00AC36B6"/>
    <w:rsid w:val="00AC37E8"/>
    <w:rsid w:val="00AC458D"/>
    <w:rsid w:val="00AC4A95"/>
    <w:rsid w:val="00AD013A"/>
    <w:rsid w:val="00AD2C20"/>
    <w:rsid w:val="00AD4867"/>
    <w:rsid w:val="00AD4962"/>
    <w:rsid w:val="00AD50FA"/>
    <w:rsid w:val="00AD5966"/>
    <w:rsid w:val="00AD5AED"/>
    <w:rsid w:val="00AD7321"/>
    <w:rsid w:val="00AE03F5"/>
    <w:rsid w:val="00AE0C13"/>
    <w:rsid w:val="00AE0D78"/>
    <w:rsid w:val="00AE0F78"/>
    <w:rsid w:val="00AE101C"/>
    <w:rsid w:val="00AE2E8F"/>
    <w:rsid w:val="00AE4108"/>
    <w:rsid w:val="00AE417E"/>
    <w:rsid w:val="00AE71AF"/>
    <w:rsid w:val="00AE7EA9"/>
    <w:rsid w:val="00AF0186"/>
    <w:rsid w:val="00AF13FB"/>
    <w:rsid w:val="00AF163A"/>
    <w:rsid w:val="00AF2AAF"/>
    <w:rsid w:val="00B00350"/>
    <w:rsid w:val="00B0042E"/>
    <w:rsid w:val="00B0086C"/>
    <w:rsid w:val="00B00C06"/>
    <w:rsid w:val="00B01149"/>
    <w:rsid w:val="00B04E53"/>
    <w:rsid w:val="00B0656F"/>
    <w:rsid w:val="00B12C1B"/>
    <w:rsid w:val="00B1382D"/>
    <w:rsid w:val="00B1514A"/>
    <w:rsid w:val="00B16C1F"/>
    <w:rsid w:val="00B207A5"/>
    <w:rsid w:val="00B22AA2"/>
    <w:rsid w:val="00B2337F"/>
    <w:rsid w:val="00B23D86"/>
    <w:rsid w:val="00B31035"/>
    <w:rsid w:val="00B423A8"/>
    <w:rsid w:val="00B42EAA"/>
    <w:rsid w:val="00B47AC6"/>
    <w:rsid w:val="00B51830"/>
    <w:rsid w:val="00B5193A"/>
    <w:rsid w:val="00B52C32"/>
    <w:rsid w:val="00B549B3"/>
    <w:rsid w:val="00B54A78"/>
    <w:rsid w:val="00B55C18"/>
    <w:rsid w:val="00B700FA"/>
    <w:rsid w:val="00B70133"/>
    <w:rsid w:val="00B71473"/>
    <w:rsid w:val="00B72C92"/>
    <w:rsid w:val="00B73B8C"/>
    <w:rsid w:val="00B744FE"/>
    <w:rsid w:val="00B83066"/>
    <w:rsid w:val="00B83976"/>
    <w:rsid w:val="00B856EA"/>
    <w:rsid w:val="00B85CA2"/>
    <w:rsid w:val="00B87590"/>
    <w:rsid w:val="00B9565E"/>
    <w:rsid w:val="00B9703E"/>
    <w:rsid w:val="00B970C8"/>
    <w:rsid w:val="00BA2171"/>
    <w:rsid w:val="00BA62A7"/>
    <w:rsid w:val="00BA6BC1"/>
    <w:rsid w:val="00BA6D1F"/>
    <w:rsid w:val="00BB2DBD"/>
    <w:rsid w:val="00BB496B"/>
    <w:rsid w:val="00BB4CDC"/>
    <w:rsid w:val="00BB62EA"/>
    <w:rsid w:val="00BB6CB8"/>
    <w:rsid w:val="00BC045D"/>
    <w:rsid w:val="00BC1DF3"/>
    <w:rsid w:val="00BC1E76"/>
    <w:rsid w:val="00BC284D"/>
    <w:rsid w:val="00BC2E26"/>
    <w:rsid w:val="00BC414E"/>
    <w:rsid w:val="00BC589F"/>
    <w:rsid w:val="00BD1258"/>
    <w:rsid w:val="00BD280A"/>
    <w:rsid w:val="00BD2EC8"/>
    <w:rsid w:val="00BD66FC"/>
    <w:rsid w:val="00BE2D9E"/>
    <w:rsid w:val="00BE4225"/>
    <w:rsid w:val="00BE618C"/>
    <w:rsid w:val="00BF36A8"/>
    <w:rsid w:val="00BF47CD"/>
    <w:rsid w:val="00BF4B50"/>
    <w:rsid w:val="00BF5615"/>
    <w:rsid w:val="00BF56F8"/>
    <w:rsid w:val="00BF75B8"/>
    <w:rsid w:val="00C01A6B"/>
    <w:rsid w:val="00C02D33"/>
    <w:rsid w:val="00C07413"/>
    <w:rsid w:val="00C07436"/>
    <w:rsid w:val="00C109AB"/>
    <w:rsid w:val="00C13D0C"/>
    <w:rsid w:val="00C14B75"/>
    <w:rsid w:val="00C230D9"/>
    <w:rsid w:val="00C23AF7"/>
    <w:rsid w:val="00C25276"/>
    <w:rsid w:val="00C277E1"/>
    <w:rsid w:val="00C27A18"/>
    <w:rsid w:val="00C30006"/>
    <w:rsid w:val="00C3050B"/>
    <w:rsid w:val="00C33987"/>
    <w:rsid w:val="00C345CA"/>
    <w:rsid w:val="00C35167"/>
    <w:rsid w:val="00C36353"/>
    <w:rsid w:val="00C40EAC"/>
    <w:rsid w:val="00C4140D"/>
    <w:rsid w:val="00C42973"/>
    <w:rsid w:val="00C42B4F"/>
    <w:rsid w:val="00C5105C"/>
    <w:rsid w:val="00C52D9C"/>
    <w:rsid w:val="00C549AA"/>
    <w:rsid w:val="00C55809"/>
    <w:rsid w:val="00C60EBE"/>
    <w:rsid w:val="00C61921"/>
    <w:rsid w:val="00C66CDE"/>
    <w:rsid w:val="00C72658"/>
    <w:rsid w:val="00C7371E"/>
    <w:rsid w:val="00C74688"/>
    <w:rsid w:val="00C74CA8"/>
    <w:rsid w:val="00C768CA"/>
    <w:rsid w:val="00C773A1"/>
    <w:rsid w:val="00C83292"/>
    <w:rsid w:val="00C8371F"/>
    <w:rsid w:val="00C83D68"/>
    <w:rsid w:val="00C841D7"/>
    <w:rsid w:val="00C9285A"/>
    <w:rsid w:val="00C92915"/>
    <w:rsid w:val="00C935B3"/>
    <w:rsid w:val="00CA083C"/>
    <w:rsid w:val="00CA1821"/>
    <w:rsid w:val="00CA2762"/>
    <w:rsid w:val="00CA48FB"/>
    <w:rsid w:val="00CA5437"/>
    <w:rsid w:val="00CA7704"/>
    <w:rsid w:val="00CA77B1"/>
    <w:rsid w:val="00CB01A8"/>
    <w:rsid w:val="00CB145F"/>
    <w:rsid w:val="00CB1A2D"/>
    <w:rsid w:val="00CB63A3"/>
    <w:rsid w:val="00CC21F0"/>
    <w:rsid w:val="00CC31B3"/>
    <w:rsid w:val="00CD0BA6"/>
    <w:rsid w:val="00CD2F5E"/>
    <w:rsid w:val="00CD3445"/>
    <w:rsid w:val="00CD5EE2"/>
    <w:rsid w:val="00CD698F"/>
    <w:rsid w:val="00CD69A5"/>
    <w:rsid w:val="00CE09FF"/>
    <w:rsid w:val="00CE6F0D"/>
    <w:rsid w:val="00CF06B6"/>
    <w:rsid w:val="00CF174B"/>
    <w:rsid w:val="00CF1E07"/>
    <w:rsid w:val="00CF2C5E"/>
    <w:rsid w:val="00CF47BC"/>
    <w:rsid w:val="00CF663B"/>
    <w:rsid w:val="00D01118"/>
    <w:rsid w:val="00D01904"/>
    <w:rsid w:val="00D029A6"/>
    <w:rsid w:val="00D039D9"/>
    <w:rsid w:val="00D05830"/>
    <w:rsid w:val="00D05C1E"/>
    <w:rsid w:val="00D07B0A"/>
    <w:rsid w:val="00D105D1"/>
    <w:rsid w:val="00D1240C"/>
    <w:rsid w:val="00D13888"/>
    <w:rsid w:val="00D14129"/>
    <w:rsid w:val="00D147D3"/>
    <w:rsid w:val="00D23853"/>
    <w:rsid w:val="00D24A8F"/>
    <w:rsid w:val="00D26BE6"/>
    <w:rsid w:val="00D3207A"/>
    <w:rsid w:val="00D33326"/>
    <w:rsid w:val="00D33F6A"/>
    <w:rsid w:val="00D355DB"/>
    <w:rsid w:val="00D406E9"/>
    <w:rsid w:val="00D430A6"/>
    <w:rsid w:val="00D4467D"/>
    <w:rsid w:val="00D50BC8"/>
    <w:rsid w:val="00D51DB3"/>
    <w:rsid w:val="00D53858"/>
    <w:rsid w:val="00D62D86"/>
    <w:rsid w:val="00D64199"/>
    <w:rsid w:val="00D65025"/>
    <w:rsid w:val="00D71234"/>
    <w:rsid w:val="00D719C9"/>
    <w:rsid w:val="00D73EA0"/>
    <w:rsid w:val="00D74EB2"/>
    <w:rsid w:val="00D81179"/>
    <w:rsid w:val="00D8140D"/>
    <w:rsid w:val="00D83D46"/>
    <w:rsid w:val="00D84C39"/>
    <w:rsid w:val="00D85D2E"/>
    <w:rsid w:val="00D86851"/>
    <w:rsid w:val="00D87F37"/>
    <w:rsid w:val="00D91908"/>
    <w:rsid w:val="00D9230C"/>
    <w:rsid w:val="00D9603A"/>
    <w:rsid w:val="00D96A88"/>
    <w:rsid w:val="00DA1AF3"/>
    <w:rsid w:val="00DA4C0A"/>
    <w:rsid w:val="00DA5C09"/>
    <w:rsid w:val="00DA626C"/>
    <w:rsid w:val="00DA6631"/>
    <w:rsid w:val="00DA6DB3"/>
    <w:rsid w:val="00DB248B"/>
    <w:rsid w:val="00DB47A4"/>
    <w:rsid w:val="00DB4956"/>
    <w:rsid w:val="00DB49A0"/>
    <w:rsid w:val="00DB5E51"/>
    <w:rsid w:val="00DB604B"/>
    <w:rsid w:val="00DC1517"/>
    <w:rsid w:val="00DC1B49"/>
    <w:rsid w:val="00DC7174"/>
    <w:rsid w:val="00DD0DDE"/>
    <w:rsid w:val="00DD3B6A"/>
    <w:rsid w:val="00DD3BEC"/>
    <w:rsid w:val="00DD461C"/>
    <w:rsid w:val="00DD54A3"/>
    <w:rsid w:val="00DD56B1"/>
    <w:rsid w:val="00DD5D6F"/>
    <w:rsid w:val="00DD5EE2"/>
    <w:rsid w:val="00DE54A9"/>
    <w:rsid w:val="00DF31AA"/>
    <w:rsid w:val="00DF33F2"/>
    <w:rsid w:val="00DF4768"/>
    <w:rsid w:val="00DF4D95"/>
    <w:rsid w:val="00DF5A62"/>
    <w:rsid w:val="00DF72B9"/>
    <w:rsid w:val="00E001B9"/>
    <w:rsid w:val="00E007CA"/>
    <w:rsid w:val="00E00A24"/>
    <w:rsid w:val="00E0214C"/>
    <w:rsid w:val="00E02898"/>
    <w:rsid w:val="00E105F0"/>
    <w:rsid w:val="00E10F04"/>
    <w:rsid w:val="00E12CE5"/>
    <w:rsid w:val="00E1582C"/>
    <w:rsid w:val="00E20D21"/>
    <w:rsid w:val="00E215DB"/>
    <w:rsid w:val="00E26C70"/>
    <w:rsid w:val="00E271DC"/>
    <w:rsid w:val="00E3008F"/>
    <w:rsid w:val="00E30FBC"/>
    <w:rsid w:val="00E31318"/>
    <w:rsid w:val="00E31FDB"/>
    <w:rsid w:val="00E326EE"/>
    <w:rsid w:val="00E33794"/>
    <w:rsid w:val="00E34558"/>
    <w:rsid w:val="00E349F3"/>
    <w:rsid w:val="00E374E8"/>
    <w:rsid w:val="00E444DF"/>
    <w:rsid w:val="00E44842"/>
    <w:rsid w:val="00E47D90"/>
    <w:rsid w:val="00E47FB8"/>
    <w:rsid w:val="00E51EB8"/>
    <w:rsid w:val="00E5557C"/>
    <w:rsid w:val="00E56E1E"/>
    <w:rsid w:val="00E615E5"/>
    <w:rsid w:val="00E62DA2"/>
    <w:rsid w:val="00E64F48"/>
    <w:rsid w:val="00E64FC7"/>
    <w:rsid w:val="00E716A6"/>
    <w:rsid w:val="00E721F2"/>
    <w:rsid w:val="00E725EC"/>
    <w:rsid w:val="00E73700"/>
    <w:rsid w:val="00E75E47"/>
    <w:rsid w:val="00E764E8"/>
    <w:rsid w:val="00E809EF"/>
    <w:rsid w:val="00E80A7D"/>
    <w:rsid w:val="00E81179"/>
    <w:rsid w:val="00E83C01"/>
    <w:rsid w:val="00E85247"/>
    <w:rsid w:val="00E85924"/>
    <w:rsid w:val="00E8627A"/>
    <w:rsid w:val="00E9043A"/>
    <w:rsid w:val="00E91AE3"/>
    <w:rsid w:val="00E9352D"/>
    <w:rsid w:val="00E93B2D"/>
    <w:rsid w:val="00E94B12"/>
    <w:rsid w:val="00E965C4"/>
    <w:rsid w:val="00E9778B"/>
    <w:rsid w:val="00EA0078"/>
    <w:rsid w:val="00EA07ED"/>
    <w:rsid w:val="00EA313A"/>
    <w:rsid w:val="00EA3529"/>
    <w:rsid w:val="00EA6690"/>
    <w:rsid w:val="00EA7359"/>
    <w:rsid w:val="00EB254A"/>
    <w:rsid w:val="00EB5B7E"/>
    <w:rsid w:val="00EB60CF"/>
    <w:rsid w:val="00EB653B"/>
    <w:rsid w:val="00EB6E81"/>
    <w:rsid w:val="00EC0F17"/>
    <w:rsid w:val="00EC1527"/>
    <w:rsid w:val="00EC1914"/>
    <w:rsid w:val="00EC5166"/>
    <w:rsid w:val="00EC7965"/>
    <w:rsid w:val="00ED24C5"/>
    <w:rsid w:val="00ED4066"/>
    <w:rsid w:val="00ED4275"/>
    <w:rsid w:val="00ED4F87"/>
    <w:rsid w:val="00EE034B"/>
    <w:rsid w:val="00EE198C"/>
    <w:rsid w:val="00EE69FC"/>
    <w:rsid w:val="00EE6B5B"/>
    <w:rsid w:val="00EF0BE0"/>
    <w:rsid w:val="00EF46AA"/>
    <w:rsid w:val="00EF5E48"/>
    <w:rsid w:val="00F00E25"/>
    <w:rsid w:val="00F01047"/>
    <w:rsid w:val="00F0352E"/>
    <w:rsid w:val="00F04641"/>
    <w:rsid w:val="00F11962"/>
    <w:rsid w:val="00F12A67"/>
    <w:rsid w:val="00F12D02"/>
    <w:rsid w:val="00F13F1B"/>
    <w:rsid w:val="00F14C8F"/>
    <w:rsid w:val="00F155D5"/>
    <w:rsid w:val="00F15BC1"/>
    <w:rsid w:val="00F15E0D"/>
    <w:rsid w:val="00F17A2C"/>
    <w:rsid w:val="00F17D7F"/>
    <w:rsid w:val="00F20FC1"/>
    <w:rsid w:val="00F21FB8"/>
    <w:rsid w:val="00F252B0"/>
    <w:rsid w:val="00F25792"/>
    <w:rsid w:val="00F27883"/>
    <w:rsid w:val="00F30A6E"/>
    <w:rsid w:val="00F30D84"/>
    <w:rsid w:val="00F30E4C"/>
    <w:rsid w:val="00F31D6E"/>
    <w:rsid w:val="00F32163"/>
    <w:rsid w:val="00F32E07"/>
    <w:rsid w:val="00F33F64"/>
    <w:rsid w:val="00F354AD"/>
    <w:rsid w:val="00F40472"/>
    <w:rsid w:val="00F40D38"/>
    <w:rsid w:val="00F41DEA"/>
    <w:rsid w:val="00F42881"/>
    <w:rsid w:val="00F42FAC"/>
    <w:rsid w:val="00F43A14"/>
    <w:rsid w:val="00F43BD2"/>
    <w:rsid w:val="00F4510A"/>
    <w:rsid w:val="00F501CE"/>
    <w:rsid w:val="00F51A04"/>
    <w:rsid w:val="00F53A8F"/>
    <w:rsid w:val="00F551E6"/>
    <w:rsid w:val="00F55A04"/>
    <w:rsid w:val="00F5725C"/>
    <w:rsid w:val="00F61BD4"/>
    <w:rsid w:val="00F66381"/>
    <w:rsid w:val="00F67EE2"/>
    <w:rsid w:val="00F740BE"/>
    <w:rsid w:val="00F74556"/>
    <w:rsid w:val="00F76CC1"/>
    <w:rsid w:val="00F801BB"/>
    <w:rsid w:val="00F81C9D"/>
    <w:rsid w:val="00F85B04"/>
    <w:rsid w:val="00F90993"/>
    <w:rsid w:val="00F91585"/>
    <w:rsid w:val="00F91D5A"/>
    <w:rsid w:val="00F94DBB"/>
    <w:rsid w:val="00F94F47"/>
    <w:rsid w:val="00F96FAA"/>
    <w:rsid w:val="00FA1E5C"/>
    <w:rsid w:val="00FA4510"/>
    <w:rsid w:val="00FA5CCE"/>
    <w:rsid w:val="00FA65AE"/>
    <w:rsid w:val="00FA6DA6"/>
    <w:rsid w:val="00FB0998"/>
    <w:rsid w:val="00FB177D"/>
    <w:rsid w:val="00FB21D1"/>
    <w:rsid w:val="00FB54CA"/>
    <w:rsid w:val="00FB57CC"/>
    <w:rsid w:val="00FB5EF3"/>
    <w:rsid w:val="00FB604E"/>
    <w:rsid w:val="00FB634D"/>
    <w:rsid w:val="00FC2670"/>
    <w:rsid w:val="00FC3387"/>
    <w:rsid w:val="00FC355E"/>
    <w:rsid w:val="00FC48B6"/>
    <w:rsid w:val="00FC500F"/>
    <w:rsid w:val="00FC5FE0"/>
    <w:rsid w:val="00FC7E7C"/>
    <w:rsid w:val="00FD0C41"/>
    <w:rsid w:val="00FD170D"/>
    <w:rsid w:val="00FD1756"/>
    <w:rsid w:val="00FD3A3C"/>
    <w:rsid w:val="00FD439D"/>
    <w:rsid w:val="00FD4B79"/>
    <w:rsid w:val="00FD6EAA"/>
    <w:rsid w:val="00FE235D"/>
    <w:rsid w:val="00FE4133"/>
    <w:rsid w:val="00FF10B2"/>
    <w:rsid w:val="00FF1FD4"/>
    <w:rsid w:val="00FF21BF"/>
    <w:rsid w:val="00FF234D"/>
    <w:rsid w:val="00FF425E"/>
    <w:rsid w:val="00FF52D6"/>
    <w:rsid w:val="1AF4918D"/>
    <w:rsid w:val="20532F7E"/>
    <w:rsid w:val="3F1EB211"/>
    <w:rsid w:val="573A1436"/>
    <w:rsid w:val="5EB2F338"/>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4E5236"/>
  <w15:chartTrackingRefBased/>
  <w15:docId w15:val="{E16C050D-B180-4244-9CB0-2BB63897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394D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4A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451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227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731"/>
    <w:rPr>
      <w:lang w:val="es-ES"/>
    </w:rPr>
  </w:style>
  <w:style w:type="paragraph" w:styleId="Piedepgina">
    <w:name w:val="footer"/>
    <w:basedOn w:val="Normal"/>
    <w:link w:val="PiedepginaCar"/>
    <w:uiPriority w:val="99"/>
    <w:unhideWhenUsed/>
    <w:rsid w:val="002B6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731"/>
    <w:rPr>
      <w:lang w:val="es-ES"/>
    </w:rPr>
  </w:style>
  <w:style w:type="character" w:styleId="Hipervnculo">
    <w:name w:val="Hyperlink"/>
    <w:basedOn w:val="Fuentedeprrafopredeter"/>
    <w:uiPriority w:val="99"/>
    <w:rsid w:val="002B6731"/>
    <w:rPr>
      <w:color w:val="0000FF"/>
      <w:u w:val="single"/>
    </w:rPr>
  </w:style>
  <w:style w:type="paragraph" w:customStyle="1" w:styleId="paragraph">
    <w:name w:val="paragraph"/>
    <w:basedOn w:val="Normal"/>
    <w:rsid w:val="002B6731"/>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2B6731"/>
  </w:style>
  <w:style w:type="character" w:customStyle="1" w:styleId="eop">
    <w:name w:val="eop"/>
    <w:basedOn w:val="Fuentedeprrafopredeter"/>
    <w:rsid w:val="002B6731"/>
  </w:style>
  <w:style w:type="character" w:customStyle="1" w:styleId="Ttulo1Car">
    <w:name w:val="Título 1 Car"/>
    <w:basedOn w:val="Fuentedeprrafopredeter"/>
    <w:link w:val="Ttulo1"/>
    <w:uiPriority w:val="9"/>
    <w:rsid w:val="00394DBE"/>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F27883"/>
    <w:pPr>
      <w:spacing w:line="259" w:lineRule="auto"/>
      <w:outlineLvl w:val="9"/>
    </w:pPr>
    <w:rPr>
      <w:lang w:val="es-CR" w:eastAsia="es-CR"/>
    </w:rPr>
  </w:style>
  <w:style w:type="paragraph" w:styleId="TDC2">
    <w:name w:val="toc 2"/>
    <w:basedOn w:val="Normal"/>
    <w:next w:val="Normal"/>
    <w:autoRedefine/>
    <w:uiPriority w:val="39"/>
    <w:unhideWhenUsed/>
    <w:rsid w:val="00F27883"/>
    <w:pPr>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F27883"/>
    <w:pPr>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F27883"/>
    <w:pPr>
      <w:spacing w:after="100" w:line="259" w:lineRule="auto"/>
      <w:ind w:left="440"/>
    </w:pPr>
    <w:rPr>
      <w:rFonts w:eastAsiaTheme="minorEastAsia" w:cs="Times New Roman"/>
      <w:lang w:val="es-CR" w:eastAsia="es-CR"/>
    </w:rPr>
  </w:style>
  <w:style w:type="paragraph" w:styleId="Textonotapie">
    <w:name w:val="footnote text"/>
    <w:basedOn w:val="Normal"/>
    <w:link w:val="TextonotapieCar"/>
    <w:uiPriority w:val="99"/>
    <w:semiHidden/>
    <w:unhideWhenUsed/>
    <w:rsid w:val="00700711"/>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00711"/>
    <w:rPr>
      <w:rFonts w:ascii="Calibri" w:eastAsia="Calibri" w:hAnsi="Calibri" w:cs="Times New Roman"/>
      <w:sz w:val="20"/>
      <w:szCs w:val="20"/>
      <w:lang w:val="es-ES"/>
    </w:rPr>
  </w:style>
  <w:style w:type="character" w:styleId="Refdenotaalpie">
    <w:name w:val="footnote reference"/>
    <w:uiPriority w:val="99"/>
    <w:semiHidden/>
    <w:unhideWhenUsed/>
    <w:rsid w:val="00700711"/>
    <w:rPr>
      <w:vertAlign w:val="superscript"/>
    </w:rPr>
  </w:style>
  <w:style w:type="table" w:styleId="Tablaconcuadrcula4-nfasis1">
    <w:name w:val="Grid Table 4 Accent 1"/>
    <w:basedOn w:val="Tablanormal"/>
    <w:uiPriority w:val="49"/>
    <w:rsid w:val="0070071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2Car">
    <w:name w:val="Título 2 Car"/>
    <w:basedOn w:val="Fuentedeprrafopredeter"/>
    <w:link w:val="Ttulo2"/>
    <w:uiPriority w:val="9"/>
    <w:rsid w:val="009C4A22"/>
    <w:rPr>
      <w:rFonts w:asciiTheme="majorHAnsi" w:eastAsiaTheme="majorEastAsia" w:hAnsiTheme="majorHAnsi" w:cstheme="majorBidi"/>
      <w:color w:val="365F91" w:themeColor="accent1" w:themeShade="BF"/>
      <w:sz w:val="26"/>
      <w:szCs w:val="26"/>
      <w:lang w:val="es-ES"/>
    </w:rPr>
  </w:style>
  <w:style w:type="paragraph" w:styleId="Prrafodelista">
    <w:name w:val="List Paragraph"/>
    <w:aliases w:val="Informe"/>
    <w:basedOn w:val="Normal"/>
    <w:link w:val="PrrafodelistaCar"/>
    <w:uiPriority w:val="34"/>
    <w:qFormat/>
    <w:rsid w:val="00405190"/>
    <w:pPr>
      <w:ind w:left="720"/>
      <w:contextualSpacing/>
    </w:pPr>
  </w:style>
  <w:style w:type="paragraph" w:styleId="Descripcin">
    <w:name w:val="caption"/>
    <w:basedOn w:val="Normal"/>
    <w:next w:val="Normal"/>
    <w:uiPriority w:val="35"/>
    <w:unhideWhenUsed/>
    <w:qFormat/>
    <w:rsid w:val="00F96FAA"/>
    <w:pPr>
      <w:spacing w:line="240" w:lineRule="auto"/>
    </w:pPr>
    <w:rPr>
      <w:i/>
      <w:iCs/>
      <w:color w:val="1F497D" w:themeColor="text2"/>
      <w:sz w:val="18"/>
      <w:szCs w:val="18"/>
    </w:rPr>
  </w:style>
  <w:style w:type="table" w:styleId="Tablanormal1">
    <w:name w:val="Plain Table 1"/>
    <w:basedOn w:val="Tablanormal"/>
    <w:uiPriority w:val="41"/>
    <w:rsid w:val="00560B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31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447"/>
    <w:rPr>
      <w:rFonts w:ascii="Segoe UI" w:hAnsi="Segoe UI" w:cs="Segoe UI"/>
      <w:sz w:val="18"/>
      <w:szCs w:val="18"/>
      <w:lang w:val="es-ES"/>
    </w:rPr>
  </w:style>
  <w:style w:type="table" w:styleId="Tablaconcuadrcula4-nfasis5">
    <w:name w:val="Grid Table 4 Accent 5"/>
    <w:basedOn w:val="Tablanormal"/>
    <w:uiPriority w:val="49"/>
    <w:rsid w:val="00585CF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021969"/>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021969"/>
    <w:rPr>
      <w:lang w:val="es-ES"/>
    </w:rPr>
  </w:style>
  <w:style w:type="character" w:customStyle="1" w:styleId="normaltextrun">
    <w:name w:val="normaltextrun"/>
    <w:basedOn w:val="Fuentedeprrafopredeter"/>
    <w:rsid w:val="00021969"/>
  </w:style>
  <w:style w:type="character" w:customStyle="1" w:styleId="Ttulo3Car">
    <w:name w:val="Título 3 Car"/>
    <w:basedOn w:val="Fuentedeprrafopredeter"/>
    <w:link w:val="Ttulo3"/>
    <w:uiPriority w:val="9"/>
    <w:rsid w:val="00A451EE"/>
    <w:rPr>
      <w:rFonts w:asciiTheme="majorHAnsi" w:eastAsiaTheme="majorEastAsia" w:hAnsiTheme="majorHAnsi" w:cstheme="majorBidi"/>
      <w:color w:val="243F60" w:themeColor="accent1" w:themeShade="7F"/>
      <w:sz w:val="24"/>
      <w:szCs w:val="24"/>
      <w:lang w:val="es-ES"/>
    </w:rPr>
  </w:style>
  <w:style w:type="paragraph" w:styleId="Textocomentario">
    <w:name w:val="annotation text"/>
    <w:basedOn w:val="Normal"/>
    <w:link w:val="TextocomentarioCar"/>
    <w:uiPriority w:val="99"/>
    <w:semiHidden/>
    <w:unhideWhenUsed/>
    <w:rsid w:val="00571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52B"/>
    <w:rPr>
      <w:sz w:val="20"/>
      <w:szCs w:val="20"/>
      <w:lang w:val="es-ES"/>
    </w:rPr>
  </w:style>
  <w:style w:type="character" w:styleId="Refdecomentario">
    <w:name w:val="annotation reference"/>
    <w:basedOn w:val="Fuentedeprrafopredeter"/>
    <w:uiPriority w:val="99"/>
    <w:semiHidden/>
    <w:unhideWhenUsed/>
    <w:rsid w:val="0057152B"/>
    <w:rPr>
      <w:sz w:val="16"/>
      <w:szCs w:val="16"/>
    </w:rPr>
  </w:style>
  <w:style w:type="character" w:customStyle="1" w:styleId="hps">
    <w:name w:val="hps"/>
    <w:basedOn w:val="Fuentedeprrafopredeter"/>
    <w:rsid w:val="008C0B7D"/>
  </w:style>
  <w:style w:type="table" w:styleId="Tablaconcuadrcula5oscura-nfasis1">
    <w:name w:val="Grid Table 5 Dark Accent 1"/>
    <w:basedOn w:val="Tablanormal"/>
    <w:uiPriority w:val="50"/>
    <w:rsid w:val="001D5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E26C7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tulo4Car">
    <w:name w:val="Título 4 Car"/>
    <w:basedOn w:val="Fuentedeprrafopredeter"/>
    <w:link w:val="Ttulo4"/>
    <w:uiPriority w:val="9"/>
    <w:semiHidden/>
    <w:rsid w:val="00622780"/>
    <w:rPr>
      <w:rFonts w:asciiTheme="majorHAnsi" w:eastAsiaTheme="majorEastAsia" w:hAnsiTheme="majorHAnsi" w:cstheme="majorBidi"/>
      <w:i/>
      <w:iCs/>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726">
      <w:bodyDiv w:val="1"/>
      <w:marLeft w:val="0"/>
      <w:marRight w:val="0"/>
      <w:marTop w:val="0"/>
      <w:marBottom w:val="0"/>
      <w:divBdr>
        <w:top w:val="none" w:sz="0" w:space="0" w:color="auto"/>
        <w:left w:val="none" w:sz="0" w:space="0" w:color="auto"/>
        <w:bottom w:val="none" w:sz="0" w:space="0" w:color="auto"/>
        <w:right w:val="none" w:sz="0" w:space="0" w:color="auto"/>
      </w:divBdr>
      <w:divsChild>
        <w:div w:id="742334244">
          <w:marLeft w:val="0"/>
          <w:marRight w:val="0"/>
          <w:marTop w:val="0"/>
          <w:marBottom w:val="0"/>
          <w:divBdr>
            <w:top w:val="none" w:sz="0" w:space="0" w:color="auto"/>
            <w:left w:val="none" w:sz="0" w:space="0" w:color="auto"/>
            <w:bottom w:val="none" w:sz="0" w:space="0" w:color="auto"/>
            <w:right w:val="none" w:sz="0" w:space="0" w:color="auto"/>
          </w:divBdr>
        </w:div>
      </w:divsChild>
    </w:div>
    <w:div w:id="191043176">
      <w:bodyDiv w:val="1"/>
      <w:marLeft w:val="0"/>
      <w:marRight w:val="0"/>
      <w:marTop w:val="0"/>
      <w:marBottom w:val="0"/>
      <w:divBdr>
        <w:top w:val="none" w:sz="0" w:space="0" w:color="auto"/>
        <w:left w:val="none" w:sz="0" w:space="0" w:color="auto"/>
        <w:bottom w:val="none" w:sz="0" w:space="0" w:color="auto"/>
        <w:right w:val="none" w:sz="0" w:space="0" w:color="auto"/>
      </w:divBdr>
      <w:divsChild>
        <w:div w:id="90591348">
          <w:marLeft w:val="547"/>
          <w:marRight w:val="0"/>
          <w:marTop w:val="0"/>
          <w:marBottom w:val="0"/>
          <w:divBdr>
            <w:top w:val="none" w:sz="0" w:space="0" w:color="auto"/>
            <w:left w:val="none" w:sz="0" w:space="0" w:color="auto"/>
            <w:bottom w:val="none" w:sz="0" w:space="0" w:color="auto"/>
            <w:right w:val="none" w:sz="0" w:space="0" w:color="auto"/>
          </w:divBdr>
        </w:div>
      </w:divsChild>
    </w:div>
    <w:div w:id="383985756">
      <w:bodyDiv w:val="1"/>
      <w:marLeft w:val="0"/>
      <w:marRight w:val="0"/>
      <w:marTop w:val="0"/>
      <w:marBottom w:val="0"/>
      <w:divBdr>
        <w:top w:val="none" w:sz="0" w:space="0" w:color="auto"/>
        <w:left w:val="none" w:sz="0" w:space="0" w:color="auto"/>
        <w:bottom w:val="none" w:sz="0" w:space="0" w:color="auto"/>
        <w:right w:val="none" w:sz="0" w:space="0" w:color="auto"/>
      </w:divBdr>
    </w:div>
    <w:div w:id="434135216">
      <w:bodyDiv w:val="1"/>
      <w:marLeft w:val="0"/>
      <w:marRight w:val="0"/>
      <w:marTop w:val="0"/>
      <w:marBottom w:val="0"/>
      <w:divBdr>
        <w:top w:val="none" w:sz="0" w:space="0" w:color="auto"/>
        <w:left w:val="none" w:sz="0" w:space="0" w:color="auto"/>
        <w:bottom w:val="none" w:sz="0" w:space="0" w:color="auto"/>
        <w:right w:val="none" w:sz="0" w:space="0" w:color="auto"/>
      </w:divBdr>
    </w:div>
    <w:div w:id="553203483">
      <w:bodyDiv w:val="1"/>
      <w:marLeft w:val="0"/>
      <w:marRight w:val="0"/>
      <w:marTop w:val="0"/>
      <w:marBottom w:val="0"/>
      <w:divBdr>
        <w:top w:val="none" w:sz="0" w:space="0" w:color="auto"/>
        <w:left w:val="none" w:sz="0" w:space="0" w:color="auto"/>
        <w:bottom w:val="none" w:sz="0" w:space="0" w:color="auto"/>
        <w:right w:val="none" w:sz="0" w:space="0" w:color="auto"/>
      </w:divBdr>
    </w:div>
    <w:div w:id="731389772">
      <w:bodyDiv w:val="1"/>
      <w:marLeft w:val="0"/>
      <w:marRight w:val="0"/>
      <w:marTop w:val="0"/>
      <w:marBottom w:val="0"/>
      <w:divBdr>
        <w:top w:val="none" w:sz="0" w:space="0" w:color="auto"/>
        <w:left w:val="none" w:sz="0" w:space="0" w:color="auto"/>
        <w:bottom w:val="none" w:sz="0" w:space="0" w:color="auto"/>
        <w:right w:val="none" w:sz="0" w:space="0" w:color="auto"/>
      </w:divBdr>
    </w:div>
    <w:div w:id="751588255">
      <w:bodyDiv w:val="1"/>
      <w:marLeft w:val="0"/>
      <w:marRight w:val="0"/>
      <w:marTop w:val="0"/>
      <w:marBottom w:val="0"/>
      <w:divBdr>
        <w:top w:val="none" w:sz="0" w:space="0" w:color="auto"/>
        <w:left w:val="none" w:sz="0" w:space="0" w:color="auto"/>
        <w:bottom w:val="none" w:sz="0" w:space="0" w:color="auto"/>
        <w:right w:val="none" w:sz="0" w:space="0" w:color="auto"/>
      </w:divBdr>
    </w:div>
    <w:div w:id="805202811">
      <w:bodyDiv w:val="1"/>
      <w:marLeft w:val="0"/>
      <w:marRight w:val="0"/>
      <w:marTop w:val="0"/>
      <w:marBottom w:val="0"/>
      <w:divBdr>
        <w:top w:val="none" w:sz="0" w:space="0" w:color="auto"/>
        <w:left w:val="none" w:sz="0" w:space="0" w:color="auto"/>
        <w:bottom w:val="none" w:sz="0" w:space="0" w:color="auto"/>
        <w:right w:val="none" w:sz="0" w:space="0" w:color="auto"/>
      </w:divBdr>
    </w:div>
    <w:div w:id="805968758">
      <w:bodyDiv w:val="1"/>
      <w:marLeft w:val="0"/>
      <w:marRight w:val="0"/>
      <w:marTop w:val="0"/>
      <w:marBottom w:val="0"/>
      <w:divBdr>
        <w:top w:val="none" w:sz="0" w:space="0" w:color="auto"/>
        <w:left w:val="none" w:sz="0" w:space="0" w:color="auto"/>
        <w:bottom w:val="none" w:sz="0" w:space="0" w:color="auto"/>
        <w:right w:val="none" w:sz="0" w:space="0" w:color="auto"/>
      </w:divBdr>
    </w:div>
    <w:div w:id="815728078">
      <w:bodyDiv w:val="1"/>
      <w:marLeft w:val="0"/>
      <w:marRight w:val="0"/>
      <w:marTop w:val="0"/>
      <w:marBottom w:val="0"/>
      <w:divBdr>
        <w:top w:val="none" w:sz="0" w:space="0" w:color="auto"/>
        <w:left w:val="none" w:sz="0" w:space="0" w:color="auto"/>
        <w:bottom w:val="none" w:sz="0" w:space="0" w:color="auto"/>
        <w:right w:val="none" w:sz="0" w:space="0" w:color="auto"/>
      </w:divBdr>
    </w:div>
    <w:div w:id="873611667">
      <w:bodyDiv w:val="1"/>
      <w:marLeft w:val="0"/>
      <w:marRight w:val="0"/>
      <w:marTop w:val="0"/>
      <w:marBottom w:val="0"/>
      <w:divBdr>
        <w:top w:val="none" w:sz="0" w:space="0" w:color="auto"/>
        <w:left w:val="none" w:sz="0" w:space="0" w:color="auto"/>
        <w:bottom w:val="none" w:sz="0" w:space="0" w:color="auto"/>
        <w:right w:val="none" w:sz="0" w:space="0" w:color="auto"/>
      </w:divBdr>
    </w:div>
    <w:div w:id="1103695502">
      <w:bodyDiv w:val="1"/>
      <w:marLeft w:val="0"/>
      <w:marRight w:val="0"/>
      <w:marTop w:val="0"/>
      <w:marBottom w:val="0"/>
      <w:divBdr>
        <w:top w:val="none" w:sz="0" w:space="0" w:color="auto"/>
        <w:left w:val="none" w:sz="0" w:space="0" w:color="auto"/>
        <w:bottom w:val="none" w:sz="0" w:space="0" w:color="auto"/>
        <w:right w:val="none" w:sz="0" w:space="0" w:color="auto"/>
      </w:divBdr>
    </w:div>
    <w:div w:id="1156528250">
      <w:bodyDiv w:val="1"/>
      <w:marLeft w:val="0"/>
      <w:marRight w:val="0"/>
      <w:marTop w:val="0"/>
      <w:marBottom w:val="0"/>
      <w:divBdr>
        <w:top w:val="none" w:sz="0" w:space="0" w:color="auto"/>
        <w:left w:val="none" w:sz="0" w:space="0" w:color="auto"/>
        <w:bottom w:val="none" w:sz="0" w:space="0" w:color="auto"/>
        <w:right w:val="none" w:sz="0" w:space="0" w:color="auto"/>
      </w:divBdr>
    </w:div>
    <w:div w:id="1305700170">
      <w:bodyDiv w:val="1"/>
      <w:marLeft w:val="0"/>
      <w:marRight w:val="0"/>
      <w:marTop w:val="0"/>
      <w:marBottom w:val="0"/>
      <w:divBdr>
        <w:top w:val="none" w:sz="0" w:space="0" w:color="auto"/>
        <w:left w:val="none" w:sz="0" w:space="0" w:color="auto"/>
        <w:bottom w:val="none" w:sz="0" w:space="0" w:color="auto"/>
        <w:right w:val="none" w:sz="0" w:space="0" w:color="auto"/>
      </w:divBdr>
    </w:div>
    <w:div w:id="1314093654">
      <w:bodyDiv w:val="1"/>
      <w:marLeft w:val="0"/>
      <w:marRight w:val="0"/>
      <w:marTop w:val="0"/>
      <w:marBottom w:val="0"/>
      <w:divBdr>
        <w:top w:val="none" w:sz="0" w:space="0" w:color="auto"/>
        <w:left w:val="none" w:sz="0" w:space="0" w:color="auto"/>
        <w:bottom w:val="none" w:sz="0" w:space="0" w:color="auto"/>
        <w:right w:val="none" w:sz="0" w:space="0" w:color="auto"/>
      </w:divBdr>
      <w:divsChild>
        <w:div w:id="99763100">
          <w:marLeft w:val="0"/>
          <w:marRight w:val="0"/>
          <w:marTop w:val="0"/>
          <w:marBottom w:val="0"/>
          <w:divBdr>
            <w:top w:val="none" w:sz="0" w:space="0" w:color="auto"/>
            <w:left w:val="none" w:sz="0" w:space="0" w:color="auto"/>
            <w:bottom w:val="none" w:sz="0" w:space="0" w:color="auto"/>
            <w:right w:val="none" w:sz="0" w:space="0" w:color="auto"/>
          </w:divBdr>
          <w:divsChild>
            <w:div w:id="960959710">
              <w:marLeft w:val="0"/>
              <w:marRight w:val="0"/>
              <w:marTop w:val="0"/>
              <w:marBottom w:val="0"/>
              <w:divBdr>
                <w:top w:val="none" w:sz="0" w:space="0" w:color="auto"/>
                <w:left w:val="none" w:sz="0" w:space="0" w:color="auto"/>
                <w:bottom w:val="none" w:sz="0" w:space="0" w:color="auto"/>
                <w:right w:val="none" w:sz="0" w:space="0" w:color="auto"/>
              </w:divBdr>
              <w:divsChild>
                <w:div w:id="1952475088">
                  <w:marLeft w:val="0"/>
                  <w:marRight w:val="0"/>
                  <w:marTop w:val="0"/>
                  <w:marBottom w:val="0"/>
                  <w:divBdr>
                    <w:top w:val="none" w:sz="0" w:space="0" w:color="auto"/>
                    <w:left w:val="none" w:sz="0" w:space="0" w:color="auto"/>
                    <w:bottom w:val="none" w:sz="0" w:space="0" w:color="auto"/>
                    <w:right w:val="none" w:sz="0" w:space="0" w:color="auto"/>
                  </w:divBdr>
                </w:div>
              </w:divsChild>
            </w:div>
            <w:div w:id="1183057273">
              <w:marLeft w:val="0"/>
              <w:marRight w:val="0"/>
              <w:marTop w:val="0"/>
              <w:marBottom w:val="0"/>
              <w:divBdr>
                <w:top w:val="none" w:sz="0" w:space="0" w:color="auto"/>
                <w:left w:val="none" w:sz="0" w:space="0" w:color="auto"/>
                <w:bottom w:val="none" w:sz="0" w:space="0" w:color="auto"/>
                <w:right w:val="none" w:sz="0" w:space="0" w:color="auto"/>
              </w:divBdr>
            </w:div>
          </w:divsChild>
        </w:div>
        <w:div w:id="1785684617">
          <w:marLeft w:val="0"/>
          <w:marRight w:val="0"/>
          <w:marTop w:val="0"/>
          <w:marBottom w:val="0"/>
          <w:divBdr>
            <w:top w:val="none" w:sz="0" w:space="0" w:color="auto"/>
            <w:left w:val="none" w:sz="0" w:space="0" w:color="auto"/>
            <w:bottom w:val="none" w:sz="0" w:space="0" w:color="auto"/>
            <w:right w:val="none" w:sz="0" w:space="0" w:color="auto"/>
          </w:divBdr>
          <w:divsChild>
            <w:div w:id="1137188936">
              <w:marLeft w:val="0"/>
              <w:marRight w:val="0"/>
              <w:marTop w:val="375"/>
              <w:marBottom w:val="300"/>
              <w:divBdr>
                <w:top w:val="single" w:sz="6" w:space="0" w:color="CCCCCC"/>
                <w:left w:val="single" w:sz="6" w:space="0" w:color="CCCCCC"/>
                <w:bottom w:val="single" w:sz="6" w:space="0" w:color="CCCCCC"/>
                <w:right w:val="single" w:sz="6" w:space="0" w:color="CCCCCC"/>
              </w:divBdr>
            </w:div>
          </w:divsChild>
        </w:div>
      </w:divsChild>
    </w:div>
    <w:div w:id="1457138324">
      <w:bodyDiv w:val="1"/>
      <w:marLeft w:val="0"/>
      <w:marRight w:val="0"/>
      <w:marTop w:val="0"/>
      <w:marBottom w:val="0"/>
      <w:divBdr>
        <w:top w:val="none" w:sz="0" w:space="0" w:color="auto"/>
        <w:left w:val="none" w:sz="0" w:space="0" w:color="auto"/>
        <w:bottom w:val="none" w:sz="0" w:space="0" w:color="auto"/>
        <w:right w:val="none" w:sz="0" w:space="0" w:color="auto"/>
      </w:divBdr>
      <w:divsChild>
        <w:div w:id="1418746218">
          <w:marLeft w:val="547"/>
          <w:marRight w:val="0"/>
          <w:marTop w:val="0"/>
          <w:marBottom w:val="0"/>
          <w:divBdr>
            <w:top w:val="none" w:sz="0" w:space="0" w:color="auto"/>
            <w:left w:val="none" w:sz="0" w:space="0" w:color="auto"/>
            <w:bottom w:val="none" w:sz="0" w:space="0" w:color="auto"/>
            <w:right w:val="none" w:sz="0" w:space="0" w:color="auto"/>
          </w:divBdr>
        </w:div>
      </w:divsChild>
    </w:div>
    <w:div w:id="1509561571">
      <w:bodyDiv w:val="1"/>
      <w:marLeft w:val="0"/>
      <w:marRight w:val="0"/>
      <w:marTop w:val="0"/>
      <w:marBottom w:val="0"/>
      <w:divBdr>
        <w:top w:val="none" w:sz="0" w:space="0" w:color="auto"/>
        <w:left w:val="none" w:sz="0" w:space="0" w:color="auto"/>
        <w:bottom w:val="none" w:sz="0" w:space="0" w:color="auto"/>
        <w:right w:val="none" w:sz="0" w:space="0" w:color="auto"/>
      </w:divBdr>
    </w:div>
    <w:div w:id="1521822039">
      <w:bodyDiv w:val="1"/>
      <w:marLeft w:val="0"/>
      <w:marRight w:val="0"/>
      <w:marTop w:val="0"/>
      <w:marBottom w:val="0"/>
      <w:divBdr>
        <w:top w:val="none" w:sz="0" w:space="0" w:color="auto"/>
        <w:left w:val="none" w:sz="0" w:space="0" w:color="auto"/>
        <w:bottom w:val="none" w:sz="0" w:space="0" w:color="auto"/>
        <w:right w:val="none" w:sz="0" w:space="0" w:color="auto"/>
      </w:divBdr>
    </w:div>
    <w:div w:id="1639452482">
      <w:bodyDiv w:val="1"/>
      <w:marLeft w:val="0"/>
      <w:marRight w:val="0"/>
      <w:marTop w:val="0"/>
      <w:marBottom w:val="0"/>
      <w:divBdr>
        <w:top w:val="none" w:sz="0" w:space="0" w:color="auto"/>
        <w:left w:val="none" w:sz="0" w:space="0" w:color="auto"/>
        <w:bottom w:val="none" w:sz="0" w:space="0" w:color="auto"/>
        <w:right w:val="none" w:sz="0" w:space="0" w:color="auto"/>
      </w:divBdr>
    </w:div>
    <w:div w:id="1649820150">
      <w:bodyDiv w:val="1"/>
      <w:marLeft w:val="0"/>
      <w:marRight w:val="0"/>
      <w:marTop w:val="0"/>
      <w:marBottom w:val="0"/>
      <w:divBdr>
        <w:top w:val="none" w:sz="0" w:space="0" w:color="auto"/>
        <w:left w:val="none" w:sz="0" w:space="0" w:color="auto"/>
        <w:bottom w:val="none" w:sz="0" w:space="0" w:color="auto"/>
        <w:right w:val="none" w:sz="0" w:space="0" w:color="auto"/>
      </w:divBdr>
    </w:div>
    <w:div w:id="1767115576">
      <w:bodyDiv w:val="1"/>
      <w:marLeft w:val="0"/>
      <w:marRight w:val="0"/>
      <w:marTop w:val="0"/>
      <w:marBottom w:val="0"/>
      <w:divBdr>
        <w:top w:val="none" w:sz="0" w:space="0" w:color="auto"/>
        <w:left w:val="none" w:sz="0" w:space="0" w:color="auto"/>
        <w:bottom w:val="none" w:sz="0" w:space="0" w:color="auto"/>
        <w:right w:val="none" w:sz="0" w:space="0" w:color="auto"/>
      </w:divBdr>
    </w:div>
    <w:div w:id="1784230455">
      <w:bodyDiv w:val="1"/>
      <w:marLeft w:val="0"/>
      <w:marRight w:val="0"/>
      <w:marTop w:val="0"/>
      <w:marBottom w:val="0"/>
      <w:divBdr>
        <w:top w:val="none" w:sz="0" w:space="0" w:color="auto"/>
        <w:left w:val="none" w:sz="0" w:space="0" w:color="auto"/>
        <w:bottom w:val="none" w:sz="0" w:space="0" w:color="auto"/>
        <w:right w:val="none" w:sz="0" w:space="0" w:color="auto"/>
      </w:divBdr>
    </w:div>
    <w:div w:id="1915239028">
      <w:bodyDiv w:val="1"/>
      <w:marLeft w:val="0"/>
      <w:marRight w:val="0"/>
      <w:marTop w:val="0"/>
      <w:marBottom w:val="0"/>
      <w:divBdr>
        <w:top w:val="none" w:sz="0" w:space="0" w:color="auto"/>
        <w:left w:val="none" w:sz="0" w:space="0" w:color="auto"/>
        <w:bottom w:val="none" w:sz="0" w:space="0" w:color="auto"/>
        <w:right w:val="none" w:sz="0" w:space="0" w:color="auto"/>
      </w:divBdr>
    </w:div>
    <w:div w:id="1924753953">
      <w:bodyDiv w:val="1"/>
      <w:marLeft w:val="0"/>
      <w:marRight w:val="0"/>
      <w:marTop w:val="0"/>
      <w:marBottom w:val="0"/>
      <w:divBdr>
        <w:top w:val="none" w:sz="0" w:space="0" w:color="auto"/>
        <w:left w:val="none" w:sz="0" w:space="0" w:color="auto"/>
        <w:bottom w:val="none" w:sz="0" w:space="0" w:color="auto"/>
        <w:right w:val="none" w:sz="0" w:space="0" w:color="auto"/>
      </w:divBdr>
    </w:div>
    <w:div w:id="1972712708">
      <w:bodyDiv w:val="1"/>
      <w:marLeft w:val="0"/>
      <w:marRight w:val="0"/>
      <w:marTop w:val="0"/>
      <w:marBottom w:val="0"/>
      <w:divBdr>
        <w:top w:val="none" w:sz="0" w:space="0" w:color="auto"/>
        <w:left w:val="none" w:sz="0" w:space="0" w:color="auto"/>
        <w:bottom w:val="none" w:sz="0" w:space="0" w:color="auto"/>
        <w:right w:val="none" w:sz="0" w:space="0" w:color="auto"/>
      </w:divBdr>
    </w:div>
    <w:div w:id="20246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supen-my.sharepoint.com/personal/cespedesld_supen_fi_cr/Documents/SUPEN/InformeConassifJun2020/CarteraJunio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upen-my.sharepoint.com/personal/cespedesld_supen_fi_cr/Documents/SUPEN/InformeConassifJun2020/CarteraJunio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8370476093747"/>
          <c:y val="4.3392504930966469E-2"/>
          <c:w val="0.74097410430620814"/>
          <c:h val="0.55264781251455986"/>
        </c:manualLayout>
      </c:layout>
      <c:barChart>
        <c:barDir val="col"/>
        <c:grouping val="stacked"/>
        <c:varyColors val="0"/>
        <c:ser>
          <c:idx val="0"/>
          <c:order val="0"/>
          <c:tx>
            <c:strRef>
              <c:f>ActivoxTipoFon!$B$27</c:f>
              <c:strCache>
                <c:ptCount val="1"/>
                <c:pt idx="0">
                  <c:v>Regímenes Básicos Sustitutos</c:v>
                </c:pt>
              </c:strCache>
            </c:strRef>
          </c:tx>
          <c:spPr>
            <a:solidFill>
              <a:schemeClr val="accent1"/>
            </a:solidFill>
            <a:ln>
              <a:noFill/>
            </a:ln>
            <a:effectLst/>
          </c:spPr>
          <c:invertIfNegative val="0"/>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ActivoxTipoFon!$B$28:$B$38</c:f>
              <c:numCache>
                <c:formatCode>_-* #,##0.0_-;\-* #,##0.0_-;_-* "-"??_-;_-@_-</c:formatCode>
                <c:ptCount val="11"/>
                <c:pt idx="0">
                  <c:v>0.88037330314799012</c:v>
                </c:pt>
                <c:pt idx="1">
                  <c:v>1.0429848027931201</c:v>
                </c:pt>
                <c:pt idx="2">
                  <c:v>1.23840305218469</c:v>
                </c:pt>
                <c:pt idx="3">
                  <c:v>1.43910679533172</c:v>
                </c:pt>
                <c:pt idx="4">
                  <c:v>1.6723162251665902</c:v>
                </c:pt>
                <c:pt idx="5">
                  <c:v>2.00195846850034</c:v>
                </c:pt>
                <c:pt idx="6">
                  <c:v>2.3342637255577601</c:v>
                </c:pt>
                <c:pt idx="7">
                  <c:v>2.6547632996576702</c:v>
                </c:pt>
                <c:pt idx="8">
                  <c:v>3.0031769200416898</c:v>
                </c:pt>
                <c:pt idx="9">
                  <c:v>3.6225673215315504</c:v>
                </c:pt>
                <c:pt idx="10">
                  <c:v>3.8530922366220004</c:v>
                </c:pt>
              </c:numCache>
            </c:numRef>
          </c:val>
          <c:extLst>
            <c:ext xmlns:c16="http://schemas.microsoft.com/office/drawing/2014/chart" uri="{C3380CC4-5D6E-409C-BE32-E72D297353CC}">
              <c16:uniqueId val="{00000000-EB1F-4D46-9BED-06EDD8A2319D}"/>
            </c:ext>
          </c:extLst>
        </c:ser>
        <c:ser>
          <c:idx val="1"/>
          <c:order val="1"/>
          <c:tx>
            <c:strRef>
              <c:f>ActivoxTipoFon!$C$27</c:f>
              <c:strCache>
                <c:ptCount val="1"/>
                <c:pt idx="0">
                  <c:v>Planes Ocupacionales Complementarios</c:v>
                </c:pt>
              </c:strCache>
            </c:strRef>
          </c:tx>
          <c:spPr>
            <a:solidFill>
              <a:schemeClr val="accent2"/>
            </a:solidFill>
            <a:ln>
              <a:noFill/>
            </a:ln>
            <a:effectLst/>
          </c:spPr>
          <c:invertIfNegative val="0"/>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ActivoxTipoFon!$C$28:$C$38</c:f>
              <c:numCache>
                <c:formatCode>_-* #,##0.0_-;\-* #,##0.0_-;_-* "-"??_-;_-@_-</c:formatCode>
                <c:ptCount val="11"/>
                <c:pt idx="0">
                  <c:v>0.44127581254288001</c:v>
                </c:pt>
                <c:pt idx="1">
                  <c:v>0.50070804437267002</c:v>
                </c:pt>
                <c:pt idx="2">
                  <c:v>0.54788500003783003</c:v>
                </c:pt>
                <c:pt idx="3">
                  <c:v>0.62232204967185001</c:v>
                </c:pt>
                <c:pt idx="4">
                  <c:v>0.67686945057893999</c:v>
                </c:pt>
                <c:pt idx="5">
                  <c:v>0.74383261028803993</c:v>
                </c:pt>
                <c:pt idx="6">
                  <c:v>0.7878862858508201</c:v>
                </c:pt>
                <c:pt idx="7">
                  <c:v>0.79824832826772008</c:v>
                </c:pt>
                <c:pt idx="8">
                  <c:v>0.82641658157190989</c:v>
                </c:pt>
                <c:pt idx="9">
                  <c:v>0.90873995754376002</c:v>
                </c:pt>
                <c:pt idx="10">
                  <c:v>0.92438996909463</c:v>
                </c:pt>
              </c:numCache>
            </c:numRef>
          </c:val>
          <c:extLst>
            <c:ext xmlns:c16="http://schemas.microsoft.com/office/drawing/2014/chart" uri="{C3380CC4-5D6E-409C-BE32-E72D297353CC}">
              <c16:uniqueId val="{00000001-EB1F-4D46-9BED-06EDD8A2319D}"/>
            </c:ext>
          </c:extLst>
        </c:ser>
        <c:ser>
          <c:idx val="2"/>
          <c:order val="2"/>
          <c:tx>
            <c:strRef>
              <c:f>ActivoxTipoFon!$D$27</c:f>
              <c:strCache>
                <c:ptCount val="1"/>
                <c:pt idx="0">
                  <c:v>Régimen Obligario Complementario</c:v>
                </c:pt>
              </c:strCache>
            </c:strRef>
          </c:tx>
          <c:spPr>
            <a:solidFill>
              <a:schemeClr val="accent3"/>
            </a:solidFill>
            <a:ln>
              <a:noFill/>
            </a:ln>
            <a:effectLst/>
          </c:spPr>
          <c:invertIfNegative val="0"/>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ActivoxTipoFon!$D$28:$D$38</c:f>
              <c:numCache>
                <c:formatCode>_-* #,##0.0_-;\-* #,##0.0_-;_-* "-"??_-;_-@_-</c:formatCode>
                <c:ptCount val="11"/>
                <c:pt idx="0">
                  <c:v>1.4568919565431799</c:v>
                </c:pt>
                <c:pt idx="1">
                  <c:v>1.8055407988371301</c:v>
                </c:pt>
                <c:pt idx="2">
                  <c:v>2.22898511556757</c:v>
                </c:pt>
                <c:pt idx="3">
                  <c:v>2.7433472076480796</c:v>
                </c:pt>
                <c:pt idx="4">
                  <c:v>3.2168575319971304</c:v>
                </c:pt>
                <c:pt idx="5">
                  <c:v>3.87641127595831</c:v>
                </c:pt>
                <c:pt idx="6">
                  <c:v>4.4579054772766105</c:v>
                </c:pt>
                <c:pt idx="7">
                  <c:v>5.0534913627572404</c:v>
                </c:pt>
                <c:pt idx="8">
                  <c:v>5.6668539109234404</c:v>
                </c:pt>
                <c:pt idx="9">
                  <c:v>6.8508475886768601</c:v>
                </c:pt>
                <c:pt idx="10">
                  <c:v>7.1653072558513289</c:v>
                </c:pt>
              </c:numCache>
            </c:numRef>
          </c:val>
          <c:extLst>
            <c:ext xmlns:c16="http://schemas.microsoft.com/office/drawing/2014/chart" uri="{C3380CC4-5D6E-409C-BE32-E72D297353CC}">
              <c16:uniqueId val="{00000002-EB1F-4D46-9BED-06EDD8A2319D}"/>
            </c:ext>
          </c:extLst>
        </c:ser>
        <c:ser>
          <c:idx val="3"/>
          <c:order val="3"/>
          <c:tx>
            <c:strRef>
              <c:f>ActivoxTipoFon!$E$27</c:f>
              <c:strCache>
                <c:ptCount val="1"/>
                <c:pt idx="0">
                  <c:v>Planes Voluntarios</c:v>
                </c:pt>
              </c:strCache>
            </c:strRef>
          </c:tx>
          <c:spPr>
            <a:solidFill>
              <a:schemeClr val="accent4"/>
            </a:solidFill>
            <a:ln>
              <a:noFill/>
            </a:ln>
            <a:effectLst/>
          </c:spPr>
          <c:invertIfNegative val="0"/>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ActivoxTipoFon!$E$28:$E$38</c:f>
              <c:numCache>
                <c:formatCode>_-* #,##0.0_-;\-* #,##0.0_-;_-* "-"??_-;_-@_-</c:formatCode>
                <c:ptCount val="11"/>
                <c:pt idx="0">
                  <c:v>0.17195749478047295</c:v>
                </c:pt>
                <c:pt idx="1">
                  <c:v>0.17952226052714107</c:v>
                </c:pt>
                <c:pt idx="2">
                  <c:v>0.18462721917343405</c:v>
                </c:pt>
                <c:pt idx="3">
                  <c:v>0.20362797783182987</c:v>
                </c:pt>
                <c:pt idx="4">
                  <c:v>0.21923935125043525</c:v>
                </c:pt>
                <c:pt idx="5">
                  <c:v>0.25086128230229521</c:v>
                </c:pt>
                <c:pt idx="6">
                  <c:v>0.28851913269344537</c:v>
                </c:pt>
                <c:pt idx="7">
                  <c:v>0.31846053929418322</c:v>
                </c:pt>
                <c:pt idx="8">
                  <c:v>0.3419950561601765</c:v>
                </c:pt>
                <c:pt idx="9">
                  <c:v>0.39361887619519653</c:v>
                </c:pt>
                <c:pt idx="10">
                  <c:v>0.40817838046922844</c:v>
                </c:pt>
              </c:numCache>
            </c:numRef>
          </c:val>
          <c:extLst>
            <c:ext xmlns:c16="http://schemas.microsoft.com/office/drawing/2014/chart" uri="{C3380CC4-5D6E-409C-BE32-E72D297353CC}">
              <c16:uniqueId val="{00000003-EB1F-4D46-9BED-06EDD8A2319D}"/>
            </c:ext>
          </c:extLst>
        </c:ser>
        <c:ser>
          <c:idx val="4"/>
          <c:order val="4"/>
          <c:tx>
            <c:strRef>
              <c:f>ActivoxTipoFon!$F$27</c:f>
              <c:strCache>
                <c:ptCount val="1"/>
                <c:pt idx="0">
                  <c:v>Fondo de Capitalización laboral</c:v>
                </c:pt>
              </c:strCache>
            </c:strRef>
          </c:tx>
          <c:spPr>
            <a:solidFill>
              <a:schemeClr val="accent5"/>
            </a:solidFill>
            <a:ln>
              <a:noFill/>
            </a:ln>
            <a:effectLst/>
          </c:spPr>
          <c:invertIfNegative val="0"/>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ActivoxTipoFon!$F$28:$F$38</c:f>
              <c:numCache>
                <c:formatCode>_-* #,##0.0_-;\-* #,##0.0_-;_-* "-"??_-;_-@_-</c:formatCode>
                <c:ptCount val="11"/>
                <c:pt idx="0">
                  <c:v>0.37758497349278997</c:v>
                </c:pt>
                <c:pt idx="1">
                  <c:v>0.30237424868655</c:v>
                </c:pt>
                <c:pt idx="2">
                  <c:v>0.37924599498111999</c:v>
                </c:pt>
                <c:pt idx="3">
                  <c:v>0.46087351818978001</c:v>
                </c:pt>
                <c:pt idx="4">
                  <c:v>0.5317262203373001</c:v>
                </c:pt>
                <c:pt idx="5">
                  <c:v>0.62663351038924997</c:v>
                </c:pt>
                <c:pt idx="6">
                  <c:v>0.49952520989501009</c:v>
                </c:pt>
                <c:pt idx="7">
                  <c:v>0.56977895297608994</c:v>
                </c:pt>
                <c:pt idx="8">
                  <c:v>0.62508713847675001</c:v>
                </c:pt>
                <c:pt idx="9">
                  <c:v>0.72465513350761002</c:v>
                </c:pt>
                <c:pt idx="10">
                  <c:v>0.64724361710498013</c:v>
                </c:pt>
              </c:numCache>
            </c:numRef>
          </c:val>
          <c:extLst>
            <c:ext xmlns:c16="http://schemas.microsoft.com/office/drawing/2014/chart" uri="{C3380CC4-5D6E-409C-BE32-E72D297353CC}">
              <c16:uniqueId val="{00000004-EB1F-4D46-9BED-06EDD8A2319D}"/>
            </c:ext>
          </c:extLst>
        </c:ser>
        <c:ser>
          <c:idx val="6"/>
          <c:order val="5"/>
          <c:tx>
            <c:strRef>
              <c:f>ActivoxTipoFon!$G$27</c:f>
              <c:strCache>
                <c:ptCount val="1"/>
                <c:pt idx="0">
                  <c:v>Régimen Básico</c:v>
                </c:pt>
              </c:strCache>
            </c:strRef>
          </c:tx>
          <c:spPr>
            <a:solidFill>
              <a:schemeClr val="accent1">
                <a:lumMod val="60000"/>
              </a:schemeClr>
            </a:solidFill>
            <a:ln>
              <a:noFill/>
            </a:ln>
            <a:effectLst/>
          </c:spPr>
          <c:invertIfNegative val="0"/>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ActivoxTipoFon!$G$28:$G$38</c:f>
              <c:numCache>
                <c:formatCode>_-* #,##0.0_-;\-* #,##0.0_-;_-* "-"??_-;_-@_-</c:formatCode>
                <c:ptCount val="11"/>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3.0594132684089002</c:v>
                </c:pt>
              </c:numCache>
            </c:numRef>
          </c:val>
          <c:extLst>
            <c:ext xmlns:c16="http://schemas.microsoft.com/office/drawing/2014/chart" uri="{C3380CC4-5D6E-409C-BE32-E72D297353CC}">
              <c16:uniqueId val="{00000005-EB1F-4D46-9BED-06EDD8A2319D}"/>
            </c:ext>
          </c:extLst>
        </c:ser>
        <c:dLbls>
          <c:showLegendKey val="0"/>
          <c:showVal val="0"/>
          <c:showCatName val="0"/>
          <c:showSerName val="0"/>
          <c:showPercent val="0"/>
          <c:showBubbleSize val="0"/>
        </c:dLbls>
        <c:gapWidth val="75"/>
        <c:overlap val="100"/>
        <c:axId val="1185764736"/>
        <c:axId val="1767790496"/>
      </c:barChart>
      <c:lineChart>
        <c:grouping val="stacked"/>
        <c:varyColors val="0"/>
        <c:ser>
          <c:idx val="5"/>
          <c:order val="6"/>
          <c:tx>
            <c:strRef>
              <c:f>ActivoxTipoFon!$K$27</c:f>
              <c:strCache>
                <c:ptCount val="1"/>
                <c:pt idx="0">
                  <c:v>% del PIB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2.7210880466958721E-2"/>
                  <c:y val="-4.7477744807121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1F-4D46-9BED-06EDD8A2319D}"/>
                </c:ext>
              </c:extLst>
            </c:dLbl>
            <c:dLbl>
              <c:idx val="1"/>
              <c:layout>
                <c:manualLayout>
                  <c:x val="-2.9024939164755955E-2"/>
                  <c:y val="-3.956478733926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1F-4D46-9BED-06EDD8A2319D}"/>
                </c:ext>
              </c:extLst>
            </c:dLbl>
            <c:dLbl>
              <c:idx val="2"/>
              <c:layout>
                <c:manualLayout>
                  <c:x val="-3.8095232653742192E-2"/>
                  <c:y val="-4.3521266073194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1F-4D46-9BED-06EDD8A2319D}"/>
                </c:ext>
              </c:extLst>
            </c:dLbl>
            <c:dLbl>
              <c:idx val="3"/>
              <c:layout>
                <c:manualLayout>
                  <c:x val="-3.8095232653742254E-2"/>
                  <c:y val="-3.5608308605341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B1F-4D46-9BED-06EDD8A2319D}"/>
                </c:ext>
              </c:extLst>
            </c:dLbl>
            <c:dLbl>
              <c:idx val="4"/>
              <c:layout>
                <c:manualLayout>
                  <c:x val="-3.0838997862553199E-2"/>
                  <c:y val="-4.3521248673703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B1F-4D46-9BED-06EDD8A2319D}"/>
                </c:ext>
              </c:extLst>
            </c:dLbl>
            <c:dLbl>
              <c:idx val="5"/>
              <c:layout>
                <c:manualLayout>
                  <c:x val="-3.2653056560350446E-2"/>
                  <c:y val="-4.3521266073194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B1F-4D46-9BED-06EDD8A2319D}"/>
                </c:ext>
              </c:extLst>
            </c:dLbl>
            <c:dLbl>
              <c:idx val="6"/>
              <c:layout>
                <c:manualLayout>
                  <c:x val="-2.9024939164755955E-2"/>
                  <c:y val="-4.7477744807121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B1F-4D46-9BED-06EDD8A2319D}"/>
                </c:ext>
              </c:extLst>
            </c:dLbl>
            <c:dLbl>
              <c:idx val="7"/>
              <c:layout>
                <c:manualLayout>
                  <c:x val="-3.0838997862553199E-2"/>
                  <c:y val="-4.7477744807121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B1F-4D46-9BED-06EDD8A2319D}"/>
                </c:ext>
              </c:extLst>
            </c:dLbl>
            <c:dLbl>
              <c:idx val="8"/>
              <c:layout>
                <c:manualLayout>
                  <c:x val="-3.2653056560350578E-2"/>
                  <c:y val="-4.3521266073194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B1F-4D46-9BED-06EDD8A2319D}"/>
                </c:ext>
              </c:extLst>
            </c:dLbl>
            <c:dLbl>
              <c:idx val="9"/>
              <c:layout>
                <c:manualLayout>
                  <c:x val="-3.2653056560350446E-2"/>
                  <c:y val="-4.7477744807121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B1F-4D46-9BED-06EDD8A2319D}"/>
                </c:ext>
              </c:extLst>
            </c:dLbl>
            <c:dLbl>
              <c:idx val="10"/>
              <c:layout>
                <c:manualLayout>
                  <c:x val="-3.2653056560350446E-2"/>
                  <c:y val="-3.165182987141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B1F-4D46-9BED-06EDD8A231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ActivoxTipoFon!$A$28:$A$38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ActivoxTipoFon!$K$28:$K$38</c:f>
              <c:numCache>
                <c:formatCode>0.0%</c:formatCode>
                <c:ptCount val="11"/>
                <c:pt idx="0">
                  <c:v>0.24499145599009542</c:v>
                </c:pt>
                <c:pt idx="1">
                  <c:v>0.25574243902643268</c:v>
                </c:pt>
                <c:pt idx="2">
                  <c:v>0.27158965671396729</c:v>
                </c:pt>
                <c:pt idx="3">
                  <c:v>0.29580097989038912</c:v>
                </c:pt>
                <c:pt idx="4">
                  <c:v>0.30509756321279607</c:v>
                </c:pt>
                <c:pt idx="5">
                  <c:v>0.3269563739883754</c:v>
                </c:pt>
                <c:pt idx="6">
                  <c:v>0.34019999844597487</c:v>
                </c:pt>
                <c:pt idx="7">
                  <c:v>0.35585854821046636</c:v>
                </c:pt>
                <c:pt idx="8">
                  <c:v>0.37677912323194168</c:v>
                </c:pt>
                <c:pt idx="9">
                  <c:v>0.42489756548833979</c:v>
                </c:pt>
                <c:pt idx="10">
                  <c:v>0.46585364498586673</c:v>
                </c:pt>
              </c:numCache>
            </c:numRef>
          </c:val>
          <c:smooth val="0"/>
          <c:extLst>
            <c:ext xmlns:c16="http://schemas.microsoft.com/office/drawing/2014/chart" uri="{C3380CC4-5D6E-409C-BE32-E72D297353CC}">
              <c16:uniqueId val="{00000011-EB1F-4D46-9BED-06EDD8A2319D}"/>
            </c:ext>
          </c:extLst>
        </c:ser>
        <c:dLbls>
          <c:showLegendKey val="0"/>
          <c:showVal val="0"/>
          <c:showCatName val="0"/>
          <c:showSerName val="0"/>
          <c:showPercent val="0"/>
          <c:showBubbleSize val="0"/>
        </c:dLbls>
        <c:marker val="1"/>
        <c:smooth val="0"/>
        <c:axId val="1933359712"/>
        <c:axId val="1597076160"/>
      </c:lineChart>
      <c:catAx>
        <c:axId val="1185764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767790496"/>
        <c:crosses val="autoZero"/>
        <c:auto val="1"/>
        <c:lblAlgn val="ctr"/>
        <c:lblOffset val="100"/>
        <c:noMultiLvlLbl val="0"/>
      </c:catAx>
      <c:valAx>
        <c:axId val="17677904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 en billones de colones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185764736"/>
        <c:crosses val="autoZero"/>
        <c:crossBetween val="between"/>
      </c:valAx>
      <c:valAx>
        <c:axId val="1597076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33359712"/>
        <c:crosses val="max"/>
        <c:crossBetween val="between"/>
      </c:valAx>
      <c:catAx>
        <c:axId val="1933359712"/>
        <c:scaling>
          <c:orientation val="minMax"/>
        </c:scaling>
        <c:delete val="1"/>
        <c:axPos val="b"/>
        <c:numFmt formatCode="General" sourceLinked="1"/>
        <c:majorTickMark val="out"/>
        <c:minorTickMark val="none"/>
        <c:tickLblPos val="nextTo"/>
        <c:crossAx val="1597076160"/>
        <c:crosses val="autoZero"/>
        <c:auto val="1"/>
        <c:lblAlgn val="ctr"/>
        <c:lblOffset val="100"/>
        <c:noMultiLvlLbl val="0"/>
      </c:catAx>
      <c:spPr>
        <a:noFill/>
        <a:ln>
          <a:noFill/>
        </a:ln>
        <a:effectLst/>
      </c:spPr>
    </c:plotArea>
    <c:legend>
      <c:legendPos val="b"/>
      <c:layout>
        <c:manualLayout>
          <c:xMode val="edge"/>
          <c:yMode val="edge"/>
          <c:x val="0.11709065898330936"/>
          <c:y val="0.71513166195471856"/>
          <c:w val="0.79340446497140993"/>
          <c:h val="0.261129465641720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Disp!$B$43</c:f>
              <c:strCache>
                <c:ptCount val="1"/>
                <c:pt idx="0">
                  <c:v>abr-2020</c:v>
                </c:pt>
              </c:strCache>
            </c:strRef>
          </c:tx>
          <c:spPr>
            <a:solidFill>
              <a:schemeClr val="accent1"/>
            </a:solidFill>
            <a:ln>
              <a:noFill/>
            </a:ln>
            <a:effectLst/>
          </c:spPr>
          <c:invertIfNegative val="0"/>
          <c:cat>
            <c:strRef>
              <c:f>Disp!$A$44:$A$49</c:f>
              <c:strCache>
                <c:ptCount val="6"/>
                <c:pt idx="0">
                  <c:v>Régimen Básico</c:v>
                </c:pt>
                <c:pt idx="1">
                  <c:v>Fondo de Capitalización laboral</c:v>
                </c:pt>
                <c:pt idx="2">
                  <c:v>Regímenes Básicos Sustitutos</c:v>
                </c:pt>
                <c:pt idx="3">
                  <c:v>Planes Ocupacionales Complementarios</c:v>
                </c:pt>
                <c:pt idx="4">
                  <c:v>Planes Voluntarios</c:v>
                </c:pt>
                <c:pt idx="5">
                  <c:v>Régimen Obligario Complementario</c:v>
                </c:pt>
              </c:strCache>
            </c:strRef>
          </c:cat>
          <c:val>
            <c:numRef>
              <c:f>Disp!$B$44:$B$49</c:f>
              <c:numCache>
                <c:formatCode>0%</c:formatCode>
                <c:ptCount val="6"/>
                <c:pt idx="0">
                  <c:v>5.883874084432323E-2</c:v>
                </c:pt>
                <c:pt idx="1">
                  <c:v>0.17778123273390273</c:v>
                </c:pt>
                <c:pt idx="2">
                  <c:v>1.0941289893636477E-2</c:v>
                </c:pt>
                <c:pt idx="3">
                  <c:v>1.0925569166488071E-2</c:v>
                </c:pt>
                <c:pt idx="4">
                  <c:v>7.6570594432343847E-2</c:v>
                </c:pt>
                <c:pt idx="5">
                  <c:v>5.4883956193718414E-2</c:v>
                </c:pt>
              </c:numCache>
            </c:numRef>
          </c:val>
          <c:extLst>
            <c:ext xmlns:c16="http://schemas.microsoft.com/office/drawing/2014/chart" uri="{C3380CC4-5D6E-409C-BE32-E72D297353CC}">
              <c16:uniqueId val="{00000000-2758-4581-B262-8AF159DF4A22}"/>
            </c:ext>
          </c:extLst>
        </c:ser>
        <c:ser>
          <c:idx val="1"/>
          <c:order val="1"/>
          <c:tx>
            <c:strRef>
              <c:f>Disp!$C$43</c:f>
              <c:strCache>
                <c:ptCount val="1"/>
                <c:pt idx="0">
                  <c:v>may-2020</c:v>
                </c:pt>
              </c:strCache>
            </c:strRef>
          </c:tx>
          <c:spPr>
            <a:solidFill>
              <a:schemeClr val="accent2"/>
            </a:solidFill>
            <a:ln>
              <a:noFill/>
            </a:ln>
            <a:effectLst/>
          </c:spPr>
          <c:invertIfNegative val="0"/>
          <c:cat>
            <c:strRef>
              <c:f>Disp!$A$44:$A$49</c:f>
              <c:strCache>
                <c:ptCount val="6"/>
                <c:pt idx="0">
                  <c:v>Régimen Básico</c:v>
                </c:pt>
                <c:pt idx="1">
                  <c:v>Fondo de Capitalización laboral</c:v>
                </c:pt>
                <c:pt idx="2">
                  <c:v>Regímenes Básicos Sustitutos</c:v>
                </c:pt>
                <c:pt idx="3">
                  <c:v>Planes Ocupacionales Complementarios</c:v>
                </c:pt>
                <c:pt idx="4">
                  <c:v>Planes Voluntarios</c:v>
                </c:pt>
                <c:pt idx="5">
                  <c:v>Régimen Obligario Complementario</c:v>
                </c:pt>
              </c:strCache>
            </c:strRef>
          </c:cat>
          <c:val>
            <c:numRef>
              <c:f>Disp!$C$44:$C$49</c:f>
              <c:numCache>
                <c:formatCode>0%</c:formatCode>
                <c:ptCount val="6"/>
                <c:pt idx="0">
                  <c:v>4.0436167231901292E-2</c:v>
                </c:pt>
                <c:pt idx="1">
                  <c:v>0.12611972439930538</c:v>
                </c:pt>
                <c:pt idx="2">
                  <c:v>9.2992559401570661E-3</c:v>
                </c:pt>
                <c:pt idx="3">
                  <c:v>1.3883712909507561E-2</c:v>
                </c:pt>
                <c:pt idx="4">
                  <c:v>7.9357768555811836E-2</c:v>
                </c:pt>
                <c:pt idx="5">
                  <c:v>5.6741642643260044E-2</c:v>
                </c:pt>
              </c:numCache>
            </c:numRef>
          </c:val>
          <c:extLst>
            <c:ext xmlns:c16="http://schemas.microsoft.com/office/drawing/2014/chart" uri="{C3380CC4-5D6E-409C-BE32-E72D297353CC}">
              <c16:uniqueId val="{00000001-2758-4581-B262-8AF159DF4A22}"/>
            </c:ext>
          </c:extLst>
        </c:ser>
        <c:ser>
          <c:idx val="2"/>
          <c:order val="2"/>
          <c:tx>
            <c:strRef>
              <c:f>Disp!$D$43</c:f>
              <c:strCache>
                <c:ptCount val="1"/>
                <c:pt idx="0">
                  <c:v>jun-2020</c:v>
                </c:pt>
              </c:strCache>
            </c:strRef>
          </c:tx>
          <c:spPr>
            <a:solidFill>
              <a:schemeClr val="accent3"/>
            </a:solidFill>
            <a:ln>
              <a:noFill/>
            </a:ln>
            <a:effectLst/>
          </c:spPr>
          <c:invertIfNegative val="0"/>
          <c:cat>
            <c:strRef>
              <c:f>Disp!$A$44:$A$49</c:f>
              <c:strCache>
                <c:ptCount val="6"/>
                <c:pt idx="0">
                  <c:v>Régimen Básico</c:v>
                </c:pt>
                <c:pt idx="1">
                  <c:v>Fondo de Capitalización laboral</c:v>
                </c:pt>
                <c:pt idx="2">
                  <c:v>Regímenes Básicos Sustitutos</c:v>
                </c:pt>
                <c:pt idx="3">
                  <c:v>Planes Ocupacionales Complementarios</c:v>
                </c:pt>
                <c:pt idx="4">
                  <c:v>Planes Voluntarios</c:v>
                </c:pt>
                <c:pt idx="5">
                  <c:v>Régimen Obligario Complementario</c:v>
                </c:pt>
              </c:strCache>
            </c:strRef>
          </c:cat>
          <c:val>
            <c:numRef>
              <c:f>Disp!$D$44:$D$49</c:f>
              <c:numCache>
                <c:formatCode>0%</c:formatCode>
                <c:ptCount val="6"/>
                <c:pt idx="0">
                  <c:v>0</c:v>
                </c:pt>
                <c:pt idx="1">
                  <c:v>7.0694791897481873E-2</c:v>
                </c:pt>
                <c:pt idx="2">
                  <c:v>1.256367569550842E-2</c:v>
                </c:pt>
                <c:pt idx="3">
                  <c:v>1.6577552598011011E-2</c:v>
                </c:pt>
                <c:pt idx="4">
                  <c:v>8.6062859345059528E-2</c:v>
                </c:pt>
                <c:pt idx="5">
                  <c:v>5.398756393003399E-2</c:v>
                </c:pt>
              </c:numCache>
            </c:numRef>
          </c:val>
          <c:extLst>
            <c:ext xmlns:c16="http://schemas.microsoft.com/office/drawing/2014/chart" uri="{C3380CC4-5D6E-409C-BE32-E72D297353CC}">
              <c16:uniqueId val="{00000002-2758-4581-B262-8AF159DF4A22}"/>
            </c:ext>
          </c:extLst>
        </c:ser>
        <c:dLbls>
          <c:showLegendKey val="0"/>
          <c:showVal val="0"/>
          <c:showCatName val="0"/>
          <c:showSerName val="0"/>
          <c:showPercent val="0"/>
          <c:showBubbleSize val="0"/>
        </c:dLbls>
        <c:gapWidth val="182"/>
        <c:axId val="1532026192"/>
        <c:axId val="1773668128"/>
      </c:barChart>
      <c:catAx>
        <c:axId val="15320261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CR"/>
          </a:p>
        </c:txPr>
        <c:crossAx val="1773668128"/>
        <c:crosses val="autoZero"/>
        <c:auto val="1"/>
        <c:lblAlgn val="ctr"/>
        <c:lblOffset val="100"/>
        <c:noMultiLvlLbl val="0"/>
      </c:catAx>
      <c:valAx>
        <c:axId val="1773668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53202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6E3BDFFF7D0A40B0730BAFE42B952C" ma:contentTypeVersion="12" ma:contentTypeDescription="Crear nuevo documento." ma:contentTypeScope="" ma:versionID="57af8ee4fdb0bbe6c2dd2673cda60e6c">
  <xsd:schema xmlns:xsd="http://www.w3.org/2001/XMLSchema" xmlns:xs="http://www.w3.org/2001/XMLSchema" xmlns:p="http://schemas.microsoft.com/office/2006/metadata/properties" xmlns:ns3="868e64ef-d7cf-4e8e-a138-e49b03545ee4" xmlns:ns4="81d3cc13-5597-4e9e-b0f6-5762d2e57ac7" targetNamespace="http://schemas.microsoft.com/office/2006/metadata/properties" ma:root="true" ma:fieldsID="1e37c78e21625dc79e62a92cbcab757e" ns3:_="" ns4:_="">
    <xsd:import namespace="868e64ef-d7cf-4e8e-a138-e49b03545ee4"/>
    <xsd:import namespace="81d3cc13-5597-4e9e-b0f6-5762d2e57a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64ef-d7cf-4e8e-a138-e49b03545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3cc13-5597-4e9e-b0f6-5762d2e57ac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4269-2719-4891-AB1A-558B33340D99}">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81d3cc13-5597-4e9e-b0f6-5762d2e57ac7"/>
    <ds:schemaRef ds:uri="http://purl.org/dc/dcmitype/"/>
    <ds:schemaRef ds:uri="868e64ef-d7cf-4e8e-a138-e49b03545ee4"/>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3365F07-94A6-4D63-BEAE-C6F8C3DF1112}">
  <ds:schemaRefs>
    <ds:schemaRef ds:uri="http://schemas.microsoft.com/sharepoint/v3/contenttype/forms"/>
  </ds:schemaRefs>
</ds:datastoreItem>
</file>

<file path=customXml/itemProps3.xml><?xml version="1.0" encoding="utf-8"?>
<ds:datastoreItem xmlns:ds="http://schemas.openxmlformats.org/officeDocument/2006/customXml" ds:itemID="{B15E484C-B78D-4C90-B4EC-BB945371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e64ef-d7cf-4e8e-a138-e49b03545ee4"/>
    <ds:schemaRef ds:uri="81d3cc13-5597-4e9e-b0f6-5762d2e57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B4010-9B9D-478E-A720-8C981D8B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4994</Words>
  <Characters>27469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InformeCoyunturaJunio2020.docx</vt:lpstr>
    </vt:vector>
  </TitlesOfParts>
  <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InformeCoyunturaJunio2020.docx</dc:title>
  <dc:subject/>
  <dc:creator>CESPEDES LOPEZ DAISY</dc:creator>
  <cp:keywords/>
  <dc:description/>
  <cp:lastModifiedBy>CORRALES VEGA RUDY</cp:lastModifiedBy>
  <cp:revision>3</cp:revision>
  <dcterms:created xsi:type="dcterms:W3CDTF">2020-09-11T22:03:00Z</dcterms:created>
  <dcterms:modified xsi:type="dcterms:W3CDTF">2020-09-11T22:04:00Z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0x010100686E3BDFFF7D0A40B0730BAFE42B952C</vt:lpwstr>
  </property>
</Properties>
</file>