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CC26" w14:textId="5DE020EE" w:rsidR="002B6731" w:rsidRPr="00D70332" w:rsidRDefault="002B6731" w:rsidP="004B499C">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16C507AC" wp14:editId="1FC40F74">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1A7D75AB"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b/>
                                <w:sz w:val="44"/>
                                <w:szCs w:val="48"/>
                              </w:rPr>
                            </w:pPr>
                            <w:r w:rsidRPr="004B499C">
                              <w:rPr>
                                <w:rFonts w:asciiTheme="majorHAnsi" w:eastAsiaTheme="majorEastAsia" w:hAnsiTheme="majorHAnsi" w:cstheme="majorBidi"/>
                                <w:b/>
                                <w:sz w:val="44"/>
                                <w:szCs w:val="48"/>
                              </w:rPr>
                              <w:t xml:space="preserve">EXTRACTO DEL INFORME DE </w:t>
                            </w:r>
                          </w:p>
                          <w:p w14:paraId="3BBE926F" w14:textId="267CBD78" w:rsidR="004B499C" w:rsidRPr="004B499C" w:rsidRDefault="004B499C" w:rsidP="002B6731">
                            <w:pPr>
                              <w:pBdr>
                                <w:left w:val="single" w:sz="4" w:space="9" w:color="4F81BD" w:themeColor="accent1"/>
                              </w:pBdr>
                              <w:jc w:val="center"/>
                              <w:rPr>
                                <w:rFonts w:asciiTheme="majorHAnsi" w:eastAsiaTheme="majorEastAsia" w:hAnsiTheme="majorHAnsi" w:cstheme="majorBidi"/>
                                <w:b/>
                                <w:sz w:val="44"/>
                                <w:szCs w:val="48"/>
                              </w:rPr>
                            </w:pPr>
                            <w:r w:rsidRPr="004B499C">
                              <w:rPr>
                                <w:rFonts w:asciiTheme="majorHAnsi" w:eastAsiaTheme="majorEastAsia" w:hAnsiTheme="majorHAnsi" w:cstheme="majorBidi"/>
                                <w:b/>
                                <w:sz w:val="44"/>
                                <w:szCs w:val="48"/>
                              </w:rPr>
                              <w:t>COYUNTURA Y SUPERVISIÓN</w:t>
                            </w:r>
                          </w:p>
                          <w:p w14:paraId="5E0BE5E2" w14:textId="77777777" w:rsidR="004B499C" w:rsidRPr="004B499C" w:rsidRDefault="004B499C" w:rsidP="002B6731">
                            <w:pPr>
                              <w:pBdr>
                                <w:left w:val="single" w:sz="4" w:space="9" w:color="4F81BD" w:themeColor="accent1"/>
                              </w:pBdr>
                              <w:rPr>
                                <w:rFonts w:asciiTheme="majorHAnsi" w:eastAsiaTheme="majorEastAsia" w:hAnsiTheme="majorHAnsi" w:cstheme="majorBidi"/>
                                <w:sz w:val="40"/>
                                <w:szCs w:val="48"/>
                              </w:rPr>
                            </w:pPr>
                          </w:p>
                          <w:p w14:paraId="097F0797"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 xml:space="preserve">Evolución de los sistemas de pensiones </w:t>
                            </w:r>
                          </w:p>
                          <w:p w14:paraId="6952E253"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y situación de los entes supervisados</w:t>
                            </w:r>
                          </w:p>
                          <w:p w14:paraId="2BC18C61"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p>
                          <w:p w14:paraId="3B33333D" w14:textId="62BA406B"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Cuarto Trimestre</w:t>
                            </w:r>
                          </w:p>
                          <w:p w14:paraId="3641885F" w14:textId="77777777" w:rsidR="004B499C" w:rsidRPr="004B499C" w:rsidRDefault="004B499C" w:rsidP="002B6731">
                            <w:pPr>
                              <w:pBdr>
                                <w:left w:val="single" w:sz="4" w:space="9" w:color="4F81BD" w:themeColor="accent1"/>
                              </w:pBdr>
                              <w:jc w:val="center"/>
                              <w:rPr>
                                <w:sz w:val="28"/>
                                <w:szCs w:val="28"/>
                              </w:rPr>
                            </w:pPr>
                            <w:r w:rsidRPr="004B499C">
                              <w:rPr>
                                <w:rFonts w:asciiTheme="majorHAnsi" w:eastAsiaTheme="majorEastAsia" w:hAnsiTheme="majorHAnsi" w:cstheme="majorBidi"/>
                                <w:sz w:val="40"/>
                                <w:szCs w:val="48"/>
                              </w:rPr>
                              <w:t>2020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07AC"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1A7D75AB"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b/>
                          <w:sz w:val="44"/>
                          <w:szCs w:val="48"/>
                        </w:rPr>
                      </w:pPr>
                      <w:r w:rsidRPr="004B499C">
                        <w:rPr>
                          <w:rFonts w:asciiTheme="majorHAnsi" w:eastAsiaTheme="majorEastAsia" w:hAnsiTheme="majorHAnsi" w:cstheme="majorBidi"/>
                          <w:b/>
                          <w:sz w:val="44"/>
                          <w:szCs w:val="48"/>
                        </w:rPr>
                        <w:t xml:space="preserve">EXTRACTO DEL INFORME DE </w:t>
                      </w:r>
                    </w:p>
                    <w:p w14:paraId="3BBE926F" w14:textId="267CBD78" w:rsidR="004B499C" w:rsidRPr="004B499C" w:rsidRDefault="004B499C" w:rsidP="002B6731">
                      <w:pPr>
                        <w:pBdr>
                          <w:left w:val="single" w:sz="4" w:space="9" w:color="4F81BD" w:themeColor="accent1"/>
                        </w:pBdr>
                        <w:jc w:val="center"/>
                        <w:rPr>
                          <w:rFonts w:asciiTheme="majorHAnsi" w:eastAsiaTheme="majorEastAsia" w:hAnsiTheme="majorHAnsi" w:cstheme="majorBidi"/>
                          <w:b/>
                          <w:sz w:val="44"/>
                          <w:szCs w:val="48"/>
                        </w:rPr>
                      </w:pPr>
                      <w:r w:rsidRPr="004B499C">
                        <w:rPr>
                          <w:rFonts w:asciiTheme="majorHAnsi" w:eastAsiaTheme="majorEastAsia" w:hAnsiTheme="majorHAnsi" w:cstheme="majorBidi"/>
                          <w:b/>
                          <w:sz w:val="44"/>
                          <w:szCs w:val="48"/>
                        </w:rPr>
                        <w:t>COYUNTURA Y SUPERVISIÓN</w:t>
                      </w:r>
                    </w:p>
                    <w:p w14:paraId="5E0BE5E2" w14:textId="77777777" w:rsidR="004B499C" w:rsidRPr="004B499C" w:rsidRDefault="004B499C" w:rsidP="002B6731">
                      <w:pPr>
                        <w:pBdr>
                          <w:left w:val="single" w:sz="4" w:space="9" w:color="4F81BD" w:themeColor="accent1"/>
                        </w:pBdr>
                        <w:rPr>
                          <w:rFonts w:asciiTheme="majorHAnsi" w:eastAsiaTheme="majorEastAsia" w:hAnsiTheme="majorHAnsi" w:cstheme="majorBidi"/>
                          <w:sz w:val="40"/>
                          <w:szCs w:val="48"/>
                        </w:rPr>
                      </w:pPr>
                    </w:p>
                    <w:p w14:paraId="097F0797"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 xml:space="preserve">Evolución de los sistemas de pensiones </w:t>
                      </w:r>
                    </w:p>
                    <w:p w14:paraId="6952E253"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y situación de los entes supervisados</w:t>
                      </w:r>
                    </w:p>
                    <w:p w14:paraId="2BC18C61" w14:textId="77777777"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p>
                    <w:p w14:paraId="3B33333D" w14:textId="62BA406B" w:rsidR="004B499C" w:rsidRPr="004B499C" w:rsidRDefault="004B499C" w:rsidP="002B6731">
                      <w:pPr>
                        <w:pBdr>
                          <w:left w:val="single" w:sz="4" w:space="9" w:color="4F81BD" w:themeColor="accent1"/>
                        </w:pBdr>
                        <w:jc w:val="center"/>
                        <w:rPr>
                          <w:rFonts w:asciiTheme="majorHAnsi" w:eastAsiaTheme="majorEastAsia" w:hAnsiTheme="majorHAnsi" w:cstheme="majorBidi"/>
                          <w:sz w:val="40"/>
                          <w:szCs w:val="48"/>
                        </w:rPr>
                      </w:pPr>
                      <w:r w:rsidRPr="004B499C">
                        <w:rPr>
                          <w:rFonts w:asciiTheme="majorHAnsi" w:eastAsiaTheme="majorEastAsia" w:hAnsiTheme="majorHAnsi" w:cstheme="majorBidi"/>
                          <w:sz w:val="40"/>
                          <w:szCs w:val="48"/>
                        </w:rPr>
                        <w:t>Cuarto Trimestre</w:t>
                      </w:r>
                    </w:p>
                    <w:p w14:paraId="3641885F" w14:textId="77777777" w:rsidR="004B499C" w:rsidRPr="004B499C" w:rsidRDefault="004B499C" w:rsidP="002B6731">
                      <w:pPr>
                        <w:pBdr>
                          <w:left w:val="single" w:sz="4" w:space="9" w:color="4F81BD" w:themeColor="accent1"/>
                        </w:pBdr>
                        <w:jc w:val="center"/>
                        <w:rPr>
                          <w:sz w:val="28"/>
                          <w:szCs w:val="28"/>
                        </w:rPr>
                      </w:pPr>
                      <w:r w:rsidRPr="004B499C">
                        <w:rPr>
                          <w:rFonts w:asciiTheme="majorHAnsi" w:eastAsiaTheme="majorEastAsia" w:hAnsiTheme="majorHAnsi" w:cstheme="majorBidi"/>
                          <w:sz w:val="40"/>
                          <w:szCs w:val="48"/>
                        </w:rPr>
                        <w:t>2020</w:t>
                      </w:r>
                    </w:p>
                  </w:txbxContent>
                </v:textbox>
                <w10:wrap type="square" anchorx="margin"/>
              </v:rect>
            </w:pict>
          </mc:Fallback>
        </mc:AlternateContent>
      </w:r>
      <w:r w:rsidRPr="00D70332">
        <w:rPr>
          <w:rFonts w:ascii="Segoe UI" w:hAnsi="Segoe UI" w:cs="Segoe UI"/>
          <w:noProof/>
          <w:lang w:eastAsia="es-ES"/>
        </w:rPr>
        <w:drawing>
          <wp:anchor distT="0" distB="0" distL="114300" distR="114300" simplePos="0" relativeHeight="251658241" behindDoc="1" locked="0" layoutInCell="1" allowOverlap="1" wp14:anchorId="3F9190EF" wp14:editId="4E71F8B7">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263F34D7" w14:textId="77777777" w:rsidR="002B6731" w:rsidRPr="00D70332" w:rsidRDefault="002B6731" w:rsidP="002B6731">
      <w:pPr>
        <w:rPr>
          <w:rFonts w:ascii="Segoe UI" w:hAnsi="Segoe UI" w:cs="Segoe UI"/>
        </w:rPr>
        <w:sectPr w:rsidR="002B6731" w:rsidRPr="00D70332" w:rsidSect="004B499C">
          <w:headerReference w:type="default" r:id="rId12"/>
          <w:footerReference w:type="default" r:id="rId13"/>
          <w:pgSz w:w="15840" w:h="12240" w:orient="landscape"/>
          <w:pgMar w:top="1701" w:right="1417" w:bottom="1701" w:left="1417" w:header="708" w:footer="708" w:gutter="0"/>
          <w:cols w:space="708"/>
          <w:titlePg/>
          <w:docGrid w:linePitch="360"/>
        </w:sectPr>
      </w:pPr>
    </w:p>
    <w:p w14:paraId="61DADDE4" w14:textId="529717BC" w:rsidR="002B6731" w:rsidRDefault="002B6731" w:rsidP="002B6731">
      <w:pPr>
        <w:jc w:val="center"/>
        <w:rPr>
          <w:rFonts w:ascii="Segoe UI" w:hAnsi="Segoe UI" w:cs="Segoe UI"/>
        </w:rPr>
      </w:pPr>
    </w:p>
    <w:p w14:paraId="09767A51" w14:textId="213F21EF" w:rsidR="004B499C" w:rsidRDefault="004B499C" w:rsidP="002B6731">
      <w:pPr>
        <w:jc w:val="center"/>
        <w:rPr>
          <w:rFonts w:ascii="Segoe UI" w:hAnsi="Segoe UI" w:cs="Segoe UI"/>
        </w:rPr>
      </w:pPr>
    </w:p>
    <w:p w14:paraId="0E05A39F" w14:textId="0962BD6B" w:rsidR="004B499C" w:rsidRDefault="004B499C" w:rsidP="002B6731">
      <w:pPr>
        <w:jc w:val="center"/>
        <w:rPr>
          <w:rFonts w:ascii="Segoe UI" w:hAnsi="Segoe UI" w:cs="Segoe UI"/>
        </w:rPr>
      </w:pPr>
    </w:p>
    <w:p w14:paraId="2C095D42" w14:textId="77777777" w:rsidR="004B499C" w:rsidRPr="00D70332" w:rsidRDefault="004B499C" w:rsidP="002B6731">
      <w:pPr>
        <w:jc w:val="center"/>
        <w:rPr>
          <w:rFonts w:ascii="Segoe UI" w:hAnsi="Segoe UI" w:cs="Segoe UI"/>
        </w:rPr>
      </w:pPr>
    </w:p>
    <w:p w14:paraId="247F601A" w14:textId="77777777" w:rsidR="005F5DAD" w:rsidRPr="004B499C" w:rsidRDefault="002B6731" w:rsidP="004B499C">
      <w:pPr>
        <w:pStyle w:val="paragraph"/>
        <w:spacing w:line="276" w:lineRule="auto"/>
        <w:ind w:left="1560" w:right="2089"/>
        <w:jc w:val="both"/>
        <w:textAlignment w:val="baseline"/>
        <w:rPr>
          <w:rStyle w:val="eop"/>
          <w:rFonts w:asciiTheme="minorHAnsi" w:hAnsiTheme="minorHAnsi" w:cs="Segoe UI"/>
          <w:lang w:val="es-ES"/>
        </w:rPr>
      </w:pPr>
      <w:r w:rsidRPr="004B499C">
        <w:rPr>
          <w:rStyle w:val="normaltextrun1"/>
          <w:rFonts w:asciiTheme="minorHAnsi" w:hAnsiTheme="minorHAnsi" w:cs="Segoe UI"/>
        </w:rPr>
        <w:t xml:space="preserve">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4B499C">
          <w:rPr>
            <w:rStyle w:val="normaltextrun1"/>
            <w:rFonts w:asciiTheme="minorHAnsi" w:hAnsiTheme="minorHAnsi" w:cs="Segoe UI"/>
            <w:color w:val="548DD4"/>
            <w:u w:val="single"/>
          </w:rPr>
          <w:t>Supen@Supen.fi.cr</w:t>
        </w:r>
      </w:hyperlink>
      <w:r w:rsidRPr="004B499C">
        <w:rPr>
          <w:rStyle w:val="eop"/>
          <w:rFonts w:asciiTheme="minorHAnsi" w:hAnsiTheme="minorHAnsi" w:cs="Segoe UI"/>
          <w:lang w:val="es-ES"/>
        </w:rPr>
        <w:t> </w:t>
      </w:r>
      <w:r w:rsidR="005F5DAD" w:rsidRPr="004B499C">
        <w:rPr>
          <w:rStyle w:val="eop"/>
          <w:rFonts w:asciiTheme="minorHAnsi" w:hAnsiTheme="minorHAnsi" w:cs="Segoe UI"/>
          <w:lang w:val="es-ES"/>
        </w:rPr>
        <w:br w:type="page"/>
      </w:r>
    </w:p>
    <w:sdt>
      <w:sdtPr>
        <w:rPr>
          <w:rFonts w:asciiTheme="minorHAnsi" w:eastAsiaTheme="minorHAnsi" w:hAnsiTheme="minorHAnsi" w:cstheme="minorBidi"/>
          <w:color w:val="auto"/>
          <w:sz w:val="22"/>
          <w:szCs w:val="22"/>
          <w:lang w:val="es-ES" w:eastAsia="en-US"/>
        </w:rPr>
        <w:id w:val="1721554443"/>
        <w:docPartObj>
          <w:docPartGallery w:val="Table of Contents"/>
          <w:docPartUnique/>
        </w:docPartObj>
      </w:sdtPr>
      <w:sdtEndPr>
        <w:rPr>
          <w:b/>
          <w:bCs/>
        </w:rPr>
      </w:sdtEndPr>
      <w:sdtContent>
        <w:p w14:paraId="45968AFB" w14:textId="77777777" w:rsidR="00F27883" w:rsidRDefault="00F27883">
          <w:pPr>
            <w:pStyle w:val="TtuloTDC"/>
          </w:pPr>
          <w:r>
            <w:rPr>
              <w:lang w:val="es-ES"/>
            </w:rPr>
            <w:t>Contenido</w:t>
          </w:r>
        </w:p>
        <w:p w14:paraId="19CD1F06" w14:textId="3740814F" w:rsidR="00E452A9" w:rsidRDefault="00F27883">
          <w:pPr>
            <w:pStyle w:val="TDC1"/>
            <w:tabs>
              <w:tab w:val="left" w:pos="440"/>
              <w:tab w:val="right" w:leader="dot" w:pos="13278"/>
            </w:tabs>
            <w:rPr>
              <w:rFonts w:cstheme="minorBidi"/>
              <w:noProof/>
            </w:rPr>
          </w:pPr>
          <w:r>
            <w:fldChar w:fldCharType="begin"/>
          </w:r>
          <w:r>
            <w:instrText xml:space="preserve"> TOC \o "1-3" \h \z \u </w:instrText>
          </w:r>
          <w:r>
            <w:fldChar w:fldCharType="separate"/>
          </w:r>
          <w:hyperlink w:anchor="_Toc64457422" w:history="1">
            <w:r w:rsidR="00E452A9" w:rsidRPr="001C2CAD">
              <w:rPr>
                <w:rStyle w:val="Hipervnculo"/>
                <w:noProof/>
              </w:rPr>
              <w:t>1.</w:t>
            </w:r>
            <w:r w:rsidR="00E452A9">
              <w:rPr>
                <w:rFonts w:cstheme="minorBidi"/>
                <w:noProof/>
              </w:rPr>
              <w:tab/>
            </w:r>
            <w:r w:rsidR="00E452A9" w:rsidRPr="001C2CAD">
              <w:rPr>
                <w:rStyle w:val="Hipervnculo"/>
                <w:noProof/>
              </w:rPr>
              <w:t>Definiciones</w:t>
            </w:r>
            <w:r w:rsidR="00E452A9">
              <w:rPr>
                <w:noProof/>
                <w:webHidden/>
              </w:rPr>
              <w:tab/>
            </w:r>
            <w:r w:rsidR="00E452A9">
              <w:rPr>
                <w:noProof/>
                <w:webHidden/>
              </w:rPr>
              <w:fldChar w:fldCharType="begin"/>
            </w:r>
            <w:r w:rsidR="00E452A9">
              <w:rPr>
                <w:noProof/>
                <w:webHidden/>
              </w:rPr>
              <w:instrText xml:space="preserve"> PAGEREF _Toc64457422 \h </w:instrText>
            </w:r>
            <w:r w:rsidR="00E452A9">
              <w:rPr>
                <w:noProof/>
                <w:webHidden/>
              </w:rPr>
            </w:r>
            <w:r w:rsidR="00E452A9">
              <w:rPr>
                <w:noProof/>
                <w:webHidden/>
              </w:rPr>
              <w:fldChar w:fldCharType="separate"/>
            </w:r>
            <w:r w:rsidR="00E452A9">
              <w:rPr>
                <w:noProof/>
                <w:webHidden/>
              </w:rPr>
              <w:t>5</w:t>
            </w:r>
            <w:r w:rsidR="00E452A9">
              <w:rPr>
                <w:noProof/>
                <w:webHidden/>
              </w:rPr>
              <w:fldChar w:fldCharType="end"/>
            </w:r>
          </w:hyperlink>
        </w:p>
        <w:p w14:paraId="6D2BE173" w14:textId="569D45F2" w:rsidR="00E452A9" w:rsidRDefault="00E071E6">
          <w:pPr>
            <w:pStyle w:val="TDC1"/>
            <w:tabs>
              <w:tab w:val="left" w:pos="440"/>
              <w:tab w:val="right" w:leader="dot" w:pos="13278"/>
            </w:tabs>
            <w:rPr>
              <w:rFonts w:cstheme="minorBidi"/>
              <w:noProof/>
            </w:rPr>
          </w:pPr>
          <w:hyperlink w:anchor="_Toc64457423" w:history="1">
            <w:r w:rsidR="00E452A9" w:rsidRPr="001C2CAD">
              <w:rPr>
                <w:rStyle w:val="Hipervnculo"/>
                <w:noProof/>
              </w:rPr>
              <w:t>2.</w:t>
            </w:r>
            <w:r w:rsidR="00E452A9">
              <w:rPr>
                <w:rFonts w:cstheme="minorBidi"/>
                <w:noProof/>
              </w:rPr>
              <w:tab/>
            </w:r>
            <w:r w:rsidR="00E452A9" w:rsidRPr="001C2CAD">
              <w:rPr>
                <w:rStyle w:val="Hipervnculo"/>
                <w:noProof/>
              </w:rPr>
              <w:t>Resumen ejecutivo</w:t>
            </w:r>
            <w:r w:rsidR="00E452A9">
              <w:rPr>
                <w:noProof/>
                <w:webHidden/>
              </w:rPr>
              <w:tab/>
            </w:r>
            <w:r w:rsidR="00E452A9">
              <w:rPr>
                <w:noProof/>
                <w:webHidden/>
              </w:rPr>
              <w:fldChar w:fldCharType="begin"/>
            </w:r>
            <w:r w:rsidR="00E452A9">
              <w:rPr>
                <w:noProof/>
                <w:webHidden/>
              </w:rPr>
              <w:instrText xml:space="preserve"> PAGEREF _Toc64457423 \h </w:instrText>
            </w:r>
            <w:r w:rsidR="00E452A9">
              <w:rPr>
                <w:noProof/>
                <w:webHidden/>
              </w:rPr>
            </w:r>
            <w:r w:rsidR="00E452A9">
              <w:rPr>
                <w:noProof/>
                <w:webHidden/>
              </w:rPr>
              <w:fldChar w:fldCharType="separate"/>
            </w:r>
            <w:r w:rsidR="00E452A9">
              <w:rPr>
                <w:noProof/>
                <w:webHidden/>
              </w:rPr>
              <w:t>6</w:t>
            </w:r>
            <w:r w:rsidR="00E452A9">
              <w:rPr>
                <w:noProof/>
                <w:webHidden/>
              </w:rPr>
              <w:fldChar w:fldCharType="end"/>
            </w:r>
          </w:hyperlink>
        </w:p>
        <w:p w14:paraId="4774E26D" w14:textId="4056F863" w:rsidR="00E452A9" w:rsidRDefault="00E071E6">
          <w:pPr>
            <w:pStyle w:val="TDC1"/>
            <w:tabs>
              <w:tab w:val="left" w:pos="440"/>
              <w:tab w:val="right" w:leader="dot" w:pos="13278"/>
            </w:tabs>
            <w:rPr>
              <w:rFonts w:cstheme="minorBidi"/>
              <w:noProof/>
            </w:rPr>
          </w:pPr>
          <w:hyperlink w:anchor="_Toc64457424" w:history="1">
            <w:r w:rsidR="00E452A9" w:rsidRPr="001C2CAD">
              <w:rPr>
                <w:rStyle w:val="Hipervnculo"/>
                <w:noProof/>
              </w:rPr>
              <w:t>3.</w:t>
            </w:r>
            <w:r w:rsidR="00E452A9">
              <w:rPr>
                <w:rFonts w:cstheme="minorBidi"/>
                <w:noProof/>
              </w:rPr>
              <w:tab/>
            </w:r>
            <w:r w:rsidR="00E452A9" w:rsidRPr="001C2CAD">
              <w:rPr>
                <w:rStyle w:val="Hipervnculo"/>
                <w:noProof/>
              </w:rPr>
              <w:t>Introducción</w:t>
            </w:r>
            <w:r w:rsidR="00E452A9">
              <w:rPr>
                <w:noProof/>
                <w:webHidden/>
              </w:rPr>
              <w:tab/>
            </w:r>
            <w:r w:rsidR="00E452A9">
              <w:rPr>
                <w:noProof/>
                <w:webHidden/>
              </w:rPr>
              <w:fldChar w:fldCharType="begin"/>
            </w:r>
            <w:r w:rsidR="00E452A9">
              <w:rPr>
                <w:noProof/>
                <w:webHidden/>
              </w:rPr>
              <w:instrText xml:space="preserve"> PAGEREF _Toc64457424 \h </w:instrText>
            </w:r>
            <w:r w:rsidR="00E452A9">
              <w:rPr>
                <w:noProof/>
                <w:webHidden/>
              </w:rPr>
            </w:r>
            <w:r w:rsidR="00E452A9">
              <w:rPr>
                <w:noProof/>
                <w:webHidden/>
              </w:rPr>
              <w:fldChar w:fldCharType="separate"/>
            </w:r>
            <w:r w:rsidR="00E452A9">
              <w:rPr>
                <w:noProof/>
                <w:webHidden/>
              </w:rPr>
              <w:t>7</w:t>
            </w:r>
            <w:r w:rsidR="00E452A9">
              <w:rPr>
                <w:noProof/>
                <w:webHidden/>
              </w:rPr>
              <w:fldChar w:fldCharType="end"/>
            </w:r>
          </w:hyperlink>
        </w:p>
        <w:p w14:paraId="6A1F4DEE" w14:textId="47943B71" w:rsidR="00E452A9" w:rsidRDefault="00E071E6">
          <w:pPr>
            <w:pStyle w:val="TDC1"/>
            <w:tabs>
              <w:tab w:val="left" w:pos="440"/>
              <w:tab w:val="right" w:leader="dot" w:pos="13278"/>
            </w:tabs>
            <w:rPr>
              <w:rFonts w:cstheme="minorBidi"/>
              <w:noProof/>
            </w:rPr>
          </w:pPr>
          <w:hyperlink w:anchor="_Toc64457425" w:history="1">
            <w:r w:rsidR="00E452A9" w:rsidRPr="001C2CAD">
              <w:rPr>
                <w:rStyle w:val="Hipervnculo"/>
                <w:noProof/>
              </w:rPr>
              <w:t>4.</w:t>
            </w:r>
            <w:r w:rsidR="00E452A9">
              <w:rPr>
                <w:rFonts w:cstheme="minorBidi"/>
                <w:noProof/>
              </w:rPr>
              <w:tab/>
            </w:r>
            <w:r w:rsidR="00E452A9" w:rsidRPr="001C2CAD">
              <w:rPr>
                <w:rStyle w:val="Hipervnculo"/>
                <w:noProof/>
              </w:rPr>
              <w:t>Estadísticas</w:t>
            </w:r>
            <w:r w:rsidR="00E452A9">
              <w:rPr>
                <w:noProof/>
                <w:webHidden/>
              </w:rPr>
              <w:tab/>
            </w:r>
            <w:r w:rsidR="00E452A9">
              <w:rPr>
                <w:noProof/>
                <w:webHidden/>
              </w:rPr>
              <w:fldChar w:fldCharType="begin"/>
            </w:r>
            <w:r w:rsidR="00E452A9">
              <w:rPr>
                <w:noProof/>
                <w:webHidden/>
              </w:rPr>
              <w:instrText xml:space="preserve"> PAGEREF _Toc64457425 \h </w:instrText>
            </w:r>
            <w:r w:rsidR="00E452A9">
              <w:rPr>
                <w:noProof/>
                <w:webHidden/>
              </w:rPr>
            </w:r>
            <w:r w:rsidR="00E452A9">
              <w:rPr>
                <w:noProof/>
                <w:webHidden/>
              </w:rPr>
              <w:fldChar w:fldCharType="separate"/>
            </w:r>
            <w:r w:rsidR="00E452A9">
              <w:rPr>
                <w:noProof/>
                <w:webHidden/>
              </w:rPr>
              <w:t>8</w:t>
            </w:r>
            <w:r w:rsidR="00E452A9">
              <w:rPr>
                <w:noProof/>
                <w:webHidden/>
              </w:rPr>
              <w:fldChar w:fldCharType="end"/>
            </w:r>
          </w:hyperlink>
        </w:p>
        <w:p w14:paraId="4DFD9799" w14:textId="35ECBCC4" w:rsidR="00E452A9" w:rsidRDefault="00E071E6">
          <w:pPr>
            <w:pStyle w:val="TDC2"/>
            <w:tabs>
              <w:tab w:val="left" w:pos="880"/>
              <w:tab w:val="right" w:leader="dot" w:pos="13278"/>
            </w:tabs>
            <w:rPr>
              <w:rFonts w:cstheme="minorBidi"/>
              <w:noProof/>
            </w:rPr>
          </w:pPr>
          <w:hyperlink w:anchor="_Toc64457426" w:history="1">
            <w:r w:rsidR="00E452A9" w:rsidRPr="001C2CAD">
              <w:rPr>
                <w:rStyle w:val="Hipervnculo"/>
                <w:noProof/>
              </w:rPr>
              <w:t>4.1.</w:t>
            </w:r>
            <w:r w:rsidR="00E452A9">
              <w:rPr>
                <w:rFonts w:cstheme="minorBidi"/>
                <w:noProof/>
              </w:rPr>
              <w:tab/>
            </w:r>
            <w:r w:rsidR="00E452A9" w:rsidRPr="001C2CAD">
              <w:rPr>
                <w:rStyle w:val="Hipervnculo"/>
                <w:noProof/>
              </w:rPr>
              <w:t>Sistema Nacional de Pensiones</w:t>
            </w:r>
            <w:r w:rsidR="00E452A9">
              <w:rPr>
                <w:noProof/>
                <w:webHidden/>
              </w:rPr>
              <w:tab/>
            </w:r>
            <w:r w:rsidR="00E452A9">
              <w:rPr>
                <w:noProof/>
                <w:webHidden/>
              </w:rPr>
              <w:fldChar w:fldCharType="begin"/>
            </w:r>
            <w:r w:rsidR="00E452A9">
              <w:rPr>
                <w:noProof/>
                <w:webHidden/>
              </w:rPr>
              <w:instrText xml:space="preserve"> PAGEREF _Toc64457426 \h </w:instrText>
            </w:r>
            <w:r w:rsidR="00E452A9">
              <w:rPr>
                <w:noProof/>
                <w:webHidden/>
              </w:rPr>
            </w:r>
            <w:r w:rsidR="00E452A9">
              <w:rPr>
                <w:noProof/>
                <w:webHidden/>
              </w:rPr>
              <w:fldChar w:fldCharType="separate"/>
            </w:r>
            <w:r w:rsidR="00E452A9">
              <w:rPr>
                <w:noProof/>
                <w:webHidden/>
              </w:rPr>
              <w:t>8</w:t>
            </w:r>
            <w:r w:rsidR="00E452A9">
              <w:rPr>
                <w:noProof/>
                <w:webHidden/>
              </w:rPr>
              <w:fldChar w:fldCharType="end"/>
            </w:r>
          </w:hyperlink>
        </w:p>
        <w:p w14:paraId="14ADB741" w14:textId="137CCFD5" w:rsidR="00E452A9" w:rsidRDefault="00E071E6">
          <w:pPr>
            <w:pStyle w:val="TDC2"/>
            <w:tabs>
              <w:tab w:val="left" w:pos="880"/>
              <w:tab w:val="right" w:leader="dot" w:pos="13278"/>
            </w:tabs>
            <w:rPr>
              <w:rFonts w:cstheme="minorBidi"/>
              <w:noProof/>
            </w:rPr>
          </w:pPr>
          <w:hyperlink w:anchor="_Toc64457427" w:history="1">
            <w:r w:rsidR="00E452A9" w:rsidRPr="001C2CAD">
              <w:rPr>
                <w:rStyle w:val="Hipervnculo"/>
                <w:noProof/>
              </w:rPr>
              <w:t>4.2.</w:t>
            </w:r>
            <w:r w:rsidR="00E452A9">
              <w:rPr>
                <w:rFonts w:cstheme="minorBidi"/>
                <w:noProof/>
              </w:rPr>
              <w:tab/>
            </w:r>
            <w:r w:rsidR="00E452A9" w:rsidRPr="001C2CAD">
              <w:rPr>
                <w:rStyle w:val="Hipervnculo"/>
                <w:noProof/>
              </w:rPr>
              <w:t>Activos administrados</w:t>
            </w:r>
            <w:r w:rsidR="00E452A9">
              <w:rPr>
                <w:noProof/>
                <w:webHidden/>
              </w:rPr>
              <w:tab/>
            </w:r>
            <w:r w:rsidR="00E452A9">
              <w:rPr>
                <w:noProof/>
                <w:webHidden/>
              </w:rPr>
              <w:fldChar w:fldCharType="begin"/>
            </w:r>
            <w:r w:rsidR="00E452A9">
              <w:rPr>
                <w:noProof/>
                <w:webHidden/>
              </w:rPr>
              <w:instrText xml:space="preserve"> PAGEREF _Toc64457427 \h </w:instrText>
            </w:r>
            <w:r w:rsidR="00E452A9">
              <w:rPr>
                <w:noProof/>
                <w:webHidden/>
              </w:rPr>
            </w:r>
            <w:r w:rsidR="00E452A9">
              <w:rPr>
                <w:noProof/>
                <w:webHidden/>
              </w:rPr>
              <w:fldChar w:fldCharType="separate"/>
            </w:r>
            <w:r w:rsidR="00E452A9">
              <w:rPr>
                <w:noProof/>
                <w:webHidden/>
              </w:rPr>
              <w:t>9</w:t>
            </w:r>
            <w:r w:rsidR="00E452A9">
              <w:rPr>
                <w:noProof/>
                <w:webHidden/>
              </w:rPr>
              <w:fldChar w:fldCharType="end"/>
            </w:r>
          </w:hyperlink>
        </w:p>
        <w:p w14:paraId="675BF6F4" w14:textId="37B7CC7A" w:rsidR="00E452A9" w:rsidRDefault="00E071E6">
          <w:pPr>
            <w:pStyle w:val="TDC2"/>
            <w:tabs>
              <w:tab w:val="left" w:pos="880"/>
              <w:tab w:val="right" w:leader="dot" w:pos="13278"/>
            </w:tabs>
            <w:rPr>
              <w:rFonts w:cstheme="minorBidi"/>
              <w:noProof/>
            </w:rPr>
          </w:pPr>
          <w:hyperlink w:anchor="_Toc64457428" w:history="1">
            <w:r w:rsidR="00E452A9" w:rsidRPr="001C2CAD">
              <w:rPr>
                <w:rStyle w:val="Hipervnculo"/>
                <w:noProof/>
              </w:rPr>
              <w:t>4.3.</w:t>
            </w:r>
            <w:r w:rsidR="00E452A9">
              <w:rPr>
                <w:rFonts w:cstheme="minorBidi"/>
                <w:noProof/>
              </w:rPr>
              <w:tab/>
            </w:r>
            <w:r w:rsidR="00E452A9" w:rsidRPr="001C2CAD">
              <w:rPr>
                <w:rStyle w:val="Hipervnculo"/>
                <w:noProof/>
              </w:rPr>
              <w:t>Inversiones</w:t>
            </w:r>
            <w:r w:rsidR="00E452A9">
              <w:rPr>
                <w:noProof/>
                <w:webHidden/>
              </w:rPr>
              <w:tab/>
            </w:r>
            <w:r w:rsidR="00E452A9">
              <w:rPr>
                <w:noProof/>
                <w:webHidden/>
              </w:rPr>
              <w:fldChar w:fldCharType="begin"/>
            </w:r>
            <w:r w:rsidR="00E452A9">
              <w:rPr>
                <w:noProof/>
                <w:webHidden/>
              </w:rPr>
              <w:instrText xml:space="preserve"> PAGEREF _Toc64457428 \h </w:instrText>
            </w:r>
            <w:r w:rsidR="00E452A9">
              <w:rPr>
                <w:noProof/>
                <w:webHidden/>
              </w:rPr>
            </w:r>
            <w:r w:rsidR="00E452A9">
              <w:rPr>
                <w:noProof/>
                <w:webHidden/>
              </w:rPr>
              <w:fldChar w:fldCharType="separate"/>
            </w:r>
            <w:r w:rsidR="00E452A9">
              <w:rPr>
                <w:noProof/>
                <w:webHidden/>
              </w:rPr>
              <w:t>11</w:t>
            </w:r>
            <w:r w:rsidR="00E452A9">
              <w:rPr>
                <w:noProof/>
                <w:webHidden/>
              </w:rPr>
              <w:fldChar w:fldCharType="end"/>
            </w:r>
          </w:hyperlink>
        </w:p>
        <w:p w14:paraId="4E1DCD46" w14:textId="5EA83F4E" w:rsidR="00E452A9" w:rsidRDefault="00E071E6">
          <w:pPr>
            <w:pStyle w:val="TDC2"/>
            <w:tabs>
              <w:tab w:val="left" w:pos="880"/>
              <w:tab w:val="right" w:leader="dot" w:pos="13278"/>
            </w:tabs>
            <w:rPr>
              <w:rFonts w:cstheme="minorBidi"/>
              <w:noProof/>
            </w:rPr>
          </w:pPr>
          <w:hyperlink w:anchor="_Toc64457429" w:history="1">
            <w:r w:rsidR="00E452A9" w:rsidRPr="001C2CAD">
              <w:rPr>
                <w:rStyle w:val="Hipervnculo"/>
                <w:noProof/>
              </w:rPr>
              <w:t>4.4.</w:t>
            </w:r>
            <w:r w:rsidR="00E452A9">
              <w:rPr>
                <w:rFonts w:cstheme="minorBidi"/>
                <w:noProof/>
              </w:rPr>
              <w:tab/>
            </w:r>
            <w:r w:rsidR="00E452A9" w:rsidRPr="001C2CAD">
              <w:rPr>
                <w:rStyle w:val="Hipervnculo"/>
                <w:noProof/>
              </w:rPr>
              <w:t>Rentabilidad</w:t>
            </w:r>
            <w:r w:rsidR="00E452A9">
              <w:rPr>
                <w:noProof/>
                <w:webHidden/>
              </w:rPr>
              <w:tab/>
            </w:r>
            <w:r w:rsidR="00E452A9">
              <w:rPr>
                <w:noProof/>
                <w:webHidden/>
              </w:rPr>
              <w:fldChar w:fldCharType="begin"/>
            </w:r>
            <w:r w:rsidR="00E452A9">
              <w:rPr>
                <w:noProof/>
                <w:webHidden/>
              </w:rPr>
              <w:instrText xml:space="preserve"> PAGEREF _Toc64457429 \h </w:instrText>
            </w:r>
            <w:r w:rsidR="00E452A9">
              <w:rPr>
                <w:noProof/>
                <w:webHidden/>
              </w:rPr>
            </w:r>
            <w:r w:rsidR="00E452A9">
              <w:rPr>
                <w:noProof/>
                <w:webHidden/>
              </w:rPr>
              <w:fldChar w:fldCharType="separate"/>
            </w:r>
            <w:r w:rsidR="00E452A9">
              <w:rPr>
                <w:noProof/>
                <w:webHidden/>
              </w:rPr>
              <w:t>13</w:t>
            </w:r>
            <w:r w:rsidR="00E452A9">
              <w:rPr>
                <w:noProof/>
                <w:webHidden/>
              </w:rPr>
              <w:fldChar w:fldCharType="end"/>
            </w:r>
          </w:hyperlink>
        </w:p>
        <w:p w14:paraId="6858E014" w14:textId="35586C77" w:rsidR="00E452A9" w:rsidRDefault="00E071E6">
          <w:pPr>
            <w:pStyle w:val="TDC1"/>
            <w:tabs>
              <w:tab w:val="left" w:pos="440"/>
              <w:tab w:val="right" w:leader="dot" w:pos="13278"/>
            </w:tabs>
            <w:rPr>
              <w:rFonts w:cstheme="minorBidi"/>
              <w:noProof/>
            </w:rPr>
          </w:pPr>
          <w:hyperlink w:anchor="_Toc64457430" w:history="1">
            <w:r w:rsidR="00E452A9" w:rsidRPr="001C2CAD">
              <w:rPr>
                <w:rStyle w:val="Hipervnculo"/>
                <w:noProof/>
              </w:rPr>
              <w:t>5.</w:t>
            </w:r>
            <w:r w:rsidR="00E452A9">
              <w:rPr>
                <w:rFonts w:cstheme="minorBidi"/>
                <w:noProof/>
              </w:rPr>
              <w:tab/>
            </w:r>
            <w:r w:rsidR="00E452A9" w:rsidRPr="001C2CAD">
              <w:rPr>
                <w:rStyle w:val="Hipervnculo"/>
                <w:noProof/>
              </w:rPr>
              <w:t>Efectos de COVID-19 en los fondos de pensión</w:t>
            </w:r>
            <w:r w:rsidR="00E452A9">
              <w:rPr>
                <w:noProof/>
                <w:webHidden/>
              </w:rPr>
              <w:tab/>
            </w:r>
            <w:r w:rsidR="00E452A9">
              <w:rPr>
                <w:noProof/>
                <w:webHidden/>
              </w:rPr>
              <w:fldChar w:fldCharType="begin"/>
            </w:r>
            <w:r w:rsidR="00E452A9">
              <w:rPr>
                <w:noProof/>
                <w:webHidden/>
              </w:rPr>
              <w:instrText xml:space="preserve"> PAGEREF _Toc64457430 \h </w:instrText>
            </w:r>
            <w:r w:rsidR="00E452A9">
              <w:rPr>
                <w:noProof/>
                <w:webHidden/>
              </w:rPr>
            </w:r>
            <w:r w:rsidR="00E452A9">
              <w:rPr>
                <w:noProof/>
                <w:webHidden/>
              </w:rPr>
              <w:fldChar w:fldCharType="separate"/>
            </w:r>
            <w:r w:rsidR="00E452A9">
              <w:rPr>
                <w:noProof/>
                <w:webHidden/>
              </w:rPr>
              <w:t>15</w:t>
            </w:r>
            <w:r w:rsidR="00E452A9">
              <w:rPr>
                <w:noProof/>
                <w:webHidden/>
              </w:rPr>
              <w:fldChar w:fldCharType="end"/>
            </w:r>
          </w:hyperlink>
        </w:p>
        <w:p w14:paraId="34993D74" w14:textId="28E369EF" w:rsidR="00E452A9" w:rsidRDefault="00E071E6">
          <w:pPr>
            <w:pStyle w:val="TDC2"/>
            <w:tabs>
              <w:tab w:val="left" w:pos="880"/>
              <w:tab w:val="right" w:leader="dot" w:pos="13278"/>
            </w:tabs>
            <w:rPr>
              <w:rFonts w:cstheme="minorBidi"/>
              <w:noProof/>
            </w:rPr>
          </w:pPr>
          <w:hyperlink w:anchor="_Toc64457431" w:history="1">
            <w:r w:rsidR="00E452A9" w:rsidRPr="001C2CAD">
              <w:rPr>
                <w:rStyle w:val="Hipervnculo"/>
                <w:noProof/>
              </w:rPr>
              <w:t>5.1.</w:t>
            </w:r>
            <w:r w:rsidR="00E452A9">
              <w:rPr>
                <w:rFonts w:cstheme="minorBidi"/>
                <w:noProof/>
              </w:rPr>
              <w:tab/>
            </w:r>
            <w:r w:rsidR="00E452A9" w:rsidRPr="001C2CAD">
              <w:rPr>
                <w:rStyle w:val="Hipervnculo"/>
                <w:noProof/>
              </w:rPr>
              <w:t>Efectos de COVID-19 en los fondos de pensión</w:t>
            </w:r>
            <w:r w:rsidR="00E452A9">
              <w:rPr>
                <w:noProof/>
                <w:webHidden/>
              </w:rPr>
              <w:tab/>
            </w:r>
            <w:r w:rsidR="00E452A9">
              <w:rPr>
                <w:noProof/>
                <w:webHidden/>
              </w:rPr>
              <w:fldChar w:fldCharType="begin"/>
            </w:r>
            <w:r w:rsidR="00E452A9">
              <w:rPr>
                <w:noProof/>
                <w:webHidden/>
              </w:rPr>
              <w:instrText xml:space="preserve"> PAGEREF _Toc64457431 \h </w:instrText>
            </w:r>
            <w:r w:rsidR="00E452A9">
              <w:rPr>
                <w:noProof/>
                <w:webHidden/>
              </w:rPr>
            </w:r>
            <w:r w:rsidR="00E452A9">
              <w:rPr>
                <w:noProof/>
                <w:webHidden/>
              </w:rPr>
              <w:fldChar w:fldCharType="separate"/>
            </w:r>
            <w:r w:rsidR="00E452A9">
              <w:rPr>
                <w:noProof/>
                <w:webHidden/>
              </w:rPr>
              <w:t>15</w:t>
            </w:r>
            <w:r w:rsidR="00E452A9">
              <w:rPr>
                <w:noProof/>
                <w:webHidden/>
              </w:rPr>
              <w:fldChar w:fldCharType="end"/>
            </w:r>
          </w:hyperlink>
        </w:p>
        <w:p w14:paraId="75D74AFA" w14:textId="3EDCAFD0" w:rsidR="00E452A9" w:rsidRDefault="00E071E6">
          <w:pPr>
            <w:pStyle w:val="TDC2"/>
            <w:tabs>
              <w:tab w:val="left" w:pos="880"/>
              <w:tab w:val="right" w:leader="dot" w:pos="13278"/>
            </w:tabs>
            <w:rPr>
              <w:rFonts w:cstheme="minorBidi"/>
              <w:noProof/>
            </w:rPr>
          </w:pPr>
          <w:hyperlink w:anchor="_Toc64457432" w:history="1">
            <w:r w:rsidR="00E452A9" w:rsidRPr="001C2CAD">
              <w:rPr>
                <w:rStyle w:val="Hipervnculo"/>
                <w:noProof/>
              </w:rPr>
              <w:t>5.2.</w:t>
            </w:r>
            <w:r w:rsidR="00E452A9">
              <w:rPr>
                <w:rFonts w:cstheme="minorBidi"/>
                <w:noProof/>
              </w:rPr>
              <w:tab/>
            </w:r>
            <w:r w:rsidR="00E452A9" w:rsidRPr="001C2CAD">
              <w:rPr>
                <w:rStyle w:val="Hipervnculo"/>
                <w:noProof/>
              </w:rPr>
              <w:t>Efectos en Regímenes de Capitalización Individual</w:t>
            </w:r>
            <w:r w:rsidR="00E452A9">
              <w:rPr>
                <w:noProof/>
                <w:webHidden/>
              </w:rPr>
              <w:tab/>
            </w:r>
            <w:r w:rsidR="00E452A9">
              <w:rPr>
                <w:noProof/>
                <w:webHidden/>
              </w:rPr>
              <w:fldChar w:fldCharType="begin"/>
            </w:r>
            <w:r w:rsidR="00E452A9">
              <w:rPr>
                <w:noProof/>
                <w:webHidden/>
              </w:rPr>
              <w:instrText xml:space="preserve"> PAGEREF _Toc64457432 \h </w:instrText>
            </w:r>
            <w:r w:rsidR="00E452A9">
              <w:rPr>
                <w:noProof/>
                <w:webHidden/>
              </w:rPr>
            </w:r>
            <w:r w:rsidR="00E452A9">
              <w:rPr>
                <w:noProof/>
                <w:webHidden/>
              </w:rPr>
              <w:fldChar w:fldCharType="separate"/>
            </w:r>
            <w:r w:rsidR="00E452A9">
              <w:rPr>
                <w:noProof/>
                <w:webHidden/>
              </w:rPr>
              <w:t>16</w:t>
            </w:r>
            <w:r w:rsidR="00E452A9">
              <w:rPr>
                <w:noProof/>
                <w:webHidden/>
              </w:rPr>
              <w:fldChar w:fldCharType="end"/>
            </w:r>
          </w:hyperlink>
        </w:p>
        <w:p w14:paraId="5F644FBB" w14:textId="01892F4A" w:rsidR="00E452A9" w:rsidRDefault="00E071E6">
          <w:pPr>
            <w:pStyle w:val="TDC3"/>
            <w:tabs>
              <w:tab w:val="left" w:pos="1320"/>
              <w:tab w:val="right" w:leader="dot" w:pos="13278"/>
            </w:tabs>
            <w:rPr>
              <w:rFonts w:cstheme="minorBidi"/>
              <w:noProof/>
            </w:rPr>
          </w:pPr>
          <w:hyperlink w:anchor="_Toc64457433" w:history="1">
            <w:r w:rsidR="00E452A9" w:rsidRPr="001C2CAD">
              <w:rPr>
                <w:rStyle w:val="Hipervnculo"/>
                <w:noProof/>
              </w:rPr>
              <w:t>5.2.1.</w:t>
            </w:r>
            <w:r w:rsidR="00E452A9">
              <w:rPr>
                <w:rFonts w:cstheme="minorBidi"/>
                <w:noProof/>
              </w:rPr>
              <w:tab/>
            </w:r>
            <w:r w:rsidR="00E452A9" w:rsidRPr="001C2CAD">
              <w:rPr>
                <w:rStyle w:val="Hipervnculo"/>
                <w:noProof/>
              </w:rPr>
              <w:t>Retiros del FCL por nuevas causales</w:t>
            </w:r>
            <w:r w:rsidR="00E452A9">
              <w:rPr>
                <w:noProof/>
                <w:webHidden/>
              </w:rPr>
              <w:tab/>
            </w:r>
            <w:r w:rsidR="00E452A9">
              <w:rPr>
                <w:noProof/>
                <w:webHidden/>
              </w:rPr>
              <w:fldChar w:fldCharType="begin"/>
            </w:r>
            <w:r w:rsidR="00E452A9">
              <w:rPr>
                <w:noProof/>
                <w:webHidden/>
              </w:rPr>
              <w:instrText xml:space="preserve"> PAGEREF _Toc64457433 \h </w:instrText>
            </w:r>
            <w:r w:rsidR="00E452A9">
              <w:rPr>
                <w:noProof/>
                <w:webHidden/>
              </w:rPr>
            </w:r>
            <w:r w:rsidR="00E452A9">
              <w:rPr>
                <w:noProof/>
                <w:webHidden/>
              </w:rPr>
              <w:fldChar w:fldCharType="separate"/>
            </w:r>
            <w:r w:rsidR="00E452A9">
              <w:rPr>
                <w:noProof/>
                <w:webHidden/>
              </w:rPr>
              <w:t>16</w:t>
            </w:r>
            <w:r w:rsidR="00E452A9">
              <w:rPr>
                <w:noProof/>
                <w:webHidden/>
              </w:rPr>
              <w:fldChar w:fldCharType="end"/>
            </w:r>
          </w:hyperlink>
        </w:p>
        <w:p w14:paraId="26539CF7" w14:textId="47D9944A" w:rsidR="00E452A9" w:rsidRDefault="00E071E6">
          <w:pPr>
            <w:pStyle w:val="TDC3"/>
            <w:tabs>
              <w:tab w:val="left" w:pos="1320"/>
              <w:tab w:val="right" w:leader="dot" w:pos="13278"/>
            </w:tabs>
            <w:rPr>
              <w:rFonts w:cstheme="minorBidi"/>
              <w:noProof/>
            </w:rPr>
          </w:pPr>
          <w:hyperlink w:anchor="_Toc64457434" w:history="1">
            <w:r w:rsidR="00E452A9" w:rsidRPr="001C2CAD">
              <w:rPr>
                <w:rStyle w:val="Hipervnculo"/>
                <w:noProof/>
              </w:rPr>
              <w:t>5.2.2.</w:t>
            </w:r>
            <w:r w:rsidR="00E452A9">
              <w:rPr>
                <w:rFonts w:cstheme="minorBidi"/>
                <w:noProof/>
              </w:rPr>
              <w:tab/>
            </w:r>
            <w:r w:rsidR="00E452A9" w:rsidRPr="001C2CAD">
              <w:rPr>
                <w:rStyle w:val="Hipervnculo"/>
                <w:noProof/>
              </w:rPr>
              <w:t>Retiros en el ROP a partir de la reforma de la Ley de Protección al Trabajador</w:t>
            </w:r>
            <w:r w:rsidR="00E452A9">
              <w:rPr>
                <w:noProof/>
                <w:webHidden/>
              </w:rPr>
              <w:tab/>
            </w:r>
            <w:r w:rsidR="00E452A9">
              <w:rPr>
                <w:noProof/>
                <w:webHidden/>
              </w:rPr>
              <w:fldChar w:fldCharType="begin"/>
            </w:r>
            <w:r w:rsidR="00E452A9">
              <w:rPr>
                <w:noProof/>
                <w:webHidden/>
              </w:rPr>
              <w:instrText xml:space="preserve"> PAGEREF _Toc64457434 \h </w:instrText>
            </w:r>
            <w:r w:rsidR="00E452A9">
              <w:rPr>
                <w:noProof/>
                <w:webHidden/>
              </w:rPr>
            </w:r>
            <w:r w:rsidR="00E452A9">
              <w:rPr>
                <w:noProof/>
                <w:webHidden/>
              </w:rPr>
              <w:fldChar w:fldCharType="separate"/>
            </w:r>
            <w:r w:rsidR="00E452A9">
              <w:rPr>
                <w:noProof/>
                <w:webHidden/>
              </w:rPr>
              <w:t>16</w:t>
            </w:r>
            <w:r w:rsidR="00E452A9">
              <w:rPr>
                <w:noProof/>
                <w:webHidden/>
              </w:rPr>
              <w:fldChar w:fldCharType="end"/>
            </w:r>
          </w:hyperlink>
        </w:p>
        <w:p w14:paraId="70B97603" w14:textId="2F558AF5" w:rsidR="00E452A9" w:rsidRDefault="00E071E6">
          <w:pPr>
            <w:pStyle w:val="TDC2"/>
            <w:tabs>
              <w:tab w:val="left" w:pos="880"/>
              <w:tab w:val="right" w:leader="dot" w:pos="13278"/>
            </w:tabs>
            <w:rPr>
              <w:rFonts w:cstheme="minorBidi"/>
              <w:noProof/>
            </w:rPr>
          </w:pPr>
          <w:hyperlink w:anchor="_Toc64457435" w:history="1">
            <w:r w:rsidR="00E452A9" w:rsidRPr="001C2CAD">
              <w:rPr>
                <w:rStyle w:val="Hipervnculo"/>
                <w:noProof/>
              </w:rPr>
              <w:t>5.3.</w:t>
            </w:r>
            <w:r w:rsidR="00E452A9">
              <w:rPr>
                <w:rFonts w:cstheme="minorBidi"/>
                <w:noProof/>
              </w:rPr>
              <w:tab/>
            </w:r>
            <w:r w:rsidR="00E452A9" w:rsidRPr="001C2CAD">
              <w:rPr>
                <w:rStyle w:val="Hipervnculo"/>
                <w:noProof/>
              </w:rPr>
              <w:t>Efectos en Regímenes de Capitalización Colectiva</w:t>
            </w:r>
            <w:r w:rsidR="00E452A9">
              <w:rPr>
                <w:noProof/>
                <w:webHidden/>
              </w:rPr>
              <w:tab/>
            </w:r>
            <w:r w:rsidR="00E452A9">
              <w:rPr>
                <w:noProof/>
                <w:webHidden/>
              </w:rPr>
              <w:fldChar w:fldCharType="begin"/>
            </w:r>
            <w:r w:rsidR="00E452A9">
              <w:rPr>
                <w:noProof/>
                <w:webHidden/>
              </w:rPr>
              <w:instrText xml:space="preserve"> PAGEREF _Toc64457435 \h </w:instrText>
            </w:r>
            <w:r w:rsidR="00E452A9">
              <w:rPr>
                <w:noProof/>
                <w:webHidden/>
              </w:rPr>
            </w:r>
            <w:r w:rsidR="00E452A9">
              <w:rPr>
                <w:noProof/>
                <w:webHidden/>
              </w:rPr>
              <w:fldChar w:fldCharType="separate"/>
            </w:r>
            <w:r w:rsidR="00E452A9">
              <w:rPr>
                <w:noProof/>
                <w:webHidden/>
              </w:rPr>
              <w:t>17</w:t>
            </w:r>
            <w:r w:rsidR="00E452A9">
              <w:rPr>
                <w:noProof/>
                <w:webHidden/>
              </w:rPr>
              <w:fldChar w:fldCharType="end"/>
            </w:r>
          </w:hyperlink>
        </w:p>
        <w:p w14:paraId="15F13978" w14:textId="1AA460E4" w:rsidR="00E452A9" w:rsidRDefault="00E071E6">
          <w:pPr>
            <w:pStyle w:val="TDC1"/>
            <w:tabs>
              <w:tab w:val="left" w:pos="440"/>
              <w:tab w:val="right" w:leader="dot" w:pos="13278"/>
            </w:tabs>
            <w:rPr>
              <w:rFonts w:cstheme="minorBidi"/>
              <w:noProof/>
            </w:rPr>
          </w:pPr>
          <w:hyperlink w:anchor="_Toc64457436" w:history="1">
            <w:r w:rsidR="00E452A9" w:rsidRPr="001C2CAD">
              <w:rPr>
                <w:rStyle w:val="Hipervnculo"/>
                <w:noProof/>
              </w:rPr>
              <w:t>6.</w:t>
            </w:r>
            <w:r w:rsidR="00E452A9">
              <w:rPr>
                <w:rFonts w:cstheme="minorBidi"/>
                <w:noProof/>
              </w:rPr>
              <w:tab/>
            </w:r>
            <w:r w:rsidR="00E452A9" w:rsidRPr="001C2CAD">
              <w:rPr>
                <w:rStyle w:val="Hipervnculo"/>
                <w:noProof/>
              </w:rPr>
              <w:t>Aspectos jurídicos relevantes</w:t>
            </w:r>
            <w:r w:rsidR="00E452A9">
              <w:rPr>
                <w:noProof/>
                <w:webHidden/>
              </w:rPr>
              <w:tab/>
            </w:r>
            <w:r w:rsidR="00E452A9">
              <w:rPr>
                <w:noProof/>
                <w:webHidden/>
              </w:rPr>
              <w:fldChar w:fldCharType="begin"/>
            </w:r>
            <w:r w:rsidR="00E452A9">
              <w:rPr>
                <w:noProof/>
                <w:webHidden/>
              </w:rPr>
              <w:instrText xml:space="preserve"> PAGEREF _Toc64457436 \h </w:instrText>
            </w:r>
            <w:r w:rsidR="00E452A9">
              <w:rPr>
                <w:noProof/>
                <w:webHidden/>
              </w:rPr>
            </w:r>
            <w:r w:rsidR="00E452A9">
              <w:rPr>
                <w:noProof/>
                <w:webHidden/>
              </w:rPr>
              <w:fldChar w:fldCharType="separate"/>
            </w:r>
            <w:r w:rsidR="00E452A9">
              <w:rPr>
                <w:noProof/>
                <w:webHidden/>
              </w:rPr>
              <w:t>18</w:t>
            </w:r>
            <w:r w:rsidR="00E452A9">
              <w:rPr>
                <w:noProof/>
                <w:webHidden/>
              </w:rPr>
              <w:fldChar w:fldCharType="end"/>
            </w:r>
          </w:hyperlink>
        </w:p>
        <w:p w14:paraId="6236651E" w14:textId="56EE841C" w:rsidR="00E452A9" w:rsidRDefault="00E071E6">
          <w:pPr>
            <w:pStyle w:val="TDC2"/>
            <w:tabs>
              <w:tab w:val="left" w:pos="880"/>
              <w:tab w:val="right" w:leader="dot" w:pos="13278"/>
            </w:tabs>
            <w:rPr>
              <w:rFonts w:cstheme="minorBidi"/>
              <w:noProof/>
            </w:rPr>
          </w:pPr>
          <w:hyperlink w:anchor="_Toc64457437" w:history="1">
            <w:r w:rsidR="00E452A9" w:rsidRPr="001C2CAD">
              <w:rPr>
                <w:rStyle w:val="Hipervnculo"/>
                <w:noProof/>
              </w:rPr>
              <w:t>6.1.</w:t>
            </w:r>
            <w:r w:rsidR="00E452A9">
              <w:rPr>
                <w:rFonts w:cstheme="minorBidi"/>
                <w:noProof/>
              </w:rPr>
              <w:tab/>
            </w:r>
            <w:r w:rsidR="00E452A9" w:rsidRPr="001C2CAD">
              <w:rPr>
                <w:rStyle w:val="Hipervnculo"/>
                <w:noProof/>
              </w:rPr>
              <w:t>Consultas y denuncias</w:t>
            </w:r>
            <w:r w:rsidR="00E452A9">
              <w:rPr>
                <w:noProof/>
                <w:webHidden/>
              </w:rPr>
              <w:tab/>
            </w:r>
            <w:r w:rsidR="00E452A9">
              <w:rPr>
                <w:noProof/>
                <w:webHidden/>
              </w:rPr>
              <w:fldChar w:fldCharType="begin"/>
            </w:r>
            <w:r w:rsidR="00E452A9">
              <w:rPr>
                <w:noProof/>
                <w:webHidden/>
              </w:rPr>
              <w:instrText xml:space="preserve"> PAGEREF _Toc64457437 \h </w:instrText>
            </w:r>
            <w:r w:rsidR="00E452A9">
              <w:rPr>
                <w:noProof/>
                <w:webHidden/>
              </w:rPr>
            </w:r>
            <w:r w:rsidR="00E452A9">
              <w:rPr>
                <w:noProof/>
                <w:webHidden/>
              </w:rPr>
              <w:fldChar w:fldCharType="separate"/>
            </w:r>
            <w:r w:rsidR="00E452A9">
              <w:rPr>
                <w:noProof/>
                <w:webHidden/>
              </w:rPr>
              <w:t>18</w:t>
            </w:r>
            <w:r w:rsidR="00E452A9">
              <w:rPr>
                <w:noProof/>
                <w:webHidden/>
              </w:rPr>
              <w:fldChar w:fldCharType="end"/>
            </w:r>
          </w:hyperlink>
        </w:p>
        <w:p w14:paraId="5BD21666" w14:textId="15704954" w:rsidR="00E452A9" w:rsidRDefault="00E071E6">
          <w:pPr>
            <w:pStyle w:val="TDC2"/>
            <w:tabs>
              <w:tab w:val="left" w:pos="880"/>
              <w:tab w:val="right" w:leader="dot" w:pos="13278"/>
            </w:tabs>
            <w:rPr>
              <w:rFonts w:cstheme="minorBidi"/>
              <w:noProof/>
            </w:rPr>
          </w:pPr>
          <w:hyperlink w:anchor="_Toc64457438" w:history="1">
            <w:r w:rsidR="00E452A9" w:rsidRPr="001C2CAD">
              <w:rPr>
                <w:rStyle w:val="Hipervnculo"/>
                <w:noProof/>
              </w:rPr>
              <w:t>6.2.</w:t>
            </w:r>
            <w:r w:rsidR="00E452A9">
              <w:rPr>
                <w:rFonts w:cstheme="minorBidi"/>
                <w:noProof/>
              </w:rPr>
              <w:tab/>
            </w:r>
            <w:r w:rsidR="00E452A9" w:rsidRPr="001C2CAD">
              <w:rPr>
                <w:rStyle w:val="Hipervnculo"/>
                <w:noProof/>
              </w:rPr>
              <w:t>Criterios Jurídicos</w:t>
            </w:r>
            <w:r w:rsidR="00E452A9">
              <w:rPr>
                <w:noProof/>
                <w:webHidden/>
              </w:rPr>
              <w:tab/>
            </w:r>
            <w:r w:rsidR="00E452A9">
              <w:rPr>
                <w:noProof/>
                <w:webHidden/>
              </w:rPr>
              <w:fldChar w:fldCharType="begin"/>
            </w:r>
            <w:r w:rsidR="00E452A9">
              <w:rPr>
                <w:noProof/>
                <w:webHidden/>
              </w:rPr>
              <w:instrText xml:space="preserve"> PAGEREF _Toc64457438 \h </w:instrText>
            </w:r>
            <w:r w:rsidR="00E452A9">
              <w:rPr>
                <w:noProof/>
                <w:webHidden/>
              </w:rPr>
            </w:r>
            <w:r w:rsidR="00E452A9">
              <w:rPr>
                <w:noProof/>
                <w:webHidden/>
              </w:rPr>
              <w:fldChar w:fldCharType="separate"/>
            </w:r>
            <w:r w:rsidR="00E452A9">
              <w:rPr>
                <w:noProof/>
                <w:webHidden/>
              </w:rPr>
              <w:t>19</w:t>
            </w:r>
            <w:r w:rsidR="00E452A9">
              <w:rPr>
                <w:noProof/>
                <w:webHidden/>
              </w:rPr>
              <w:fldChar w:fldCharType="end"/>
            </w:r>
          </w:hyperlink>
        </w:p>
        <w:p w14:paraId="25B2337A" w14:textId="446979D4" w:rsidR="00E452A9" w:rsidRDefault="00E071E6">
          <w:pPr>
            <w:pStyle w:val="TDC2"/>
            <w:tabs>
              <w:tab w:val="right" w:leader="dot" w:pos="13278"/>
            </w:tabs>
            <w:rPr>
              <w:rFonts w:cstheme="minorBidi"/>
              <w:noProof/>
            </w:rPr>
          </w:pPr>
          <w:hyperlink w:anchor="_Toc64457439" w:history="1">
            <w:r w:rsidR="00E452A9" w:rsidRPr="001C2CAD">
              <w:rPr>
                <w:rStyle w:val="Hipervnculo"/>
                <w:i/>
                <w:iCs/>
                <w:noProof/>
              </w:rPr>
              <w:t>Asuntos relevantes: Resolución de Sala Primera</w:t>
            </w:r>
            <w:r w:rsidR="00E452A9">
              <w:rPr>
                <w:noProof/>
                <w:webHidden/>
              </w:rPr>
              <w:tab/>
            </w:r>
            <w:r w:rsidR="00E452A9">
              <w:rPr>
                <w:noProof/>
                <w:webHidden/>
              </w:rPr>
              <w:fldChar w:fldCharType="begin"/>
            </w:r>
            <w:r w:rsidR="00E452A9">
              <w:rPr>
                <w:noProof/>
                <w:webHidden/>
              </w:rPr>
              <w:instrText xml:space="preserve"> PAGEREF _Toc64457439 \h </w:instrText>
            </w:r>
            <w:r w:rsidR="00E452A9">
              <w:rPr>
                <w:noProof/>
                <w:webHidden/>
              </w:rPr>
            </w:r>
            <w:r w:rsidR="00E452A9">
              <w:rPr>
                <w:noProof/>
                <w:webHidden/>
              </w:rPr>
              <w:fldChar w:fldCharType="separate"/>
            </w:r>
            <w:r w:rsidR="00E452A9">
              <w:rPr>
                <w:noProof/>
                <w:webHidden/>
              </w:rPr>
              <w:t>20</w:t>
            </w:r>
            <w:r w:rsidR="00E452A9">
              <w:rPr>
                <w:noProof/>
                <w:webHidden/>
              </w:rPr>
              <w:fldChar w:fldCharType="end"/>
            </w:r>
          </w:hyperlink>
        </w:p>
        <w:p w14:paraId="406DA2CA" w14:textId="366211C8" w:rsidR="00E452A9" w:rsidRDefault="00E071E6">
          <w:pPr>
            <w:pStyle w:val="TDC2"/>
            <w:tabs>
              <w:tab w:val="left" w:pos="880"/>
              <w:tab w:val="right" w:leader="dot" w:pos="13278"/>
            </w:tabs>
            <w:rPr>
              <w:rFonts w:cstheme="minorBidi"/>
              <w:noProof/>
            </w:rPr>
          </w:pPr>
          <w:hyperlink w:anchor="_Toc64457440" w:history="1">
            <w:r w:rsidR="00E452A9" w:rsidRPr="001C2CAD">
              <w:rPr>
                <w:rStyle w:val="Hipervnculo"/>
                <w:noProof/>
              </w:rPr>
              <w:t>6.3.</w:t>
            </w:r>
            <w:r w:rsidR="00E452A9">
              <w:rPr>
                <w:rFonts w:cstheme="minorBidi"/>
                <w:noProof/>
              </w:rPr>
              <w:tab/>
            </w:r>
            <w:r w:rsidR="00E452A9" w:rsidRPr="001C2CAD">
              <w:rPr>
                <w:rStyle w:val="Hipervnculo"/>
                <w:noProof/>
              </w:rPr>
              <w:t>Proyectos de Ley</w:t>
            </w:r>
            <w:r w:rsidR="00E452A9">
              <w:rPr>
                <w:noProof/>
                <w:webHidden/>
              </w:rPr>
              <w:tab/>
            </w:r>
            <w:r w:rsidR="00E452A9">
              <w:rPr>
                <w:noProof/>
                <w:webHidden/>
              </w:rPr>
              <w:fldChar w:fldCharType="begin"/>
            </w:r>
            <w:r w:rsidR="00E452A9">
              <w:rPr>
                <w:noProof/>
                <w:webHidden/>
              </w:rPr>
              <w:instrText xml:space="preserve"> PAGEREF _Toc64457440 \h </w:instrText>
            </w:r>
            <w:r w:rsidR="00E452A9">
              <w:rPr>
                <w:noProof/>
                <w:webHidden/>
              </w:rPr>
            </w:r>
            <w:r w:rsidR="00E452A9">
              <w:rPr>
                <w:noProof/>
                <w:webHidden/>
              </w:rPr>
              <w:fldChar w:fldCharType="separate"/>
            </w:r>
            <w:r w:rsidR="00E452A9">
              <w:rPr>
                <w:noProof/>
                <w:webHidden/>
              </w:rPr>
              <w:t>21</w:t>
            </w:r>
            <w:r w:rsidR="00E452A9">
              <w:rPr>
                <w:noProof/>
                <w:webHidden/>
              </w:rPr>
              <w:fldChar w:fldCharType="end"/>
            </w:r>
          </w:hyperlink>
        </w:p>
        <w:p w14:paraId="490B068F" w14:textId="295894B1" w:rsidR="00E452A9" w:rsidRDefault="00E071E6">
          <w:pPr>
            <w:pStyle w:val="TDC2"/>
            <w:tabs>
              <w:tab w:val="right" w:leader="dot" w:pos="13278"/>
            </w:tabs>
            <w:rPr>
              <w:rFonts w:cstheme="minorBidi"/>
              <w:noProof/>
            </w:rPr>
          </w:pPr>
          <w:hyperlink w:anchor="_Toc64457441" w:history="1">
            <w:r w:rsidR="00E452A9" w:rsidRPr="001C2CAD">
              <w:rPr>
                <w:rStyle w:val="Hipervnculo"/>
                <w:i/>
                <w:iCs/>
                <w:noProof/>
              </w:rPr>
              <w:t>Decreto Legislativo N° 9906</w:t>
            </w:r>
            <w:r w:rsidR="00E452A9">
              <w:rPr>
                <w:noProof/>
                <w:webHidden/>
              </w:rPr>
              <w:tab/>
            </w:r>
            <w:r w:rsidR="00E452A9">
              <w:rPr>
                <w:noProof/>
                <w:webHidden/>
              </w:rPr>
              <w:fldChar w:fldCharType="begin"/>
            </w:r>
            <w:r w:rsidR="00E452A9">
              <w:rPr>
                <w:noProof/>
                <w:webHidden/>
              </w:rPr>
              <w:instrText xml:space="preserve"> PAGEREF _Toc64457441 \h </w:instrText>
            </w:r>
            <w:r w:rsidR="00E452A9">
              <w:rPr>
                <w:noProof/>
                <w:webHidden/>
              </w:rPr>
            </w:r>
            <w:r w:rsidR="00E452A9">
              <w:rPr>
                <w:noProof/>
                <w:webHidden/>
              </w:rPr>
              <w:fldChar w:fldCharType="separate"/>
            </w:r>
            <w:r w:rsidR="00E452A9">
              <w:rPr>
                <w:noProof/>
                <w:webHidden/>
              </w:rPr>
              <w:t>21</w:t>
            </w:r>
            <w:r w:rsidR="00E452A9">
              <w:rPr>
                <w:noProof/>
                <w:webHidden/>
              </w:rPr>
              <w:fldChar w:fldCharType="end"/>
            </w:r>
          </w:hyperlink>
        </w:p>
        <w:p w14:paraId="47077A5C" w14:textId="267D80EF" w:rsidR="00E452A9" w:rsidRDefault="00E071E6">
          <w:pPr>
            <w:pStyle w:val="TDC2"/>
            <w:tabs>
              <w:tab w:val="left" w:pos="880"/>
              <w:tab w:val="right" w:leader="dot" w:pos="13278"/>
            </w:tabs>
            <w:rPr>
              <w:rFonts w:cstheme="minorBidi"/>
              <w:noProof/>
            </w:rPr>
          </w:pPr>
          <w:hyperlink w:anchor="_Toc64457442" w:history="1">
            <w:r w:rsidR="00E452A9" w:rsidRPr="001C2CAD">
              <w:rPr>
                <w:rStyle w:val="Hipervnculo"/>
                <w:noProof/>
              </w:rPr>
              <w:t>6.4.</w:t>
            </w:r>
            <w:r w:rsidR="00E452A9">
              <w:rPr>
                <w:rFonts w:cstheme="minorBidi"/>
                <w:noProof/>
              </w:rPr>
              <w:tab/>
            </w:r>
            <w:r w:rsidR="00E452A9" w:rsidRPr="001C2CAD">
              <w:rPr>
                <w:rStyle w:val="Hipervnculo"/>
                <w:noProof/>
              </w:rPr>
              <w:t>Aprobación de Reglamentos</w:t>
            </w:r>
            <w:r w:rsidR="00E452A9">
              <w:rPr>
                <w:noProof/>
                <w:webHidden/>
              </w:rPr>
              <w:tab/>
            </w:r>
            <w:r w:rsidR="00E452A9">
              <w:rPr>
                <w:noProof/>
                <w:webHidden/>
              </w:rPr>
              <w:fldChar w:fldCharType="begin"/>
            </w:r>
            <w:r w:rsidR="00E452A9">
              <w:rPr>
                <w:noProof/>
                <w:webHidden/>
              </w:rPr>
              <w:instrText xml:space="preserve"> PAGEREF _Toc64457442 \h </w:instrText>
            </w:r>
            <w:r w:rsidR="00E452A9">
              <w:rPr>
                <w:noProof/>
                <w:webHidden/>
              </w:rPr>
            </w:r>
            <w:r w:rsidR="00E452A9">
              <w:rPr>
                <w:noProof/>
                <w:webHidden/>
              </w:rPr>
              <w:fldChar w:fldCharType="separate"/>
            </w:r>
            <w:r w:rsidR="00E452A9">
              <w:rPr>
                <w:noProof/>
                <w:webHidden/>
              </w:rPr>
              <w:t>22</w:t>
            </w:r>
            <w:r w:rsidR="00E452A9">
              <w:rPr>
                <w:noProof/>
                <w:webHidden/>
              </w:rPr>
              <w:fldChar w:fldCharType="end"/>
            </w:r>
          </w:hyperlink>
        </w:p>
        <w:p w14:paraId="04EDF02B" w14:textId="2F1558A2" w:rsidR="00E452A9" w:rsidRDefault="00E071E6">
          <w:pPr>
            <w:pStyle w:val="TDC2"/>
            <w:tabs>
              <w:tab w:val="left" w:pos="880"/>
              <w:tab w:val="right" w:leader="dot" w:pos="13278"/>
            </w:tabs>
            <w:rPr>
              <w:rFonts w:cstheme="minorBidi"/>
              <w:noProof/>
            </w:rPr>
          </w:pPr>
          <w:hyperlink w:anchor="_Toc64457443" w:history="1">
            <w:r w:rsidR="00E452A9" w:rsidRPr="001C2CAD">
              <w:rPr>
                <w:rStyle w:val="Hipervnculo"/>
                <w:noProof/>
              </w:rPr>
              <w:t>6.5.</w:t>
            </w:r>
            <w:r w:rsidR="00E452A9">
              <w:rPr>
                <w:rFonts w:cstheme="minorBidi"/>
                <w:noProof/>
              </w:rPr>
              <w:tab/>
            </w:r>
            <w:r w:rsidR="00E452A9" w:rsidRPr="001C2CAD">
              <w:rPr>
                <w:rStyle w:val="Hipervnculo"/>
                <w:noProof/>
              </w:rPr>
              <w:t>Reformas Reglamentarias</w:t>
            </w:r>
            <w:r w:rsidR="00E452A9">
              <w:rPr>
                <w:noProof/>
                <w:webHidden/>
              </w:rPr>
              <w:tab/>
            </w:r>
            <w:r w:rsidR="00E452A9">
              <w:rPr>
                <w:noProof/>
                <w:webHidden/>
              </w:rPr>
              <w:fldChar w:fldCharType="begin"/>
            </w:r>
            <w:r w:rsidR="00E452A9">
              <w:rPr>
                <w:noProof/>
                <w:webHidden/>
              </w:rPr>
              <w:instrText xml:space="preserve"> PAGEREF _Toc64457443 \h </w:instrText>
            </w:r>
            <w:r w:rsidR="00E452A9">
              <w:rPr>
                <w:noProof/>
                <w:webHidden/>
              </w:rPr>
            </w:r>
            <w:r w:rsidR="00E452A9">
              <w:rPr>
                <w:noProof/>
                <w:webHidden/>
              </w:rPr>
              <w:fldChar w:fldCharType="separate"/>
            </w:r>
            <w:r w:rsidR="00E452A9">
              <w:rPr>
                <w:noProof/>
                <w:webHidden/>
              </w:rPr>
              <w:t>23</w:t>
            </w:r>
            <w:r w:rsidR="00E452A9">
              <w:rPr>
                <w:noProof/>
                <w:webHidden/>
              </w:rPr>
              <w:fldChar w:fldCharType="end"/>
            </w:r>
          </w:hyperlink>
        </w:p>
        <w:p w14:paraId="372365CF" w14:textId="1662EE47" w:rsidR="00E452A9" w:rsidRDefault="00E071E6">
          <w:pPr>
            <w:pStyle w:val="TDC2"/>
            <w:tabs>
              <w:tab w:val="left" w:pos="880"/>
              <w:tab w:val="right" w:leader="dot" w:pos="13278"/>
            </w:tabs>
            <w:rPr>
              <w:rFonts w:cstheme="minorBidi"/>
              <w:noProof/>
            </w:rPr>
          </w:pPr>
          <w:hyperlink w:anchor="_Toc64457444" w:history="1">
            <w:r w:rsidR="00E452A9" w:rsidRPr="001C2CAD">
              <w:rPr>
                <w:rStyle w:val="Hipervnculo"/>
                <w:noProof/>
              </w:rPr>
              <w:t>6.6.</w:t>
            </w:r>
            <w:r w:rsidR="00E452A9">
              <w:rPr>
                <w:rFonts w:cstheme="minorBidi"/>
                <w:noProof/>
              </w:rPr>
              <w:tab/>
            </w:r>
            <w:r w:rsidR="00E452A9" w:rsidRPr="001C2CAD">
              <w:rPr>
                <w:rStyle w:val="Hipervnculo"/>
                <w:noProof/>
              </w:rPr>
              <w:t>Acuerdos del Superintendente</w:t>
            </w:r>
            <w:r w:rsidR="00E452A9">
              <w:rPr>
                <w:noProof/>
                <w:webHidden/>
              </w:rPr>
              <w:tab/>
            </w:r>
            <w:r w:rsidR="00E452A9">
              <w:rPr>
                <w:noProof/>
                <w:webHidden/>
              </w:rPr>
              <w:fldChar w:fldCharType="begin"/>
            </w:r>
            <w:r w:rsidR="00E452A9">
              <w:rPr>
                <w:noProof/>
                <w:webHidden/>
              </w:rPr>
              <w:instrText xml:space="preserve"> PAGEREF _Toc64457444 \h </w:instrText>
            </w:r>
            <w:r w:rsidR="00E452A9">
              <w:rPr>
                <w:noProof/>
                <w:webHidden/>
              </w:rPr>
            </w:r>
            <w:r w:rsidR="00E452A9">
              <w:rPr>
                <w:noProof/>
                <w:webHidden/>
              </w:rPr>
              <w:fldChar w:fldCharType="separate"/>
            </w:r>
            <w:r w:rsidR="00E452A9">
              <w:rPr>
                <w:noProof/>
                <w:webHidden/>
              </w:rPr>
              <w:t>24</w:t>
            </w:r>
            <w:r w:rsidR="00E452A9">
              <w:rPr>
                <w:noProof/>
                <w:webHidden/>
              </w:rPr>
              <w:fldChar w:fldCharType="end"/>
            </w:r>
          </w:hyperlink>
        </w:p>
        <w:p w14:paraId="640574EA" w14:textId="6060FC87" w:rsidR="00E452A9" w:rsidRDefault="00E071E6">
          <w:pPr>
            <w:pStyle w:val="TDC1"/>
            <w:tabs>
              <w:tab w:val="left" w:pos="440"/>
              <w:tab w:val="right" w:leader="dot" w:pos="13278"/>
            </w:tabs>
            <w:rPr>
              <w:rFonts w:cstheme="minorBidi"/>
              <w:noProof/>
            </w:rPr>
          </w:pPr>
          <w:hyperlink w:anchor="_Toc64457445" w:history="1">
            <w:r w:rsidR="00E452A9" w:rsidRPr="001C2CAD">
              <w:rPr>
                <w:rStyle w:val="Hipervnculo"/>
                <w:noProof/>
              </w:rPr>
              <w:t>7.</w:t>
            </w:r>
            <w:r w:rsidR="00E452A9">
              <w:rPr>
                <w:rFonts w:cstheme="minorBidi"/>
                <w:noProof/>
              </w:rPr>
              <w:tab/>
            </w:r>
            <w:r w:rsidR="00E452A9" w:rsidRPr="001C2CAD">
              <w:rPr>
                <w:rStyle w:val="Hipervnculo"/>
                <w:noProof/>
              </w:rPr>
              <w:t>Otros temas relevantes del trimestre</w:t>
            </w:r>
            <w:r w:rsidR="00E452A9">
              <w:rPr>
                <w:noProof/>
                <w:webHidden/>
              </w:rPr>
              <w:tab/>
            </w:r>
            <w:r w:rsidR="00E452A9">
              <w:rPr>
                <w:noProof/>
                <w:webHidden/>
              </w:rPr>
              <w:fldChar w:fldCharType="begin"/>
            </w:r>
            <w:r w:rsidR="00E452A9">
              <w:rPr>
                <w:noProof/>
                <w:webHidden/>
              </w:rPr>
              <w:instrText xml:space="preserve"> PAGEREF _Toc64457445 \h </w:instrText>
            </w:r>
            <w:r w:rsidR="00E452A9">
              <w:rPr>
                <w:noProof/>
                <w:webHidden/>
              </w:rPr>
            </w:r>
            <w:r w:rsidR="00E452A9">
              <w:rPr>
                <w:noProof/>
                <w:webHidden/>
              </w:rPr>
              <w:fldChar w:fldCharType="separate"/>
            </w:r>
            <w:r w:rsidR="00E452A9">
              <w:rPr>
                <w:noProof/>
                <w:webHidden/>
              </w:rPr>
              <w:t>25</w:t>
            </w:r>
            <w:r w:rsidR="00E452A9">
              <w:rPr>
                <w:noProof/>
                <w:webHidden/>
              </w:rPr>
              <w:fldChar w:fldCharType="end"/>
            </w:r>
          </w:hyperlink>
        </w:p>
        <w:p w14:paraId="4063101F" w14:textId="1D991356" w:rsidR="00E452A9" w:rsidRDefault="00E071E6">
          <w:pPr>
            <w:pStyle w:val="TDC2"/>
            <w:tabs>
              <w:tab w:val="left" w:pos="880"/>
              <w:tab w:val="right" w:leader="dot" w:pos="13278"/>
            </w:tabs>
            <w:rPr>
              <w:rFonts w:cstheme="minorBidi"/>
              <w:noProof/>
            </w:rPr>
          </w:pPr>
          <w:hyperlink w:anchor="_Toc64457446" w:history="1">
            <w:r w:rsidR="00E452A9" w:rsidRPr="001C2CAD">
              <w:rPr>
                <w:rStyle w:val="Hipervnculo"/>
                <w:noProof/>
              </w:rPr>
              <w:t>7.1.</w:t>
            </w:r>
            <w:r w:rsidR="00E452A9">
              <w:rPr>
                <w:rFonts w:cstheme="minorBidi"/>
                <w:noProof/>
              </w:rPr>
              <w:tab/>
            </w:r>
            <w:r w:rsidR="00E452A9" w:rsidRPr="001C2CAD">
              <w:rPr>
                <w:rStyle w:val="Hipervnculo"/>
                <w:noProof/>
              </w:rPr>
              <w:t>Foro Virtual de Pensiones y Multifondos</w:t>
            </w:r>
            <w:r w:rsidR="00E452A9">
              <w:rPr>
                <w:noProof/>
                <w:webHidden/>
              </w:rPr>
              <w:tab/>
            </w:r>
            <w:r w:rsidR="00E452A9">
              <w:rPr>
                <w:noProof/>
                <w:webHidden/>
              </w:rPr>
              <w:fldChar w:fldCharType="begin"/>
            </w:r>
            <w:r w:rsidR="00E452A9">
              <w:rPr>
                <w:noProof/>
                <w:webHidden/>
              </w:rPr>
              <w:instrText xml:space="preserve"> PAGEREF _Toc64457446 \h </w:instrText>
            </w:r>
            <w:r w:rsidR="00E452A9">
              <w:rPr>
                <w:noProof/>
                <w:webHidden/>
              </w:rPr>
            </w:r>
            <w:r w:rsidR="00E452A9">
              <w:rPr>
                <w:noProof/>
                <w:webHidden/>
              </w:rPr>
              <w:fldChar w:fldCharType="separate"/>
            </w:r>
            <w:r w:rsidR="00E452A9">
              <w:rPr>
                <w:noProof/>
                <w:webHidden/>
              </w:rPr>
              <w:t>25</w:t>
            </w:r>
            <w:r w:rsidR="00E452A9">
              <w:rPr>
                <w:noProof/>
                <w:webHidden/>
              </w:rPr>
              <w:fldChar w:fldCharType="end"/>
            </w:r>
          </w:hyperlink>
        </w:p>
        <w:p w14:paraId="7847027B" w14:textId="7E2CDAA6" w:rsidR="00F27883" w:rsidRDefault="00F27883">
          <w:pPr>
            <w:rPr>
              <w:b/>
              <w:bCs/>
            </w:rPr>
          </w:pPr>
          <w:r>
            <w:rPr>
              <w:b/>
              <w:bCs/>
            </w:rPr>
            <w:fldChar w:fldCharType="end"/>
          </w:r>
        </w:p>
      </w:sdtContent>
    </w:sdt>
    <w:p w14:paraId="4176FDB6" w14:textId="0CF01672" w:rsidR="004B499C" w:rsidRDefault="004B499C">
      <w:pPr>
        <w:rPr>
          <w:rFonts w:asciiTheme="majorHAnsi" w:eastAsiaTheme="majorEastAsia" w:hAnsiTheme="majorHAnsi" w:cstheme="majorBidi"/>
          <w:color w:val="365F91" w:themeColor="accent1" w:themeShade="BF"/>
          <w:sz w:val="32"/>
          <w:szCs w:val="32"/>
        </w:rPr>
      </w:pPr>
      <w:r>
        <w:br w:type="page"/>
      </w:r>
    </w:p>
    <w:p w14:paraId="16FA3203" w14:textId="6AE3D533" w:rsidR="00C01A6B" w:rsidRDefault="00C01A6B" w:rsidP="00221631">
      <w:pPr>
        <w:pStyle w:val="Ttulo1"/>
        <w:numPr>
          <w:ilvl w:val="0"/>
          <w:numId w:val="1"/>
        </w:numPr>
      </w:pPr>
      <w:bookmarkStart w:id="1" w:name="_Toc64457422"/>
      <w:r>
        <w:lastRenderedPageBreak/>
        <w:t>Definiciones</w:t>
      </w:r>
      <w:bookmarkEnd w:id="1"/>
    </w:p>
    <w:p w14:paraId="175D5716" w14:textId="77777777" w:rsidR="00C01A6B" w:rsidRDefault="00C01A6B" w:rsidP="008C0B7D">
      <w:pPr>
        <w:spacing w:after="0" w:line="240" w:lineRule="auto"/>
        <w:jc w:val="both"/>
        <w:rPr>
          <w:rFonts w:ascii="Calibri" w:eastAsia="Times New Roman" w:hAnsi="Calibri" w:cs="Calibri"/>
          <w:color w:val="000000"/>
          <w:lang w:val="es-CR" w:eastAsia="es-CR"/>
        </w:rPr>
      </w:pPr>
    </w:p>
    <w:p w14:paraId="72E2B118" w14:textId="77777777" w:rsidR="008C0B7D" w:rsidRDefault="008C0B7D" w:rsidP="008C0B7D">
      <w:pPr>
        <w:spacing w:after="0" w:line="240" w:lineRule="auto"/>
        <w:jc w:val="both"/>
        <w:rPr>
          <w:rFonts w:ascii="Calibri" w:eastAsia="Times New Roman" w:hAnsi="Calibri" w:cs="Calibri"/>
          <w:color w:val="000000"/>
          <w:lang w:val="es-CR" w:eastAsia="es-CR"/>
        </w:rPr>
      </w:pPr>
      <w:r w:rsidRPr="008C0B7D">
        <w:rPr>
          <w:rFonts w:ascii="Calibri" w:eastAsia="Times New Roman" w:hAnsi="Calibri" w:cs="Calibri"/>
          <w:color w:val="000000"/>
          <w:lang w:val="es-CR" w:eastAsia="es-CR"/>
        </w:rPr>
        <w:t>Para efectos de este reporte se utilizarán las definiciones y abreviaturas que se indican a continuación:</w:t>
      </w:r>
    </w:p>
    <w:p w14:paraId="0CF147A3" w14:textId="0AE257C7" w:rsidR="00E5576F" w:rsidRDefault="00E5576F"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BCCR: Banco Central de Costa Rica</w:t>
      </w:r>
    </w:p>
    <w:p w14:paraId="3EFE1A08" w14:textId="3511F503" w:rsidR="00547456" w:rsidRDefault="00547456"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BPDC: Banco Popular y de Desarrollo Comunal</w:t>
      </w:r>
    </w:p>
    <w:p w14:paraId="04635814" w14:textId="6D3BC949"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Bomberos: Fondo de Pensiones y Jubilaciones para los miembros del Benemérito Cuerpo de Bomberos de Costa Rica</w:t>
      </w:r>
    </w:p>
    <w:p w14:paraId="72369D40" w14:textId="15E78090"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CCSS: Caja Costarricense del Seguro Social</w:t>
      </w:r>
    </w:p>
    <w:p w14:paraId="09D77264" w14:textId="1BA90C33" w:rsidR="00F00A87" w:rsidRDefault="00F00A87"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CONASSIF: Consejo Nacional de Supervisión Financiera</w:t>
      </w:r>
    </w:p>
    <w:p w14:paraId="3F45B367" w14:textId="7C89F16B" w:rsidR="00F37BE9" w:rsidRDefault="00F37BE9"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DST: Dirección de </w:t>
      </w:r>
      <w:r w:rsidR="00E5576F">
        <w:rPr>
          <w:rFonts w:ascii="Calibri" w:eastAsia="Times New Roman" w:hAnsi="Calibri" w:cs="Calibri"/>
          <w:color w:val="000000"/>
          <w:lang w:val="es-CR" w:eastAsia="es-CR"/>
        </w:rPr>
        <w:t>Servicios Tecnológicos del BCCR</w:t>
      </w:r>
    </w:p>
    <w:p w14:paraId="52FF951A" w14:textId="53006927" w:rsidR="008E2F6D" w:rsidRPr="000E7D3E" w:rsidRDefault="008E2F6D"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ETF: </w:t>
      </w:r>
      <w:r w:rsidRPr="008E2F6D">
        <w:rPr>
          <w:rFonts w:ascii="Calibri" w:eastAsia="Times New Roman" w:hAnsi="Calibri" w:cs="Calibri"/>
          <w:color w:val="000000"/>
          <w:lang w:val="es-CR" w:eastAsia="es-CR"/>
        </w:rPr>
        <w:t>Exchange</w:t>
      </w:r>
      <w:r>
        <w:rPr>
          <w:rFonts w:ascii="Calibri" w:eastAsia="Times New Roman" w:hAnsi="Calibri" w:cs="Calibri"/>
          <w:color w:val="000000"/>
          <w:lang w:val="es-CR" w:eastAsia="es-CR"/>
        </w:rPr>
        <w:t xml:space="preserve"> </w:t>
      </w:r>
      <w:r w:rsidRPr="008E2F6D">
        <w:rPr>
          <w:rFonts w:ascii="Calibri" w:eastAsia="Times New Roman" w:hAnsi="Calibri" w:cs="Calibri"/>
          <w:color w:val="000000"/>
          <w:lang w:val="es-CR" w:eastAsia="es-CR"/>
        </w:rPr>
        <w:t>Traded Fund</w:t>
      </w:r>
    </w:p>
    <w:p w14:paraId="343BA3FA"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FBCR: Fondo de Jubilaciones de los Empleados del Banco de Costa Rica</w:t>
      </w:r>
    </w:p>
    <w:p w14:paraId="6F0E6DE2"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FBNCR: Fondo de Garantías y Jubilaciones de los Empleados del Banco Nacional de Costa Rica.</w:t>
      </w:r>
    </w:p>
    <w:p w14:paraId="179A5C8F"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FCL: Fondo de capitalización laboral</w:t>
      </w:r>
    </w:p>
    <w:p w14:paraId="17DD8B54"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FGN: Fondo de Garantía Notarial</w:t>
      </w:r>
    </w:p>
    <w:p w14:paraId="2936E3E4" w14:textId="3D08CE84"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FICE: Fondo de Garantías y Ahorro de los Empleados del Instituto Costarricense de Electricidad</w:t>
      </w:r>
    </w:p>
    <w:p w14:paraId="39D17B85" w14:textId="5A799B8F"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FICT: Fondo de Empleados del Instituto Costarricense de Turismo</w:t>
      </w:r>
    </w:p>
    <w:p w14:paraId="347C610D"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FPJ: Fondo de Jubilaciones y Pensiones del Poder Judicial.</w:t>
      </w:r>
    </w:p>
    <w:p w14:paraId="22A4115B"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FRE: Fondo de Retiro de los Empleados de la Caja Costarricense de Seguro Social.</w:t>
      </w:r>
    </w:p>
    <w:p w14:paraId="0B3A9D8A" w14:textId="77777777"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FVENLOT: Fondo de Jubilaciones y Pensiones de los Vendedores de Lotería.</w:t>
      </w:r>
    </w:p>
    <w:p w14:paraId="62BA6390" w14:textId="77777777" w:rsidR="00E716A6" w:rsidRDefault="00E716A6"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INEC: I</w:t>
      </w:r>
      <w:r w:rsidR="00F31D6E">
        <w:rPr>
          <w:rFonts w:ascii="Calibri" w:eastAsia="Times New Roman" w:hAnsi="Calibri" w:cs="Calibri"/>
          <w:color w:val="000000"/>
          <w:lang w:val="es-CR" w:eastAsia="es-CR"/>
        </w:rPr>
        <w:t>nstituto Nacional de Estadística y Censos</w:t>
      </w:r>
    </w:p>
    <w:p w14:paraId="238A8081" w14:textId="77777777" w:rsidR="00681C9F" w:rsidRPr="000E7D3E" w:rsidRDefault="00681C9F"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JUPEMA: Junta de Pensiones del Magisterio Nacional</w:t>
      </w:r>
    </w:p>
    <w:p w14:paraId="13708BA4" w14:textId="77777777"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LPT: </w:t>
      </w:r>
      <w:bookmarkStart w:id="2" w:name="_Hlk55162105"/>
      <w:r w:rsidRPr="000E7D3E">
        <w:rPr>
          <w:rFonts w:ascii="Calibri" w:eastAsia="Times New Roman" w:hAnsi="Calibri" w:cs="Calibri"/>
          <w:color w:val="000000"/>
          <w:lang w:val="es-CR" w:eastAsia="es-CR"/>
        </w:rPr>
        <w:t>Ley de Protección al trabajador</w:t>
      </w:r>
      <w:bookmarkEnd w:id="2"/>
    </w:p>
    <w:p w14:paraId="5FA9BD96" w14:textId="77777777" w:rsidR="00202EB9" w:rsidRDefault="00202EB9"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MS</w:t>
      </w:r>
      <w:r w:rsidR="00AE2E8F">
        <w:rPr>
          <w:rFonts w:ascii="Calibri" w:eastAsia="Times New Roman" w:hAnsi="Calibri" w:cs="Calibri"/>
          <w:color w:val="000000"/>
          <w:lang w:val="es-CR" w:eastAsia="es-CR"/>
        </w:rPr>
        <w:t xml:space="preserve">ER </w:t>
      </w:r>
      <w:r w:rsidR="00AE2E8F" w:rsidRPr="00AE2E8F">
        <w:rPr>
          <w:rFonts w:ascii="Calibri" w:eastAsia="Times New Roman" w:hAnsi="Calibri" w:cs="Calibri"/>
          <w:color w:val="000000"/>
          <w:lang w:val="es-CR" w:eastAsia="es-CR"/>
        </w:rPr>
        <w:t xml:space="preserve">Modelo de supervisión y evaluación de riesgos </w:t>
      </w:r>
    </w:p>
    <w:p w14:paraId="0DDB0760" w14:textId="366E358A"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 xml:space="preserve">OPC: Operadoras de pensiones </w:t>
      </w:r>
      <w:r w:rsidR="007D617A">
        <w:rPr>
          <w:rFonts w:ascii="Calibri" w:eastAsia="Times New Roman" w:hAnsi="Calibri" w:cs="Calibri"/>
          <w:color w:val="000000"/>
          <w:lang w:val="es-CR" w:eastAsia="es-CR"/>
        </w:rPr>
        <w:t>complementarias</w:t>
      </w:r>
    </w:p>
    <w:p w14:paraId="26B6A639" w14:textId="77777777" w:rsidR="00EA3529" w:rsidRPr="000E7D3E" w:rsidRDefault="00EA3529"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PIB: Producto Interno Bruto</w:t>
      </w:r>
    </w:p>
    <w:p w14:paraId="4813A2F6" w14:textId="5B7AD270"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RCCMN: Régimen de Capitalización Colectiva del Sistema de Pensiones y Jubilaciones del Magisterio Nacional</w:t>
      </w:r>
    </w:p>
    <w:p w14:paraId="2FF6C33A" w14:textId="29A5DF78" w:rsidR="007A4DB7" w:rsidRPr="000E7D3E" w:rsidRDefault="007A4DB7"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R</w:t>
      </w:r>
      <w:r w:rsidRPr="000E7D3E">
        <w:rPr>
          <w:rFonts w:ascii="Calibri" w:eastAsia="Times New Roman" w:hAnsi="Calibri" w:cs="Calibri"/>
          <w:color w:val="000000"/>
          <w:lang w:val="es-CR" w:eastAsia="es-CR"/>
        </w:rPr>
        <w:t>IVM: Régimen de Invalidez, Vejez y Muerte de la CCSS</w:t>
      </w:r>
    </w:p>
    <w:p w14:paraId="515B0F89" w14:textId="098052C9" w:rsid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ROP: Régimen Obligatorios de Pensiones Complementario</w:t>
      </w:r>
    </w:p>
    <w:p w14:paraId="1AF48E1D" w14:textId="0A16BDF1" w:rsidR="000A0944" w:rsidRPr="000E7D3E" w:rsidRDefault="000A0944" w:rsidP="00C570BE">
      <w:pPr>
        <w:pStyle w:val="Prrafodelista"/>
        <w:numPr>
          <w:ilvl w:val="0"/>
          <w:numId w:val="2"/>
        </w:numPr>
        <w:spacing w:after="0" w:line="240" w:lineRule="auto"/>
        <w:jc w:val="both"/>
        <w:rPr>
          <w:rFonts w:ascii="Calibri" w:eastAsia="Times New Roman" w:hAnsi="Calibri" w:cs="Calibri"/>
          <w:color w:val="000000"/>
          <w:lang w:val="es-CR" w:eastAsia="es-CR"/>
        </w:rPr>
      </w:pPr>
      <w:r>
        <w:rPr>
          <w:rFonts w:ascii="Calibri" w:eastAsia="Times New Roman" w:hAnsi="Calibri" w:cs="Calibri"/>
          <w:color w:val="000000"/>
          <w:lang w:val="es-CR" w:eastAsia="es-CR"/>
        </w:rPr>
        <w:t xml:space="preserve">SICERE: </w:t>
      </w:r>
      <w:r w:rsidRPr="000A0944">
        <w:rPr>
          <w:rFonts w:ascii="Calibri" w:eastAsia="Times New Roman" w:hAnsi="Calibri" w:cs="Calibri"/>
          <w:color w:val="000000"/>
          <w:lang w:val="es-CR" w:eastAsia="es-CR"/>
        </w:rPr>
        <w:t xml:space="preserve">Sistema Centralizado de Recaudación </w:t>
      </w:r>
    </w:p>
    <w:p w14:paraId="2D6FEE29" w14:textId="77777777" w:rsidR="000E7D3E" w:rsidRPr="000E7D3E" w:rsidRDefault="000E7D3E" w:rsidP="00C570BE">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SNP: Sistema Nacional de Pensiones</w:t>
      </w:r>
    </w:p>
    <w:p w14:paraId="08B117CB" w14:textId="018DD1E8" w:rsidR="00AE417E" w:rsidRPr="004B499C" w:rsidRDefault="000E7D3E" w:rsidP="004B499C">
      <w:pPr>
        <w:pStyle w:val="Prrafodelista"/>
        <w:numPr>
          <w:ilvl w:val="0"/>
          <w:numId w:val="2"/>
        </w:numPr>
        <w:spacing w:after="0" w:line="240" w:lineRule="auto"/>
        <w:jc w:val="both"/>
        <w:rPr>
          <w:rFonts w:ascii="Calibri" w:eastAsia="Times New Roman" w:hAnsi="Calibri" w:cs="Calibri"/>
          <w:color w:val="000000"/>
          <w:lang w:val="es-CR" w:eastAsia="es-CR"/>
        </w:rPr>
      </w:pPr>
      <w:r w:rsidRPr="000E7D3E">
        <w:rPr>
          <w:rFonts w:ascii="Calibri" w:eastAsia="Times New Roman" w:hAnsi="Calibri" w:cs="Calibri"/>
          <w:color w:val="000000"/>
          <w:lang w:val="es-CR" w:eastAsia="es-CR"/>
        </w:rPr>
        <w:t>SUPEN: Superintendencia de Pensiones, órgano de desconcentración máxima del Banco Central de Costa Rica</w:t>
      </w:r>
      <w:r w:rsidR="00AE417E">
        <w:br w:type="page"/>
      </w:r>
    </w:p>
    <w:p w14:paraId="0CEA86E3" w14:textId="77777777" w:rsidR="002B6731" w:rsidRDefault="00394DBE" w:rsidP="00C570BE">
      <w:pPr>
        <w:pStyle w:val="Ttulo1"/>
        <w:numPr>
          <w:ilvl w:val="0"/>
          <w:numId w:val="1"/>
        </w:numPr>
      </w:pPr>
      <w:bookmarkStart w:id="3" w:name="_Toc64457423"/>
      <w:r>
        <w:lastRenderedPageBreak/>
        <w:t>Resumen ejecutivo</w:t>
      </w:r>
      <w:bookmarkEnd w:id="3"/>
    </w:p>
    <w:p w14:paraId="1C457886" w14:textId="77777777" w:rsidR="00512A6F" w:rsidRDefault="00512A6F" w:rsidP="00512A6F">
      <w:pPr>
        <w:spacing w:after="0" w:line="240" w:lineRule="auto"/>
        <w:jc w:val="both"/>
        <w:rPr>
          <w:rFonts w:ascii="Calibri" w:eastAsia="Times New Roman" w:hAnsi="Calibri" w:cs="Calibri"/>
          <w:color w:val="000000"/>
          <w:lang w:val="es-CR" w:eastAsia="es-CR"/>
        </w:rPr>
      </w:pPr>
    </w:p>
    <w:p w14:paraId="2521ACF6" w14:textId="0FE96627" w:rsidR="00F07074" w:rsidRPr="004B499C" w:rsidRDefault="00512A6F" w:rsidP="004B499C">
      <w:pPr>
        <w:spacing w:after="0"/>
        <w:jc w:val="both"/>
        <w:rPr>
          <w:sz w:val="24"/>
          <w:szCs w:val="24"/>
        </w:rPr>
      </w:pPr>
      <w:r w:rsidRPr="004B499C">
        <w:rPr>
          <w:sz w:val="24"/>
          <w:szCs w:val="24"/>
        </w:rPr>
        <w:t xml:space="preserve">El Sistema Nacional de Pensiones (SNP) y el Fondo de Capitalización Laboral (FCL) administran recursos, a </w:t>
      </w:r>
      <w:r w:rsidR="00DC6DA3" w:rsidRPr="004B499C">
        <w:rPr>
          <w:sz w:val="24"/>
          <w:szCs w:val="24"/>
        </w:rPr>
        <w:t>diciembre</w:t>
      </w:r>
      <w:r w:rsidRPr="004B499C">
        <w:rPr>
          <w:sz w:val="24"/>
          <w:szCs w:val="24"/>
        </w:rPr>
        <w:t xml:space="preserve"> del 2020, que totalizan </w:t>
      </w:r>
      <w:bookmarkStart w:id="4" w:name="_Hlk48293175"/>
      <w:r w:rsidRPr="004B499C">
        <w:rPr>
          <w:sz w:val="24"/>
          <w:szCs w:val="24"/>
        </w:rPr>
        <w:t>₡</w:t>
      </w:r>
      <w:bookmarkEnd w:id="4"/>
      <w:r w:rsidRPr="004B499C">
        <w:rPr>
          <w:sz w:val="24"/>
          <w:szCs w:val="24"/>
        </w:rPr>
        <w:t>1</w:t>
      </w:r>
      <w:r w:rsidR="00DC6DA3" w:rsidRPr="004B499C">
        <w:rPr>
          <w:sz w:val="24"/>
          <w:szCs w:val="24"/>
        </w:rPr>
        <w:t>7,1</w:t>
      </w:r>
      <w:r w:rsidRPr="004B499C">
        <w:rPr>
          <w:sz w:val="24"/>
          <w:szCs w:val="24"/>
        </w:rPr>
        <w:t xml:space="preserve"> billones, </w:t>
      </w:r>
      <w:r w:rsidR="00256911" w:rsidRPr="004B499C">
        <w:rPr>
          <w:sz w:val="24"/>
          <w:szCs w:val="24"/>
        </w:rPr>
        <w:t>equivalentes</w:t>
      </w:r>
      <w:r w:rsidRPr="004B499C">
        <w:rPr>
          <w:sz w:val="24"/>
          <w:szCs w:val="24"/>
        </w:rPr>
        <w:t xml:space="preserve"> al </w:t>
      </w:r>
      <w:r w:rsidR="00C73B02" w:rsidRPr="004B499C">
        <w:rPr>
          <w:sz w:val="24"/>
          <w:szCs w:val="24"/>
        </w:rPr>
        <w:t>4</w:t>
      </w:r>
      <w:r w:rsidR="00F07074" w:rsidRPr="004B499C">
        <w:rPr>
          <w:sz w:val="24"/>
          <w:szCs w:val="24"/>
        </w:rPr>
        <w:t>8,9</w:t>
      </w:r>
      <w:r w:rsidRPr="004B499C">
        <w:rPr>
          <w:sz w:val="24"/>
          <w:szCs w:val="24"/>
        </w:rPr>
        <w:t xml:space="preserve">% del Producto Interno Bruto (PIB). El crecimiento </w:t>
      </w:r>
      <w:r w:rsidR="007D2D0F" w:rsidRPr="004B499C">
        <w:rPr>
          <w:sz w:val="24"/>
          <w:szCs w:val="24"/>
        </w:rPr>
        <w:t>d</w:t>
      </w:r>
      <w:r w:rsidR="00A825F2" w:rsidRPr="004B499C">
        <w:rPr>
          <w:sz w:val="24"/>
          <w:szCs w:val="24"/>
        </w:rPr>
        <w:t>el 2020</w:t>
      </w:r>
      <w:r w:rsidRPr="004B499C">
        <w:rPr>
          <w:sz w:val="24"/>
          <w:szCs w:val="24"/>
        </w:rPr>
        <w:t xml:space="preserve"> </w:t>
      </w:r>
      <w:r w:rsidR="00A825F2" w:rsidRPr="004B499C">
        <w:rPr>
          <w:sz w:val="24"/>
          <w:szCs w:val="24"/>
        </w:rPr>
        <w:t>fue</w:t>
      </w:r>
      <w:r w:rsidRPr="004B499C">
        <w:rPr>
          <w:sz w:val="24"/>
          <w:szCs w:val="24"/>
        </w:rPr>
        <w:t xml:space="preserve"> de </w:t>
      </w:r>
      <w:r w:rsidR="00130456" w:rsidRPr="004B499C">
        <w:rPr>
          <w:sz w:val="24"/>
          <w:szCs w:val="24"/>
        </w:rPr>
        <w:t>11,2</w:t>
      </w:r>
      <w:r w:rsidRPr="004B499C">
        <w:rPr>
          <w:sz w:val="24"/>
          <w:szCs w:val="24"/>
        </w:rPr>
        <w:t>%,</w:t>
      </w:r>
      <w:r w:rsidR="007D2D0F" w:rsidRPr="004B499C">
        <w:rPr>
          <w:sz w:val="24"/>
          <w:szCs w:val="24"/>
        </w:rPr>
        <w:t xml:space="preserve"> cifra</w:t>
      </w:r>
      <w:r w:rsidRPr="004B499C">
        <w:rPr>
          <w:sz w:val="24"/>
          <w:szCs w:val="24"/>
        </w:rPr>
        <w:t xml:space="preserve"> </w:t>
      </w:r>
      <w:r w:rsidR="00EF5E48" w:rsidRPr="004B499C">
        <w:rPr>
          <w:sz w:val="24"/>
          <w:szCs w:val="24"/>
        </w:rPr>
        <w:t xml:space="preserve">menor </w:t>
      </w:r>
      <w:r w:rsidR="007D2D0F" w:rsidRPr="004B499C">
        <w:rPr>
          <w:sz w:val="24"/>
          <w:szCs w:val="24"/>
        </w:rPr>
        <w:t xml:space="preserve">al </w:t>
      </w:r>
      <w:r w:rsidRPr="004B499C">
        <w:rPr>
          <w:sz w:val="24"/>
          <w:szCs w:val="24"/>
        </w:rPr>
        <w:t xml:space="preserve">crecimiento promedio anual de los últimos 10 años que ronda el 13,9%. </w:t>
      </w:r>
    </w:p>
    <w:p w14:paraId="28571691" w14:textId="300984F4" w:rsidR="0052001A" w:rsidRPr="004B499C" w:rsidRDefault="0052001A" w:rsidP="004B499C">
      <w:pPr>
        <w:spacing w:after="0"/>
        <w:jc w:val="both"/>
        <w:rPr>
          <w:sz w:val="24"/>
          <w:szCs w:val="24"/>
          <w:highlight w:val="yellow"/>
        </w:rPr>
      </w:pPr>
    </w:p>
    <w:p w14:paraId="3BC08CDC" w14:textId="65C327BD" w:rsidR="00514D76" w:rsidRPr="004B499C" w:rsidRDefault="00512A6F" w:rsidP="004B499C">
      <w:pPr>
        <w:spacing w:after="0"/>
        <w:jc w:val="both"/>
        <w:rPr>
          <w:rFonts w:ascii="Calibri" w:eastAsia="Times New Roman" w:hAnsi="Calibri" w:cs="Calibri"/>
          <w:color w:val="000000" w:themeColor="text1"/>
          <w:sz w:val="24"/>
          <w:szCs w:val="24"/>
          <w:lang w:val="es-CR" w:eastAsia="es-CR"/>
        </w:rPr>
      </w:pPr>
      <w:r w:rsidRPr="004B499C">
        <w:rPr>
          <w:rFonts w:ascii="Calibri" w:eastAsia="Times New Roman" w:hAnsi="Calibri" w:cs="Calibri"/>
          <w:color w:val="000000" w:themeColor="text1"/>
          <w:sz w:val="24"/>
          <w:szCs w:val="24"/>
          <w:lang w:val="es-CR" w:eastAsia="es-CR"/>
        </w:rPr>
        <w:t xml:space="preserve">A partir de marzo </w:t>
      </w:r>
      <w:r w:rsidR="00E22AEB" w:rsidRPr="004B499C">
        <w:rPr>
          <w:rFonts w:ascii="Calibri" w:eastAsia="Times New Roman" w:hAnsi="Calibri" w:cs="Calibri"/>
          <w:color w:val="000000" w:themeColor="text1"/>
          <w:sz w:val="24"/>
          <w:szCs w:val="24"/>
          <w:lang w:val="es-CR" w:eastAsia="es-CR"/>
        </w:rPr>
        <w:t xml:space="preserve">2020 </w:t>
      </w:r>
      <w:r w:rsidRPr="004B499C">
        <w:rPr>
          <w:rFonts w:ascii="Calibri" w:eastAsia="Times New Roman" w:hAnsi="Calibri" w:cs="Calibri"/>
          <w:color w:val="000000" w:themeColor="text1"/>
          <w:sz w:val="24"/>
          <w:szCs w:val="24"/>
          <w:lang w:val="es-CR" w:eastAsia="es-CR"/>
        </w:rPr>
        <w:t xml:space="preserve">vemos </w:t>
      </w:r>
      <w:r w:rsidR="0039020E" w:rsidRPr="004B499C">
        <w:rPr>
          <w:rFonts w:ascii="Calibri" w:eastAsia="Times New Roman" w:hAnsi="Calibri" w:cs="Calibri"/>
          <w:color w:val="000000" w:themeColor="text1"/>
          <w:sz w:val="24"/>
          <w:szCs w:val="24"/>
          <w:lang w:val="es-CR" w:eastAsia="es-CR"/>
        </w:rPr>
        <w:t xml:space="preserve">los efectos </w:t>
      </w:r>
      <w:r w:rsidR="0088082D" w:rsidRPr="004B499C">
        <w:rPr>
          <w:rFonts w:ascii="Calibri" w:eastAsia="Times New Roman" w:hAnsi="Calibri" w:cs="Calibri"/>
          <w:color w:val="000000" w:themeColor="text1"/>
          <w:sz w:val="24"/>
          <w:szCs w:val="24"/>
          <w:lang w:val="es-CR" w:eastAsia="es-CR"/>
        </w:rPr>
        <w:t>provocad</w:t>
      </w:r>
      <w:r w:rsidR="004E624B" w:rsidRPr="004B499C">
        <w:rPr>
          <w:rFonts w:ascii="Calibri" w:eastAsia="Times New Roman" w:hAnsi="Calibri" w:cs="Calibri"/>
          <w:color w:val="000000" w:themeColor="text1"/>
          <w:sz w:val="24"/>
          <w:szCs w:val="24"/>
          <w:lang w:val="es-CR" w:eastAsia="es-CR"/>
        </w:rPr>
        <w:t>o</w:t>
      </w:r>
      <w:r w:rsidR="0088082D" w:rsidRPr="004B499C">
        <w:rPr>
          <w:rFonts w:ascii="Calibri" w:eastAsia="Times New Roman" w:hAnsi="Calibri" w:cs="Calibri"/>
          <w:color w:val="000000" w:themeColor="text1"/>
          <w:sz w:val="24"/>
          <w:szCs w:val="24"/>
          <w:lang w:val="es-CR" w:eastAsia="es-CR"/>
        </w:rPr>
        <w:t>s</w:t>
      </w:r>
      <w:r w:rsidR="00790B90" w:rsidRPr="004B499C">
        <w:rPr>
          <w:rFonts w:ascii="Calibri" w:eastAsia="Times New Roman" w:hAnsi="Calibri" w:cs="Calibri"/>
          <w:color w:val="000000" w:themeColor="text1"/>
          <w:sz w:val="24"/>
          <w:szCs w:val="24"/>
          <w:lang w:val="es-CR" w:eastAsia="es-CR"/>
        </w:rPr>
        <w:t xml:space="preserve"> </w:t>
      </w:r>
      <w:r w:rsidRPr="004B499C">
        <w:rPr>
          <w:rFonts w:ascii="Calibri" w:eastAsia="Times New Roman" w:hAnsi="Calibri" w:cs="Calibri"/>
          <w:color w:val="000000" w:themeColor="text1"/>
          <w:sz w:val="24"/>
          <w:szCs w:val="24"/>
          <w:lang w:val="es-CR" w:eastAsia="es-CR"/>
        </w:rPr>
        <w:t>por el COVID19</w:t>
      </w:r>
      <w:r w:rsidR="00461010" w:rsidRPr="004B499C">
        <w:rPr>
          <w:rFonts w:ascii="Calibri" w:eastAsia="Times New Roman" w:hAnsi="Calibri" w:cs="Calibri"/>
          <w:color w:val="000000" w:themeColor="text1"/>
          <w:sz w:val="24"/>
          <w:szCs w:val="24"/>
          <w:lang w:val="es-CR" w:eastAsia="es-CR"/>
        </w:rPr>
        <w:t xml:space="preserve"> </w:t>
      </w:r>
      <w:r w:rsidR="008B06A0" w:rsidRPr="004B499C">
        <w:rPr>
          <w:rFonts w:ascii="Calibri" w:eastAsia="Times New Roman" w:hAnsi="Calibri" w:cs="Calibri"/>
          <w:color w:val="000000" w:themeColor="text1"/>
          <w:sz w:val="24"/>
          <w:szCs w:val="24"/>
          <w:lang w:val="es-CR" w:eastAsia="es-CR"/>
        </w:rPr>
        <w:t>en</w:t>
      </w:r>
      <w:r w:rsidR="008D24A1" w:rsidRPr="004B499C">
        <w:rPr>
          <w:rFonts w:ascii="Calibri" w:eastAsia="Times New Roman" w:hAnsi="Calibri" w:cs="Calibri"/>
          <w:color w:val="000000" w:themeColor="text1"/>
          <w:sz w:val="24"/>
          <w:szCs w:val="24"/>
          <w:lang w:val="es-CR" w:eastAsia="es-CR"/>
        </w:rPr>
        <w:t xml:space="preserve"> la actividad económica,</w:t>
      </w:r>
      <w:r w:rsidR="008B06A0" w:rsidRPr="004B499C">
        <w:rPr>
          <w:rFonts w:ascii="Calibri" w:eastAsia="Times New Roman" w:hAnsi="Calibri" w:cs="Calibri"/>
          <w:color w:val="000000" w:themeColor="text1"/>
          <w:sz w:val="24"/>
          <w:szCs w:val="24"/>
          <w:lang w:val="es-CR" w:eastAsia="es-CR"/>
        </w:rPr>
        <w:t xml:space="preserve"> el </w:t>
      </w:r>
      <w:r w:rsidR="008D24A1" w:rsidRPr="004B499C">
        <w:rPr>
          <w:rFonts w:ascii="Calibri" w:eastAsia="Times New Roman" w:hAnsi="Calibri" w:cs="Calibri"/>
          <w:color w:val="000000" w:themeColor="text1"/>
          <w:sz w:val="24"/>
          <w:szCs w:val="24"/>
          <w:lang w:val="es-CR" w:eastAsia="es-CR"/>
        </w:rPr>
        <w:t xml:space="preserve">empleo y </w:t>
      </w:r>
      <w:r w:rsidR="00C42973" w:rsidRPr="004B499C">
        <w:rPr>
          <w:rFonts w:ascii="Calibri" w:eastAsia="Times New Roman" w:hAnsi="Calibri" w:cs="Calibri"/>
          <w:color w:val="000000" w:themeColor="text1"/>
          <w:sz w:val="24"/>
          <w:szCs w:val="24"/>
          <w:lang w:val="es-CR" w:eastAsia="es-CR"/>
        </w:rPr>
        <w:t xml:space="preserve">los mercados financieros. Como primera consecuencia, </w:t>
      </w:r>
      <w:r w:rsidR="004E624B" w:rsidRPr="004B499C">
        <w:rPr>
          <w:rFonts w:ascii="Calibri" w:eastAsia="Times New Roman" w:hAnsi="Calibri" w:cs="Calibri"/>
          <w:color w:val="000000" w:themeColor="text1"/>
          <w:sz w:val="24"/>
          <w:szCs w:val="24"/>
          <w:lang w:val="es-CR" w:eastAsia="es-CR"/>
        </w:rPr>
        <w:t xml:space="preserve">se </w:t>
      </w:r>
      <w:r w:rsidR="00440C42" w:rsidRPr="004B499C">
        <w:rPr>
          <w:rFonts w:ascii="Calibri" w:eastAsia="Times New Roman" w:hAnsi="Calibri" w:cs="Calibri"/>
          <w:color w:val="000000" w:themeColor="text1"/>
          <w:sz w:val="24"/>
          <w:szCs w:val="24"/>
          <w:lang w:val="es-CR" w:eastAsia="es-CR"/>
        </w:rPr>
        <w:t>ha generado una reducción en la recaudación en los</w:t>
      </w:r>
      <w:r w:rsidR="00C42973" w:rsidRPr="004B499C">
        <w:rPr>
          <w:rFonts w:ascii="Calibri" w:eastAsia="Times New Roman" w:hAnsi="Calibri" w:cs="Calibri"/>
          <w:color w:val="000000" w:themeColor="text1"/>
          <w:sz w:val="24"/>
          <w:szCs w:val="24"/>
          <w:lang w:val="es-CR" w:eastAsia="es-CR"/>
        </w:rPr>
        <w:t xml:space="preserve"> </w:t>
      </w:r>
      <w:r w:rsidR="00AB3BF7" w:rsidRPr="004B499C">
        <w:rPr>
          <w:rFonts w:ascii="Calibri" w:eastAsia="Times New Roman" w:hAnsi="Calibri" w:cs="Calibri"/>
          <w:color w:val="000000" w:themeColor="text1"/>
          <w:sz w:val="24"/>
          <w:szCs w:val="24"/>
          <w:lang w:val="es-CR" w:eastAsia="es-CR"/>
        </w:rPr>
        <w:t>fondos de pensiones</w:t>
      </w:r>
      <w:r w:rsidR="00790B90" w:rsidRPr="004B499C">
        <w:rPr>
          <w:rFonts w:ascii="Calibri" w:eastAsia="Times New Roman" w:hAnsi="Calibri" w:cs="Calibri"/>
          <w:color w:val="000000" w:themeColor="text1"/>
          <w:sz w:val="24"/>
          <w:szCs w:val="24"/>
          <w:lang w:val="es-CR" w:eastAsia="es-CR"/>
        </w:rPr>
        <w:t>,</w:t>
      </w:r>
      <w:r w:rsidR="003E7728" w:rsidRPr="004B499C">
        <w:rPr>
          <w:rFonts w:ascii="Calibri" w:eastAsia="Times New Roman" w:hAnsi="Calibri" w:cs="Calibri"/>
          <w:color w:val="000000" w:themeColor="text1"/>
          <w:sz w:val="24"/>
          <w:szCs w:val="24"/>
          <w:lang w:val="es-CR" w:eastAsia="es-CR"/>
        </w:rPr>
        <w:t xml:space="preserve"> principalmente por la di</w:t>
      </w:r>
      <w:r w:rsidR="004944B8" w:rsidRPr="004B499C">
        <w:rPr>
          <w:rFonts w:ascii="Calibri" w:eastAsia="Times New Roman" w:hAnsi="Calibri" w:cs="Calibri"/>
          <w:color w:val="000000" w:themeColor="text1"/>
          <w:sz w:val="24"/>
          <w:szCs w:val="24"/>
          <w:lang w:val="es-CR" w:eastAsia="es-CR"/>
        </w:rPr>
        <w:t>s</w:t>
      </w:r>
      <w:r w:rsidR="003E7728" w:rsidRPr="004B499C">
        <w:rPr>
          <w:rFonts w:ascii="Calibri" w:eastAsia="Times New Roman" w:hAnsi="Calibri" w:cs="Calibri"/>
          <w:color w:val="000000" w:themeColor="text1"/>
          <w:sz w:val="24"/>
          <w:szCs w:val="24"/>
          <w:lang w:val="es-CR" w:eastAsia="es-CR"/>
        </w:rPr>
        <w:t>minución en los aportes de los afiliados</w:t>
      </w:r>
      <w:r w:rsidR="00D71234" w:rsidRPr="004B499C">
        <w:rPr>
          <w:rFonts w:ascii="Calibri" w:eastAsia="Times New Roman" w:hAnsi="Calibri" w:cs="Calibri"/>
          <w:color w:val="000000" w:themeColor="text1"/>
          <w:sz w:val="24"/>
          <w:szCs w:val="24"/>
          <w:lang w:val="es-CR" w:eastAsia="es-CR"/>
        </w:rPr>
        <w:t>.</w:t>
      </w:r>
      <w:r w:rsidR="00600150" w:rsidRPr="004B499C">
        <w:rPr>
          <w:rFonts w:ascii="Calibri" w:eastAsia="Times New Roman" w:hAnsi="Calibri" w:cs="Calibri"/>
          <w:color w:val="000000" w:themeColor="text1"/>
          <w:sz w:val="24"/>
          <w:szCs w:val="24"/>
          <w:lang w:val="es-CR" w:eastAsia="es-CR"/>
        </w:rPr>
        <w:t xml:space="preserve"> Se </w:t>
      </w:r>
      <w:r w:rsidR="00080E72" w:rsidRPr="004B499C">
        <w:rPr>
          <w:rFonts w:ascii="Calibri" w:eastAsia="Times New Roman" w:hAnsi="Calibri" w:cs="Calibri"/>
          <w:color w:val="000000" w:themeColor="text1"/>
          <w:sz w:val="24"/>
          <w:szCs w:val="24"/>
          <w:lang w:val="es-CR" w:eastAsia="es-CR"/>
        </w:rPr>
        <w:t>presenta</w:t>
      </w:r>
      <w:r w:rsidR="00124CB2" w:rsidRPr="004B499C">
        <w:rPr>
          <w:rFonts w:ascii="Calibri" w:eastAsia="Times New Roman" w:hAnsi="Calibri" w:cs="Calibri"/>
          <w:color w:val="000000" w:themeColor="text1"/>
          <w:sz w:val="24"/>
          <w:szCs w:val="24"/>
          <w:lang w:val="es-CR" w:eastAsia="es-CR"/>
        </w:rPr>
        <w:t>ron</w:t>
      </w:r>
      <w:r w:rsidR="00D71234" w:rsidRPr="004B499C">
        <w:rPr>
          <w:rFonts w:ascii="Calibri" w:eastAsia="Times New Roman" w:hAnsi="Calibri" w:cs="Calibri"/>
          <w:color w:val="000000" w:themeColor="text1"/>
          <w:sz w:val="24"/>
          <w:szCs w:val="24"/>
          <w:lang w:val="es-CR" w:eastAsia="es-CR"/>
        </w:rPr>
        <w:t xml:space="preserve"> situaciones </w:t>
      </w:r>
      <w:r w:rsidR="0047684A" w:rsidRPr="004B499C">
        <w:rPr>
          <w:rFonts w:ascii="Calibri" w:eastAsia="Times New Roman" w:hAnsi="Calibri" w:cs="Calibri"/>
          <w:color w:val="000000" w:themeColor="text1"/>
          <w:sz w:val="24"/>
          <w:szCs w:val="24"/>
          <w:lang w:val="es-CR" w:eastAsia="es-CR"/>
        </w:rPr>
        <w:t>inéditas</w:t>
      </w:r>
      <w:r w:rsidR="00D71234" w:rsidRPr="004B499C">
        <w:rPr>
          <w:rFonts w:ascii="Calibri" w:eastAsia="Times New Roman" w:hAnsi="Calibri" w:cs="Calibri"/>
          <w:color w:val="000000" w:themeColor="text1"/>
          <w:sz w:val="24"/>
          <w:szCs w:val="24"/>
          <w:lang w:val="es-CR" w:eastAsia="es-CR"/>
        </w:rPr>
        <w:t xml:space="preserve"> en los fondos</w:t>
      </w:r>
      <w:r w:rsidR="00124CB2" w:rsidRPr="004B499C">
        <w:rPr>
          <w:rFonts w:ascii="Calibri" w:eastAsia="Times New Roman" w:hAnsi="Calibri" w:cs="Calibri"/>
          <w:color w:val="000000" w:themeColor="text1"/>
          <w:sz w:val="24"/>
          <w:szCs w:val="24"/>
          <w:lang w:val="es-CR" w:eastAsia="es-CR"/>
        </w:rPr>
        <w:t>,</w:t>
      </w:r>
      <w:r w:rsidR="00D71234" w:rsidRPr="004B499C">
        <w:rPr>
          <w:rFonts w:ascii="Calibri" w:eastAsia="Times New Roman" w:hAnsi="Calibri" w:cs="Calibri"/>
          <w:color w:val="000000" w:themeColor="text1"/>
          <w:sz w:val="24"/>
          <w:szCs w:val="24"/>
          <w:lang w:val="es-CR" w:eastAsia="es-CR"/>
        </w:rPr>
        <w:t xml:space="preserve"> </w:t>
      </w:r>
      <w:r w:rsidR="00514D76" w:rsidRPr="004B499C">
        <w:rPr>
          <w:rFonts w:ascii="Calibri" w:eastAsia="Times New Roman" w:hAnsi="Calibri" w:cs="Calibri"/>
          <w:color w:val="000000" w:themeColor="text1"/>
          <w:sz w:val="24"/>
          <w:szCs w:val="24"/>
          <w:lang w:val="es-CR" w:eastAsia="es-CR"/>
        </w:rPr>
        <w:t>tales como</w:t>
      </w:r>
      <w:r w:rsidR="00BA77A3" w:rsidRPr="004B499C">
        <w:rPr>
          <w:rFonts w:ascii="Calibri" w:eastAsia="Times New Roman" w:hAnsi="Calibri" w:cs="Calibri"/>
          <w:color w:val="000000" w:themeColor="text1"/>
          <w:sz w:val="24"/>
          <w:szCs w:val="24"/>
          <w:lang w:val="es-CR" w:eastAsia="es-CR"/>
        </w:rPr>
        <w:t>:</w:t>
      </w:r>
    </w:p>
    <w:p w14:paraId="18AF0E16" w14:textId="4F2D7B50" w:rsidR="00514D76" w:rsidRPr="004B499C" w:rsidRDefault="00514D76" w:rsidP="004B499C">
      <w:pPr>
        <w:pStyle w:val="Prrafodelista"/>
        <w:numPr>
          <w:ilvl w:val="0"/>
          <w:numId w:val="7"/>
        </w:num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themeColor="text1"/>
          <w:sz w:val="24"/>
          <w:szCs w:val="24"/>
          <w:lang w:val="es-CR" w:eastAsia="es-CR"/>
        </w:rPr>
        <w:t>La</w:t>
      </w:r>
      <w:r w:rsidR="000F319B" w:rsidRPr="004B499C">
        <w:rPr>
          <w:rFonts w:ascii="Calibri" w:eastAsia="Times New Roman" w:hAnsi="Calibri" w:cs="Calibri"/>
          <w:color w:val="000000" w:themeColor="text1"/>
          <w:sz w:val="24"/>
          <w:szCs w:val="24"/>
          <w:lang w:val="es-CR" w:eastAsia="es-CR"/>
        </w:rPr>
        <w:t xml:space="preserve"> suspensión </w:t>
      </w:r>
      <w:r w:rsidR="00D434DD" w:rsidRPr="004B499C">
        <w:rPr>
          <w:rFonts w:ascii="Calibri" w:eastAsia="Times New Roman" w:hAnsi="Calibri" w:cs="Calibri"/>
          <w:color w:val="000000" w:themeColor="text1"/>
          <w:sz w:val="24"/>
          <w:szCs w:val="24"/>
          <w:lang w:val="es-CR" w:eastAsia="es-CR"/>
        </w:rPr>
        <w:t xml:space="preserve">y reactivación </w:t>
      </w:r>
      <w:r w:rsidR="000F319B" w:rsidRPr="004B499C">
        <w:rPr>
          <w:rFonts w:ascii="Calibri" w:eastAsia="Times New Roman" w:hAnsi="Calibri" w:cs="Calibri"/>
          <w:color w:val="000000" w:themeColor="text1"/>
          <w:sz w:val="24"/>
          <w:szCs w:val="24"/>
          <w:lang w:val="es-CR" w:eastAsia="es-CR"/>
        </w:rPr>
        <w:t>de los traslados de recursos entre operadoras por</w:t>
      </w:r>
      <w:r w:rsidR="007B4A4A" w:rsidRPr="004B499C">
        <w:rPr>
          <w:rFonts w:ascii="Calibri" w:eastAsia="Times New Roman" w:hAnsi="Calibri" w:cs="Calibri"/>
          <w:color w:val="000000" w:themeColor="text1"/>
          <w:sz w:val="24"/>
          <w:szCs w:val="24"/>
          <w:lang w:val="es-CR" w:eastAsia="es-CR"/>
        </w:rPr>
        <w:t xml:space="preserve"> la suspensión de la</w:t>
      </w:r>
      <w:r w:rsidR="000F319B" w:rsidRPr="004B499C">
        <w:rPr>
          <w:rFonts w:ascii="Calibri" w:eastAsia="Times New Roman" w:hAnsi="Calibri" w:cs="Calibri"/>
          <w:color w:val="000000" w:themeColor="text1"/>
          <w:sz w:val="24"/>
          <w:szCs w:val="24"/>
          <w:lang w:val="es-CR" w:eastAsia="es-CR"/>
        </w:rPr>
        <w:t xml:space="preserve"> libre transferencia</w:t>
      </w:r>
    </w:p>
    <w:p w14:paraId="2E5896C3" w14:textId="1EE09CAF" w:rsidR="00276942" w:rsidRPr="004B499C" w:rsidRDefault="00276942" w:rsidP="004B499C">
      <w:pPr>
        <w:pStyle w:val="Prrafodelista"/>
        <w:numPr>
          <w:ilvl w:val="0"/>
          <w:numId w:val="7"/>
        </w:num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themeColor="text1"/>
          <w:sz w:val="24"/>
          <w:szCs w:val="24"/>
          <w:lang w:val="es-CR" w:eastAsia="es-CR"/>
        </w:rPr>
        <w:t>Los</w:t>
      </w:r>
      <w:r w:rsidR="000F319B" w:rsidRPr="004B499C">
        <w:rPr>
          <w:rFonts w:ascii="Calibri" w:eastAsia="Times New Roman" w:hAnsi="Calibri" w:cs="Calibri"/>
          <w:color w:val="000000" w:themeColor="text1"/>
          <w:sz w:val="24"/>
          <w:szCs w:val="24"/>
          <w:lang w:val="es-CR" w:eastAsia="es-CR"/>
        </w:rPr>
        <w:t xml:space="preserve"> retiros</w:t>
      </w:r>
      <w:r w:rsidR="00592873" w:rsidRPr="004B499C">
        <w:rPr>
          <w:rFonts w:ascii="Calibri" w:eastAsia="Times New Roman" w:hAnsi="Calibri" w:cs="Calibri"/>
          <w:color w:val="000000" w:themeColor="text1"/>
          <w:sz w:val="24"/>
          <w:szCs w:val="24"/>
          <w:lang w:val="es-CR" w:eastAsia="es-CR"/>
        </w:rPr>
        <w:t xml:space="preserve"> </w:t>
      </w:r>
      <w:r w:rsidR="007B4A4A" w:rsidRPr="004B499C">
        <w:rPr>
          <w:rFonts w:ascii="Calibri" w:eastAsia="Times New Roman" w:hAnsi="Calibri" w:cs="Calibri"/>
          <w:color w:val="000000" w:themeColor="text1"/>
          <w:sz w:val="24"/>
          <w:szCs w:val="24"/>
          <w:lang w:val="es-CR" w:eastAsia="es-CR"/>
        </w:rPr>
        <w:t xml:space="preserve">extraordinarios </w:t>
      </w:r>
      <w:r w:rsidR="00592873" w:rsidRPr="004B499C">
        <w:rPr>
          <w:rFonts w:ascii="Calibri" w:eastAsia="Times New Roman" w:hAnsi="Calibri" w:cs="Calibri"/>
          <w:color w:val="000000" w:themeColor="text1"/>
          <w:sz w:val="24"/>
          <w:szCs w:val="24"/>
          <w:lang w:val="es-CR" w:eastAsia="es-CR"/>
        </w:rPr>
        <w:t>del FCL</w:t>
      </w:r>
      <w:r w:rsidR="000F319B" w:rsidRPr="004B499C">
        <w:rPr>
          <w:rFonts w:ascii="Calibri" w:eastAsia="Times New Roman" w:hAnsi="Calibri" w:cs="Calibri"/>
          <w:color w:val="000000" w:themeColor="text1"/>
          <w:sz w:val="24"/>
          <w:szCs w:val="24"/>
          <w:lang w:val="es-CR" w:eastAsia="es-CR"/>
        </w:rPr>
        <w:t xml:space="preserve"> por reducción de jornada laboral y </w:t>
      </w:r>
      <w:r w:rsidR="00592873" w:rsidRPr="004B499C">
        <w:rPr>
          <w:rFonts w:ascii="Calibri" w:eastAsia="Times New Roman" w:hAnsi="Calibri" w:cs="Calibri"/>
          <w:color w:val="000000" w:themeColor="text1"/>
          <w:sz w:val="24"/>
          <w:szCs w:val="24"/>
          <w:lang w:val="es-CR" w:eastAsia="es-CR"/>
        </w:rPr>
        <w:t>suspensión del contrato</w:t>
      </w:r>
      <w:r w:rsidR="00A44E34" w:rsidRPr="004B499C">
        <w:rPr>
          <w:rFonts w:ascii="Calibri" w:eastAsia="Times New Roman" w:hAnsi="Calibri" w:cs="Calibri"/>
          <w:color w:val="000000" w:themeColor="text1"/>
          <w:sz w:val="24"/>
          <w:szCs w:val="24"/>
          <w:lang w:val="es-CR" w:eastAsia="es-CR"/>
        </w:rPr>
        <w:t xml:space="preserve"> laboral</w:t>
      </w:r>
    </w:p>
    <w:p w14:paraId="5B7122F6" w14:textId="29E79947" w:rsidR="000C2E69" w:rsidRPr="004B499C" w:rsidRDefault="00BA77A3" w:rsidP="004B499C">
      <w:pPr>
        <w:pStyle w:val="Prrafodelista"/>
        <w:numPr>
          <w:ilvl w:val="0"/>
          <w:numId w:val="7"/>
        </w:num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themeColor="text1"/>
          <w:sz w:val="24"/>
          <w:szCs w:val="24"/>
          <w:lang w:val="es-CR" w:eastAsia="es-CR"/>
        </w:rPr>
        <w:t>L</w:t>
      </w:r>
      <w:r w:rsidR="00276942" w:rsidRPr="004B499C">
        <w:rPr>
          <w:rFonts w:ascii="Calibri" w:eastAsia="Times New Roman" w:hAnsi="Calibri" w:cs="Calibri"/>
          <w:color w:val="000000" w:themeColor="text1"/>
          <w:sz w:val="24"/>
          <w:szCs w:val="24"/>
          <w:lang w:val="es-CR" w:eastAsia="es-CR"/>
        </w:rPr>
        <w:t xml:space="preserve">a reforma a la Ley de Protección al Trabajador y los consecuentes </w:t>
      </w:r>
      <w:r w:rsidR="000A5C90" w:rsidRPr="004B499C">
        <w:rPr>
          <w:rFonts w:ascii="Calibri" w:eastAsia="Times New Roman" w:hAnsi="Calibri" w:cs="Calibri"/>
          <w:color w:val="000000" w:themeColor="text1"/>
          <w:sz w:val="24"/>
          <w:szCs w:val="24"/>
          <w:lang w:val="es-CR" w:eastAsia="es-CR"/>
        </w:rPr>
        <w:t>retiros en el ROP</w:t>
      </w:r>
    </w:p>
    <w:p w14:paraId="66539F6B" w14:textId="3D253480" w:rsidR="00050CDB" w:rsidRPr="004B499C" w:rsidRDefault="00050CDB" w:rsidP="004B499C">
      <w:pPr>
        <w:spacing w:after="0"/>
        <w:jc w:val="both"/>
        <w:rPr>
          <w:sz w:val="24"/>
          <w:szCs w:val="24"/>
        </w:rPr>
      </w:pPr>
      <w:r w:rsidRPr="004B499C">
        <w:rPr>
          <w:sz w:val="24"/>
          <w:szCs w:val="24"/>
        </w:rPr>
        <w:t>Durante el trimestre, l</w:t>
      </w:r>
      <w:r w:rsidR="000C2E69" w:rsidRPr="004B499C">
        <w:rPr>
          <w:sz w:val="24"/>
          <w:szCs w:val="24"/>
        </w:rPr>
        <w:t xml:space="preserve">a inversión en el extranjero de los portafolios de pensiones ha presentado una </w:t>
      </w:r>
      <w:r w:rsidR="00535704" w:rsidRPr="004B499C">
        <w:rPr>
          <w:sz w:val="24"/>
          <w:szCs w:val="24"/>
        </w:rPr>
        <w:t>tendencia al alza</w:t>
      </w:r>
      <w:r w:rsidR="005D6773" w:rsidRPr="004B499C">
        <w:rPr>
          <w:sz w:val="24"/>
          <w:szCs w:val="24"/>
        </w:rPr>
        <w:t xml:space="preserve"> y</w:t>
      </w:r>
      <w:r w:rsidR="000C2E69" w:rsidRPr="004B499C">
        <w:rPr>
          <w:sz w:val="24"/>
          <w:szCs w:val="24"/>
        </w:rPr>
        <w:t xml:space="preserve"> </w:t>
      </w:r>
      <w:r w:rsidR="00AA42FE" w:rsidRPr="004B499C">
        <w:rPr>
          <w:sz w:val="24"/>
          <w:szCs w:val="24"/>
        </w:rPr>
        <w:t>en el mercado local</w:t>
      </w:r>
      <w:r w:rsidR="009D4411" w:rsidRPr="004B499C">
        <w:rPr>
          <w:sz w:val="24"/>
          <w:szCs w:val="24"/>
        </w:rPr>
        <w:t>,</w:t>
      </w:r>
      <w:r w:rsidR="00AA42FE" w:rsidRPr="004B499C">
        <w:rPr>
          <w:sz w:val="24"/>
          <w:szCs w:val="24"/>
        </w:rPr>
        <w:t xml:space="preserve"> </w:t>
      </w:r>
      <w:r w:rsidR="00C123D8" w:rsidRPr="004B499C">
        <w:rPr>
          <w:sz w:val="24"/>
          <w:szCs w:val="24"/>
        </w:rPr>
        <w:t>la curva de rendimientos en colones del BCCR</w:t>
      </w:r>
      <w:r w:rsidR="00407059" w:rsidRPr="004B499C">
        <w:rPr>
          <w:sz w:val="24"/>
          <w:szCs w:val="24"/>
        </w:rPr>
        <w:t>,</w:t>
      </w:r>
      <w:r w:rsidR="00C123D8" w:rsidRPr="004B499C">
        <w:rPr>
          <w:sz w:val="24"/>
          <w:szCs w:val="24"/>
        </w:rPr>
        <w:t xml:space="preserve"> presentó un desplazamiento hacia abajo en los plazos inferiores a los 5 años, afectando de manera positiva el valor de las inversiones locales de los portafolios de pensiones</w:t>
      </w:r>
      <w:r w:rsidRPr="004B499C">
        <w:rPr>
          <w:sz w:val="24"/>
          <w:szCs w:val="24"/>
        </w:rPr>
        <w:t>, contrario a lo presentado en los plazos superiores a los 5 años</w:t>
      </w:r>
      <w:r w:rsidR="00C123D8" w:rsidRPr="004B499C">
        <w:rPr>
          <w:sz w:val="24"/>
          <w:szCs w:val="24"/>
        </w:rPr>
        <w:t>.</w:t>
      </w:r>
      <w:r w:rsidRPr="004B499C">
        <w:rPr>
          <w:sz w:val="24"/>
          <w:szCs w:val="24"/>
        </w:rPr>
        <w:t xml:space="preserve"> La combinación de la evolución de los mercados internacionales y del mercado local afectó negativa o positivamente la rentabilidad de los fondos administrados en este cuarto trimestre, dependiendo de la composición de los portafolios. </w:t>
      </w:r>
    </w:p>
    <w:p w14:paraId="3426736A" w14:textId="42267F13" w:rsidR="00250CD1" w:rsidRPr="004B499C" w:rsidRDefault="00250CD1" w:rsidP="004B499C">
      <w:pPr>
        <w:spacing w:after="0"/>
        <w:jc w:val="both"/>
        <w:rPr>
          <w:sz w:val="24"/>
          <w:szCs w:val="24"/>
          <w:highlight w:val="yellow"/>
        </w:rPr>
      </w:pPr>
    </w:p>
    <w:p w14:paraId="275C7A58" w14:textId="60AD07C9" w:rsidR="001807B6" w:rsidRPr="004B499C" w:rsidRDefault="001807B6" w:rsidP="004B499C">
      <w:pPr>
        <w:spacing w:after="0"/>
        <w:jc w:val="both"/>
        <w:rPr>
          <w:sz w:val="24"/>
          <w:szCs w:val="24"/>
        </w:rPr>
      </w:pPr>
      <w:r w:rsidRPr="004B499C">
        <w:rPr>
          <w:sz w:val="24"/>
          <w:szCs w:val="24"/>
        </w:rPr>
        <w:t xml:space="preserve">El 5 de octubre se aprobó </w:t>
      </w:r>
      <w:r w:rsidR="00193995" w:rsidRPr="004B499C">
        <w:rPr>
          <w:sz w:val="24"/>
          <w:szCs w:val="24"/>
        </w:rPr>
        <w:t>la Ley</w:t>
      </w:r>
      <w:r w:rsidRPr="004B499C">
        <w:rPr>
          <w:sz w:val="24"/>
          <w:szCs w:val="24"/>
        </w:rPr>
        <w:t xml:space="preserve"> N°9906, la Ley para resguardar el derecho de los trabajadores a retirar los recursos de la pensión complementaria, e</w:t>
      </w:r>
      <w:r w:rsidR="00C66AB4" w:rsidRPr="004B499C">
        <w:rPr>
          <w:sz w:val="24"/>
          <w:szCs w:val="24"/>
        </w:rPr>
        <w:t xml:space="preserve">n la </w:t>
      </w:r>
      <w:r w:rsidRPr="004B499C">
        <w:rPr>
          <w:sz w:val="24"/>
          <w:szCs w:val="24"/>
        </w:rPr>
        <w:t xml:space="preserve">cual </w:t>
      </w:r>
      <w:r w:rsidR="00C66AB4" w:rsidRPr="004B499C">
        <w:rPr>
          <w:sz w:val="24"/>
          <w:szCs w:val="24"/>
        </w:rPr>
        <w:t xml:space="preserve">se </w:t>
      </w:r>
      <w:r w:rsidRPr="004B499C">
        <w:rPr>
          <w:sz w:val="24"/>
          <w:szCs w:val="24"/>
        </w:rPr>
        <w:t>contempla</w:t>
      </w:r>
      <w:r w:rsidR="00C66AB4" w:rsidRPr="004B499C">
        <w:rPr>
          <w:sz w:val="24"/>
          <w:szCs w:val="24"/>
        </w:rPr>
        <w:t>n</w:t>
      </w:r>
      <w:r w:rsidR="12AE4DDD" w:rsidRPr="004B499C">
        <w:rPr>
          <w:sz w:val="24"/>
          <w:szCs w:val="24"/>
        </w:rPr>
        <w:t xml:space="preserve"> algunos</w:t>
      </w:r>
      <w:r w:rsidRPr="004B499C">
        <w:rPr>
          <w:sz w:val="24"/>
          <w:szCs w:val="24"/>
        </w:rPr>
        <w:t xml:space="preserve"> cambios a la Ley de Protección al trabajador (LPT)</w:t>
      </w:r>
      <w:r w:rsidR="00D85422" w:rsidRPr="004B499C">
        <w:rPr>
          <w:sz w:val="24"/>
          <w:szCs w:val="24"/>
        </w:rPr>
        <w:t>, que introducen varios productos que permiten el retiro acelerado de los recursos.</w:t>
      </w:r>
    </w:p>
    <w:p w14:paraId="6910946A" w14:textId="3C1AA403" w:rsidR="005715B8" w:rsidRPr="004B499C" w:rsidRDefault="005715B8" w:rsidP="004B499C">
      <w:pPr>
        <w:spacing w:after="0"/>
        <w:jc w:val="both"/>
        <w:rPr>
          <w:sz w:val="24"/>
          <w:szCs w:val="24"/>
        </w:rPr>
      </w:pPr>
    </w:p>
    <w:p w14:paraId="6FE55082" w14:textId="59DAAB2F" w:rsidR="00351FA1" w:rsidRPr="004B499C" w:rsidRDefault="005715B8" w:rsidP="004B499C">
      <w:pPr>
        <w:spacing w:after="0"/>
        <w:jc w:val="both"/>
        <w:rPr>
          <w:sz w:val="24"/>
          <w:szCs w:val="24"/>
        </w:rPr>
      </w:pPr>
      <w:r w:rsidRPr="004B499C">
        <w:rPr>
          <w:sz w:val="24"/>
          <w:szCs w:val="24"/>
        </w:rPr>
        <w:t>El pasado mes de noviembre la SUPEN realiza el I Seminario Internacional virtual de pensiones, contando con expositores internacionales de primer orden</w:t>
      </w:r>
      <w:r w:rsidR="00F70DED" w:rsidRPr="004B499C">
        <w:rPr>
          <w:sz w:val="24"/>
          <w:szCs w:val="24"/>
        </w:rPr>
        <w:t xml:space="preserve">. El seminario fue un excelente marco para </w:t>
      </w:r>
      <w:r w:rsidR="003E7DCA" w:rsidRPr="004B499C">
        <w:rPr>
          <w:sz w:val="24"/>
          <w:szCs w:val="24"/>
        </w:rPr>
        <w:t xml:space="preserve">plantear </w:t>
      </w:r>
      <w:r w:rsidR="003858DE" w:rsidRPr="004B499C">
        <w:rPr>
          <w:sz w:val="24"/>
          <w:szCs w:val="24"/>
        </w:rPr>
        <w:t xml:space="preserve">los desafíos más relevantes del sistema y también la ocasión para compartir la experiencia de ponentes internacionales sobre la </w:t>
      </w:r>
      <w:r w:rsidR="00D43749" w:rsidRPr="004B499C">
        <w:rPr>
          <w:sz w:val="24"/>
          <w:szCs w:val="24"/>
        </w:rPr>
        <w:t>multifondos.</w:t>
      </w:r>
      <w:r w:rsidR="00351FA1">
        <w:br w:type="page"/>
      </w:r>
    </w:p>
    <w:p w14:paraId="4B4E8E20" w14:textId="77777777" w:rsidR="00394DBE" w:rsidRPr="00394DBE" w:rsidRDefault="00394DBE" w:rsidP="00C570BE">
      <w:pPr>
        <w:pStyle w:val="Ttulo1"/>
        <w:numPr>
          <w:ilvl w:val="0"/>
          <w:numId w:val="1"/>
        </w:numPr>
      </w:pPr>
      <w:bookmarkStart w:id="5" w:name="_Toc64457424"/>
      <w:r>
        <w:lastRenderedPageBreak/>
        <w:t>Introducción</w:t>
      </w:r>
      <w:bookmarkEnd w:id="5"/>
    </w:p>
    <w:p w14:paraId="1FAF480E" w14:textId="77777777" w:rsidR="00DA1AF3" w:rsidRPr="004B499C" w:rsidRDefault="00DA1AF3" w:rsidP="004B499C">
      <w:pPr>
        <w:spacing w:after="0"/>
        <w:jc w:val="both"/>
        <w:rPr>
          <w:rFonts w:ascii="Calibri" w:eastAsia="Times New Roman" w:hAnsi="Calibri" w:cs="Calibri"/>
          <w:color w:val="000000"/>
          <w:sz w:val="24"/>
          <w:szCs w:val="24"/>
          <w:lang w:val="es-CR" w:eastAsia="es-CR"/>
        </w:rPr>
      </w:pPr>
    </w:p>
    <w:p w14:paraId="226C002D" w14:textId="77777777" w:rsidR="00C9285A" w:rsidRPr="004B499C" w:rsidRDefault="00C9285A" w:rsidP="004B499C">
      <w:p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sz w:val="24"/>
          <w:szCs w:val="24"/>
          <w:lang w:val="es-CR" w:eastAsia="es-CR"/>
        </w:rPr>
        <w:t xml:space="preserve">La Superintendencia de Pensiones presenta al Consejo Nacional de Supervisión del Sistema Financiero (CONASSIF) un informe trimestral sobre la evolución del sistema de pensiones (SNP) y la situación de los entes supervisados, según lo dispuesto en el artículo 38, inciso n) de la Ley 7523, Régimen Privado de Pensiones Complementarias. </w:t>
      </w:r>
    </w:p>
    <w:p w14:paraId="244F95F1" w14:textId="77777777" w:rsidR="00C9285A" w:rsidRPr="004B499C" w:rsidRDefault="00C9285A" w:rsidP="004B499C">
      <w:pPr>
        <w:spacing w:after="0"/>
        <w:jc w:val="both"/>
        <w:rPr>
          <w:rFonts w:ascii="Calibri" w:eastAsia="Times New Roman" w:hAnsi="Calibri" w:cs="Calibri"/>
          <w:color w:val="000000"/>
          <w:sz w:val="24"/>
          <w:szCs w:val="24"/>
          <w:lang w:val="es-CR" w:eastAsia="es-CR"/>
        </w:rPr>
      </w:pPr>
    </w:p>
    <w:p w14:paraId="1C37FEFE" w14:textId="77777777" w:rsidR="00C9285A" w:rsidRPr="004B499C" w:rsidRDefault="00C9285A" w:rsidP="004B499C">
      <w:p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sz w:val="24"/>
          <w:szCs w:val="24"/>
          <w:lang w:val="es-CR" w:eastAsia="es-CR"/>
        </w:rPr>
        <w:t xml:space="preserve">Este informe tiene una visión global del sistema de pensiones, en el sentido de que analiza tanto las variables relevantes respecto a la caracterización del ahorro nacional, así como las situaciones particulares relevantes que enfrentan cada uno de los sujetos fiscalizados, permitiendo a los señores miembros del Consejo un criterio informado, de lo que acontece y de las labores que el supervisor ha emprendido. </w:t>
      </w:r>
    </w:p>
    <w:p w14:paraId="2B3E11D8" w14:textId="77777777" w:rsidR="00C9285A" w:rsidRPr="004B499C" w:rsidRDefault="00C9285A" w:rsidP="004B499C">
      <w:pPr>
        <w:spacing w:after="0"/>
        <w:jc w:val="both"/>
        <w:rPr>
          <w:rFonts w:ascii="Calibri" w:eastAsia="Times New Roman" w:hAnsi="Calibri" w:cs="Calibri"/>
          <w:color w:val="000000"/>
          <w:sz w:val="24"/>
          <w:szCs w:val="24"/>
          <w:lang w:val="es-CR" w:eastAsia="es-CR"/>
        </w:rPr>
      </w:pPr>
    </w:p>
    <w:p w14:paraId="073F4E75" w14:textId="77777777" w:rsidR="006929F8" w:rsidRPr="004B499C" w:rsidRDefault="00C9285A" w:rsidP="004B499C">
      <w:pPr>
        <w:spacing w:after="0"/>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sz w:val="24"/>
          <w:szCs w:val="24"/>
          <w:lang w:val="es-CR" w:eastAsia="es-CR"/>
        </w:rPr>
        <w:t>El documento enfatiza los hechos relevantes sucedidos en el trimestre en análisis, con influencia en el desempeño del SNP</w:t>
      </w:r>
      <w:r w:rsidR="00FC355E" w:rsidRPr="004B499C">
        <w:rPr>
          <w:rFonts w:ascii="Calibri" w:eastAsia="Times New Roman" w:hAnsi="Calibri" w:cs="Calibri"/>
          <w:color w:val="000000"/>
          <w:sz w:val="24"/>
          <w:szCs w:val="24"/>
          <w:lang w:val="es-CR" w:eastAsia="es-CR"/>
        </w:rPr>
        <w:t xml:space="preserve">. </w:t>
      </w:r>
      <w:r w:rsidR="00974E59" w:rsidRPr="004B499C">
        <w:rPr>
          <w:rFonts w:ascii="Calibri" w:eastAsia="Times New Roman" w:hAnsi="Calibri" w:cs="Calibri"/>
          <w:color w:val="000000"/>
          <w:sz w:val="24"/>
          <w:szCs w:val="24"/>
          <w:lang w:val="es-CR" w:eastAsia="es-CR"/>
        </w:rPr>
        <w:t xml:space="preserve">Además, </w:t>
      </w:r>
      <w:r w:rsidR="001E6FE7" w:rsidRPr="004B499C">
        <w:rPr>
          <w:rFonts w:ascii="Calibri" w:eastAsia="Times New Roman" w:hAnsi="Calibri" w:cs="Calibri"/>
          <w:color w:val="000000"/>
          <w:sz w:val="24"/>
          <w:szCs w:val="24"/>
          <w:lang w:val="es-CR" w:eastAsia="es-CR"/>
        </w:rPr>
        <w:t>d</w:t>
      </w:r>
      <w:r w:rsidR="005B53AB" w:rsidRPr="004B499C">
        <w:rPr>
          <w:rFonts w:ascii="Calibri" w:eastAsia="Times New Roman" w:hAnsi="Calibri" w:cs="Calibri"/>
          <w:color w:val="000000"/>
          <w:sz w:val="24"/>
          <w:szCs w:val="24"/>
          <w:lang w:val="es-CR" w:eastAsia="es-CR"/>
        </w:rPr>
        <w:t>escribe</w:t>
      </w:r>
      <w:r w:rsidRPr="004B499C">
        <w:rPr>
          <w:rFonts w:ascii="Calibri" w:eastAsia="Times New Roman" w:hAnsi="Calibri" w:cs="Calibri"/>
          <w:color w:val="000000"/>
          <w:sz w:val="24"/>
          <w:szCs w:val="24"/>
          <w:lang w:val="es-CR" w:eastAsia="es-CR"/>
        </w:rPr>
        <w:t xml:space="preserve"> los hechos puntuales que han afectado</w:t>
      </w:r>
      <w:r w:rsidR="00243E13" w:rsidRPr="004B499C">
        <w:rPr>
          <w:rFonts w:ascii="Calibri" w:eastAsia="Times New Roman" w:hAnsi="Calibri" w:cs="Calibri"/>
          <w:color w:val="000000"/>
          <w:sz w:val="24"/>
          <w:szCs w:val="24"/>
          <w:lang w:val="es-CR" w:eastAsia="es-CR"/>
        </w:rPr>
        <w:t xml:space="preserve"> a</w:t>
      </w:r>
      <w:r w:rsidR="005B53AB" w:rsidRPr="004B499C">
        <w:rPr>
          <w:rFonts w:ascii="Calibri" w:eastAsia="Times New Roman" w:hAnsi="Calibri" w:cs="Calibri"/>
          <w:color w:val="000000"/>
          <w:sz w:val="24"/>
          <w:szCs w:val="24"/>
          <w:lang w:val="es-CR" w:eastAsia="es-CR"/>
        </w:rPr>
        <w:t xml:space="preserve"> las entidades supervisadas </w:t>
      </w:r>
      <w:r w:rsidR="001E6FE7" w:rsidRPr="004B499C">
        <w:rPr>
          <w:rFonts w:ascii="Calibri" w:eastAsia="Times New Roman" w:hAnsi="Calibri" w:cs="Calibri"/>
          <w:color w:val="000000"/>
          <w:sz w:val="24"/>
          <w:szCs w:val="24"/>
          <w:lang w:val="es-CR" w:eastAsia="es-CR"/>
        </w:rPr>
        <w:t>producto</w:t>
      </w:r>
      <w:r w:rsidRPr="004B499C">
        <w:rPr>
          <w:rFonts w:ascii="Calibri" w:eastAsia="Times New Roman" w:hAnsi="Calibri" w:cs="Calibri"/>
          <w:color w:val="000000"/>
          <w:sz w:val="24"/>
          <w:szCs w:val="24"/>
          <w:lang w:val="es-CR" w:eastAsia="es-CR"/>
        </w:rPr>
        <w:t xml:space="preserve"> del COVID-19. </w:t>
      </w:r>
    </w:p>
    <w:p w14:paraId="22B1A0D1" w14:textId="77777777" w:rsidR="001F7B97" w:rsidRPr="004B499C" w:rsidRDefault="001F7B97" w:rsidP="004B499C">
      <w:pPr>
        <w:spacing w:after="0"/>
        <w:jc w:val="both"/>
        <w:rPr>
          <w:rFonts w:ascii="Calibri" w:eastAsia="Times New Roman" w:hAnsi="Calibri" w:cs="Calibri"/>
          <w:color w:val="000000"/>
          <w:sz w:val="24"/>
          <w:szCs w:val="24"/>
          <w:lang w:val="es-CR" w:eastAsia="es-CR"/>
        </w:rPr>
      </w:pPr>
    </w:p>
    <w:p w14:paraId="2C2DA66D" w14:textId="24D65920" w:rsidR="000E31A9" w:rsidRPr="0089548D" w:rsidRDefault="00C01A6B" w:rsidP="0089548D">
      <w:pPr>
        <w:rPr>
          <w:rFonts w:asciiTheme="majorHAnsi" w:eastAsiaTheme="majorEastAsia" w:hAnsiTheme="majorHAnsi" w:cstheme="majorBidi"/>
          <w:color w:val="365F91" w:themeColor="accent1" w:themeShade="BF"/>
          <w:sz w:val="32"/>
          <w:szCs w:val="32"/>
        </w:rPr>
      </w:pPr>
      <w:r>
        <w:br w:type="page"/>
      </w:r>
    </w:p>
    <w:p w14:paraId="2E53C788" w14:textId="138C12D2" w:rsidR="00394DBE" w:rsidRDefault="006929F8" w:rsidP="00E2531A">
      <w:pPr>
        <w:pStyle w:val="Ttulo1"/>
        <w:numPr>
          <w:ilvl w:val="0"/>
          <w:numId w:val="1"/>
        </w:numPr>
      </w:pPr>
      <w:bookmarkStart w:id="6" w:name="_Toc64457425"/>
      <w:r>
        <w:lastRenderedPageBreak/>
        <w:t>Estadísticas</w:t>
      </w:r>
      <w:bookmarkEnd w:id="6"/>
    </w:p>
    <w:p w14:paraId="7FBACB44" w14:textId="77777777" w:rsidR="00D559B6" w:rsidRPr="00D559B6" w:rsidRDefault="00D559B6" w:rsidP="00D559B6">
      <w:pPr>
        <w:spacing w:after="0" w:line="240" w:lineRule="auto"/>
        <w:jc w:val="both"/>
      </w:pPr>
    </w:p>
    <w:p w14:paraId="5F1A6AF8" w14:textId="77777777" w:rsidR="00CF174B" w:rsidRPr="004B499C" w:rsidRDefault="00657BE3" w:rsidP="00E2531A">
      <w:pPr>
        <w:pStyle w:val="Ttulo2"/>
        <w:numPr>
          <w:ilvl w:val="1"/>
          <w:numId w:val="1"/>
        </w:numPr>
        <w:rPr>
          <w:sz w:val="28"/>
          <w:szCs w:val="28"/>
        </w:rPr>
      </w:pPr>
      <w:bookmarkStart w:id="7" w:name="_Toc64457426"/>
      <w:r w:rsidRPr="004B499C">
        <w:rPr>
          <w:sz w:val="28"/>
          <w:szCs w:val="28"/>
        </w:rPr>
        <w:t>Sistema Nacional de Pensiones</w:t>
      </w:r>
      <w:bookmarkEnd w:id="7"/>
    </w:p>
    <w:p w14:paraId="13869FA3" w14:textId="77777777" w:rsidR="00CF174B" w:rsidRPr="00CF174B" w:rsidRDefault="00CF174B" w:rsidP="00CF174B">
      <w:pPr>
        <w:spacing w:after="0" w:line="240" w:lineRule="auto"/>
        <w:jc w:val="both"/>
        <w:rPr>
          <w:rFonts w:ascii="Calibri" w:eastAsia="Times New Roman" w:hAnsi="Calibri" w:cs="Calibri"/>
          <w:color w:val="000000"/>
          <w:lang w:val="es-CR" w:eastAsia="es-CR"/>
        </w:rPr>
      </w:pPr>
    </w:p>
    <w:p w14:paraId="2EA6E723" w14:textId="60B95D01" w:rsidR="00BC1E76" w:rsidRPr="005429DA" w:rsidRDefault="001B3226" w:rsidP="001B3226">
      <w:pPr>
        <w:pStyle w:val="Descripcin"/>
        <w:spacing w:after="0"/>
        <w:jc w:val="center"/>
      </w:pPr>
      <w:r w:rsidRPr="005429DA">
        <w:t xml:space="preserve">Tabla </w:t>
      </w:r>
      <w:r w:rsidRPr="005429DA">
        <w:fldChar w:fldCharType="begin"/>
      </w:r>
      <w:r w:rsidRPr="005429DA">
        <w:instrText xml:space="preserve"> SEQ Tabla \* ARABIC </w:instrText>
      </w:r>
      <w:r w:rsidRPr="005429DA">
        <w:fldChar w:fldCharType="separate"/>
      </w:r>
      <w:r w:rsidR="00221631">
        <w:rPr>
          <w:noProof/>
        </w:rPr>
        <w:t>1</w:t>
      </w:r>
      <w:r w:rsidRPr="005429DA">
        <w:fldChar w:fldCharType="end"/>
      </w:r>
      <w:r w:rsidRPr="005429DA">
        <w:t xml:space="preserve">: </w:t>
      </w:r>
      <w:r w:rsidR="007E170D" w:rsidRPr="005429DA">
        <w:t>Afiliados, pensionados</w:t>
      </w:r>
      <w:r w:rsidR="00DB5E51" w:rsidRPr="005429DA">
        <w:t xml:space="preserve">, pensión promedio </w:t>
      </w:r>
      <w:r w:rsidR="007E170D" w:rsidRPr="005429DA">
        <w:t xml:space="preserve">y </w:t>
      </w:r>
      <w:r w:rsidR="00A058D6" w:rsidRPr="005429DA">
        <w:t>contribuciones</w:t>
      </w:r>
      <w:r w:rsidR="007E170D" w:rsidRPr="005429DA">
        <w:t xml:space="preserve"> </w:t>
      </w:r>
    </w:p>
    <w:p w14:paraId="53FE0906" w14:textId="56DE44AA" w:rsidR="001B3226" w:rsidRPr="005429DA" w:rsidRDefault="00BC1E76" w:rsidP="00BC1E76">
      <w:pPr>
        <w:pStyle w:val="Descripcin"/>
        <w:spacing w:after="0"/>
        <w:jc w:val="center"/>
      </w:pPr>
      <w:r w:rsidRPr="005429DA">
        <w:t>Sistema Nacional de Pensiones</w:t>
      </w:r>
      <w:r w:rsidR="00D142B9" w:rsidRPr="005429DA">
        <w:t xml:space="preserve"> </w:t>
      </w:r>
    </w:p>
    <w:p w14:paraId="53AD06D1" w14:textId="47C67106" w:rsidR="001B3226" w:rsidRDefault="001B3226" w:rsidP="001B3226">
      <w:pPr>
        <w:pStyle w:val="Descripcin"/>
        <w:tabs>
          <w:tab w:val="center" w:pos="4419"/>
          <w:tab w:val="left" w:pos="5788"/>
        </w:tabs>
        <w:spacing w:after="0"/>
        <w:jc w:val="center"/>
      </w:pPr>
      <w:r w:rsidRPr="005429DA">
        <w:t>Al 3</w:t>
      </w:r>
      <w:r w:rsidR="001B08BD" w:rsidRPr="005429DA">
        <w:t>1</w:t>
      </w:r>
      <w:r w:rsidRPr="005429DA">
        <w:t xml:space="preserve"> de </w:t>
      </w:r>
      <w:r w:rsidR="001B08BD" w:rsidRPr="005429DA">
        <w:t>dic</w:t>
      </w:r>
      <w:r w:rsidR="00B520C8" w:rsidRPr="005429DA">
        <w:t xml:space="preserve">iembre </w:t>
      </w:r>
      <w:r w:rsidRPr="005429DA">
        <w:t>del 2020</w:t>
      </w:r>
    </w:p>
    <w:tbl>
      <w:tblPr>
        <w:tblW w:w="9700" w:type="dxa"/>
        <w:jc w:val="center"/>
        <w:tblCellMar>
          <w:left w:w="70" w:type="dxa"/>
          <w:right w:w="70" w:type="dxa"/>
        </w:tblCellMar>
        <w:tblLook w:val="04A0" w:firstRow="1" w:lastRow="0" w:firstColumn="1" w:lastColumn="0" w:noHBand="0" w:noVBand="1"/>
      </w:tblPr>
      <w:tblGrid>
        <w:gridCol w:w="3844"/>
        <w:gridCol w:w="987"/>
        <w:gridCol w:w="1192"/>
        <w:gridCol w:w="1051"/>
        <w:gridCol w:w="829"/>
        <w:gridCol w:w="830"/>
        <w:gridCol w:w="967"/>
      </w:tblGrid>
      <w:tr w:rsidR="00C21D04" w:rsidRPr="00C21D04" w14:paraId="044F79B9" w14:textId="77777777" w:rsidTr="00996E71">
        <w:trPr>
          <w:trHeight w:val="229"/>
          <w:jc w:val="center"/>
        </w:trPr>
        <w:tc>
          <w:tcPr>
            <w:tcW w:w="3844"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49CD65AA" w14:textId="77777777" w:rsidR="00C21D04" w:rsidRPr="00C21D04" w:rsidRDefault="00C21D04" w:rsidP="00C21D04">
            <w:pPr>
              <w:spacing w:after="0" w:line="240" w:lineRule="auto"/>
              <w:jc w:val="center"/>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Tipo de Fondo</w:t>
            </w:r>
          </w:p>
        </w:tc>
        <w:tc>
          <w:tcPr>
            <w:tcW w:w="987"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67C1FE87" w14:textId="77777777" w:rsidR="00C21D04" w:rsidRPr="00C21D04" w:rsidRDefault="00C21D04" w:rsidP="00C21D04">
            <w:pPr>
              <w:spacing w:after="0" w:line="240" w:lineRule="auto"/>
              <w:jc w:val="center"/>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Afiliados</w:t>
            </w:r>
          </w:p>
        </w:tc>
        <w:tc>
          <w:tcPr>
            <w:tcW w:w="1192" w:type="dxa"/>
            <w:vMerge w:val="restart"/>
            <w:tcBorders>
              <w:top w:val="single" w:sz="8" w:space="0" w:color="8DB3E2"/>
              <w:left w:val="single" w:sz="8" w:space="0" w:color="8DB3E2"/>
              <w:bottom w:val="single" w:sz="8" w:space="0" w:color="95B3D7"/>
              <w:right w:val="single" w:sz="8" w:space="0" w:color="8DB3E2"/>
            </w:tcBorders>
            <w:shd w:val="clear" w:color="000000" w:fill="4F81BD"/>
            <w:noWrap/>
            <w:vAlign w:val="center"/>
            <w:hideMark/>
          </w:tcPr>
          <w:p w14:paraId="184E5DBB" w14:textId="77777777" w:rsidR="00C21D04" w:rsidRPr="00C21D04" w:rsidRDefault="00C21D04" w:rsidP="00C21D04">
            <w:pPr>
              <w:spacing w:after="0" w:line="240" w:lineRule="auto"/>
              <w:jc w:val="center"/>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Pensionados</w:t>
            </w:r>
          </w:p>
        </w:tc>
        <w:tc>
          <w:tcPr>
            <w:tcW w:w="2710" w:type="dxa"/>
            <w:gridSpan w:val="3"/>
            <w:tcBorders>
              <w:top w:val="single" w:sz="8" w:space="0" w:color="8DB3E2"/>
              <w:left w:val="nil"/>
              <w:bottom w:val="single" w:sz="8" w:space="0" w:color="8DB3E2"/>
              <w:right w:val="single" w:sz="8" w:space="0" w:color="8DB3E2"/>
            </w:tcBorders>
            <w:shd w:val="clear" w:color="000000" w:fill="4F81BD"/>
            <w:noWrap/>
            <w:vAlign w:val="center"/>
            <w:hideMark/>
          </w:tcPr>
          <w:p w14:paraId="116E9CDD" w14:textId="77777777" w:rsidR="00C21D04" w:rsidRPr="00C21D04" w:rsidRDefault="00C21D04" w:rsidP="00C21D04">
            <w:pPr>
              <w:spacing w:after="0" w:line="240" w:lineRule="auto"/>
              <w:jc w:val="center"/>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Contribuciones</w:t>
            </w:r>
          </w:p>
        </w:tc>
        <w:tc>
          <w:tcPr>
            <w:tcW w:w="967" w:type="dxa"/>
            <w:vMerge w:val="restart"/>
            <w:tcBorders>
              <w:top w:val="single" w:sz="8" w:space="0" w:color="8DB3E2"/>
              <w:left w:val="single" w:sz="8" w:space="0" w:color="8DB3E2"/>
              <w:right w:val="single" w:sz="8" w:space="0" w:color="8DB3E2"/>
            </w:tcBorders>
            <w:shd w:val="clear" w:color="000000" w:fill="4F81BD"/>
            <w:vAlign w:val="center"/>
            <w:hideMark/>
          </w:tcPr>
          <w:p w14:paraId="5B847A2A" w14:textId="77777777" w:rsidR="00C21D04" w:rsidRPr="00C21D04" w:rsidRDefault="00C21D04" w:rsidP="00C21D04">
            <w:pPr>
              <w:spacing w:after="0" w:line="240" w:lineRule="auto"/>
              <w:jc w:val="center"/>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Pensión promedio</w:t>
            </w:r>
          </w:p>
        </w:tc>
      </w:tr>
      <w:tr w:rsidR="00C21D04" w:rsidRPr="00C21D04" w14:paraId="73E62E11" w14:textId="77777777" w:rsidTr="00996E71">
        <w:trPr>
          <w:trHeight w:val="229"/>
          <w:jc w:val="center"/>
        </w:trPr>
        <w:tc>
          <w:tcPr>
            <w:tcW w:w="3844" w:type="dxa"/>
            <w:vMerge/>
            <w:tcBorders>
              <w:top w:val="single" w:sz="8" w:space="0" w:color="8DB3E2"/>
              <w:left w:val="single" w:sz="8" w:space="0" w:color="8DB3E2"/>
              <w:bottom w:val="single" w:sz="8" w:space="0" w:color="95B3D7"/>
              <w:right w:val="single" w:sz="8" w:space="0" w:color="8DB3E2"/>
            </w:tcBorders>
            <w:vAlign w:val="center"/>
            <w:hideMark/>
          </w:tcPr>
          <w:p w14:paraId="77FD6739"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p>
        </w:tc>
        <w:tc>
          <w:tcPr>
            <w:tcW w:w="987" w:type="dxa"/>
            <w:vMerge/>
            <w:tcBorders>
              <w:top w:val="single" w:sz="8" w:space="0" w:color="8DB3E2"/>
              <w:left w:val="single" w:sz="8" w:space="0" w:color="8DB3E2"/>
              <w:bottom w:val="single" w:sz="8" w:space="0" w:color="95B3D7"/>
              <w:right w:val="single" w:sz="8" w:space="0" w:color="8DB3E2"/>
            </w:tcBorders>
            <w:vAlign w:val="center"/>
            <w:hideMark/>
          </w:tcPr>
          <w:p w14:paraId="4F6DFEAD"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p>
        </w:tc>
        <w:tc>
          <w:tcPr>
            <w:tcW w:w="1192" w:type="dxa"/>
            <w:vMerge/>
            <w:tcBorders>
              <w:top w:val="single" w:sz="8" w:space="0" w:color="8DB3E2"/>
              <w:left w:val="single" w:sz="8" w:space="0" w:color="8DB3E2"/>
              <w:bottom w:val="single" w:sz="8" w:space="0" w:color="95B3D7"/>
              <w:right w:val="single" w:sz="8" w:space="0" w:color="8DB3E2"/>
            </w:tcBorders>
            <w:vAlign w:val="center"/>
            <w:hideMark/>
          </w:tcPr>
          <w:p w14:paraId="49D00E2F"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p>
        </w:tc>
        <w:tc>
          <w:tcPr>
            <w:tcW w:w="1051" w:type="dxa"/>
            <w:tcBorders>
              <w:top w:val="nil"/>
              <w:left w:val="nil"/>
              <w:bottom w:val="single" w:sz="8" w:space="0" w:color="95B3D7"/>
              <w:right w:val="single" w:sz="8" w:space="0" w:color="95B3D7"/>
            </w:tcBorders>
            <w:shd w:val="clear" w:color="000000" w:fill="4F81BD"/>
            <w:noWrap/>
            <w:vAlign w:val="center"/>
            <w:hideMark/>
          </w:tcPr>
          <w:p w14:paraId="4DBD0B06"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Trabajador</w:t>
            </w:r>
          </w:p>
        </w:tc>
        <w:tc>
          <w:tcPr>
            <w:tcW w:w="829" w:type="dxa"/>
            <w:tcBorders>
              <w:top w:val="nil"/>
              <w:left w:val="nil"/>
              <w:bottom w:val="single" w:sz="8" w:space="0" w:color="95B3D7"/>
              <w:right w:val="single" w:sz="8" w:space="0" w:color="95B3D7"/>
            </w:tcBorders>
            <w:shd w:val="clear" w:color="000000" w:fill="4F81BD"/>
            <w:noWrap/>
            <w:vAlign w:val="center"/>
            <w:hideMark/>
          </w:tcPr>
          <w:p w14:paraId="685CB8DF"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Patrono</w:t>
            </w:r>
          </w:p>
        </w:tc>
        <w:tc>
          <w:tcPr>
            <w:tcW w:w="830" w:type="dxa"/>
            <w:tcBorders>
              <w:top w:val="nil"/>
              <w:left w:val="nil"/>
              <w:bottom w:val="single" w:sz="8" w:space="0" w:color="95B3D7"/>
              <w:right w:val="single" w:sz="8" w:space="0" w:color="8DB3E2"/>
            </w:tcBorders>
            <w:shd w:val="clear" w:color="000000" w:fill="4F81BD"/>
            <w:noWrap/>
            <w:vAlign w:val="center"/>
            <w:hideMark/>
          </w:tcPr>
          <w:p w14:paraId="482D3F18"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r w:rsidRPr="00C21D04">
              <w:rPr>
                <w:rFonts w:ascii="Calibri" w:eastAsia="Times New Roman" w:hAnsi="Calibri" w:cs="Calibri"/>
                <w:b/>
                <w:bCs/>
                <w:color w:val="FFFFFF"/>
                <w:sz w:val="20"/>
                <w:szCs w:val="20"/>
                <w:lang w:val="es-CR" w:eastAsia="es-CR"/>
              </w:rPr>
              <w:t>Estado</w:t>
            </w:r>
          </w:p>
        </w:tc>
        <w:tc>
          <w:tcPr>
            <w:tcW w:w="967" w:type="dxa"/>
            <w:vMerge/>
            <w:tcBorders>
              <w:left w:val="single" w:sz="8" w:space="0" w:color="8DB3E2"/>
              <w:bottom w:val="single" w:sz="8" w:space="0" w:color="95B3D7"/>
              <w:right w:val="single" w:sz="8" w:space="0" w:color="8DB3E2"/>
            </w:tcBorders>
            <w:vAlign w:val="center"/>
            <w:hideMark/>
          </w:tcPr>
          <w:p w14:paraId="0ADA4DC5" w14:textId="77777777" w:rsidR="00C21D04" w:rsidRPr="00C21D04" w:rsidRDefault="00C21D04" w:rsidP="00C21D04">
            <w:pPr>
              <w:spacing w:after="0" w:line="240" w:lineRule="auto"/>
              <w:rPr>
                <w:rFonts w:ascii="Calibri" w:eastAsia="Times New Roman" w:hAnsi="Calibri" w:cs="Calibri"/>
                <w:b/>
                <w:bCs/>
                <w:color w:val="FFFFFF"/>
                <w:sz w:val="20"/>
                <w:szCs w:val="20"/>
                <w:lang w:val="es-CR" w:eastAsia="es-CR"/>
              </w:rPr>
            </w:pPr>
          </w:p>
        </w:tc>
      </w:tr>
      <w:tr w:rsidR="00FA06C6" w:rsidRPr="00C21D04" w14:paraId="2B39056B"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60824885" w14:textId="3231A38F"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Régimen Básico (RIVM)*</w:t>
            </w:r>
          </w:p>
        </w:tc>
        <w:tc>
          <w:tcPr>
            <w:tcW w:w="987" w:type="dxa"/>
            <w:tcBorders>
              <w:top w:val="nil"/>
              <w:left w:val="nil"/>
              <w:bottom w:val="single" w:sz="8" w:space="0" w:color="95B3D7"/>
              <w:right w:val="single" w:sz="8" w:space="0" w:color="95B3D7"/>
            </w:tcBorders>
            <w:shd w:val="clear" w:color="auto" w:fill="auto"/>
            <w:vAlign w:val="center"/>
            <w:hideMark/>
          </w:tcPr>
          <w:p w14:paraId="01250A62" w14:textId="77777777" w:rsidR="00C21D04" w:rsidRPr="00C21D04" w:rsidRDefault="00C21D04" w:rsidP="00C21D04">
            <w:pPr>
              <w:spacing w:after="0" w:line="240" w:lineRule="auto"/>
              <w:jc w:val="right"/>
              <w:rPr>
                <w:rFonts w:ascii="Calibri" w:eastAsia="Times New Roman" w:hAnsi="Calibri" w:cs="Calibri"/>
                <w:sz w:val="18"/>
                <w:szCs w:val="18"/>
                <w:lang w:val="es-CR" w:eastAsia="es-CR"/>
              </w:rPr>
            </w:pPr>
            <w:r w:rsidRPr="00C21D04">
              <w:rPr>
                <w:rFonts w:ascii="Calibri" w:eastAsia="Times New Roman" w:hAnsi="Calibri" w:cs="Calibri"/>
                <w:sz w:val="18"/>
                <w:szCs w:val="18"/>
                <w:lang w:val="es-CR" w:eastAsia="es-CR"/>
              </w:rPr>
              <w:t>1 295 398</w:t>
            </w:r>
          </w:p>
        </w:tc>
        <w:tc>
          <w:tcPr>
            <w:tcW w:w="1192" w:type="dxa"/>
            <w:tcBorders>
              <w:top w:val="nil"/>
              <w:left w:val="nil"/>
              <w:bottom w:val="single" w:sz="8" w:space="0" w:color="95B3D7"/>
              <w:right w:val="single" w:sz="8" w:space="0" w:color="95B3D7"/>
            </w:tcBorders>
            <w:shd w:val="clear" w:color="auto" w:fill="auto"/>
            <w:vAlign w:val="center"/>
            <w:hideMark/>
          </w:tcPr>
          <w:p w14:paraId="050C12F1" w14:textId="77777777" w:rsidR="00C21D04" w:rsidRPr="00C21D04" w:rsidRDefault="00C21D04" w:rsidP="00C21D04">
            <w:pPr>
              <w:spacing w:after="0" w:line="240" w:lineRule="auto"/>
              <w:jc w:val="right"/>
              <w:rPr>
                <w:rFonts w:ascii="Calibri" w:eastAsia="Times New Roman" w:hAnsi="Calibri" w:cs="Calibri"/>
                <w:sz w:val="18"/>
                <w:szCs w:val="18"/>
                <w:lang w:val="es-CR" w:eastAsia="es-CR"/>
              </w:rPr>
            </w:pPr>
            <w:r w:rsidRPr="00C21D04">
              <w:rPr>
                <w:rFonts w:ascii="Calibri" w:eastAsia="Times New Roman" w:hAnsi="Calibri" w:cs="Calibri"/>
                <w:sz w:val="18"/>
                <w:szCs w:val="18"/>
                <w:lang w:val="es-CR" w:eastAsia="es-CR"/>
              </w:rPr>
              <w:t>292 481</w:t>
            </w:r>
          </w:p>
        </w:tc>
        <w:tc>
          <w:tcPr>
            <w:tcW w:w="1051" w:type="dxa"/>
            <w:tcBorders>
              <w:top w:val="nil"/>
              <w:left w:val="nil"/>
              <w:bottom w:val="single" w:sz="8" w:space="0" w:color="95B3D7"/>
              <w:right w:val="single" w:sz="8" w:space="0" w:color="95B3D7"/>
            </w:tcBorders>
            <w:shd w:val="clear" w:color="auto" w:fill="auto"/>
            <w:noWrap/>
            <w:vAlign w:val="center"/>
            <w:hideMark/>
          </w:tcPr>
          <w:p w14:paraId="3B3F6A04"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4%</w:t>
            </w:r>
          </w:p>
        </w:tc>
        <w:tc>
          <w:tcPr>
            <w:tcW w:w="829" w:type="dxa"/>
            <w:tcBorders>
              <w:top w:val="nil"/>
              <w:left w:val="nil"/>
              <w:bottom w:val="single" w:sz="8" w:space="0" w:color="95B3D7"/>
              <w:right w:val="single" w:sz="8" w:space="0" w:color="95B3D7"/>
            </w:tcBorders>
            <w:shd w:val="clear" w:color="auto" w:fill="auto"/>
            <w:noWrap/>
            <w:vAlign w:val="center"/>
            <w:hideMark/>
          </w:tcPr>
          <w:p w14:paraId="0AD2DEDA"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5,25%</w:t>
            </w:r>
          </w:p>
        </w:tc>
        <w:tc>
          <w:tcPr>
            <w:tcW w:w="830" w:type="dxa"/>
            <w:tcBorders>
              <w:top w:val="nil"/>
              <w:left w:val="nil"/>
              <w:bottom w:val="single" w:sz="8" w:space="0" w:color="95B3D7"/>
              <w:right w:val="single" w:sz="8" w:space="0" w:color="95B3D7"/>
            </w:tcBorders>
            <w:shd w:val="clear" w:color="auto" w:fill="auto"/>
            <w:noWrap/>
            <w:vAlign w:val="center"/>
            <w:hideMark/>
          </w:tcPr>
          <w:p w14:paraId="56BBF8AE"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1,41%</w:t>
            </w:r>
          </w:p>
        </w:tc>
        <w:tc>
          <w:tcPr>
            <w:tcW w:w="967" w:type="dxa"/>
            <w:tcBorders>
              <w:top w:val="nil"/>
              <w:left w:val="nil"/>
              <w:bottom w:val="single" w:sz="8" w:space="0" w:color="95B3D7"/>
              <w:right w:val="single" w:sz="8" w:space="0" w:color="95B3D7"/>
            </w:tcBorders>
            <w:shd w:val="clear" w:color="auto" w:fill="auto"/>
            <w:noWrap/>
            <w:vAlign w:val="center"/>
            <w:hideMark/>
          </w:tcPr>
          <w:p w14:paraId="044020DA" w14:textId="77777777" w:rsidR="00C21D04" w:rsidRPr="00C21D04" w:rsidRDefault="00C21D04" w:rsidP="00C21D04">
            <w:pPr>
              <w:spacing w:after="0" w:line="240" w:lineRule="auto"/>
              <w:jc w:val="right"/>
              <w:rPr>
                <w:rFonts w:ascii="Calibri" w:eastAsia="Times New Roman" w:hAnsi="Calibri" w:cs="Calibri"/>
                <w:sz w:val="18"/>
                <w:szCs w:val="18"/>
                <w:lang w:val="es-CR" w:eastAsia="es-CR"/>
              </w:rPr>
            </w:pPr>
            <w:r w:rsidRPr="00C21D04">
              <w:rPr>
                <w:rFonts w:ascii="Calibri" w:eastAsia="Times New Roman" w:hAnsi="Calibri" w:cs="Calibri"/>
                <w:sz w:val="18"/>
                <w:szCs w:val="18"/>
                <w:lang w:val="es-CR" w:eastAsia="es-CR"/>
              </w:rPr>
              <w:t>280 505</w:t>
            </w:r>
          </w:p>
        </w:tc>
      </w:tr>
      <w:tr w:rsidR="00C21D04" w:rsidRPr="00C21D04" w14:paraId="7CAEB814" w14:textId="77777777" w:rsidTr="00996E71">
        <w:trPr>
          <w:trHeight w:val="229"/>
          <w:jc w:val="center"/>
        </w:trPr>
        <w:tc>
          <w:tcPr>
            <w:tcW w:w="9700"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45919284" w14:textId="77777777" w:rsidR="00C21D04" w:rsidRPr="00C21D04" w:rsidRDefault="00C21D04" w:rsidP="00C21D04">
            <w:pPr>
              <w:spacing w:after="0" w:line="240" w:lineRule="auto"/>
              <w:rPr>
                <w:rFonts w:ascii="Calibri" w:eastAsia="Times New Roman" w:hAnsi="Calibri" w:cs="Calibri"/>
                <w:b/>
                <w:bCs/>
                <w:sz w:val="20"/>
                <w:szCs w:val="20"/>
                <w:lang w:val="es-CR" w:eastAsia="es-CR"/>
              </w:rPr>
            </w:pPr>
            <w:r w:rsidRPr="00C21D04">
              <w:rPr>
                <w:rFonts w:ascii="Calibri" w:eastAsia="Times New Roman" w:hAnsi="Calibri" w:cs="Calibri"/>
                <w:b/>
                <w:bCs/>
                <w:sz w:val="20"/>
                <w:szCs w:val="20"/>
                <w:lang w:val="es-CR" w:eastAsia="es-CR"/>
              </w:rPr>
              <w:t>Regímenes Básicos sustitutos**</w:t>
            </w:r>
          </w:p>
        </w:tc>
      </w:tr>
      <w:tr w:rsidR="00FA06C6" w:rsidRPr="00C21D04" w14:paraId="29A5CD30"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55D8C735"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RCCMN*</w:t>
            </w:r>
          </w:p>
        </w:tc>
        <w:tc>
          <w:tcPr>
            <w:tcW w:w="987" w:type="dxa"/>
            <w:tcBorders>
              <w:top w:val="nil"/>
              <w:left w:val="nil"/>
              <w:bottom w:val="single" w:sz="8" w:space="0" w:color="95B3D7"/>
              <w:right w:val="single" w:sz="8" w:space="0" w:color="95B3D7"/>
            </w:tcBorders>
            <w:shd w:val="clear" w:color="auto" w:fill="auto"/>
            <w:vAlign w:val="center"/>
            <w:hideMark/>
          </w:tcPr>
          <w:p w14:paraId="785F247A"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97 183</w:t>
            </w:r>
          </w:p>
        </w:tc>
        <w:tc>
          <w:tcPr>
            <w:tcW w:w="1192" w:type="dxa"/>
            <w:tcBorders>
              <w:top w:val="nil"/>
              <w:left w:val="nil"/>
              <w:bottom w:val="single" w:sz="8" w:space="0" w:color="95B3D7"/>
              <w:right w:val="single" w:sz="8" w:space="0" w:color="95B3D7"/>
            </w:tcBorders>
            <w:shd w:val="clear" w:color="auto" w:fill="auto"/>
            <w:vAlign w:val="center"/>
            <w:hideMark/>
          </w:tcPr>
          <w:p w14:paraId="75074F8F"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5 415</w:t>
            </w:r>
          </w:p>
        </w:tc>
        <w:tc>
          <w:tcPr>
            <w:tcW w:w="1051" w:type="dxa"/>
            <w:tcBorders>
              <w:top w:val="nil"/>
              <w:left w:val="nil"/>
              <w:bottom w:val="single" w:sz="8" w:space="0" w:color="95B3D7"/>
              <w:right w:val="single" w:sz="8" w:space="0" w:color="95B3D7"/>
            </w:tcBorders>
            <w:shd w:val="clear" w:color="auto" w:fill="auto"/>
            <w:noWrap/>
            <w:vAlign w:val="center"/>
            <w:hideMark/>
          </w:tcPr>
          <w:p w14:paraId="348408E0"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8%</w:t>
            </w:r>
          </w:p>
        </w:tc>
        <w:tc>
          <w:tcPr>
            <w:tcW w:w="829" w:type="dxa"/>
            <w:tcBorders>
              <w:top w:val="nil"/>
              <w:left w:val="nil"/>
              <w:bottom w:val="single" w:sz="8" w:space="0" w:color="95B3D7"/>
              <w:right w:val="single" w:sz="8" w:space="0" w:color="95B3D7"/>
            </w:tcBorders>
            <w:shd w:val="clear" w:color="auto" w:fill="auto"/>
            <w:noWrap/>
            <w:vAlign w:val="center"/>
            <w:hideMark/>
          </w:tcPr>
          <w:p w14:paraId="485550D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6,75%</w:t>
            </w:r>
          </w:p>
        </w:tc>
        <w:tc>
          <w:tcPr>
            <w:tcW w:w="830" w:type="dxa"/>
            <w:tcBorders>
              <w:top w:val="nil"/>
              <w:left w:val="nil"/>
              <w:bottom w:val="single" w:sz="8" w:space="0" w:color="95B3D7"/>
              <w:right w:val="single" w:sz="8" w:space="0" w:color="95B3D7"/>
            </w:tcBorders>
            <w:shd w:val="clear" w:color="auto" w:fill="auto"/>
            <w:noWrap/>
            <w:vAlign w:val="center"/>
            <w:hideMark/>
          </w:tcPr>
          <w:p w14:paraId="0C0A3ACB"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1,41%</w:t>
            </w:r>
          </w:p>
        </w:tc>
        <w:tc>
          <w:tcPr>
            <w:tcW w:w="967" w:type="dxa"/>
            <w:tcBorders>
              <w:top w:val="nil"/>
              <w:left w:val="nil"/>
              <w:bottom w:val="single" w:sz="8" w:space="0" w:color="95B3D7"/>
              <w:right w:val="single" w:sz="8" w:space="0" w:color="95B3D7"/>
            </w:tcBorders>
            <w:shd w:val="clear" w:color="auto" w:fill="auto"/>
            <w:noWrap/>
            <w:vAlign w:val="center"/>
            <w:hideMark/>
          </w:tcPr>
          <w:p w14:paraId="7F7E418D"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337 608</w:t>
            </w:r>
          </w:p>
        </w:tc>
      </w:tr>
      <w:tr w:rsidR="00C21D04" w:rsidRPr="00C21D04" w14:paraId="24F90C64"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000000" w:fill="DBE5F1"/>
            <w:noWrap/>
            <w:vAlign w:val="center"/>
            <w:hideMark/>
          </w:tcPr>
          <w:p w14:paraId="58BD73CB"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FPJ</w:t>
            </w:r>
          </w:p>
        </w:tc>
        <w:tc>
          <w:tcPr>
            <w:tcW w:w="987" w:type="dxa"/>
            <w:tcBorders>
              <w:top w:val="nil"/>
              <w:left w:val="nil"/>
              <w:bottom w:val="single" w:sz="8" w:space="0" w:color="95B3D7"/>
              <w:right w:val="single" w:sz="8" w:space="0" w:color="95B3D7"/>
            </w:tcBorders>
            <w:shd w:val="clear" w:color="000000" w:fill="DBE5F1"/>
            <w:vAlign w:val="center"/>
            <w:hideMark/>
          </w:tcPr>
          <w:p w14:paraId="771005EA"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13 729</w:t>
            </w:r>
          </w:p>
        </w:tc>
        <w:tc>
          <w:tcPr>
            <w:tcW w:w="1192" w:type="dxa"/>
            <w:tcBorders>
              <w:top w:val="nil"/>
              <w:left w:val="nil"/>
              <w:bottom w:val="single" w:sz="8" w:space="0" w:color="95B3D7"/>
              <w:right w:val="single" w:sz="8" w:space="0" w:color="95B3D7"/>
            </w:tcBorders>
            <w:shd w:val="clear" w:color="000000" w:fill="DBE5F1"/>
            <w:vAlign w:val="center"/>
            <w:hideMark/>
          </w:tcPr>
          <w:p w14:paraId="3CBFD3AD"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4 253</w:t>
            </w:r>
          </w:p>
        </w:tc>
        <w:tc>
          <w:tcPr>
            <w:tcW w:w="1051" w:type="dxa"/>
            <w:tcBorders>
              <w:top w:val="nil"/>
              <w:left w:val="nil"/>
              <w:bottom w:val="single" w:sz="8" w:space="0" w:color="95B3D7"/>
              <w:right w:val="single" w:sz="8" w:space="0" w:color="95B3D7"/>
            </w:tcBorders>
            <w:shd w:val="clear" w:color="000000" w:fill="DBE5F1"/>
            <w:noWrap/>
            <w:vAlign w:val="center"/>
            <w:hideMark/>
          </w:tcPr>
          <w:p w14:paraId="26285C74"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13%***</w:t>
            </w:r>
          </w:p>
        </w:tc>
        <w:tc>
          <w:tcPr>
            <w:tcW w:w="829" w:type="dxa"/>
            <w:tcBorders>
              <w:top w:val="nil"/>
              <w:left w:val="nil"/>
              <w:bottom w:val="single" w:sz="8" w:space="0" w:color="95B3D7"/>
              <w:right w:val="single" w:sz="8" w:space="0" w:color="95B3D7"/>
            </w:tcBorders>
            <w:shd w:val="clear" w:color="000000" w:fill="DBE5F1"/>
            <w:noWrap/>
            <w:vAlign w:val="center"/>
            <w:hideMark/>
          </w:tcPr>
          <w:p w14:paraId="756FA85A"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14,36%</w:t>
            </w:r>
          </w:p>
        </w:tc>
        <w:tc>
          <w:tcPr>
            <w:tcW w:w="830" w:type="dxa"/>
            <w:tcBorders>
              <w:top w:val="nil"/>
              <w:left w:val="nil"/>
              <w:bottom w:val="single" w:sz="8" w:space="0" w:color="95B3D7"/>
              <w:right w:val="single" w:sz="8" w:space="0" w:color="95B3D7"/>
            </w:tcBorders>
            <w:shd w:val="clear" w:color="000000" w:fill="DBE5F1"/>
            <w:noWrap/>
            <w:vAlign w:val="center"/>
            <w:hideMark/>
          </w:tcPr>
          <w:p w14:paraId="579A7935"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1,41%</w:t>
            </w:r>
          </w:p>
        </w:tc>
        <w:tc>
          <w:tcPr>
            <w:tcW w:w="967" w:type="dxa"/>
            <w:tcBorders>
              <w:top w:val="nil"/>
              <w:left w:val="nil"/>
              <w:bottom w:val="single" w:sz="8" w:space="0" w:color="95B3D7"/>
              <w:right w:val="single" w:sz="8" w:space="0" w:color="95B3D7"/>
            </w:tcBorders>
            <w:shd w:val="clear" w:color="000000" w:fill="DBE5F1"/>
            <w:noWrap/>
            <w:vAlign w:val="center"/>
            <w:hideMark/>
          </w:tcPr>
          <w:p w14:paraId="5C28D17A"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1 658 934</w:t>
            </w:r>
          </w:p>
        </w:tc>
      </w:tr>
      <w:tr w:rsidR="00FA06C6" w:rsidRPr="00C21D04" w14:paraId="006C6626"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015D0E5B"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FBOMBEROS</w:t>
            </w:r>
          </w:p>
        </w:tc>
        <w:tc>
          <w:tcPr>
            <w:tcW w:w="987" w:type="dxa"/>
            <w:tcBorders>
              <w:top w:val="nil"/>
              <w:left w:val="nil"/>
              <w:bottom w:val="single" w:sz="8" w:space="0" w:color="95B3D7"/>
              <w:right w:val="single" w:sz="8" w:space="0" w:color="95B3D7"/>
            </w:tcBorders>
            <w:shd w:val="clear" w:color="auto" w:fill="auto"/>
            <w:vAlign w:val="center"/>
            <w:hideMark/>
          </w:tcPr>
          <w:p w14:paraId="69FC6B1C"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w:t>
            </w:r>
          </w:p>
        </w:tc>
        <w:tc>
          <w:tcPr>
            <w:tcW w:w="1192" w:type="dxa"/>
            <w:tcBorders>
              <w:top w:val="nil"/>
              <w:left w:val="nil"/>
              <w:bottom w:val="single" w:sz="8" w:space="0" w:color="95B3D7"/>
              <w:right w:val="single" w:sz="8" w:space="0" w:color="95B3D7"/>
            </w:tcBorders>
            <w:shd w:val="clear" w:color="auto" w:fill="auto"/>
            <w:vAlign w:val="center"/>
            <w:hideMark/>
          </w:tcPr>
          <w:p w14:paraId="13A5F7E7" w14:textId="52A6AE43"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224</w:t>
            </w:r>
          </w:p>
        </w:tc>
        <w:tc>
          <w:tcPr>
            <w:tcW w:w="1051" w:type="dxa"/>
            <w:tcBorders>
              <w:top w:val="nil"/>
              <w:left w:val="nil"/>
              <w:bottom w:val="single" w:sz="8" w:space="0" w:color="95B3D7"/>
              <w:right w:val="single" w:sz="8" w:space="0" w:color="95B3D7"/>
            </w:tcBorders>
            <w:shd w:val="clear" w:color="auto" w:fill="auto"/>
            <w:noWrap/>
            <w:vAlign w:val="center"/>
            <w:hideMark/>
          </w:tcPr>
          <w:p w14:paraId="612418FB"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12,50%</w:t>
            </w:r>
          </w:p>
        </w:tc>
        <w:tc>
          <w:tcPr>
            <w:tcW w:w="829" w:type="dxa"/>
            <w:tcBorders>
              <w:top w:val="nil"/>
              <w:left w:val="nil"/>
              <w:bottom w:val="single" w:sz="8" w:space="0" w:color="95B3D7"/>
              <w:right w:val="single" w:sz="8" w:space="0" w:color="95B3D7"/>
            </w:tcBorders>
            <w:shd w:val="clear" w:color="auto" w:fill="auto"/>
            <w:noWrap/>
            <w:vAlign w:val="center"/>
            <w:hideMark/>
          </w:tcPr>
          <w:p w14:paraId="40DF3AA3"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37,50%</w:t>
            </w:r>
          </w:p>
        </w:tc>
        <w:tc>
          <w:tcPr>
            <w:tcW w:w="830" w:type="dxa"/>
            <w:tcBorders>
              <w:top w:val="nil"/>
              <w:left w:val="nil"/>
              <w:bottom w:val="single" w:sz="8" w:space="0" w:color="95B3D7"/>
              <w:right w:val="single" w:sz="8" w:space="0" w:color="95B3D7"/>
            </w:tcBorders>
            <w:shd w:val="clear" w:color="auto" w:fill="auto"/>
            <w:noWrap/>
            <w:vAlign w:val="center"/>
            <w:hideMark/>
          </w:tcPr>
          <w:p w14:paraId="4ED956CE"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02E403A4"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866 949</w:t>
            </w:r>
          </w:p>
        </w:tc>
      </w:tr>
      <w:tr w:rsidR="00C21D04" w:rsidRPr="00C21D04" w14:paraId="24817F0F" w14:textId="77777777" w:rsidTr="00996E71">
        <w:trPr>
          <w:trHeight w:val="229"/>
          <w:jc w:val="center"/>
        </w:trPr>
        <w:tc>
          <w:tcPr>
            <w:tcW w:w="9700" w:type="dxa"/>
            <w:gridSpan w:val="7"/>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599782CB" w14:textId="77777777" w:rsidR="00C21D04" w:rsidRPr="00C21D04" w:rsidRDefault="00C21D04" w:rsidP="00C21D04">
            <w:pPr>
              <w:spacing w:after="0" w:line="240" w:lineRule="auto"/>
              <w:rPr>
                <w:rFonts w:ascii="Calibri" w:eastAsia="Times New Roman" w:hAnsi="Calibri" w:cs="Calibri"/>
                <w:b/>
                <w:bCs/>
                <w:sz w:val="20"/>
                <w:szCs w:val="20"/>
                <w:lang w:val="es-CR" w:eastAsia="es-CR"/>
              </w:rPr>
            </w:pPr>
            <w:r w:rsidRPr="00C21D04">
              <w:rPr>
                <w:rFonts w:ascii="Calibri" w:eastAsia="Times New Roman" w:hAnsi="Calibri" w:cs="Calibri"/>
                <w:b/>
                <w:bCs/>
                <w:sz w:val="20"/>
                <w:szCs w:val="20"/>
                <w:lang w:val="es-CR" w:eastAsia="es-CR"/>
              </w:rPr>
              <w:t>Regímenes Ocupacionales Complementarios**</w:t>
            </w:r>
          </w:p>
        </w:tc>
      </w:tr>
      <w:tr w:rsidR="00FA06C6" w:rsidRPr="00C21D04" w14:paraId="2113816F"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16F4169A"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FBNCR </w:t>
            </w:r>
          </w:p>
        </w:tc>
        <w:tc>
          <w:tcPr>
            <w:tcW w:w="987" w:type="dxa"/>
            <w:tcBorders>
              <w:top w:val="nil"/>
              <w:left w:val="nil"/>
              <w:bottom w:val="single" w:sz="8" w:space="0" w:color="95B3D7"/>
              <w:right w:val="single" w:sz="8" w:space="0" w:color="95B3D7"/>
            </w:tcBorders>
            <w:shd w:val="clear" w:color="auto" w:fill="auto"/>
            <w:vAlign w:val="center"/>
            <w:hideMark/>
          </w:tcPr>
          <w:p w14:paraId="2D13D59B"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5 117</w:t>
            </w:r>
          </w:p>
        </w:tc>
        <w:tc>
          <w:tcPr>
            <w:tcW w:w="1192" w:type="dxa"/>
            <w:tcBorders>
              <w:top w:val="nil"/>
              <w:left w:val="nil"/>
              <w:bottom w:val="single" w:sz="8" w:space="0" w:color="95B3D7"/>
              <w:right w:val="single" w:sz="8" w:space="0" w:color="95B3D7"/>
            </w:tcBorders>
            <w:shd w:val="clear" w:color="auto" w:fill="auto"/>
            <w:vAlign w:val="center"/>
            <w:hideMark/>
          </w:tcPr>
          <w:p w14:paraId="6CF675F8"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1 581</w:t>
            </w:r>
          </w:p>
        </w:tc>
        <w:tc>
          <w:tcPr>
            <w:tcW w:w="1051" w:type="dxa"/>
            <w:tcBorders>
              <w:top w:val="nil"/>
              <w:left w:val="nil"/>
              <w:bottom w:val="single" w:sz="8" w:space="0" w:color="95B3D7"/>
              <w:right w:val="single" w:sz="8" w:space="0" w:color="95B3D7"/>
            </w:tcBorders>
            <w:shd w:val="clear" w:color="auto" w:fill="auto"/>
            <w:noWrap/>
            <w:vAlign w:val="center"/>
            <w:hideMark/>
          </w:tcPr>
          <w:p w14:paraId="4618A30E"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5,50%</w:t>
            </w:r>
          </w:p>
        </w:tc>
        <w:tc>
          <w:tcPr>
            <w:tcW w:w="829" w:type="dxa"/>
            <w:tcBorders>
              <w:top w:val="nil"/>
              <w:left w:val="nil"/>
              <w:bottom w:val="single" w:sz="8" w:space="0" w:color="95B3D7"/>
              <w:right w:val="single" w:sz="8" w:space="0" w:color="95B3D7"/>
            </w:tcBorders>
            <w:shd w:val="clear" w:color="auto" w:fill="auto"/>
            <w:noWrap/>
            <w:vAlign w:val="center"/>
            <w:hideMark/>
          </w:tcPr>
          <w:p w14:paraId="3A342295"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10%</w:t>
            </w:r>
          </w:p>
        </w:tc>
        <w:tc>
          <w:tcPr>
            <w:tcW w:w="830" w:type="dxa"/>
            <w:tcBorders>
              <w:top w:val="nil"/>
              <w:left w:val="nil"/>
              <w:bottom w:val="single" w:sz="8" w:space="0" w:color="95B3D7"/>
              <w:right w:val="single" w:sz="8" w:space="0" w:color="95B3D7"/>
            </w:tcBorders>
            <w:shd w:val="clear" w:color="auto" w:fill="auto"/>
            <w:noWrap/>
            <w:vAlign w:val="center"/>
            <w:hideMark/>
          </w:tcPr>
          <w:p w14:paraId="7D1F877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3D9BE7AC"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694 330</w:t>
            </w:r>
          </w:p>
        </w:tc>
      </w:tr>
      <w:tr w:rsidR="00C21D04" w:rsidRPr="00C21D04" w14:paraId="0264C218"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000000" w:fill="DBE5F1"/>
            <w:noWrap/>
            <w:vAlign w:val="center"/>
            <w:hideMark/>
          </w:tcPr>
          <w:p w14:paraId="045951E6"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FICE</w:t>
            </w:r>
          </w:p>
        </w:tc>
        <w:tc>
          <w:tcPr>
            <w:tcW w:w="987" w:type="dxa"/>
            <w:tcBorders>
              <w:top w:val="nil"/>
              <w:left w:val="nil"/>
              <w:bottom w:val="single" w:sz="8" w:space="0" w:color="95B3D7"/>
              <w:right w:val="single" w:sz="8" w:space="0" w:color="95B3D7"/>
            </w:tcBorders>
            <w:shd w:val="clear" w:color="000000" w:fill="DBE5F1"/>
            <w:vAlign w:val="center"/>
            <w:hideMark/>
          </w:tcPr>
          <w:p w14:paraId="71A79E79"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11 986</w:t>
            </w:r>
          </w:p>
        </w:tc>
        <w:tc>
          <w:tcPr>
            <w:tcW w:w="1192" w:type="dxa"/>
            <w:tcBorders>
              <w:top w:val="nil"/>
              <w:left w:val="nil"/>
              <w:bottom w:val="single" w:sz="8" w:space="0" w:color="95B3D7"/>
              <w:right w:val="single" w:sz="8" w:space="0" w:color="95B3D7"/>
            </w:tcBorders>
            <w:shd w:val="clear" w:color="000000" w:fill="DBE5F1"/>
            <w:vAlign w:val="center"/>
            <w:hideMark/>
          </w:tcPr>
          <w:p w14:paraId="46777175"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4 255</w:t>
            </w:r>
          </w:p>
        </w:tc>
        <w:tc>
          <w:tcPr>
            <w:tcW w:w="1051" w:type="dxa"/>
            <w:tcBorders>
              <w:top w:val="nil"/>
              <w:left w:val="nil"/>
              <w:bottom w:val="single" w:sz="8" w:space="0" w:color="95B3D7"/>
              <w:right w:val="single" w:sz="8" w:space="0" w:color="95B3D7"/>
            </w:tcBorders>
            <w:shd w:val="clear" w:color="000000" w:fill="DBE5F1"/>
            <w:noWrap/>
            <w:vAlign w:val="center"/>
            <w:hideMark/>
          </w:tcPr>
          <w:p w14:paraId="6F4865C0"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w:t>
            </w:r>
          </w:p>
        </w:tc>
        <w:tc>
          <w:tcPr>
            <w:tcW w:w="829" w:type="dxa"/>
            <w:tcBorders>
              <w:top w:val="nil"/>
              <w:left w:val="nil"/>
              <w:bottom w:val="single" w:sz="8" w:space="0" w:color="95B3D7"/>
              <w:right w:val="single" w:sz="8" w:space="0" w:color="95B3D7"/>
            </w:tcBorders>
            <w:shd w:val="clear" w:color="000000" w:fill="DBE5F1"/>
            <w:noWrap/>
            <w:vAlign w:val="center"/>
            <w:hideMark/>
          </w:tcPr>
          <w:p w14:paraId="47746532"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4,50%</w:t>
            </w:r>
          </w:p>
        </w:tc>
        <w:tc>
          <w:tcPr>
            <w:tcW w:w="830" w:type="dxa"/>
            <w:tcBorders>
              <w:top w:val="nil"/>
              <w:left w:val="nil"/>
              <w:bottom w:val="single" w:sz="8" w:space="0" w:color="95B3D7"/>
              <w:right w:val="single" w:sz="8" w:space="0" w:color="95B3D7"/>
            </w:tcBorders>
            <w:shd w:val="clear" w:color="000000" w:fill="DBE5F1"/>
            <w:noWrap/>
            <w:vAlign w:val="center"/>
            <w:hideMark/>
          </w:tcPr>
          <w:p w14:paraId="575AFF1D"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000000" w:fill="DBE5F1"/>
            <w:noWrap/>
            <w:vAlign w:val="center"/>
            <w:hideMark/>
          </w:tcPr>
          <w:p w14:paraId="58F9CE1B"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259 614</w:t>
            </w:r>
          </w:p>
        </w:tc>
      </w:tr>
      <w:tr w:rsidR="00FA06C6" w:rsidRPr="00C21D04" w14:paraId="464646B7"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6E76D5DA"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FRE</w:t>
            </w:r>
          </w:p>
        </w:tc>
        <w:tc>
          <w:tcPr>
            <w:tcW w:w="987" w:type="dxa"/>
            <w:tcBorders>
              <w:top w:val="nil"/>
              <w:left w:val="nil"/>
              <w:bottom w:val="single" w:sz="8" w:space="0" w:color="95B3D7"/>
              <w:right w:val="single" w:sz="8" w:space="0" w:color="95B3D7"/>
            </w:tcBorders>
            <w:shd w:val="clear" w:color="auto" w:fill="auto"/>
            <w:vAlign w:val="center"/>
            <w:hideMark/>
          </w:tcPr>
          <w:p w14:paraId="5FF702CF"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59 768</w:t>
            </w:r>
          </w:p>
        </w:tc>
        <w:tc>
          <w:tcPr>
            <w:tcW w:w="1192" w:type="dxa"/>
            <w:tcBorders>
              <w:top w:val="nil"/>
              <w:left w:val="nil"/>
              <w:bottom w:val="single" w:sz="8" w:space="0" w:color="95B3D7"/>
              <w:right w:val="single" w:sz="8" w:space="0" w:color="95B3D7"/>
            </w:tcBorders>
            <w:shd w:val="clear" w:color="auto" w:fill="auto"/>
            <w:vAlign w:val="center"/>
            <w:hideMark/>
          </w:tcPr>
          <w:p w14:paraId="22339E49"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18 200</w:t>
            </w:r>
          </w:p>
        </w:tc>
        <w:tc>
          <w:tcPr>
            <w:tcW w:w="1051" w:type="dxa"/>
            <w:tcBorders>
              <w:top w:val="nil"/>
              <w:left w:val="nil"/>
              <w:bottom w:val="single" w:sz="8" w:space="0" w:color="95B3D7"/>
              <w:right w:val="single" w:sz="8" w:space="0" w:color="95B3D7"/>
            </w:tcBorders>
            <w:shd w:val="clear" w:color="auto" w:fill="auto"/>
            <w:noWrap/>
            <w:vAlign w:val="center"/>
            <w:hideMark/>
          </w:tcPr>
          <w:p w14:paraId="314C1D4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829" w:type="dxa"/>
            <w:tcBorders>
              <w:top w:val="nil"/>
              <w:left w:val="nil"/>
              <w:bottom w:val="single" w:sz="8" w:space="0" w:color="95B3D7"/>
              <w:right w:val="single" w:sz="8" w:space="0" w:color="95B3D7"/>
            </w:tcBorders>
            <w:shd w:val="clear" w:color="auto" w:fill="auto"/>
            <w:noWrap/>
            <w:vAlign w:val="center"/>
            <w:hideMark/>
          </w:tcPr>
          <w:p w14:paraId="500B0C12"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w:t>
            </w:r>
          </w:p>
        </w:tc>
        <w:tc>
          <w:tcPr>
            <w:tcW w:w="830" w:type="dxa"/>
            <w:tcBorders>
              <w:top w:val="nil"/>
              <w:left w:val="nil"/>
              <w:bottom w:val="single" w:sz="8" w:space="0" w:color="95B3D7"/>
              <w:right w:val="single" w:sz="8" w:space="0" w:color="95B3D7"/>
            </w:tcBorders>
            <w:shd w:val="clear" w:color="auto" w:fill="auto"/>
            <w:noWrap/>
            <w:vAlign w:val="center"/>
            <w:hideMark/>
          </w:tcPr>
          <w:p w14:paraId="52DAF6FD"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354229B1"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183 377</w:t>
            </w:r>
          </w:p>
        </w:tc>
      </w:tr>
      <w:tr w:rsidR="00C21D04" w:rsidRPr="00C21D04" w14:paraId="4FB579D2" w14:textId="77777777" w:rsidTr="00996E71">
        <w:trPr>
          <w:trHeight w:val="666"/>
          <w:jc w:val="center"/>
        </w:trPr>
        <w:tc>
          <w:tcPr>
            <w:tcW w:w="3844" w:type="dxa"/>
            <w:tcBorders>
              <w:top w:val="nil"/>
              <w:left w:val="single" w:sz="8" w:space="0" w:color="95B3D7"/>
              <w:bottom w:val="single" w:sz="8" w:space="0" w:color="95B3D7"/>
              <w:right w:val="single" w:sz="8" w:space="0" w:color="95B3D7"/>
            </w:tcBorders>
            <w:shd w:val="clear" w:color="000000" w:fill="DBE5F1"/>
            <w:noWrap/>
            <w:vAlign w:val="center"/>
            <w:hideMark/>
          </w:tcPr>
          <w:p w14:paraId="1113A50A"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FVENTLOT</w:t>
            </w:r>
          </w:p>
        </w:tc>
        <w:tc>
          <w:tcPr>
            <w:tcW w:w="987" w:type="dxa"/>
            <w:tcBorders>
              <w:top w:val="nil"/>
              <w:left w:val="nil"/>
              <w:bottom w:val="single" w:sz="8" w:space="0" w:color="95B3D7"/>
              <w:right w:val="single" w:sz="8" w:space="0" w:color="95B3D7"/>
            </w:tcBorders>
            <w:shd w:val="clear" w:color="000000" w:fill="DBE5F1"/>
            <w:vAlign w:val="center"/>
            <w:hideMark/>
          </w:tcPr>
          <w:p w14:paraId="39AF19D8"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1 753</w:t>
            </w:r>
          </w:p>
        </w:tc>
        <w:tc>
          <w:tcPr>
            <w:tcW w:w="1192" w:type="dxa"/>
            <w:tcBorders>
              <w:top w:val="nil"/>
              <w:left w:val="nil"/>
              <w:bottom w:val="single" w:sz="8" w:space="0" w:color="95B3D7"/>
              <w:right w:val="single" w:sz="8" w:space="0" w:color="95B3D7"/>
            </w:tcBorders>
            <w:shd w:val="clear" w:color="000000" w:fill="DBE5F1"/>
            <w:vAlign w:val="center"/>
            <w:hideMark/>
          </w:tcPr>
          <w:p w14:paraId="0D7F4991" w14:textId="1F2C2E36"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478</w:t>
            </w:r>
          </w:p>
        </w:tc>
        <w:tc>
          <w:tcPr>
            <w:tcW w:w="1051" w:type="dxa"/>
            <w:tcBorders>
              <w:top w:val="nil"/>
              <w:left w:val="nil"/>
              <w:bottom w:val="single" w:sz="8" w:space="0" w:color="95B3D7"/>
              <w:right w:val="single" w:sz="8" w:space="0" w:color="95B3D7"/>
            </w:tcBorders>
            <w:shd w:val="clear" w:color="000000" w:fill="DBE5F1"/>
            <w:vAlign w:val="center"/>
            <w:hideMark/>
          </w:tcPr>
          <w:p w14:paraId="6735E7D6" w14:textId="77777777" w:rsidR="00C21D04" w:rsidRPr="00C21D04" w:rsidRDefault="00C21D04" w:rsidP="00C21D04">
            <w:pPr>
              <w:spacing w:after="0" w:line="240" w:lineRule="auto"/>
              <w:jc w:val="center"/>
              <w:rPr>
                <w:rFonts w:ascii="Calibri" w:eastAsia="Times New Roman" w:hAnsi="Calibri" w:cs="Calibri"/>
                <w:sz w:val="16"/>
                <w:szCs w:val="16"/>
                <w:lang w:val="es-CR" w:eastAsia="es-CR"/>
              </w:rPr>
            </w:pPr>
            <w:r w:rsidRPr="00C21D04">
              <w:rPr>
                <w:rFonts w:ascii="Calibri" w:eastAsia="Times New Roman" w:hAnsi="Calibri" w:cs="Calibri"/>
                <w:sz w:val="16"/>
                <w:szCs w:val="16"/>
                <w:lang w:val="es-CR" w:eastAsia="es-CR"/>
              </w:rPr>
              <w:t>0,25% del monto aportado por Patrono</w:t>
            </w:r>
          </w:p>
        </w:tc>
        <w:tc>
          <w:tcPr>
            <w:tcW w:w="829" w:type="dxa"/>
            <w:tcBorders>
              <w:top w:val="nil"/>
              <w:left w:val="nil"/>
              <w:bottom w:val="single" w:sz="8" w:space="0" w:color="95B3D7"/>
              <w:right w:val="single" w:sz="8" w:space="0" w:color="95B3D7"/>
            </w:tcBorders>
            <w:shd w:val="clear" w:color="000000" w:fill="DBE5F1"/>
            <w:vAlign w:val="center"/>
            <w:hideMark/>
          </w:tcPr>
          <w:p w14:paraId="1A0BE45F" w14:textId="77777777" w:rsidR="00C21D04" w:rsidRPr="00C21D04" w:rsidRDefault="00C21D04" w:rsidP="00C21D04">
            <w:pPr>
              <w:spacing w:after="0" w:line="240" w:lineRule="auto"/>
              <w:jc w:val="center"/>
              <w:rPr>
                <w:rFonts w:ascii="Calibri" w:eastAsia="Times New Roman" w:hAnsi="Calibri" w:cs="Calibri"/>
                <w:sz w:val="16"/>
                <w:szCs w:val="16"/>
                <w:lang w:val="es-CR" w:eastAsia="es-CR"/>
              </w:rPr>
            </w:pPr>
            <w:r w:rsidRPr="00C21D04">
              <w:rPr>
                <w:rFonts w:ascii="Calibri" w:eastAsia="Times New Roman" w:hAnsi="Calibri" w:cs="Calibri"/>
                <w:sz w:val="16"/>
                <w:szCs w:val="16"/>
                <w:lang w:val="es-CR" w:eastAsia="es-CR"/>
              </w:rPr>
              <w:t>1% de ventas de lotería</w:t>
            </w:r>
          </w:p>
        </w:tc>
        <w:tc>
          <w:tcPr>
            <w:tcW w:w="830" w:type="dxa"/>
            <w:tcBorders>
              <w:top w:val="nil"/>
              <w:left w:val="nil"/>
              <w:bottom w:val="single" w:sz="8" w:space="0" w:color="95B3D7"/>
              <w:right w:val="single" w:sz="8" w:space="0" w:color="95B3D7"/>
            </w:tcBorders>
            <w:shd w:val="clear" w:color="000000" w:fill="DBE5F1"/>
            <w:noWrap/>
            <w:vAlign w:val="center"/>
            <w:hideMark/>
          </w:tcPr>
          <w:p w14:paraId="5544CC0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000000" w:fill="DBE5F1"/>
            <w:noWrap/>
            <w:vAlign w:val="center"/>
            <w:hideMark/>
          </w:tcPr>
          <w:p w14:paraId="4B5324BE"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252 418</w:t>
            </w:r>
          </w:p>
        </w:tc>
      </w:tr>
      <w:tr w:rsidR="00FA06C6" w:rsidRPr="00C21D04" w14:paraId="6DE8257E"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000F3D3E"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FBCR</w:t>
            </w:r>
          </w:p>
        </w:tc>
        <w:tc>
          <w:tcPr>
            <w:tcW w:w="987" w:type="dxa"/>
            <w:tcBorders>
              <w:top w:val="nil"/>
              <w:left w:val="nil"/>
              <w:bottom w:val="single" w:sz="8" w:space="0" w:color="95B3D7"/>
              <w:right w:val="single" w:sz="8" w:space="0" w:color="95B3D7"/>
            </w:tcBorders>
            <w:shd w:val="clear" w:color="auto" w:fill="auto"/>
            <w:vAlign w:val="center"/>
            <w:hideMark/>
          </w:tcPr>
          <w:p w14:paraId="63AD1FBB"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3 906</w:t>
            </w:r>
          </w:p>
        </w:tc>
        <w:tc>
          <w:tcPr>
            <w:tcW w:w="1192" w:type="dxa"/>
            <w:tcBorders>
              <w:top w:val="nil"/>
              <w:left w:val="nil"/>
              <w:bottom w:val="single" w:sz="8" w:space="0" w:color="95B3D7"/>
              <w:right w:val="single" w:sz="8" w:space="0" w:color="95B3D7"/>
            </w:tcBorders>
            <w:shd w:val="clear" w:color="auto" w:fill="auto"/>
            <w:vAlign w:val="center"/>
            <w:hideMark/>
          </w:tcPr>
          <w:p w14:paraId="03A72939" w14:textId="70F34C90"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30</w:t>
            </w:r>
          </w:p>
        </w:tc>
        <w:tc>
          <w:tcPr>
            <w:tcW w:w="1051" w:type="dxa"/>
            <w:tcBorders>
              <w:top w:val="nil"/>
              <w:left w:val="nil"/>
              <w:bottom w:val="single" w:sz="8" w:space="0" w:color="95B3D7"/>
              <w:right w:val="single" w:sz="8" w:space="0" w:color="95B3D7"/>
            </w:tcBorders>
            <w:shd w:val="clear" w:color="auto" w:fill="auto"/>
            <w:noWrap/>
            <w:vAlign w:val="center"/>
            <w:hideMark/>
          </w:tcPr>
          <w:p w14:paraId="3EE51A1E"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0,50%</w:t>
            </w:r>
          </w:p>
        </w:tc>
        <w:tc>
          <w:tcPr>
            <w:tcW w:w="829" w:type="dxa"/>
            <w:tcBorders>
              <w:top w:val="nil"/>
              <w:left w:val="nil"/>
              <w:bottom w:val="single" w:sz="8" w:space="0" w:color="95B3D7"/>
              <w:right w:val="single" w:sz="8" w:space="0" w:color="95B3D7"/>
            </w:tcBorders>
            <w:shd w:val="clear" w:color="auto" w:fill="auto"/>
            <w:noWrap/>
            <w:vAlign w:val="center"/>
            <w:hideMark/>
          </w:tcPr>
          <w:p w14:paraId="7627C364"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10%</w:t>
            </w:r>
          </w:p>
        </w:tc>
        <w:tc>
          <w:tcPr>
            <w:tcW w:w="830" w:type="dxa"/>
            <w:tcBorders>
              <w:top w:val="nil"/>
              <w:left w:val="nil"/>
              <w:bottom w:val="single" w:sz="8" w:space="0" w:color="95B3D7"/>
              <w:right w:val="single" w:sz="8" w:space="0" w:color="95B3D7"/>
            </w:tcBorders>
            <w:shd w:val="clear" w:color="auto" w:fill="auto"/>
            <w:noWrap/>
            <w:vAlign w:val="center"/>
            <w:hideMark/>
          </w:tcPr>
          <w:p w14:paraId="6E7FD30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38CEBAFC"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88 554</w:t>
            </w:r>
          </w:p>
        </w:tc>
      </w:tr>
      <w:tr w:rsidR="00C21D04" w:rsidRPr="00C21D04" w14:paraId="20C136F6"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000000" w:fill="DBE5F1"/>
            <w:noWrap/>
            <w:vAlign w:val="center"/>
            <w:hideMark/>
          </w:tcPr>
          <w:p w14:paraId="7DF34BB4"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 xml:space="preserve">   FICT</w:t>
            </w:r>
          </w:p>
        </w:tc>
        <w:tc>
          <w:tcPr>
            <w:tcW w:w="987" w:type="dxa"/>
            <w:tcBorders>
              <w:top w:val="nil"/>
              <w:left w:val="nil"/>
              <w:bottom w:val="single" w:sz="8" w:space="0" w:color="95B3D7"/>
              <w:right w:val="single" w:sz="8" w:space="0" w:color="95B3D7"/>
            </w:tcBorders>
            <w:shd w:val="clear" w:color="000000" w:fill="DBE5F1"/>
            <w:vAlign w:val="center"/>
            <w:hideMark/>
          </w:tcPr>
          <w:p w14:paraId="79AC3F2F"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287</w:t>
            </w:r>
          </w:p>
        </w:tc>
        <w:tc>
          <w:tcPr>
            <w:tcW w:w="1192" w:type="dxa"/>
            <w:tcBorders>
              <w:top w:val="nil"/>
              <w:left w:val="nil"/>
              <w:bottom w:val="single" w:sz="8" w:space="0" w:color="95B3D7"/>
              <w:right w:val="single" w:sz="8" w:space="0" w:color="95B3D7"/>
            </w:tcBorders>
            <w:shd w:val="clear" w:color="000000" w:fill="DBE5F1"/>
            <w:vAlign w:val="center"/>
            <w:hideMark/>
          </w:tcPr>
          <w:p w14:paraId="6000E595"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1051" w:type="dxa"/>
            <w:tcBorders>
              <w:top w:val="nil"/>
              <w:left w:val="nil"/>
              <w:bottom w:val="single" w:sz="8" w:space="0" w:color="95B3D7"/>
              <w:right w:val="single" w:sz="8" w:space="0" w:color="95B3D7"/>
            </w:tcBorders>
            <w:shd w:val="clear" w:color="000000" w:fill="DBE5F1"/>
            <w:noWrap/>
            <w:vAlign w:val="center"/>
            <w:hideMark/>
          </w:tcPr>
          <w:p w14:paraId="1D747A8B"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829" w:type="dxa"/>
            <w:tcBorders>
              <w:top w:val="nil"/>
              <w:left w:val="nil"/>
              <w:bottom w:val="single" w:sz="8" w:space="0" w:color="95B3D7"/>
              <w:right w:val="single" w:sz="8" w:space="0" w:color="95B3D7"/>
            </w:tcBorders>
            <w:shd w:val="clear" w:color="000000" w:fill="DBE5F1"/>
            <w:noWrap/>
            <w:vAlign w:val="center"/>
            <w:hideMark/>
          </w:tcPr>
          <w:p w14:paraId="188DF22D"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5%</w:t>
            </w:r>
          </w:p>
        </w:tc>
        <w:tc>
          <w:tcPr>
            <w:tcW w:w="830" w:type="dxa"/>
            <w:tcBorders>
              <w:top w:val="nil"/>
              <w:left w:val="nil"/>
              <w:bottom w:val="single" w:sz="8" w:space="0" w:color="95B3D7"/>
              <w:right w:val="single" w:sz="8" w:space="0" w:color="95B3D7"/>
            </w:tcBorders>
            <w:shd w:val="clear" w:color="000000" w:fill="DBE5F1"/>
            <w:noWrap/>
            <w:vAlign w:val="center"/>
            <w:hideMark/>
          </w:tcPr>
          <w:p w14:paraId="18906D5C"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000000" w:fill="DBE5F1"/>
            <w:noWrap/>
            <w:vAlign w:val="center"/>
            <w:hideMark/>
          </w:tcPr>
          <w:p w14:paraId="77C0210F"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r>
      <w:tr w:rsidR="00FA06C6" w:rsidRPr="00C21D04" w14:paraId="77EA1D1B"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2F662E3F"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Régimen Obligatorio Complementario (ROP)</w:t>
            </w:r>
          </w:p>
        </w:tc>
        <w:tc>
          <w:tcPr>
            <w:tcW w:w="987" w:type="dxa"/>
            <w:tcBorders>
              <w:top w:val="nil"/>
              <w:left w:val="nil"/>
              <w:bottom w:val="single" w:sz="8" w:space="0" w:color="95B3D7"/>
              <w:right w:val="single" w:sz="8" w:space="0" w:color="95B3D7"/>
            </w:tcBorders>
            <w:shd w:val="clear" w:color="auto" w:fill="auto"/>
            <w:vAlign w:val="center"/>
            <w:hideMark/>
          </w:tcPr>
          <w:p w14:paraId="7E08E72C" w14:textId="40CD153E"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2 797 801</w:t>
            </w:r>
          </w:p>
        </w:tc>
        <w:tc>
          <w:tcPr>
            <w:tcW w:w="1192" w:type="dxa"/>
            <w:tcBorders>
              <w:top w:val="nil"/>
              <w:left w:val="nil"/>
              <w:bottom w:val="single" w:sz="8" w:space="0" w:color="95B3D7"/>
              <w:right w:val="single" w:sz="8" w:space="0" w:color="95B3D7"/>
            </w:tcBorders>
            <w:shd w:val="clear" w:color="auto" w:fill="auto"/>
            <w:vAlign w:val="center"/>
            <w:hideMark/>
          </w:tcPr>
          <w:p w14:paraId="36997D58"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7 659</w:t>
            </w:r>
          </w:p>
        </w:tc>
        <w:tc>
          <w:tcPr>
            <w:tcW w:w="1051" w:type="dxa"/>
            <w:tcBorders>
              <w:top w:val="nil"/>
              <w:left w:val="nil"/>
              <w:bottom w:val="single" w:sz="8" w:space="0" w:color="95B3D7"/>
              <w:right w:val="single" w:sz="8" w:space="0" w:color="95B3D7"/>
            </w:tcBorders>
            <w:shd w:val="clear" w:color="auto" w:fill="auto"/>
            <w:noWrap/>
            <w:vAlign w:val="center"/>
            <w:hideMark/>
          </w:tcPr>
          <w:p w14:paraId="396A6446"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w:t>
            </w:r>
          </w:p>
        </w:tc>
        <w:tc>
          <w:tcPr>
            <w:tcW w:w="829" w:type="dxa"/>
            <w:tcBorders>
              <w:top w:val="nil"/>
              <w:left w:val="nil"/>
              <w:bottom w:val="single" w:sz="8" w:space="0" w:color="95B3D7"/>
              <w:right w:val="single" w:sz="8" w:space="0" w:color="95B3D7"/>
            </w:tcBorders>
            <w:shd w:val="clear" w:color="auto" w:fill="auto"/>
            <w:noWrap/>
            <w:vAlign w:val="center"/>
            <w:hideMark/>
          </w:tcPr>
          <w:p w14:paraId="419599F6"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3,25%</w:t>
            </w:r>
          </w:p>
        </w:tc>
        <w:tc>
          <w:tcPr>
            <w:tcW w:w="830" w:type="dxa"/>
            <w:tcBorders>
              <w:top w:val="nil"/>
              <w:left w:val="nil"/>
              <w:bottom w:val="single" w:sz="8" w:space="0" w:color="95B3D7"/>
              <w:right w:val="single" w:sz="8" w:space="0" w:color="95B3D7"/>
            </w:tcBorders>
            <w:shd w:val="clear" w:color="auto" w:fill="auto"/>
            <w:noWrap/>
            <w:vAlign w:val="center"/>
            <w:hideMark/>
          </w:tcPr>
          <w:p w14:paraId="2340459D"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73BB6A4E"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109 298</w:t>
            </w:r>
          </w:p>
        </w:tc>
      </w:tr>
      <w:tr w:rsidR="00C21D04" w:rsidRPr="00C21D04" w14:paraId="11B4F306"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000000" w:fill="DBE5F1"/>
            <w:noWrap/>
            <w:vAlign w:val="center"/>
            <w:hideMark/>
          </w:tcPr>
          <w:p w14:paraId="6B6B8EDD"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Planes Voluntarios</w:t>
            </w:r>
          </w:p>
        </w:tc>
        <w:tc>
          <w:tcPr>
            <w:tcW w:w="987" w:type="dxa"/>
            <w:tcBorders>
              <w:top w:val="nil"/>
              <w:left w:val="nil"/>
              <w:bottom w:val="single" w:sz="8" w:space="0" w:color="95B3D7"/>
              <w:right w:val="single" w:sz="8" w:space="0" w:color="95B3D7"/>
            </w:tcBorders>
            <w:shd w:val="clear" w:color="000000" w:fill="DBE5F1"/>
            <w:vAlign w:val="center"/>
            <w:hideMark/>
          </w:tcPr>
          <w:p w14:paraId="1854B072"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161 332</w:t>
            </w:r>
          </w:p>
        </w:tc>
        <w:tc>
          <w:tcPr>
            <w:tcW w:w="1192" w:type="dxa"/>
            <w:tcBorders>
              <w:top w:val="nil"/>
              <w:left w:val="nil"/>
              <w:bottom w:val="single" w:sz="8" w:space="0" w:color="95B3D7"/>
              <w:right w:val="single" w:sz="8" w:space="0" w:color="95B3D7"/>
            </w:tcBorders>
            <w:shd w:val="clear" w:color="000000" w:fill="DBE5F1"/>
            <w:noWrap/>
            <w:vAlign w:val="center"/>
            <w:hideMark/>
          </w:tcPr>
          <w:p w14:paraId="0401B825"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1051" w:type="dxa"/>
            <w:tcBorders>
              <w:top w:val="nil"/>
              <w:left w:val="nil"/>
              <w:bottom w:val="single" w:sz="8" w:space="0" w:color="95B3D7"/>
              <w:right w:val="single" w:sz="8" w:space="0" w:color="95B3D7"/>
            </w:tcBorders>
            <w:shd w:val="clear" w:color="000000" w:fill="DBE5F1"/>
            <w:vAlign w:val="center"/>
            <w:hideMark/>
          </w:tcPr>
          <w:p w14:paraId="510215CB"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Libre</w:t>
            </w:r>
          </w:p>
        </w:tc>
        <w:tc>
          <w:tcPr>
            <w:tcW w:w="829" w:type="dxa"/>
            <w:tcBorders>
              <w:top w:val="nil"/>
              <w:left w:val="nil"/>
              <w:bottom w:val="single" w:sz="8" w:space="0" w:color="95B3D7"/>
              <w:right w:val="single" w:sz="8" w:space="0" w:color="95B3D7"/>
            </w:tcBorders>
            <w:shd w:val="clear" w:color="000000" w:fill="DBE5F1"/>
            <w:noWrap/>
            <w:vAlign w:val="center"/>
            <w:hideMark/>
          </w:tcPr>
          <w:p w14:paraId="580AE8FB"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830" w:type="dxa"/>
            <w:tcBorders>
              <w:top w:val="nil"/>
              <w:left w:val="nil"/>
              <w:bottom w:val="single" w:sz="8" w:space="0" w:color="95B3D7"/>
              <w:right w:val="single" w:sz="8" w:space="0" w:color="95B3D7"/>
            </w:tcBorders>
            <w:shd w:val="clear" w:color="000000" w:fill="DBE5F1"/>
            <w:noWrap/>
            <w:vAlign w:val="center"/>
            <w:hideMark/>
          </w:tcPr>
          <w:p w14:paraId="3598D607"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000000" w:fill="DBE5F1"/>
            <w:noWrap/>
            <w:vAlign w:val="center"/>
            <w:hideMark/>
          </w:tcPr>
          <w:p w14:paraId="43579326"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NA</w:t>
            </w:r>
          </w:p>
        </w:tc>
      </w:tr>
      <w:tr w:rsidR="00FA06C6" w:rsidRPr="00C21D04" w14:paraId="0DC01330" w14:textId="77777777" w:rsidTr="00996E71">
        <w:trPr>
          <w:trHeight w:val="229"/>
          <w:jc w:val="center"/>
        </w:trPr>
        <w:tc>
          <w:tcPr>
            <w:tcW w:w="3844" w:type="dxa"/>
            <w:tcBorders>
              <w:top w:val="nil"/>
              <w:left w:val="single" w:sz="8" w:space="0" w:color="95B3D7"/>
              <w:bottom w:val="single" w:sz="8" w:space="0" w:color="95B3D7"/>
              <w:right w:val="single" w:sz="8" w:space="0" w:color="95B3D7"/>
            </w:tcBorders>
            <w:shd w:val="clear" w:color="auto" w:fill="auto"/>
            <w:noWrap/>
            <w:vAlign w:val="center"/>
            <w:hideMark/>
          </w:tcPr>
          <w:p w14:paraId="65DBD4F7" w14:textId="77777777" w:rsidR="00C21D04" w:rsidRPr="00C21D04" w:rsidRDefault="00C21D04" w:rsidP="00C21D04">
            <w:pPr>
              <w:spacing w:after="0" w:line="240" w:lineRule="auto"/>
              <w:rPr>
                <w:rFonts w:ascii="Calibri" w:eastAsia="Times New Roman" w:hAnsi="Calibri" w:cs="Calibri"/>
                <w:b/>
                <w:bCs/>
                <w:color w:val="000000"/>
                <w:sz w:val="20"/>
                <w:szCs w:val="20"/>
                <w:lang w:val="es-CR" w:eastAsia="es-CR"/>
              </w:rPr>
            </w:pPr>
            <w:r w:rsidRPr="00C21D04">
              <w:rPr>
                <w:rFonts w:ascii="Calibri" w:eastAsia="Times New Roman" w:hAnsi="Calibri" w:cs="Calibri"/>
                <w:b/>
                <w:bCs/>
                <w:color w:val="000000"/>
                <w:sz w:val="20"/>
                <w:szCs w:val="20"/>
                <w:lang w:val="es-CR" w:eastAsia="es-CR"/>
              </w:rPr>
              <w:t>Fondo de Capitalización Laboral (FCL)</w:t>
            </w:r>
          </w:p>
        </w:tc>
        <w:tc>
          <w:tcPr>
            <w:tcW w:w="987" w:type="dxa"/>
            <w:tcBorders>
              <w:top w:val="nil"/>
              <w:left w:val="nil"/>
              <w:bottom w:val="single" w:sz="8" w:space="0" w:color="95B3D7"/>
              <w:right w:val="single" w:sz="8" w:space="0" w:color="95B3D7"/>
            </w:tcBorders>
            <w:shd w:val="clear" w:color="auto" w:fill="auto"/>
            <w:vAlign w:val="center"/>
            <w:hideMark/>
          </w:tcPr>
          <w:p w14:paraId="3D85F2E1" w14:textId="16B4B8C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2 346 920</w:t>
            </w:r>
          </w:p>
        </w:tc>
        <w:tc>
          <w:tcPr>
            <w:tcW w:w="1192" w:type="dxa"/>
            <w:tcBorders>
              <w:top w:val="nil"/>
              <w:left w:val="nil"/>
              <w:bottom w:val="single" w:sz="8" w:space="0" w:color="95B3D7"/>
              <w:right w:val="single" w:sz="8" w:space="0" w:color="95B3D7"/>
            </w:tcBorders>
            <w:shd w:val="clear" w:color="auto" w:fill="auto"/>
            <w:noWrap/>
            <w:vAlign w:val="center"/>
            <w:hideMark/>
          </w:tcPr>
          <w:p w14:paraId="56C371D6"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NA</w:t>
            </w:r>
          </w:p>
        </w:tc>
        <w:tc>
          <w:tcPr>
            <w:tcW w:w="1051" w:type="dxa"/>
            <w:tcBorders>
              <w:top w:val="nil"/>
              <w:left w:val="nil"/>
              <w:bottom w:val="single" w:sz="8" w:space="0" w:color="95B3D7"/>
              <w:right w:val="single" w:sz="8" w:space="0" w:color="95B3D7"/>
            </w:tcBorders>
            <w:shd w:val="clear" w:color="auto" w:fill="auto"/>
            <w:noWrap/>
            <w:vAlign w:val="center"/>
            <w:hideMark/>
          </w:tcPr>
          <w:p w14:paraId="22F2FF40"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1,50%</w:t>
            </w:r>
          </w:p>
        </w:tc>
        <w:tc>
          <w:tcPr>
            <w:tcW w:w="829" w:type="dxa"/>
            <w:tcBorders>
              <w:top w:val="nil"/>
              <w:left w:val="nil"/>
              <w:bottom w:val="single" w:sz="8" w:space="0" w:color="95B3D7"/>
              <w:right w:val="single" w:sz="8" w:space="0" w:color="95B3D7"/>
            </w:tcBorders>
            <w:shd w:val="clear" w:color="auto" w:fill="auto"/>
            <w:noWrap/>
            <w:vAlign w:val="center"/>
            <w:hideMark/>
          </w:tcPr>
          <w:p w14:paraId="5F37124A"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830" w:type="dxa"/>
            <w:tcBorders>
              <w:top w:val="nil"/>
              <w:left w:val="nil"/>
              <w:bottom w:val="single" w:sz="8" w:space="0" w:color="95B3D7"/>
              <w:right w:val="single" w:sz="8" w:space="0" w:color="95B3D7"/>
            </w:tcBorders>
            <w:shd w:val="clear" w:color="auto" w:fill="auto"/>
            <w:noWrap/>
            <w:vAlign w:val="center"/>
            <w:hideMark/>
          </w:tcPr>
          <w:p w14:paraId="5EC58B21" w14:textId="77777777" w:rsidR="00C21D04" w:rsidRPr="00C21D04" w:rsidRDefault="00C21D04" w:rsidP="00FA06C6">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0%</w:t>
            </w:r>
          </w:p>
        </w:tc>
        <w:tc>
          <w:tcPr>
            <w:tcW w:w="967" w:type="dxa"/>
            <w:tcBorders>
              <w:top w:val="nil"/>
              <w:left w:val="nil"/>
              <w:bottom w:val="single" w:sz="8" w:space="0" w:color="95B3D7"/>
              <w:right w:val="single" w:sz="8" w:space="0" w:color="95B3D7"/>
            </w:tcBorders>
            <w:shd w:val="clear" w:color="auto" w:fill="auto"/>
            <w:noWrap/>
            <w:vAlign w:val="center"/>
            <w:hideMark/>
          </w:tcPr>
          <w:p w14:paraId="5B77608E" w14:textId="77777777" w:rsidR="00C21D04" w:rsidRPr="00C21D04" w:rsidRDefault="00C21D04" w:rsidP="00C21D04">
            <w:pPr>
              <w:spacing w:after="0" w:line="240" w:lineRule="auto"/>
              <w:jc w:val="right"/>
              <w:rPr>
                <w:rFonts w:ascii="Calibri" w:eastAsia="Times New Roman" w:hAnsi="Calibri" w:cs="Calibri"/>
                <w:sz w:val="20"/>
                <w:szCs w:val="20"/>
                <w:lang w:val="es-CR" w:eastAsia="es-CR"/>
              </w:rPr>
            </w:pPr>
            <w:r w:rsidRPr="00C21D04">
              <w:rPr>
                <w:rFonts w:ascii="Calibri" w:eastAsia="Times New Roman" w:hAnsi="Calibri" w:cs="Calibri"/>
                <w:sz w:val="20"/>
                <w:szCs w:val="20"/>
                <w:lang w:val="es-CR" w:eastAsia="es-CR"/>
              </w:rPr>
              <w:t>NA</w:t>
            </w:r>
          </w:p>
        </w:tc>
      </w:tr>
    </w:tbl>
    <w:p w14:paraId="560B89ED" w14:textId="77777777" w:rsidR="00996E71" w:rsidRDefault="00996E71" w:rsidP="004B499C">
      <w:pPr>
        <w:pStyle w:val="Descripcin"/>
        <w:spacing w:after="0"/>
        <w:ind w:left="1843"/>
        <w:jc w:val="both"/>
      </w:pPr>
      <w:r>
        <w:t>* Datos de afiliados a noviembre para el RIVM y RCCMN. Último dato disponible.</w:t>
      </w:r>
    </w:p>
    <w:p w14:paraId="13B73F7D" w14:textId="70803CCB" w:rsidR="00996E71" w:rsidRDefault="00996E71" w:rsidP="004B499C">
      <w:pPr>
        <w:pStyle w:val="Descripcin"/>
        <w:spacing w:after="0"/>
        <w:ind w:left="1843"/>
        <w:jc w:val="both"/>
      </w:pPr>
      <w:r>
        <w:t>** Datos de pensionados y monto promedio de pensión a noviembre del 2020 pata régimen básico, sustitutos y ocupacionales complementarios</w:t>
      </w:r>
      <w:r w:rsidR="0068302A">
        <w:t>.</w:t>
      </w:r>
    </w:p>
    <w:p w14:paraId="22EADF01" w14:textId="780B5195" w:rsidR="001B08BD" w:rsidRDefault="00996E71" w:rsidP="004B499C">
      <w:pPr>
        <w:pStyle w:val="Descripcin"/>
        <w:spacing w:after="0"/>
        <w:ind w:left="1843"/>
        <w:jc w:val="both"/>
      </w:pPr>
      <w:r>
        <w:t>*** Cotizan el trabajador y el pensionado</w:t>
      </w:r>
    </w:p>
    <w:p w14:paraId="2DD668B2" w14:textId="465C0529" w:rsidR="00AE03F5" w:rsidRDefault="00F4271C" w:rsidP="004B499C">
      <w:pPr>
        <w:pStyle w:val="Descripcin"/>
        <w:spacing w:after="0"/>
        <w:ind w:left="1843"/>
        <w:jc w:val="both"/>
      </w:pPr>
      <w:r>
        <w:t>Fuente: Elaboración propia</w:t>
      </w:r>
    </w:p>
    <w:p w14:paraId="157B485D" w14:textId="65F0B27E" w:rsidR="00C83D68" w:rsidRDefault="00C83D68" w:rsidP="00C83D68">
      <w:pPr>
        <w:spacing w:after="0" w:line="240" w:lineRule="auto"/>
      </w:pPr>
    </w:p>
    <w:p w14:paraId="3593C724" w14:textId="77777777" w:rsidR="004308B6" w:rsidRPr="004B499C" w:rsidRDefault="006929F8" w:rsidP="00E2531A">
      <w:pPr>
        <w:pStyle w:val="Ttulo2"/>
        <w:numPr>
          <w:ilvl w:val="1"/>
          <w:numId w:val="1"/>
        </w:numPr>
        <w:rPr>
          <w:sz w:val="28"/>
          <w:szCs w:val="28"/>
        </w:rPr>
      </w:pPr>
      <w:bookmarkStart w:id="8" w:name="_Toc64457427"/>
      <w:r w:rsidRPr="004B499C">
        <w:rPr>
          <w:sz w:val="28"/>
          <w:szCs w:val="28"/>
        </w:rPr>
        <w:lastRenderedPageBreak/>
        <w:t>Activos administrados</w:t>
      </w:r>
      <w:bookmarkEnd w:id="8"/>
      <w:r w:rsidR="20532F7E" w:rsidRPr="004B499C">
        <w:rPr>
          <w:sz w:val="28"/>
          <w:szCs w:val="28"/>
        </w:rPr>
        <w:t xml:space="preserve"> </w:t>
      </w:r>
    </w:p>
    <w:p w14:paraId="67F1C288" w14:textId="77777777" w:rsidR="00380159" w:rsidRDefault="00380159" w:rsidP="00841412">
      <w:pPr>
        <w:spacing w:after="0" w:line="240" w:lineRule="auto"/>
        <w:jc w:val="both"/>
      </w:pPr>
    </w:p>
    <w:p w14:paraId="48CBDB7E" w14:textId="6039D87E" w:rsidR="00CA77B1" w:rsidRPr="004B499C" w:rsidRDefault="00CA77B1" w:rsidP="004B499C">
      <w:pPr>
        <w:spacing w:after="0"/>
        <w:jc w:val="both"/>
        <w:rPr>
          <w:sz w:val="24"/>
          <w:szCs w:val="24"/>
        </w:rPr>
      </w:pPr>
      <w:r w:rsidRPr="004B499C">
        <w:rPr>
          <w:sz w:val="24"/>
          <w:szCs w:val="24"/>
        </w:rPr>
        <w:t>El Sistema Nacional de Pensiones (SNP) y el FCL</w:t>
      </w:r>
      <w:r w:rsidR="00681C9F" w:rsidRPr="004B499C">
        <w:rPr>
          <w:sz w:val="24"/>
          <w:szCs w:val="24"/>
        </w:rPr>
        <w:t xml:space="preserve"> </w:t>
      </w:r>
      <w:r w:rsidRPr="004B499C">
        <w:rPr>
          <w:sz w:val="24"/>
          <w:szCs w:val="24"/>
        </w:rPr>
        <w:t xml:space="preserve">administran recursos, a </w:t>
      </w:r>
      <w:r w:rsidR="00EC38EA" w:rsidRPr="004B499C">
        <w:rPr>
          <w:sz w:val="24"/>
          <w:szCs w:val="24"/>
        </w:rPr>
        <w:t>diciembre</w:t>
      </w:r>
      <w:r w:rsidRPr="004B499C">
        <w:rPr>
          <w:sz w:val="24"/>
          <w:szCs w:val="24"/>
        </w:rPr>
        <w:t xml:space="preserve"> del 2020, que totalizan </w:t>
      </w:r>
      <w:r w:rsidR="00C13D0C" w:rsidRPr="004B499C">
        <w:rPr>
          <w:sz w:val="24"/>
          <w:szCs w:val="24"/>
        </w:rPr>
        <w:t>₡</w:t>
      </w:r>
      <w:r w:rsidRPr="004B499C">
        <w:rPr>
          <w:sz w:val="24"/>
          <w:szCs w:val="24"/>
        </w:rPr>
        <w:t>1</w:t>
      </w:r>
      <w:r w:rsidR="0045724B" w:rsidRPr="004B499C">
        <w:rPr>
          <w:sz w:val="24"/>
          <w:szCs w:val="24"/>
        </w:rPr>
        <w:t>7</w:t>
      </w:r>
      <w:r w:rsidRPr="004B499C">
        <w:rPr>
          <w:sz w:val="24"/>
          <w:szCs w:val="24"/>
        </w:rPr>
        <w:t xml:space="preserve"> billones, esto corresponde al </w:t>
      </w:r>
      <w:r w:rsidR="00D53D6E" w:rsidRPr="004B499C">
        <w:rPr>
          <w:sz w:val="24"/>
          <w:szCs w:val="24"/>
        </w:rPr>
        <w:t>4</w:t>
      </w:r>
      <w:r w:rsidR="002D45E5" w:rsidRPr="004B499C">
        <w:rPr>
          <w:sz w:val="24"/>
          <w:szCs w:val="24"/>
        </w:rPr>
        <w:t>8,</w:t>
      </w:r>
      <w:r w:rsidR="005B2109" w:rsidRPr="004B499C">
        <w:rPr>
          <w:sz w:val="24"/>
          <w:szCs w:val="24"/>
        </w:rPr>
        <w:t>8</w:t>
      </w:r>
      <w:r w:rsidRPr="004B499C">
        <w:rPr>
          <w:sz w:val="24"/>
          <w:szCs w:val="24"/>
        </w:rPr>
        <w:t xml:space="preserve">% del PIB. El crecimiento </w:t>
      </w:r>
      <w:r w:rsidR="00110043" w:rsidRPr="004B499C">
        <w:rPr>
          <w:sz w:val="24"/>
          <w:szCs w:val="24"/>
        </w:rPr>
        <w:t xml:space="preserve">durante </w:t>
      </w:r>
      <w:r w:rsidR="009A13F0" w:rsidRPr="004B499C">
        <w:rPr>
          <w:sz w:val="24"/>
          <w:szCs w:val="24"/>
        </w:rPr>
        <w:t>el año</w:t>
      </w:r>
      <w:r w:rsidR="009417A3" w:rsidRPr="004B499C">
        <w:rPr>
          <w:sz w:val="24"/>
          <w:szCs w:val="24"/>
        </w:rPr>
        <w:t xml:space="preserve"> ha sido d</w:t>
      </w:r>
      <w:r w:rsidRPr="004B499C">
        <w:rPr>
          <w:sz w:val="24"/>
          <w:szCs w:val="24"/>
        </w:rPr>
        <w:t xml:space="preserve">el </w:t>
      </w:r>
      <w:r w:rsidR="002D45E5" w:rsidRPr="004B499C">
        <w:rPr>
          <w:sz w:val="24"/>
          <w:szCs w:val="24"/>
        </w:rPr>
        <w:t>1</w:t>
      </w:r>
      <w:r w:rsidR="00982726" w:rsidRPr="004B499C">
        <w:rPr>
          <w:sz w:val="24"/>
          <w:szCs w:val="24"/>
        </w:rPr>
        <w:t>0,9</w:t>
      </w:r>
      <w:r w:rsidRPr="004B499C">
        <w:rPr>
          <w:sz w:val="24"/>
          <w:szCs w:val="24"/>
        </w:rPr>
        <w:t>%</w:t>
      </w:r>
      <w:r w:rsidR="009417A3" w:rsidRPr="004B499C">
        <w:rPr>
          <w:sz w:val="24"/>
          <w:szCs w:val="24"/>
        </w:rPr>
        <w:t>,</w:t>
      </w:r>
      <w:r w:rsidRPr="004B499C">
        <w:rPr>
          <w:sz w:val="24"/>
          <w:szCs w:val="24"/>
        </w:rPr>
        <w:t xml:space="preserve"> </w:t>
      </w:r>
      <w:r w:rsidR="00D76AD1" w:rsidRPr="004B499C">
        <w:rPr>
          <w:rStyle w:val="normaltextrun"/>
          <w:rFonts w:ascii="Calibri" w:hAnsi="Calibri" w:cs="Calibri"/>
          <w:color w:val="000000"/>
          <w:sz w:val="24"/>
          <w:szCs w:val="24"/>
          <w:shd w:val="clear" w:color="auto" w:fill="FFFFFF"/>
        </w:rPr>
        <w:t xml:space="preserve">por debajo </w:t>
      </w:r>
      <w:r w:rsidR="00DB3CE2" w:rsidRPr="004B499C">
        <w:rPr>
          <w:rStyle w:val="normaltextrun"/>
          <w:rFonts w:ascii="Calibri" w:hAnsi="Calibri" w:cs="Calibri"/>
          <w:color w:val="000000"/>
          <w:sz w:val="24"/>
          <w:szCs w:val="24"/>
          <w:shd w:val="clear" w:color="auto" w:fill="FFFFFF"/>
        </w:rPr>
        <w:t>del</w:t>
      </w:r>
      <w:r w:rsidR="00D76AD1" w:rsidRPr="004B499C">
        <w:rPr>
          <w:rStyle w:val="normaltextrun"/>
          <w:rFonts w:ascii="Calibri" w:hAnsi="Calibri" w:cs="Calibri"/>
          <w:color w:val="000000"/>
          <w:sz w:val="24"/>
          <w:szCs w:val="24"/>
          <w:shd w:val="clear" w:color="auto" w:fill="FFFFFF"/>
        </w:rPr>
        <w:t xml:space="preserve"> observado para el mismo periodo el año pasado que fue del </w:t>
      </w:r>
      <w:r w:rsidR="002D45E5" w:rsidRPr="004B499C">
        <w:rPr>
          <w:rStyle w:val="normaltextrun"/>
          <w:rFonts w:ascii="Calibri" w:hAnsi="Calibri" w:cs="Calibri"/>
          <w:color w:val="000000"/>
          <w:sz w:val="24"/>
          <w:szCs w:val="24"/>
          <w:shd w:val="clear" w:color="auto" w:fill="FFFFFF"/>
        </w:rPr>
        <w:t>17,2</w:t>
      </w:r>
      <w:r w:rsidR="00D76AD1" w:rsidRPr="004B499C">
        <w:rPr>
          <w:rStyle w:val="normaltextrun"/>
          <w:rFonts w:ascii="Calibri" w:hAnsi="Calibri" w:cs="Calibri"/>
          <w:color w:val="000000"/>
          <w:sz w:val="24"/>
          <w:szCs w:val="24"/>
          <w:shd w:val="clear" w:color="auto" w:fill="FFFFFF"/>
        </w:rPr>
        <w:t>% y también</w:t>
      </w:r>
      <w:r w:rsidR="006D2F10" w:rsidRPr="004B499C">
        <w:rPr>
          <w:rStyle w:val="normaltextrun"/>
          <w:rFonts w:ascii="Calibri" w:hAnsi="Calibri" w:cs="Calibri"/>
          <w:color w:val="000000"/>
          <w:sz w:val="24"/>
          <w:szCs w:val="24"/>
          <w:shd w:val="clear" w:color="auto" w:fill="FFFFFF"/>
        </w:rPr>
        <w:t>,</w:t>
      </w:r>
      <w:r w:rsidR="00D76AD1" w:rsidRPr="004B499C">
        <w:rPr>
          <w:rStyle w:val="normaltextrun"/>
          <w:rFonts w:ascii="Calibri" w:hAnsi="Calibri" w:cs="Calibri"/>
          <w:color w:val="000000"/>
          <w:sz w:val="24"/>
          <w:szCs w:val="24"/>
          <w:shd w:val="clear" w:color="auto" w:fill="FFFFFF"/>
        </w:rPr>
        <w:t xml:space="preserve"> </w:t>
      </w:r>
      <w:r w:rsidR="00590670" w:rsidRPr="004B499C">
        <w:rPr>
          <w:rStyle w:val="normaltextrun"/>
          <w:rFonts w:ascii="Calibri" w:hAnsi="Calibri" w:cs="Calibri"/>
          <w:color w:val="000000"/>
          <w:sz w:val="24"/>
          <w:szCs w:val="24"/>
          <w:shd w:val="clear" w:color="auto" w:fill="FFFFFF"/>
        </w:rPr>
        <w:t>ba</w:t>
      </w:r>
      <w:r w:rsidR="009417A3" w:rsidRPr="004B499C">
        <w:rPr>
          <w:sz w:val="24"/>
          <w:szCs w:val="24"/>
        </w:rPr>
        <w:t>jo en comparaci</w:t>
      </w:r>
      <w:r w:rsidR="000C6C6E" w:rsidRPr="004B499C">
        <w:rPr>
          <w:sz w:val="24"/>
          <w:szCs w:val="24"/>
        </w:rPr>
        <w:t>ó</w:t>
      </w:r>
      <w:r w:rsidR="009417A3" w:rsidRPr="004B499C">
        <w:rPr>
          <w:sz w:val="24"/>
          <w:szCs w:val="24"/>
        </w:rPr>
        <w:t xml:space="preserve">n con el crecimiento promedio anual de los últimos 10 años que </w:t>
      </w:r>
      <w:r w:rsidRPr="004B499C">
        <w:rPr>
          <w:sz w:val="24"/>
          <w:szCs w:val="24"/>
        </w:rPr>
        <w:t xml:space="preserve">ronda el </w:t>
      </w:r>
      <w:r w:rsidR="009A13F0" w:rsidRPr="004B499C">
        <w:rPr>
          <w:sz w:val="24"/>
          <w:szCs w:val="24"/>
        </w:rPr>
        <w:t>13,</w:t>
      </w:r>
      <w:r w:rsidR="002D45E5" w:rsidRPr="004B499C">
        <w:rPr>
          <w:sz w:val="24"/>
          <w:szCs w:val="24"/>
        </w:rPr>
        <w:t>9</w:t>
      </w:r>
      <w:r w:rsidRPr="004B499C">
        <w:rPr>
          <w:sz w:val="24"/>
          <w:szCs w:val="24"/>
        </w:rPr>
        <w:t>%</w:t>
      </w:r>
      <w:r w:rsidR="00B23D86" w:rsidRPr="004B499C">
        <w:rPr>
          <w:sz w:val="24"/>
          <w:szCs w:val="24"/>
        </w:rPr>
        <w:t>. El crecimiento de los activos</w:t>
      </w:r>
      <w:r w:rsidRPr="004B499C">
        <w:rPr>
          <w:sz w:val="24"/>
          <w:szCs w:val="24"/>
        </w:rPr>
        <w:t xml:space="preserve"> se </w:t>
      </w:r>
      <w:r w:rsidR="009A13F0" w:rsidRPr="004B499C">
        <w:rPr>
          <w:sz w:val="24"/>
          <w:szCs w:val="24"/>
        </w:rPr>
        <w:t xml:space="preserve">explica por el </w:t>
      </w:r>
      <w:r w:rsidR="00B744FE" w:rsidRPr="004B499C">
        <w:rPr>
          <w:sz w:val="24"/>
          <w:szCs w:val="24"/>
        </w:rPr>
        <w:t>ingreso</w:t>
      </w:r>
      <w:r w:rsidRPr="004B499C">
        <w:rPr>
          <w:sz w:val="24"/>
          <w:szCs w:val="24"/>
        </w:rPr>
        <w:t xml:space="preserve"> de</w:t>
      </w:r>
      <w:r w:rsidR="00B744FE" w:rsidRPr="004B499C">
        <w:rPr>
          <w:sz w:val="24"/>
          <w:szCs w:val="24"/>
        </w:rPr>
        <w:t xml:space="preserve"> </w:t>
      </w:r>
      <w:r w:rsidRPr="004B499C">
        <w:rPr>
          <w:sz w:val="24"/>
          <w:szCs w:val="24"/>
        </w:rPr>
        <w:t>aportes</w:t>
      </w:r>
      <w:r w:rsidR="00B744FE" w:rsidRPr="004B499C">
        <w:rPr>
          <w:sz w:val="24"/>
          <w:szCs w:val="24"/>
        </w:rPr>
        <w:t xml:space="preserve"> a los diferentes fondos</w:t>
      </w:r>
      <w:r w:rsidRPr="004B499C">
        <w:rPr>
          <w:sz w:val="24"/>
          <w:szCs w:val="24"/>
        </w:rPr>
        <w:t xml:space="preserve"> y la valoración de los activos</w:t>
      </w:r>
      <w:r w:rsidR="00320871" w:rsidRPr="004B499C">
        <w:rPr>
          <w:sz w:val="24"/>
          <w:szCs w:val="24"/>
        </w:rPr>
        <w:t>,</w:t>
      </w:r>
      <w:r w:rsidR="00184F61" w:rsidRPr="004B499C">
        <w:rPr>
          <w:sz w:val="24"/>
          <w:szCs w:val="24"/>
        </w:rPr>
        <w:t xml:space="preserve"> ambos</w:t>
      </w:r>
      <w:r w:rsidR="00910CCE" w:rsidRPr="004B499C">
        <w:rPr>
          <w:sz w:val="24"/>
          <w:szCs w:val="24"/>
        </w:rPr>
        <w:t xml:space="preserve"> afectados por</w:t>
      </w:r>
      <w:r w:rsidRPr="004B499C">
        <w:rPr>
          <w:sz w:val="24"/>
          <w:szCs w:val="24"/>
        </w:rPr>
        <w:t xml:space="preserve"> </w:t>
      </w:r>
      <w:r w:rsidR="00320871" w:rsidRPr="004B499C">
        <w:rPr>
          <w:sz w:val="24"/>
          <w:szCs w:val="24"/>
        </w:rPr>
        <w:t>el COVID-19</w:t>
      </w:r>
      <w:r w:rsidRPr="004B499C">
        <w:rPr>
          <w:sz w:val="24"/>
          <w:szCs w:val="24"/>
        </w:rPr>
        <w:t xml:space="preserve">. </w:t>
      </w:r>
    </w:p>
    <w:p w14:paraId="4FB050C2" w14:textId="793576E9" w:rsidR="00841412" w:rsidRPr="004B499C" w:rsidRDefault="00841412" w:rsidP="004B499C">
      <w:pPr>
        <w:spacing w:after="0"/>
        <w:jc w:val="both"/>
        <w:rPr>
          <w:sz w:val="24"/>
          <w:szCs w:val="24"/>
        </w:rPr>
      </w:pPr>
    </w:p>
    <w:p w14:paraId="3A16FB91" w14:textId="46260AB1" w:rsidR="00CA77B1" w:rsidRPr="004B499C" w:rsidRDefault="00CA77B1" w:rsidP="004B499C">
      <w:pPr>
        <w:spacing w:after="0"/>
        <w:jc w:val="both"/>
        <w:rPr>
          <w:sz w:val="24"/>
          <w:szCs w:val="24"/>
        </w:rPr>
      </w:pPr>
      <w:r w:rsidRPr="004B499C">
        <w:rPr>
          <w:sz w:val="24"/>
          <w:szCs w:val="24"/>
        </w:rPr>
        <w:t>El Régimen de Invalidez, Vejez y Muerte administrado por la CCSS</w:t>
      </w:r>
      <w:r w:rsidR="0020715C" w:rsidRPr="004B499C">
        <w:rPr>
          <w:sz w:val="24"/>
          <w:szCs w:val="24"/>
        </w:rPr>
        <w:t xml:space="preserve"> </w:t>
      </w:r>
      <w:r w:rsidRPr="004B499C">
        <w:rPr>
          <w:sz w:val="24"/>
          <w:szCs w:val="24"/>
        </w:rPr>
        <w:t xml:space="preserve">creció un </w:t>
      </w:r>
      <w:r w:rsidR="002F36E9" w:rsidRPr="004B499C">
        <w:rPr>
          <w:sz w:val="24"/>
          <w:szCs w:val="24"/>
        </w:rPr>
        <w:t>4,8</w:t>
      </w:r>
      <w:r w:rsidR="002D45E5" w:rsidRPr="004B499C">
        <w:rPr>
          <w:sz w:val="24"/>
          <w:szCs w:val="24"/>
        </w:rPr>
        <w:t xml:space="preserve">% durante el </w:t>
      </w:r>
      <w:r w:rsidR="00C40EAC" w:rsidRPr="004B499C">
        <w:rPr>
          <w:sz w:val="24"/>
          <w:szCs w:val="24"/>
        </w:rPr>
        <w:t>año</w:t>
      </w:r>
      <w:r w:rsidR="00F67F42" w:rsidRPr="004B499C">
        <w:rPr>
          <w:sz w:val="24"/>
          <w:szCs w:val="24"/>
        </w:rPr>
        <w:t xml:space="preserve">, </w:t>
      </w:r>
      <w:r w:rsidR="002D45E5" w:rsidRPr="004B499C">
        <w:rPr>
          <w:sz w:val="24"/>
          <w:szCs w:val="24"/>
        </w:rPr>
        <w:t>por debajo del promedio de los últimos diez años (7,9%)</w:t>
      </w:r>
      <w:r w:rsidRPr="004B499C">
        <w:rPr>
          <w:sz w:val="24"/>
          <w:szCs w:val="24"/>
        </w:rPr>
        <w:t xml:space="preserve">, este fondo representa un </w:t>
      </w:r>
      <w:r w:rsidR="00F5725C" w:rsidRPr="004B499C">
        <w:rPr>
          <w:sz w:val="24"/>
          <w:szCs w:val="24"/>
        </w:rPr>
        <w:t>8,9</w:t>
      </w:r>
      <w:r w:rsidRPr="004B499C">
        <w:rPr>
          <w:sz w:val="24"/>
          <w:szCs w:val="24"/>
        </w:rPr>
        <w:t>% del PIB.</w:t>
      </w:r>
    </w:p>
    <w:p w14:paraId="1EBDC265" w14:textId="77777777" w:rsidR="00B9565E" w:rsidRPr="004B499C" w:rsidRDefault="00B9565E" w:rsidP="004B499C">
      <w:pPr>
        <w:spacing w:after="0"/>
        <w:jc w:val="both"/>
        <w:rPr>
          <w:sz w:val="24"/>
          <w:szCs w:val="24"/>
        </w:rPr>
      </w:pPr>
    </w:p>
    <w:p w14:paraId="70D75290" w14:textId="7A914E7D" w:rsidR="00B9565E" w:rsidRPr="004B499C" w:rsidRDefault="00B9565E" w:rsidP="004B499C">
      <w:pPr>
        <w:spacing w:after="0"/>
        <w:jc w:val="both"/>
        <w:rPr>
          <w:sz w:val="24"/>
          <w:szCs w:val="24"/>
        </w:rPr>
      </w:pPr>
      <w:r w:rsidRPr="004B499C">
        <w:rPr>
          <w:sz w:val="24"/>
          <w:szCs w:val="24"/>
        </w:rPr>
        <w:t>De los 14 gestores de fondos de pensiones, tres administran ₡9</w:t>
      </w:r>
      <w:r w:rsidR="006A0C09" w:rsidRPr="004B499C">
        <w:rPr>
          <w:sz w:val="24"/>
          <w:szCs w:val="24"/>
        </w:rPr>
        <w:t>,9</w:t>
      </w:r>
      <w:r w:rsidRPr="004B499C">
        <w:rPr>
          <w:sz w:val="24"/>
          <w:szCs w:val="24"/>
        </w:rPr>
        <w:t xml:space="preserve"> billones, que representan el </w:t>
      </w:r>
      <w:r w:rsidR="006A0C09" w:rsidRPr="004B499C">
        <w:rPr>
          <w:sz w:val="24"/>
          <w:szCs w:val="24"/>
        </w:rPr>
        <w:t>58,</w:t>
      </w:r>
      <w:r w:rsidR="00D477CE" w:rsidRPr="004B499C">
        <w:rPr>
          <w:sz w:val="24"/>
          <w:szCs w:val="24"/>
        </w:rPr>
        <w:t>2</w:t>
      </w:r>
      <w:r w:rsidRPr="004B499C">
        <w:rPr>
          <w:sz w:val="24"/>
          <w:szCs w:val="24"/>
        </w:rPr>
        <w:t>% del total de activos. Estos tres gestores administran activos de más ₡3 billones cada uno, a saber, Popular Pensiones</w:t>
      </w:r>
      <w:r w:rsidR="006A0C09" w:rsidRPr="004B499C">
        <w:rPr>
          <w:sz w:val="24"/>
          <w:szCs w:val="24"/>
        </w:rPr>
        <w:t>, RCCMN y RIVM</w:t>
      </w:r>
      <w:r w:rsidRPr="004B499C">
        <w:rPr>
          <w:sz w:val="24"/>
          <w:szCs w:val="24"/>
        </w:rPr>
        <w:t xml:space="preserve">, </w:t>
      </w:r>
      <w:r w:rsidR="006A0C09" w:rsidRPr="004B499C">
        <w:rPr>
          <w:sz w:val="24"/>
          <w:szCs w:val="24"/>
        </w:rPr>
        <w:t xml:space="preserve">el primero un régimen complementario y </w:t>
      </w:r>
      <w:r w:rsidRPr="004B499C">
        <w:rPr>
          <w:sz w:val="24"/>
          <w:szCs w:val="24"/>
        </w:rPr>
        <w:t xml:space="preserve">los </w:t>
      </w:r>
      <w:r w:rsidR="006A0C09" w:rsidRPr="004B499C">
        <w:rPr>
          <w:sz w:val="24"/>
          <w:szCs w:val="24"/>
        </w:rPr>
        <w:t xml:space="preserve">otros </w:t>
      </w:r>
      <w:r w:rsidRPr="004B499C">
        <w:rPr>
          <w:sz w:val="24"/>
          <w:szCs w:val="24"/>
        </w:rPr>
        <w:t>dos</w:t>
      </w:r>
      <w:r w:rsidR="006A0C09" w:rsidRPr="004B499C">
        <w:rPr>
          <w:sz w:val="24"/>
          <w:szCs w:val="24"/>
        </w:rPr>
        <w:t xml:space="preserve">, </w:t>
      </w:r>
      <w:r w:rsidRPr="004B499C">
        <w:rPr>
          <w:sz w:val="24"/>
          <w:szCs w:val="24"/>
        </w:rPr>
        <w:t>regímenes básicos</w:t>
      </w:r>
      <w:r w:rsidR="006A0C09" w:rsidRPr="004B499C">
        <w:rPr>
          <w:sz w:val="24"/>
          <w:szCs w:val="24"/>
        </w:rPr>
        <w:t>.</w:t>
      </w:r>
    </w:p>
    <w:p w14:paraId="238EB0D7" w14:textId="77777777" w:rsidR="004A7273" w:rsidRPr="004B499C" w:rsidRDefault="004A7273" w:rsidP="004B499C">
      <w:pPr>
        <w:spacing w:after="0"/>
        <w:jc w:val="both"/>
        <w:rPr>
          <w:sz w:val="24"/>
          <w:szCs w:val="24"/>
        </w:rPr>
      </w:pPr>
    </w:p>
    <w:p w14:paraId="11EF5A6F" w14:textId="6D5B8AC0" w:rsidR="003F491D" w:rsidRPr="004B499C" w:rsidRDefault="00B9565E" w:rsidP="004B499C">
      <w:pPr>
        <w:spacing w:after="0"/>
        <w:jc w:val="both"/>
        <w:rPr>
          <w:sz w:val="24"/>
          <w:szCs w:val="24"/>
        </w:rPr>
      </w:pPr>
      <w:r w:rsidRPr="004B499C">
        <w:rPr>
          <w:sz w:val="24"/>
          <w:szCs w:val="24"/>
        </w:rPr>
        <w:t xml:space="preserve">El mayor volumen de activos lo administran los planes obligatorios complementarios (ROP), los </w:t>
      </w:r>
      <w:r w:rsidR="006A0C09" w:rsidRPr="004B499C">
        <w:rPr>
          <w:sz w:val="24"/>
          <w:szCs w:val="24"/>
        </w:rPr>
        <w:t>regímenes</w:t>
      </w:r>
      <w:r w:rsidRPr="004B499C">
        <w:rPr>
          <w:sz w:val="24"/>
          <w:szCs w:val="24"/>
        </w:rPr>
        <w:t xml:space="preserve"> básicos</w:t>
      </w:r>
      <w:r w:rsidR="006A0C09" w:rsidRPr="004B499C">
        <w:rPr>
          <w:sz w:val="24"/>
          <w:szCs w:val="24"/>
        </w:rPr>
        <w:t xml:space="preserve"> sustitutos</w:t>
      </w:r>
      <w:r w:rsidRPr="004B499C">
        <w:rPr>
          <w:sz w:val="24"/>
          <w:szCs w:val="24"/>
        </w:rPr>
        <w:t xml:space="preserve"> y régimen </w:t>
      </w:r>
      <w:r w:rsidR="00CD0F65" w:rsidRPr="004B499C">
        <w:rPr>
          <w:sz w:val="24"/>
          <w:szCs w:val="24"/>
        </w:rPr>
        <w:t xml:space="preserve">general </w:t>
      </w:r>
      <w:r w:rsidRPr="004B499C">
        <w:rPr>
          <w:sz w:val="24"/>
          <w:szCs w:val="24"/>
        </w:rPr>
        <w:t>de seguridad social</w:t>
      </w:r>
      <w:r w:rsidR="002D2BA4" w:rsidRPr="004B499C">
        <w:rPr>
          <w:sz w:val="24"/>
          <w:szCs w:val="24"/>
        </w:rPr>
        <w:t xml:space="preserve"> administrado por la CCSS.</w:t>
      </w:r>
      <w:r w:rsidR="003F491D" w:rsidRPr="004B499C">
        <w:rPr>
          <w:sz w:val="24"/>
          <w:szCs w:val="24"/>
        </w:rPr>
        <w:t xml:space="preserve"> Sin embargo, el crecimiento del ROP durante el año ha sido del 14,8%, </w:t>
      </w:r>
      <w:r w:rsidR="003F491D" w:rsidRPr="004B499C">
        <w:rPr>
          <w:rStyle w:val="normaltextrun"/>
          <w:rFonts w:ascii="Calibri" w:hAnsi="Calibri" w:cs="Calibri"/>
          <w:color w:val="000000"/>
          <w:sz w:val="24"/>
          <w:szCs w:val="24"/>
          <w:shd w:val="clear" w:color="auto" w:fill="FFFFFF"/>
        </w:rPr>
        <w:t>por debajo de lo observado para el mismo periodo el año pasado que fue del 20,9%</w:t>
      </w:r>
      <w:r w:rsidR="00D612EA" w:rsidRPr="004B499C">
        <w:rPr>
          <w:rStyle w:val="normaltextrun"/>
          <w:rFonts w:ascii="Calibri" w:hAnsi="Calibri" w:cs="Calibri"/>
          <w:color w:val="000000"/>
          <w:sz w:val="24"/>
          <w:szCs w:val="24"/>
          <w:shd w:val="clear" w:color="auto" w:fill="FFFFFF"/>
        </w:rPr>
        <w:t>,</w:t>
      </w:r>
      <w:r w:rsidR="003F491D" w:rsidRPr="004B499C">
        <w:rPr>
          <w:rStyle w:val="normaltextrun"/>
          <w:rFonts w:ascii="Calibri" w:hAnsi="Calibri" w:cs="Calibri"/>
          <w:color w:val="000000"/>
          <w:sz w:val="24"/>
          <w:szCs w:val="24"/>
          <w:shd w:val="clear" w:color="auto" w:fill="FFFFFF"/>
        </w:rPr>
        <w:t xml:space="preserve"> y también ba</w:t>
      </w:r>
      <w:r w:rsidR="003F491D" w:rsidRPr="004B499C">
        <w:rPr>
          <w:sz w:val="24"/>
          <w:szCs w:val="24"/>
        </w:rPr>
        <w:t xml:space="preserve">jo en comparación con el crecimiento promedio anual de los últimos 10 años que ronda el 18,8%. </w:t>
      </w:r>
    </w:p>
    <w:p w14:paraId="4E6B5A0B" w14:textId="77777777" w:rsidR="003F491D" w:rsidRPr="004B499C" w:rsidRDefault="003F491D" w:rsidP="004B499C">
      <w:pPr>
        <w:spacing w:after="0"/>
        <w:jc w:val="both"/>
        <w:rPr>
          <w:sz w:val="24"/>
          <w:szCs w:val="24"/>
        </w:rPr>
      </w:pPr>
    </w:p>
    <w:p w14:paraId="181F9B8A" w14:textId="2F68CD46" w:rsidR="006A0C09" w:rsidRPr="004B499C" w:rsidRDefault="003F491D" w:rsidP="004B499C">
      <w:pPr>
        <w:spacing w:after="0"/>
        <w:jc w:val="both"/>
        <w:rPr>
          <w:sz w:val="24"/>
          <w:szCs w:val="24"/>
        </w:rPr>
      </w:pPr>
      <w:r w:rsidRPr="004B499C">
        <w:rPr>
          <w:sz w:val="24"/>
          <w:szCs w:val="24"/>
        </w:rPr>
        <w:t>Por otro lado, l</w:t>
      </w:r>
      <w:r w:rsidR="00B9565E" w:rsidRPr="004B499C">
        <w:rPr>
          <w:sz w:val="24"/>
          <w:szCs w:val="24"/>
        </w:rPr>
        <w:t xml:space="preserve">os fondos voluntarios han experimentado un crecimiento </w:t>
      </w:r>
      <w:r w:rsidR="006A0C09" w:rsidRPr="004B499C">
        <w:rPr>
          <w:sz w:val="24"/>
          <w:szCs w:val="24"/>
        </w:rPr>
        <w:t>del 15,8% durante el año 2020</w:t>
      </w:r>
      <w:r w:rsidR="00B9565E" w:rsidRPr="004B499C">
        <w:rPr>
          <w:sz w:val="24"/>
          <w:szCs w:val="24"/>
        </w:rPr>
        <w:t xml:space="preserve">, </w:t>
      </w:r>
      <w:r w:rsidR="006A0C09" w:rsidRPr="004B499C">
        <w:rPr>
          <w:rStyle w:val="normaltextrun"/>
          <w:rFonts w:ascii="Calibri" w:hAnsi="Calibri" w:cs="Calibri"/>
          <w:color w:val="000000"/>
          <w:sz w:val="24"/>
          <w:szCs w:val="24"/>
          <w:shd w:val="clear" w:color="auto" w:fill="FFFFFF"/>
        </w:rPr>
        <w:t>por encima d</w:t>
      </w:r>
      <w:r w:rsidR="006A0C09" w:rsidRPr="004B499C">
        <w:rPr>
          <w:sz w:val="24"/>
          <w:szCs w:val="24"/>
        </w:rPr>
        <w:t>el crecimiento promedio anual de los últimos 10 años que ronda el 10,7%.</w:t>
      </w:r>
    </w:p>
    <w:p w14:paraId="54F47A49" w14:textId="1993E41A" w:rsidR="004B499C" w:rsidRDefault="004B499C">
      <w:r>
        <w:br w:type="page"/>
      </w:r>
    </w:p>
    <w:p w14:paraId="42042AAC" w14:textId="4844BF61" w:rsidR="00C42B4F" w:rsidRPr="00C42B4F" w:rsidRDefault="00C42B4F" w:rsidP="004B499C">
      <w:pPr>
        <w:pStyle w:val="Descripcin"/>
        <w:tabs>
          <w:tab w:val="center" w:pos="4419"/>
          <w:tab w:val="left" w:pos="5331"/>
        </w:tabs>
        <w:spacing w:after="0"/>
        <w:jc w:val="center"/>
      </w:pPr>
      <w:bookmarkStart w:id="9" w:name="_Hlk63436943"/>
      <w:r>
        <w:lastRenderedPageBreak/>
        <w:t xml:space="preserve">Gráfico </w:t>
      </w:r>
      <w:r>
        <w:fldChar w:fldCharType="begin"/>
      </w:r>
      <w:r>
        <w:instrText xml:space="preserve"> SEQ Gráfico \* ARABIC </w:instrText>
      </w:r>
      <w:r>
        <w:fldChar w:fldCharType="separate"/>
      </w:r>
      <w:r w:rsidR="004B2C94">
        <w:rPr>
          <w:noProof/>
        </w:rPr>
        <w:t>1</w:t>
      </w:r>
      <w:r>
        <w:fldChar w:fldCharType="end"/>
      </w:r>
      <w:r w:rsidR="00BC414E">
        <w:t xml:space="preserve">: </w:t>
      </w:r>
      <w:r w:rsidRPr="00C42B4F">
        <w:t>Activos del Sistema Nacional de Pensiones y FCL</w:t>
      </w:r>
    </w:p>
    <w:p w14:paraId="34E5CE65" w14:textId="77777777" w:rsidR="00C42B4F" w:rsidRPr="00C42B4F" w:rsidRDefault="00336650" w:rsidP="004B499C">
      <w:pPr>
        <w:pStyle w:val="Descripcin"/>
        <w:spacing w:after="0"/>
        <w:jc w:val="center"/>
      </w:pPr>
      <w:r>
        <w:t>Por tipo de fondo c</w:t>
      </w:r>
      <w:r w:rsidR="00C42B4F" w:rsidRPr="00C42B4F">
        <w:t>omo porcentaje de PIB</w:t>
      </w:r>
    </w:p>
    <w:p w14:paraId="6F2BBE39" w14:textId="72A39880" w:rsidR="003C32E5" w:rsidRDefault="00C42B4F" w:rsidP="004B499C">
      <w:pPr>
        <w:pStyle w:val="Descripcin"/>
        <w:spacing w:after="0"/>
        <w:jc w:val="center"/>
      </w:pPr>
      <w:r w:rsidRPr="00C42B4F">
        <w:t xml:space="preserve">Billones de colones costarricenses a </w:t>
      </w:r>
      <w:r>
        <w:t>diciembre</w:t>
      </w:r>
      <w:r w:rsidRPr="00C42B4F">
        <w:t xml:space="preserve"> de cada año</w:t>
      </w:r>
    </w:p>
    <w:bookmarkEnd w:id="9"/>
    <w:p w14:paraId="26D49141" w14:textId="553CB323" w:rsidR="00FA6DA6" w:rsidRDefault="00D5328F" w:rsidP="004B499C">
      <w:pPr>
        <w:pStyle w:val="Descripcin"/>
        <w:spacing w:after="0"/>
        <w:jc w:val="center"/>
      </w:pPr>
      <w:r>
        <w:rPr>
          <w:noProof/>
        </w:rPr>
        <w:drawing>
          <wp:inline distT="0" distB="0" distL="0" distR="0" wp14:anchorId="14B11B49" wp14:editId="0C6ED9CC">
            <wp:extent cx="5612130" cy="3186430"/>
            <wp:effectExtent l="0" t="0" r="7620" b="13970"/>
            <wp:docPr id="4" name="Gráfico 4">
              <a:extLst xmlns:a="http://schemas.openxmlformats.org/drawingml/2006/main">
                <a:ext uri="{FF2B5EF4-FFF2-40B4-BE49-F238E27FC236}">
                  <a16:creationId xmlns:a16="http://schemas.microsoft.com/office/drawing/2014/main" id="{8CFC8610-C825-4C92-95A5-4F3C9B78D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C3A672" w14:textId="106EC601" w:rsidR="00F136AF" w:rsidRPr="00F136AF" w:rsidRDefault="00F136AF" w:rsidP="004B499C">
      <w:pPr>
        <w:pStyle w:val="Descripcin"/>
        <w:spacing w:after="0"/>
        <w:jc w:val="center"/>
      </w:pPr>
      <w:r>
        <w:t xml:space="preserve">PIB es el </w:t>
      </w:r>
      <w:r w:rsidR="00D65175" w:rsidRPr="00D65175">
        <w:t>Producto Interno Bruto a precios de mercado, nominal</w:t>
      </w:r>
      <w:r w:rsidR="00D65175">
        <w:t>. Publicado en la página Web del Banco Central</w:t>
      </w:r>
    </w:p>
    <w:p w14:paraId="43D53491" w14:textId="04AEDF12" w:rsidR="00C42B4F" w:rsidRDefault="00C42B4F" w:rsidP="004B499C">
      <w:pPr>
        <w:pStyle w:val="Descripcin"/>
        <w:spacing w:after="0"/>
        <w:jc w:val="center"/>
      </w:pPr>
      <w:r>
        <w:t>Fuente: Elaboración propia</w:t>
      </w:r>
    </w:p>
    <w:p w14:paraId="3A86782C" w14:textId="77777777" w:rsidR="006F585D" w:rsidRDefault="006F585D" w:rsidP="00361955">
      <w:pPr>
        <w:pStyle w:val="Descripcin"/>
        <w:tabs>
          <w:tab w:val="center" w:pos="4419"/>
          <w:tab w:val="left" w:pos="5331"/>
        </w:tabs>
        <w:spacing w:after="0"/>
        <w:jc w:val="center"/>
      </w:pPr>
    </w:p>
    <w:p w14:paraId="4159DC7C" w14:textId="77777777" w:rsidR="00380159" w:rsidRDefault="00380159">
      <w:pPr>
        <w:rPr>
          <w:i/>
          <w:iCs/>
          <w:color w:val="1F497D" w:themeColor="text2"/>
          <w:sz w:val="18"/>
          <w:szCs w:val="18"/>
        </w:rPr>
      </w:pPr>
      <w:r>
        <w:br w:type="page"/>
      </w:r>
    </w:p>
    <w:p w14:paraId="654E833A" w14:textId="177AB991" w:rsidR="00A25946" w:rsidRDefault="00361955" w:rsidP="00361955">
      <w:pPr>
        <w:pStyle w:val="Descripcin"/>
        <w:tabs>
          <w:tab w:val="center" w:pos="4419"/>
          <w:tab w:val="left" w:pos="5331"/>
        </w:tabs>
        <w:spacing w:after="0"/>
        <w:jc w:val="center"/>
      </w:pPr>
      <w:r>
        <w:lastRenderedPageBreak/>
        <w:t xml:space="preserve">Gráfico </w:t>
      </w:r>
      <w:r>
        <w:fldChar w:fldCharType="begin"/>
      </w:r>
      <w:r>
        <w:instrText xml:space="preserve"> SEQ Gráfico \* ARABIC </w:instrText>
      </w:r>
      <w:r>
        <w:fldChar w:fldCharType="separate"/>
      </w:r>
      <w:r w:rsidR="00D559B6">
        <w:rPr>
          <w:noProof/>
        </w:rPr>
        <w:t>2</w:t>
      </w:r>
      <w:r>
        <w:fldChar w:fldCharType="end"/>
      </w:r>
      <w:r>
        <w:t xml:space="preserve">: </w:t>
      </w:r>
      <w:r w:rsidR="00532029" w:rsidRPr="00C42B4F">
        <w:t>Activos del Sistema Nacional de Pensiones y FCL</w:t>
      </w:r>
    </w:p>
    <w:p w14:paraId="3E8A9CEF" w14:textId="2DFC327C" w:rsidR="00532029" w:rsidRDefault="00DD2AB5" w:rsidP="00361955">
      <w:pPr>
        <w:pStyle w:val="Descripcin"/>
        <w:tabs>
          <w:tab w:val="center" w:pos="4419"/>
          <w:tab w:val="left" w:pos="5331"/>
        </w:tabs>
        <w:spacing w:after="0"/>
        <w:jc w:val="center"/>
      </w:pPr>
      <w:r>
        <w:t xml:space="preserve">Distribución por </w:t>
      </w:r>
      <w:r w:rsidR="00A2234E">
        <w:t>rubro</w:t>
      </w:r>
    </w:p>
    <w:p w14:paraId="08BC5DE5" w14:textId="66B7EF48" w:rsidR="00332DD6" w:rsidRPr="00332DD6" w:rsidRDefault="00332DD6" w:rsidP="00EA7366">
      <w:pPr>
        <w:spacing w:after="0" w:line="240" w:lineRule="auto"/>
        <w:jc w:val="center"/>
      </w:pPr>
      <w:r>
        <w:rPr>
          <w:noProof/>
        </w:rPr>
        <w:drawing>
          <wp:inline distT="0" distB="0" distL="0" distR="0" wp14:anchorId="19E55F13" wp14:editId="334857E7">
            <wp:extent cx="4686300" cy="2600325"/>
            <wp:effectExtent l="0" t="0" r="0" b="9525"/>
            <wp:docPr id="6" name="Gráfico 6">
              <a:extLst xmlns:a="http://schemas.openxmlformats.org/drawingml/2006/main">
                <a:ext uri="{FF2B5EF4-FFF2-40B4-BE49-F238E27FC236}">
                  <a16:creationId xmlns:a16="http://schemas.microsoft.com/office/drawing/2014/main" id="{6BAE7780-4C8E-4A6E-ACDA-A0C4286FE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7EC99B" w14:textId="24E3E00C" w:rsidR="00DD2AB5" w:rsidRDefault="00DD2AB5" w:rsidP="004B499C">
      <w:pPr>
        <w:pStyle w:val="Descripcin"/>
        <w:spacing w:after="0"/>
        <w:jc w:val="center"/>
      </w:pPr>
      <w:r>
        <w:t>Fuente: Elaboración propia</w:t>
      </w:r>
    </w:p>
    <w:p w14:paraId="24FA7FCC" w14:textId="39058E80" w:rsidR="00A41E66" w:rsidRDefault="00A41E66" w:rsidP="00A41E66"/>
    <w:p w14:paraId="278B05F5" w14:textId="4E1D4A11" w:rsidR="00E2531A" w:rsidRPr="004B499C" w:rsidRDefault="00E2531A" w:rsidP="004B499C">
      <w:pPr>
        <w:pStyle w:val="Ttulo2"/>
        <w:numPr>
          <w:ilvl w:val="1"/>
          <w:numId w:val="1"/>
        </w:numPr>
        <w:rPr>
          <w:sz w:val="28"/>
          <w:szCs w:val="28"/>
        </w:rPr>
      </w:pPr>
      <w:bookmarkStart w:id="10" w:name="_Toc64457428"/>
      <w:r w:rsidRPr="004B499C">
        <w:rPr>
          <w:sz w:val="28"/>
          <w:szCs w:val="28"/>
        </w:rPr>
        <w:t>Inversiones</w:t>
      </w:r>
      <w:bookmarkEnd w:id="10"/>
      <w:r w:rsidRPr="004B499C">
        <w:rPr>
          <w:sz w:val="28"/>
          <w:szCs w:val="28"/>
        </w:rPr>
        <w:t xml:space="preserve"> </w:t>
      </w:r>
    </w:p>
    <w:p w14:paraId="54AF4D42" w14:textId="77777777" w:rsidR="00D559B6" w:rsidRPr="004B499C" w:rsidRDefault="00D559B6" w:rsidP="004B499C">
      <w:pPr>
        <w:spacing w:after="0"/>
        <w:jc w:val="both"/>
        <w:rPr>
          <w:sz w:val="24"/>
          <w:szCs w:val="24"/>
        </w:rPr>
      </w:pPr>
    </w:p>
    <w:p w14:paraId="3F05088F" w14:textId="3170ACCD" w:rsidR="00E2531A" w:rsidRPr="004B499C" w:rsidRDefault="00E2531A" w:rsidP="004B499C">
      <w:pPr>
        <w:spacing w:after="0"/>
        <w:jc w:val="both"/>
        <w:rPr>
          <w:sz w:val="24"/>
          <w:szCs w:val="24"/>
        </w:rPr>
      </w:pPr>
      <w:r w:rsidRPr="004B499C">
        <w:rPr>
          <w:sz w:val="24"/>
          <w:szCs w:val="24"/>
        </w:rPr>
        <w:t>El portafolio de las inversiones (sin incluir carteras de crédito) del SNP y el FCL equivale a ₡</w:t>
      </w:r>
      <w:r w:rsidR="00E9580F" w:rsidRPr="004B499C">
        <w:rPr>
          <w:sz w:val="24"/>
          <w:szCs w:val="24"/>
        </w:rPr>
        <w:t>15,2</w:t>
      </w:r>
      <w:r w:rsidRPr="004B499C">
        <w:rPr>
          <w:sz w:val="24"/>
          <w:szCs w:val="24"/>
        </w:rPr>
        <w:t xml:space="preserve"> billones. Del total de inversiones hay una concentración de ₡11,6 billones en Sector Público (un 7</w:t>
      </w:r>
      <w:r w:rsidR="00E9580F" w:rsidRPr="004B499C">
        <w:rPr>
          <w:sz w:val="24"/>
          <w:szCs w:val="24"/>
        </w:rPr>
        <w:t>6%)</w:t>
      </w:r>
      <w:r w:rsidRPr="004B499C">
        <w:rPr>
          <w:sz w:val="24"/>
          <w:szCs w:val="24"/>
        </w:rPr>
        <w:t xml:space="preserve">, de estos </w:t>
      </w:r>
      <w:r w:rsidR="00BF3742" w:rsidRPr="004B499C">
        <w:rPr>
          <w:sz w:val="24"/>
          <w:szCs w:val="24"/>
        </w:rPr>
        <w:t>₡</w:t>
      </w:r>
      <w:r w:rsidRPr="004B499C">
        <w:rPr>
          <w:sz w:val="24"/>
          <w:szCs w:val="24"/>
        </w:rPr>
        <w:t>10,</w:t>
      </w:r>
      <w:r w:rsidR="00450F7C" w:rsidRPr="004B499C">
        <w:rPr>
          <w:sz w:val="24"/>
          <w:szCs w:val="24"/>
        </w:rPr>
        <w:t>6</w:t>
      </w:r>
      <w:r w:rsidRPr="004B499C">
        <w:rPr>
          <w:sz w:val="24"/>
          <w:szCs w:val="24"/>
        </w:rPr>
        <w:t xml:space="preserve"> billones</w:t>
      </w:r>
      <w:r w:rsidR="00A75A5F" w:rsidRPr="004B499C">
        <w:rPr>
          <w:sz w:val="24"/>
          <w:szCs w:val="24"/>
        </w:rPr>
        <w:t xml:space="preserve"> </w:t>
      </w:r>
      <w:r w:rsidRPr="004B499C">
        <w:rPr>
          <w:sz w:val="24"/>
          <w:szCs w:val="24"/>
        </w:rPr>
        <w:t>se encuentran invertidos en instrumentos del Ministerio de Hacienda y Banco Central de Costa Rica. El 7</w:t>
      </w:r>
      <w:r w:rsidR="00944202" w:rsidRPr="004B499C">
        <w:rPr>
          <w:sz w:val="24"/>
          <w:szCs w:val="24"/>
        </w:rPr>
        <w:t>7</w:t>
      </w:r>
      <w:r w:rsidRPr="004B499C">
        <w:rPr>
          <w:sz w:val="24"/>
          <w:szCs w:val="24"/>
        </w:rPr>
        <w:t>% de</w:t>
      </w:r>
      <w:r w:rsidR="00A75A5F" w:rsidRPr="004B499C">
        <w:rPr>
          <w:sz w:val="24"/>
          <w:szCs w:val="24"/>
        </w:rPr>
        <w:t>l total de</w:t>
      </w:r>
      <w:r w:rsidRPr="004B499C">
        <w:rPr>
          <w:sz w:val="24"/>
          <w:szCs w:val="24"/>
        </w:rPr>
        <w:t xml:space="preserve"> l</w:t>
      </w:r>
      <w:r w:rsidR="00F221EE" w:rsidRPr="004B499C">
        <w:rPr>
          <w:sz w:val="24"/>
          <w:szCs w:val="24"/>
        </w:rPr>
        <w:t>os valores del sistema</w:t>
      </w:r>
      <w:r w:rsidRPr="004B499C">
        <w:rPr>
          <w:sz w:val="24"/>
          <w:szCs w:val="24"/>
        </w:rPr>
        <w:t xml:space="preserve"> se concentra en colones costarricenses y el restante 2</w:t>
      </w:r>
      <w:r w:rsidR="00944202" w:rsidRPr="004B499C">
        <w:rPr>
          <w:sz w:val="24"/>
          <w:szCs w:val="24"/>
        </w:rPr>
        <w:t>3</w:t>
      </w:r>
      <w:r w:rsidRPr="004B499C">
        <w:rPr>
          <w:sz w:val="24"/>
          <w:szCs w:val="24"/>
        </w:rPr>
        <w:t xml:space="preserve">% en </w:t>
      </w:r>
      <w:r w:rsidR="00F221EE" w:rsidRPr="004B499C">
        <w:rPr>
          <w:sz w:val="24"/>
          <w:szCs w:val="24"/>
        </w:rPr>
        <w:t xml:space="preserve">US </w:t>
      </w:r>
      <w:r w:rsidRPr="004B499C">
        <w:rPr>
          <w:sz w:val="24"/>
          <w:szCs w:val="24"/>
        </w:rPr>
        <w:t xml:space="preserve">dólares. </w:t>
      </w:r>
      <w:r w:rsidR="00450F7C" w:rsidRPr="004B499C">
        <w:rPr>
          <w:sz w:val="24"/>
          <w:szCs w:val="24"/>
        </w:rPr>
        <w:t>L</w:t>
      </w:r>
      <w:r w:rsidR="00D61AB9" w:rsidRPr="004B499C">
        <w:rPr>
          <w:sz w:val="24"/>
          <w:szCs w:val="24"/>
        </w:rPr>
        <w:t xml:space="preserve">a exposición </w:t>
      </w:r>
      <w:r w:rsidR="00245551" w:rsidRPr="004B499C">
        <w:rPr>
          <w:sz w:val="24"/>
          <w:szCs w:val="24"/>
        </w:rPr>
        <w:t>en esta última moneda</w:t>
      </w:r>
      <w:r w:rsidRPr="004B499C">
        <w:rPr>
          <w:sz w:val="24"/>
          <w:szCs w:val="24"/>
        </w:rPr>
        <w:t xml:space="preserve"> </w:t>
      </w:r>
      <w:r w:rsidR="00D61AB9" w:rsidRPr="004B499C">
        <w:rPr>
          <w:sz w:val="24"/>
          <w:szCs w:val="24"/>
        </w:rPr>
        <w:t>se incrementó un</w:t>
      </w:r>
      <w:r w:rsidRPr="004B499C">
        <w:rPr>
          <w:sz w:val="24"/>
          <w:szCs w:val="24"/>
        </w:rPr>
        <w:t xml:space="preserve"> 1</w:t>
      </w:r>
      <w:r w:rsidR="00944202" w:rsidRPr="004B499C">
        <w:rPr>
          <w:sz w:val="24"/>
          <w:szCs w:val="24"/>
        </w:rPr>
        <w:t>3</w:t>
      </w:r>
      <w:r w:rsidR="00450F7C" w:rsidRPr="004B499C">
        <w:rPr>
          <w:sz w:val="24"/>
          <w:szCs w:val="24"/>
        </w:rPr>
        <w:t>%</w:t>
      </w:r>
      <w:r w:rsidRPr="004B499C">
        <w:rPr>
          <w:sz w:val="24"/>
          <w:szCs w:val="24"/>
        </w:rPr>
        <w:t xml:space="preserve"> durante los últimos tres meses</w:t>
      </w:r>
      <w:r w:rsidR="00245551" w:rsidRPr="004B499C">
        <w:rPr>
          <w:sz w:val="24"/>
          <w:szCs w:val="24"/>
        </w:rPr>
        <w:t xml:space="preserve"> para todo el SNP y FCL</w:t>
      </w:r>
      <w:r w:rsidR="00D301A6" w:rsidRPr="004B499C">
        <w:rPr>
          <w:sz w:val="24"/>
          <w:szCs w:val="24"/>
        </w:rPr>
        <w:t>.</w:t>
      </w:r>
    </w:p>
    <w:p w14:paraId="3F2626A6" w14:textId="77777777" w:rsidR="00E2531A" w:rsidRPr="004B499C" w:rsidRDefault="00E2531A" w:rsidP="004B499C">
      <w:pPr>
        <w:spacing w:after="0"/>
        <w:jc w:val="both"/>
        <w:rPr>
          <w:sz w:val="24"/>
          <w:szCs w:val="24"/>
        </w:rPr>
      </w:pPr>
    </w:p>
    <w:p w14:paraId="2BE6F555" w14:textId="18C9EBFC" w:rsidR="0002201E" w:rsidRPr="004B499C" w:rsidRDefault="00E2531A" w:rsidP="004B499C">
      <w:pPr>
        <w:spacing w:after="0"/>
        <w:jc w:val="both"/>
        <w:rPr>
          <w:sz w:val="24"/>
          <w:szCs w:val="24"/>
        </w:rPr>
      </w:pPr>
      <w:r w:rsidRPr="004B499C">
        <w:rPr>
          <w:sz w:val="24"/>
          <w:szCs w:val="24"/>
        </w:rPr>
        <w:lastRenderedPageBreak/>
        <w:t xml:space="preserve">El </w:t>
      </w:r>
      <w:r w:rsidR="00450F7C" w:rsidRPr="004B499C">
        <w:rPr>
          <w:sz w:val="24"/>
          <w:szCs w:val="24"/>
        </w:rPr>
        <w:t>11,6</w:t>
      </w:r>
      <w:r w:rsidRPr="004B499C">
        <w:rPr>
          <w:sz w:val="24"/>
          <w:szCs w:val="24"/>
        </w:rPr>
        <w:t>% del total de</w:t>
      </w:r>
      <w:r w:rsidR="00245551" w:rsidRPr="004B499C">
        <w:rPr>
          <w:sz w:val="24"/>
          <w:szCs w:val="24"/>
        </w:rPr>
        <w:t xml:space="preserve"> los</w:t>
      </w:r>
      <w:r w:rsidRPr="004B499C">
        <w:rPr>
          <w:sz w:val="24"/>
          <w:szCs w:val="24"/>
        </w:rPr>
        <w:t xml:space="preserve"> portafolio</w:t>
      </w:r>
      <w:r w:rsidR="00245551" w:rsidRPr="004B499C">
        <w:rPr>
          <w:sz w:val="24"/>
          <w:szCs w:val="24"/>
        </w:rPr>
        <w:t>s</w:t>
      </w:r>
      <w:r w:rsidRPr="004B499C">
        <w:rPr>
          <w:sz w:val="24"/>
          <w:szCs w:val="24"/>
        </w:rPr>
        <w:t xml:space="preserve"> se invierte</w:t>
      </w:r>
      <w:r w:rsidR="008C72AF" w:rsidRPr="004B499C">
        <w:rPr>
          <w:sz w:val="24"/>
          <w:szCs w:val="24"/>
        </w:rPr>
        <w:t>n</w:t>
      </w:r>
      <w:r w:rsidRPr="004B499C">
        <w:rPr>
          <w:sz w:val="24"/>
          <w:szCs w:val="24"/>
        </w:rPr>
        <w:t xml:space="preserve"> en el sector extranjero, lo que significa un aumento de</w:t>
      </w:r>
      <w:r w:rsidR="00450F7C" w:rsidRPr="004B499C">
        <w:rPr>
          <w:sz w:val="24"/>
          <w:szCs w:val="24"/>
        </w:rPr>
        <w:t>l 35%</w:t>
      </w:r>
      <w:r w:rsidRPr="004B499C">
        <w:rPr>
          <w:sz w:val="24"/>
          <w:szCs w:val="24"/>
        </w:rPr>
        <w:t xml:space="preserve"> con respecto al cierre del trimestre anterior,</w:t>
      </w:r>
      <w:r w:rsidR="00334092" w:rsidRPr="004B499C">
        <w:rPr>
          <w:sz w:val="24"/>
          <w:szCs w:val="24"/>
        </w:rPr>
        <w:t xml:space="preserve"> </w:t>
      </w:r>
      <w:r w:rsidR="0032341D" w:rsidRPr="004B499C">
        <w:rPr>
          <w:sz w:val="24"/>
          <w:szCs w:val="24"/>
        </w:rPr>
        <w:t xml:space="preserve">correspondiente el </w:t>
      </w:r>
      <w:r w:rsidRPr="004B499C">
        <w:rPr>
          <w:sz w:val="24"/>
          <w:szCs w:val="24"/>
        </w:rPr>
        <w:t>94,</w:t>
      </w:r>
      <w:r w:rsidR="00450F7C" w:rsidRPr="004B499C">
        <w:rPr>
          <w:sz w:val="24"/>
          <w:szCs w:val="24"/>
        </w:rPr>
        <w:t xml:space="preserve">6% </w:t>
      </w:r>
      <w:r w:rsidR="0032341D" w:rsidRPr="004B499C">
        <w:rPr>
          <w:sz w:val="24"/>
          <w:szCs w:val="24"/>
        </w:rPr>
        <w:t>a cartera</w:t>
      </w:r>
      <w:r w:rsidR="00334092" w:rsidRPr="004B499C">
        <w:rPr>
          <w:sz w:val="24"/>
          <w:szCs w:val="24"/>
        </w:rPr>
        <w:t xml:space="preserve"> gestionad</w:t>
      </w:r>
      <w:r w:rsidR="001C3A3F" w:rsidRPr="004B499C">
        <w:rPr>
          <w:sz w:val="24"/>
          <w:szCs w:val="24"/>
        </w:rPr>
        <w:t>a</w:t>
      </w:r>
      <w:r w:rsidR="00334092" w:rsidRPr="004B499C">
        <w:rPr>
          <w:sz w:val="24"/>
          <w:szCs w:val="24"/>
        </w:rPr>
        <w:t xml:space="preserve"> </w:t>
      </w:r>
      <w:r w:rsidR="001C3A3F" w:rsidRPr="004B499C">
        <w:rPr>
          <w:sz w:val="24"/>
          <w:szCs w:val="24"/>
        </w:rPr>
        <w:t>por el</w:t>
      </w:r>
      <w:r w:rsidRPr="004B499C">
        <w:rPr>
          <w:sz w:val="24"/>
          <w:szCs w:val="24"/>
        </w:rPr>
        <w:t xml:space="preserve"> ROP. Las inversiones de este tipo se concentran en Exchange Traded Funds (ETF) y participaciones de fondos de nivel I.</w:t>
      </w:r>
    </w:p>
    <w:p w14:paraId="1ABABDEE" w14:textId="77777777" w:rsidR="004B499C" w:rsidRDefault="004B499C" w:rsidP="00E2531A">
      <w:pPr>
        <w:pStyle w:val="Descripcin"/>
        <w:spacing w:after="0"/>
        <w:jc w:val="center"/>
      </w:pPr>
    </w:p>
    <w:p w14:paraId="3061C1CF" w14:textId="7961099D" w:rsidR="00E2531A" w:rsidRDefault="00982086" w:rsidP="00E2531A">
      <w:pPr>
        <w:pStyle w:val="Descripcin"/>
        <w:spacing w:after="0"/>
        <w:jc w:val="center"/>
      </w:pPr>
      <w:r>
        <w:t>T</w:t>
      </w:r>
      <w:r w:rsidR="00E2531A">
        <w:t xml:space="preserve">abla </w:t>
      </w:r>
      <w:r w:rsidR="00E2531A">
        <w:fldChar w:fldCharType="begin"/>
      </w:r>
      <w:r w:rsidR="00E2531A">
        <w:instrText xml:space="preserve"> SEQ Tabla \* ARABIC </w:instrText>
      </w:r>
      <w:r w:rsidR="00E2531A">
        <w:fldChar w:fldCharType="separate"/>
      </w:r>
      <w:r w:rsidR="004838EC">
        <w:rPr>
          <w:noProof/>
        </w:rPr>
        <w:t>2</w:t>
      </w:r>
      <w:r w:rsidR="00E2531A">
        <w:fldChar w:fldCharType="end"/>
      </w:r>
      <w:r w:rsidR="00E2531A">
        <w:t>: Inversiones del Sistema Nacional de Pensiones y FCL</w:t>
      </w:r>
    </w:p>
    <w:p w14:paraId="3154F598" w14:textId="77777777" w:rsidR="00E2531A" w:rsidRDefault="00E2531A" w:rsidP="00E2531A">
      <w:pPr>
        <w:pStyle w:val="Descripcin"/>
        <w:tabs>
          <w:tab w:val="center" w:pos="4419"/>
          <w:tab w:val="left" w:pos="5788"/>
        </w:tabs>
        <w:spacing w:after="0"/>
      </w:pPr>
      <w:r>
        <w:tab/>
        <w:t>Por sector y tipo de fondo</w:t>
      </w:r>
    </w:p>
    <w:p w14:paraId="309B8089" w14:textId="77777777" w:rsidR="00521202" w:rsidRDefault="00521202" w:rsidP="00E2531A">
      <w:pPr>
        <w:pStyle w:val="Descripcin"/>
        <w:tabs>
          <w:tab w:val="center" w:pos="4419"/>
          <w:tab w:val="left" w:pos="5788"/>
        </w:tabs>
        <w:spacing w:after="0"/>
        <w:jc w:val="center"/>
      </w:pPr>
      <w:r>
        <w:t>M</w:t>
      </w:r>
      <w:r w:rsidRPr="00C42B4F">
        <w:t>illones de colones costarricenses</w:t>
      </w:r>
    </w:p>
    <w:p w14:paraId="235EA86E" w14:textId="332811F3" w:rsidR="00E2531A" w:rsidRDefault="00521202" w:rsidP="00E2531A">
      <w:pPr>
        <w:pStyle w:val="Descripcin"/>
        <w:tabs>
          <w:tab w:val="center" w:pos="4419"/>
          <w:tab w:val="left" w:pos="5788"/>
        </w:tabs>
        <w:spacing w:after="0"/>
        <w:jc w:val="center"/>
      </w:pPr>
      <w:r w:rsidRPr="00C42B4F">
        <w:t xml:space="preserve"> </w:t>
      </w:r>
      <w:r w:rsidR="00E2531A">
        <w:t>Al 3</w:t>
      </w:r>
      <w:r w:rsidR="00E9580F">
        <w:t>1</w:t>
      </w:r>
      <w:r w:rsidR="00E2531A">
        <w:t xml:space="preserve"> de</w:t>
      </w:r>
      <w:r w:rsidR="00E9580F">
        <w:t xml:space="preserve"> dic</w:t>
      </w:r>
      <w:r w:rsidR="00E2531A">
        <w:t>iembre del 2020</w:t>
      </w:r>
    </w:p>
    <w:tbl>
      <w:tblPr>
        <w:tblW w:w="9771" w:type="dxa"/>
        <w:jc w:val="center"/>
        <w:tblCellMar>
          <w:left w:w="70" w:type="dxa"/>
          <w:right w:w="70" w:type="dxa"/>
        </w:tblCellMar>
        <w:tblLook w:val="04A0" w:firstRow="1" w:lastRow="0" w:firstColumn="1" w:lastColumn="0" w:noHBand="0" w:noVBand="1"/>
      </w:tblPr>
      <w:tblGrid>
        <w:gridCol w:w="3392"/>
        <w:gridCol w:w="993"/>
        <w:gridCol w:w="642"/>
        <w:gridCol w:w="7"/>
        <w:gridCol w:w="1052"/>
        <w:gridCol w:w="720"/>
        <w:gridCol w:w="17"/>
        <w:gridCol w:w="1105"/>
        <w:gridCol w:w="739"/>
        <w:gridCol w:w="7"/>
        <w:gridCol w:w="1097"/>
      </w:tblGrid>
      <w:tr w:rsidR="00450F7C" w:rsidRPr="00450F7C" w14:paraId="20D95C84" w14:textId="77777777" w:rsidTr="00982086">
        <w:trPr>
          <w:trHeight w:val="240"/>
          <w:tblHeader/>
          <w:jc w:val="center"/>
        </w:trPr>
        <w:tc>
          <w:tcPr>
            <w:tcW w:w="3392" w:type="dxa"/>
            <w:vMerge w:val="restart"/>
            <w:tcBorders>
              <w:top w:val="single" w:sz="8" w:space="0" w:color="8DB3E2"/>
              <w:left w:val="single" w:sz="8" w:space="0" w:color="8DB3E2"/>
              <w:bottom w:val="single" w:sz="8" w:space="0" w:color="8DB3E2"/>
              <w:right w:val="single" w:sz="8" w:space="0" w:color="8DB3E2"/>
            </w:tcBorders>
            <w:shd w:val="clear" w:color="000000" w:fill="4F81BD"/>
            <w:noWrap/>
            <w:vAlign w:val="center"/>
            <w:hideMark/>
          </w:tcPr>
          <w:p w14:paraId="66DF6FB5" w14:textId="77777777" w:rsidR="00450F7C" w:rsidRPr="00450F7C" w:rsidRDefault="00450F7C" w:rsidP="00450F7C">
            <w:pPr>
              <w:spacing w:after="0" w:line="240" w:lineRule="auto"/>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Tipo de Fondo</w:t>
            </w:r>
          </w:p>
        </w:tc>
        <w:tc>
          <w:tcPr>
            <w:tcW w:w="1642" w:type="dxa"/>
            <w:gridSpan w:val="3"/>
            <w:tcBorders>
              <w:top w:val="single" w:sz="8" w:space="0" w:color="8DB3E2"/>
              <w:left w:val="nil"/>
              <w:bottom w:val="single" w:sz="8" w:space="0" w:color="8DB3E2"/>
              <w:right w:val="single" w:sz="8" w:space="0" w:color="8DB3E2"/>
            </w:tcBorders>
            <w:shd w:val="clear" w:color="000000" w:fill="4F81BD"/>
            <w:noWrap/>
            <w:vAlign w:val="center"/>
            <w:hideMark/>
          </w:tcPr>
          <w:p w14:paraId="24CD519D"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Extranjero</w:t>
            </w:r>
          </w:p>
        </w:tc>
        <w:tc>
          <w:tcPr>
            <w:tcW w:w="1789" w:type="dxa"/>
            <w:gridSpan w:val="3"/>
            <w:tcBorders>
              <w:top w:val="single" w:sz="8" w:space="0" w:color="8DB3E2"/>
              <w:left w:val="nil"/>
              <w:bottom w:val="single" w:sz="8" w:space="0" w:color="8DB3E2"/>
              <w:right w:val="single" w:sz="8" w:space="0" w:color="8DB3E2"/>
            </w:tcBorders>
            <w:shd w:val="clear" w:color="000000" w:fill="4F81BD"/>
            <w:noWrap/>
            <w:vAlign w:val="center"/>
            <w:hideMark/>
          </w:tcPr>
          <w:p w14:paraId="73C0CC39"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 xml:space="preserve">   Privado</w:t>
            </w:r>
          </w:p>
        </w:tc>
        <w:tc>
          <w:tcPr>
            <w:tcW w:w="1851" w:type="dxa"/>
            <w:gridSpan w:val="3"/>
            <w:tcBorders>
              <w:top w:val="single" w:sz="8" w:space="0" w:color="8DB3E2"/>
              <w:left w:val="nil"/>
              <w:bottom w:val="single" w:sz="8" w:space="0" w:color="8DB3E2"/>
              <w:right w:val="single" w:sz="8" w:space="0" w:color="8DB3E2"/>
            </w:tcBorders>
            <w:shd w:val="clear" w:color="000000" w:fill="4F81BD"/>
            <w:vAlign w:val="center"/>
            <w:hideMark/>
          </w:tcPr>
          <w:p w14:paraId="46679EE4"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Público</w:t>
            </w:r>
          </w:p>
        </w:tc>
        <w:tc>
          <w:tcPr>
            <w:tcW w:w="1097" w:type="dxa"/>
            <w:tcBorders>
              <w:top w:val="single" w:sz="8" w:space="0" w:color="8DB3E2"/>
              <w:left w:val="nil"/>
              <w:bottom w:val="single" w:sz="8" w:space="0" w:color="8DB3E2"/>
              <w:right w:val="single" w:sz="8" w:space="0" w:color="8DB3E2"/>
            </w:tcBorders>
            <w:shd w:val="clear" w:color="000000" w:fill="4F81BD"/>
            <w:noWrap/>
            <w:vAlign w:val="center"/>
            <w:hideMark/>
          </w:tcPr>
          <w:p w14:paraId="10477828" w14:textId="77777777" w:rsidR="00450F7C" w:rsidRPr="00450F7C" w:rsidRDefault="00450F7C" w:rsidP="00122C01">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Total</w:t>
            </w:r>
          </w:p>
        </w:tc>
      </w:tr>
      <w:tr w:rsidR="00450F7C" w:rsidRPr="00450F7C" w14:paraId="6EC7979F" w14:textId="77777777" w:rsidTr="00982086">
        <w:trPr>
          <w:trHeight w:val="240"/>
          <w:tblHeader/>
          <w:jc w:val="center"/>
        </w:trPr>
        <w:tc>
          <w:tcPr>
            <w:tcW w:w="3392" w:type="dxa"/>
            <w:vMerge/>
            <w:tcBorders>
              <w:top w:val="single" w:sz="8" w:space="0" w:color="8DB3E2"/>
              <w:left w:val="single" w:sz="8" w:space="0" w:color="8DB3E2"/>
              <w:bottom w:val="single" w:sz="8" w:space="0" w:color="8DB3E2"/>
              <w:right w:val="single" w:sz="8" w:space="0" w:color="8DB3E2"/>
            </w:tcBorders>
            <w:vAlign w:val="center"/>
            <w:hideMark/>
          </w:tcPr>
          <w:p w14:paraId="4DBF0074" w14:textId="77777777" w:rsidR="00450F7C" w:rsidRPr="00450F7C" w:rsidRDefault="00450F7C" w:rsidP="00450F7C">
            <w:pPr>
              <w:spacing w:after="0" w:line="240" w:lineRule="auto"/>
              <w:rPr>
                <w:rFonts w:ascii="Calibri" w:eastAsia="Times New Roman" w:hAnsi="Calibri" w:cs="Calibri"/>
                <w:b/>
                <w:bCs/>
                <w:color w:val="FFFFFF"/>
                <w:sz w:val="20"/>
                <w:szCs w:val="20"/>
                <w:lang w:val="es-CR" w:eastAsia="es-CR"/>
              </w:rPr>
            </w:pPr>
          </w:p>
        </w:tc>
        <w:tc>
          <w:tcPr>
            <w:tcW w:w="993" w:type="dxa"/>
            <w:tcBorders>
              <w:top w:val="nil"/>
              <w:left w:val="nil"/>
              <w:bottom w:val="single" w:sz="8" w:space="0" w:color="8DB3E2"/>
              <w:right w:val="single" w:sz="8" w:space="0" w:color="8DB3E2"/>
            </w:tcBorders>
            <w:shd w:val="clear" w:color="000000" w:fill="4F81BD"/>
            <w:noWrap/>
            <w:vAlign w:val="center"/>
            <w:hideMark/>
          </w:tcPr>
          <w:p w14:paraId="33814D70"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Monto</w:t>
            </w:r>
          </w:p>
        </w:tc>
        <w:tc>
          <w:tcPr>
            <w:tcW w:w="642" w:type="dxa"/>
            <w:tcBorders>
              <w:top w:val="nil"/>
              <w:left w:val="nil"/>
              <w:bottom w:val="single" w:sz="8" w:space="0" w:color="8DB3E2"/>
              <w:right w:val="single" w:sz="8" w:space="0" w:color="8DB3E2"/>
            </w:tcBorders>
            <w:shd w:val="clear" w:color="000000" w:fill="4F81BD"/>
            <w:noWrap/>
            <w:vAlign w:val="center"/>
            <w:hideMark/>
          </w:tcPr>
          <w:p w14:paraId="02849FBA"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w:t>
            </w:r>
          </w:p>
        </w:tc>
        <w:tc>
          <w:tcPr>
            <w:tcW w:w="1059" w:type="dxa"/>
            <w:gridSpan w:val="2"/>
            <w:tcBorders>
              <w:top w:val="nil"/>
              <w:left w:val="nil"/>
              <w:bottom w:val="single" w:sz="8" w:space="0" w:color="8DB3E2"/>
              <w:right w:val="single" w:sz="8" w:space="0" w:color="8DB3E2"/>
            </w:tcBorders>
            <w:shd w:val="clear" w:color="000000" w:fill="4F81BD"/>
            <w:noWrap/>
            <w:vAlign w:val="center"/>
            <w:hideMark/>
          </w:tcPr>
          <w:p w14:paraId="34F05479"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Monto</w:t>
            </w:r>
          </w:p>
        </w:tc>
        <w:tc>
          <w:tcPr>
            <w:tcW w:w="720" w:type="dxa"/>
            <w:tcBorders>
              <w:top w:val="nil"/>
              <w:left w:val="nil"/>
              <w:bottom w:val="single" w:sz="8" w:space="0" w:color="8DB3E2"/>
              <w:right w:val="single" w:sz="8" w:space="0" w:color="8DB3E2"/>
            </w:tcBorders>
            <w:shd w:val="clear" w:color="000000" w:fill="4F81BD"/>
            <w:noWrap/>
            <w:vAlign w:val="center"/>
            <w:hideMark/>
          </w:tcPr>
          <w:p w14:paraId="02E57EC1"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w:t>
            </w:r>
          </w:p>
        </w:tc>
        <w:tc>
          <w:tcPr>
            <w:tcW w:w="1122" w:type="dxa"/>
            <w:gridSpan w:val="2"/>
            <w:tcBorders>
              <w:top w:val="nil"/>
              <w:left w:val="nil"/>
              <w:bottom w:val="single" w:sz="8" w:space="0" w:color="8DB3E2"/>
              <w:right w:val="single" w:sz="8" w:space="0" w:color="8DB3E2"/>
            </w:tcBorders>
            <w:shd w:val="clear" w:color="000000" w:fill="4F81BD"/>
            <w:noWrap/>
            <w:vAlign w:val="center"/>
            <w:hideMark/>
          </w:tcPr>
          <w:p w14:paraId="393C5F98"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Monto</w:t>
            </w:r>
          </w:p>
        </w:tc>
        <w:tc>
          <w:tcPr>
            <w:tcW w:w="739" w:type="dxa"/>
            <w:tcBorders>
              <w:top w:val="nil"/>
              <w:left w:val="nil"/>
              <w:bottom w:val="single" w:sz="8" w:space="0" w:color="8DB3E2"/>
              <w:right w:val="single" w:sz="8" w:space="0" w:color="8DB3E2"/>
            </w:tcBorders>
            <w:shd w:val="clear" w:color="000000" w:fill="4F81BD"/>
            <w:noWrap/>
            <w:vAlign w:val="center"/>
            <w:hideMark/>
          </w:tcPr>
          <w:p w14:paraId="5C2C2DE0"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w:t>
            </w:r>
          </w:p>
        </w:tc>
        <w:tc>
          <w:tcPr>
            <w:tcW w:w="1104" w:type="dxa"/>
            <w:gridSpan w:val="2"/>
            <w:tcBorders>
              <w:top w:val="nil"/>
              <w:left w:val="nil"/>
              <w:bottom w:val="single" w:sz="8" w:space="0" w:color="8DB3E2"/>
              <w:right w:val="single" w:sz="8" w:space="0" w:color="8DB3E2"/>
            </w:tcBorders>
            <w:shd w:val="clear" w:color="000000" w:fill="4F81BD"/>
            <w:noWrap/>
            <w:vAlign w:val="center"/>
            <w:hideMark/>
          </w:tcPr>
          <w:p w14:paraId="25E8CB2F" w14:textId="77777777" w:rsidR="00450F7C" w:rsidRPr="00450F7C" w:rsidRDefault="00450F7C" w:rsidP="00450F7C">
            <w:pPr>
              <w:spacing w:after="0" w:line="240" w:lineRule="auto"/>
              <w:jc w:val="center"/>
              <w:rPr>
                <w:rFonts w:ascii="Calibri" w:eastAsia="Times New Roman" w:hAnsi="Calibri" w:cs="Calibri"/>
                <w:b/>
                <w:bCs/>
                <w:color w:val="FFFFFF"/>
                <w:sz w:val="20"/>
                <w:szCs w:val="20"/>
                <w:lang w:val="es-CR" w:eastAsia="es-CR"/>
              </w:rPr>
            </w:pPr>
            <w:r w:rsidRPr="00450F7C">
              <w:rPr>
                <w:rFonts w:ascii="Calibri" w:eastAsia="Times New Roman" w:hAnsi="Calibri" w:cs="Calibri"/>
                <w:b/>
                <w:bCs/>
                <w:color w:val="FFFFFF"/>
                <w:sz w:val="20"/>
                <w:szCs w:val="20"/>
                <w:lang w:val="es-CR" w:eastAsia="es-CR"/>
              </w:rPr>
              <w:t>Monto</w:t>
            </w:r>
          </w:p>
        </w:tc>
      </w:tr>
      <w:tr w:rsidR="00450F7C" w:rsidRPr="00450F7C" w14:paraId="277637F9"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7A10AEE3"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Régimen Básico (RIVM)</w:t>
            </w:r>
          </w:p>
        </w:tc>
        <w:tc>
          <w:tcPr>
            <w:tcW w:w="993" w:type="dxa"/>
            <w:tcBorders>
              <w:top w:val="nil"/>
              <w:left w:val="nil"/>
              <w:bottom w:val="single" w:sz="8" w:space="0" w:color="95B3D7"/>
              <w:right w:val="single" w:sz="8" w:space="0" w:color="95B3D7"/>
            </w:tcBorders>
            <w:shd w:val="clear" w:color="auto" w:fill="auto"/>
            <w:noWrap/>
            <w:vAlign w:val="center"/>
            <w:hideMark/>
          </w:tcPr>
          <w:p w14:paraId="6D122BAE"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6D229DBB"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640A01F2"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86 190</w:t>
            </w:r>
          </w:p>
        </w:tc>
        <w:tc>
          <w:tcPr>
            <w:tcW w:w="720" w:type="dxa"/>
            <w:tcBorders>
              <w:top w:val="nil"/>
              <w:left w:val="nil"/>
              <w:bottom w:val="single" w:sz="8" w:space="0" w:color="95B3D7"/>
              <w:right w:val="single" w:sz="8" w:space="0" w:color="95B3D7"/>
            </w:tcBorders>
            <w:shd w:val="clear" w:color="auto" w:fill="auto"/>
            <w:noWrap/>
            <w:vAlign w:val="center"/>
            <w:hideMark/>
          </w:tcPr>
          <w:p w14:paraId="6EF99A38"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3,7%</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789E5977"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2 212 522</w:t>
            </w:r>
          </w:p>
        </w:tc>
        <w:tc>
          <w:tcPr>
            <w:tcW w:w="739" w:type="dxa"/>
            <w:tcBorders>
              <w:top w:val="nil"/>
              <w:left w:val="nil"/>
              <w:bottom w:val="single" w:sz="8" w:space="0" w:color="95B3D7"/>
              <w:right w:val="single" w:sz="8" w:space="0" w:color="95B3D7"/>
            </w:tcBorders>
            <w:shd w:val="clear" w:color="auto" w:fill="auto"/>
            <w:noWrap/>
            <w:vAlign w:val="center"/>
            <w:hideMark/>
          </w:tcPr>
          <w:p w14:paraId="6DDB25A3"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96,3%</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0B3FBE5A"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2 298 712</w:t>
            </w:r>
          </w:p>
        </w:tc>
      </w:tr>
      <w:tr w:rsidR="00450F7C" w:rsidRPr="00450F7C" w14:paraId="35117ECC" w14:textId="77777777" w:rsidTr="00982086">
        <w:trPr>
          <w:trHeight w:val="240"/>
          <w:tblHeader/>
          <w:jc w:val="center"/>
        </w:trPr>
        <w:tc>
          <w:tcPr>
            <w:tcW w:w="9771" w:type="dxa"/>
            <w:gridSpan w:val="11"/>
            <w:tcBorders>
              <w:top w:val="single" w:sz="8" w:space="0" w:color="95B3D7"/>
              <w:left w:val="single" w:sz="8" w:space="0" w:color="95B3D7"/>
              <w:bottom w:val="single" w:sz="8" w:space="0" w:color="95B3D7"/>
              <w:right w:val="nil"/>
            </w:tcBorders>
            <w:shd w:val="clear" w:color="000000" w:fill="DBE5F1"/>
            <w:noWrap/>
            <w:vAlign w:val="center"/>
            <w:hideMark/>
          </w:tcPr>
          <w:p w14:paraId="7D4E048D"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Regímenes Básicos Sustitutos</w:t>
            </w:r>
          </w:p>
        </w:tc>
      </w:tr>
      <w:tr w:rsidR="00450F7C" w:rsidRPr="00450F7C" w14:paraId="0F70CEC7"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7B3A2F66" w14:textId="45BBEAC3"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w:t>
            </w:r>
            <w:r w:rsidR="006A0C09">
              <w:rPr>
                <w:rFonts w:ascii="Calibri" w:eastAsia="Times New Roman" w:hAnsi="Calibri" w:cs="Calibri"/>
                <w:b/>
                <w:bCs/>
                <w:color w:val="000000"/>
                <w:sz w:val="20"/>
                <w:szCs w:val="20"/>
                <w:lang w:val="es-CR" w:eastAsia="es-CR"/>
              </w:rPr>
              <w:t>R</w:t>
            </w:r>
            <w:r w:rsidRPr="00450F7C">
              <w:rPr>
                <w:rFonts w:ascii="Calibri" w:eastAsia="Times New Roman" w:hAnsi="Calibri" w:cs="Calibri"/>
                <w:b/>
                <w:bCs/>
                <w:color w:val="000000"/>
                <w:sz w:val="20"/>
                <w:szCs w:val="20"/>
                <w:lang w:val="es-CR" w:eastAsia="es-CR"/>
              </w:rPr>
              <w:t>CCMN</w:t>
            </w:r>
          </w:p>
        </w:tc>
        <w:tc>
          <w:tcPr>
            <w:tcW w:w="993" w:type="dxa"/>
            <w:tcBorders>
              <w:top w:val="nil"/>
              <w:left w:val="nil"/>
              <w:bottom w:val="single" w:sz="8" w:space="0" w:color="95B3D7"/>
              <w:right w:val="single" w:sz="8" w:space="0" w:color="95B3D7"/>
            </w:tcBorders>
            <w:shd w:val="clear" w:color="auto" w:fill="auto"/>
            <w:noWrap/>
            <w:vAlign w:val="center"/>
            <w:hideMark/>
          </w:tcPr>
          <w:p w14:paraId="02394D5A" w14:textId="64A9645B"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6B591B62"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547C6674" w14:textId="5EFF317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407 980 </w:t>
            </w:r>
          </w:p>
        </w:tc>
        <w:tc>
          <w:tcPr>
            <w:tcW w:w="720" w:type="dxa"/>
            <w:tcBorders>
              <w:top w:val="nil"/>
              <w:left w:val="nil"/>
              <w:bottom w:val="single" w:sz="8" w:space="0" w:color="95B3D7"/>
              <w:right w:val="single" w:sz="8" w:space="0" w:color="95B3D7"/>
            </w:tcBorders>
            <w:shd w:val="clear" w:color="auto" w:fill="auto"/>
            <w:noWrap/>
            <w:vAlign w:val="center"/>
            <w:hideMark/>
          </w:tcPr>
          <w:p w14:paraId="4373579E"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13,5%</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3AF51C52" w14:textId="5857E60C"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2 611 480 </w:t>
            </w:r>
          </w:p>
        </w:tc>
        <w:tc>
          <w:tcPr>
            <w:tcW w:w="739" w:type="dxa"/>
            <w:tcBorders>
              <w:top w:val="nil"/>
              <w:left w:val="nil"/>
              <w:bottom w:val="single" w:sz="8" w:space="0" w:color="95B3D7"/>
              <w:right w:val="single" w:sz="8" w:space="0" w:color="95B3D7"/>
            </w:tcBorders>
            <w:shd w:val="clear" w:color="auto" w:fill="auto"/>
            <w:noWrap/>
            <w:vAlign w:val="center"/>
            <w:hideMark/>
          </w:tcPr>
          <w:p w14:paraId="684C3A0C"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86,5%</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4F5BCA68" w14:textId="74C445F2"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3 019 460 </w:t>
            </w:r>
          </w:p>
        </w:tc>
      </w:tr>
      <w:tr w:rsidR="00450F7C" w:rsidRPr="00450F7C" w14:paraId="7D347D66"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75B95758"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FPJ</w:t>
            </w:r>
          </w:p>
        </w:tc>
        <w:tc>
          <w:tcPr>
            <w:tcW w:w="993" w:type="dxa"/>
            <w:tcBorders>
              <w:top w:val="nil"/>
              <w:left w:val="nil"/>
              <w:bottom w:val="single" w:sz="8" w:space="0" w:color="95B3D7"/>
              <w:right w:val="single" w:sz="8" w:space="0" w:color="95B3D7"/>
            </w:tcBorders>
            <w:shd w:val="clear" w:color="000000" w:fill="DBE5F1"/>
            <w:noWrap/>
            <w:vAlign w:val="center"/>
            <w:hideMark/>
          </w:tcPr>
          <w:p w14:paraId="6258CDDE" w14:textId="0B61430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000000" w:fill="DBE5F1"/>
            <w:noWrap/>
            <w:vAlign w:val="center"/>
            <w:hideMark/>
          </w:tcPr>
          <w:p w14:paraId="03DEA414"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0F49525C" w14:textId="4328B340"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114 552 </w:t>
            </w:r>
          </w:p>
        </w:tc>
        <w:tc>
          <w:tcPr>
            <w:tcW w:w="720" w:type="dxa"/>
            <w:tcBorders>
              <w:top w:val="nil"/>
              <w:left w:val="nil"/>
              <w:bottom w:val="single" w:sz="8" w:space="0" w:color="95B3D7"/>
              <w:right w:val="single" w:sz="8" w:space="0" w:color="95B3D7"/>
            </w:tcBorders>
            <w:shd w:val="clear" w:color="000000" w:fill="DBE5F1"/>
            <w:noWrap/>
            <w:vAlign w:val="center"/>
            <w:hideMark/>
          </w:tcPr>
          <w:p w14:paraId="0AE944A7"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18,8%</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31FB7B1C" w14:textId="6FF267D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493 223 </w:t>
            </w:r>
          </w:p>
        </w:tc>
        <w:tc>
          <w:tcPr>
            <w:tcW w:w="739" w:type="dxa"/>
            <w:tcBorders>
              <w:top w:val="nil"/>
              <w:left w:val="nil"/>
              <w:bottom w:val="single" w:sz="8" w:space="0" w:color="95B3D7"/>
              <w:right w:val="single" w:sz="8" w:space="0" w:color="95B3D7"/>
            </w:tcBorders>
            <w:shd w:val="clear" w:color="000000" w:fill="DBE5F1"/>
            <w:noWrap/>
            <w:vAlign w:val="center"/>
            <w:hideMark/>
          </w:tcPr>
          <w:p w14:paraId="17AE9CBE"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81,2%</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20BFE803" w14:textId="7306728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607 775 </w:t>
            </w:r>
          </w:p>
        </w:tc>
      </w:tr>
      <w:tr w:rsidR="00450F7C" w:rsidRPr="00450F7C" w14:paraId="3526156C"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61BBA8BD"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FBOMBEROS</w:t>
            </w:r>
          </w:p>
        </w:tc>
        <w:tc>
          <w:tcPr>
            <w:tcW w:w="993" w:type="dxa"/>
            <w:tcBorders>
              <w:top w:val="nil"/>
              <w:left w:val="nil"/>
              <w:bottom w:val="single" w:sz="8" w:space="0" w:color="95B3D7"/>
              <w:right w:val="single" w:sz="8" w:space="0" w:color="95B3D7"/>
            </w:tcBorders>
            <w:shd w:val="clear" w:color="auto" w:fill="auto"/>
            <w:noWrap/>
            <w:vAlign w:val="center"/>
            <w:hideMark/>
          </w:tcPr>
          <w:p w14:paraId="77455012" w14:textId="3666ACEA"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391DB495"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43A57D4A" w14:textId="2165A72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16 064 </w:t>
            </w:r>
          </w:p>
        </w:tc>
        <w:tc>
          <w:tcPr>
            <w:tcW w:w="720" w:type="dxa"/>
            <w:tcBorders>
              <w:top w:val="nil"/>
              <w:left w:val="nil"/>
              <w:bottom w:val="single" w:sz="8" w:space="0" w:color="95B3D7"/>
              <w:right w:val="single" w:sz="8" w:space="0" w:color="95B3D7"/>
            </w:tcBorders>
            <w:shd w:val="clear" w:color="auto" w:fill="auto"/>
            <w:noWrap/>
            <w:vAlign w:val="center"/>
            <w:hideMark/>
          </w:tcPr>
          <w:p w14:paraId="3EC44C76"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32,5%</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0BB616C6" w14:textId="3A38DC3F"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33 108 </w:t>
            </w:r>
          </w:p>
        </w:tc>
        <w:tc>
          <w:tcPr>
            <w:tcW w:w="739" w:type="dxa"/>
            <w:tcBorders>
              <w:top w:val="nil"/>
              <w:left w:val="nil"/>
              <w:bottom w:val="single" w:sz="8" w:space="0" w:color="95B3D7"/>
              <w:right w:val="single" w:sz="8" w:space="0" w:color="95B3D7"/>
            </w:tcBorders>
            <w:shd w:val="clear" w:color="auto" w:fill="auto"/>
            <w:noWrap/>
            <w:vAlign w:val="center"/>
            <w:hideMark/>
          </w:tcPr>
          <w:p w14:paraId="63945D7A"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67,3%</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4DD31053" w14:textId="23056121"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49 172 </w:t>
            </w:r>
          </w:p>
        </w:tc>
      </w:tr>
      <w:tr w:rsidR="00450F7C" w:rsidRPr="00450F7C" w14:paraId="45AA3FF9" w14:textId="77777777" w:rsidTr="00982086">
        <w:trPr>
          <w:trHeight w:val="240"/>
          <w:tblHeader/>
          <w:jc w:val="center"/>
        </w:trPr>
        <w:tc>
          <w:tcPr>
            <w:tcW w:w="9771" w:type="dxa"/>
            <w:gridSpan w:val="11"/>
            <w:tcBorders>
              <w:top w:val="single" w:sz="8" w:space="0" w:color="95B3D7"/>
              <w:left w:val="single" w:sz="8" w:space="0" w:color="95B3D7"/>
              <w:bottom w:val="single" w:sz="8" w:space="0" w:color="95B3D7"/>
              <w:right w:val="nil"/>
            </w:tcBorders>
            <w:shd w:val="clear" w:color="000000" w:fill="DBE5F1"/>
            <w:noWrap/>
            <w:vAlign w:val="center"/>
            <w:hideMark/>
          </w:tcPr>
          <w:p w14:paraId="11109ED6"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Regímenes Ocupacionales Complementarios</w:t>
            </w:r>
          </w:p>
        </w:tc>
      </w:tr>
      <w:tr w:rsidR="00450F7C" w:rsidRPr="00450F7C" w14:paraId="461DCE94"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2F651132"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FBNCR</w:t>
            </w:r>
          </w:p>
        </w:tc>
        <w:tc>
          <w:tcPr>
            <w:tcW w:w="993" w:type="dxa"/>
            <w:tcBorders>
              <w:top w:val="nil"/>
              <w:left w:val="nil"/>
              <w:bottom w:val="single" w:sz="8" w:space="0" w:color="95B3D7"/>
              <w:right w:val="single" w:sz="8" w:space="0" w:color="95B3D7"/>
            </w:tcBorders>
            <w:shd w:val="clear" w:color="auto" w:fill="auto"/>
            <w:noWrap/>
            <w:vAlign w:val="center"/>
            <w:hideMark/>
          </w:tcPr>
          <w:p w14:paraId="5351678E" w14:textId="72CB18E9"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74FE9BDB"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66AE28A0" w14:textId="73DBC69E"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21 670 </w:t>
            </w:r>
          </w:p>
        </w:tc>
        <w:tc>
          <w:tcPr>
            <w:tcW w:w="720" w:type="dxa"/>
            <w:tcBorders>
              <w:top w:val="nil"/>
              <w:left w:val="nil"/>
              <w:bottom w:val="single" w:sz="8" w:space="0" w:color="95B3D7"/>
              <w:right w:val="single" w:sz="8" w:space="0" w:color="95B3D7"/>
            </w:tcBorders>
            <w:shd w:val="clear" w:color="auto" w:fill="auto"/>
            <w:noWrap/>
            <w:vAlign w:val="center"/>
            <w:hideMark/>
          </w:tcPr>
          <w:p w14:paraId="42597CEF"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13,4%</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7E1AAB7F" w14:textId="1DC65FF9"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140 570 </w:t>
            </w:r>
          </w:p>
        </w:tc>
        <w:tc>
          <w:tcPr>
            <w:tcW w:w="739" w:type="dxa"/>
            <w:tcBorders>
              <w:top w:val="nil"/>
              <w:left w:val="nil"/>
              <w:bottom w:val="single" w:sz="8" w:space="0" w:color="95B3D7"/>
              <w:right w:val="single" w:sz="8" w:space="0" w:color="95B3D7"/>
            </w:tcBorders>
            <w:shd w:val="clear" w:color="auto" w:fill="auto"/>
            <w:noWrap/>
            <w:vAlign w:val="center"/>
            <w:hideMark/>
          </w:tcPr>
          <w:p w14:paraId="60321CB3"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86,6%</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7D83D8B7" w14:textId="62C52D8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162 239 </w:t>
            </w:r>
          </w:p>
        </w:tc>
      </w:tr>
      <w:tr w:rsidR="00450F7C" w:rsidRPr="00450F7C" w14:paraId="0286AB40"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008AE567"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FICE</w:t>
            </w:r>
          </w:p>
        </w:tc>
        <w:tc>
          <w:tcPr>
            <w:tcW w:w="993" w:type="dxa"/>
            <w:tcBorders>
              <w:top w:val="nil"/>
              <w:left w:val="nil"/>
              <w:bottom w:val="single" w:sz="8" w:space="0" w:color="95B3D7"/>
              <w:right w:val="single" w:sz="8" w:space="0" w:color="95B3D7"/>
            </w:tcBorders>
            <w:shd w:val="clear" w:color="000000" w:fill="DBE5F1"/>
            <w:noWrap/>
            <w:vAlign w:val="center"/>
            <w:hideMark/>
          </w:tcPr>
          <w:p w14:paraId="6B8F4787" w14:textId="54DE18B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000000" w:fill="DBE5F1"/>
            <w:noWrap/>
            <w:vAlign w:val="center"/>
            <w:hideMark/>
          </w:tcPr>
          <w:p w14:paraId="72B7FF33"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17C64855" w14:textId="4DF63F72"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43 692 </w:t>
            </w:r>
          </w:p>
        </w:tc>
        <w:tc>
          <w:tcPr>
            <w:tcW w:w="720" w:type="dxa"/>
            <w:tcBorders>
              <w:top w:val="nil"/>
              <w:left w:val="nil"/>
              <w:bottom w:val="single" w:sz="8" w:space="0" w:color="95B3D7"/>
              <w:right w:val="single" w:sz="8" w:space="0" w:color="95B3D7"/>
            </w:tcBorders>
            <w:shd w:val="clear" w:color="000000" w:fill="DBE5F1"/>
            <w:noWrap/>
            <w:vAlign w:val="center"/>
            <w:hideMark/>
          </w:tcPr>
          <w:p w14:paraId="2CD1A1A6"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11,9%</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01331CB3" w14:textId="679D6B94"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322 204 </w:t>
            </w:r>
          </w:p>
        </w:tc>
        <w:tc>
          <w:tcPr>
            <w:tcW w:w="739" w:type="dxa"/>
            <w:tcBorders>
              <w:top w:val="nil"/>
              <w:left w:val="nil"/>
              <w:bottom w:val="single" w:sz="8" w:space="0" w:color="95B3D7"/>
              <w:right w:val="single" w:sz="8" w:space="0" w:color="95B3D7"/>
            </w:tcBorders>
            <w:shd w:val="clear" w:color="000000" w:fill="DBE5F1"/>
            <w:noWrap/>
            <w:vAlign w:val="center"/>
            <w:hideMark/>
          </w:tcPr>
          <w:p w14:paraId="20E0A5C4"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88,1%</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65442685" w14:textId="4269B1E3"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365 896 </w:t>
            </w:r>
          </w:p>
        </w:tc>
      </w:tr>
      <w:tr w:rsidR="00450F7C" w:rsidRPr="00450F7C" w14:paraId="59BAFF72"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036479D7"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FRE</w:t>
            </w:r>
          </w:p>
        </w:tc>
        <w:tc>
          <w:tcPr>
            <w:tcW w:w="993" w:type="dxa"/>
            <w:tcBorders>
              <w:top w:val="nil"/>
              <w:left w:val="nil"/>
              <w:bottom w:val="single" w:sz="8" w:space="0" w:color="95B3D7"/>
              <w:right w:val="single" w:sz="8" w:space="0" w:color="95B3D7"/>
            </w:tcBorders>
            <w:shd w:val="clear" w:color="auto" w:fill="auto"/>
            <w:noWrap/>
            <w:vAlign w:val="center"/>
            <w:hideMark/>
          </w:tcPr>
          <w:p w14:paraId="40A2DA71" w14:textId="3E6A745B"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42A2E766"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7E94141C" w14:textId="3467E55C"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49 108 </w:t>
            </w:r>
          </w:p>
        </w:tc>
        <w:tc>
          <w:tcPr>
            <w:tcW w:w="720" w:type="dxa"/>
            <w:tcBorders>
              <w:top w:val="nil"/>
              <w:left w:val="nil"/>
              <w:bottom w:val="single" w:sz="8" w:space="0" w:color="95B3D7"/>
              <w:right w:val="single" w:sz="8" w:space="0" w:color="95B3D7"/>
            </w:tcBorders>
            <w:shd w:val="clear" w:color="auto" w:fill="auto"/>
            <w:noWrap/>
            <w:vAlign w:val="center"/>
            <w:hideMark/>
          </w:tcPr>
          <w:p w14:paraId="11D47122"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25,1%</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1E04DBAD" w14:textId="34B66F5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146 522 </w:t>
            </w:r>
          </w:p>
        </w:tc>
        <w:tc>
          <w:tcPr>
            <w:tcW w:w="739" w:type="dxa"/>
            <w:tcBorders>
              <w:top w:val="nil"/>
              <w:left w:val="nil"/>
              <w:bottom w:val="single" w:sz="8" w:space="0" w:color="95B3D7"/>
              <w:right w:val="single" w:sz="8" w:space="0" w:color="95B3D7"/>
            </w:tcBorders>
            <w:shd w:val="clear" w:color="auto" w:fill="auto"/>
            <w:noWrap/>
            <w:vAlign w:val="center"/>
            <w:hideMark/>
          </w:tcPr>
          <w:p w14:paraId="3B6C49C6"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74,9%</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4457072C" w14:textId="3492C28B"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195 630 </w:t>
            </w:r>
          </w:p>
        </w:tc>
      </w:tr>
      <w:tr w:rsidR="00450F7C" w:rsidRPr="00450F7C" w14:paraId="61E70457"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75E697CB"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FRECOPE</w:t>
            </w:r>
          </w:p>
        </w:tc>
        <w:tc>
          <w:tcPr>
            <w:tcW w:w="993" w:type="dxa"/>
            <w:tcBorders>
              <w:top w:val="nil"/>
              <w:left w:val="nil"/>
              <w:bottom w:val="single" w:sz="8" w:space="0" w:color="95B3D7"/>
              <w:right w:val="single" w:sz="8" w:space="0" w:color="95B3D7"/>
            </w:tcBorders>
            <w:shd w:val="clear" w:color="000000" w:fill="DBE5F1"/>
            <w:noWrap/>
            <w:vAlign w:val="center"/>
            <w:hideMark/>
          </w:tcPr>
          <w:p w14:paraId="2A5A4FB7" w14:textId="4F7D9232"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000000" w:fill="DBE5F1"/>
            <w:noWrap/>
            <w:vAlign w:val="center"/>
            <w:hideMark/>
          </w:tcPr>
          <w:p w14:paraId="65B0FAD1"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51930DE0" w14:textId="5AE02EB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 </w:t>
            </w:r>
          </w:p>
        </w:tc>
        <w:tc>
          <w:tcPr>
            <w:tcW w:w="720" w:type="dxa"/>
            <w:tcBorders>
              <w:top w:val="nil"/>
              <w:left w:val="nil"/>
              <w:bottom w:val="single" w:sz="8" w:space="0" w:color="95B3D7"/>
              <w:right w:val="single" w:sz="8" w:space="0" w:color="95B3D7"/>
            </w:tcBorders>
            <w:shd w:val="clear" w:color="000000" w:fill="DBE5F1"/>
            <w:noWrap/>
            <w:vAlign w:val="center"/>
            <w:hideMark/>
          </w:tcPr>
          <w:p w14:paraId="11881E13"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2DF66E42" w14:textId="162DB3FA"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14 </w:t>
            </w:r>
          </w:p>
        </w:tc>
        <w:tc>
          <w:tcPr>
            <w:tcW w:w="739" w:type="dxa"/>
            <w:tcBorders>
              <w:top w:val="nil"/>
              <w:left w:val="nil"/>
              <w:bottom w:val="single" w:sz="8" w:space="0" w:color="95B3D7"/>
              <w:right w:val="single" w:sz="8" w:space="0" w:color="95B3D7"/>
            </w:tcBorders>
            <w:shd w:val="clear" w:color="000000" w:fill="DBE5F1"/>
            <w:noWrap/>
            <w:vAlign w:val="center"/>
            <w:hideMark/>
          </w:tcPr>
          <w:p w14:paraId="61F0AC05"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100,0%</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6904380C" w14:textId="71077115"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14 </w:t>
            </w:r>
          </w:p>
        </w:tc>
      </w:tr>
      <w:tr w:rsidR="00450F7C" w:rsidRPr="00450F7C" w14:paraId="07C3FAB9"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769E7197"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FVENLOT</w:t>
            </w:r>
          </w:p>
        </w:tc>
        <w:tc>
          <w:tcPr>
            <w:tcW w:w="993" w:type="dxa"/>
            <w:tcBorders>
              <w:top w:val="nil"/>
              <w:left w:val="nil"/>
              <w:bottom w:val="single" w:sz="8" w:space="0" w:color="95B3D7"/>
              <w:right w:val="single" w:sz="8" w:space="0" w:color="95B3D7"/>
            </w:tcBorders>
            <w:shd w:val="clear" w:color="auto" w:fill="auto"/>
            <w:noWrap/>
            <w:vAlign w:val="center"/>
            <w:hideMark/>
          </w:tcPr>
          <w:p w14:paraId="3778B4F4" w14:textId="08F40285"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2CC2BB4D"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45983776" w14:textId="0226518C"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 6 762 </w:t>
            </w:r>
          </w:p>
        </w:tc>
        <w:tc>
          <w:tcPr>
            <w:tcW w:w="720" w:type="dxa"/>
            <w:tcBorders>
              <w:top w:val="nil"/>
              <w:left w:val="nil"/>
              <w:bottom w:val="single" w:sz="8" w:space="0" w:color="95B3D7"/>
              <w:right w:val="single" w:sz="8" w:space="0" w:color="95B3D7"/>
            </w:tcBorders>
            <w:shd w:val="clear" w:color="auto" w:fill="auto"/>
            <w:noWrap/>
            <w:vAlign w:val="center"/>
            <w:hideMark/>
          </w:tcPr>
          <w:p w14:paraId="7B94966F"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26,6%</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0E5C2819" w14:textId="65F324DD"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18 621 </w:t>
            </w:r>
          </w:p>
        </w:tc>
        <w:tc>
          <w:tcPr>
            <w:tcW w:w="739" w:type="dxa"/>
            <w:tcBorders>
              <w:top w:val="nil"/>
              <w:left w:val="nil"/>
              <w:bottom w:val="single" w:sz="8" w:space="0" w:color="95B3D7"/>
              <w:right w:val="single" w:sz="8" w:space="0" w:color="95B3D7"/>
            </w:tcBorders>
            <w:shd w:val="clear" w:color="auto" w:fill="auto"/>
            <w:noWrap/>
            <w:vAlign w:val="center"/>
            <w:hideMark/>
          </w:tcPr>
          <w:p w14:paraId="007AFFA8"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73,4%</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09AE88D5" w14:textId="6902AA39"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25 383 </w:t>
            </w:r>
          </w:p>
        </w:tc>
      </w:tr>
      <w:tr w:rsidR="00450F7C" w:rsidRPr="00450F7C" w14:paraId="3286CCE4"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047631B0"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FBCR</w:t>
            </w:r>
          </w:p>
        </w:tc>
        <w:tc>
          <w:tcPr>
            <w:tcW w:w="993" w:type="dxa"/>
            <w:tcBorders>
              <w:top w:val="nil"/>
              <w:left w:val="nil"/>
              <w:bottom w:val="single" w:sz="8" w:space="0" w:color="95B3D7"/>
              <w:right w:val="single" w:sz="8" w:space="0" w:color="95B3D7"/>
            </w:tcBorders>
            <w:shd w:val="clear" w:color="000000" w:fill="DBE5F1"/>
            <w:noWrap/>
            <w:vAlign w:val="center"/>
            <w:hideMark/>
          </w:tcPr>
          <w:p w14:paraId="455CD7AF" w14:textId="05197F85"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000000" w:fill="DBE5F1"/>
            <w:noWrap/>
            <w:vAlign w:val="center"/>
            <w:hideMark/>
          </w:tcPr>
          <w:p w14:paraId="15CB3340"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2F79D1CD" w14:textId="7064A2B8"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42 236 </w:t>
            </w:r>
          </w:p>
        </w:tc>
        <w:tc>
          <w:tcPr>
            <w:tcW w:w="720" w:type="dxa"/>
            <w:tcBorders>
              <w:top w:val="nil"/>
              <w:left w:val="nil"/>
              <w:bottom w:val="single" w:sz="8" w:space="0" w:color="95B3D7"/>
              <w:right w:val="single" w:sz="8" w:space="0" w:color="95B3D7"/>
            </w:tcBorders>
            <w:shd w:val="clear" w:color="000000" w:fill="DBE5F1"/>
            <w:noWrap/>
            <w:vAlign w:val="center"/>
            <w:hideMark/>
          </w:tcPr>
          <w:p w14:paraId="6F727E1C"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34,2%</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165CF3CE" w14:textId="6332750F"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81 358 </w:t>
            </w:r>
          </w:p>
        </w:tc>
        <w:tc>
          <w:tcPr>
            <w:tcW w:w="739" w:type="dxa"/>
            <w:tcBorders>
              <w:top w:val="nil"/>
              <w:left w:val="nil"/>
              <w:bottom w:val="single" w:sz="8" w:space="0" w:color="95B3D7"/>
              <w:right w:val="single" w:sz="8" w:space="0" w:color="95B3D7"/>
            </w:tcBorders>
            <w:shd w:val="clear" w:color="000000" w:fill="DBE5F1"/>
            <w:noWrap/>
            <w:vAlign w:val="center"/>
            <w:hideMark/>
          </w:tcPr>
          <w:p w14:paraId="0701F497"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65,8%</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7110F4A8" w14:textId="5DED3468"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123 594 </w:t>
            </w:r>
          </w:p>
        </w:tc>
      </w:tr>
      <w:tr w:rsidR="00450F7C" w:rsidRPr="00450F7C" w14:paraId="2552B133"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786F040B"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FICT</w:t>
            </w:r>
          </w:p>
        </w:tc>
        <w:tc>
          <w:tcPr>
            <w:tcW w:w="993" w:type="dxa"/>
            <w:tcBorders>
              <w:top w:val="nil"/>
              <w:left w:val="nil"/>
              <w:bottom w:val="single" w:sz="8" w:space="0" w:color="95B3D7"/>
              <w:right w:val="single" w:sz="8" w:space="0" w:color="95B3D7"/>
            </w:tcBorders>
            <w:shd w:val="clear" w:color="auto" w:fill="auto"/>
            <w:noWrap/>
            <w:vAlign w:val="center"/>
            <w:hideMark/>
          </w:tcPr>
          <w:p w14:paraId="55FB0332" w14:textId="0269795A"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 </w:t>
            </w:r>
          </w:p>
        </w:tc>
        <w:tc>
          <w:tcPr>
            <w:tcW w:w="642" w:type="dxa"/>
            <w:tcBorders>
              <w:top w:val="nil"/>
              <w:left w:val="nil"/>
              <w:bottom w:val="single" w:sz="8" w:space="0" w:color="95B3D7"/>
              <w:right w:val="single" w:sz="8" w:space="0" w:color="95B3D7"/>
            </w:tcBorders>
            <w:shd w:val="clear" w:color="auto" w:fill="auto"/>
            <w:noWrap/>
            <w:vAlign w:val="center"/>
            <w:hideMark/>
          </w:tcPr>
          <w:p w14:paraId="19B66FE8"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0,0%</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06EFC97D" w14:textId="10666745"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916 </w:t>
            </w:r>
          </w:p>
        </w:tc>
        <w:tc>
          <w:tcPr>
            <w:tcW w:w="720" w:type="dxa"/>
            <w:tcBorders>
              <w:top w:val="nil"/>
              <w:left w:val="nil"/>
              <w:bottom w:val="single" w:sz="8" w:space="0" w:color="95B3D7"/>
              <w:right w:val="single" w:sz="8" w:space="0" w:color="95B3D7"/>
            </w:tcBorders>
            <w:shd w:val="clear" w:color="auto" w:fill="auto"/>
            <w:noWrap/>
            <w:vAlign w:val="center"/>
            <w:hideMark/>
          </w:tcPr>
          <w:p w14:paraId="38116859"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21,3%</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0EDCF10E" w14:textId="784B54C6"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 3 376 </w:t>
            </w:r>
          </w:p>
        </w:tc>
        <w:tc>
          <w:tcPr>
            <w:tcW w:w="739" w:type="dxa"/>
            <w:tcBorders>
              <w:top w:val="nil"/>
              <w:left w:val="nil"/>
              <w:bottom w:val="single" w:sz="8" w:space="0" w:color="95B3D7"/>
              <w:right w:val="single" w:sz="8" w:space="0" w:color="95B3D7"/>
            </w:tcBorders>
            <w:shd w:val="clear" w:color="auto" w:fill="auto"/>
            <w:noWrap/>
            <w:vAlign w:val="center"/>
            <w:hideMark/>
          </w:tcPr>
          <w:p w14:paraId="4D186DF1"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78,7%</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3D3E97CF" w14:textId="25856F0B"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4 293 </w:t>
            </w:r>
          </w:p>
        </w:tc>
      </w:tr>
      <w:tr w:rsidR="00450F7C" w:rsidRPr="00450F7C" w14:paraId="46F02A39"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7064B290"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Régimen Obligatorio Complementario</w:t>
            </w:r>
          </w:p>
        </w:tc>
        <w:tc>
          <w:tcPr>
            <w:tcW w:w="993" w:type="dxa"/>
            <w:tcBorders>
              <w:top w:val="nil"/>
              <w:left w:val="nil"/>
              <w:bottom w:val="single" w:sz="8" w:space="0" w:color="95B3D7"/>
              <w:right w:val="single" w:sz="8" w:space="0" w:color="95B3D7"/>
            </w:tcBorders>
            <w:shd w:val="clear" w:color="000000" w:fill="DBE5F1"/>
            <w:noWrap/>
            <w:vAlign w:val="center"/>
            <w:hideMark/>
          </w:tcPr>
          <w:p w14:paraId="622331A0" w14:textId="457BBE55"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1 669 036 </w:t>
            </w:r>
          </w:p>
        </w:tc>
        <w:tc>
          <w:tcPr>
            <w:tcW w:w="642" w:type="dxa"/>
            <w:tcBorders>
              <w:top w:val="nil"/>
              <w:left w:val="nil"/>
              <w:bottom w:val="single" w:sz="8" w:space="0" w:color="95B3D7"/>
              <w:right w:val="single" w:sz="8" w:space="0" w:color="95B3D7"/>
            </w:tcBorders>
            <w:shd w:val="clear" w:color="000000" w:fill="DBE5F1"/>
            <w:noWrap/>
            <w:vAlign w:val="center"/>
            <w:hideMark/>
          </w:tcPr>
          <w:p w14:paraId="7B33B5F1"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22,7%</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09D7D132" w14:textId="163F6B74"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872 906 </w:t>
            </w:r>
          </w:p>
        </w:tc>
        <w:tc>
          <w:tcPr>
            <w:tcW w:w="720" w:type="dxa"/>
            <w:tcBorders>
              <w:top w:val="nil"/>
              <w:left w:val="nil"/>
              <w:bottom w:val="single" w:sz="8" w:space="0" w:color="95B3D7"/>
              <w:right w:val="single" w:sz="8" w:space="0" w:color="95B3D7"/>
            </w:tcBorders>
            <w:shd w:val="clear" w:color="000000" w:fill="DBE5F1"/>
            <w:noWrap/>
            <w:vAlign w:val="center"/>
            <w:hideMark/>
          </w:tcPr>
          <w:p w14:paraId="37811B58"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11,9%</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6F02D0F0" w14:textId="3D78DB14"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 4 804 010 </w:t>
            </w:r>
          </w:p>
        </w:tc>
        <w:tc>
          <w:tcPr>
            <w:tcW w:w="739" w:type="dxa"/>
            <w:tcBorders>
              <w:top w:val="nil"/>
              <w:left w:val="nil"/>
              <w:bottom w:val="single" w:sz="8" w:space="0" w:color="95B3D7"/>
              <w:right w:val="single" w:sz="8" w:space="0" w:color="95B3D7"/>
            </w:tcBorders>
            <w:shd w:val="clear" w:color="000000" w:fill="DBE5F1"/>
            <w:noWrap/>
            <w:vAlign w:val="center"/>
            <w:hideMark/>
          </w:tcPr>
          <w:p w14:paraId="5A167C73"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65,4%</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2BB12BF5" w14:textId="2CAC9858"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7 345 952 </w:t>
            </w:r>
          </w:p>
        </w:tc>
      </w:tr>
      <w:tr w:rsidR="00450F7C" w:rsidRPr="00450F7C" w14:paraId="43B823C4"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0690ACD8"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Planes Voluntarios</w:t>
            </w:r>
          </w:p>
        </w:tc>
        <w:tc>
          <w:tcPr>
            <w:tcW w:w="993" w:type="dxa"/>
            <w:tcBorders>
              <w:top w:val="nil"/>
              <w:left w:val="nil"/>
              <w:bottom w:val="single" w:sz="8" w:space="0" w:color="95B3D7"/>
              <w:right w:val="single" w:sz="8" w:space="0" w:color="95B3D7"/>
            </w:tcBorders>
            <w:shd w:val="clear" w:color="auto" w:fill="auto"/>
            <w:noWrap/>
            <w:vAlign w:val="center"/>
            <w:hideMark/>
          </w:tcPr>
          <w:p w14:paraId="77438FAA" w14:textId="3083E3CC"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25 786 </w:t>
            </w:r>
          </w:p>
        </w:tc>
        <w:tc>
          <w:tcPr>
            <w:tcW w:w="642" w:type="dxa"/>
            <w:tcBorders>
              <w:top w:val="nil"/>
              <w:left w:val="nil"/>
              <w:bottom w:val="single" w:sz="8" w:space="0" w:color="95B3D7"/>
              <w:right w:val="single" w:sz="8" w:space="0" w:color="95B3D7"/>
            </w:tcBorders>
            <w:shd w:val="clear" w:color="auto" w:fill="auto"/>
            <w:noWrap/>
            <w:vAlign w:val="center"/>
            <w:hideMark/>
          </w:tcPr>
          <w:p w14:paraId="75EB6B9C"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6,9%</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638C2D71" w14:textId="59831E36"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76 920 </w:t>
            </w:r>
          </w:p>
        </w:tc>
        <w:tc>
          <w:tcPr>
            <w:tcW w:w="720" w:type="dxa"/>
            <w:tcBorders>
              <w:top w:val="nil"/>
              <w:left w:val="nil"/>
              <w:bottom w:val="single" w:sz="8" w:space="0" w:color="95B3D7"/>
              <w:right w:val="single" w:sz="8" w:space="0" w:color="95B3D7"/>
            </w:tcBorders>
            <w:shd w:val="clear" w:color="auto" w:fill="auto"/>
            <w:noWrap/>
            <w:vAlign w:val="center"/>
            <w:hideMark/>
          </w:tcPr>
          <w:p w14:paraId="13B825F0"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20,6%</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1A943285" w14:textId="4E7A6AB2"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270 324 </w:t>
            </w:r>
          </w:p>
        </w:tc>
        <w:tc>
          <w:tcPr>
            <w:tcW w:w="739" w:type="dxa"/>
            <w:tcBorders>
              <w:top w:val="nil"/>
              <w:left w:val="nil"/>
              <w:bottom w:val="single" w:sz="8" w:space="0" w:color="95B3D7"/>
              <w:right w:val="single" w:sz="8" w:space="0" w:color="95B3D7"/>
            </w:tcBorders>
            <w:shd w:val="clear" w:color="auto" w:fill="auto"/>
            <w:noWrap/>
            <w:vAlign w:val="center"/>
            <w:hideMark/>
          </w:tcPr>
          <w:p w14:paraId="4262D2FC"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72,5%</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6444F000" w14:textId="6B45BA8B"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373 030 </w:t>
            </w:r>
          </w:p>
        </w:tc>
      </w:tr>
      <w:tr w:rsidR="00450F7C" w:rsidRPr="00450F7C" w14:paraId="392EACF6"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000000" w:fill="DBE5F1"/>
            <w:noWrap/>
            <w:vAlign w:val="center"/>
            <w:hideMark/>
          </w:tcPr>
          <w:p w14:paraId="0A40E209"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Fondo de Capitalización Laboral</w:t>
            </w:r>
          </w:p>
        </w:tc>
        <w:tc>
          <w:tcPr>
            <w:tcW w:w="993" w:type="dxa"/>
            <w:tcBorders>
              <w:top w:val="nil"/>
              <w:left w:val="nil"/>
              <w:bottom w:val="single" w:sz="8" w:space="0" w:color="95B3D7"/>
              <w:right w:val="single" w:sz="8" w:space="0" w:color="95B3D7"/>
            </w:tcBorders>
            <w:shd w:val="clear" w:color="000000" w:fill="DBE5F1"/>
            <w:noWrap/>
            <w:vAlign w:val="center"/>
            <w:hideMark/>
          </w:tcPr>
          <w:p w14:paraId="762C1FD9" w14:textId="09B17230"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69 123 </w:t>
            </w:r>
          </w:p>
        </w:tc>
        <w:tc>
          <w:tcPr>
            <w:tcW w:w="642" w:type="dxa"/>
            <w:tcBorders>
              <w:top w:val="nil"/>
              <w:left w:val="nil"/>
              <w:bottom w:val="single" w:sz="8" w:space="0" w:color="95B3D7"/>
              <w:right w:val="single" w:sz="8" w:space="0" w:color="95B3D7"/>
            </w:tcBorders>
            <w:shd w:val="clear" w:color="000000" w:fill="DBE5F1"/>
            <w:noWrap/>
            <w:vAlign w:val="center"/>
            <w:hideMark/>
          </w:tcPr>
          <w:p w14:paraId="15CECAF6"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10,6%</w:t>
            </w:r>
          </w:p>
        </w:tc>
        <w:tc>
          <w:tcPr>
            <w:tcW w:w="1059" w:type="dxa"/>
            <w:gridSpan w:val="2"/>
            <w:tcBorders>
              <w:top w:val="nil"/>
              <w:left w:val="nil"/>
              <w:bottom w:val="single" w:sz="8" w:space="0" w:color="95B3D7"/>
              <w:right w:val="single" w:sz="8" w:space="0" w:color="95B3D7"/>
            </w:tcBorders>
            <w:shd w:val="clear" w:color="000000" w:fill="DBE5F1"/>
            <w:noWrap/>
            <w:vAlign w:val="center"/>
            <w:hideMark/>
          </w:tcPr>
          <w:p w14:paraId="394CEE0C" w14:textId="249F7336"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155 983 </w:t>
            </w:r>
          </w:p>
        </w:tc>
        <w:tc>
          <w:tcPr>
            <w:tcW w:w="720" w:type="dxa"/>
            <w:tcBorders>
              <w:top w:val="nil"/>
              <w:left w:val="nil"/>
              <w:bottom w:val="single" w:sz="8" w:space="0" w:color="95B3D7"/>
              <w:right w:val="single" w:sz="8" w:space="0" w:color="95B3D7"/>
            </w:tcBorders>
            <w:shd w:val="clear" w:color="000000" w:fill="DBE5F1"/>
            <w:noWrap/>
            <w:vAlign w:val="center"/>
            <w:hideMark/>
          </w:tcPr>
          <w:p w14:paraId="5755226B"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23,9%</w:t>
            </w:r>
          </w:p>
        </w:tc>
        <w:tc>
          <w:tcPr>
            <w:tcW w:w="1122" w:type="dxa"/>
            <w:gridSpan w:val="2"/>
            <w:tcBorders>
              <w:top w:val="nil"/>
              <w:left w:val="nil"/>
              <w:bottom w:val="single" w:sz="8" w:space="0" w:color="95B3D7"/>
              <w:right w:val="single" w:sz="8" w:space="0" w:color="95B3D7"/>
            </w:tcBorders>
            <w:shd w:val="clear" w:color="000000" w:fill="DBE5F1"/>
            <w:noWrap/>
            <w:vAlign w:val="center"/>
            <w:hideMark/>
          </w:tcPr>
          <w:p w14:paraId="78163776" w14:textId="79FEDF9F"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 xml:space="preserve">427 032 </w:t>
            </w:r>
          </w:p>
        </w:tc>
        <w:tc>
          <w:tcPr>
            <w:tcW w:w="739" w:type="dxa"/>
            <w:tcBorders>
              <w:top w:val="nil"/>
              <w:left w:val="nil"/>
              <w:bottom w:val="single" w:sz="8" w:space="0" w:color="95B3D7"/>
              <w:right w:val="single" w:sz="8" w:space="0" w:color="95B3D7"/>
            </w:tcBorders>
            <w:shd w:val="clear" w:color="000000" w:fill="DBE5F1"/>
            <w:noWrap/>
            <w:vAlign w:val="center"/>
            <w:hideMark/>
          </w:tcPr>
          <w:p w14:paraId="075AACD8" w14:textId="77777777"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eastAsia="es-CR"/>
              </w:rPr>
              <w:t>65,5%</w:t>
            </w:r>
          </w:p>
        </w:tc>
        <w:tc>
          <w:tcPr>
            <w:tcW w:w="1104" w:type="dxa"/>
            <w:gridSpan w:val="2"/>
            <w:tcBorders>
              <w:top w:val="nil"/>
              <w:left w:val="nil"/>
              <w:bottom w:val="single" w:sz="8" w:space="0" w:color="95B3D7"/>
              <w:right w:val="single" w:sz="8" w:space="0" w:color="95B3D7"/>
            </w:tcBorders>
            <w:shd w:val="clear" w:color="000000" w:fill="DBE5F1"/>
            <w:noWrap/>
            <w:vAlign w:val="center"/>
            <w:hideMark/>
          </w:tcPr>
          <w:p w14:paraId="3CA5A16D" w14:textId="44C683AE" w:rsidR="00450F7C" w:rsidRPr="00450F7C" w:rsidRDefault="00450F7C" w:rsidP="00450F7C">
            <w:pPr>
              <w:spacing w:after="0" w:line="240" w:lineRule="auto"/>
              <w:jc w:val="right"/>
              <w:rPr>
                <w:rFonts w:ascii="Calibri" w:eastAsia="Times New Roman" w:hAnsi="Calibri" w:cs="Calibri"/>
                <w:color w:val="000000"/>
                <w:sz w:val="20"/>
                <w:szCs w:val="20"/>
                <w:lang w:val="es-CR" w:eastAsia="es-CR"/>
              </w:rPr>
            </w:pPr>
            <w:r w:rsidRPr="00450F7C">
              <w:rPr>
                <w:rFonts w:ascii="Calibri" w:eastAsia="Times New Roman" w:hAnsi="Calibri" w:cs="Calibri"/>
                <w:color w:val="000000"/>
                <w:sz w:val="20"/>
                <w:szCs w:val="20"/>
                <w:lang w:val="es-CR" w:eastAsia="es-CR"/>
              </w:rPr>
              <w:t xml:space="preserve"> 652 138 </w:t>
            </w:r>
          </w:p>
        </w:tc>
      </w:tr>
      <w:tr w:rsidR="00450F7C" w:rsidRPr="00450F7C" w14:paraId="781D9EB0" w14:textId="77777777" w:rsidTr="00982086">
        <w:trPr>
          <w:trHeight w:val="240"/>
          <w:tblHeader/>
          <w:jc w:val="center"/>
        </w:trPr>
        <w:tc>
          <w:tcPr>
            <w:tcW w:w="3392" w:type="dxa"/>
            <w:tcBorders>
              <w:top w:val="nil"/>
              <w:left w:val="single" w:sz="8" w:space="0" w:color="95B3D7"/>
              <w:bottom w:val="single" w:sz="8" w:space="0" w:color="95B3D7"/>
              <w:right w:val="single" w:sz="8" w:space="0" w:color="95B3D7"/>
            </w:tcBorders>
            <w:shd w:val="clear" w:color="auto" w:fill="auto"/>
            <w:noWrap/>
            <w:vAlign w:val="center"/>
            <w:hideMark/>
          </w:tcPr>
          <w:p w14:paraId="4EAE3574" w14:textId="77777777" w:rsidR="00450F7C" w:rsidRPr="00450F7C" w:rsidRDefault="00450F7C" w:rsidP="00450F7C">
            <w:pPr>
              <w:spacing w:after="0" w:line="240" w:lineRule="auto"/>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Total</w:t>
            </w:r>
          </w:p>
        </w:tc>
        <w:tc>
          <w:tcPr>
            <w:tcW w:w="993" w:type="dxa"/>
            <w:tcBorders>
              <w:top w:val="nil"/>
              <w:left w:val="nil"/>
              <w:bottom w:val="single" w:sz="8" w:space="0" w:color="95B3D7"/>
              <w:right w:val="single" w:sz="8" w:space="0" w:color="95B3D7"/>
            </w:tcBorders>
            <w:shd w:val="clear" w:color="auto" w:fill="auto"/>
            <w:noWrap/>
            <w:vAlign w:val="center"/>
            <w:hideMark/>
          </w:tcPr>
          <w:p w14:paraId="0C45860D" w14:textId="5C4D0EA5"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1 763 945 </w:t>
            </w:r>
          </w:p>
        </w:tc>
        <w:tc>
          <w:tcPr>
            <w:tcW w:w="642" w:type="dxa"/>
            <w:tcBorders>
              <w:top w:val="nil"/>
              <w:left w:val="nil"/>
              <w:bottom w:val="single" w:sz="8" w:space="0" w:color="95B3D7"/>
              <w:right w:val="single" w:sz="8" w:space="0" w:color="95B3D7"/>
            </w:tcBorders>
            <w:shd w:val="clear" w:color="auto" w:fill="auto"/>
            <w:noWrap/>
            <w:vAlign w:val="center"/>
            <w:hideMark/>
          </w:tcPr>
          <w:p w14:paraId="62344B35" w14:textId="77777777"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11,6%</w:t>
            </w:r>
          </w:p>
        </w:tc>
        <w:tc>
          <w:tcPr>
            <w:tcW w:w="1059" w:type="dxa"/>
            <w:gridSpan w:val="2"/>
            <w:tcBorders>
              <w:top w:val="nil"/>
              <w:left w:val="nil"/>
              <w:bottom w:val="single" w:sz="8" w:space="0" w:color="95B3D7"/>
              <w:right w:val="single" w:sz="8" w:space="0" w:color="95B3D7"/>
            </w:tcBorders>
            <w:shd w:val="clear" w:color="auto" w:fill="auto"/>
            <w:noWrap/>
            <w:vAlign w:val="center"/>
            <w:hideMark/>
          </w:tcPr>
          <w:p w14:paraId="0B3609B9" w14:textId="2BA7BE73"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1 894 980 </w:t>
            </w:r>
          </w:p>
        </w:tc>
        <w:tc>
          <w:tcPr>
            <w:tcW w:w="720" w:type="dxa"/>
            <w:tcBorders>
              <w:top w:val="nil"/>
              <w:left w:val="nil"/>
              <w:bottom w:val="single" w:sz="8" w:space="0" w:color="95B3D7"/>
              <w:right w:val="single" w:sz="8" w:space="0" w:color="95B3D7"/>
            </w:tcBorders>
            <w:shd w:val="clear" w:color="auto" w:fill="auto"/>
            <w:noWrap/>
            <w:vAlign w:val="center"/>
            <w:hideMark/>
          </w:tcPr>
          <w:p w14:paraId="331FAD0A" w14:textId="77777777"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12,4%</w:t>
            </w:r>
          </w:p>
        </w:tc>
        <w:tc>
          <w:tcPr>
            <w:tcW w:w="1122" w:type="dxa"/>
            <w:gridSpan w:val="2"/>
            <w:tcBorders>
              <w:top w:val="nil"/>
              <w:left w:val="nil"/>
              <w:bottom w:val="single" w:sz="8" w:space="0" w:color="95B3D7"/>
              <w:right w:val="single" w:sz="8" w:space="0" w:color="95B3D7"/>
            </w:tcBorders>
            <w:shd w:val="clear" w:color="auto" w:fill="auto"/>
            <w:noWrap/>
            <w:vAlign w:val="center"/>
            <w:hideMark/>
          </w:tcPr>
          <w:p w14:paraId="613E2043" w14:textId="250C0F54"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11 564 365 </w:t>
            </w:r>
          </w:p>
        </w:tc>
        <w:tc>
          <w:tcPr>
            <w:tcW w:w="739" w:type="dxa"/>
            <w:tcBorders>
              <w:top w:val="nil"/>
              <w:left w:val="nil"/>
              <w:bottom w:val="single" w:sz="8" w:space="0" w:color="95B3D7"/>
              <w:right w:val="single" w:sz="8" w:space="0" w:color="95B3D7"/>
            </w:tcBorders>
            <w:shd w:val="clear" w:color="auto" w:fill="auto"/>
            <w:noWrap/>
            <w:vAlign w:val="center"/>
            <w:hideMark/>
          </w:tcPr>
          <w:p w14:paraId="27689D0F" w14:textId="77777777"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76,0%</w:t>
            </w:r>
          </w:p>
        </w:tc>
        <w:tc>
          <w:tcPr>
            <w:tcW w:w="1104" w:type="dxa"/>
            <w:gridSpan w:val="2"/>
            <w:tcBorders>
              <w:top w:val="nil"/>
              <w:left w:val="nil"/>
              <w:bottom w:val="single" w:sz="8" w:space="0" w:color="95B3D7"/>
              <w:right w:val="single" w:sz="8" w:space="0" w:color="95B3D7"/>
            </w:tcBorders>
            <w:shd w:val="clear" w:color="auto" w:fill="auto"/>
            <w:noWrap/>
            <w:vAlign w:val="center"/>
            <w:hideMark/>
          </w:tcPr>
          <w:p w14:paraId="735DFF72" w14:textId="0C0E6BB9" w:rsidR="00450F7C" w:rsidRPr="00450F7C" w:rsidRDefault="00450F7C" w:rsidP="00450F7C">
            <w:pPr>
              <w:spacing w:after="0" w:line="240" w:lineRule="auto"/>
              <w:jc w:val="right"/>
              <w:rPr>
                <w:rFonts w:ascii="Calibri" w:eastAsia="Times New Roman" w:hAnsi="Calibri" w:cs="Calibri"/>
                <w:b/>
                <w:bCs/>
                <w:color w:val="000000"/>
                <w:sz w:val="20"/>
                <w:szCs w:val="20"/>
                <w:lang w:val="es-CR" w:eastAsia="es-CR"/>
              </w:rPr>
            </w:pPr>
            <w:r w:rsidRPr="00450F7C">
              <w:rPr>
                <w:rFonts w:ascii="Calibri" w:eastAsia="Times New Roman" w:hAnsi="Calibri" w:cs="Calibri"/>
                <w:b/>
                <w:bCs/>
                <w:color w:val="000000"/>
                <w:sz w:val="20"/>
                <w:szCs w:val="20"/>
                <w:lang w:val="es-CR" w:eastAsia="es-CR"/>
              </w:rPr>
              <w:t xml:space="preserve"> 15 223 289 </w:t>
            </w:r>
          </w:p>
        </w:tc>
      </w:tr>
    </w:tbl>
    <w:p w14:paraId="1F3F5906" w14:textId="66C70FE7" w:rsidR="00E2531A" w:rsidRDefault="00E2531A" w:rsidP="004B499C">
      <w:pPr>
        <w:pStyle w:val="Descripcin"/>
        <w:spacing w:after="0"/>
        <w:ind w:left="1416" w:firstLine="708"/>
      </w:pPr>
      <w:r>
        <w:t xml:space="preserve"> Fuente: Elaboración propia</w:t>
      </w:r>
    </w:p>
    <w:p w14:paraId="2022CC45" w14:textId="09150A89" w:rsidR="004B499C" w:rsidRDefault="004B499C">
      <w:r>
        <w:br w:type="page"/>
      </w:r>
    </w:p>
    <w:p w14:paraId="0741F0A8" w14:textId="77777777" w:rsidR="00BA140F" w:rsidRDefault="00BA140F" w:rsidP="000258BA">
      <w:pPr>
        <w:spacing w:after="0" w:line="240" w:lineRule="auto"/>
        <w:jc w:val="both"/>
      </w:pPr>
    </w:p>
    <w:p w14:paraId="59E1ED0D" w14:textId="07DED041" w:rsidR="00D817A6" w:rsidRDefault="00D817A6" w:rsidP="00D817A6">
      <w:pPr>
        <w:pStyle w:val="Descripcin"/>
        <w:spacing w:after="0"/>
        <w:jc w:val="center"/>
      </w:pPr>
      <w:r>
        <w:t xml:space="preserve">Tabla </w:t>
      </w:r>
      <w:r>
        <w:fldChar w:fldCharType="begin"/>
      </w:r>
      <w:r>
        <w:instrText xml:space="preserve"> SEQ Tabla \* ARABIC </w:instrText>
      </w:r>
      <w:r>
        <w:fldChar w:fldCharType="separate"/>
      </w:r>
      <w:r w:rsidR="00DA5DEB">
        <w:rPr>
          <w:noProof/>
        </w:rPr>
        <w:t>3</w:t>
      </w:r>
      <w:r>
        <w:fldChar w:fldCharType="end"/>
      </w:r>
      <w:r>
        <w:t xml:space="preserve">: Inversiones del </w:t>
      </w:r>
      <w:r w:rsidR="00E71CDD">
        <w:t>ROP</w:t>
      </w:r>
    </w:p>
    <w:p w14:paraId="4B4FE377" w14:textId="07BA0A11" w:rsidR="00D817A6" w:rsidRDefault="00D817A6" w:rsidP="004B499C">
      <w:pPr>
        <w:pStyle w:val="Descripcin"/>
        <w:tabs>
          <w:tab w:val="center" w:pos="4419"/>
          <w:tab w:val="left" w:pos="5788"/>
        </w:tabs>
        <w:spacing w:after="0"/>
        <w:jc w:val="center"/>
      </w:pPr>
      <w:r>
        <w:t xml:space="preserve">En moneda extranjera por </w:t>
      </w:r>
      <w:r w:rsidR="00923190">
        <w:t>sector</w:t>
      </w:r>
    </w:p>
    <w:p w14:paraId="21BD146C" w14:textId="095F4DA7" w:rsidR="00AA536A" w:rsidRDefault="00AA536A" w:rsidP="00AA536A">
      <w:pPr>
        <w:pStyle w:val="Descripcin"/>
        <w:spacing w:after="0"/>
        <w:jc w:val="center"/>
      </w:pPr>
      <w:r>
        <w:t>Como porcentaje del activo</w:t>
      </w:r>
    </w:p>
    <w:p w14:paraId="2832BB8A" w14:textId="42C534F2" w:rsidR="00B44D03" w:rsidRPr="00B44D03" w:rsidRDefault="00B44D03" w:rsidP="00B44D03">
      <w:pPr>
        <w:pStyle w:val="Descripcin"/>
        <w:spacing w:after="0"/>
        <w:jc w:val="center"/>
      </w:pPr>
      <w:r>
        <w:t>Al 31 de diciembre de cada año</w:t>
      </w:r>
    </w:p>
    <w:tbl>
      <w:tblPr>
        <w:tblStyle w:val="Tablaconcuadrcula4-nfasis1"/>
        <w:tblW w:w="7386" w:type="dxa"/>
        <w:jc w:val="center"/>
        <w:tblLook w:val="04A0" w:firstRow="1" w:lastRow="0" w:firstColumn="1" w:lastColumn="0" w:noHBand="0" w:noVBand="1"/>
      </w:tblPr>
      <w:tblGrid>
        <w:gridCol w:w="1754"/>
        <w:gridCol w:w="1206"/>
        <w:gridCol w:w="718"/>
        <w:gridCol w:w="1120"/>
        <w:gridCol w:w="835"/>
        <w:gridCol w:w="1134"/>
        <w:gridCol w:w="718"/>
        <w:gridCol w:w="10"/>
      </w:tblGrid>
      <w:tr w:rsidR="00C932B8" w:rsidRPr="00B40F83" w14:paraId="4ABD35A9" w14:textId="77777777" w:rsidTr="004B499C">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754"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13185D26" w14:textId="77777777" w:rsidR="00C932B8" w:rsidRPr="00B40F83" w:rsidRDefault="00C932B8" w:rsidP="004B499C">
            <w:pPr>
              <w:rPr>
                <w:rFonts w:eastAsia="Times New Roman" w:cs="Calibri"/>
                <w:lang w:val="es-CR"/>
              </w:rPr>
            </w:pPr>
            <w:bookmarkStart w:id="11" w:name="_Hlk64011673"/>
            <w:r>
              <w:rPr>
                <w:rFonts w:eastAsia="Times New Roman" w:cs="Calibri"/>
                <w:lang w:val="es-CR"/>
              </w:rPr>
              <w:t>Operadora</w:t>
            </w:r>
          </w:p>
        </w:tc>
        <w:tc>
          <w:tcPr>
            <w:tcW w:w="181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28BA352D" w14:textId="77777777" w:rsidR="00C932B8" w:rsidRPr="00B40F83" w:rsidRDefault="00C932B8" w:rsidP="004B499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Pr>
                <w:rFonts w:eastAsia="Times New Roman" w:cs="Calibri"/>
                <w:lang w:val="es-CR"/>
              </w:rPr>
              <w:t>2018</w:t>
            </w:r>
          </w:p>
        </w:tc>
        <w:tc>
          <w:tcPr>
            <w:tcW w:w="19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0A96C5EF" w14:textId="77777777" w:rsidR="00C932B8" w:rsidRPr="00B40F83" w:rsidRDefault="00C932B8" w:rsidP="004B499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B40F83">
              <w:rPr>
                <w:rFonts w:eastAsia="Times New Roman" w:cs="Calibri"/>
                <w:lang w:val="es-CR"/>
              </w:rPr>
              <w:t>2019</w:t>
            </w:r>
          </w:p>
        </w:tc>
        <w:tc>
          <w:tcPr>
            <w:tcW w:w="186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55341958" w14:textId="77777777" w:rsidR="00C932B8" w:rsidRPr="00B40F83" w:rsidRDefault="00C932B8" w:rsidP="004B499C">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B40F83">
              <w:rPr>
                <w:rFonts w:eastAsia="Times New Roman" w:cs="Calibri"/>
                <w:lang w:val="es-CR"/>
              </w:rPr>
              <w:t>2020</w:t>
            </w:r>
          </w:p>
        </w:tc>
      </w:tr>
      <w:tr w:rsidR="00C932B8" w:rsidRPr="00B40F83" w14:paraId="4E9E94F2"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57C0756D" w14:textId="77777777" w:rsidR="00C932B8" w:rsidRPr="00B40F83" w:rsidRDefault="00C932B8" w:rsidP="004B499C">
            <w:pPr>
              <w:rPr>
                <w:rFonts w:eastAsia="Times New Roman" w:cs="Calibri"/>
                <w:color w:val="FFFFFF" w:themeColor="background1"/>
                <w:lang w:val="es-CR"/>
              </w:rPr>
            </w:pPr>
          </w:p>
        </w:tc>
        <w:tc>
          <w:tcPr>
            <w:tcW w:w="12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0D65B90F"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Monto</w:t>
            </w:r>
          </w:p>
        </w:tc>
        <w:tc>
          <w:tcPr>
            <w:tcW w:w="6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12791B7D"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 xml:space="preserve">% </w:t>
            </w:r>
          </w:p>
        </w:tc>
        <w:tc>
          <w:tcPr>
            <w:tcW w:w="112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4B20563D"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Monto</w:t>
            </w:r>
          </w:p>
        </w:tc>
        <w:tc>
          <w:tcPr>
            <w:tcW w:w="8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3299351B"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 xml:space="preserve">% </w:t>
            </w:r>
          </w:p>
        </w:tc>
        <w:tc>
          <w:tcPr>
            <w:tcW w:w="1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3A972992"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Monto</w:t>
            </w:r>
          </w:p>
        </w:tc>
        <w:tc>
          <w:tcPr>
            <w:tcW w:w="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noWrap/>
            <w:vAlign w:val="center"/>
            <w:hideMark/>
          </w:tcPr>
          <w:p w14:paraId="54229AEF" w14:textId="77777777" w:rsidR="00C932B8" w:rsidRPr="00B40F83" w:rsidRDefault="00C932B8" w:rsidP="004B499C">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FFFFFF" w:themeColor="background1"/>
                <w:lang w:val="es-CR"/>
              </w:rPr>
            </w:pPr>
            <w:r w:rsidRPr="00B40F83">
              <w:rPr>
                <w:rFonts w:eastAsia="Times New Roman" w:cs="Calibri"/>
                <w:b/>
                <w:bCs/>
                <w:color w:val="FFFFFF" w:themeColor="background1"/>
                <w:lang w:val="es-CR"/>
              </w:rPr>
              <w:t xml:space="preserve">% </w:t>
            </w:r>
          </w:p>
        </w:tc>
      </w:tr>
      <w:tr w:rsidR="00C932B8" w:rsidRPr="00B40F83" w14:paraId="6519923B"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tcPr>
          <w:p w14:paraId="34C4E4C0" w14:textId="77777777" w:rsidR="00C932B8" w:rsidRPr="0066281D" w:rsidRDefault="00C932B8" w:rsidP="004B499C">
            <w:pPr>
              <w:rPr>
                <w:rFonts w:eastAsia="Times New Roman" w:cs="Calibri"/>
                <w:color w:val="000000"/>
                <w:lang w:val="es-CR"/>
              </w:rPr>
            </w:pPr>
            <w:r w:rsidRPr="0066281D">
              <w:t xml:space="preserve"> Sector Extranjero </w:t>
            </w:r>
          </w:p>
        </w:tc>
        <w:tc>
          <w:tcPr>
            <w:tcW w:w="1206" w:type="dxa"/>
            <w:noWrap/>
          </w:tcPr>
          <w:p w14:paraId="0088759E"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 xml:space="preserve"> 739 047 </w:t>
            </w:r>
          </w:p>
        </w:tc>
        <w:tc>
          <w:tcPr>
            <w:tcW w:w="609" w:type="dxa"/>
            <w:noWrap/>
          </w:tcPr>
          <w:p w14:paraId="0E14D60A"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13</w:t>
            </w:r>
            <w:r>
              <w:rPr>
                <w:b/>
                <w:bCs/>
              </w:rPr>
              <w:t>,0</w:t>
            </w:r>
            <w:r w:rsidRPr="0066281D">
              <w:rPr>
                <w:b/>
                <w:bCs/>
              </w:rPr>
              <w:t>%</w:t>
            </w:r>
          </w:p>
        </w:tc>
        <w:tc>
          <w:tcPr>
            <w:tcW w:w="1120" w:type="dxa"/>
            <w:noWrap/>
          </w:tcPr>
          <w:p w14:paraId="5063F47B"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 xml:space="preserve"> 938 648 </w:t>
            </w:r>
          </w:p>
        </w:tc>
        <w:tc>
          <w:tcPr>
            <w:tcW w:w="835" w:type="dxa"/>
            <w:noWrap/>
          </w:tcPr>
          <w:p w14:paraId="25A6F687"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1</w:t>
            </w:r>
            <w:r>
              <w:rPr>
                <w:b/>
                <w:bCs/>
              </w:rPr>
              <w:t>3,7</w:t>
            </w:r>
            <w:r w:rsidRPr="0066281D">
              <w:rPr>
                <w:b/>
                <w:bCs/>
              </w:rPr>
              <w:t>%</w:t>
            </w:r>
          </w:p>
        </w:tc>
        <w:tc>
          <w:tcPr>
            <w:tcW w:w="1134" w:type="dxa"/>
            <w:noWrap/>
          </w:tcPr>
          <w:p w14:paraId="114C6121"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 xml:space="preserve"> 1 663 800 </w:t>
            </w:r>
          </w:p>
        </w:tc>
        <w:tc>
          <w:tcPr>
            <w:tcW w:w="718" w:type="dxa"/>
            <w:tcBorders>
              <w:right w:val="single" w:sz="4" w:space="0" w:color="4F81BD" w:themeColor="accent1"/>
            </w:tcBorders>
            <w:noWrap/>
          </w:tcPr>
          <w:p w14:paraId="3A36D86D" w14:textId="77777777" w:rsidR="00C932B8" w:rsidRPr="0066281D" w:rsidRDefault="00C932B8" w:rsidP="004B499C">
            <w:pPr>
              <w:jc w:val="right"/>
              <w:cnfStyle w:val="000000000000" w:firstRow="0" w:lastRow="0" w:firstColumn="0" w:lastColumn="0" w:oddVBand="0" w:evenVBand="0" w:oddHBand="0" w:evenHBand="0" w:firstRowFirstColumn="0" w:firstRowLastColumn="0" w:lastRowFirstColumn="0" w:lastRowLastColumn="0"/>
              <w:rPr>
                <w:b/>
                <w:bCs/>
              </w:rPr>
            </w:pPr>
            <w:r w:rsidRPr="0066281D">
              <w:rPr>
                <w:b/>
                <w:bCs/>
              </w:rPr>
              <w:t>21</w:t>
            </w:r>
            <w:r>
              <w:rPr>
                <w:b/>
                <w:bCs/>
              </w:rPr>
              <w:t>,2</w:t>
            </w:r>
            <w:r w:rsidRPr="0066281D">
              <w:rPr>
                <w:b/>
                <w:bCs/>
              </w:rPr>
              <w:t>%</w:t>
            </w:r>
          </w:p>
        </w:tc>
      </w:tr>
      <w:tr w:rsidR="00C932B8" w:rsidRPr="00B40F83" w14:paraId="7FB1A013"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210BC9F6" w14:textId="77777777" w:rsidR="00C932B8" w:rsidRPr="00802AD0" w:rsidRDefault="00C932B8" w:rsidP="004B499C">
            <w:pPr>
              <w:rPr>
                <w:rFonts w:eastAsia="Times New Roman" w:cs="Calibri"/>
                <w:b w:val="0"/>
                <w:bCs w:val="0"/>
                <w:color w:val="000000"/>
                <w:lang w:val="es-CR"/>
              </w:rPr>
            </w:pPr>
            <w:r w:rsidRPr="00802AD0">
              <w:rPr>
                <w:b w:val="0"/>
                <w:bCs w:val="0"/>
              </w:rPr>
              <w:t xml:space="preserve">        BCR Pensión</w:t>
            </w:r>
          </w:p>
        </w:tc>
        <w:tc>
          <w:tcPr>
            <w:tcW w:w="1206" w:type="dxa"/>
            <w:noWrap/>
            <w:hideMark/>
          </w:tcPr>
          <w:p w14:paraId="5C4FA4C1"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w:t>
            </w:r>
          </w:p>
        </w:tc>
        <w:tc>
          <w:tcPr>
            <w:tcW w:w="609" w:type="dxa"/>
            <w:noWrap/>
            <w:hideMark/>
          </w:tcPr>
          <w:p w14:paraId="76705767" w14:textId="77777777" w:rsidR="00C932B8" w:rsidRPr="00B40F83" w:rsidRDefault="00C932B8" w:rsidP="004B499C">
            <w:pPr>
              <w:cnfStyle w:val="000000100000" w:firstRow="0" w:lastRow="0" w:firstColumn="0" w:lastColumn="0" w:oddVBand="0" w:evenVBand="0" w:oddHBand="1" w:evenHBand="0" w:firstRowFirstColumn="0" w:firstRowLastColumn="0" w:lastRowFirstColumn="0" w:lastRowLastColumn="0"/>
            </w:pPr>
          </w:p>
        </w:tc>
        <w:tc>
          <w:tcPr>
            <w:tcW w:w="1120" w:type="dxa"/>
            <w:noWrap/>
            <w:hideMark/>
          </w:tcPr>
          <w:p w14:paraId="4ED5FBB5"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47 618 </w:t>
            </w:r>
          </w:p>
        </w:tc>
        <w:tc>
          <w:tcPr>
            <w:tcW w:w="835" w:type="dxa"/>
            <w:noWrap/>
            <w:hideMark/>
          </w:tcPr>
          <w:p w14:paraId="0226412C"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4,8%</w:t>
            </w:r>
          </w:p>
        </w:tc>
        <w:tc>
          <w:tcPr>
            <w:tcW w:w="1134" w:type="dxa"/>
            <w:noWrap/>
            <w:hideMark/>
          </w:tcPr>
          <w:p w14:paraId="109EF67A"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67 079 </w:t>
            </w:r>
          </w:p>
        </w:tc>
        <w:tc>
          <w:tcPr>
            <w:tcW w:w="718" w:type="dxa"/>
            <w:tcBorders>
              <w:right w:val="single" w:sz="4" w:space="0" w:color="4F81BD" w:themeColor="accent1"/>
            </w:tcBorders>
            <w:noWrap/>
            <w:hideMark/>
          </w:tcPr>
          <w:p w14:paraId="3D62505C"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6,0%</w:t>
            </w:r>
          </w:p>
        </w:tc>
      </w:tr>
      <w:tr w:rsidR="00C932B8" w:rsidRPr="00B40F83" w14:paraId="349BBDA0"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5C57041E" w14:textId="77777777" w:rsidR="00C932B8" w:rsidRPr="00802AD0" w:rsidRDefault="00C932B8" w:rsidP="004B499C">
            <w:pPr>
              <w:rPr>
                <w:rFonts w:eastAsia="Times New Roman" w:cs="Calibri"/>
                <w:b w:val="0"/>
                <w:bCs w:val="0"/>
                <w:color w:val="000000"/>
                <w:lang w:val="es-CR"/>
              </w:rPr>
            </w:pPr>
            <w:r w:rsidRPr="00802AD0">
              <w:rPr>
                <w:b w:val="0"/>
                <w:bCs w:val="0"/>
              </w:rPr>
              <w:t xml:space="preserve">        BN Vital </w:t>
            </w:r>
          </w:p>
        </w:tc>
        <w:tc>
          <w:tcPr>
            <w:tcW w:w="1206" w:type="dxa"/>
            <w:noWrap/>
            <w:hideMark/>
          </w:tcPr>
          <w:p w14:paraId="1145DF9F"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51 121 </w:t>
            </w:r>
          </w:p>
        </w:tc>
        <w:tc>
          <w:tcPr>
            <w:tcW w:w="609" w:type="dxa"/>
            <w:noWrap/>
            <w:hideMark/>
          </w:tcPr>
          <w:p w14:paraId="40A09FBE"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4,3%</w:t>
            </w:r>
          </w:p>
        </w:tc>
        <w:tc>
          <w:tcPr>
            <w:tcW w:w="1120" w:type="dxa"/>
            <w:noWrap/>
            <w:hideMark/>
          </w:tcPr>
          <w:p w14:paraId="6D1D12B7"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53 401 </w:t>
            </w:r>
          </w:p>
        </w:tc>
        <w:tc>
          <w:tcPr>
            <w:tcW w:w="835" w:type="dxa"/>
            <w:noWrap/>
            <w:hideMark/>
          </w:tcPr>
          <w:p w14:paraId="0F63D664"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3,8%</w:t>
            </w:r>
          </w:p>
        </w:tc>
        <w:tc>
          <w:tcPr>
            <w:tcW w:w="1134" w:type="dxa"/>
            <w:noWrap/>
            <w:hideMark/>
          </w:tcPr>
          <w:p w14:paraId="042480FD"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206 823 </w:t>
            </w:r>
          </w:p>
        </w:tc>
        <w:tc>
          <w:tcPr>
            <w:tcW w:w="718" w:type="dxa"/>
            <w:tcBorders>
              <w:right w:val="single" w:sz="4" w:space="0" w:color="4F81BD" w:themeColor="accent1"/>
            </w:tcBorders>
            <w:noWrap/>
            <w:hideMark/>
          </w:tcPr>
          <w:p w14:paraId="07752867"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13,2%</w:t>
            </w:r>
          </w:p>
        </w:tc>
      </w:tr>
      <w:tr w:rsidR="00C932B8" w:rsidRPr="00B40F83" w14:paraId="4B77DFE7"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55C68488" w14:textId="77777777" w:rsidR="00C932B8" w:rsidRPr="00802AD0" w:rsidRDefault="00C932B8" w:rsidP="004B499C">
            <w:pPr>
              <w:rPr>
                <w:rFonts w:eastAsia="Times New Roman" w:cs="Calibri"/>
                <w:b w:val="0"/>
                <w:bCs w:val="0"/>
                <w:color w:val="000000"/>
                <w:lang w:val="es-CR"/>
              </w:rPr>
            </w:pPr>
            <w:r w:rsidRPr="00802AD0">
              <w:rPr>
                <w:b w:val="0"/>
                <w:bCs w:val="0"/>
              </w:rPr>
              <w:t xml:space="preserve">        CCSS-OPC </w:t>
            </w:r>
          </w:p>
        </w:tc>
        <w:tc>
          <w:tcPr>
            <w:tcW w:w="1206" w:type="dxa"/>
            <w:noWrap/>
            <w:hideMark/>
          </w:tcPr>
          <w:p w14:paraId="3BD73457"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31 130 </w:t>
            </w:r>
          </w:p>
        </w:tc>
        <w:tc>
          <w:tcPr>
            <w:tcW w:w="609" w:type="dxa"/>
            <w:noWrap/>
            <w:hideMark/>
          </w:tcPr>
          <w:p w14:paraId="49FFCCC4"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16,8%</w:t>
            </w:r>
          </w:p>
        </w:tc>
        <w:tc>
          <w:tcPr>
            <w:tcW w:w="1120" w:type="dxa"/>
            <w:noWrap/>
            <w:hideMark/>
          </w:tcPr>
          <w:p w14:paraId="755F48E7"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43 564 </w:t>
            </w:r>
          </w:p>
        </w:tc>
        <w:tc>
          <w:tcPr>
            <w:tcW w:w="835" w:type="dxa"/>
            <w:noWrap/>
            <w:hideMark/>
          </w:tcPr>
          <w:p w14:paraId="637CAD9E"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21,0%</w:t>
            </w:r>
          </w:p>
        </w:tc>
        <w:tc>
          <w:tcPr>
            <w:tcW w:w="1134" w:type="dxa"/>
            <w:noWrap/>
            <w:hideMark/>
          </w:tcPr>
          <w:p w14:paraId="411D6F39"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59 856 </w:t>
            </w:r>
          </w:p>
        </w:tc>
        <w:tc>
          <w:tcPr>
            <w:tcW w:w="718" w:type="dxa"/>
            <w:tcBorders>
              <w:right w:val="single" w:sz="4" w:space="0" w:color="4F81BD" w:themeColor="accent1"/>
            </w:tcBorders>
            <w:noWrap/>
            <w:hideMark/>
          </w:tcPr>
          <w:p w14:paraId="2140BBF8"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24,6%</w:t>
            </w:r>
          </w:p>
        </w:tc>
      </w:tr>
      <w:tr w:rsidR="00C932B8" w:rsidRPr="00B40F83" w14:paraId="535F3415"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50D56D58" w14:textId="77777777" w:rsidR="00C932B8" w:rsidRPr="00802AD0" w:rsidRDefault="00C932B8" w:rsidP="004B499C">
            <w:pPr>
              <w:rPr>
                <w:rFonts w:eastAsia="Times New Roman" w:cs="Calibri"/>
                <w:b w:val="0"/>
                <w:bCs w:val="0"/>
                <w:color w:val="000000"/>
                <w:lang w:val="es-CR"/>
              </w:rPr>
            </w:pPr>
            <w:r w:rsidRPr="00802AD0">
              <w:rPr>
                <w:b w:val="0"/>
                <w:bCs w:val="0"/>
              </w:rPr>
              <w:t xml:space="preserve">        Popular</w:t>
            </w:r>
          </w:p>
        </w:tc>
        <w:tc>
          <w:tcPr>
            <w:tcW w:w="1206" w:type="dxa"/>
            <w:noWrap/>
            <w:hideMark/>
          </w:tcPr>
          <w:p w14:paraId="26D0AD4D"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535 609 </w:t>
            </w:r>
          </w:p>
        </w:tc>
        <w:tc>
          <w:tcPr>
            <w:tcW w:w="609" w:type="dxa"/>
            <w:noWrap/>
            <w:hideMark/>
          </w:tcPr>
          <w:p w14:paraId="2E951EC4"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25,5%</w:t>
            </w:r>
          </w:p>
        </w:tc>
        <w:tc>
          <w:tcPr>
            <w:tcW w:w="1120" w:type="dxa"/>
            <w:noWrap/>
            <w:hideMark/>
          </w:tcPr>
          <w:p w14:paraId="29CA1D18"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622 945 </w:t>
            </w:r>
          </w:p>
        </w:tc>
        <w:tc>
          <w:tcPr>
            <w:tcW w:w="835" w:type="dxa"/>
            <w:noWrap/>
            <w:hideMark/>
          </w:tcPr>
          <w:p w14:paraId="49CAFE08"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23,7%</w:t>
            </w:r>
          </w:p>
        </w:tc>
        <w:tc>
          <w:tcPr>
            <w:tcW w:w="1134" w:type="dxa"/>
            <w:noWrap/>
            <w:hideMark/>
          </w:tcPr>
          <w:p w14:paraId="0B804A5B"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1 023 793 </w:t>
            </w:r>
          </w:p>
        </w:tc>
        <w:tc>
          <w:tcPr>
            <w:tcW w:w="718" w:type="dxa"/>
            <w:tcBorders>
              <w:right w:val="single" w:sz="4" w:space="0" w:color="4F81BD" w:themeColor="accent1"/>
            </w:tcBorders>
            <w:noWrap/>
            <w:hideMark/>
          </w:tcPr>
          <w:p w14:paraId="53B1498B"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32,8%</w:t>
            </w:r>
          </w:p>
        </w:tc>
      </w:tr>
      <w:tr w:rsidR="00C932B8" w:rsidRPr="00B40F83" w14:paraId="66C1977D"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065DFAA0" w14:textId="77777777" w:rsidR="00C932B8" w:rsidRPr="00802AD0" w:rsidRDefault="00C932B8" w:rsidP="004B499C">
            <w:pPr>
              <w:rPr>
                <w:rFonts w:eastAsia="Times New Roman" w:cs="Calibri"/>
                <w:b w:val="0"/>
                <w:bCs w:val="0"/>
                <w:color w:val="000000"/>
                <w:lang w:val="es-CR"/>
              </w:rPr>
            </w:pPr>
            <w:r w:rsidRPr="00802AD0">
              <w:rPr>
                <w:b w:val="0"/>
                <w:bCs w:val="0"/>
              </w:rPr>
              <w:t xml:space="preserve">        SJ-Pensiones </w:t>
            </w:r>
          </w:p>
        </w:tc>
        <w:tc>
          <w:tcPr>
            <w:tcW w:w="1206" w:type="dxa"/>
            <w:noWrap/>
            <w:hideMark/>
          </w:tcPr>
          <w:p w14:paraId="5E647C4D"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85 059 </w:t>
            </w:r>
          </w:p>
        </w:tc>
        <w:tc>
          <w:tcPr>
            <w:tcW w:w="609" w:type="dxa"/>
            <w:noWrap/>
            <w:hideMark/>
          </w:tcPr>
          <w:p w14:paraId="50018E4F"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12,2%</w:t>
            </w:r>
          </w:p>
        </w:tc>
        <w:tc>
          <w:tcPr>
            <w:tcW w:w="1120" w:type="dxa"/>
            <w:noWrap/>
            <w:hideMark/>
          </w:tcPr>
          <w:p w14:paraId="66BD3B99"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124 164 </w:t>
            </w:r>
          </w:p>
        </w:tc>
        <w:tc>
          <w:tcPr>
            <w:tcW w:w="835" w:type="dxa"/>
            <w:noWrap/>
            <w:hideMark/>
          </w:tcPr>
          <w:p w14:paraId="04A440B1"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15,1%</w:t>
            </w:r>
          </w:p>
        </w:tc>
        <w:tc>
          <w:tcPr>
            <w:tcW w:w="1134" w:type="dxa"/>
            <w:noWrap/>
            <w:hideMark/>
          </w:tcPr>
          <w:p w14:paraId="2C526D31"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 xml:space="preserve"> 225 858 </w:t>
            </w:r>
          </w:p>
        </w:tc>
        <w:tc>
          <w:tcPr>
            <w:tcW w:w="718" w:type="dxa"/>
            <w:tcBorders>
              <w:right w:val="single" w:sz="4" w:space="0" w:color="4F81BD" w:themeColor="accent1"/>
            </w:tcBorders>
            <w:noWrap/>
            <w:hideMark/>
          </w:tcPr>
          <w:p w14:paraId="7133AEB0"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pPr>
            <w:r w:rsidRPr="00417815">
              <w:t>24,0%</w:t>
            </w:r>
          </w:p>
        </w:tc>
      </w:tr>
      <w:tr w:rsidR="00C932B8" w:rsidRPr="00B40F83" w14:paraId="74946659"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2BDD7280" w14:textId="77777777" w:rsidR="00C932B8" w:rsidRPr="00802AD0" w:rsidRDefault="00C932B8" w:rsidP="004B499C">
            <w:pPr>
              <w:rPr>
                <w:rFonts w:eastAsia="Times New Roman" w:cs="Calibri"/>
                <w:b w:val="0"/>
                <w:bCs w:val="0"/>
                <w:color w:val="000000"/>
                <w:lang w:val="es-CR"/>
              </w:rPr>
            </w:pPr>
            <w:r w:rsidRPr="00802AD0">
              <w:rPr>
                <w:b w:val="0"/>
                <w:bCs w:val="0"/>
              </w:rPr>
              <w:t xml:space="preserve">        Vida Plena </w:t>
            </w:r>
          </w:p>
        </w:tc>
        <w:tc>
          <w:tcPr>
            <w:tcW w:w="1206" w:type="dxa"/>
            <w:noWrap/>
            <w:hideMark/>
          </w:tcPr>
          <w:p w14:paraId="697E550A"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36 129 </w:t>
            </w:r>
          </w:p>
        </w:tc>
        <w:tc>
          <w:tcPr>
            <w:tcW w:w="609" w:type="dxa"/>
            <w:noWrap/>
            <w:hideMark/>
          </w:tcPr>
          <w:p w14:paraId="2E9157D8"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5,5%</w:t>
            </w:r>
          </w:p>
        </w:tc>
        <w:tc>
          <w:tcPr>
            <w:tcW w:w="1120" w:type="dxa"/>
            <w:noWrap/>
            <w:hideMark/>
          </w:tcPr>
          <w:p w14:paraId="18E3D2F0"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46 957 </w:t>
            </w:r>
          </w:p>
        </w:tc>
        <w:tc>
          <w:tcPr>
            <w:tcW w:w="835" w:type="dxa"/>
            <w:noWrap/>
            <w:hideMark/>
          </w:tcPr>
          <w:p w14:paraId="771FF004"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6,0%</w:t>
            </w:r>
          </w:p>
        </w:tc>
        <w:tc>
          <w:tcPr>
            <w:tcW w:w="1134" w:type="dxa"/>
            <w:noWrap/>
            <w:hideMark/>
          </w:tcPr>
          <w:p w14:paraId="1F47B773"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 xml:space="preserve"> 80 390 </w:t>
            </w:r>
          </w:p>
        </w:tc>
        <w:tc>
          <w:tcPr>
            <w:tcW w:w="718" w:type="dxa"/>
            <w:tcBorders>
              <w:right w:val="single" w:sz="4" w:space="0" w:color="4F81BD" w:themeColor="accent1"/>
            </w:tcBorders>
            <w:noWrap/>
            <w:hideMark/>
          </w:tcPr>
          <w:p w14:paraId="1D558322"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pPr>
            <w:r w:rsidRPr="00417815">
              <w:t>9,1%</w:t>
            </w:r>
          </w:p>
        </w:tc>
      </w:tr>
      <w:tr w:rsidR="00C932B8" w:rsidRPr="00B40F83" w14:paraId="3702BF0E"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tcPr>
          <w:p w14:paraId="7C274A9B" w14:textId="77777777" w:rsidR="00C932B8" w:rsidRPr="0066281D" w:rsidRDefault="00C932B8" w:rsidP="004B499C">
            <w:pPr>
              <w:rPr>
                <w:rFonts w:eastAsia="Times New Roman" w:cs="Calibri"/>
                <w:color w:val="000000"/>
                <w:lang w:val="es-CR"/>
              </w:rPr>
            </w:pPr>
            <w:r w:rsidRPr="0066281D">
              <w:t xml:space="preserve"> Sector Local </w:t>
            </w:r>
          </w:p>
        </w:tc>
        <w:tc>
          <w:tcPr>
            <w:tcW w:w="1206" w:type="dxa"/>
            <w:noWrap/>
          </w:tcPr>
          <w:p w14:paraId="0A661A44"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 xml:space="preserve"> 618 423 </w:t>
            </w:r>
          </w:p>
        </w:tc>
        <w:tc>
          <w:tcPr>
            <w:tcW w:w="609" w:type="dxa"/>
            <w:noWrap/>
          </w:tcPr>
          <w:p w14:paraId="0A0A6338"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10,9%</w:t>
            </w:r>
          </w:p>
        </w:tc>
        <w:tc>
          <w:tcPr>
            <w:tcW w:w="1120" w:type="dxa"/>
            <w:noWrap/>
          </w:tcPr>
          <w:p w14:paraId="4B8D1DE1"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 xml:space="preserve"> 1 085 600 </w:t>
            </w:r>
          </w:p>
        </w:tc>
        <w:tc>
          <w:tcPr>
            <w:tcW w:w="835" w:type="dxa"/>
            <w:noWrap/>
          </w:tcPr>
          <w:p w14:paraId="7FC025F6"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15,8%</w:t>
            </w:r>
          </w:p>
        </w:tc>
        <w:tc>
          <w:tcPr>
            <w:tcW w:w="1134" w:type="dxa"/>
            <w:noWrap/>
          </w:tcPr>
          <w:p w14:paraId="097D5DC9"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 xml:space="preserve"> 1 021 491 </w:t>
            </w:r>
          </w:p>
        </w:tc>
        <w:tc>
          <w:tcPr>
            <w:tcW w:w="718" w:type="dxa"/>
            <w:tcBorders>
              <w:right w:val="single" w:sz="4" w:space="0" w:color="4F81BD" w:themeColor="accent1"/>
            </w:tcBorders>
            <w:noWrap/>
          </w:tcPr>
          <w:p w14:paraId="29838E9C" w14:textId="77777777" w:rsidR="00C932B8" w:rsidRPr="0066281D" w:rsidRDefault="00C932B8" w:rsidP="004B499C">
            <w:pPr>
              <w:jc w:val="right"/>
              <w:cnfStyle w:val="000000100000" w:firstRow="0" w:lastRow="0" w:firstColumn="0" w:lastColumn="0" w:oddVBand="0" w:evenVBand="0" w:oddHBand="1" w:evenHBand="0" w:firstRowFirstColumn="0" w:firstRowLastColumn="0" w:lastRowFirstColumn="0" w:lastRowLastColumn="0"/>
              <w:rPr>
                <w:b/>
                <w:bCs/>
              </w:rPr>
            </w:pPr>
            <w:r w:rsidRPr="0066281D">
              <w:rPr>
                <w:b/>
                <w:bCs/>
              </w:rPr>
              <w:t>13,0%</w:t>
            </w:r>
          </w:p>
        </w:tc>
      </w:tr>
      <w:tr w:rsidR="00C932B8" w:rsidRPr="00B40F83" w14:paraId="14BC47EB"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7F684164" w14:textId="77777777" w:rsidR="00C932B8" w:rsidRPr="00802AD0" w:rsidRDefault="00C932B8" w:rsidP="004B499C">
            <w:pPr>
              <w:rPr>
                <w:rFonts w:eastAsia="Times New Roman" w:cs="Calibri"/>
                <w:b w:val="0"/>
                <w:bCs w:val="0"/>
                <w:color w:val="000000"/>
                <w:lang w:val="es-CR"/>
              </w:rPr>
            </w:pPr>
            <w:r w:rsidRPr="00802AD0">
              <w:rPr>
                <w:b w:val="0"/>
                <w:bCs w:val="0"/>
              </w:rPr>
              <w:t xml:space="preserve">        BCR Pensión</w:t>
            </w:r>
          </w:p>
        </w:tc>
        <w:tc>
          <w:tcPr>
            <w:tcW w:w="1206" w:type="dxa"/>
            <w:noWrap/>
            <w:hideMark/>
          </w:tcPr>
          <w:p w14:paraId="5DA19A34"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116 612 </w:t>
            </w:r>
          </w:p>
        </w:tc>
        <w:tc>
          <w:tcPr>
            <w:tcW w:w="609" w:type="dxa"/>
            <w:noWrap/>
            <w:hideMark/>
          </w:tcPr>
          <w:p w14:paraId="1BA5A6EB"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14,0%</w:t>
            </w:r>
          </w:p>
        </w:tc>
        <w:tc>
          <w:tcPr>
            <w:tcW w:w="1120" w:type="dxa"/>
            <w:noWrap/>
            <w:hideMark/>
          </w:tcPr>
          <w:p w14:paraId="3D0139AC"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189 434 </w:t>
            </w:r>
          </w:p>
        </w:tc>
        <w:tc>
          <w:tcPr>
            <w:tcW w:w="835" w:type="dxa"/>
            <w:noWrap/>
            <w:hideMark/>
          </w:tcPr>
          <w:p w14:paraId="730E4D14"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19,3%</w:t>
            </w:r>
          </w:p>
        </w:tc>
        <w:tc>
          <w:tcPr>
            <w:tcW w:w="1134" w:type="dxa"/>
            <w:noWrap/>
            <w:hideMark/>
          </w:tcPr>
          <w:p w14:paraId="06AFF10E"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209 007 </w:t>
            </w:r>
          </w:p>
        </w:tc>
        <w:tc>
          <w:tcPr>
            <w:tcW w:w="718" w:type="dxa"/>
            <w:tcBorders>
              <w:right w:val="single" w:sz="4" w:space="0" w:color="4F81BD" w:themeColor="accent1"/>
            </w:tcBorders>
            <w:noWrap/>
            <w:hideMark/>
          </w:tcPr>
          <w:p w14:paraId="26BF5212"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18,8%</w:t>
            </w:r>
          </w:p>
        </w:tc>
      </w:tr>
      <w:tr w:rsidR="00C932B8" w:rsidRPr="00B40F83" w14:paraId="4A0EB072"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161FD1DF" w14:textId="77777777" w:rsidR="00C932B8" w:rsidRPr="00802AD0" w:rsidRDefault="00C932B8" w:rsidP="004B499C">
            <w:pPr>
              <w:rPr>
                <w:rFonts w:eastAsia="Times New Roman" w:cs="Calibri"/>
                <w:b w:val="0"/>
                <w:bCs w:val="0"/>
                <w:color w:val="000000"/>
                <w:lang w:val="es-CR"/>
              </w:rPr>
            </w:pPr>
            <w:r w:rsidRPr="00802AD0">
              <w:rPr>
                <w:b w:val="0"/>
                <w:bCs w:val="0"/>
              </w:rPr>
              <w:t xml:space="preserve">        BN Vital </w:t>
            </w:r>
          </w:p>
        </w:tc>
        <w:tc>
          <w:tcPr>
            <w:tcW w:w="1206" w:type="dxa"/>
            <w:noWrap/>
            <w:hideMark/>
          </w:tcPr>
          <w:p w14:paraId="5DC32722"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200 707 </w:t>
            </w:r>
          </w:p>
        </w:tc>
        <w:tc>
          <w:tcPr>
            <w:tcW w:w="609" w:type="dxa"/>
            <w:noWrap/>
            <w:hideMark/>
          </w:tcPr>
          <w:p w14:paraId="22C13C5D"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16,8%</w:t>
            </w:r>
          </w:p>
        </w:tc>
        <w:tc>
          <w:tcPr>
            <w:tcW w:w="1120" w:type="dxa"/>
            <w:noWrap/>
            <w:hideMark/>
          </w:tcPr>
          <w:p w14:paraId="6A357CAC"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296 549 </w:t>
            </w:r>
          </w:p>
        </w:tc>
        <w:tc>
          <w:tcPr>
            <w:tcW w:w="835" w:type="dxa"/>
            <w:noWrap/>
            <w:hideMark/>
          </w:tcPr>
          <w:p w14:paraId="20FCB7DD"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20,9%</w:t>
            </w:r>
          </w:p>
        </w:tc>
        <w:tc>
          <w:tcPr>
            <w:tcW w:w="1134" w:type="dxa"/>
            <w:noWrap/>
            <w:hideMark/>
          </w:tcPr>
          <w:p w14:paraId="1A2669E9"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278 408 </w:t>
            </w:r>
          </w:p>
        </w:tc>
        <w:tc>
          <w:tcPr>
            <w:tcW w:w="718" w:type="dxa"/>
            <w:tcBorders>
              <w:right w:val="single" w:sz="4" w:space="0" w:color="4F81BD" w:themeColor="accent1"/>
            </w:tcBorders>
            <w:noWrap/>
            <w:hideMark/>
          </w:tcPr>
          <w:p w14:paraId="4EB9D434"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17,7%</w:t>
            </w:r>
          </w:p>
        </w:tc>
      </w:tr>
      <w:tr w:rsidR="00C932B8" w:rsidRPr="00B40F83" w14:paraId="7B041F35"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3093F249" w14:textId="77777777" w:rsidR="00C932B8" w:rsidRPr="00802AD0" w:rsidRDefault="00C932B8" w:rsidP="004B499C">
            <w:pPr>
              <w:rPr>
                <w:rFonts w:eastAsia="Times New Roman" w:cs="Calibri"/>
                <w:b w:val="0"/>
                <w:bCs w:val="0"/>
                <w:color w:val="000000"/>
                <w:lang w:val="es-CR"/>
              </w:rPr>
            </w:pPr>
            <w:r w:rsidRPr="00802AD0">
              <w:rPr>
                <w:b w:val="0"/>
                <w:bCs w:val="0"/>
              </w:rPr>
              <w:t xml:space="preserve">        CCSS-OPC </w:t>
            </w:r>
          </w:p>
        </w:tc>
        <w:tc>
          <w:tcPr>
            <w:tcW w:w="1206" w:type="dxa"/>
            <w:noWrap/>
            <w:hideMark/>
          </w:tcPr>
          <w:p w14:paraId="36C2B170"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38 218 </w:t>
            </w:r>
          </w:p>
        </w:tc>
        <w:tc>
          <w:tcPr>
            <w:tcW w:w="609" w:type="dxa"/>
            <w:noWrap/>
            <w:hideMark/>
          </w:tcPr>
          <w:p w14:paraId="661DE423"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20,7%</w:t>
            </w:r>
          </w:p>
        </w:tc>
        <w:tc>
          <w:tcPr>
            <w:tcW w:w="1120" w:type="dxa"/>
            <w:noWrap/>
            <w:hideMark/>
          </w:tcPr>
          <w:p w14:paraId="23C5F360"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26 495 </w:t>
            </w:r>
          </w:p>
        </w:tc>
        <w:tc>
          <w:tcPr>
            <w:tcW w:w="835" w:type="dxa"/>
            <w:noWrap/>
            <w:hideMark/>
          </w:tcPr>
          <w:p w14:paraId="7C16697C"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12,8%</w:t>
            </w:r>
          </w:p>
        </w:tc>
        <w:tc>
          <w:tcPr>
            <w:tcW w:w="1134" w:type="dxa"/>
            <w:noWrap/>
            <w:hideMark/>
          </w:tcPr>
          <w:p w14:paraId="02D9C26C"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39 092 </w:t>
            </w:r>
          </w:p>
        </w:tc>
        <w:tc>
          <w:tcPr>
            <w:tcW w:w="718" w:type="dxa"/>
            <w:tcBorders>
              <w:right w:val="single" w:sz="4" w:space="0" w:color="4F81BD" w:themeColor="accent1"/>
            </w:tcBorders>
            <w:noWrap/>
            <w:hideMark/>
          </w:tcPr>
          <w:p w14:paraId="77044CD3"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16,0%</w:t>
            </w:r>
          </w:p>
        </w:tc>
      </w:tr>
      <w:tr w:rsidR="00C932B8" w:rsidRPr="00B40F83" w14:paraId="6115F528"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682E1C07" w14:textId="77777777" w:rsidR="00C932B8" w:rsidRPr="00802AD0" w:rsidRDefault="00C932B8" w:rsidP="004B499C">
            <w:pPr>
              <w:rPr>
                <w:rFonts w:eastAsia="Times New Roman" w:cs="Calibri"/>
                <w:b w:val="0"/>
                <w:bCs w:val="0"/>
                <w:color w:val="000000"/>
                <w:lang w:val="es-CR"/>
              </w:rPr>
            </w:pPr>
            <w:r w:rsidRPr="00802AD0">
              <w:rPr>
                <w:b w:val="0"/>
                <w:bCs w:val="0"/>
              </w:rPr>
              <w:t xml:space="preserve">        Popular</w:t>
            </w:r>
          </w:p>
        </w:tc>
        <w:tc>
          <w:tcPr>
            <w:tcW w:w="1206" w:type="dxa"/>
            <w:noWrap/>
            <w:hideMark/>
          </w:tcPr>
          <w:p w14:paraId="4BF62869"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135 535 </w:t>
            </w:r>
          </w:p>
        </w:tc>
        <w:tc>
          <w:tcPr>
            <w:tcW w:w="609" w:type="dxa"/>
            <w:noWrap/>
            <w:hideMark/>
          </w:tcPr>
          <w:p w14:paraId="3D792541"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6,4%</w:t>
            </w:r>
          </w:p>
        </w:tc>
        <w:tc>
          <w:tcPr>
            <w:tcW w:w="1120" w:type="dxa"/>
            <w:noWrap/>
            <w:hideMark/>
          </w:tcPr>
          <w:p w14:paraId="6B96F1AC"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378 456 </w:t>
            </w:r>
          </w:p>
        </w:tc>
        <w:tc>
          <w:tcPr>
            <w:tcW w:w="835" w:type="dxa"/>
            <w:noWrap/>
            <w:hideMark/>
          </w:tcPr>
          <w:p w14:paraId="18C24321"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14,4%</w:t>
            </w:r>
          </w:p>
        </w:tc>
        <w:tc>
          <w:tcPr>
            <w:tcW w:w="1134" w:type="dxa"/>
            <w:noWrap/>
            <w:hideMark/>
          </w:tcPr>
          <w:p w14:paraId="6F961556"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359 133 </w:t>
            </w:r>
          </w:p>
        </w:tc>
        <w:tc>
          <w:tcPr>
            <w:tcW w:w="718" w:type="dxa"/>
            <w:tcBorders>
              <w:right w:val="single" w:sz="4" w:space="0" w:color="4F81BD" w:themeColor="accent1"/>
            </w:tcBorders>
            <w:noWrap/>
            <w:hideMark/>
          </w:tcPr>
          <w:p w14:paraId="6BBD87F7"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11,5%</w:t>
            </w:r>
          </w:p>
        </w:tc>
      </w:tr>
      <w:tr w:rsidR="00C932B8" w:rsidRPr="00B40F83" w14:paraId="53C2DAC6"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tcBorders>
            <w:noWrap/>
            <w:hideMark/>
          </w:tcPr>
          <w:p w14:paraId="226AE510" w14:textId="77777777" w:rsidR="00C932B8" w:rsidRPr="00802AD0" w:rsidRDefault="00C932B8" w:rsidP="004B499C">
            <w:pPr>
              <w:rPr>
                <w:rFonts w:eastAsia="Times New Roman" w:cs="Calibri"/>
                <w:b w:val="0"/>
                <w:bCs w:val="0"/>
                <w:color w:val="000000"/>
                <w:lang w:val="es-CR"/>
              </w:rPr>
            </w:pPr>
            <w:r w:rsidRPr="00802AD0">
              <w:rPr>
                <w:b w:val="0"/>
                <w:bCs w:val="0"/>
              </w:rPr>
              <w:t xml:space="preserve">        SJ-Pensiones </w:t>
            </w:r>
          </w:p>
        </w:tc>
        <w:tc>
          <w:tcPr>
            <w:tcW w:w="1206" w:type="dxa"/>
            <w:noWrap/>
            <w:hideMark/>
          </w:tcPr>
          <w:p w14:paraId="79E24F01"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57 973 </w:t>
            </w:r>
          </w:p>
        </w:tc>
        <w:tc>
          <w:tcPr>
            <w:tcW w:w="609" w:type="dxa"/>
            <w:noWrap/>
            <w:hideMark/>
          </w:tcPr>
          <w:p w14:paraId="79FDE267"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8,3%</w:t>
            </w:r>
          </w:p>
        </w:tc>
        <w:tc>
          <w:tcPr>
            <w:tcW w:w="1120" w:type="dxa"/>
            <w:noWrap/>
            <w:hideMark/>
          </w:tcPr>
          <w:p w14:paraId="1BE3922A"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109 828 </w:t>
            </w:r>
          </w:p>
        </w:tc>
        <w:tc>
          <w:tcPr>
            <w:tcW w:w="835" w:type="dxa"/>
            <w:noWrap/>
            <w:hideMark/>
          </w:tcPr>
          <w:p w14:paraId="046B1BC5"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13,3%</w:t>
            </w:r>
          </w:p>
        </w:tc>
        <w:tc>
          <w:tcPr>
            <w:tcW w:w="1134" w:type="dxa"/>
            <w:noWrap/>
            <w:hideMark/>
          </w:tcPr>
          <w:p w14:paraId="1C15051F"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 xml:space="preserve"> 52 741 </w:t>
            </w:r>
          </w:p>
        </w:tc>
        <w:tc>
          <w:tcPr>
            <w:tcW w:w="718" w:type="dxa"/>
            <w:tcBorders>
              <w:right w:val="single" w:sz="4" w:space="0" w:color="4F81BD" w:themeColor="accent1"/>
            </w:tcBorders>
            <w:noWrap/>
            <w:hideMark/>
          </w:tcPr>
          <w:p w14:paraId="6D7244B6"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417815">
              <w:t>5,6%</w:t>
            </w:r>
          </w:p>
        </w:tc>
      </w:tr>
      <w:tr w:rsidR="00C932B8" w:rsidRPr="00B40F83" w14:paraId="298758C5" w14:textId="77777777" w:rsidTr="004B499C">
        <w:trPr>
          <w:gridAfter w:val="1"/>
          <w:cnfStyle w:val="000000100000" w:firstRow="0" w:lastRow="0" w:firstColumn="0" w:lastColumn="0" w:oddVBand="0" w:evenVBand="0" w:oddHBand="1" w:evenHBand="0" w:firstRowFirstColumn="0" w:firstRowLastColumn="0" w:lastRowFirstColumn="0" w:lastRowLastColumn="0"/>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left w:val="single" w:sz="4" w:space="0" w:color="4F81BD" w:themeColor="accent1"/>
              <w:bottom w:val="double" w:sz="4" w:space="0" w:color="95B3D7" w:themeColor="accent1" w:themeTint="99"/>
            </w:tcBorders>
            <w:noWrap/>
            <w:hideMark/>
          </w:tcPr>
          <w:p w14:paraId="754FC40E" w14:textId="77777777" w:rsidR="00C932B8" w:rsidRPr="00802AD0" w:rsidRDefault="00C932B8" w:rsidP="004B499C">
            <w:pPr>
              <w:rPr>
                <w:rFonts w:eastAsia="Times New Roman" w:cs="Calibri"/>
                <w:b w:val="0"/>
                <w:bCs w:val="0"/>
                <w:color w:val="000000"/>
                <w:lang w:val="es-CR"/>
              </w:rPr>
            </w:pPr>
            <w:r w:rsidRPr="00802AD0">
              <w:rPr>
                <w:b w:val="0"/>
                <w:bCs w:val="0"/>
              </w:rPr>
              <w:t xml:space="preserve">        Vida Plena </w:t>
            </w:r>
          </w:p>
        </w:tc>
        <w:tc>
          <w:tcPr>
            <w:tcW w:w="1206" w:type="dxa"/>
            <w:tcBorders>
              <w:bottom w:val="double" w:sz="4" w:space="0" w:color="95B3D7" w:themeColor="accent1" w:themeTint="99"/>
            </w:tcBorders>
            <w:noWrap/>
            <w:hideMark/>
          </w:tcPr>
          <w:p w14:paraId="10213D08"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69 378 </w:t>
            </w:r>
          </w:p>
        </w:tc>
        <w:tc>
          <w:tcPr>
            <w:tcW w:w="609" w:type="dxa"/>
            <w:tcBorders>
              <w:bottom w:val="double" w:sz="4" w:space="0" w:color="95B3D7" w:themeColor="accent1" w:themeTint="99"/>
            </w:tcBorders>
            <w:noWrap/>
            <w:hideMark/>
          </w:tcPr>
          <w:p w14:paraId="662F1DC4"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10,6%</w:t>
            </w:r>
          </w:p>
        </w:tc>
        <w:tc>
          <w:tcPr>
            <w:tcW w:w="1120" w:type="dxa"/>
            <w:tcBorders>
              <w:bottom w:val="double" w:sz="4" w:space="0" w:color="95B3D7" w:themeColor="accent1" w:themeTint="99"/>
            </w:tcBorders>
            <w:noWrap/>
            <w:hideMark/>
          </w:tcPr>
          <w:p w14:paraId="3895DB72"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84 838 </w:t>
            </w:r>
          </w:p>
        </w:tc>
        <w:tc>
          <w:tcPr>
            <w:tcW w:w="835" w:type="dxa"/>
            <w:tcBorders>
              <w:bottom w:val="double" w:sz="4" w:space="0" w:color="95B3D7" w:themeColor="accent1" w:themeTint="99"/>
            </w:tcBorders>
            <w:noWrap/>
            <w:hideMark/>
          </w:tcPr>
          <w:p w14:paraId="681065D3"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10,8%</w:t>
            </w:r>
          </w:p>
        </w:tc>
        <w:tc>
          <w:tcPr>
            <w:tcW w:w="1134" w:type="dxa"/>
            <w:tcBorders>
              <w:bottom w:val="double" w:sz="4" w:space="0" w:color="95B3D7" w:themeColor="accent1" w:themeTint="99"/>
            </w:tcBorders>
            <w:noWrap/>
            <w:hideMark/>
          </w:tcPr>
          <w:p w14:paraId="581F3F72"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 xml:space="preserve"> 83 110 </w:t>
            </w:r>
          </w:p>
        </w:tc>
        <w:tc>
          <w:tcPr>
            <w:tcW w:w="718" w:type="dxa"/>
            <w:tcBorders>
              <w:bottom w:val="double" w:sz="4" w:space="0" w:color="95B3D7" w:themeColor="accent1" w:themeTint="99"/>
              <w:right w:val="single" w:sz="4" w:space="0" w:color="4F81BD" w:themeColor="accent1"/>
            </w:tcBorders>
            <w:noWrap/>
            <w:hideMark/>
          </w:tcPr>
          <w:p w14:paraId="41D1D28E" w14:textId="77777777" w:rsidR="00C932B8" w:rsidRPr="00B40F83" w:rsidRDefault="00C932B8" w:rsidP="004B499C">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417815">
              <w:t>9,4%</w:t>
            </w:r>
          </w:p>
        </w:tc>
      </w:tr>
      <w:tr w:rsidR="00C932B8" w:rsidRPr="00B40F83" w14:paraId="0B907378" w14:textId="77777777" w:rsidTr="004B499C">
        <w:trPr>
          <w:gridAfter w:val="1"/>
          <w:wAfter w:w="10" w:type="dxa"/>
          <w:trHeight w:val="231"/>
          <w:jc w:val="center"/>
        </w:trPr>
        <w:tc>
          <w:tcPr>
            <w:cnfStyle w:val="001000000000" w:firstRow="0" w:lastRow="0" w:firstColumn="1" w:lastColumn="0" w:oddVBand="0" w:evenVBand="0" w:oddHBand="0" w:evenHBand="0" w:firstRowFirstColumn="0" w:firstRowLastColumn="0" w:lastRowFirstColumn="0" w:lastRowLastColumn="0"/>
            <w:tcW w:w="1754" w:type="dxa"/>
            <w:tcBorders>
              <w:top w:val="double" w:sz="4" w:space="0" w:color="95B3D7" w:themeColor="accent1" w:themeTint="99"/>
              <w:left w:val="single" w:sz="4" w:space="0" w:color="4F81BD" w:themeColor="accent1"/>
            </w:tcBorders>
            <w:noWrap/>
            <w:hideMark/>
          </w:tcPr>
          <w:p w14:paraId="48654679" w14:textId="77777777" w:rsidR="00C932B8" w:rsidRPr="00B40F83" w:rsidRDefault="00C932B8" w:rsidP="004B499C">
            <w:pPr>
              <w:rPr>
                <w:rFonts w:eastAsia="Times New Roman" w:cs="Calibri"/>
                <w:color w:val="000000"/>
                <w:lang w:val="es-CR"/>
              </w:rPr>
            </w:pPr>
            <w:r w:rsidRPr="00417815">
              <w:t xml:space="preserve"> Total </w:t>
            </w:r>
          </w:p>
        </w:tc>
        <w:tc>
          <w:tcPr>
            <w:tcW w:w="1206" w:type="dxa"/>
            <w:tcBorders>
              <w:top w:val="double" w:sz="4" w:space="0" w:color="95B3D7" w:themeColor="accent1" w:themeTint="99"/>
            </w:tcBorders>
            <w:noWrap/>
            <w:hideMark/>
          </w:tcPr>
          <w:p w14:paraId="704D5FAE"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 xml:space="preserve"> 1 357 470 </w:t>
            </w:r>
          </w:p>
        </w:tc>
        <w:tc>
          <w:tcPr>
            <w:tcW w:w="609" w:type="dxa"/>
            <w:tcBorders>
              <w:top w:val="double" w:sz="4" w:space="0" w:color="95B3D7" w:themeColor="accent1" w:themeTint="99"/>
            </w:tcBorders>
            <w:noWrap/>
            <w:hideMark/>
          </w:tcPr>
          <w:p w14:paraId="635C7A3D"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24,0%</w:t>
            </w:r>
          </w:p>
        </w:tc>
        <w:tc>
          <w:tcPr>
            <w:tcW w:w="1120" w:type="dxa"/>
            <w:tcBorders>
              <w:top w:val="double" w:sz="4" w:space="0" w:color="95B3D7" w:themeColor="accent1" w:themeTint="99"/>
            </w:tcBorders>
            <w:noWrap/>
            <w:hideMark/>
          </w:tcPr>
          <w:p w14:paraId="6DCA62E1"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 xml:space="preserve"> 2 024 248 </w:t>
            </w:r>
          </w:p>
        </w:tc>
        <w:tc>
          <w:tcPr>
            <w:tcW w:w="835" w:type="dxa"/>
            <w:tcBorders>
              <w:top w:val="double" w:sz="4" w:space="0" w:color="95B3D7" w:themeColor="accent1" w:themeTint="99"/>
            </w:tcBorders>
            <w:noWrap/>
            <w:hideMark/>
          </w:tcPr>
          <w:p w14:paraId="08404116"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29,5%</w:t>
            </w:r>
          </w:p>
        </w:tc>
        <w:tc>
          <w:tcPr>
            <w:tcW w:w="1134" w:type="dxa"/>
            <w:tcBorders>
              <w:top w:val="double" w:sz="4" w:space="0" w:color="95B3D7" w:themeColor="accent1" w:themeTint="99"/>
            </w:tcBorders>
            <w:noWrap/>
            <w:hideMark/>
          </w:tcPr>
          <w:p w14:paraId="240D9979"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 xml:space="preserve"> 2 685 291 </w:t>
            </w:r>
          </w:p>
        </w:tc>
        <w:tc>
          <w:tcPr>
            <w:tcW w:w="718" w:type="dxa"/>
            <w:tcBorders>
              <w:top w:val="double" w:sz="4" w:space="0" w:color="95B3D7" w:themeColor="accent1" w:themeTint="99"/>
              <w:right w:val="single" w:sz="4" w:space="0" w:color="4F81BD" w:themeColor="accent1"/>
            </w:tcBorders>
            <w:noWrap/>
            <w:hideMark/>
          </w:tcPr>
          <w:p w14:paraId="38C57E70" w14:textId="77777777" w:rsidR="00C932B8" w:rsidRPr="00B40F83" w:rsidRDefault="00C932B8" w:rsidP="004B499C">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lang w:val="es-CR"/>
              </w:rPr>
            </w:pPr>
            <w:r w:rsidRPr="00417815">
              <w:t>34,1%</w:t>
            </w:r>
          </w:p>
        </w:tc>
      </w:tr>
    </w:tbl>
    <w:bookmarkEnd w:id="11"/>
    <w:p w14:paraId="18C59527" w14:textId="5C62F4DF" w:rsidR="008D61AC" w:rsidRDefault="008D61AC" w:rsidP="004B499C">
      <w:pPr>
        <w:pStyle w:val="Descripcin"/>
        <w:spacing w:after="0"/>
        <w:ind w:left="2124" w:firstLine="708"/>
      </w:pPr>
      <w:r>
        <w:t>Fuente: Elaboración propia</w:t>
      </w:r>
    </w:p>
    <w:p w14:paraId="5B58FDD4" w14:textId="1FEF2D60" w:rsidR="00A231D8" w:rsidRDefault="00A231D8" w:rsidP="00A231D8"/>
    <w:p w14:paraId="222EE2E3" w14:textId="0DBCD8F9" w:rsidR="00CF15EE" w:rsidRPr="004B499C" w:rsidRDefault="005679D6" w:rsidP="004B499C">
      <w:pPr>
        <w:pStyle w:val="Ttulo2"/>
        <w:numPr>
          <w:ilvl w:val="1"/>
          <w:numId w:val="1"/>
        </w:numPr>
        <w:rPr>
          <w:sz w:val="28"/>
          <w:szCs w:val="28"/>
        </w:rPr>
      </w:pPr>
      <w:bookmarkStart w:id="12" w:name="_Toc64457429"/>
      <w:r w:rsidRPr="004B499C">
        <w:rPr>
          <w:sz w:val="28"/>
          <w:szCs w:val="28"/>
        </w:rPr>
        <w:t>R</w:t>
      </w:r>
      <w:r w:rsidR="00AA66AE" w:rsidRPr="004B499C">
        <w:rPr>
          <w:sz w:val="28"/>
          <w:szCs w:val="28"/>
        </w:rPr>
        <w:t>entabilidad</w:t>
      </w:r>
      <w:bookmarkEnd w:id="12"/>
    </w:p>
    <w:p w14:paraId="4B67CEA2" w14:textId="77777777" w:rsidR="005679D6" w:rsidRPr="004B499C" w:rsidRDefault="005679D6" w:rsidP="004B499C">
      <w:pPr>
        <w:spacing w:after="0"/>
        <w:jc w:val="both"/>
        <w:rPr>
          <w:sz w:val="24"/>
          <w:szCs w:val="24"/>
        </w:rPr>
      </w:pPr>
    </w:p>
    <w:p w14:paraId="0768FCCF" w14:textId="51E4A3AC" w:rsidR="00DD1F4C" w:rsidRPr="004B499C" w:rsidRDefault="00DD1F4C" w:rsidP="004B499C">
      <w:pPr>
        <w:spacing w:after="0"/>
        <w:jc w:val="both"/>
        <w:rPr>
          <w:sz w:val="24"/>
          <w:szCs w:val="24"/>
        </w:rPr>
      </w:pPr>
      <w:r w:rsidRPr="004B499C">
        <w:rPr>
          <w:sz w:val="24"/>
          <w:szCs w:val="24"/>
        </w:rPr>
        <w:t>Durante el cuarto trimestre de 2020, los mercados financieros internacionales mostraron una tendencia</w:t>
      </w:r>
      <w:r w:rsidR="00963952" w:rsidRPr="004B499C">
        <w:rPr>
          <w:sz w:val="24"/>
          <w:szCs w:val="24"/>
        </w:rPr>
        <w:t xml:space="preserve"> al alza</w:t>
      </w:r>
      <w:r w:rsidRPr="004B499C">
        <w:rPr>
          <w:sz w:val="24"/>
          <w:szCs w:val="24"/>
        </w:rPr>
        <w:t>, favoreciendo la rentabilidad de los fondos administrados</w:t>
      </w:r>
      <w:r w:rsidR="00060A18" w:rsidRPr="004B499C">
        <w:rPr>
          <w:sz w:val="24"/>
          <w:szCs w:val="24"/>
        </w:rPr>
        <w:t xml:space="preserve"> con</w:t>
      </w:r>
      <w:r w:rsidR="00B0129A" w:rsidRPr="004B499C">
        <w:rPr>
          <w:sz w:val="24"/>
          <w:szCs w:val="24"/>
        </w:rPr>
        <w:t xml:space="preserve"> exposición</w:t>
      </w:r>
      <w:r w:rsidR="003E699E" w:rsidRPr="004B499C">
        <w:rPr>
          <w:sz w:val="24"/>
          <w:szCs w:val="24"/>
        </w:rPr>
        <w:t xml:space="preserve"> a instrumentos internacionales</w:t>
      </w:r>
      <w:r w:rsidR="00B0129A" w:rsidRPr="004B499C">
        <w:rPr>
          <w:sz w:val="24"/>
          <w:szCs w:val="24"/>
        </w:rPr>
        <w:t xml:space="preserve">, entre mayor sea el porcentaje de la cartera invertido en valores extranjeros, mayor ha sido </w:t>
      </w:r>
      <w:r w:rsidR="006C7809" w:rsidRPr="004B499C">
        <w:rPr>
          <w:sz w:val="24"/>
          <w:szCs w:val="24"/>
        </w:rPr>
        <w:t>el efecto</w:t>
      </w:r>
      <w:r w:rsidR="00CD6463" w:rsidRPr="004B499C">
        <w:rPr>
          <w:sz w:val="24"/>
          <w:szCs w:val="24"/>
        </w:rPr>
        <w:t xml:space="preserve"> positivo</w:t>
      </w:r>
      <w:r w:rsidR="006C7809" w:rsidRPr="004B499C">
        <w:rPr>
          <w:sz w:val="24"/>
          <w:szCs w:val="24"/>
        </w:rPr>
        <w:t xml:space="preserve"> en los portafolios</w:t>
      </w:r>
      <w:r w:rsidR="00730022" w:rsidRPr="004B499C">
        <w:rPr>
          <w:sz w:val="24"/>
          <w:szCs w:val="24"/>
        </w:rPr>
        <w:t>.</w:t>
      </w:r>
    </w:p>
    <w:p w14:paraId="7C638DD5" w14:textId="77777777" w:rsidR="003E41A4" w:rsidRPr="004B499C" w:rsidRDefault="003E41A4" w:rsidP="004B499C">
      <w:pPr>
        <w:spacing w:after="0"/>
        <w:jc w:val="both"/>
        <w:rPr>
          <w:sz w:val="24"/>
          <w:szCs w:val="24"/>
        </w:rPr>
      </w:pPr>
    </w:p>
    <w:p w14:paraId="12452CE7" w14:textId="0A6E00EF" w:rsidR="00766731" w:rsidRPr="004B499C" w:rsidRDefault="00907B37" w:rsidP="004B499C">
      <w:pPr>
        <w:spacing w:after="0"/>
        <w:jc w:val="both"/>
        <w:rPr>
          <w:sz w:val="24"/>
          <w:szCs w:val="24"/>
        </w:rPr>
      </w:pPr>
      <w:r w:rsidRPr="004B499C">
        <w:rPr>
          <w:sz w:val="24"/>
          <w:szCs w:val="24"/>
        </w:rPr>
        <w:lastRenderedPageBreak/>
        <w:t>En el mercado local, d</w:t>
      </w:r>
      <w:r w:rsidR="00F0352E" w:rsidRPr="004B499C">
        <w:rPr>
          <w:sz w:val="24"/>
          <w:szCs w:val="24"/>
        </w:rPr>
        <w:t>urante</w:t>
      </w:r>
      <w:r w:rsidR="00801BFB" w:rsidRPr="004B499C">
        <w:rPr>
          <w:sz w:val="24"/>
          <w:szCs w:val="24"/>
        </w:rPr>
        <w:t xml:space="preserve"> </w:t>
      </w:r>
      <w:r w:rsidR="00B26B33" w:rsidRPr="004B499C">
        <w:rPr>
          <w:sz w:val="24"/>
          <w:szCs w:val="24"/>
        </w:rPr>
        <w:t xml:space="preserve">el </w:t>
      </w:r>
      <w:r w:rsidR="001A284C" w:rsidRPr="004B499C">
        <w:rPr>
          <w:sz w:val="24"/>
          <w:szCs w:val="24"/>
        </w:rPr>
        <w:t>trimestre</w:t>
      </w:r>
      <w:r w:rsidR="00801BFB" w:rsidRPr="004B499C">
        <w:rPr>
          <w:sz w:val="24"/>
          <w:szCs w:val="24"/>
        </w:rPr>
        <w:t xml:space="preserve"> </w:t>
      </w:r>
      <w:r w:rsidR="00FC48B6" w:rsidRPr="004B499C">
        <w:rPr>
          <w:sz w:val="24"/>
          <w:szCs w:val="24"/>
        </w:rPr>
        <w:t xml:space="preserve">la curva de rendimientos en colones del BCCR </w:t>
      </w:r>
      <w:r w:rsidR="00717D49" w:rsidRPr="004B499C">
        <w:rPr>
          <w:sz w:val="24"/>
          <w:szCs w:val="24"/>
        </w:rPr>
        <w:t>pres</w:t>
      </w:r>
      <w:r w:rsidR="001F3FD4" w:rsidRPr="004B499C">
        <w:rPr>
          <w:sz w:val="24"/>
          <w:szCs w:val="24"/>
        </w:rPr>
        <w:t>e</w:t>
      </w:r>
      <w:r w:rsidR="00717D49" w:rsidRPr="004B499C">
        <w:rPr>
          <w:sz w:val="24"/>
          <w:szCs w:val="24"/>
        </w:rPr>
        <w:t xml:space="preserve">ntó un desplazamiento hacia </w:t>
      </w:r>
      <w:r w:rsidR="001A284C" w:rsidRPr="004B499C">
        <w:rPr>
          <w:sz w:val="24"/>
          <w:szCs w:val="24"/>
        </w:rPr>
        <w:t>abajo</w:t>
      </w:r>
      <w:r w:rsidR="00C304B5" w:rsidRPr="004B499C">
        <w:rPr>
          <w:sz w:val="24"/>
          <w:szCs w:val="24"/>
        </w:rPr>
        <w:t xml:space="preserve"> en los plazo</w:t>
      </w:r>
      <w:r w:rsidR="00CE05D7" w:rsidRPr="004B499C">
        <w:rPr>
          <w:sz w:val="24"/>
          <w:szCs w:val="24"/>
        </w:rPr>
        <w:t>s</w:t>
      </w:r>
      <w:r w:rsidR="00C304B5" w:rsidRPr="004B499C">
        <w:rPr>
          <w:sz w:val="24"/>
          <w:szCs w:val="24"/>
        </w:rPr>
        <w:t xml:space="preserve"> inferiores a los </w:t>
      </w:r>
      <w:r w:rsidR="00B26B33" w:rsidRPr="004B499C">
        <w:rPr>
          <w:sz w:val="24"/>
          <w:szCs w:val="24"/>
        </w:rPr>
        <w:t>5</w:t>
      </w:r>
      <w:r w:rsidR="00C304B5" w:rsidRPr="004B499C">
        <w:rPr>
          <w:sz w:val="24"/>
          <w:szCs w:val="24"/>
        </w:rPr>
        <w:t xml:space="preserve"> años</w:t>
      </w:r>
      <w:r w:rsidR="00717D49" w:rsidRPr="004B499C">
        <w:rPr>
          <w:sz w:val="24"/>
          <w:szCs w:val="24"/>
        </w:rPr>
        <w:t xml:space="preserve">, </w:t>
      </w:r>
      <w:r w:rsidR="0068020F" w:rsidRPr="004B499C">
        <w:rPr>
          <w:sz w:val="24"/>
          <w:szCs w:val="24"/>
        </w:rPr>
        <w:t xml:space="preserve">afectando </w:t>
      </w:r>
      <w:r w:rsidR="001F3FD4" w:rsidRPr="004B499C">
        <w:rPr>
          <w:sz w:val="24"/>
          <w:szCs w:val="24"/>
        </w:rPr>
        <w:t xml:space="preserve">de manera </w:t>
      </w:r>
      <w:r w:rsidR="00C304B5" w:rsidRPr="004B499C">
        <w:rPr>
          <w:sz w:val="24"/>
          <w:szCs w:val="24"/>
        </w:rPr>
        <w:t xml:space="preserve">positiva </w:t>
      </w:r>
      <w:r w:rsidR="0068020F" w:rsidRPr="004B499C">
        <w:rPr>
          <w:sz w:val="24"/>
          <w:szCs w:val="24"/>
        </w:rPr>
        <w:t xml:space="preserve">el valor de las inversiones en </w:t>
      </w:r>
      <w:r w:rsidR="00A400A0" w:rsidRPr="004B499C">
        <w:rPr>
          <w:sz w:val="24"/>
          <w:szCs w:val="24"/>
        </w:rPr>
        <w:t xml:space="preserve">locales </w:t>
      </w:r>
      <w:r w:rsidR="001F3FD4" w:rsidRPr="004B499C">
        <w:rPr>
          <w:sz w:val="24"/>
          <w:szCs w:val="24"/>
        </w:rPr>
        <w:t>de los portafolios de pensiones</w:t>
      </w:r>
      <w:r w:rsidR="00D75AB3" w:rsidRPr="004B499C">
        <w:rPr>
          <w:sz w:val="24"/>
          <w:szCs w:val="24"/>
        </w:rPr>
        <w:t xml:space="preserve">. </w:t>
      </w:r>
      <w:r w:rsidR="009F6D79" w:rsidRPr="004B499C">
        <w:rPr>
          <w:sz w:val="24"/>
          <w:szCs w:val="24"/>
        </w:rPr>
        <w:t xml:space="preserve"> </w:t>
      </w:r>
      <w:r w:rsidR="00D75AB3" w:rsidRPr="004B499C">
        <w:rPr>
          <w:sz w:val="24"/>
          <w:szCs w:val="24"/>
        </w:rPr>
        <w:t>P</w:t>
      </w:r>
      <w:r w:rsidR="009F6D79" w:rsidRPr="004B499C">
        <w:rPr>
          <w:sz w:val="24"/>
          <w:szCs w:val="24"/>
        </w:rPr>
        <w:t>or</w:t>
      </w:r>
      <w:r w:rsidR="00D75AB3" w:rsidRPr="004B499C">
        <w:rPr>
          <w:sz w:val="24"/>
          <w:szCs w:val="24"/>
        </w:rPr>
        <w:t xml:space="preserve"> </w:t>
      </w:r>
      <w:r w:rsidR="009F6D79" w:rsidRPr="004B499C">
        <w:rPr>
          <w:sz w:val="24"/>
          <w:szCs w:val="24"/>
        </w:rPr>
        <w:t>el contrario</w:t>
      </w:r>
      <w:r w:rsidR="00D75AB3" w:rsidRPr="004B499C">
        <w:rPr>
          <w:sz w:val="24"/>
          <w:szCs w:val="24"/>
        </w:rPr>
        <w:t>,</w:t>
      </w:r>
      <w:r w:rsidR="009F6D79" w:rsidRPr="004B499C">
        <w:rPr>
          <w:sz w:val="24"/>
          <w:szCs w:val="24"/>
        </w:rPr>
        <w:t xml:space="preserve"> </w:t>
      </w:r>
      <w:r w:rsidR="00D75AB3" w:rsidRPr="004B499C">
        <w:rPr>
          <w:sz w:val="24"/>
          <w:szCs w:val="24"/>
        </w:rPr>
        <w:t>en</w:t>
      </w:r>
      <w:r w:rsidR="00103286" w:rsidRPr="004B499C">
        <w:rPr>
          <w:sz w:val="24"/>
          <w:szCs w:val="24"/>
        </w:rPr>
        <w:t xml:space="preserve"> plazos </w:t>
      </w:r>
      <w:r w:rsidR="00964544" w:rsidRPr="004B499C">
        <w:rPr>
          <w:sz w:val="24"/>
          <w:szCs w:val="24"/>
        </w:rPr>
        <w:t xml:space="preserve">superiores a los </w:t>
      </w:r>
      <w:r w:rsidR="00EC2278" w:rsidRPr="004B499C">
        <w:rPr>
          <w:sz w:val="24"/>
          <w:szCs w:val="24"/>
        </w:rPr>
        <w:t>5</w:t>
      </w:r>
      <w:r w:rsidR="00103286" w:rsidRPr="004B499C">
        <w:rPr>
          <w:sz w:val="24"/>
          <w:szCs w:val="24"/>
        </w:rPr>
        <w:t xml:space="preserve"> años</w:t>
      </w:r>
      <w:r w:rsidR="00637EBB" w:rsidRPr="004B499C">
        <w:rPr>
          <w:sz w:val="24"/>
          <w:szCs w:val="24"/>
        </w:rPr>
        <w:t xml:space="preserve"> </w:t>
      </w:r>
      <w:r w:rsidR="00E20D21" w:rsidRPr="004B499C">
        <w:rPr>
          <w:sz w:val="24"/>
          <w:szCs w:val="24"/>
        </w:rPr>
        <w:t>se present</w:t>
      </w:r>
      <w:r w:rsidR="009F6D79" w:rsidRPr="004B499C">
        <w:rPr>
          <w:sz w:val="24"/>
          <w:szCs w:val="24"/>
        </w:rPr>
        <w:t>ó</w:t>
      </w:r>
      <w:r w:rsidR="00E20D21" w:rsidRPr="004B499C">
        <w:rPr>
          <w:sz w:val="24"/>
          <w:szCs w:val="24"/>
        </w:rPr>
        <w:t xml:space="preserve"> </w:t>
      </w:r>
      <w:r w:rsidR="00A33DEB" w:rsidRPr="004B499C">
        <w:rPr>
          <w:sz w:val="24"/>
          <w:szCs w:val="24"/>
        </w:rPr>
        <w:t xml:space="preserve">un desplazamiento de la curva </w:t>
      </w:r>
      <w:r w:rsidR="004F113A" w:rsidRPr="004B499C">
        <w:rPr>
          <w:sz w:val="24"/>
          <w:szCs w:val="24"/>
        </w:rPr>
        <w:t xml:space="preserve">en colones </w:t>
      </w:r>
      <w:r w:rsidR="00801BFB" w:rsidRPr="004B499C">
        <w:rPr>
          <w:sz w:val="24"/>
          <w:szCs w:val="24"/>
        </w:rPr>
        <w:t xml:space="preserve">hacia </w:t>
      </w:r>
      <w:r w:rsidR="00AA7138" w:rsidRPr="004B499C">
        <w:rPr>
          <w:sz w:val="24"/>
          <w:szCs w:val="24"/>
        </w:rPr>
        <w:t>arriba</w:t>
      </w:r>
      <w:r w:rsidR="00D75AB3" w:rsidRPr="004B499C">
        <w:rPr>
          <w:sz w:val="24"/>
          <w:szCs w:val="24"/>
        </w:rPr>
        <w:t>,</w:t>
      </w:r>
      <w:r w:rsidR="00E6455F" w:rsidRPr="004B499C">
        <w:rPr>
          <w:sz w:val="24"/>
          <w:szCs w:val="24"/>
        </w:rPr>
        <w:t xml:space="preserve"> provocando un efecto negativo</w:t>
      </w:r>
      <w:r w:rsidR="00964544" w:rsidRPr="004B499C">
        <w:rPr>
          <w:sz w:val="24"/>
          <w:szCs w:val="24"/>
        </w:rPr>
        <w:t xml:space="preserve">. </w:t>
      </w:r>
      <w:r w:rsidR="00D75AB3" w:rsidRPr="004B499C">
        <w:rPr>
          <w:sz w:val="24"/>
          <w:szCs w:val="24"/>
        </w:rPr>
        <w:t>El</w:t>
      </w:r>
      <w:r w:rsidR="005C0F80" w:rsidRPr="004B499C">
        <w:rPr>
          <w:sz w:val="24"/>
          <w:szCs w:val="24"/>
        </w:rPr>
        <w:t xml:space="preserve"> efecto total del trimestre para la</w:t>
      </w:r>
      <w:r w:rsidR="00541CE5" w:rsidRPr="004B499C">
        <w:rPr>
          <w:sz w:val="24"/>
          <w:szCs w:val="24"/>
        </w:rPr>
        <w:t>s</w:t>
      </w:r>
      <w:r w:rsidR="005C0F80" w:rsidRPr="004B499C">
        <w:rPr>
          <w:sz w:val="24"/>
          <w:szCs w:val="24"/>
        </w:rPr>
        <w:t xml:space="preserve"> inversi</w:t>
      </w:r>
      <w:r w:rsidR="00541CE5" w:rsidRPr="004B499C">
        <w:rPr>
          <w:sz w:val="24"/>
          <w:szCs w:val="24"/>
        </w:rPr>
        <w:t>o</w:t>
      </w:r>
      <w:r w:rsidR="005C0F80" w:rsidRPr="004B499C">
        <w:rPr>
          <w:sz w:val="24"/>
          <w:szCs w:val="24"/>
        </w:rPr>
        <w:t>n</w:t>
      </w:r>
      <w:r w:rsidR="00541CE5" w:rsidRPr="004B499C">
        <w:rPr>
          <w:sz w:val="24"/>
          <w:szCs w:val="24"/>
        </w:rPr>
        <w:t>es</w:t>
      </w:r>
      <w:r w:rsidR="005C0F80" w:rsidRPr="004B499C">
        <w:rPr>
          <w:sz w:val="24"/>
          <w:szCs w:val="24"/>
        </w:rPr>
        <w:t xml:space="preserve"> local</w:t>
      </w:r>
      <w:r w:rsidR="00964544" w:rsidRPr="004B499C">
        <w:rPr>
          <w:sz w:val="24"/>
          <w:szCs w:val="24"/>
        </w:rPr>
        <w:t>es</w:t>
      </w:r>
      <w:r w:rsidR="005C0F80" w:rsidRPr="004B499C">
        <w:rPr>
          <w:sz w:val="24"/>
          <w:szCs w:val="24"/>
        </w:rPr>
        <w:t xml:space="preserve"> de los portafolios de pensiones </w:t>
      </w:r>
      <w:r w:rsidR="00541CE5" w:rsidRPr="004B499C">
        <w:rPr>
          <w:sz w:val="24"/>
          <w:szCs w:val="24"/>
        </w:rPr>
        <w:t xml:space="preserve">depende de la composición </w:t>
      </w:r>
      <w:r w:rsidR="008A4B88" w:rsidRPr="004B499C">
        <w:rPr>
          <w:sz w:val="24"/>
          <w:szCs w:val="24"/>
        </w:rPr>
        <w:t>por plazo</w:t>
      </w:r>
      <w:r w:rsidR="005C0F80" w:rsidRPr="004B499C">
        <w:rPr>
          <w:sz w:val="24"/>
          <w:szCs w:val="24"/>
        </w:rPr>
        <w:t>.</w:t>
      </w:r>
    </w:p>
    <w:p w14:paraId="02D84B99" w14:textId="77777777" w:rsidR="00780F08" w:rsidRPr="004B499C" w:rsidRDefault="00780F08" w:rsidP="004B499C">
      <w:pPr>
        <w:spacing w:after="0"/>
        <w:jc w:val="both"/>
        <w:rPr>
          <w:sz w:val="24"/>
          <w:szCs w:val="24"/>
        </w:rPr>
      </w:pPr>
    </w:p>
    <w:p w14:paraId="238DF4CE" w14:textId="778C9690" w:rsidR="002F6A07" w:rsidRPr="004B499C" w:rsidRDefault="00907B37" w:rsidP="004B499C">
      <w:pPr>
        <w:spacing w:after="0"/>
        <w:jc w:val="both"/>
        <w:rPr>
          <w:sz w:val="24"/>
          <w:szCs w:val="24"/>
        </w:rPr>
      </w:pPr>
      <w:r w:rsidRPr="004B499C">
        <w:rPr>
          <w:sz w:val="24"/>
          <w:szCs w:val="24"/>
        </w:rPr>
        <w:t>Por otro lado,</w:t>
      </w:r>
      <w:r w:rsidR="005B3BA5" w:rsidRPr="004B499C">
        <w:rPr>
          <w:sz w:val="24"/>
          <w:szCs w:val="24"/>
        </w:rPr>
        <w:t xml:space="preserve"> </w:t>
      </w:r>
      <w:r w:rsidR="00A27B83" w:rsidRPr="004B499C">
        <w:rPr>
          <w:sz w:val="24"/>
          <w:szCs w:val="24"/>
        </w:rPr>
        <w:t>el</w:t>
      </w:r>
      <w:r w:rsidR="00780F08" w:rsidRPr="004B499C">
        <w:rPr>
          <w:sz w:val="24"/>
          <w:szCs w:val="24"/>
        </w:rPr>
        <w:t xml:space="preserve"> tipo de </w:t>
      </w:r>
      <w:r w:rsidR="00123F47" w:rsidRPr="004B499C">
        <w:rPr>
          <w:sz w:val="24"/>
          <w:szCs w:val="24"/>
        </w:rPr>
        <w:t>cambio</w:t>
      </w:r>
      <w:r w:rsidR="00465350" w:rsidRPr="004B499C">
        <w:rPr>
          <w:sz w:val="24"/>
          <w:szCs w:val="24"/>
        </w:rPr>
        <w:t xml:space="preserve"> de referencia del BCCR</w:t>
      </w:r>
      <w:r w:rsidR="00780F08" w:rsidRPr="004B499C">
        <w:rPr>
          <w:sz w:val="24"/>
          <w:szCs w:val="24"/>
        </w:rPr>
        <w:t xml:space="preserve"> mostró fluctuaciones relevantes en este trimestre, oscilando su valor entre un mínimo de </w:t>
      </w:r>
      <w:r w:rsidR="00A827E4" w:rsidRPr="004B499C">
        <w:rPr>
          <w:rFonts w:eastAsia="Times New Roman" w:cs="Calibri"/>
          <w:color w:val="000000"/>
          <w:sz w:val="24"/>
          <w:szCs w:val="24"/>
          <w:lang w:val="es-CR"/>
        </w:rPr>
        <w:t>₡</w:t>
      </w:r>
      <w:r w:rsidR="00F35593" w:rsidRPr="004B499C">
        <w:rPr>
          <w:sz w:val="24"/>
          <w:szCs w:val="24"/>
        </w:rPr>
        <w:t>602,44</w:t>
      </w:r>
      <w:r w:rsidR="00780F08" w:rsidRPr="004B499C">
        <w:rPr>
          <w:sz w:val="24"/>
          <w:szCs w:val="24"/>
        </w:rPr>
        <w:t xml:space="preserve"> y un máximo de </w:t>
      </w:r>
      <w:r w:rsidR="00A827E4" w:rsidRPr="004B499C">
        <w:rPr>
          <w:rFonts w:eastAsia="Times New Roman" w:cs="Calibri"/>
          <w:color w:val="000000"/>
          <w:sz w:val="24"/>
          <w:szCs w:val="24"/>
          <w:lang w:val="es-CR"/>
        </w:rPr>
        <w:t>₡</w:t>
      </w:r>
      <w:r w:rsidR="00F35593" w:rsidRPr="004B499C">
        <w:rPr>
          <w:sz w:val="24"/>
          <w:szCs w:val="24"/>
        </w:rPr>
        <w:t>617,30</w:t>
      </w:r>
      <w:r w:rsidR="00794D98" w:rsidRPr="004B499C">
        <w:rPr>
          <w:sz w:val="24"/>
          <w:szCs w:val="24"/>
        </w:rPr>
        <w:t>. L</w:t>
      </w:r>
      <w:r w:rsidR="00780F08" w:rsidRPr="004B499C">
        <w:rPr>
          <w:sz w:val="24"/>
          <w:szCs w:val="24"/>
        </w:rPr>
        <w:t>a tasa básica pasiva (TBP), s</w:t>
      </w:r>
      <w:r w:rsidR="00B42EAB" w:rsidRPr="004B499C">
        <w:rPr>
          <w:sz w:val="24"/>
          <w:szCs w:val="24"/>
        </w:rPr>
        <w:t>u</w:t>
      </w:r>
      <w:r w:rsidR="00780F08" w:rsidRPr="004B499C">
        <w:rPr>
          <w:sz w:val="24"/>
          <w:szCs w:val="24"/>
        </w:rPr>
        <w:t xml:space="preserve"> man</w:t>
      </w:r>
      <w:r w:rsidR="0041744F" w:rsidRPr="004B499C">
        <w:rPr>
          <w:sz w:val="24"/>
          <w:szCs w:val="24"/>
        </w:rPr>
        <w:t>t</w:t>
      </w:r>
      <w:r w:rsidR="00780F08" w:rsidRPr="004B499C">
        <w:rPr>
          <w:sz w:val="24"/>
          <w:szCs w:val="24"/>
        </w:rPr>
        <w:t>uvo</w:t>
      </w:r>
      <w:r w:rsidR="0041744F" w:rsidRPr="004B499C">
        <w:rPr>
          <w:sz w:val="24"/>
          <w:szCs w:val="24"/>
        </w:rPr>
        <w:t xml:space="preserve"> su valor</w:t>
      </w:r>
      <w:r w:rsidR="00780F08" w:rsidRPr="004B499C">
        <w:rPr>
          <w:sz w:val="24"/>
          <w:szCs w:val="24"/>
        </w:rPr>
        <w:t xml:space="preserve"> entre</w:t>
      </w:r>
      <w:r w:rsidR="008E79B3" w:rsidRPr="004B499C">
        <w:rPr>
          <w:sz w:val="24"/>
          <w:szCs w:val="24"/>
        </w:rPr>
        <w:t xml:space="preserve"> un mínimo de</w:t>
      </w:r>
      <w:r w:rsidR="00780F08" w:rsidRPr="004B499C">
        <w:rPr>
          <w:sz w:val="24"/>
          <w:szCs w:val="24"/>
        </w:rPr>
        <w:t xml:space="preserve"> </w:t>
      </w:r>
      <w:r w:rsidR="0029732E" w:rsidRPr="004B499C">
        <w:rPr>
          <w:sz w:val="24"/>
          <w:szCs w:val="24"/>
        </w:rPr>
        <w:t>3</w:t>
      </w:r>
      <w:r w:rsidR="00780F08" w:rsidRPr="004B499C">
        <w:rPr>
          <w:sz w:val="24"/>
          <w:szCs w:val="24"/>
        </w:rPr>
        <w:t>,</w:t>
      </w:r>
      <w:r w:rsidR="007A1BE5" w:rsidRPr="004B499C">
        <w:rPr>
          <w:sz w:val="24"/>
          <w:szCs w:val="24"/>
        </w:rPr>
        <w:t>25</w:t>
      </w:r>
      <w:r w:rsidR="00780F08" w:rsidRPr="004B499C">
        <w:rPr>
          <w:sz w:val="24"/>
          <w:szCs w:val="24"/>
        </w:rPr>
        <w:t>% (</w:t>
      </w:r>
      <w:r w:rsidR="00055F85" w:rsidRPr="004B499C">
        <w:rPr>
          <w:sz w:val="24"/>
          <w:szCs w:val="24"/>
        </w:rPr>
        <w:t>8</w:t>
      </w:r>
      <w:r w:rsidR="00780F08" w:rsidRPr="004B499C">
        <w:rPr>
          <w:sz w:val="24"/>
          <w:szCs w:val="24"/>
        </w:rPr>
        <w:t xml:space="preserve"> de </w:t>
      </w:r>
      <w:r w:rsidR="00055F85" w:rsidRPr="004B499C">
        <w:rPr>
          <w:sz w:val="24"/>
          <w:szCs w:val="24"/>
        </w:rPr>
        <w:t>octubre</w:t>
      </w:r>
      <w:r w:rsidR="00780F08" w:rsidRPr="004B499C">
        <w:rPr>
          <w:sz w:val="24"/>
          <w:szCs w:val="24"/>
        </w:rPr>
        <w:t>) y</w:t>
      </w:r>
      <w:r w:rsidR="00AC3593" w:rsidRPr="004B499C">
        <w:rPr>
          <w:sz w:val="24"/>
          <w:szCs w:val="24"/>
        </w:rPr>
        <w:t xml:space="preserve"> su máximo de</w:t>
      </w:r>
      <w:r w:rsidR="00780F08" w:rsidRPr="004B499C">
        <w:rPr>
          <w:sz w:val="24"/>
          <w:szCs w:val="24"/>
        </w:rPr>
        <w:t xml:space="preserve"> 3,</w:t>
      </w:r>
      <w:r w:rsidR="00055F85" w:rsidRPr="004B499C">
        <w:rPr>
          <w:sz w:val="24"/>
          <w:szCs w:val="24"/>
        </w:rPr>
        <w:t>55</w:t>
      </w:r>
      <w:r w:rsidR="00780F08" w:rsidRPr="004B499C">
        <w:rPr>
          <w:sz w:val="24"/>
          <w:szCs w:val="24"/>
        </w:rPr>
        <w:t>% (</w:t>
      </w:r>
      <w:r w:rsidR="00055F85" w:rsidRPr="004B499C">
        <w:rPr>
          <w:sz w:val="24"/>
          <w:szCs w:val="24"/>
        </w:rPr>
        <w:t>30</w:t>
      </w:r>
      <w:r w:rsidR="002B6049" w:rsidRPr="004B499C">
        <w:rPr>
          <w:sz w:val="24"/>
          <w:szCs w:val="24"/>
        </w:rPr>
        <w:t xml:space="preserve"> de </w:t>
      </w:r>
      <w:r w:rsidR="00055F85" w:rsidRPr="004B499C">
        <w:rPr>
          <w:sz w:val="24"/>
          <w:szCs w:val="24"/>
        </w:rPr>
        <w:t>diciembre</w:t>
      </w:r>
      <w:r w:rsidR="002B6049" w:rsidRPr="004B499C">
        <w:rPr>
          <w:sz w:val="24"/>
          <w:szCs w:val="24"/>
        </w:rPr>
        <w:t>)</w:t>
      </w:r>
      <w:r w:rsidR="00AC3593" w:rsidRPr="004B499C">
        <w:rPr>
          <w:sz w:val="24"/>
          <w:szCs w:val="24"/>
        </w:rPr>
        <w:t xml:space="preserve">. </w:t>
      </w:r>
      <w:r w:rsidR="00780F08" w:rsidRPr="004B499C">
        <w:rPr>
          <w:sz w:val="24"/>
          <w:szCs w:val="24"/>
        </w:rPr>
        <w:t>La tasa de política monetaria (TPM)</w:t>
      </w:r>
      <w:r w:rsidR="00427F51" w:rsidRPr="004B499C">
        <w:rPr>
          <w:sz w:val="24"/>
          <w:szCs w:val="24"/>
        </w:rPr>
        <w:t xml:space="preserve"> </w:t>
      </w:r>
      <w:r w:rsidR="00DB48F5" w:rsidRPr="004B499C">
        <w:rPr>
          <w:sz w:val="24"/>
          <w:szCs w:val="24"/>
        </w:rPr>
        <w:t xml:space="preserve">no tuvo </w:t>
      </w:r>
      <w:r w:rsidR="00427F51" w:rsidRPr="004B499C">
        <w:rPr>
          <w:sz w:val="24"/>
          <w:szCs w:val="24"/>
        </w:rPr>
        <w:t xml:space="preserve">variaciones durante el trimestre en </w:t>
      </w:r>
      <w:r w:rsidR="00780F08" w:rsidRPr="004B499C">
        <w:rPr>
          <w:sz w:val="24"/>
          <w:szCs w:val="24"/>
        </w:rPr>
        <w:t>0,75%</w:t>
      </w:r>
      <w:r w:rsidR="00427F51" w:rsidRPr="004B499C">
        <w:rPr>
          <w:sz w:val="24"/>
          <w:szCs w:val="24"/>
        </w:rPr>
        <w:t>.</w:t>
      </w:r>
    </w:p>
    <w:p w14:paraId="7FF2BB27" w14:textId="77777777" w:rsidR="00427F51" w:rsidRPr="004B499C" w:rsidRDefault="00427F51" w:rsidP="004B499C">
      <w:pPr>
        <w:spacing w:after="0"/>
        <w:jc w:val="both"/>
        <w:rPr>
          <w:sz w:val="24"/>
          <w:szCs w:val="24"/>
        </w:rPr>
      </w:pPr>
    </w:p>
    <w:p w14:paraId="17F538B6" w14:textId="06EBE8EA" w:rsidR="002F6A07" w:rsidRPr="004B499C" w:rsidRDefault="00DB48F5" w:rsidP="004B499C">
      <w:pPr>
        <w:spacing w:after="0"/>
        <w:jc w:val="both"/>
        <w:rPr>
          <w:sz w:val="24"/>
          <w:szCs w:val="24"/>
        </w:rPr>
      </w:pPr>
      <w:bookmarkStart w:id="13" w:name="_Hlk62836514"/>
      <w:r w:rsidRPr="004B499C">
        <w:rPr>
          <w:sz w:val="24"/>
          <w:szCs w:val="24"/>
        </w:rPr>
        <w:t xml:space="preserve">Como es de esperar la </w:t>
      </w:r>
      <w:r w:rsidR="002F6A07" w:rsidRPr="004B499C">
        <w:rPr>
          <w:sz w:val="24"/>
          <w:szCs w:val="24"/>
        </w:rPr>
        <w:t>combinación de la evolución de los mercados internacionales y del mercado local afect</w:t>
      </w:r>
      <w:r w:rsidR="00196EE3" w:rsidRPr="004B499C">
        <w:rPr>
          <w:sz w:val="24"/>
          <w:szCs w:val="24"/>
        </w:rPr>
        <w:t>ó</w:t>
      </w:r>
      <w:r w:rsidR="002F6A07" w:rsidRPr="004B499C">
        <w:rPr>
          <w:sz w:val="24"/>
          <w:szCs w:val="24"/>
        </w:rPr>
        <w:t xml:space="preserve"> la rentabilidad de los fondos administrados en este </w:t>
      </w:r>
      <w:r w:rsidR="00A26E04" w:rsidRPr="004B499C">
        <w:rPr>
          <w:sz w:val="24"/>
          <w:szCs w:val="24"/>
        </w:rPr>
        <w:t xml:space="preserve">cuarto </w:t>
      </w:r>
      <w:r w:rsidR="00CE68D2" w:rsidRPr="004B499C">
        <w:rPr>
          <w:sz w:val="24"/>
          <w:szCs w:val="24"/>
        </w:rPr>
        <w:t>trim</w:t>
      </w:r>
      <w:r w:rsidR="002F6A07" w:rsidRPr="004B499C">
        <w:rPr>
          <w:sz w:val="24"/>
          <w:szCs w:val="24"/>
        </w:rPr>
        <w:t>estre</w:t>
      </w:r>
      <w:r w:rsidR="00244049" w:rsidRPr="004B499C">
        <w:rPr>
          <w:sz w:val="24"/>
          <w:szCs w:val="24"/>
        </w:rPr>
        <w:t xml:space="preserve">.  El efecto positivo o negativo </w:t>
      </w:r>
      <w:r w:rsidR="003407AD" w:rsidRPr="004B499C">
        <w:rPr>
          <w:sz w:val="24"/>
          <w:szCs w:val="24"/>
        </w:rPr>
        <w:t>se asocia</w:t>
      </w:r>
      <w:r w:rsidR="00244049" w:rsidRPr="004B499C">
        <w:rPr>
          <w:sz w:val="24"/>
          <w:szCs w:val="24"/>
        </w:rPr>
        <w:t>,</w:t>
      </w:r>
      <w:r w:rsidR="002F6A07" w:rsidRPr="004B499C">
        <w:rPr>
          <w:sz w:val="24"/>
          <w:szCs w:val="24"/>
        </w:rPr>
        <w:t xml:space="preserve"> </w:t>
      </w:r>
      <w:r w:rsidR="00244049" w:rsidRPr="004B499C">
        <w:rPr>
          <w:sz w:val="24"/>
          <w:szCs w:val="24"/>
        </w:rPr>
        <w:t xml:space="preserve">a la </w:t>
      </w:r>
      <w:r w:rsidR="00AF2AAF" w:rsidRPr="004B499C">
        <w:rPr>
          <w:sz w:val="24"/>
          <w:szCs w:val="24"/>
        </w:rPr>
        <w:t xml:space="preserve">composición de los portafolios. </w:t>
      </w:r>
    </w:p>
    <w:bookmarkEnd w:id="13"/>
    <w:p w14:paraId="1D89AF52" w14:textId="4617A339" w:rsidR="00C64092" w:rsidRPr="004B499C" w:rsidRDefault="00C64092" w:rsidP="004B499C">
      <w:pPr>
        <w:spacing w:after="0"/>
        <w:jc w:val="both"/>
        <w:rPr>
          <w:sz w:val="24"/>
          <w:szCs w:val="24"/>
        </w:rPr>
      </w:pPr>
    </w:p>
    <w:p w14:paraId="736BAC30" w14:textId="5E10FF1A" w:rsidR="00033E42" w:rsidRPr="004B499C" w:rsidRDefault="003407AD" w:rsidP="004B499C">
      <w:pPr>
        <w:spacing w:after="0"/>
        <w:jc w:val="both"/>
        <w:rPr>
          <w:sz w:val="24"/>
          <w:szCs w:val="24"/>
        </w:rPr>
      </w:pPr>
      <w:r w:rsidRPr="004B499C">
        <w:rPr>
          <w:sz w:val="24"/>
          <w:szCs w:val="24"/>
        </w:rPr>
        <w:t>Considerando que</w:t>
      </w:r>
      <w:r w:rsidR="00BB6CB8" w:rsidRPr="004B499C">
        <w:rPr>
          <w:sz w:val="24"/>
          <w:szCs w:val="24"/>
        </w:rPr>
        <w:t xml:space="preserve"> los fondos de pensiones son de largo plazo, un análisis prudencial </w:t>
      </w:r>
      <w:r w:rsidR="00740B91" w:rsidRPr="004B499C">
        <w:rPr>
          <w:sz w:val="24"/>
          <w:szCs w:val="24"/>
        </w:rPr>
        <w:t xml:space="preserve">nos </w:t>
      </w:r>
      <w:r w:rsidR="00CE1EFF" w:rsidRPr="004B499C">
        <w:rPr>
          <w:sz w:val="24"/>
          <w:szCs w:val="24"/>
        </w:rPr>
        <w:t>obliga seguir</w:t>
      </w:r>
      <w:r w:rsidR="00BB6CB8" w:rsidRPr="004B499C">
        <w:rPr>
          <w:sz w:val="24"/>
          <w:szCs w:val="24"/>
        </w:rPr>
        <w:t xml:space="preserve"> indicadores de largo plazo</w:t>
      </w:r>
      <w:r w:rsidR="00CE1EFF" w:rsidRPr="004B499C">
        <w:rPr>
          <w:sz w:val="24"/>
          <w:szCs w:val="24"/>
        </w:rPr>
        <w:t xml:space="preserve">, por la volatilidad </w:t>
      </w:r>
      <w:r w:rsidR="00726651" w:rsidRPr="004B499C">
        <w:rPr>
          <w:sz w:val="24"/>
          <w:szCs w:val="24"/>
        </w:rPr>
        <w:t>que suele tener el corto plazo.</w:t>
      </w:r>
      <w:r w:rsidR="00D142B9" w:rsidRPr="004B499C">
        <w:rPr>
          <w:sz w:val="24"/>
          <w:szCs w:val="24"/>
        </w:rPr>
        <w:t xml:space="preserve"> </w:t>
      </w:r>
      <w:r w:rsidR="00BB6CB8" w:rsidRPr="004B499C">
        <w:rPr>
          <w:sz w:val="24"/>
          <w:szCs w:val="24"/>
        </w:rPr>
        <w:t>Por ejemplo, cuando observamos la rentabilidad histórica anualizada o la rentabilidad a 10 años</w:t>
      </w:r>
      <w:r w:rsidR="001D45EE" w:rsidRPr="004B499C">
        <w:rPr>
          <w:sz w:val="24"/>
          <w:szCs w:val="24"/>
        </w:rPr>
        <w:t xml:space="preserve"> del ROP</w:t>
      </w:r>
      <w:r w:rsidR="002B77C4" w:rsidRPr="004B499C">
        <w:rPr>
          <w:sz w:val="24"/>
          <w:szCs w:val="24"/>
        </w:rPr>
        <w:t xml:space="preserve">, </w:t>
      </w:r>
      <w:r w:rsidR="00BB6CB8" w:rsidRPr="004B499C">
        <w:rPr>
          <w:sz w:val="24"/>
          <w:szCs w:val="24"/>
        </w:rPr>
        <w:t>indicadores de más largo plazo</w:t>
      </w:r>
      <w:r w:rsidR="00557F45" w:rsidRPr="004B499C">
        <w:rPr>
          <w:sz w:val="24"/>
          <w:szCs w:val="24"/>
        </w:rPr>
        <w:t>,</w:t>
      </w:r>
      <w:r w:rsidR="00BB6CB8" w:rsidRPr="004B499C">
        <w:rPr>
          <w:sz w:val="24"/>
          <w:szCs w:val="24"/>
        </w:rPr>
        <w:t xml:space="preserve"> podemos ver que la tendencia en todas las </w:t>
      </w:r>
      <w:r w:rsidR="00726651" w:rsidRPr="004B499C">
        <w:rPr>
          <w:sz w:val="24"/>
          <w:szCs w:val="24"/>
        </w:rPr>
        <w:t>o</w:t>
      </w:r>
      <w:r w:rsidR="00BB6CB8" w:rsidRPr="004B499C">
        <w:rPr>
          <w:sz w:val="24"/>
          <w:szCs w:val="24"/>
        </w:rPr>
        <w:t xml:space="preserve">peradoras de </w:t>
      </w:r>
      <w:r w:rsidR="004A5BF2" w:rsidRPr="004B499C">
        <w:rPr>
          <w:sz w:val="24"/>
          <w:szCs w:val="24"/>
        </w:rPr>
        <w:t>p</w:t>
      </w:r>
      <w:r w:rsidR="00BB6CB8" w:rsidRPr="004B499C">
        <w:rPr>
          <w:sz w:val="24"/>
          <w:szCs w:val="24"/>
        </w:rPr>
        <w:t>ensiones es más estable</w:t>
      </w:r>
      <w:r w:rsidR="00CF02E3" w:rsidRPr="004B499C">
        <w:rPr>
          <w:sz w:val="24"/>
          <w:szCs w:val="24"/>
        </w:rPr>
        <w:t xml:space="preserve"> que la </w:t>
      </w:r>
      <w:r w:rsidR="00947586" w:rsidRPr="004B499C">
        <w:rPr>
          <w:sz w:val="24"/>
          <w:szCs w:val="24"/>
        </w:rPr>
        <w:t>observada</w:t>
      </w:r>
      <w:r w:rsidR="008E5D80" w:rsidRPr="004B499C">
        <w:rPr>
          <w:sz w:val="24"/>
          <w:szCs w:val="24"/>
        </w:rPr>
        <w:t>,</w:t>
      </w:r>
      <w:r w:rsidR="00326A20" w:rsidRPr="004B499C">
        <w:rPr>
          <w:sz w:val="24"/>
          <w:szCs w:val="24"/>
        </w:rPr>
        <w:t xml:space="preserve"> mes a mes.</w:t>
      </w:r>
    </w:p>
    <w:p w14:paraId="4D175E16" w14:textId="4F6D7062" w:rsidR="004B499C" w:rsidRDefault="004B499C">
      <w:pPr>
        <w:rPr>
          <w:sz w:val="24"/>
          <w:szCs w:val="24"/>
        </w:rPr>
      </w:pPr>
      <w:r>
        <w:rPr>
          <w:sz w:val="24"/>
          <w:szCs w:val="24"/>
        </w:rPr>
        <w:br w:type="page"/>
      </w:r>
    </w:p>
    <w:p w14:paraId="48AFA1D9" w14:textId="5EB57C3A" w:rsidR="00526266" w:rsidRPr="00436825" w:rsidRDefault="00526266" w:rsidP="00436825">
      <w:pPr>
        <w:pStyle w:val="Descripcin"/>
        <w:spacing w:after="0"/>
        <w:jc w:val="center"/>
      </w:pPr>
      <w:r>
        <w:lastRenderedPageBreak/>
        <w:t xml:space="preserve">Gráfico </w:t>
      </w:r>
      <w:r>
        <w:fldChar w:fldCharType="begin"/>
      </w:r>
      <w:r>
        <w:instrText xml:space="preserve"> SEQ Gráfico \* ARABIC </w:instrText>
      </w:r>
      <w:r>
        <w:fldChar w:fldCharType="separate"/>
      </w:r>
      <w:r w:rsidR="00BE50A0">
        <w:rPr>
          <w:noProof/>
        </w:rPr>
        <w:t>3</w:t>
      </w:r>
      <w:r>
        <w:fldChar w:fldCharType="end"/>
      </w:r>
      <w:r w:rsidR="00740F3F">
        <w:t xml:space="preserve">: </w:t>
      </w:r>
      <w:r>
        <w:t xml:space="preserve">Rentabilidad </w:t>
      </w:r>
    </w:p>
    <w:p w14:paraId="17BB6E10" w14:textId="7578C98A" w:rsidR="00326A20" w:rsidRPr="00C42B4F" w:rsidRDefault="00DC1517" w:rsidP="00326A20">
      <w:pPr>
        <w:pStyle w:val="Descripcin"/>
        <w:spacing w:after="0"/>
        <w:jc w:val="center"/>
      </w:pPr>
      <w:r>
        <w:t>Régimen Obligatorio de Pensi</w:t>
      </w:r>
      <w:r w:rsidR="00326A20">
        <w:t>ones Complementario</w:t>
      </w:r>
    </w:p>
    <w:p w14:paraId="0C7A192F" w14:textId="7B945D3B" w:rsidR="00326A20" w:rsidRDefault="00326A20" w:rsidP="00326A20">
      <w:pPr>
        <w:pStyle w:val="Descripcin"/>
        <w:spacing w:after="0"/>
        <w:jc w:val="center"/>
      </w:pPr>
      <w:r>
        <w:t>De enero a diciembre 2020</w:t>
      </w:r>
    </w:p>
    <w:p w14:paraId="11B42305" w14:textId="6D9211A2" w:rsidR="006E17A3" w:rsidRDefault="00436825" w:rsidP="00326A20">
      <w:pPr>
        <w:pStyle w:val="Descripcin"/>
        <w:spacing w:after="0"/>
        <w:jc w:val="center"/>
      </w:pPr>
      <w:r>
        <w:rPr>
          <w:noProof/>
        </w:rPr>
        <w:drawing>
          <wp:inline distT="0" distB="0" distL="0" distR="0" wp14:anchorId="790B7823" wp14:editId="60BC28A0">
            <wp:extent cx="8452406" cy="29273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85163" cy="2938695"/>
                    </a:xfrm>
                    <a:prstGeom prst="rect">
                      <a:avLst/>
                    </a:prstGeom>
                    <a:noFill/>
                    <a:ln>
                      <a:noFill/>
                    </a:ln>
                  </pic:spPr>
                </pic:pic>
              </a:graphicData>
            </a:graphic>
          </wp:inline>
        </w:drawing>
      </w:r>
    </w:p>
    <w:p w14:paraId="358D4C30" w14:textId="6C549057" w:rsidR="003B662D" w:rsidRPr="003B662D" w:rsidRDefault="002E4F29" w:rsidP="00E01C43">
      <w:pPr>
        <w:pStyle w:val="Descripcin"/>
        <w:tabs>
          <w:tab w:val="left" w:pos="2490"/>
        </w:tabs>
        <w:spacing w:after="0"/>
      </w:pPr>
      <w:r>
        <w:t>Fuente: Elaboración propia</w:t>
      </w:r>
      <w:r w:rsidR="00BB6CB8">
        <w:tab/>
      </w:r>
    </w:p>
    <w:p w14:paraId="0A6FEAAE" w14:textId="539DB78A" w:rsidR="00A10739" w:rsidRDefault="00A10739" w:rsidP="00E01C43">
      <w:pPr>
        <w:pStyle w:val="Descripcin"/>
        <w:spacing w:after="0"/>
        <w:jc w:val="center"/>
      </w:pPr>
    </w:p>
    <w:p w14:paraId="6496FD0D" w14:textId="0F76C659" w:rsidR="008E5D80" w:rsidRDefault="008E5D80" w:rsidP="008E5D80"/>
    <w:p w14:paraId="5A8A0052" w14:textId="0B0BA1A3" w:rsidR="006929F8" w:rsidRDefault="00670C28" w:rsidP="00670C28">
      <w:pPr>
        <w:pStyle w:val="Ttulo1"/>
        <w:numPr>
          <w:ilvl w:val="0"/>
          <w:numId w:val="1"/>
        </w:numPr>
      </w:pPr>
      <w:bookmarkStart w:id="14" w:name="_Toc64457430"/>
      <w:r>
        <w:t>Efectos de COVID-19 en los fondos de pensión</w:t>
      </w:r>
      <w:bookmarkEnd w:id="14"/>
    </w:p>
    <w:p w14:paraId="7B3B20DA" w14:textId="77777777" w:rsidR="007965CF" w:rsidRDefault="007965CF" w:rsidP="0099372F">
      <w:pPr>
        <w:spacing w:after="0" w:line="240" w:lineRule="auto"/>
      </w:pPr>
    </w:p>
    <w:p w14:paraId="2D72F678" w14:textId="246199BA" w:rsidR="00B65964" w:rsidRPr="004B499C" w:rsidRDefault="00D6618A" w:rsidP="00B65964">
      <w:pPr>
        <w:pStyle w:val="Ttulo2"/>
        <w:numPr>
          <w:ilvl w:val="1"/>
          <w:numId w:val="1"/>
        </w:numPr>
        <w:rPr>
          <w:sz w:val="28"/>
          <w:szCs w:val="28"/>
        </w:rPr>
      </w:pPr>
      <w:bookmarkStart w:id="15" w:name="_Toc64457431"/>
      <w:r w:rsidRPr="004B499C">
        <w:rPr>
          <w:sz w:val="28"/>
          <w:szCs w:val="28"/>
        </w:rPr>
        <w:t>Efectos de COVID-19 en los fondos de pensión</w:t>
      </w:r>
      <w:bookmarkEnd w:id="15"/>
    </w:p>
    <w:p w14:paraId="5392570D" w14:textId="77777777" w:rsidR="00E01C43" w:rsidRPr="004B499C" w:rsidRDefault="00E01C43" w:rsidP="0089548D">
      <w:pPr>
        <w:spacing w:after="0" w:line="240" w:lineRule="auto"/>
        <w:jc w:val="both"/>
        <w:rPr>
          <w:rFonts w:ascii="Calibri" w:eastAsia="Times New Roman" w:hAnsi="Calibri" w:cs="Calibri"/>
          <w:color w:val="000000"/>
          <w:sz w:val="24"/>
          <w:szCs w:val="24"/>
          <w:lang w:val="es-CR" w:eastAsia="es-CR"/>
        </w:rPr>
      </w:pPr>
    </w:p>
    <w:p w14:paraId="219F1D32" w14:textId="092E62D6" w:rsidR="00B65964" w:rsidRPr="004B499C" w:rsidRDefault="00B65964" w:rsidP="0089548D">
      <w:pPr>
        <w:spacing w:after="0" w:line="240" w:lineRule="auto"/>
        <w:jc w:val="both"/>
        <w:rPr>
          <w:rFonts w:ascii="Calibri" w:eastAsia="Times New Roman" w:hAnsi="Calibri" w:cs="Calibri"/>
          <w:color w:val="000000"/>
          <w:sz w:val="24"/>
          <w:szCs w:val="24"/>
          <w:lang w:val="es-CR" w:eastAsia="es-CR"/>
        </w:rPr>
      </w:pPr>
      <w:r w:rsidRPr="004B499C">
        <w:rPr>
          <w:rFonts w:ascii="Calibri" w:eastAsia="Times New Roman" w:hAnsi="Calibri" w:cs="Calibri"/>
          <w:color w:val="000000"/>
          <w:sz w:val="24"/>
          <w:szCs w:val="24"/>
          <w:lang w:val="es-CR" w:eastAsia="es-CR"/>
        </w:rPr>
        <w:t xml:space="preserve">La Superintendencia de Pensiones se mantiene operando bajo la modalidad de teletrabajo durante el trimestre, las labores de supervisión se han desempeñado con normalidad, ejecutando las actividades de supervisión de forma virtual, según lo planificado en el Plan Anual de Supervisión (PAS) de 2020 y en aplicación del Modelo de Supervisión y Evaluación de Riesgos (MSER). </w:t>
      </w:r>
    </w:p>
    <w:p w14:paraId="2199F9F5" w14:textId="77777777" w:rsidR="00B304A2" w:rsidRPr="004B499C" w:rsidRDefault="004F494A" w:rsidP="00437094">
      <w:pPr>
        <w:pStyle w:val="Ttulo2"/>
        <w:numPr>
          <w:ilvl w:val="1"/>
          <w:numId w:val="1"/>
        </w:numPr>
        <w:rPr>
          <w:sz w:val="28"/>
          <w:szCs w:val="28"/>
        </w:rPr>
      </w:pPr>
      <w:bookmarkStart w:id="16" w:name="_Toc64457432"/>
      <w:r w:rsidRPr="004B499C">
        <w:rPr>
          <w:sz w:val="28"/>
          <w:szCs w:val="28"/>
        </w:rPr>
        <w:lastRenderedPageBreak/>
        <w:t>Efectos en Regímenes de Capitalización Individual</w:t>
      </w:r>
      <w:bookmarkEnd w:id="16"/>
      <w:r w:rsidRPr="004B499C">
        <w:rPr>
          <w:sz w:val="28"/>
          <w:szCs w:val="28"/>
        </w:rPr>
        <w:t xml:space="preserve"> </w:t>
      </w:r>
    </w:p>
    <w:p w14:paraId="4277B740" w14:textId="77777777" w:rsidR="00814E71" w:rsidRPr="004B499C" w:rsidRDefault="00814E71" w:rsidP="00814E71">
      <w:pPr>
        <w:spacing w:after="0" w:line="240" w:lineRule="auto"/>
        <w:rPr>
          <w:sz w:val="24"/>
          <w:szCs w:val="24"/>
        </w:rPr>
      </w:pPr>
    </w:p>
    <w:p w14:paraId="67675037" w14:textId="2DC7ED4C" w:rsidR="001F302F" w:rsidRPr="004B499C" w:rsidRDefault="001F302F" w:rsidP="00437094">
      <w:pPr>
        <w:pStyle w:val="Ttulo3"/>
        <w:numPr>
          <w:ilvl w:val="2"/>
          <w:numId w:val="1"/>
        </w:numPr>
        <w:rPr>
          <w:sz w:val="28"/>
          <w:szCs w:val="28"/>
        </w:rPr>
      </w:pPr>
      <w:bookmarkStart w:id="17" w:name="_Toc64457433"/>
      <w:r w:rsidRPr="004B499C">
        <w:rPr>
          <w:sz w:val="28"/>
          <w:szCs w:val="28"/>
        </w:rPr>
        <w:t>Retiros del FCL por nuevas causales</w:t>
      </w:r>
      <w:bookmarkEnd w:id="17"/>
    </w:p>
    <w:p w14:paraId="69E75266" w14:textId="2F566867" w:rsidR="00814E71" w:rsidRPr="004B499C" w:rsidRDefault="00814E71" w:rsidP="00814E71">
      <w:pPr>
        <w:spacing w:after="0" w:line="240" w:lineRule="auto"/>
        <w:rPr>
          <w:sz w:val="24"/>
          <w:szCs w:val="24"/>
        </w:rPr>
      </w:pPr>
    </w:p>
    <w:p w14:paraId="5EAC87E9" w14:textId="43573C09" w:rsidR="00DD1FFF" w:rsidRPr="004B499C" w:rsidRDefault="00A15D4A" w:rsidP="00A15D4A">
      <w:pPr>
        <w:spacing w:after="0" w:line="240" w:lineRule="auto"/>
        <w:jc w:val="both"/>
        <w:rPr>
          <w:sz w:val="24"/>
          <w:szCs w:val="24"/>
        </w:rPr>
      </w:pPr>
      <w:r w:rsidRPr="004B499C">
        <w:rPr>
          <w:sz w:val="24"/>
          <w:szCs w:val="24"/>
        </w:rPr>
        <w:t>Al 6 de enero de 2021, las operadoras de pensiones habían recibido 368 637 solicitudes de retiro del FCL, de las cuales el 67% se originaban en la causal de cese de la relación laboral (255 501). A esa fecha, el 99,6% de las solicitudes recibidas habían sido pagadas. Popular Pensiones y OPC CCSS se mantienen como las entidades que han pagado la mayor cantidad de recursos (48% del monto liquidado).</w:t>
      </w:r>
    </w:p>
    <w:p w14:paraId="04A6F42C" w14:textId="77777777" w:rsidR="00091576" w:rsidRPr="004B499C" w:rsidRDefault="00091576" w:rsidP="00A15D4A">
      <w:pPr>
        <w:spacing w:after="0" w:line="240" w:lineRule="auto"/>
        <w:jc w:val="both"/>
        <w:rPr>
          <w:sz w:val="24"/>
          <w:szCs w:val="24"/>
        </w:rPr>
      </w:pPr>
    </w:p>
    <w:p w14:paraId="2B1B76B0" w14:textId="7FC2E83A" w:rsidR="00D5267C" w:rsidRPr="008E5D80" w:rsidRDefault="00D5267C" w:rsidP="00DD1FFF">
      <w:pPr>
        <w:pStyle w:val="Descripcin"/>
        <w:spacing w:after="0"/>
        <w:ind w:left="360"/>
        <w:jc w:val="center"/>
      </w:pPr>
      <w:r w:rsidRPr="001C58FF">
        <w:t xml:space="preserve">Tabla </w:t>
      </w:r>
      <w:r w:rsidRPr="001C58FF">
        <w:fldChar w:fldCharType="begin"/>
      </w:r>
      <w:r w:rsidRPr="001C58FF">
        <w:instrText xml:space="preserve"> SEQ Tabla \* ARABIC </w:instrText>
      </w:r>
      <w:r w:rsidRPr="001C58FF">
        <w:fldChar w:fldCharType="separate"/>
      </w:r>
      <w:r w:rsidR="00F01E03">
        <w:t>4</w:t>
      </w:r>
      <w:r w:rsidRPr="001C58FF">
        <w:fldChar w:fldCharType="end"/>
      </w:r>
      <w:r w:rsidRPr="001C58FF">
        <w:t>: Retiros del Fondo de Capitalización Laboral</w:t>
      </w:r>
    </w:p>
    <w:p w14:paraId="57A4F68B" w14:textId="5EF459C3" w:rsidR="00D5267C" w:rsidRPr="001C58FF" w:rsidRDefault="00D5267C" w:rsidP="00D5267C">
      <w:pPr>
        <w:pStyle w:val="Descripcin"/>
        <w:spacing w:after="0"/>
        <w:ind w:left="360"/>
        <w:jc w:val="center"/>
      </w:pPr>
      <w:r w:rsidRPr="001C58FF">
        <w:t xml:space="preserve">Atendidas al </w:t>
      </w:r>
      <w:r w:rsidR="00712616">
        <w:t>06 de enero</w:t>
      </w:r>
      <w:r w:rsidRPr="001C58FF">
        <w:t xml:space="preserve"> del 202</w:t>
      </w:r>
      <w:r w:rsidR="00712616">
        <w:t>1</w:t>
      </w:r>
    </w:p>
    <w:p w14:paraId="6E932851" w14:textId="5F247431" w:rsidR="00D5267C" w:rsidRDefault="00D5267C" w:rsidP="00D5267C">
      <w:pPr>
        <w:pStyle w:val="Descripcin"/>
        <w:spacing w:after="0"/>
        <w:ind w:left="360"/>
        <w:jc w:val="center"/>
      </w:pPr>
      <w:r w:rsidRPr="001C58FF">
        <w:t>Monto en millones de colones</w:t>
      </w:r>
    </w:p>
    <w:tbl>
      <w:tblPr>
        <w:tblStyle w:val="Tablaconcuadrcula4-nfasis1"/>
        <w:tblW w:w="8784" w:type="dxa"/>
        <w:jc w:val="center"/>
        <w:tblLook w:val="04E0" w:firstRow="1" w:lastRow="1" w:firstColumn="1" w:lastColumn="0" w:noHBand="0" w:noVBand="1"/>
      </w:tblPr>
      <w:tblGrid>
        <w:gridCol w:w="2434"/>
        <w:gridCol w:w="1545"/>
        <w:gridCol w:w="1261"/>
        <w:gridCol w:w="1532"/>
        <w:gridCol w:w="2012"/>
      </w:tblGrid>
      <w:tr w:rsidR="00D5267C" w:rsidRPr="00C8584A" w14:paraId="2DB990CB" w14:textId="77777777" w:rsidTr="004B499C">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vAlign w:val="center"/>
            <w:hideMark/>
          </w:tcPr>
          <w:p w14:paraId="1E7EB0A7" w14:textId="77777777" w:rsidR="00D5267C" w:rsidRPr="00C8584A" w:rsidRDefault="00D5267C" w:rsidP="004B499C">
            <w:pPr>
              <w:rPr>
                <w:rFonts w:asciiTheme="minorHAnsi" w:eastAsia="Times New Roman" w:hAnsiTheme="minorHAnsi" w:cstheme="minorHAnsi"/>
                <w:lang w:val="es-CR"/>
              </w:rPr>
            </w:pPr>
            <w:r w:rsidRPr="00C8584A">
              <w:rPr>
                <w:rFonts w:asciiTheme="minorHAnsi" w:eastAsia="Times New Roman" w:hAnsiTheme="minorHAnsi" w:cstheme="minorHAnsi"/>
                <w:lang w:val="es-CR"/>
              </w:rPr>
              <w:t>Motivo</w:t>
            </w:r>
          </w:p>
        </w:tc>
        <w:tc>
          <w:tcPr>
            <w:tcW w:w="1545" w:type="dxa"/>
            <w:noWrap/>
            <w:vAlign w:val="center"/>
            <w:hideMark/>
          </w:tcPr>
          <w:p w14:paraId="7D4BA8A4"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Monto</w:t>
            </w:r>
          </w:p>
          <w:p w14:paraId="5A91A1B3"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 xml:space="preserve">pagado </w:t>
            </w:r>
          </w:p>
        </w:tc>
        <w:tc>
          <w:tcPr>
            <w:tcW w:w="1261" w:type="dxa"/>
            <w:vAlign w:val="center"/>
          </w:tcPr>
          <w:p w14:paraId="1FF52F43"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w:t>
            </w:r>
          </w:p>
          <w:p w14:paraId="1C22F203"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Monto total</w:t>
            </w:r>
          </w:p>
        </w:tc>
        <w:tc>
          <w:tcPr>
            <w:tcW w:w="1532" w:type="dxa"/>
            <w:noWrap/>
            <w:vAlign w:val="center"/>
            <w:hideMark/>
          </w:tcPr>
          <w:p w14:paraId="03AB1A4F"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Cantidad de solicitudes</w:t>
            </w:r>
          </w:p>
        </w:tc>
        <w:tc>
          <w:tcPr>
            <w:tcW w:w="2012" w:type="dxa"/>
            <w:vAlign w:val="center"/>
          </w:tcPr>
          <w:p w14:paraId="561D0B89"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val="es-CR"/>
              </w:rPr>
            </w:pPr>
            <w:r w:rsidRPr="00C8584A">
              <w:rPr>
                <w:rFonts w:asciiTheme="minorHAnsi" w:eastAsia="Times New Roman" w:hAnsiTheme="minorHAnsi" w:cstheme="minorHAnsi"/>
                <w:lang w:val="es-CR"/>
              </w:rPr>
              <w:t>%</w:t>
            </w:r>
          </w:p>
          <w:p w14:paraId="33506182" w14:textId="77777777" w:rsidR="00D5267C" w:rsidRPr="00C8584A" w:rsidRDefault="00D5267C"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8584A">
              <w:rPr>
                <w:rFonts w:asciiTheme="minorHAnsi" w:eastAsia="Times New Roman" w:hAnsiTheme="minorHAnsi" w:cstheme="minorHAnsi"/>
                <w:lang w:val="es-CR"/>
              </w:rPr>
              <w:t>Total de solicitudes</w:t>
            </w:r>
          </w:p>
        </w:tc>
      </w:tr>
      <w:tr w:rsidR="00FD148B" w:rsidRPr="00C8584A" w14:paraId="2C145948" w14:textId="77777777" w:rsidTr="004B499C">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42F48A0C" w14:textId="77777777" w:rsidR="00FD148B" w:rsidRPr="00C8584A" w:rsidRDefault="00FD148B" w:rsidP="00FD148B">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 xml:space="preserve">Cese de relación laboral </w:t>
            </w:r>
          </w:p>
        </w:tc>
        <w:tc>
          <w:tcPr>
            <w:tcW w:w="1545" w:type="dxa"/>
            <w:noWrap/>
            <w:hideMark/>
          </w:tcPr>
          <w:p w14:paraId="3A60C115" w14:textId="3E2DD1B4"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212EF">
              <w:t>42</w:t>
            </w:r>
            <w:r w:rsidR="005E0CFE">
              <w:t xml:space="preserve"> </w:t>
            </w:r>
            <w:r w:rsidRPr="005212EF">
              <w:t>502</w:t>
            </w:r>
          </w:p>
        </w:tc>
        <w:tc>
          <w:tcPr>
            <w:tcW w:w="1261" w:type="dxa"/>
          </w:tcPr>
          <w:p w14:paraId="2CDC0A7D" w14:textId="41C18303"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12EF">
              <w:t>56%</w:t>
            </w:r>
          </w:p>
        </w:tc>
        <w:tc>
          <w:tcPr>
            <w:tcW w:w="1532" w:type="dxa"/>
            <w:noWrap/>
            <w:hideMark/>
          </w:tcPr>
          <w:p w14:paraId="108B184F" w14:textId="130BE4EC"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212EF">
              <w:t>243</w:t>
            </w:r>
            <w:r w:rsidR="005E0CFE">
              <w:t xml:space="preserve"> </w:t>
            </w:r>
            <w:r w:rsidRPr="005212EF">
              <w:t>701</w:t>
            </w:r>
          </w:p>
        </w:tc>
        <w:tc>
          <w:tcPr>
            <w:tcW w:w="2012" w:type="dxa"/>
          </w:tcPr>
          <w:p w14:paraId="43303955" w14:textId="14056C3F"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12EF">
              <w:t>67%</w:t>
            </w:r>
          </w:p>
        </w:tc>
      </w:tr>
      <w:tr w:rsidR="00FD148B" w:rsidRPr="00C8584A" w14:paraId="61E112EE" w14:textId="77777777" w:rsidTr="004B499C">
        <w:trPr>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23B1EC1C" w14:textId="77777777" w:rsidR="00FD148B" w:rsidRPr="00C8584A" w:rsidRDefault="00FD148B" w:rsidP="00FD148B">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Suspensión del contrato</w:t>
            </w:r>
          </w:p>
        </w:tc>
        <w:tc>
          <w:tcPr>
            <w:tcW w:w="1545" w:type="dxa"/>
            <w:noWrap/>
            <w:hideMark/>
          </w:tcPr>
          <w:p w14:paraId="7BBBB68D" w14:textId="749BA738" w:rsidR="00FD148B" w:rsidRPr="00C8584A" w:rsidRDefault="00FD148B" w:rsidP="00FD148B">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212EF">
              <w:t>7</w:t>
            </w:r>
            <w:r w:rsidR="005E0CFE">
              <w:t xml:space="preserve"> </w:t>
            </w:r>
            <w:r w:rsidRPr="005212EF">
              <w:t>168</w:t>
            </w:r>
          </w:p>
        </w:tc>
        <w:tc>
          <w:tcPr>
            <w:tcW w:w="1261" w:type="dxa"/>
          </w:tcPr>
          <w:p w14:paraId="6B572AE4" w14:textId="5F0E3A22" w:rsidR="00FD148B" w:rsidRPr="00C8584A" w:rsidRDefault="00FD148B" w:rsidP="00FD14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12EF">
              <w:t>9%</w:t>
            </w:r>
          </w:p>
        </w:tc>
        <w:tc>
          <w:tcPr>
            <w:tcW w:w="1532" w:type="dxa"/>
            <w:noWrap/>
            <w:hideMark/>
          </w:tcPr>
          <w:p w14:paraId="0A156DC9" w14:textId="2EB39174" w:rsidR="00FD148B" w:rsidRPr="00C8584A" w:rsidRDefault="00FD148B" w:rsidP="00FD148B">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212EF">
              <w:t>37</w:t>
            </w:r>
            <w:r w:rsidR="005E0CFE">
              <w:t xml:space="preserve"> </w:t>
            </w:r>
            <w:r w:rsidRPr="005212EF">
              <w:t>940</w:t>
            </w:r>
          </w:p>
        </w:tc>
        <w:tc>
          <w:tcPr>
            <w:tcW w:w="2012" w:type="dxa"/>
          </w:tcPr>
          <w:p w14:paraId="73215C5B" w14:textId="6DEE680A" w:rsidR="00FD148B" w:rsidRPr="00C8584A" w:rsidRDefault="00FD148B" w:rsidP="00FD14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12EF">
              <w:t>10%</w:t>
            </w:r>
          </w:p>
        </w:tc>
      </w:tr>
      <w:tr w:rsidR="00FD148B" w:rsidRPr="00C8584A" w14:paraId="77FBBD5B" w14:textId="77777777" w:rsidTr="004B499C">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12A028AE" w14:textId="77777777" w:rsidR="00FD148B" w:rsidRPr="00C8584A" w:rsidRDefault="00FD148B" w:rsidP="00FD148B">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Reducción de la jornada</w:t>
            </w:r>
          </w:p>
        </w:tc>
        <w:tc>
          <w:tcPr>
            <w:tcW w:w="1545" w:type="dxa"/>
            <w:noWrap/>
            <w:hideMark/>
          </w:tcPr>
          <w:p w14:paraId="25454420" w14:textId="5DF1173E"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212EF">
              <w:t>25</w:t>
            </w:r>
            <w:r w:rsidR="005E0CFE">
              <w:t xml:space="preserve"> </w:t>
            </w:r>
            <w:r w:rsidRPr="005212EF">
              <w:t>945</w:t>
            </w:r>
          </w:p>
        </w:tc>
        <w:tc>
          <w:tcPr>
            <w:tcW w:w="1261" w:type="dxa"/>
          </w:tcPr>
          <w:p w14:paraId="6D5339D8" w14:textId="5ED2B81E"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12EF">
              <w:t>34%</w:t>
            </w:r>
          </w:p>
        </w:tc>
        <w:tc>
          <w:tcPr>
            <w:tcW w:w="1532" w:type="dxa"/>
            <w:noWrap/>
            <w:hideMark/>
          </w:tcPr>
          <w:p w14:paraId="2CDEF27B" w14:textId="268CEFE5"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212EF">
              <w:t>86</w:t>
            </w:r>
            <w:r w:rsidR="005E0CFE">
              <w:t xml:space="preserve"> </w:t>
            </w:r>
            <w:r w:rsidRPr="005212EF">
              <w:t>996</w:t>
            </w:r>
          </w:p>
        </w:tc>
        <w:tc>
          <w:tcPr>
            <w:tcW w:w="2012" w:type="dxa"/>
          </w:tcPr>
          <w:p w14:paraId="00091874" w14:textId="35A5B06F" w:rsidR="00FD148B" w:rsidRPr="00C8584A" w:rsidRDefault="00FD148B" w:rsidP="00FD14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12EF">
              <w:t>23%</w:t>
            </w:r>
          </w:p>
        </w:tc>
      </w:tr>
      <w:tr w:rsidR="00FD148B" w:rsidRPr="00C8584A" w14:paraId="7A834368" w14:textId="77777777" w:rsidTr="004B499C">
        <w:trPr>
          <w:cnfStyle w:val="010000000000" w:firstRow="0" w:lastRow="1"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434" w:type="dxa"/>
            <w:noWrap/>
            <w:hideMark/>
          </w:tcPr>
          <w:p w14:paraId="0F9C3423" w14:textId="77777777" w:rsidR="00FD148B" w:rsidRPr="00C8584A" w:rsidRDefault="00FD148B" w:rsidP="00FD148B">
            <w:pPr>
              <w:rPr>
                <w:rFonts w:asciiTheme="minorHAnsi" w:eastAsia="Times New Roman" w:hAnsiTheme="minorHAnsi" w:cstheme="minorHAnsi"/>
                <w:color w:val="000000"/>
                <w:lang w:val="es-CR"/>
              </w:rPr>
            </w:pPr>
            <w:r w:rsidRPr="00C8584A">
              <w:rPr>
                <w:rFonts w:asciiTheme="minorHAnsi" w:eastAsia="Times New Roman" w:hAnsiTheme="minorHAnsi" w:cstheme="minorHAnsi"/>
                <w:color w:val="000000"/>
                <w:lang w:val="es-CR"/>
              </w:rPr>
              <w:t>Total</w:t>
            </w:r>
          </w:p>
        </w:tc>
        <w:tc>
          <w:tcPr>
            <w:tcW w:w="1545" w:type="dxa"/>
            <w:noWrap/>
            <w:hideMark/>
          </w:tcPr>
          <w:p w14:paraId="7688EF5D" w14:textId="7ED2BBA8" w:rsidR="00FD148B" w:rsidRPr="00C8584A" w:rsidRDefault="00FD148B" w:rsidP="00FD148B">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212EF">
              <w:t>75</w:t>
            </w:r>
            <w:r w:rsidR="005E0CFE">
              <w:t xml:space="preserve"> </w:t>
            </w:r>
            <w:r w:rsidRPr="005212EF">
              <w:t>615</w:t>
            </w:r>
          </w:p>
        </w:tc>
        <w:tc>
          <w:tcPr>
            <w:tcW w:w="1261" w:type="dxa"/>
          </w:tcPr>
          <w:p w14:paraId="7E53BC04" w14:textId="77777777" w:rsidR="00FD148B" w:rsidRPr="00C8584A" w:rsidRDefault="00FD148B" w:rsidP="00FD148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tcW w:w="1532" w:type="dxa"/>
            <w:noWrap/>
            <w:hideMark/>
          </w:tcPr>
          <w:p w14:paraId="6D60E1C2" w14:textId="0184B83B" w:rsidR="00FD148B" w:rsidRPr="00C8584A" w:rsidRDefault="00FD148B" w:rsidP="00FD148B">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212EF">
              <w:t>368</w:t>
            </w:r>
            <w:r w:rsidR="005E0CFE">
              <w:t xml:space="preserve"> </w:t>
            </w:r>
            <w:r w:rsidRPr="005212EF">
              <w:t>637</w:t>
            </w:r>
          </w:p>
        </w:tc>
        <w:tc>
          <w:tcPr>
            <w:tcW w:w="2012" w:type="dxa"/>
          </w:tcPr>
          <w:p w14:paraId="38C1B681" w14:textId="77777777" w:rsidR="00FD148B" w:rsidRPr="00C8584A" w:rsidRDefault="00FD148B" w:rsidP="00FD148B">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r>
    </w:tbl>
    <w:p w14:paraId="18BDF71A" w14:textId="5F9C8004" w:rsidR="00D5267C" w:rsidRDefault="00D5267C" w:rsidP="004B499C">
      <w:pPr>
        <w:pStyle w:val="Descripcin"/>
        <w:spacing w:after="0"/>
        <w:ind w:left="1416" w:firstLine="708"/>
      </w:pPr>
      <w:r w:rsidRPr="001C58FF">
        <w:t>Fuente: Elaboración propia con datos suministrados por las entidades</w:t>
      </w:r>
    </w:p>
    <w:p w14:paraId="5E1541B6" w14:textId="77777777" w:rsidR="00D5267C" w:rsidRPr="004B499C" w:rsidRDefault="00D5267C" w:rsidP="004B499C">
      <w:pPr>
        <w:spacing w:after="0"/>
        <w:jc w:val="both"/>
        <w:rPr>
          <w:sz w:val="24"/>
          <w:szCs w:val="24"/>
        </w:rPr>
      </w:pPr>
    </w:p>
    <w:p w14:paraId="0EEDA031" w14:textId="77777777" w:rsidR="00124491" w:rsidRPr="004B499C" w:rsidRDefault="00D5267C" w:rsidP="004B499C">
      <w:pPr>
        <w:spacing w:after="0"/>
        <w:jc w:val="both"/>
        <w:rPr>
          <w:sz w:val="24"/>
          <w:szCs w:val="24"/>
        </w:rPr>
      </w:pPr>
      <w:r w:rsidRPr="004B499C">
        <w:rPr>
          <w:sz w:val="24"/>
          <w:szCs w:val="24"/>
        </w:rPr>
        <w:t>El pago de estos recursos se ha realizado con los dineros provenientes de la recaudación y de vencimientos, sin necesidad de acudir a otros mecanismos como los previstos en la reciente modificación a la LPT. SUPEN continúa dando seguimiento a la gestión de la liquidez y a la evolución de las solicitudes de retiro de los trabajadores.</w:t>
      </w:r>
    </w:p>
    <w:p w14:paraId="157336DE" w14:textId="77777777" w:rsidR="00A15D4A" w:rsidRPr="004B499C" w:rsidRDefault="00A15D4A" w:rsidP="004B499C">
      <w:pPr>
        <w:spacing w:after="0"/>
        <w:jc w:val="both"/>
        <w:rPr>
          <w:sz w:val="24"/>
          <w:szCs w:val="24"/>
        </w:rPr>
      </w:pPr>
    </w:p>
    <w:p w14:paraId="4136AAAE" w14:textId="2F469903" w:rsidR="004F494A" w:rsidRPr="004B499C" w:rsidRDefault="0012244A" w:rsidP="004B499C">
      <w:pPr>
        <w:pStyle w:val="Ttulo3"/>
        <w:numPr>
          <w:ilvl w:val="2"/>
          <w:numId w:val="1"/>
        </w:numPr>
        <w:rPr>
          <w:sz w:val="28"/>
          <w:szCs w:val="28"/>
        </w:rPr>
      </w:pPr>
      <w:bookmarkStart w:id="18" w:name="_Toc64457434"/>
      <w:r w:rsidRPr="004B499C">
        <w:rPr>
          <w:sz w:val="28"/>
          <w:szCs w:val="28"/>
        </w:rPr>
        <w:t>Retiros en el ROP a partir de la reforma de la Ley de Protección al Trabajador</w:t>
      </w:r>
      <w:bookmarkEnd w:id="18"/>
    </w:p>
    <w:p w14:paraId="1BD8C152" w14:textId="77777777" w:rsidR="003B4EAA" w:rsidRPr="004B499C" w:rsidRDefault="003B4EAA" w:rsidP="004B499C">
      <w:pPr>
        <w:spacing w:after="0"/>
        <w:jc w:val="both"/>
        <w:rPr>
          <w:sz w:val="24"/>
          <w:szCs w:val="24"/>
        </w:rPr>
      </w:pPr>
    </w:p>
    <w:p w14:paraId="588C096F" w14:textId="52B30782" w:rsidR="001C216E" w:rsidRPr="004B499C" w:rsidRDefault="003B4EAA" w:rsidP="004B499C">
      <w:pPr>
        <w:spacing w:after="0"/>
        <w:jc w:val="both"/>
        <w:rPr>
          <w:sz w:val="24"/>
          <w:szCs w:val="24"/>
        </w:rPr>
      </w:pPr>
      <w:r w:rsidRPr="004B499C">
        <w:rPr>
          <w:sz w:val="24"/>
          <w:szCs w:val="24"/>
        </w:rPr>
        <w:t>El 5 de octubre el P</w:t>
      </w:r>
      <w:r w:rsidR="003D3B71" w:rsidRPr="004B499C">
        <w:rPr>
          <w:sz w:val="24"/>
          <w:szCs w:val="24"/>
        </w:rPr>
        <w:t>oder Ejecutivo</w:t>
      </w:r>
      <w:r w:rsidRPr="004B499C">
        <w:rPr>
          <w:sz w:val="24"/>
          <w:szCs w:val="24"/>
        </w:rPr>
        <w:t xml:space="preserve"> firmó la Ley 9906, aprobada por la </w:t>
      </w:r>
      <w:r w:rsidR="00F734D0" w:rsidRPr="004B499C">
        <w:rPr>
          <w:sz w:val="24"/>
          <w:szCs w:val="24"/>
        </w:rPr>
        <w:t>Asamblea Legislativa para resguardar el derecho de los trabajadores a retirar los recursos de la pensión complementaria, con el fin de permitir la entrega de los recursos de las pensiones complementarias bajo nuevas modalidades, transitorias y permanentes.</w:t>
      </w:r>
      <w:r w:rsidR="00163DD6" w:rsidRPr="004B499C">
        <w:rPr>
          <w:sz w:val="24"/>
          <w:szCs w:val="24"/>
        </w:rPr>
        <w:t xml:space="preserve"> En la tabla 4 se muestran los resultados de las modalidades transitorias de retiro.</w:t>
      </w:r>
    </w:p>
    <w:p w14:paraId="450621D2" w14:textId="174C598C" w:rsidR="00091576" w:rsidRDefault="00091576" w:rsidP="00A231D8">
      <w:pPr>
        <w:spacing w:after="0" w:line="240" w:lineRule="auto"/>
        <w:jc w:val="both"/>
        <w:rPr>
          <w:i/>
          <w:iCs/>
          <w:color w:val="1F497D" w:themeColor="text2"/>
          <w:sz w:val="18"/>
          <w:szCs w:val="18"/>
        </w:rPr>
      </w:pPr>
    </w:p>
    <w:p w14:paraId="12601927" w14:textId="5CA13EF6" w:rsidR="0094623D" w:rsidRPr="00146DA5" w:rsidRDefault="00146DA5" w:rsidP="00146DA5">
      <w:pPr>
        <w:pStyle w:val="Descripcin"/>
        <w:spacing w:after="0"/>
        <w:ind w:left="360"/>
        <w:jc w:val="center"/>
      </w:pPr>
      <w:r w:rsidRPr="001C58FF">
        <w:t xml:space="preserve">Tabla </w:t>
      </w:r>
      <w:r w:rsidRPr="001C58FF">
        <w:fldChar w:fldCharType="begin"/>
      </w:r>
      <w:r w:rsidRPr="001C58FF">
        <w:instrText xml:space="preserve"> SEQ Tabla \* ARABIC </w:instrText>
      </w:r>
      <w:r w:rsidRPr="001C58FF">
        <w:fldChar w:fldCharType="separate"/>
      </w:r>
      <w:r w:rsidR="00F01E03">
        <w:rPr>
          <w:noProof/>
        </w:rPr>
        <w:t>5</w:t>
      </w:r>
      <w:r w:rsidRPr="001C58FF">
        <w:fldChar w:fldCharType="end"/>
      </w:r>
      <w:r w:rsidR="0094623D" w:rsidRPr="00146DA5">
        <w:t>: Retiros del ROP por modalidades transitorias</w:t>
      </w:r>
    </w:p>
    <w:p w14:paraId="7E7C66C1" w14:textId="77777777" w:rsidR="00146DA5" w:rsidRPr="001C58FF" w:rsidRDefault="00146DA5" w:rsidP="004B499C">
      <w:pPr>
        <w:pStyle w:val="Descripcin"/>
        <w:spacing w:after="0"/>
        <w:ind w:left="360"/>
        <w:jc w:val="center"/>
      </w:pPr>
      <w:r w:rsidRPr="001C58FF">
        <w:t xml:space="preserve">Atendidas al </w:t>
      </w:r>
      <w:r>
        <w:t>06 de enero</w:t>
      </w:r>
      <w:r w:rsidRPr="001C58FF">
        <w:t xml:space="preserve"> del 202</w:t>
      </w:r>
      <w:r>
        <w:t>1</w:t>
      </w:r>
    </w:p>
    <w:p w14:paraId="057EF440" w14:textId="77777777" w:rsidR="00146DA5" w:rsidRDefault="00146DA5" w:rsidP="00146DA5">
      <w:pPr>
        <w:pStyle w:val="Descripcin"/>
        <w:spacing w:after="0"/>
        <w:ind w:left="360"/>
        <w:jc w:val="center"/>
      </w:pPr>
      <w:r w:rsidRPr="001C58FF">
        <w:t>Monto en millones de colones</w:t>
      </w:r>
    </w:p>
    <w:tbl>
      <w:tblPr>
        <w:tblStyle w:val="Tablaconcuadrcula4-nfasis1"/>
        <w:tblW w:w="8732" w:type="dxa"/>
        <w:jc w:val="center"/>
        <w:tblLook w:val="04E0" w:firstRow="1" w:lastRow="1" w:firstColumn="1" w:lastColumn="0" w:noHBand="0" w:noVBand="1"/>
      </w:tblPr>
      <w:tblGrid>
        <w:gridCol w:w="3816"/>
        <w:gridCol w:w="1139"/>
        <w:gridCol w:w="1146"/>
        <w:gridCol w:w="9"/>
        <w:gridCol w:w="1256"/>
        <w:gridCol w:w="1366"/>
      </w:tblGrid>
      <w:tr w:rsidR="0094623D" w:rsidRPr="005E0CFE" w14:paraId="1DF19BF3" w14:textId="77777777" w:rsidTr="005E0CF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3786B5F6" w14:textId="7AC69EA9" w:rsidR="0094623D" w:rsidRPr="005E0CFE" w:rsidRDefault="0094623D" w:rsidP="004B499C">
            <w:pPr>
              <w:jc w:val="center"/>
              <w:rPr>
                <w:rFonts w:asciiTheme="minorHAnsi" w:eastAsia="Times New Roman" w:hAnsiTheme="minorHAnsi" w:cstheme="minorHAnsi"/>
                <w:lang w:val="es-CR"/>
              </w:rPr>
            </w:pPr>
            <w:r w:rsidRPr="005E0CFE">
              <w:rPr>
                <w:rFonts w:asciiTheme="minorHAnsi" w:eastAsia="Times New Roman" w:hAnsiTheme="minorHAnsi" w:cstheme="minorHAnsi"/>
                <w:lang w:val="es-CR"/>
              </w:rPr>
              <w:t>Modalidad transitori</w:t>
            </w:r>
            <w:r w:rsidR="00146DA5" w:rsidRPr="005E0CFE">
              <w:rPr>
                <w:rFonts w:asciiTheme="minorHAnsi" w:eastAsia="Times New Roman" w:hAnsiTheme="minorHAnsi" w:cstheme="minorHAnsi"/>
                <w:lang w:val="es-CR"/>
              </w:rPr>
              <w:t>a</w:t>
            </w:r>
            <w:r w:rsidRPr="005E0CFE">
              <w:rPr>
                <w:rFonts w:asciiTheme="minorHAnsi" w:eastAsia="Times New Roman" w:hAnsiTheme="minorHAnsi" w:cstheme="minorHAnsi"/>
                <w:lang w:val="es-CR"/>
              </w:rPr>
              <w:t xml:space="preserve"> </w:t>
            </w:r>
          </w:p>
        </w:tc>
        <w:tc>
          <w:tcPr>
            <w:tcW w:w="1139" w:type="dxa"/>
            <w:vAlign w:val="center"/>
            <w:hideMark/>
          </w:tcPr>
          <w:p w14:paraId="45FF682C" w14:textId="77777777" w:rsidR="0094623D" w:rsidRPr="005E0CFE" w:rsidRDefault="0094623D"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5E0CFE">
              <w:rPr>
                <w:rFonts w:asciiTheme="minorHAnsi" w:eastAsia="Times New Roman" w:hAnsiTheme="minorHAnsi" w:cstheme="minorHAnsi"/>
                <w:lang w:val="es-CR"/>
              </w:rPr>
              <w:t>Solicitudes recibidas</w:t>
            </w:r>
          </w:p>
        </w:tc>
        <w:tc>
          <w:tcPr>
            <w:tcW w:w="1139" w:type="dxa"/>
            <w:vAlign w:val="center"/>
            <w:hideMark/>
          </w:tcPr>
          <w:p w14:paraId="724C3699" w14:textId="77777777" w:rsidR="0094623D" w:rsidRPr="005E0CFE" w:rsidRDefault="0094623D"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5E0CFE">
              <w:rPr>
                <w:rFonts w:asciiTheme="minorHAnsi" w:eastAsia="Times New Roman" w:hAnsiTheme="minorHAnsi" w:cstheme="minorHAnsi"/>
                <w:lang w:val="es-CR"/>
              </w:rPr>
              <w:t>Solicitudes pendientes</w:t>
            </w:r>
          </w:p>
        </w:tc>
        <w:tc>
          <w:tcPr>
            <w:tcW w:w="1265" w:type="dxa"/>
            <w:gridSpan w:val="2"/>
            <w:noWrap/>
            <w:vAlign w:val="center"/>
            <w:hideMark/>
          </w:tcPr>
          <w:p w14:paraId="70D78AE2" w14:textId="77777777" w:rsidR="0094623D" w:rsidRPr="005E0CFE" w:rsidRDefault="0094623D"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5E0CFE">
              <w:rPr>
                <w:rFonts w:asciiTheme="minorHAnsi" w:eastAsia="Times New Roman" w:hAnsiTheme="minorHAnsi" w:cstheme="minorHAnsi"/>
                <w:lang w:val="es-CR"/>
              </w:rPr>
              <w:t>Monto pagado</w:t>
            </w:r>
          </w:p>
        </w:tc>
        <w:tc>
          <w:tcPr>
            <w:tcW w:w="1366" w:type="dxa"/>
            <w:vAlign w:val="center"/>
            <w:hideMark/>
          </w:tcPr>
          <w:p w14:paraId="17F7F152" w14:textId="1D74FA1F" w:rsidR="0094623D" w:rsidRPr="005E0CFE" w:rsidRDefault="0094623D" w:rsidP="004B499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5E0CFE">
              <w:rPr>
                <w:rFonts w:asciiTheme="minorHAnsi" w:eastAsia="Times New Roman" w:hAnsiTheme="minorHAnsi" w:cstheme="minorHAnsi"/>
                <w:lang w:val="es-CR"/>
              </w:rPr>
              <w:t>% solicitudes</w:t>
            </w:r>
          </w:p>
        </w:tc>
      </w:tr>
      <w:tr w:rsidR="0094623D" w:rsidRPr="005E0CFE" w14:paraId="5535ED56" w14:textId="77777777" w:rsidTr="005E0CF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8F885DA" w14:textId="7359238F" w:rsidR="0094623D" w:rsidRPr="005E0CFE" w:rsidRDefault="0094623D" w:rsidP="00B048CD">
            <w:pPr>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Renta mensual a 30 meses</w:t>
            </w:r>
          </w:p>
        </w:tc>
        <w:tc>
          <w:tcPr>
            <w:tcW w:w="1139" w:type="dxa"/>
            <w:noWrap/>
            <w:vAlign w:val="center"/>
            <w:hideMark/>
          </w:tcPr>
          <w:p w14:paraId="5133EE76" w14:textId="77777777" w:rsidR="0094623D" w:rsidRPr="005E0CFE" w:rsidRDefault="0094623D" w:rsidP="004B499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3 209</w:t>
            </w:r>
          </w:p>
        </w:tc>
        <w:tc>
          <w:tcPr>
            <w:tcW w:w="1139" w:type="dxa"/>
            <w:noWrap/>
            <w:vAlign w:val="center"/>
            <w:hideMark/>
          </w:tcPr>
          <w:p w14:paraId="504FFEC8" w14:textId="77777777" w:rsidR="0094623D" w:rsidRPr="005E0CFE" w:rsidRDefault="0094623D" w:rsidP="004B499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68</w:t>
            </w:r>
          </w:p>
        </w:tc>
        <w:tc>
          <w:tcPr>
            <w:tcW w:w="1265" w:type="dxa"/>
            <w:gridSpan w:val="2"/>
            <w:noWrap/>
            <w:vAlign w:val="center"/>
            <w:hideMark/>
          </w:tcPr>
          <w:p w14:paraId="27EE174C" w14:textId="757610FE" w:rsidR="0094623D" w:rsidRPr="005E0CFE" w:rsidRDefault="0094623D" w:rsidP="004B499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1</w:t>
            </w:r>
            <w:r w:rsidR="00014C2C" w:rsidRPr="005E0CFE">
              <w:rPr>
                <w:rFonts w:asciiTheme="minorHAnsi" w:eastAsia="Times New Roman" w:hAnsiTheme="minorHAnsi" w:cstheme="minorHAnsi"/>
                <w:color w:val="000000"/>
                <w:lang w:val="es-CR"/>
              </w:rPr>
              <w:t xml:space="preserve"> </w:t>
            </w:r>
            <w:r w:rsidRPr="005E0CFE">
              <w:rPr>
                <w:rFonts w:asciiTheme="minorHAnsi" w:eastAsia="Times New Roman" w:hAnsiTheme="minorHAnsi" w:cstheme="minorHAnsi"/>
                <w:color w:val="000000"/>
                <w:lang w:val="es-CR"/>
              </w:rPr>
              <w:t>173</w:t>
            </w:r>
          </w:p>
        </w:tc>
        <w:tc>
          <w:tcPr>
            <w:tcW w:w="1366" w:type="dxa"/>
            <w:noWrap/>
            <w:vAlign w:val="center"/>
            <w:hideMark/>
          </w:tcPr>
          <w:p w14:paraId="740093E0" w14:textId="0D033DC5" w:rsidR="0094623D" w:rsidRPr="005E0CFE" w:rsidRDefault="0094623D" w:rsidP="004B499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3</w:t>
            </w:r>
            <w:r w:rsidR="005E0CFE">
              <w:rPr>
                <w:rFonts w:asciiTheme="minorHAnsi" w:eastAsia="Times New Roman" w:hAnsiTheme="minorHAnsi" w:cstheme="minorHAnsi"/>
                <w:color w:val="000000"/>
                <w:lang w:val="es-CR"/>
              </w:rPr>
              <w:t>,</w:t>
            </w:r>
            <w:r w:rsidRPr="005E0CFE">
              <w:rPr>
                <w:rFonts w:asciiTheme="minorHAnsi" w:eastAsia="Times New Roman" w:hAnsiTheme="minorHAnsi" w:cstheme="minorHAnsi"/>
                <w:color w:val="000000"/>
                <w:lang w:val="es-CR"/>
              </w:rPr>
              <w:t>7%</w:t>
            </w:r>
          </w:p>
        </w:tc>
      </w:tr>
      <w:tr w:rsidR="0094623D" w:rsidRPr="005E0CFE" w14:paraId="1737FA2E" w14:textId="77777777" w:rsidTr="005E0CFE">
        <w:trPr>
          <w:trHeight w:val="184"/>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10DEEAEA" w14:textId="3DB62D2B" w:rsidR="0094623D" w:rsidRPr="005E0CFE" w:rsidRDefault="0094623D" w:rsidP="00B048CD">
            <w:pPr>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Acelerado: 9 mensualidades + pago 25% +</w:t>
            </w:r>
            <w:r w:rsidR="000D6CEC" w:rsidRPr="005E0CFE">
              <w:rPr>
                <w:rFonts w:asciiTheme="minorHAnsi" w:eastAsia="Times New Roman" w:hAnsiTheme="minorHAnsi" w:cstheme="minorHAnsi"/>
                <w:color w:val="000000"/>
                <w:lang w:val="es-CR"/>
              </w:rPr>
              <w:t xml:space="preserve"> </w:t>
            </w:r>
            <w:r w:rsidRPr="005E0CFE">
              <w:rPr>
                <w:rFonts w:asciiTheme="minorHAnsi" w:eastAsia="Times New Roman" w:hAnsiTheme="minorHAnsi" w:cstheme="minorHAnsi"/>
                <w:color w:val="000000"/>
                <w:lang w:val="es-CR"/>
              </w:rPr>
              <w:t>pago restante al IV periodo</w:t>
            </w:r>
          </w:p>
        </w:tc>
        <w:tc>
          <w:tcPr>
            <w:tcW w:w="1139" w:type="dxa"/>
            <w:noWrap/>
            <w:vAlign w:val="center"/>
            <w:hideMark/>
          </w:tcPr>
          <w:p w14:paraId="52E6D159" w14:textId="77777777" w:rsidR="0094623D" w:rsidRPr="005E0CFE" w:rsidRDefault="0094623D" w:rsidP="004B499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10 899</w:t>
            </w:r>
          </w:p>
        </w:tc>
        <w:tc>
          <w:tcPr>
            <w:tcW w:w="1139" w:type="dxa"/>
            <w:noWrap/>
            <w:vAlign w:val="center"/>
            <w:hideMark/>
          </w:tcPr>
          <w:p w14:paraId="7BFA21F7" w14:textId="77777777" w:rsidR="0094623D" w:rsidRPr="005E0CFE" w:rsidRDefault="0094623D" w:rsidP="004B499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310</w:t>
            </w:r>
          </w:p>
        </w:tc>
        <w:tc>
          <w:tcPr>
            <w:tcW w:w="1265" w:type="dxa"/>
            <w:gridSpan w:val="2"/>
            <w:noWrap/>
            <w:vAlign w:val="center"/>
            <w:hideMark/>
          </w:tcPr>
          <w:p w14:paraId="45F5EA61" w14:textId="4D76CEF1" w:rsidR="0094623D" w:rsidRPr="005E0CFE" w:rsidRDefault="0094623D" w:rsidP="004B499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30</w:t>
            </w:r>
            <w:r w:rsidR="00014C2C" w:rsidRPr="005E0CFE">
              <w:rPr>
                <w:rFonts w:asciiTheme="minorHAnsi" w:eastAsia="Times New Roman" w:hAnsiTheme="minorHAnsi" w:cstheme="minorHAnsi"/>
                <w:color w:val="000000"/>
                <w:lang w:val="es-CR"/>
              </w:rPr>
              <w:t xml:space="preserve"> </w:t>
            </w:r>
            <w:r w:rsidRPr="005E0CFE">
              <w:rPr>
                <w:rFonts w:asciiTheme="minorHAnsi" w:eastAsia="Times New Roman" w:hAnsiTheme="minorHAnsi" w:cstheme="minorHAnsi"/>
                <w:color w:val="000000"/>
                <w:lang w:val="es-CR"/>
              </w:rPr>
              <w:t>343</w:t>
            </w:r>
          </w:p>
        </w:tc>
        <w:tc>
          <w:tcPr>
            <w:tcW w:w="1366" w:type="dxa"/>
            <w:noWrap/>
            <w:vAlign w:val="center"/>
            <w:hideMark/>
          </w:tcPr>
          <w:p w14:paraId="062D6994" w14:textId="5B0AA1B4" w:rsidR="0094623D" w:rsidRPr="005E0CFE" w:rsidRDefault="0094623D" w:rsidP="004B499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s-CR"/>
              </w:rPr>
            </w:pPr>
            <w:r w:rsidRPr="005E0CFE">
              <w:rPr>
                <w:rFonts w:asciiTheme="minorHAnsi" w:eastAsia="Times New Roman" w:hAnsiTheme="minorHAnsi" w:cstheme="minorHAnsi"/>
                <w:color w:val="000000"/>
                <w:lang w:val="es-CR"/>
              </w:rPr>
              <w:t>96</w:t>
            </w:r>
            <w:r w:rsidR="005E0CFE">
              <w:rPr>
                <w:rFonts w:asciiTheme="minorHAnsi" w:eastAsia="Times New Roman" w:hAnsiTheme="minorHAnsi" w:cstheme="minorHAnsi"/>
                <w:color w:val="000000"/>
                <w:lang w:val="es-CR"/>
              </w:rPr>
              <w:t>,</w:t>
            </w:r>
            <w:r w:rsidRPr="005E0CFE">
              <w:rPr>
                <w:rFonts w:asciiTheme="minorHAnsi" w:eastAsia="Times New Roman" w:hAnsiTheme="minorHAnsi" w:cstheme="minorHAnsi"/>
                <w:color w:val="000000"/>
                <w:lang w:val="es-CR"/>
              </w:rPr>
              <w:t>3%</w:t>
            </w:r>
          </w:p>
        </w:tc>
      </w:tr>
      <w:tr w:rsidR="0094623D" w:rsidRPr="005E0CFE" w14:paraId="2B2CE6FC" w14:textId="77777777" w:rsidTr="005E0CFE">
        <w:trPr>
          <w:cnfStyle w:val="010000000000" w:firstRow="0" w:lastRow="1" w:firstColumn="0" w:lastColumn="0" w:oddVBand="0" w:evenVBand="0" w:oddHBand="0"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6110" w:type="dxa"/>
            <w:gridSpan w:val="4"/>
            <w:noWrap/>
            <w:vAlign w:val="center"/>
            <w:hideMark/>
          </w:tcPr>
          <w:p w14:paraId="59857F04" w14:textId="77777777" w:rsidR="0094623D" w:rsidRPr="005E0CFE" w:rsidRDefault="0094623D" w:rsidP="004B499C">
            <w:pPr>
              <w:rPr>
                <w:rFonts w:asciiTheme="minorHAnsi" w:eastAsia="Times New Roman" w:hAnsiTheme="minorHAnsi" w:cstheme="minorHAnsi"/>
                <w:b w:val="0"/>
                <w:bCs w:val="0"/>
                <w:color w:val="000000"/>
                <w:lang w:val="es-CR"/>
              </w:rPr>
            </w:pPr>
          </w:p>
        </w:tc>
        <w:tc>
          <w:tcPr>
            <w:tcW w:w="1256" w:type="dxa"/>
            <w:noWrap/>
            <w:vAlign w:val="center"/>
            <w:hideMark/>
          </w:tcPr>
          <w:p w14:paraId="7166A127" w14:textId="61EDD854" w:rsidR="0094623D" w:rsidRPr="005E0CFE" w:rsidRDefault="0094623D" w:rsidP="004B499C">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val="es-CR"/>
              </w:rPr>
            </w:pPr>
            <w:r w:rsidRPr="005E0CFE">
              <w:rPr>
                <w:rFonts w:asciiTheme="minorHAnsi" w:eastAsia="Times New Roman" w:hAnsiTheme="minorHAnsi" w:cstheme="minorHAnsi"/>
                <w:b w:val="0"/>
                <w:bCs w:val="0"/>
                <w:color w:val="000000"/>
                <w:lang w:val="es-CR"/>
              </w:rPr>
              <w:t>31</w:t>
            </w:r>
            <w:r w:rsidR="000B3ABA" w:rsidRPr="005E0CFE">
              <w:rPr>
                <w:rFonts w:asciiTheme="minorHAnsi" w:eastAsia="Times New Roman" w:hAnsiTheme="minorHAnsi" w:cstheme="minorHAnsi"/>
                <w:b w:val="0"/>
                <w:bCs w:val="0"/>
                <w:color w:val="000000"/>
                <w:lang w:val="es-CR"/>
              </w:rPr>
              <w:t xml:space="preserve"> </w:t>
            </w:r>
            <w:r w:rsidRPr="005E0CFE">
              <w:rPr>
                <w:rFonts w:asciiTheme="minorHAnsi" w:eastAsia="Times New Roman" w:hAnsiTheme="minorHAnsi" w:cstheme="minorHAnsi"/>
                <w:b w:val="0"/>
                <w:bCs w:val="0"/>
                <w:color w:val="000000"/>
                <w:lang w:val="es-CR"/>
              </w:rPr>
              <w:t>51</w:t>
            </w:r>
            <w:r w:rsidR="001115EC" w:rsidRPr="005E0CFE">
              <w:rPr>
                <w:rFonts w:asciiTheme="minorHAnsi" w:eastAsia="Times New Roman" w:hAnsiTheme="minorHAnsi" w:cstheme="minorHAnsi"/>
                <w:b w:val="0"/>
                <w:bCs w:val="0"/>
                <w:color w:val="000000"/>
                <w:lang w:val="es-CR"/>
              </w:rPr>
              <w:t>7</w:t>
            </w:r>
          </w:p>
        </w:tc>
        <w:tc>
          <w:tcPr>
            <w:tcW w:w="1366" w:type="dxa"/>
            <w:noWrap/>
            <w:vAlign w:val="center"/>
            <w:hideMark/>
          </w:tcPr>
          <w:p w14:paraId="09415A2B" w14:textId="77777777" w:rsidR="0094623D" w:rsidRPr="005E0CFE" w:rsidRDefault="0094623D" w:rsidP="004B499C">
            <w:pPr>
              <w:jc w:val="right"/>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val="es-CR"/>
              </w:rPr>
            </w:pPr>
          </w:p>
        </w:tc>
      </w:tr>
    </w:tbl>
    <w:p w14:paraId="74A61055" w14:textId="10BE5B39" w:rsidR="0094623D" w:rsidRDefault="0094623D" w:rsidP="004B499C">
      <w:pPr>
        <w:pStyle w:val="Descripcin"/>
        <w:spacing w:after="0"/>
        <w:ind w:left="1776" w:firstLine="348"/>
      </w:pPr>
      <w:r w:rsidRPr="00DE5A0C">
        <w:t>Fuente: Elaboración propia con datos suministrados por las operadoras de pensiones</w:t>
      </w:r>
    </w:p>
    <w:p w14:paraId="11A326D5" w14:textId="77777777" w:rsidR="00005FF5" w:rsidRPr="004B499C" w:rsidRDefault="00005FF5" w:rsidP="004B499C">
      <w:pPr>
        <w:spacing w:after="0"/>
        <w:jc w:val="both"/>
        <w:rPr>
          <w:sz w:val="24"/>
          <w:szCs w:val="24"/>
        </w:rPr>
      </w:pPr>
    </w:p>
    <w:p w14:paraId="21CD9553" w14:textId="693D03B2" w:rsidR="0094623D" w:rsidRPr="004B499C" w:rsidRDefault="0094623D" w:rsidP="004B499C">
      <w:pPr>
        <w:spacing w:after="0"/>
        <w:jc w:val="both"/>
        <w:rPr>
          <w:sz w:val="24"/>
          <w:szCs w:val="24"/>
        </w:rPr>
      </w:pPr>
      <w:r w:rsidRPr="004B499C">
        <w:rPr>
          <w:sz w:val="24"/>
          <w:szCs w:val="24"/>
        </w:rPr>
        <w:t xml:space="preserve">En cuanto a la nueva modalidad de retiro permanentes aprobada en la Ley 9906, correspondiente a </w:t>
      </w:r>
      <w:r w:rsidRPr="004B499C">
        <w:rPr>
          <w:i/>
          <w:iCs/>
          <w:sz w:val="24"/>
          <w:szCs w:val="24"/>
        </w:rPr>
        <w:t>Renta temporal condicionada a la expectativa de vida,</w:t>
      </w:r>
      <w:r w:rsidRPr="004B499C">
        <w:rPr>
          <w:sz w:val="24"/>
          <w:szCs w:val="24"/>
        </w:rPr>
        <w:t xml:space="preserve"> al 6 de enero de 2021 las operadoras habían recibido 302 solicitudes por esta modalidad, pagando un importe de ₡53</w:t>
      </w:r>
      <w:r w:rsidR="0036056E" w:rsidRPr="004B499C">
        <w:rPr>
          <w:sz w:val="24"/>
          <w:szCs w:val="24"/>
        </w:rPr>
        <w:t xml:space="preserve">,6 millones </w:t>
      </w:r>
      <w:r w:rsidRPr="004B499C">
        <w:rPr>
          <w:sz w:val="24"/>
          <w:szCs w:val="24"/>
        </w:rPr>
        <w:t>por este concepto.</w:t>
      </w:r>
      <w:r w:rsidR="002105EE" w:rsidRPr="004B499C">
        <w:rPr>
          <w:sz w:val="24"/>
          <w:szCs w:val="24"/>
        </w:rPr>
        <w:t xml:space="preserve"> Es relevante destacar que la </w:t>
      </w:r>
      <w:r w:rsidR="00091576" w:rsidRPr="004B499C">
        <w:rPr>
          <w:sz w:val="24"/>
          <w:szCs w:val="24"/>
        </w:rPr>
        <w:t>participación</w:t>
      </w:r>
      <w:r w:rsidR="002105EE" w:rsidRPr="004B499C">
        <w:rPr>
          <w:sz w:val="24"/>
          <w:szCs w:val="24"/>
        </w:rPr>
        <w:t xml:space="preserve"> de la SUPEN en la tramitación del </w:t>
      </w:r>
      <w:r w:rsidR="00091576" w:rsidRPr="004B499C">
        <w:rPr>
          <w:sz w:val="24"/>
          <w:szCs w:val="24"/>
        </w:rPr>
        <w:t>proyecto</w:t>
      </w:r>
      <w:r w:rsidR="002105EE" w:rsidRPr="004B499C">
        <w:rPr>
          <w:sz w:val="24"/>
          <w:szCs w:val="24"/>
        </w:rPr>
        <w:t xml:space="preserve"> evitó </w:t>
      </w:r>
      <w:r w:rsidR="008F69DE" w:rsidRPr="004B499C">
        <w:rPr>
          <w:sz w:val="24"/>
          <w:szCs w:val="24"/>
        </w:rPr>
        <w:t>la salida de importantes recursos del ROP</w:t>
      </w:r>
      <w:r w:rsidR="006175A4" w:rsidRPr="004B499C">
        <w:rPr>
          <w:sz w:val="24"/>
          <w:szCs w:val="24"/>
        </w:rPr>
        <w:t xml:space="preserve">, reduciendo de manera significativa </w:t>
      </w:r>
      <w:r w:rsidR="009A0E13" w:rsidRPr="004B499C">
        <w:rPr>
          <w:sz w:val="24"/>
          <w:szCs w:val="24"/>
        </w:rPr>
        <w:t xml:space="preserve">no solo su cuantía, sino también, </w:t>
      </w:r>
      <w:r w:rsidR="009469F0" w:rsidRPr="004B499C">
        <w:rPr>
          <w:sz w:val="24"/>
          <w:szCs w:val="24"/>
        </w:rPr>
        <w:t>un impacto desfavorable en el valor de los portafolios</w:t>
      </w:r>
      <w:r w:rsidR="003C0A94" w:rsidRPr="004B499C">
        <w:rPr>
          <w:sz w:val="24"/>
          <w:szCs w:val="24"/>
        </w:rPr>
        <w:t>.</w:t>
      </w:r>
    </w:p>
    <w:p w14:paraId="1A7284F9" w14:textId="3663F529" w:rsidR="00FA27B3" w:rsidRPr="004B499C" w:rsidRDefault="00FA27B3" w:rsidP="004B499C">
      <w:pPr>
        <w:spacing w:after="0"/>
        <w:jc w:val="both"/>
        <w:rPr>
          <w:sz w:val="24"/>
          <w:szCs w:val="24"/>
        </w:rPr>
      </w:pPr>
    </w:p>
    <w:p w14:paraId="353E1901" w14:textId="62895012" w:rsidR="004F494A" w:rsidRPr="004B499C" w:rsidRDefault="004F494A" w:rsidP="004B499C">
      <w:pPr>
        <w:pStyle w:val="Ttulo2"/>
        <w:numPr>
          <w:ilvl w:val="1"/>
          <w:numId w:val="1"/>
        </w:numPr>
        <w:rPr>
          <w:sz w:val="28"/>
          <w:szCs w:val="28"/>
        </w:rPr>
      </w:pPr>
      <w:bookmarkStart w:id="19" w:name="_Toc64457435"/>
      <w:r w:rsidRPr="004B499C">
        <w:rPr>
          <w:sz w:val="28"/>
          <w:szCs w:val="28"/>
        </w:rPr>
        <w:t>Efectos en Regímenes de Capitalización Colectiva</w:t>
      </w:r>
      <w:bookmarkEnd w:id="19"/>
    </w:p>
    <w:p w14:paraId="48D1AA77" w14:textId="77777777" w:rsidR="00930711" w:rsidRPr="004B499C" w:rsidRDefault="00930711" w:rsidP="004B499C">
      <w:pPr>
        <w:spacing w:after="0"/>
        <w:rPr>
          <w:sz w:val="24"/>
          <w:szCs w:val="24"/>
        </w:rPr>
      </w:pPr>
    </w:p>
    <w:p w14:paraId="4E25D4C6" w14:textId="796D2284" w:rsidR="0089548D" w:rsidRDefault="0089548D" w:rsidP="0089548D">
      <w:pPr>
        <w:pStyle w:val="Descripcin"/>
        <w:spacing w:after="0"/>
        <w:jc w:val="center"/>
      </w:pPr>
      <w:r>
        <w:t xml:space="preserve">Tabla </w:t>
      </w:r>
      <w:r>
        <w:fldChar w:fldCharType="begin"/>
      </w:r>
      <w:r>
        <w:instrText xml:space="preserve"> SEQ Tabla \* ARABIC </w:instrText>
      </w:r>
      <w:r>
        <w:fldChar w:fldCharType="separate"/>
      </w:r>
      <w:r w:rsidR="00AF4240">
        <w:rPr>
          <w:noProof/>
        </w:rPr>
        <w:t>6</w:t>
      </w:r>
      <w:r>
        <w:fldChar w:fldCharType="end"/>
      </w:r>
      <w:r>
        <w:t>: Efectos del COVID-19 en</w:t>
      </w:r>
      <w:r w:rsidRPr="00AD5AED">
        <w:t xml:space="preserve"> los fondos</w:t>
      </w:r>
    </w:p>
    <w:p w14:paraId="1C6099F5" w14:textId="77777777" w:rsidR="0089548D" w:rsidRDefault="0089548D" w:rsidP="0089548D">
      <w:pPr>
        <w:pStyle w:val="Descripcin"/>
        <w:spacing w:after="0"/>
        <w:jc w:val="center"/>
      </w:pPr>
      <w:r>
        <w:t>Regímenes de Capitalización Colectiva</w:t>
      </w:r>
    </w:p>
    <w:p w14:paraId="40FF004E" w14:textId="2B459BCB" w:rsidR="0089548D" w:rsidRPr="000014E8" w:rsidRDefault="0089548D" w:rsidP="0089548D">
      <w:pPr>
        <w:pStyle w:val="Descripcin"/>
        <w:spacing w:after="0"/>
        <w:jc w:val="center"/>
      </w:pPr>
      <w:r>
        <w:t>Durante el cuarto trimestre del 2020</w:t>
      </w:r>
    </w:p>
    <w:tbl>
      <w:tblPr>
        <w:tblStyle w:val="Tablaconcuadrcula4-nfasis1"/>
        <w:tblW w:w="12611" w:type="dxa"/>
        <w:jc w:val="center"/>
        <w:tblLook w:val="04A0" w:firstRow="1" w:lastRow="0" w:firstColumn="1" w:lastColumn="0" w:noHBand="0" w:noVBand="1"/>
      </w:tblPr>
      <w:tblGrid>
        <w:gridCol w:w="975"/>
        <w:gridCol w:w="11636"/>
      </w:tblGrid>
      <w:tr w:rsidR="0089548D" w:rsidRPr="003C30A0" w14:paraId="4D68C33B" w14:textId="77777777" w:rsidTr="004B49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11BB81F0" w14:textId="77777777" w:rsidR="0089548D" w:rsidRPr="00061536" w:rsidRDefault="0089548D" w:rsidP="004B499C">
            <w:pPr>
              <w:rPr>
                <w:rFonts w:eastAsia="Times New Roman" w:cs="Calibri"/>
                <w:lang w:val="es-CR"/>
              </w:rPr>
            </w:pPr>
            <w:r w:rsidRPr="00061536">
              <w:rPr>
                <w:rFonts w:eastAsia="Times New Roman" w:cs="Calibri"/>
                <w:lang w:val="es-CR"/>
              </w:rPr>
              <w:t>Fondo</w:t>
            </w:r>
          </w:p>
        </w:tc>
        <w:tc>
          <w:tcPr>
            <w:tcW w:w="11636" w:type="dxa"/>
            <w:hideMark/>
          </w:tcPr>
          <w:p w14:paraId="6174803E" w14:textId="77777777" w:rsidR="0089548D" w:rsidRPr="00061536" w:rsidRDefault="0089548D" w:rsidP="004B499C">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061536">
              <w:rPr>
                <w:rFonts w:eastAsia="Times New Roman" w:cs="Calibri"/>
                <w:lang w:val="es-CR"/>
              </w:rPr>
              <w:t>Efectos COVID</w:t>
            </w:r>
          </w:p>
        </w:tc>
      </w:tr>
      <w:tr w:rsidR="0089548D" w:rsidRPr="003C30A0" w14:paraId="3D192CF5" w14:textId="77777777" w:rsidTr="004B499C">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975" w:type="dxa"/>
            <w:hideMark/>
          </w:tcPr>
          <w:p w14:paraId="4716A02D" w14:textId="77777777" w:rsidR="0089548D" w:rsidRPr="003C30A0" w:rsidRDefault="0089548D" w:rsidP="004B499C">
            <w:pPr>
              <w:rPr>
                <w:rFonts w:eastAsia="Times New Roman" w:cs="Calibri"/>
                <w:color w:val="000000"/>
                <w:lang w:val="es-CR"/>
              </w:rPr>
            </w:pPr>
            <w:r w:rsidRPr="003C30A0">
              <w:rPr>
                <w:rFonts w:eastAsia="Times New Roman" w:cs="Calibri"/>
                <w:color w:val="000000"/>
                <w:lang w:val="es-CR"/>
              </w:rPr>
              <w:t>RIVM</w:t>
            </w:r>
          </w:p>
        </w:tc>
        <w:tc>
          <w:tcPr>
            <w:tcW w:w="11636" w:type="dxa"/>
            <w:hideMark/>
          </w:tcPr>
          <w:p w14:paraId="4A0BADD9" w14:textId="207A6CA5" w:rsidR="0089548D" w:rsidRPr="003C30A0" w:rsidRDefault="000863D0" w:rsidP="000863D0">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0863D0">
              <w:rPr>
                <w:rFonts w:eastAsia="Times New Roman" w:cs="Calibri"/>
                <w:color w:val="000000"/>
                <w:lang w:val="es-CR"/>
              </w:rPr>
              <w:t>De marzo a octubre 2020, se evidenci</w:t>
            </w:r>
            <w:r w:rsidR="00F82F3C">
              <w:rPr>
                <w:rFonts w:eastAsia="Times New Roman" w:cs="Calibri"/>
                <w:color w:val="000000"/>
                <w:lang w:val="es-CR"/>
              </w:rPr>
              <w:t xml:space="preserve">ó </w:t>
            </w:r>
            <w:r w:rsidRPr="000863D0">
              <w:rPr>
                <w:rFonts w:eastAsia="Times New Roman" w:cs="Calibri"/>
                <w:color w:val="000000"/>
                <w:lang w:val="es-CR"/>
              </w:rPr>
              <w:t xml:space="preserve">una disminución de afiliados, lo que corresponde a una reducción en la masa salarial y en la recaudación; sin embargo, para este último trimestre se presenta un incremento </w:t>
            </w:r>
            <w:r w:rsidR="00B76242">
              <w:rPr>
                <w:rFonts w:eastAsia="Times New Roman" w:cs="Calibri"/>
                <w:color w:val="000000"/>
                <w:lang w:val="es-CR"/>
              </w:rPr>
              <w:t xml:space="preserve">de </w:t>
            </w:r>
            <w:r w:rsidRPr="000863D0">
              <w:rPr>
                <w:rFonts w:eastAsia="Times New Roman" w:cs="Calibri"/>
                <w:color w:val="000000"/>
                <w:lang w:val="es-CR"/>
              </w:rPr>
              <w:t>afiliados con respecto al trimestre anterior.</w:t>
            </w:r>
          </w:p>
        </w:tc>
      </w:tr>
      <w:tr w:rsidR="0089548D" w:rsidRPr="003C30A0" w14:paraId="564CE4F6" w14:textId="77777777" w:rsidTr="004B499C">
        <w:trPr>
          <w:trHeight w:val="640"/>
          <w:jc w:val="center"/>
        </w:trPr>
        <w:tc>
          <w:tcPr>
            <w:cnfStyle w:val="001000000000" w:firstRow="0" w:lastRow="0" w:firstColumn="1" w:lastColumn="0" w:oddVBand="0" w:evenVBand="0" w:oddHBand="0" w:evenHBand="0" w:firstRowFirstColumn="0" w:firstRowLastColumn="0" w:lastRowFirstColumn="0" w:lastRowLastColumn="0"/>
            <w:tcW w:w="975" w:type="dxa"/>
          </w:tcPr>
          <w:p w14:paraId="09DE85A7" w14:textId="02C34151" w:rsidR="0089548D" w:rsidRPr="003C30A0" w:rsidRDefault="00841E24" w:rsidP="004B499C">
            <w:pPr>
              <w:rPr>
                <w:rFonts w:eastAsia="Times New Roman" w:cs="Calibri"/>
                <w:color w:val="000000"/>
                <w:lang w:val="es-CR"/>
              </w:rPr>
            </w:pPr>
            <w:r>
              <w:rPr>
                <w:rFonts w:eastAsia="Times New Roman" w:cs="Calibri"/>
                <w:color w:val="000000"/>
                <w:lang w:val="es-CR"/>
              </w:rPr>
              <w:t>FVENLOT</w:t>
            </w:r>
          </w:p>
        </w:tc>
        <w:tc>
          <w:tcPr>
            <w:tcW w:w="11636" w:type="dxa"/>
          </w:tcPr>
          <w:p w14:paraId="0E619A12" w14:textId="4503F9B9" w:rsidR="004E2577" w:rsidRDefault="00841E24" w:rsidP="00202535">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841E24">
              <w:rPr>
                <w:rFonts w:eastAsia="Times New Roman" w:cs="Calibri"/>
                <w:color w:val="000000"/>
                <w:lang w:val="es-CR"/>
              </w:rPr>
              <w:t>La pandemia sigue provocando una disminución en la venta de lotería, lo cual impacta los aportes del Fondo y los ingresos que percibe FOMUVEL por la administración</w:t>
            </w:r>
            <w:r w:rsidR="00BE4F0B">
              <w:rPr>
                <w:rFonts w:eastAsia="Times New Roman" w:cs="Calibri"/>
                <w:color w:val="000000"/>
                <w:lang w:val="es-CR"/>
              </w:rPr>
              <w:t>.</w:t>
            </w:r>
            <w:r w:rsidRPr="00841E24">
              <w:rPr>
                <w:rFonts w:eastAsia="Times New Roman" w:cs="Calibri"/>
                <w:color w:val="000000"/>
                <w:lang w:val="es-CR"/>
              </w:rPr>
              <w:t xml:space="preserve"> </w:t>
            </w:r>
          </w:p>
          <w:p w14:paraId="38BA188F" w14:textId="6994D94F" w:rsidR="0089548D" w:rsidRPr="003C30A0" w:rsidRDefault="00841E24" w:rsidP="00202535">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841E24">
              <w:rPr>
                <w:rFonts w:eastAsia="Times New Roman" w:cs="Calibri"/>
                <w:color w:val="000000"/>
                <w:lang w:val="es-CR"/>
              </w:rPr>
              <w:t>FOMUVEL está a la espera de que la JPS le autorice la posibilidad del uso de la comercialización de lotería electrónica a través de una plataforma digital.</w:t>
            </w:r>
          </w:p>
        </w:tc>
      </w:tr>
    </w:tbl>
    <w:p w14:paraId="34C78A82" w14:textId="37398645" w:rsidR="0089548D" w:rsidRDefault="0089548D" w:rsidP="004B499C">
      <w:pPr>
        <w:pStyle w:val="Descripcin"/>
        <w:spacing w:after="0"/>
        <w:ind w:left="708" w:firstLine="708"/>
      </w:pPr>
      <w:r>
        <w:t>Fuente: Elaboración propia</w:t>
      </w:r>
    </w:p>
    <w:p w14:paraId="706B5139" w14:textId="77777777" w:rsidR="007F0A25" w:rsidRDefault="007F0A25" w:rsidP="0089548D">
      <w:pPr>
        <w:pStyle w:val="Descripcin"/>
        <w:spacing w:after="0"/>
        <w:jc w:val="center"/>
      </w:pPr>
    </w:p>
    <w:p w14:paraId="66196BAD" w14:textId="6EB57C29" w:rsidR="0089548D" w:rsidRDefault="0089548D" w:rsidP="0089548D">
      <w:pPr>
        <w:pStyle w:val="Descripcin"/>
        <w:spacing w:after="0"/>
        <w:jc w:val="center"/>
      </w:pPr>
      <w:r>
        <w:t xml:space="preserve">Tabla </w:t>
      </w:r>
      <w:r>
        <w:fldChar w:fldCharType="begin"/>
      </w:r>
      <w:r>
        <w:instrText xml:space="preserve"> SEQ Tabla \* ARABIC </w:instrText>
      </w:r>
      <w:r>
        <w:fldChar w:fldCharType="separate"/>
      </w:r>
      <w:r w:rsidR="00DB681D">
        <w:rPr>
          <w:noProof/>
        </w:rPr>
        <w:t>7</w:t>
      </w:r>
      <w:r>
        <w:fldChar w:fldCharType="end"/>
      </w:r>
      <w:r>
        <w:t>: Medidas tomadas por los</w:t>
      </w:r>
      <w:r w:rsidRPr="00AD5AED">
        <w:t xml:space="preserve"> fondos</w:t>
      </w:r>
      <w:r>
        <w:t xml:space="preserve"> por el COVID-19</w:t>
      </w:r>
    </w:p>
    <w:p w14:paraId="7844AC81" w14:textId="77777777" w:rsidR="0089548D" w:rsidRDefault="0089548D" w:rsidP="0089548D">
      <w:pPr>
        <w:pStyle w:val="Descripcin"/>
        <w:spacing w:after="0"/>
        <w:jc w:val="center"/>
      </w:pPr>
      <w:r>
        <w:t>Regímenes de Capitalización Colectiva</w:t>
      </w:r>
    </w:p>
    <w:p w14:paraId="7D9AB6D6" w14:textId="6A8C46C8" w:rsidR="0089548D" w:rsidRDefault="0089548D" w:rsidP="0089548D">
      <w:pPr>
        <w:pStyle w:val="Descripcin"/>
        <w:spacing w:after="0"/>
        <w:jc w:val="center"/>
      </w:pPr>
      <w:r>
        <w:t xml:space="preserve">Durante el </w:t>
      </w:r>
      <w:r w:rsidR="00BF62A0">
        <w:t>cuarto</w:t>
      </w:r>
      <w:r>
        <w:t xml:space="preserve"> trimestre del 2020</w:t>
      </w:r>
    </w:p>
    <w:tbl>
      <w:tblPr>
        <w:tblStyle w:val="Tablaconcuadrcula4-nfasis1"/>
        <w:tblW w:w="12611" w:type="dxa"/>
        <w:jc w:val="center"/>
        <w:tblLook w:val="04A0" w:firstRow="1" w:lastRow="0" w:firstColumn="1" w:lastColumn="0" w:noHBand="0" w:noVBand="1"/>
      </w:tblPr>
      <w:tblGrid>
        <w:gridCol w:w="847"/>
        <w:gridCol w:w="11764"/>
      </w:tblGrid>
      <w:tr w:rsidR="0089548D" w:rsidRPr="00CF25F2" w14:paraId="467F3BBA" w14:textId="77777777" w:rsidTr="004B49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7" w:type="dxa"/>
            <w:noWrap/>
            <w:hideMark/>
          </w:tcPr>
          <w:p w14:paraId="33653830" w14:textId="77777777" w:rsidR="0089548D" w:rsidRPr="005E1425" w:rsidRDefault="0089548D" w:rsidP="004B499C">
            <w:pPr>
              <w:rPr>
                <w:rFonts w:asciiTheme="minorHAnsi" w:eastAsia="Times New Roman" w:hAnsiTheme="minorHAnsi" w:cstheme="minorHAnsi"/>
                <w:lang w:val="es-CR"/>
              </w:rPr>
            </w:pPr>
            <w:r w:rsidRPr="005E1425">
              <w:rPr>
                <w:rFonts w:asciiTheme="minorHAnsi" w:eastAsia="Times New Roman" w:hAnsiTheme="minorHAnsi" w:cstheme="minorHAnsi"/>
                <w:lang w:val="es-CR"/>
              </w:rPr>
              <w:t>Fondo</w:t>
            </w:r>
          </w:p>
        </w:tc>
        <w:tc>
          <w:tcPr>
            <w:tcW w:w="11764" w:type="dxa"/>
            <w:noWrap/>
            <w:hideMark/>
          </w:tcPr>
          <w:p w14:paraId="4D295A6F" w14:textId="77777777" w:rsidR="0089548D" w:rsidRPr="005E1425" w:rsidRDefault="0089548D" w:rsidP="004B499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s-CR"/>
              </w:rPr>
            </w:pPr>
            <w:r w:rsidRPr="00CF25F2">
              <w:rPr>
                <w:rFonts w:asciiTheme="minorHAnsi" w:eastAsia="Times New Roman" w:hAnsiTheme="minorHAnsi" w:cstheme="minorHAnsi"/>
                <w:lang w:val="es-CR"/>
              </w:rPr>
              <w:t>Medidas tomadas</w:t>
            </w:r>
          </w:p>
        </w:tc>
      </w:tr>
      <w:tr w:rsidR="00B33057" w:rsidRPr="00CF25F2" w14:paraId="6BBF36ED" w14:textId="77777777" w:rsidTr="004B499C">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847" w:type="dxa"/>
          </w:tcPr>
          <w:p w14:paraId="26FEF84C" w14:textId="0275B6C2" w:rsidR="00B33057" w:rsidRPr="005E1425" w:rsidRDefault="00B33057" w:rsidP="004B499C">
            <w:pPr>
              <w:rPr>
                <w:rFonts w:eastAsia="Times New Roman" w:cstheme="minorHAnsi"/>
                <w:color w:val="000000"/>
                <w:lang w:val="es-CR"/>
              </w:rPr>
            </w:pPr>
            <w:r>
              <w:rPr>
                <w:rFonts w:eastAsia="Times New Roman" w:cstheme="minorHAnsi"/>
                <w:color w:val="000000"/>
                <w:lang w:val="es-CR"/>
              </w:rPr>
              <w:t>RIVM</w:t>
            </w:r>
          </w:p>
        </w:tc>
        <w:tc>
          <w:tcPr>
            <w:tcW w:w="11764" w:type="dxa"/>
            <w:noWrap/>
          </w:tcPr>
          <w:p w14:paraId="75321000" w14:textId="66654F5D" w:rsidR="008017BC" w:rsidRPr="008017BC" w:rsidRDefault="008017BC" w:rsidP="008017B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8017BC">
              <w:rPr>
                <w:rFonts w:eastAsia="Times New Roman" w:cs="Calibri"/>
                <w:color w:val="000000"/>
                <w:lang w:val="es-CR"/>
              </w:rPr>
              <w:t>Cartera de crédito: la postergación de pagos de cuotas se extendió hasta diciembre 2020</w:t>
            </w:r>
            <w:r w:rsidR="005B7373">
              <w:rPr>
                <w:rFonts w:eastAsia="Times New Roman" w:cs="Calibri"/>
                <w:color w:val="000000"/>
                <w:lang w:val="es-CR"/>
              </w:rPr>
              <w:t>.</w:t>
            </w:r>
          </w:p>
          <w:p w14:paraId="1C9CD3CD" w14:textId="12EC7143" w:rsidR="008017BC" w:rsidRPr="008017BC" w:rsidRDefault="008017BC" w:rsidP="008017B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8017BC">
              <w:rPr>
                <w:rFonts w:eastAsia="Times New Roman" w:cs="Calibri"/>
                <w:color w:val="000000"/>
                <w:lang w:val="es-CR"/>
              </w:rPr>
              <w:t>Aportes de patronos y trabajadores independientes: el impacto aproximado en la Base Mínima Contributiva (BMC) que se redujo por un periodo de 6 meses</w:t>
            </w:r>
            <w:r w:rsidR="005B7373">
              <w:rPr>
                <w:rFonts w:eastAsia="Times New Roman" w:cs="Calibri"/>
                <w:color w:val="000000"/>
                <w:lang w:val="es-CR"/>
              </w:rPr>
              <w:t>.</w:t>
            </w:r>
            <w:r w:rsidRPr="008017BC">
              <w:rPr>
                <w:rFonts w:eastAsia="Times New Roman" w:cs="Calibri"/>
                <w:color w:val="000000"/>
                <w:lang w:val="es-CR"/>
              </w:rPr>
              <w:t xml:space="preserve"> </w:t>
            </w:r>
          </w:p>
          <w:p w14:paraId="1E883E00" w14:textId="1176B497" w:rsidR="00B33057" w:rsidRPr="008017BC" w:rsidRDefault="008017BC" w:rsidP="007F0A25">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8017BC">
              <w:rPr>
                <w:rFonts w:eastAsia="Times New Roman" w:cs="Calibri"/>
                <w:color w:val="000000"/>
                <w:lang w:val="es-CR"/>
              </w:rPr>
              <w:t>Flujo de caja proyectado de octubre a diciembre (escenario base):</w:t>
            </w:r>
            <w:r w:rsidR="007F0A25">
              <w:rPr>
                <w:rFonts w:eastAsia="Times New Roman" w:cs="Calibri"/>
                <w:color w:val="000000"/>
                <w:lang w:val="es-CR"/>
              </w:rPr>
              <w:t xml:space="preserve"> </w:t>
            </w:r>
            <w:r w:rsidRPr="00AF4240">
              <w:rPr>
                <w:rFonts w:eastAsia="Times New Roman" w:cs="Calibri"/>
                <w:color w:val="000000"/>
                <w:lang w:val="es-CR"/>
              </w:rPr>
              <w:t>Los gastos se mantienen similar a lo proyectado</w:t>
            </w:r>
            <w:r w:rsidR="00D74A3E" w:rsidRPr="00AF4240">
              <w:rPr>
                <w:rFonts w:eastAsia="Times New Roman" w:cs="Calibri"/>
                <w:color w:val="000000"/>
                <w:lang w:val="es-CR"/>
              </w:rPr>
              <w:t>.</w:t>
            </w:r>
            <w:r w:rsidR="00AF4240" w:rsidRPr="00AF4240">
              <w:rPr>
                <w:rFonts w:eastAsia="Times New Roman" w:cs="Calibri"/>
                <w:color w:val="000000"/>
                <w:lang w:val="es-CR"/>
              </w:rPr>
              <w:t xml:space="preserve"> </w:t>
            </w:r>
            <w:r w:rsidRPr="00AF4240">
              <w:rPr>
                <w:rFonts w:eastAsia="Times New Roman" w:cs="Calibri"/>
                <w:color w:val="000000"/>
                <w:lang w:val="es-CR"/>
              </w:rPr>
              <w:t xml:space="preserve">El ingreso </w:t>
            </w:r>
            <w:r w:rsidR="00B50394" w:rsidRPr="00AF4240">
              <w:rPr>
                <w:rFonts w:eastAsia="Times New Roman" w:cs="Calibri"/>
                <w:color w:val="000000"/>
                <w:lang w:val="es-CR"/>
              </w:rPr>
              <w:t xml:space="preserve">se encuentra </w:t>
            </w:r>
            <w:r w:rsidRPr="00AF4240">
              <w:rPr>
                <w:rFonts w:eastAsia="Times New Roman" w:cs="Calibri"/>
                <w:color w:val="000000"/>
                <w:lang w:val="es-CR"/>
              </w:rPr>
              <w:t>por encima del proyectado</w:t>
            </w:r>
            <w:r w:rsidR="00D74A3E" w:rsidRPr="00AF4240">
              <w:rPr>
                <w:rFonts w:eastAsia="Times New Roman" w:cs="Calibri"/>
                <w:color w:val="000000"/>
                <w:lang w:val="es-CR"/>
              </w:rPr>
              <w:t>.</w:t>
            </w:r>
            <w:r w:rsidR="007F0A25">
              <w:rPr>
                <w:rFonts w:eastAsia="Times New Roman" w:cs="Calibri"/>
                <w:color w:val="000000"/>
                <w:lang w:val="es-CR"/>
              </w:rPr>
              <w:t xml:space="preserve"> </w:t>
            </w:r>
            <w:bookmarkStart w:id="20" w:name="_Hlk62586116"/>
            <w:r w:rsidRPr="008017BC">
              <w:rPr>
                <w:rFonts w:eastAsia="Times New Roman" w:cs="Calibri"/>
                <w:color w:val="000000"/>
                <w:lang w:val="es-CR"/>
              </w:rPr>
              <w:t>Cuota estatal: A diciembre 2020 el ingreso por cuotas estatales ha disminuido con respecto a marzo 2020</w:t>
            </w:r>
            <w:r w:rsidR="00DD71AD">
              <w:rPr>
                <w:rFonts w:eastAsia="Times New Roman" w:cs="Calibri"/>
                <w:color w:val="000000"/>
                <w:lang w:val="es-CR"/>
              </w:rPr>
              <w:t>.</w:t>
            </w:r>
            <w:r w:rsidR="00C21ADD">
              <w:rPr>
                <w:rFonts w:eastAsia="Times New Roman" w:cs="Calibri"/>
                <w:color w:val="000000"/>
                <w:lang w:val="es-CR"/>
              </w:rPr>
              <w:t xml:space="preserve"> </w:t>
            </w:r>
            <w:r w:rsidR="00A72B42">
              <w:rPr>
                <w:rFonts w:eastAsia="Times New Roman" w:cs="Calibri"/>
                <w:color w:val="000000"/>
                <w:lang w:val="es-CR"/>
              </w:rPr>
              <w:t>Esto</w:t>
            </w:r>
            <w:r w:rsidR="00C33C02">
              <w:rPr>
                <w:rFonts w:eastAsia="Times New Roman" w:cs="Calibri"/>
                <w:color w:val="000000"/>
                <w:lang w:val="es-CR"/>
              </w:rPr>
              <w:t xml:space="preserve"> no </w:t>
            </w:r>
            <w:r w:rsidR="00C21ADD" w:rsidRPr="00C21ADD">
              <w:rPr>
                <w:rFonts w:eastAsia="Times New Roman" w:cs="Calibri"/>
                <w:color w:val="000000"/>
                <w:lang w:val="es-CR"/>
              </w:rPr>
              <w:t>obedece a un riesgo de crédito del Gobierno, sino a problemas operativos internos en el proceso de facturación por parte de la administración del RIVM, la cual ha sido resuelta en el último mes del trimestre</w:t>
            </w:r>
            <w:r w:rsidR="00C21ADD">
              <w:rPr>
                <w:rFonts w:eastAsia="Times New Roman" w:cs="Calibri"/>
                <w:color w:val="000000"/>
                <w:lang w:val="es-CR"/>
              </w:rPr>
              <w:t>.</w:t>
            </w:r>
            <w:r w:rsidR="007F0A25">
              <w:rPr>
                <w:rFonts w:eastAsia="Times New Roman" w:cs="Calibri"/>
                <w:color w:val="000000"/>
                <w:lang w:val="es-CR"/>
              </w:rPr>
              <w:t xml:space="preserve"> </w:t>
            </w:r>
            <w:bookmarkEnd w:id="20"/>
            <w:r w:rsidRPr="008017BC">
              <w:rPr>
                <w:rFonts w:eastAsia="Times New Roman" w:cs="Calibri"/>
                <w:color w:val="000000"/>
                <w:lang w:val="es-CR"/>
              </w:rPr>
              <w:t xml:space="preserve">La disminución de las cuotas de los trabajadores ha sido de un 13,1%.         </w:t>
            </w:r>
          </w:p>
        </w:tc>
      </w:tr>
      <w:tr w:rsidR="0089548D" w:rsidRPr="00CF25F2" w14:paraId="6C4CA71E" w14:textId="77777777" w:rsidTr="004B499C">
        <w:trPr>
          <w:trHeight w:val="73"/>
          <w:jc w:val="center"/>
        </w:trPr>
        <w:tc>
          <w:tcPr>
            <w:cnfStyle w:val="001000000000" w:firstRow="0" w:lastRow="0" w:firstColumn="1" w:lastColumn="0" w:oddVBand="0" w:evenVBand="0" w:oddHBand="0" w:evenHBand="0" w:firstRowFirstColumn="0" w:firstRowLastColumn="0" w:lastRowFirstColumn="0" w:lastRowLastColumn="0"/>
            <w:tcW w:w="847" w:type="dxa"/>
          </w:tcPr>
          <w:p w14:paraId="1A231B86" w14:textId="1507A21C" w:rsidR="0089548D" w:rsidRPr="005E1425" w:rsidRDefault="005B345D" w:rsidP="004B499C">
            <w:pPr>
              <w:rPr>
                <w:rFonts w:asciiTheme="minorHAnsi" w:eastAsia="Times New Roman" w:hAnsiTheme="minorHAnsi" w:cstheme="minorHAnsi"/>
                <w:color w:val="000000"/>
                <w:lang w:val="es-CR"/>
              </w:rPr>
            </w:pPr>
            <w:r>
              <w:rPr>
                <w:rFonts w:asciiTheme="minorHAnsi" w:eastAsia="Times New Roman" w:hAnsiTheme="minorHAnsi" w:cstheme="minorHAnsi"/>
                <w:color w:val="000000"/>
                <w:lang w:val="es-CR"/>
              </w:rPr>
              <w:t>RNC</w:t>
            </w:r>
          </w:p>
        </w:tc>
        <w:tc>
          <w:tcPr>
            <w:tcW w:w="11764" w:type="dxa"/>
            <w:noWrap/>
          </w:tcPr>
          <w:p w14:paraId="71D2C454" w14:textId="7FEF9074" w:rsidR="005B345D" w:rsidRPr="005B345D" w:rsidRDefault="00B0522B" w:rsidP="005B345D">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Se proyecta una reducción del </w:t>
            </w:r>
            <w:r w:rsidR="005B345D" w:rsidRPr="005B345D">
              <w:rPr>
                <w:rFonts w:eastAsia="Times New Roman" w:cs="Calibri"/>
                <w:color w:val="000000"/>
                <w:lang w:val="es-CR"/>
              </w:rPr>
              <w:t xml:space="preserve">presupuesto </w:t>
            </w:r>
            <w:r>
              <w:rPr>
                <w:rFonts w:eastAsia="Times New Roman" w:cs="Calibri"/>
                <w:color w:val="000000"/>
                <w:lang w:val="es-CR"/>
              </w:rPr>
              <w:t>para el 2021 del</w:t>
            </w:r>
            <w:r w:rsidR="005B345D" w:rsidRPr="005B345D">
              <w:rPr>
                <w:rFonts w:eastAsia="Times New Roman" w:cs="Calibri"/>
                <w:color w:val="000000"/>
                <w:lang w:val="es-CR"/>
              </w:rPr>
              <w:t xml:space="preserve"> 9</w:t>
            </w:r>
            <w:r w:rsidR="00790BEF">
              <w:rPr>
                <w:rFonts w:eastAsia="Times New Roman" w:cs="Calibri"/>
                <w:color w:val="000000"/>
                <w:lang w:val="es-CR"/>
              </w:rPr>
              <w:t>,3</w:t>
            </w:r>
            <w:r w:rsidR="005B345D" w:rsidRPr="005B345D">
              <w:rPr>
                <w:rFonts w:eastAsia="Times New Roman" w:cs="Calibri"/>
                <w:color w:val="000000"/>
                <w:lang w:val="es-CR"/>
              </w:rPr>
              <w:t>%</w:t>
            </w:r>
            <w:r w:rsidR="00790BEF">
              <w:rPr>
                <w:rFonts w:eastAsia="Times New Roman" w:cs="Calibri"/>
                <w:color w:val="000000"/>
                <w:lang w:val="es-CR"/>
              </w:rPr>
              <w:t xml:space="preserve">. Por </w:t>
            </w:r>
            <w:r w:rsidR="00BB2E45">
              <w:rPr>
                <w:rFonts w:eastAsia="Times New Roman" w:cs="Calibri"/>
                <w:color w:val="000000"/>
                <w:lang w:val="es-CR"/>
              </w:rPr>
              <w:t>lo tanto,</w:t>
            </w:r>
            <w:r w:rsidR="005B345D" w:rsidRPr="005B345D">
              <w:rPr>
                <w:rFonts w:eastAsia="Times New Roman" w:cs="Calibri"/>
                <w:color w:val="000000"/>
                <w:lang w:val="es-CR"/>
              </w:rPr>
              <w:t xml:space="preserve"> </w:t>
            </w:r>
            <w:r w:rsidR="000E0BCE">
              <w:rPr>
                <w:rFonts w:eastAsia="Times New Roman" w:cs="Calibri"/>
                <w:color w:val="000000"/>
                <w:lang w:val="es-CR"/>
              </w:rPr>
              <w:t>no será posible</w:t>
            </w:r>
            <w:r w:rsidR="00BB2E45">
              <w:rPr>
                <w:rFonts w:eastAsia="Times New Roman" w:cs="Calibri"/>
                <w:color w:val="000000"/>
                <w:lang w:val="es-CR"/>
              </w:rPr>
              <w:t xml:space="preserve"> </w:t>
            </w:r>
            <w:r w:rsidR="00991097">
              <w:rPr>
                <w:rFonts w:eastAsia="Times New Roman" w:cs="Calibri"/>
                <w:color w:val="000000"/>
                <w:lang w:val="es-CR"/>
              </w:rPr>
              <w:t>cubrir</w:t>
            </w:r>
            <w:r w:rsidR="005B345D" w:rsidRPr="005B345D">
              <w:rPr>
                <w:rFonts w:eastAsia="Times New Roman" w:cs="Calibri"/>
                <w:color w:val="000000"/>
                <w:lang w:val="es-CR"/>
              </w:rPr>
              <w:t xml:space="preserve"> el financiamiento requerido de acuerdo con los egresos del 2020, </w:t>
            </w:r>
            <w:r w:rsidR="00453407">
              <w:rPr>
                <w:rFonts w:eastAsia="Times New Roman" w:cs="Calibri"/>
                <w:color w:val="000000"/>
                <w:lang w:val="es-CR"/>
              </w:rPr>
              <w:t xml:space="preserve">y tampoco </w:t>
            </w:r>
            <w:r w:rsidR="005B345D" w:rsidRPr="005B345D">
              <w:rPr>
                <w:rFonts w:eastAsia="Times New Roman" w:cs="Calibri"/>
                <w:color w:val="000000"/>
                <w:lang w:val="es-CR"/>
              </w:rPr>
              <w:t xml:space="preserve">cumplir con la meta de otorgar 5000 pensiones nuevas. </w:t>
            </w:r>
          </w:p>
          <w:p w14:paraId="4FE3AC0F" w14:textId="3464D820" w:rsidR="0089548D" w:rsidRPr="00F15AB6" w:rsidRDefault="005B345D" w:rsidP="004B499C">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5B345D">
              <w:rPr>
                <w:rFonts w:eastAsia="Times New Roman" w:cs="Calibri"/>
                <w:color w:val="000000"/>
                <w:lang w:val="es-CR"/>
              </w:rPr>
              <w:t xml:space="preserve">Actualmente el RNC otorga 128 mil pensiones por un monto equivalente a </w:t>
            </w:r>
            <w:r w:rsidR="00661128">
              <w:rPr>
                <w:rFonts w:eastAsia="Times New Roman" w:cs="Calibri"/>
                <w:color w:val="000000"/>
                <w:lang w:val="es-CR"/>
              </w:rPr>
              <w:t>₡</w:t>
            </w:r>
            <w:r w:rsidRPr="005B345D">
              <w:rPr>
                <w:rFonts w:eastAsia="Times New Roman" w:cs="Calibri"/>
                <w:color w:val="000000"/>
                <w:lang w:val="es-CR"/>
              </w:rPr>
              <w:t>11</w:t>
            </w:r>
            <w:r w:rsidR="00FF0946">
              <w:rPr>
                <w:rFonts w:eastAsia="Times New Roman" w:cs="Calibri"/>
                <w:color w:val="000000"/>
                <w:lang w:val="es-CR"/>
              </w:rPr>
              <w:t xml:space="preserve"> </w:t>
            </w:r>
            <w:r w:rsidRPr="005B345D">
              <w:rPr>
                <w:rFonts w:eastAsia="Times New Roman" w:cs="Calibri"/>
                <w:color w:val="000000"/>
                <w:lang w:val="es-CR"/>
              </w:rPr>
              <w:t>500 millones mensuales.</w:t>
            </w:r>
          </w:p>
        </w:tc>
      </w:tr>
      <w:tr w:rsidR="00F15AB6" w:rsidRPr="00CF25F2" w14:paraId="7587DE1D" w14:textId="77777777" w:rsidTr="004B499C">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847" w:type="dxa"/>
          </w:tcPr>
          <w:p w14:paraId="6F3A59D5" w14:textId="63E056C3" w:rsidR="00F15AB6" w:rsidRDefault="00BF2439" w:rsidP="00F15AB6">
            <w:pPr>
              <w:ind w:left="708" w:hanging="708"/>
              <w:rPr>
                <w:rFonts w:eastAsia="Times New Roman" w:cstheme="minorHAnsi"/>
                <w:color w:val="000000"/>
                <w:lang w:val="es-CR"/>
              </w:rPr>
            </w:pPr>
            <w:r>
              <w:rPr>
                <w:rFonts w:eastAsia="Times New Roman" w:cstheme="minorHAnsi"/>
                <w:color w:val="000000"/>
                <w:lang w:val="es-CR"/>
              </w:rPr>
              <w:t>FRE</w:t>
            </w:r>
          </w:p>
        </w:tc>
        <w:tc>
          <w:tcPr>
            <w:tcW w:w="11764" w:type="dxa"/>
            <w:noWrap/>
          </w:tcPr>
          <w:p w14:paraId="2C954514" w14:textId="2A83C518" w:rsidR="00D42884" w:rsidRPr="005B345D" w:rsidRDefault="008619FA" w:rsidP="005B345D">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Mantiene</w:t>
            </w:r>
            <w:r w:rsidR="00F15AB6" w:rsidRPr="00F15AB6">
              <w:rPr>
                <w:rFonts w:eastAsia="Times New Roman" w:cs="Calibri"/>
                <w:color w:val="000000"/>
                <w:lang w:val="es-CR"/>
              </w:rPr>
              <w:t xml:space="preserve"> un saldo en inversiones a la </w:t>
            </w:r>
            <w:r w:rsidR="00C36377">
              <w:rPr>
                <w:rFonts w:eastAsia="Times New Roman" w:cs="Calibri"/>
                <w:color w:val="000000"/>
                <w:lang w:val="es-CR"/>
              </w:rPr>
              <w:t>vista</w:t>
            </w:r>
            <w:r w:rsidR="00F15AB6" w:rsidRPr="00F15AB6">
              <w:rPr>
                <w:rFonts w:eastAsia="Times New Roman" w:cs="Calibri"/>
                <w:color w:val="000000"/>
                <w:lang w:val="es-CR"/>
              </w:rPr>
              <w:t xml:space="preserve"> para cubrir las obligaciones del Fondo.</w:t>
            </w:r>
          </w:p>
        </w:tc>
      </w:tr>
    </w:tbl>
    <w:p w14:paraId="4940C031" w14:textId="2B043090" w:rsidR="00855EA8" w:rsidRDefault="0089548D" w:rsidP="00A15D4A">
      <w:pPr>
        <w:pStyle w:val="Descripcin"/>
        <w:spacing w:after="0"/>
      </w:pPr>
      <w:r>
        <w:t>Fuente: Elaboración propia</w:t>
      </w:r>
    </w:p>
    <w:p w14:paraId="5AC7C952" w14:textId="77777777" w:rsidR="004B499C" w:rsidRPr="004B499C" w:rsidRDefault="004B499C" w:rsidP="004B499C">
      <w:pPr>
        <w:spacing w:after="0"/>
      </w:pPr>
    </w:p>
    <w:p w14:paraId="74A0DE91" w14:textId="2FBBC8E6" w:rsidR="006929F8" w:rsidRDefault="004A7D37" w:rsidP="00096F4F">
      <w:pPr>
        <w:pStyle w:val="Ttulo1"/>
        <w:numPr>
          <w:ilvl w:val="0"/>
          <w:numId w:val="1"/>
        </w:numPr>
      </w:pPr>
      <w:bookmarkStart w:id="21" w:name="_Toc64457436"/>
      <w:r>
        <w:t xml:space="preserve">Aspectos </w:t>
      </w:r>
      <w:r w:rsidR="00D50BC8">
        <w:t>j</w:t>
      </w:r>
      <w:r>
        <w:t>urídicos</w:t>
      </w:r>
      <w:r w:rsidR="00D50BC8">
        <w:t xml:space="preserve"> relevantes</w:t>
      </w:r>
      <w:bookmarkEnd w:id="21"/>
    </w:p>
    <w:p w14:paraId="5216EB28" w14:textId="77777777" w:rsidR="00A028B4" w:rsidRPr="00A028B4" w:rsidRDefault="00A028B4" w:rsidP="00234791">
      <w:pPr>
        <w:spacing w:after="0" w:line="240" w:lineRule="auto"/>
      </w:pPr>
    </w:p>
    <w:p w14:paraId="51980626" w14:textId="1A01AC48" w:rsidR="00234791" w:rsidRDefault="00234791" w:rsidP="00234791">
      <w:pPr>
        <w:pStyle w:val="Ttulo2"/>
        <w:numPr>
          <w:ilvl w:val="1"/>
          <w:numId w:val="1"/>
        </w:numPr>
      </w:pPr>
      <w:bookmarkStart w:id="22" w:name="_Toc64457437"/>
      <w:r>
        <w:t>Consultas y denuncias</w:t>
      </w:r>
      <w:bookmarkEnd w:id="22"/>
    </w:p>
    <w:p w14:paraId="5A875A0F" w14:textId="77777777" w:rsidR="003E0662" w:rsidRPr="003E0662" w:rsidRDefault="003E0662" w:rsidP="003E0662">
      <w:pPr>
        <w:spacing w:after="0" w:line="240" w:lineRule="auto"/>
      </w:pPr>
    </w:p>
    <w:p w14:paraId="1596D52F" w14:textId="44FFD791" w:rsidR="00700711" w:rsidRDefault="00F96FAA" w:rsidP="00F96FAA">
      <w:pPr>
        <w:pStyle w:val="Descripcin"/>
        <w:spacing w:after="0"/>
        <w:jc w:val="center"/>
      </w:pPr>
      <w:r>
        <w:t xml:space="preserve">Tabla </w:t>
      </w:r>
      <w:r>
        <w:fldChar w:fldCharType="begin"/>
      </w:r>
      <w:r>
        <w:instrText xml:space="preserve"> SEQ Tabla \* ARABIC </w:instrText>
      </w:r>
      <w:r>
        <w:fldChar w:fldCharType="separate"/>
      </w:r>
      <w:r w:rsidR="00DB681D">
        <w:rPr>
          <w:noProof/>
        </w:rPr>
        <w:t>8</w:t>
      </w:r>
      <w:r>
        <w:fldChar w:fldCharType="end"/>
      </w:r>
      <w:r>
        <w:t>: Consultas y Denuncias</w:t>
      </w:r>
      <w:r w:rsidR="009801A9">
        <w:rPr>
          <w:rStyle w:val="Refdenotaalpie"/>
        </w:rPr>
        <w:footnoteReference w:id="2"/>
      </w:r>
    </w:p>
    <w:p w14:paraId="567D167C" w14:textId="1B574F86" w:rsidR="00F96FAA" w:rsidRDefault="00F96FAA" w:rsidP="00F96FAA">
      <w:pPr>
        <w:pStyle w:val="Descripcin"/>
        <w:spacing w:after="0"/>
        <w:jc w:val="center"/>
      </w:pPr>
      <w:r>
        <w:t xml:space="preserve">Atendidas durante el </w:t>
      </w:r>
      <w:r w:rsidR="00AE38A0">
        <w:t>cuarto</w:t>
      </w:r>
      <w:r>
        <w:t xml:space="preserve"> trimestre del 2020</w:t>
      </w:r>
    </w:p>
    <w:p w14:paraId="17D4658C" w14:textId="47CB5E53" w:rsidR="00242194" w:rsidRDefault="00242194" w:rsidP="00242194">
      <w:pPr>
        <w:pStyle w:val="Descripcin"/>
        <w:spacing w:after="0"/>
        <w:jc w:val="center"/>
      </w:pPr>
      <w:r>
        <w:t>por la división jurídica de SUPEN</w:t>
      </w:r>
    </w:p>
    <w:tbl>
      <w:tblPr>
        <w:tblStyle w:val="Tablaconcuadrcula4-nfasis1"/>
        <w:tblW w:w="10343" w:type="dxa"/>
        <w:jc w:val="center"/>
        <w:tblLook w:val="04A0" w:firstRow="1" w:lastRow="0" w:firstColumn="1" w:lastColumn="0" w:noHBand="0" w:noVBand="1"/>
      </w:tblPr>
      <w:tblGrid>
        <w:gridCol w:w="1751"/>
        <w:gridCol w:w="1079"/>
        <w:gridCol w:w="7513"/>
      </w:tblGrid>
      <w:tr w:rsidR="00B344EB" w:rsidRPr="001F6709" w14:paraId="59DE7609" w14:textId="77777777" w:rsidTr="00C659DC">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751" w:type="dxa"/>
          </w:tcPr>
          <w:p w14:paraId="6FDE359B" w14:textId="77777777" w:rsidR="00B344EB" w:rsidRPr="00326F80" w:rsidRDefault="00B344EB" w:rsidP="00326F80">
            <w:pPr>
              <w:rPr>
                <w:rFonts w:asciiTheme="minorHAnsi" w:hAnsiTheme="minorHAnsi" w:cstheme="minorHAnsi"/>
                <w:lang w:val="es-CR"/>
              </w:rPr>
            </w:pPr>
            <w:r w:rsidRPr="00326F80">
              <w:rPr>
                <w:rFonts w:asciiTheme="minorHAnsi" w:hAnsiTheme="minorHAnsi" w:cstheme="minorHAnsi"/>
                <w:lang w:val="es-CR"/>
              </w:rPr>
              <w:t>Trámite</w:t>
            </w:r>
          </w:p>
        </w:tc>
        <w:tc>
          <w:tcPr>
            <w:tcW w:w="1079" w:type="dxa"/>
          </w:tcPr>
          <w:p w14:paraId="3ABB7B36" w14:textId="77777777" w:rsidR="00B344EB" w:rsidRPr="00326F80" w:rsidRDefault="00B344EB" w:rsidP="00326F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326F80">
              <w:rPr>
                <w:rFonts w:asciiTheme="minorHAnsi" w:hAnsiTheme="minorHAnsi" w:cstheme="minorHAnsi"/>
                <w:lang w:val="es-CR"/>
              </w:rPr>
              <w:t>Cantidad</w:t>
            </w:r>
          </w:p>
        </w:tc>
        <w:tc>
          <w:tcPr>
            <w:tcW w:w="7513" w:type="dxa"/>
          </w:tcPr>
          <w:p w14:paraId="4572A2DB" w14:textId="77777777" w:rsidR="00B344EB" w:rsidRPr="00326F80" w:rsidRDefault="00B344EB" w:rsidP="00326F8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326F80">
              <w:rPr>
                <w:rFonts w:asciiTheme="minorHAnsi" w:hAnsiTheme="minorHAnsi" w:cstheme="minorHAnsi"/>
                <w:lang w:val="es-CR"/>
              </w:rPr>
              <w:t>Temas</w:t>
            </w:r>
          </w:p>
        </w:tc>
      </w:tr>
      <w:tr w:rsidR="00B344EB" w:rsidRPr="001F6709" w14:paraId="279ECA54" w14:textId="77777777" w:rsidTr="00C659DC">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751" w:type="dxa"/>
          </w:tcPr>
          <w:p w14:paraId="4663263D" w14:textId="77777777" w:rsidR="00B344EB" w:rsidRPr="001F6709" w:rsidRDefault="00B344EB" w:rsidP="00533777">
            <w:pPr>
              <w:jc w:val="both"/>
              <w:rPr>
                <w:rFonts w:asciiTheme="minorHAnsi" w:hAnsiTheme="minorHAnsi" w:cstheme="minorHAnsi"/>
                <w:b w:val="0"/>
                <w:bCs w:val="0"/>
                <w:lang w:val="es-CR"/>
              </w:rPr>
            </w:pPr>
            <w:r w:rsidRPr="001F6709">
              <w:rPr>
                <w:rFonts w:asciiTheme="minorHAnsi" w:hAnsiTheme="minorHAnsi" w:cstheme="minorHAnsi"/>
                <w:b w:val="0"/>
                <w:bCs w:val="0"/>
                <w:lang w:val="es-CR"/>
              </w:rPr>
              <w:t>Consultas</w:t>
            </w:r>
          </w:p>
        </w:tc>
        <w:tc>
          <w:tcPr>
            <w:tcW w:w="1079" w:type="dxa"/>
          </w:tcPr>
          <w:p w14:paraId="64BECC5F" w14:textId="7E270280" w:rsidR="00B344EB" w:rsidRPr="001F6709" w:rsidRDefault="00B344EB" w:rsidP="001F670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1F6709">
              <w:rPr>
                <w:rFonts w:asciiTheme="minorHAnsi" w:hAnsiTheme="minorHAnsi" w:cstheme="minorHAnsi"/>
                <w:lang w:val="es-CR"/>
              </w:rPr>
              <w:t>5</w:t>
            </w:r>
            <w:r w:rsidR="00AA4B1E">
              <w:rPr>
                <w:rFonts w:asciiTheme="minorHAnsi" w:hAnsiTheme="minorHAnsi" w:cstheme="minorHAnsi"/>
                <w:lang w:val="es-CR"/>
              </w:rPr>
              <w:t>1</w:t>
            </w:r>
          </w:p>
        </w:tc>
        <w:tc>
          <w:tcPr>
            <w:tcW w:w="7513" w:type="dxa"/>
          </w:tcPr>
          <w:p w14:paraId="06B34D07" w14:textId="667527FE" w:rsidR="00B344EB" w:rsidRPr="001F6709" w:rsidRDefault="00B344EB" w:rsidP="00533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1F6709">
              <w:rPr>
                <w:rFonts w:asciiTheme="minorHAnsi" w:eastAsia="Times New Roman" w:hAnsiTheme="minorHAnsi" w:cstheme="minorHAnsi"/>
                <w:lang w:val="es-CR"/>
              </w:rPr>
              <w:t>Retiro del ROP, re</w:t>
            </w:r>
            <w:r w:rsidR="00AA4B1E">
              <w:rPr>
                <w:rFonts w:asciiTheme="minorHAnsi" w:eastAsia="Times New Roman" w:hAnsiTheme="minorHAnsi" w:cstheme="minorHAnsi"/>
                <w:lang w:val="es-CR"/>
              </w:rPr>
              <w:t>ndimientos.</w:t>
            </w:r>
          </w:p>
        </w:tc>
      </w:tr>
      <w:tr w:rsidR="00B344EB" w:rsidRPr="001F6709" w14:paraId="6B9CB504" w14:textId="77777777" w:rsidTr="00C659DC">
        <w:trPr>
          <w:trHeight w:val="230"/>
          <w:jc w:val="center"/>
        </w:trPr>
        <w:tc>
          <w:tcPr>
            <w:cnfStyle w:val="001000000000" w:firstRow="0" w:lastRow="0" w:firstColumn="1" w:lastColumn="0" w:oddVBand="0" w:evenVBand="0" w:oddHBand="0" w:evenHBand="0" w:firstRowFirstColumn="0" w:firstRowLastColumn="0" w:lastRowFirstColumn="0" w:lastRowLastColumn="0"/>
            <w:tcW w:w="1751" w:type="dxa"/>
          </w:tcPr>
          <w:p w14:paraId="11C4C89E" w14:textId="77777777" w:rsidR="00B344EB" w:rsidRPr="001F6709" w:rsidRDefault="00B344EB" w:rsidP="00533777">
            <w:pPr>
              <w:jc w:val="both"/>
              <w:rPr>
                <w:rFonts w:asciiTheme="minorHAnsi" w:hAnsiTheme="minorHAnsi" w:cstheme="minorHAnsi"/>
                <w:b w:val="0"/>
                <w:bCs w:val="0"/>
                <w:lang w:val="es-CR"/>
              </w:rPr>
            </w:pPr>
            <w:r w:rsidRPr="001F6709">
              <w:rPr>
                <w:rFonts w:asciiTheme="minorHAnsi" w:hAnsiTheme="minorHAnsi" w:cstheme="minorHAnsi"/>
                <w:b w:val="0"/>
                <w:bCs w:val="0"/>
                <w:lang w:val="es-CR"/>
              </w:rPr>
              <w:t>Denuncias</w:t>
            </w:r>
          </w:p>
        </w:tc>
        <w:tc>
          <w:tcPr>
            <w:tcW w:w="1079" w:type="dxa"/>
          </w:tcPr>
          <w:p w14:paraId="45510F8B" w14:textId="0455DC06" w:rsidR="00B344EB" w:rsidRPr="001F6709" w:rsidRDefault="00B344EB" w:rsidP="001F670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1F6709">
              <w:rPr>
                <w:rFonts w:asciiTheme="minorHAnsi" w:hAnsiTheme="minorHAnsi" w:cstheme="minorHAnsi"/>
                <w:lang w:val="es-CR"/>
              </w:rPr>
              <w:t>1</w:t>
            </w:r>
            <w:r w:rsidR="00AA4B1E">
              <w:rPr>
                <w:rFonts w:asciiTheme="minorHAnsi" w:hAnsiTheme="minorHAnsi" w:cstheme="minorHAnsi"/>
                <w:lang w:val="es-CR"/>
              </w:rPr>
              <w:t>4</w:t>
            </w:r>
          </w:p>
        </w:tc>
        <w:tc>
          <w:tcPr>
            <w:tcW w:w="7513" w:type="dxa"/>
          </w:tcPr>
          <w:p w14:paraId="51CE1F89" w14:textId="34011180" w:rsidR="00B344EB" w:rsidRPr="001F6709" w:rsidRDefault="00B344EB" w:rsidP="00533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1F6709">
              <w:rPr>
                <w:rFonts w:asciiTheme="minorHAnsi" w:eastAsia="Times New Roman" w:hAnsiTheme="minorHAnsi" w:cstheme="minorHAnsi"/>
                <w:lang w:val="es-CR"/>
              </w:rPr>
              <w:t xml:space="preserve">Retiro del ROP, </w:t>
            </w:r>
            <w:r w:rsidR="00AA4B1E">
              <w:rPr>
                <w:rFonts w:asciiTheme="minorHAnsi" w:eastAsia="Times New Roman" w:hAnsiTheme="minorHAnsi" w:cstheme="minorHAnsi"/>
                <w:lang w:val="es-CR"/>
              </w:rPr>
              <w:t>planes voluntarios.</w:t>
            </w:r>
          </w:p>
        </w:tc>
      </w:tr>
      <w:tr w:rsidR="00B344EB" w:rsidRPr="001F6709" w14:paraId="1CD2FDA2" w14:textId="77777777" w:rsidTr="00C659DC">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751" w:type="dxa"/>
          </w:tcPr>
          <w:p w14:paraId="75D94A05" w14:textId="7018A4B4" w:rsidR="00B344EB" w:rsidRPr="001F6709" w:rsidRDefault="00B344EB" w:rsidP="00533777">
            <w:pPr>
              <w:jc w:val="both"/>
              <w:rPr>
                <w:rFonts w:asciiTheme="minorHAnsi" w:hAnsiTheme="minorHAnsi" w:cstheme="minorHAnsi"/>
                <w:b w:val="0"/>
                <w:bCs w:val="0"/>
                <w:lang w:val="es-CR"/>
              </w:rPr>
            </w:pPr>
            <w:r w:rsidRPr="001F6709">
              <w:rPr>
                <w:rFonts w:asciiTheme="minorHAnsi" w:hAnsiTheme="minorHAnsi" w:cstheme="minorHAnsi"/>
                <w:b w:val="0"/>
                <w:bCs w:val="0"/>
                <w:lang w:val="es-CR"/>
              </w:rPr>
              <w:t>Consultas rápidas</w:t>
            </w:r>
          </w:p>
        </w:tc>
        <w:tc>
          <w:tcPr>
            <w:tcW w:w="1079" w:type="dxa"/>
          </w:tcPr>
          <w:p w14:paraId="2BF98D7D" w14:textId="20846553" w:rsidR="00B344EB" w:rsidRPr="001F6709" w:rsidRDefault="00B344EB" w:rsidP="001F670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1F6709">
              <w:rPr>
                <w:rFonts w:asciiTheme="minorHAnsi" w:hAnsiTheme="minorHAnsi" w:cstheme="minorHAnsi"/>
                <w:lang w:val="es-CR"/>
              </w:rPr>
              <w:t>1</w:t>
            </w:r>
            <w:r w:rsidR="00AA4B1E">
              <w:rPr>
                <w:rFonts w:asciiTheme="minorHAnsi" w:hAnsiTheme="minorHAnsi" w:cstheme="minorHAnsi"/>
                <w:lang w:val="es-CR"/>
              </w:rPr>
              <w:t xml:space="preserve">2 </w:t>
            </w:r>
            <w:r w:rsidR="00AE38A0">
              <w:rPr>
                <w:rFonts w:asciiTheme="minorHAnsi" w:hAnsiTheme="minorHAnsi" w:cstheme="minorHAnsi"/>
                <w:lang w:val="es-CR"/>
              </w:rPr>
              <w:t>900</w:t>
            </w:r>
          </w:p>
        </w:tc>
        <w:tc>
          <w:tcPr>
            <w:tcW w:w="7513" w:type="dxa"/>
          </w:tcPr>
          <w:p w14:paraId="1FB5CF00" w14:textId="20B97B43" w:rsidR="00B344EB" w:rsidRPr="001F6709" w:rsidRDefault="00B344EB" w:rsidP="00533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s-CR"/>
              </w:rPr>
            </w:pPr>
            <w:r w:rsidRPr="001F6709">
              <w:rPr>
                <w:rFonts w:asciiTheme="minorHAnsi" w:eastAsia="Times New Roman" w:hAnsiTheme="minorHAnsi" w:cstheme="minorHAnsi"/>
                <w:lang w:val="es-CR"/>
              </w:rPr>
              <w:t xml:space="preserve">ROP, </w:t>
            </w:r>
            <w:r w:rsidR="00AE38A0">
              <w:rPr>
                <w:rFonts w:asciiTheme="minorHAnsi" w:eastAsia="Times New Roman" w:hAnsiTheme="minorHAnsi" w:cstheme="minorHAnsi"/>
                <w:lang w:val="es-CR"/>
              </w:rPr>
              <w:t xml:space="preserve">FC y, </w:t>
            </w:r>
            <w:r w:rsidRPr="001F6709">
              <w:rPr>
                <w:rFonts w:asciiTheme="minorHAnsi" w:eastAsia="Times New Roman" w:hAnsiTheme="minorHAnsi" w:cstheme="minorHAnsi"/>
                <w:lang w:val="es-CR"/>
              </w:rPr>
              <w:t xml:space="preserve">pensión del </w:t>
            </w:r>
            <w:r w:rsidR="00AE38A0">
              <w:rPr>
                <w:rFonts w:asciiTheme="minorHAnsi" w:eastAsia="Times New Roman" w:hAnsiTheme="minorHAnsi" w:cstheme="minorHAnsi"/>
                <w:lang w:val="es-CR"/>
              </w:rPr>
              <w:t>régimen básico.</w:t>
            </w:r>
          </w:p>
        </w:tc>
      </w:tr>
    </w:tbl>
    <w:p w14:paraId="3FF165EC" w14:textId="7389CB33" w:rsidR="00C2629A" w:rsidRDefault="003A3141" w:rsidP="004B499C">
      <w:pPr>
        <w:pStyle w:val="Descripcin"/>
        <w:spacing w:after="0"/>
        <w:ind w:left="708" w:firstLine="708"/>
      </w:pPr>
      <w:r>
        <w:lastRenderedPageBreak/>
        <w:t xml:space="preserve">Fuente: Elaboración propia </w:t>
      </w:r>
    </w:p>
    <w:p w14:paraId="0C5CF8A5" w14:textId="6E75A042" w:rsidR="003C0783" w:rsidRDefault="003C0783" w:rsidP="00242194">
      <w:pPr>
        <w:pStyle w:val="Descripcin"/>
        <w:spacing w:after="0"/>
        <w:jc w:val="center"/>
      </w:pPr>
    </w:p>
    <w:p w14:paraId="463652CF" w14:textId="18D3EFBC" w:rsidR="00234791" w:rsidRDefault="00234791" w:rsidP="00234791">
      <w:pPr>
        <w:pStyle w:val="Ttulo2"/>
        <w:numPr>
          <w:ilvl w:val="1"/>
          <w:numId w:val="1"/>
        </w:numPr>
      </w:pPr>
      <w:bookmarkStart w:id="23" w:name="_Toc64457438"/>
      <w:r>
        <w:t>Criterios Jurídicos</w:t>
      </w:r>
      <w:bookmarkEnd w:id="23"/>
    </w:p>
    <w:p w14:paraId="5432BF21" w14:textId="4184FDF9" w:rsidR="00242194" w:rsidRDefault="00242194" w:rsidP="00242194">
      <w:pPr>
        <w:pStyle w:val="Descripcin"/>
        <w:spacing w:after="0"/>
        <w:jc w:val="center"/>
      </w:pPr>
      <w:r>
        <w:t xml:space="preserve">Tabla </w:t>
      </w:r>
      <w:r>
        <w:fldChar w:fldCharType="begin"/>
      </w:r>
      <w:r>
        <w:instrText xml:space="preserve"> SEQ Tabla \* ARABIC </w:instrText>
      </w:r>
      <w:r>
        <w:fldChar w:fldCharType="separate"/>
      </w:r>
      <w:r w:rsidR="00DB681D">
        <w:rPr>
          <w:noProof/>
        </w:rPr>
        <w:t>9</w:t>
      </w:r>
      <w:r>
        <w:fldChar w:fldCharType="end"/>
      </w:r>
      <w:r>
        <w:t>: Criterios juríd</w:t>
      </w:r>
      <w:r w:rsidR="00AD4962">
        <w:t>i</w:t>
      </w:r>
      <w:r>
        <w:t>cos</w:t>
      </w:r>
      <w:r w:rsidR="00B84FA8">
        <w:t xml:space="preserve"> relevantes</w:t>
      </w:r>
    </w:p>
    <w:p w14:paraId="39DB2A08" w14:textId="0FEE6C94" w:rsidR="00242194" w:rsidRDefault="00242194" w:rsidP="00242194">
      <w:pPr>
        <w:pStyle w:val="Descripcin"/>
        <w:spacing w:after="0"/>
        <w:jc w:val="center"/>
      </w:pPr>
      <w:r>
        <w:t>Atendidas durante el</w:t>
      </w:r>
      <w:r w:rsidR="00326F80">
        <w:t xml:space="preserve"> </w:t>
      </w:r>
      <w:r w:rsidR="00B84FA8">
        <w:t xml:space="preserve">cuarto </w:t>
      </w:r>
      <w:r>
        <w:t>trimestre del 2020</w:t>
      </w:r>
    </w:p>
    <w:p w14:paraId="27E854F7" w14:textId="3D795116" w:rsidR="00242194" w:rsidRDefault="00242194" w:rsidP="00242194">
      <w:pPr>
        <w:pStyle w:val="Descripcin"/>
        <w:spacing w:after="0"/>
        <w:jc w:val="center"/>
      </w:pPr>
      <w:r>
        <w:t>por la división jurídica de SUPEN</w:t>
      </w:r>
    </w:p>
    <w:tbl>
      <w:tblPr>
        <w:tblStyle w:val="Tablaconcuadrcula4-nfasis1"/>
        <w:tblW w:w="13320" w:type="dxa"/>
        <w:jc w:val="center"/>
        <w:tblLook w:val="04A0" w:firstRow="1" w:lastRow="0" w:firstColumn="1" w:lastColumn="0" w:noHBand="0" w:noVBand="1"/>
      </w:tblPr>
      <w:tblGrid>
        <w:gridCol w:w="1645"/>
        <w:gridCol w:w="11675"/>
      </w:tblGrid>
      <w:tr w:rsidR="00AA5639" w:rsidRPr="00AA5639" w14:paraId="7CBCE68D" w14:textId="77777777" w:rsidTr="004B49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tcPr>
          <w:p w14:paraId="3D003E3B" w14:textId="77777777" w:rsidR="00AA5639" w:rsidRPr="00AA5639" w:rsidRDefault="00AA5639" w:rsidP="00533777">
            <w:pPr>
              <w:jc w:val="both"/>
              <w:rPr>
                <w:rFonts w:asciiTheme="minorHAnsi" w:hAnsiTheme="minorHAnsi" w:cstheme="minorHAnsi"/>
                <w:lang w:val="es-CR"/>
              </w:rPr>
            </w:pPr>
            <w:r w:rsidRPr="00AA5639">
              <w:rPr>
                <w:rFonts w:asciiTheme="minorHAnsi" w:hAnsiTheme="minorHAnsi" w:cstheme="minorHAnsi"/>
                <w:lang w:val="es-CR"/>
              </w:rPr>
              <w:t>Criterio</w:t>
            </w:r>
          </w:p>
        </w:tc>
        <w:tc>
          <w:tcPr>
            <w:tcW w:w="11675" w:type="dxa"/>
          </w:tcPr>
          <w:p w14:paraId="4D6026CA" w14:textId="77777777" w:rsidR="00AA5639" w:rsidRPr="00AA5639" w:rsidRDefault="00AA5639" w:rsidP="0053377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CR"/>
              </w:rPr>
            </w:pPr>
            <w:r w:rsidRPr="00AA5639">
              <w:rPr>
                <w:rFonts w:asciiTheme="minorHAnsi" w:hAnsiTheme="minorHAnsi" w:cstheme="minorHAnsi"/>
                <w:lang w:val="es-CR"/>
              </w:rPr>
              <w:t>Temas</w:t>
            </w:r>
          </w:p>
        </w:tc>
      </w:tr>
      <w:tr w:rsidR="00355EFE" w:rsidRPr="00AA5639" w14:paraId="6BA8639C" w14:textId="77777777" w:rsidTr="004B4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tcPr>
          <w:p w14:paraId="75E5A0E3" w14:textId="4B247C9E" w:rsidR="00355EFE" w:rsidRPr="00AA5639" w:rsidRDefault="00355EFE" w:rsidP="00355EFE">
            <w:pPr>
              <w:jc w:val="both"/>
              <w:rPr>
                <w:rFonts w:asciiTheme="minorHAnsi" w:hAnsiTheme="minorHAnsi" w:cstheme="minorHAnsi"/>
                <w:b w:val="0"/>
                <w:bCs w:val="0"/>
                <w:lang w:val="es-CR"/>
              </w:rPr>
            </w:pPr>
            <w:r w:rsidRPr="00FB3DFC">
              <w:t>PJD-26-2020</w:t>
            </w:r>
          </w:p>
        </w:tc>
        <w:tc>
          <w:tcPr>
            <w:tcW w:w="11675" w:type="dxa"/>
          </w:tcPr>
          <w:p w14:paraId="055A1370" w14:textId="1060E6D8" w:rsidR="00355EFE" w:rsidRPr="00E452A9" w:rsidRDefault="00355EFE" w:rsidP="00355E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CR"/>
              </w:rPr>
            </w:pPr>
            <w:r w:rsidRPr="00E452A9">
              <w:rPr>
                <w:sz w:val="22"/>
                <w:szCs w:val="22"/>
              </w:rPr>
              <w:t>Analiza la posibilidad de publicar en la página web de la Superintendencia la información sobre los afiliados fallecidos, para que los beneficiarios puedan acceder a los recursos acumulados</w:t>
            </w:r>
            <w:r w:rsidR="00221401" w:rsidRPr="00E452A9">
              <w:rPr>
                <w:sz w:val="22"/>
                <w:szCs w:val="22"/>
              </w:rPr>
              <w:t xml:space="preserve"> </w:t>
            </w:r>
          </w:p>
        </w:tc>
      </w:tr>
      <w:tr w:rsidR="00355EFE" w:rsidRPr="00AA5639" w14:paraId="4557DCA3" w14:textId="77777777" w:rsidTr="004B499C">
        <w:trPr>
          <w:jc w:val="center"/>
        </w:trPr>
        <w:tc>
          <w:tcPr>
            <w:cnfStyle w:val="001000000000" w:firstRow="0" w:lastRow="0" w:firstColumn="1" w:lastColumn="0" w:oddVBand="0" w:evenVBand="0" w:oddHBand="0" w:evenHBand="0" w:firstRowFirstColumn="0" w:firstRowLastColumn="0" w:lastRowFirstColumn="0" w:lastRowLastColumn="0"/>
            <w:tcW w:w="1645" w:type="dxa"/>
          </w:tcPr>
          <w:p w14:paraId="36025328" w14:textId="6D750D94" w:rsidR="00355EFE" w:rsidRPr="00AA5639" w:rsidRDefault="00355EFE" w:rsidP="00355EFE">
            <w:pPr>
              <w:jc w:val="both"/>
              <w:rPr>
                <w:rFonts w:asciiTheme="minorHAnsi" w:hAnsiTheme="minorHAnsi" w:cstheme="minorHAnsi"/>
                <w:b w:val="0"/>
                <w:bCs w:val="0"/>
                <w:lang w:val="es-CR"/>
              </w:rPr>
            </w:pPr>
            <w:r w:rsidRPr="00FB3DFC">
              <w:t>PJD-27-2020</w:t>
            </w:r>
          </w:p>
        </w:tc>
        <w:tc>
          <w:tcPr>
            <w:tcW w:w="11675" w:type="dxa"/>
          </w:tcPr>
          <w:p w14:paraId="123CE633" w14:textId="3B1C8CD0" w:rsidR="00355EFE" w:rsidRPr="00E452A9" w:rsidRDefault="00355EFE" w:rsidP="00355E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CR"/>
              </w:rPr>
            </w:pPr>
            <w:r w:rsidRPr="00E452A9">
              <w:rPr>
                <w:sz w:val="22"/>
                <w:szCs w:val="22"/>
              </w:rPr>
              <w:t xml:space="preserve">Analiza la existencia de situaciones jurídicas consolidadas que podrían dar lugar a la aplicación de la regla del 10%, prevista en el artículo 6 del Reglamento de Beneficios de Régimen de Capitalización Individual.  </w:t>
            </w:r>
          </w:p>
        </w:tc>
      </w:tr>
    </w:tbl>
    <w:p w14:paraId="2F5B7D45" w14:textId="1D4BFF06" w:rsidR="00242194" w:rsidRDefault="00AA5639" w:rsidP="00242194">
      <w:pPr>
        <w:pStyle w:val="Descripcin"/>
        <w:spacing w:after="0"/>
      </w:pPr>
      <w:r>
        <w:t>F</w:t>
      </w:r>
      <w:r w:rsidR="00242194">
        <w:t xml:space="preserve">uente: Elaboración propia </w:t>
      </w:r>
    </w:p>
    <w:p w14:paraId="368ACDD0" w14:textId="77777777" w:rsidR="002A2AAB" w:rsidRDefault="002A2AAB" w:rsidP="00077B65">
      <w:pPr>
        <w:pStyle w:val="Descripcin"/>
        <w:spacing w:after="0"/>
        <w:jc w:val="center"/>
      </w:pPr>
    </w:p>
    <w:p w14:paraId="4A2AA3CF" w14:textId="505A438E" w:rsidR="00077B65" w:rsidRDefault="005039EE" w:rsidP="00077B65">
      <w:pPr>
        <w:pStyle w:val="Descripcin"/>
        <w:spacing w:after="0"/>
        <w:jc w:val="center"/>
      </w:pPr>
      <w:r>
        <w:t xml:space="preserve">Gráfico </w:t>
      </w:r>
      <w:r>
        <w:fldChar w:fldCharType="begin"/>
      </w:r>
      <w:r>
        <w:instrText xml:space="preserve"> SEQ Gráfico \* ARABIC </w:instrText>
      </w:r>
      <w:r>
        <w:fldChar w:fldCharType="separate"/>
      </w:r>
      <w:r w:rsidR="00DB681D">
        <w:rPr>
          <w:noProof/>
        </w:rPr>
        <w:t>4</w:t>
      </w:r>
      <w:r>
        <w:fldChar w:fldCharType="end"/>
      </w:r>
      <w:r>
        <w:t xml:space="preserve">: </w:t>
      </w:r>
      <w:r w:rsidR="00077B65">
        <w:t>Consultas de fallecidos</w:t>
      </w:r>
    </w:p>
    <w:p w14:paraId="7C5267FE" w14:textId="2824E925" w:rsidR="00077B65" w:rsidRPr="00077B65" w:rsidRDefault="005D50A7" w:rsidP="00077B65">
      <w:pPr>
        <w:pStyle w:val="Descripcin"/>
        <w:spacing w:after="0"/>
        <w:jc w:val="center"/>
      </w:pPr>
      <w:r>
        <w:rPr>
          <w:noProof/>
        </w:rPr>
        <w:drawing>
          <wp:anchor distT="0" distB="0" distL="114300" distR="114300" simplePos="0" relativeHeight="251665411" behindDoc="0" locked="0" layoutInCell="1" allowOverlap="1" wp14:anchorId="0716275E" wp14:editId="267A0C95">
            <wp:simplePos x="0" y="0"/>
            <wp:positionH relativeFrom="column">
              <wp:posOffset>1069340</wp:posOffset>
            </wp:positionH>
            <wp:positionV relativeFrom="paragraph">
              <wp:posOffset>184150</wp:posOffset>
            </wp:positionV>
            <wp:extent cx="6384925" cy="1911350"/>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38492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B65">
        <w:t>En la página Web de SUPEN</w:t>
      </w:r>
    </w:p>
    <w:p w14:paraId="20EB88F8" w14:textId="1D8721D7" w:rsidR="00CD38EE" w:rsidRDefault="00CD38EE" w:rsidP="004B499C">
      <w:pPr>
        <w:pStyle w:val="Descripcin"/>
        <w:spacing w:after="0"/>
        <w:ind w:left="1416" w:firstLine="708"/>
      </w:pPr>
      <w:r>
        <w:t xml:space="preserve">Fuente: Google </w:t>
      </w:r>
      <w:r w:rsidR="005D50A7">
        <w:t>A</w:t>
      </w:r>
      <w:r>
        <w:t>na</w:t>
      </w:r>
      <w:r w:rsidR="00CC3BB8">
        <w:t>ly</w:t>
      </w:r>
      <w:r>
        <w:t>t</w:t>
      </w:r>
      <w:r w:rsidR="00CC3BB8">
        <w:t>ics</w:t>
      </w:r>
      <w:r>
        <w:t xml:space="preserve"> </w:t>
      </w:r>
    </w:p>
    <w:p w14:paraId="145E48D6" w14:textId="068B46B9" w:rsidR="008042F7" w:rsidRDefault="008042F7" w:rsidP="008042F7">
      <w:pPr>
        <w:tabs>
          <w:tab w:val="left" w:pos="1155"/>
        </w:tabs>
        <w:rPr>
          <w:noProof/>
        </w:rPr>
      </w:pPr>
    </w:p>
    <w:p w14:paraId="0FB5E7FC" w14:textId="77777777" w:rsidR="004B499C" w:rsidRDefault="004B499C" w:rsidP="005C40B4">
      <w:pPr>
        <w:tabs>
          <w:tab w:val="left" w:pos="1155"/>
        </w:tabs>
        <w:jc w:val="both"/>
        <w:rPr>
          <w:i/>
          <w:iCs/>
          <w:lang w:val="es-CR"/>
        </w:rPr>
      </w:pPr>
    </w:p>
    <w:p w14:paraId="50916C10" w14:textId="77777777" w:rsidR="004B499C" w:rsidRDefault="004B499C" w:rsidP="004B499C">
      <w:pPr>
        <w:pStyle w:val="Ttulo2"/>
        <w:numPr>
          <w:ilvl w:val="0"/>
          <w:numId w:val="0"/>
        </w:numPr>
        <w:ind w:left="576" w:hanging="576"/>
        <w:jc w:val="both"/>
        <w:rPr>
          <w:i/>
          <w:iCs/>
        </w:rPr>
      </w:pPr>
      <w:bookmarkStart w:id="24" w:name="_Toc64457439"/>
      <w:r>
        <w:rPr>
          <w:i/>
          <w:iCs/>
        </w:rPr>
        <w:lastRenderedPageBreak/>
        <w:t>Asuntos relevantes: Resolución de Sala Primera</w:t>
      </w:r>
      <w:bookmarkEnd w:id="24"/>
    </w:p>
    <w:p w14:paraId="0540C583" w14:textId="77777777" w:rsidR="00E452A9" w:rsidRDefault="00E452A9" w:rsidP="004B499C">
      <w:pPr>
        <w:tabs>
          <w:tab w:val="left" w:pos="1155"/>
        </w:tabs>
        <w:jc w:val="both"/>
      </w:pPr>
    </w:p>
    <w:tbl>
      <w:tblPr>
        <w:tblStyle w:val="Tablaconcuadrcula"/>
        <w:tblW w:w="0" w:type="auto"/>
        <w:tblLook w:val="04A0" w:firstRow="1" w:lastRow="0" w:firstColumn="1" w:lastColumn="0" w:noHBand="0" w:noVBand="1"/>
      </w:tblPr>
      <w:tblGrid>
        <w:gridCol w:w="13278"/>
      </w:tblGrid>
      <w:tr w:rsidR="00E452A9" w14:paraId="17BFE13F" w14:textId="77777777" w:rsidTr="00E452A9">
        <w:tc>
          <w:tcPr>
            <w:tcW w:w="13278" w:type="dxa"/>
            <w:shd w:val="clear" w:color="auto" w:fill="D9D9D9" w:themeFill="background1" w:themeFillShade="D9"/>
          </w:tcPr>
          <w:p w14:paraId="1010F518" w14:textId="77777777" w:rsidR="00E452A9" w:rsidRPr="004B499C" w:rsidRDefault="00E452A9" w:rsidP="00E452A9">
            <w:pPr>
              <w:autoSpaceDE w:val="0"/>
              <w:autoSpaceDN w:val="0"/>
              <w:adjustRightInd w:val="0"/>
              <w:jc w:val="both"/>
              <w:rPr>
                <w:rFonts w:cstheme="minorHAnsi"/>
                <w:sz w:val="24"/>
                <w:szCs w:val="24"/>
              </w:rPr>
            </w:pPr>
            <w:r w:rsidRPr="004B499C">
              <w:rPr>
                <w:rFonts w:cstheme="minorHAnsi"/>
                <w:sz w:val="24"/>
                <w:szCs w:val="24"/>
              </w:rPr>
              <w:t>La Sala Primera resolvió y denegó la casación interpuesta por BN Vital OPC contra la SUPEN en el expediente 11-002528-1027-CA. El proceso se interpuso argumentando que el CONASSIF y SUPEN no tenían facultades para imponer administrativamente los porcentajes de las comisiones que la operadora de pensiones debe cobrar a los trabajadores afiliados. La demanda fue declarada sin lugar en primera instancia y se interpuso casación ante la Sala Primera.</w:t>
            </w:r>
          </w:p>
          <w:p w14:paraId="759757D5" w14:textId="77777777" w:rsidR="00E452A9" w:rsidRPr="004B499C" w:rsidRDefault="00E452A9" w:rsidP="00E452A9">
            <w:pPr>
              <w:autoSpaceDE w:val="0"/>
              <w:autoSpaceDN w:val="0"/>
              <w:adjustRightInd w:val="0"/>
              <w:jc w:val="both"/>
              <w:rPr>
                <w:rFonts w:cstheme="minorHAnsi"/>
                <w:sz w:val="24"/>
                <w:szCs w:val="24"/>
              </w:rPr>
            </w:pPr>
          </w:p>
          <w:p w14:paraId="4A117679" w14:textId="77777777" w:rsidR="00E452A9" w:rsidRPr="004B499C" w:rsidRDefault="00E452A9" w:rsidP="00E452A9">
            <w:pPr>
              <w:autoSpaceDE w:val="0"/>
              <w:autoSpaceDN w:val="0"/>
              <w:adjustRightInd w:val="0"/>
              <w:jc w:val="both"/>
              <w:rPr>
                <w:rFonts w:cstheme="minorHAnsi"/>
                <w:sz w:val="24"/>
                <w:szCs w:val="24"/>
              </w:rPr>
            </w:pPr>
            <w:r w:rsidRPr="004B499C">
              <w:rPr>
                <w:rFonts w:cstheme="minorHAnsi"/>
                <w:sz w:val="24"/>
                <w:szCs w:val="24"/>
              </w:rPr>
              <w:t xml:space="preserve">Mediante sentencia 000026-F-S1-2020, la Sala Primera concluyó:  </w:t>
            </w:r>
          </w:p>
          <w:p w14:paraId="1AFACF9C" w14:textId="77777777" w:rsidR="00E452A9" w:rsidRPr="004B499C" w:rsidRDefault="00E452A9" w:rsidP="00E452A9">
            <w:pPr>
              <w:autoSpaceDE w:val="0"/>
              <w:autoSpaceDN w:val="0"/>
              <w:adjustRightInd w:val="0"/>
              <w:jc w:val="both"/>
              <w:rPr>
                <w:rFonts w:cstheme="minorHAnsi"/>
                <w:sz w:val="24"/>
                <w:szCs w:val="24"/>
              </w:rPr>
            </w:pPr>
          </w:p>
          <w:p w14:paraId="22FB4A5F" w14:textId="77777777" w:rsidR="00E452A9" w:rsidRPr="004B499C" w:rsidRDefault="00E452A9" w:rsidP="00E452A9">
            <w:pPr>
              <w:autoSpaceDE w:val="0"/>
              <w:autoSpaceDN w:val="0"/>
              <w:adjustRightInd w:val="0"/>
              <w:ind w:left="708"/>
              <w:jc w:val="both"/>
              <w:rPr>
                <w:rFonts w:cstheme="minorHAnsi"/>
                <w:i/>
                <w:iCs/>
                <w:sz w:val="24"/>
                <w:szCs w:val="24"/>
              </w:rPr>
            </w:pPr>
            <w:r w:rsidRPr="004B499C">
              <w:rPr>
                <w:rFonts w:cstheme="minorHAnsi"/>
                <w:i/>
                <w:iCs/>
                <w:sz w:val="24"/>
                <w:szCs w:val="24"/>
              </w:rPr>
              <w:t>De este antecedente, es fácil deducir que, para el caso concreto, fue visionario el legislador al establecer vía legal (artículos 49 inciso d) de la LPT y 171 de LRMV) que sea la Superintendencia quien determine el tope para el cobro de las comisiones, pues no se debe olvidar que lo pretendido es proteger o resguardar el patrimonio del trabajador, dinero que proviene de su salario y fruto de su esfuerzo laboral, lo cual es un derecho fundamental. Como se puede observar, la imposición del tope a las comisiones está previsto por imperativo legal; y ello no contraviene el principio de reserva de ley, pues expresamente el legislador delegó el ejercicio de la potestad reglamentaria en el Conassif, la gestión de los órganos de fiscalización y regulación del sistema financiero nacional de supervisión.</w:t>
            </w:r>
          </w:p>
          <w:p w14:paraId="35EB1CE2" w14:textId="77777777" w:rsidR="00E452A9" w:rsidRDefault="00E452A9" w:rsidP="004B499C">
            <w:pPr>
              <w:tabs>
                <w:tab w:val="left" w:pos="1155"/>
              </w:tabs>
              <w:jc w:val="both"/>
            </w:pPr>
          </w:p>
        </w:tc>
      </w:tr>
    </w:tbl>
    <w:p w14:paraId="5C36EA09" w14:textId="4E347664" w:rsidR="004A442C" w:rsidRDefault="004A442C" w:rsidP="004B499C">
      <w:pPr>
        <w:tabs>
          <w:tab w:val="left" w:pos="1155"/>
        </w:tabs>
        <w:jc w:val="both"/>
      </w:pPr>
    </w:p>
    <w:p w14:paraId="4DAEB4C4" w14:textId="0C123285" w:rsidR="00E452A9" w:rsidRDefault="00E452A9">
      <w:r>
        <w:br w:type="page"/>
      </w:r>
    </w:p>
    <w:p w14:paraId="141FF3EA" w14:textId="77777777" w:rsidR="00E452A9" w:rsidRDefault="00E452A9" w:rsidP="00E452A9">
      <w:pPr>
        <w:pStyle w:val="Ttulo2"/>
        <w:numPr>
          <w:ilvl w:val="1"/>
          <w:numId w:val="1"/>
        </w:numPr>
      </w:pPr>
      <w:bookmarkStart w:id="25" w:name="_Toc64457440"/>
      <w:r>
        <w:lastRenderedPageBreak/>
        <w:t>Proyectos de Ley</w:t>
      </w:r>
      <w:bookmarkEnd w:id="25"/>
    </w:p>
    <w:p w14:paraId="28DD0F62" w14:textId="77777777" w:rsidR="00E452A9" w:rsidRPr="001F521E" w:rsidRDefault="00E452A9" w:rsidP="00E452A9">
      <w:pPr>
        <w:pStyle w:val="Ttulo2"/>
        <w:numPr>
          <w:ilvl w:val="0"/>
          <w:numId w:val="0"/>
        </w:numPr>
        <w:ind w:left="576" w:hanging="576"/>
        <w:jc w:val="both"/>
        <w:rPr>
          <w:i/>
          <w:iCs/>
          <w:sz w:val="32"/>
          <w:szCs w:val="32"/>
        </w:rPr>
      </w:pPr>
      <w:bookmarkStart w:id="26" w:name="_Toc56437084"/>
      <w:bookmarkStart w:id="27" w:name="_Toc64457441"/>
      <w:r w:rsidRPr="001F521E">
        <w:rPr>
          <w:i/>
          <w:iCs/>
        </w:rPr>
        <w:t>Decreto Legislativo N° 9906</w:t>
      </w:r>
      <w:bookmarkEnd w:id="26"/>
      <w:bookmarkEnd w:id="27"/>
    </w:p>
    <w:tbl>
      <w:tblPr>
        <w:tblStyle w:val="Tablaconcuadrcula"/>
        <w:tblW w:w="0" w:type="auto"/>
        <w:tblLook w:val="04A0" w:firstRow="1" w:lastRow="0" w:firstColumn="1" w:lastColumn="0" w:noHBand="0" w:noVBand="1"/>
      </w:tblPr>
      <w:tblGrid>
        <w:gridCol w:w="13278"/>
      </w:tblGrid>
      <w:tr w:rsidR="00E452A9" w14:paraId="6ABD8E49" w14:textId="77777777" w:rsidTr="00E452A9">
        <w:tc>
          <w:tcPr>
            <w:tcW w:w="13278" w:type="dxa"/>
            <w:shd w:val="clear" w:color="auto" w:fill="D9D9D9" w:themeFill="background1" w:themeFillShade="D9"/>
          </w:tcPr>
          <w:p w14:paraId="7D950227" w14:textId="77777777" w:rsidR="00E452A9" w:rsidRPr="00E452A9" w:rsidRDefault="00E452A9" w:rsidP="00E452A9">
            <w:pPr>
              <w:jc w:val="both"/>
              <w:rPr>
                <w:i/>
                <w:iCs/>
              </w:rPr>
            </w:pPr>
            <w:r w:rsidRPr="00E452A9">
              <w:rPr>
                <w:i/>
                <w:iCs/>
              </w:rPr>
              <w:t>El 5 de octubre se aprobó el Decreto Legislativo N°9906, la Ley para resguardar el derecho de los trabajadores a retirar los recursos de la pensión complementaria, el cual contempla los siguientes cambios a la LPT:</w:t>
            </w:r>
          </w:p>
          <w:p w14:paraId="5880960A" w14:textId="77777777" w:rsidR="00E452A9" w:rsidRPr="00E452A9" w:rsidRDefault="00E452A9" w:rsidP="00E452A9">
            <w:pPr>
              <w:pStyle w:val="Prrafodelista"/>
              <w:numPr>
                <w:ilvl w:val="0"/>
                <w:numId w:val="3"/>
              </w:numPr>
              <w:contextualSpacing w:val="0"/>
              <w:jc w:val="both"/>
              <w:rPr>
                <w:rFonts w:eastAsia="Times New Roman"/>
                <w:i/>
                <w:iCs/>
                <w:lang w:val="es-CR"/>
              </w:rPr>
            </w:pPr>
            <w:r w:rsidRPr="00E452A9">
              <w:rPr>
                <w:rFonts w:eastAsia="Times New Roman"/>
                <w:i/>
                <w:iCs/>
              </w:rPr>
              <w:t>Se elimina el paseo del FCL, anteriormente entraba al FCL el 3% del salario de aporte patronal y anualmente (en marzo de cada año) se traslada el 50% de este monto al ROP, el proyecto establece que al FCL ingresará el 1,5% del aporte patronal y el restante 1,5% entrará directamente al ROP.</w:t>
            </w:r>
          </w:p>
          <w:p w14:paraId="5808F1D8"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 xml:space="preserve">Se define una tasa para el traslado de los recursos cada 18 meses del BPDC al ROP. Sobre los recursos referidos en el inciso a) y b) del artículo 3 de la LPT, el BPDC reconocerá una tasa de interés anual igual a la tasa básica pasiva definida por el BCCR, más ciento sesenta puntos base. </w:t>
            </w:r>
          </w:p>
          <w:p w14:paraId="6A32E11B"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Si no existieren beneficiarios establecidos por el RIVM o por el régimen público sustituto, ni tampoco beneficiarios designados como tales ante la operadora de pensiones, el saldo de la cuenta individual podrá ser reclamado ante la autoridad judicial de trabajo que corresponda, por cualquiera que tenga interés legítimo en ello, según establece el artículo 85 del Código de Trabajo.</w:t>
            </w:r>
          </w:p>
          <w:p w14:paraId="3CF2A964"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Dentro de las modalidades de pensión se incorpora una renta temporal calculada hasta la expectativa de vida condicionada.</w:t>
            </w:r>
          </w:p>
          <w:p w14:paraId="44594056"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Se incluye el retiro total para los afiliados y pensionados que enfrenten una enfermedad terminal, debidamente calificada por la CCSS.</w:t>
            </w:r>
          </w:p>
          <w:p w14:paraId="2F06095F"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En el caso de que la pensión mensual, calculada por alguna de las modalidades definidas en el a Ley, con excepción de la renta vitalicia, sea menor a un 20% de la pensión mínima del RIVM, la pensión otorgada por el ROP será ese monto, el cual se seguirá abonando hasta que se agote el saldo acumulado.</w:t>
            </w:r>
          </w:p>
          <w:p w14:paraId="15A24B18"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Si los recursos del ROP no han sido retirados por los beneficiarios en un plazo de 10 años, contados a partir del fallecimiento del afiliado o pensionado, el derecho sobre tales recursos prescribirá y serán girados por las operadoras de pensiones a favor del RNC administrado por la CCSS.</w:t>
            </w:r>
          </w:p>
          <w:p w14:paraId="0E27996F"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Se incorpora el transitorio XIX que establece que los afiliados al ROP que hayan adquirido el derecho a la pensión antes del 1 de enero de 2021, podrá optar por:</w:t>
            </w:r>
          </w:p>
          <w:p w14:paraId="2035F644" w14:textId="77777777" w:rsidR="00E452A9" w:rsidRPr="00E452A9" w:rsidRDefault="00E452A9" w:rsidP="00E452A9">
            <w:pPr>
              <w:pStyle w:val="Prrafodelista"/>
              <w:numPr>
                <w:ilvl w:val="1"/>
                <w:numId w:val="4"/>
              </w:numPr>
              <w:ind w:left="1134"/>
              <w:contextualSpacing w:val="0"/>
              <w:jc w:val="both"/>
              <w:rPr>
                <w:rFonts w:eastAsia="Times New Roman"/>
                <w:i/>
                <w:iCs/>
              </w:rPr>
            </w:pPr>
            <w:r w:rsidRPr="00E452A9">
              <w:rPr>
                <w:rFonts w:eastAsia="Times New Roman"/>
                <w:i/>
                <w:iCs/>
              </w:rPr>
              <w:t>El pago de una mensualidad durante 30 meses, hasta agotar el saldo acumulado.</w:t>
            </w:r>
          </w:p>
          <w:p w14:paraId="5135585B" w14:textId="77777777" w:rsidR="00E452A9" w:rsidRPr="00E452A9" w:rsidRDefault="00E452A9" w:rsidP="00E452A9">
            <w:pPr>
              <w:pStyle w:val="Prrafodelista"/>
              <w:numPr>
                <w:ilvl w:val="1"/>
                <w:numId w:val="4"/>
              </w:numPr>
              <w:ind w:left="1134"/>
              <w:contextualSpacing w:val="0"/>
              <w:jc w:val="both"/>
              <w:rPr>
                <w:rFonts w:eastAsia="Times New Roman"/>
                <w:i/>
                <w:iCs/>
              </w:rPr>
            </w:pPr>
            <w:r w:rsidRPr="00E452A9">
              <w:rPr>
                <w:rFonts w:eastAsia="Times New Roman"/>
                <w:i/>
                <w:iCs/>
              </w:rPr>
              <w:t>Un plan de beneficios de conformidad con el artículo 22 de LPT. En este caso podrán solicitar un retiro acelerado, en el cual se recibirá el 25% del saldo acumulado en cuatro pagos de acuerdo con la periodicidad definida en la Ley, hasta agotar el saldo.</w:t>
            </w:r>
          </w:p>
          <w:p w14:paraId="068B8A1B" w14:textId="77777777" w:rsidR="00E452A9" w:rsidRPr="00E452A9" w:rsidRDefault="00E452A9" w:rsidP="00E452A9">
            <w:pPr>
              <w:pStyle w:val="Prrafodelista"/>
              <w:numPr>
                <w:ilvl w:val="0"/>
                <w:numId w:val="3"/>
              </w:numPr>
              <w:contextualSpacing w:val="0"/>
              <w:jc w:val="both"/>
              <w:rPr>
                <w:rFonts w:eastAsia="Times New Roman"/>
                <w:i/>
                <w:iCs/>
              </w:rPr>
            </w:pPr>
            <w:r w:rsidRPr="00E452A9">
              <w:rPr>
                <w:rFonts w:eastAsia="Times New Roman"/>
                <w:i/>
                <w:iCs/>
              </w:rPr>
              <w:t>Se incorpora el transitorio XX que establece que los afiliados al ROP se pensionen a partir del 1 de enero de 2021 y hasta el 18 de febrero de 2030, podrán retirar los fondos acumulados en sus cuentas individuales en rentas temporales por un plazo equivalente a la cantidad de cuotas aportadas a este régimen. En aquellos casos, en que el monto de la pensión sea menor a un 20% de la pensión mínima del RIVM, la pensión otorgada por el ROP será ese monto, el cual se seguirá abonando hasta que se agote el saldo acumulado, sin importar la cantidad de cuotas aportadas a este régimen.</w:t>
            </w:r>
          </w:p>
          <w:p w14:paraId="4E2B35D8" w14:textId="77777777" w:rsidR="00E452A9" w:rsidRDefault="00E452A9" w:rsidP="004B499C">
            <w:pPr>
              <w:tabs>
                <w:tab w:val="left" w:pos="1155"/>
              </w:tabs>
              <w:jc w:val="both"/>
            </w:pPr>
          </w:p>
        </w:tc>
      </w:tr>
    </w:tbl>
    <w:p w14:paraId="37D46C24" w14:textId="77777777" w:rsidR="00E452A9" w:rsidRDefault="00E452A9" w:rsidP="004B499C">
      <w:pPr>
        <w:tabs>
          <w:tab w:val="left" w:pos="1155"/>
        </w:tabs>
        <w:jc w:val="both"/>
      </w:pPr>
    </w:p>
    <w:p w14:paraId="5F98B8ED" w14:textId="6F36403A" w:rsidR="00875181" w:rsidRDefault="00875181" w:rsidP="00EA668B">
      <w:pPr>
        <w:spacing w:after="0" w:line="240" w:lineRule="auto"/>
        <w:jc w:val="both"/>
      </w:pPr>
      <w:r>
        <w:t xml:space="preserve">Durante el trimestre no se atiende ningún proyecto de Ley relacionado con pensiones, sin embargo, se atienden </w:t>
      </w:r>
      <w:r w:rsidRPr="00875181">
        <w:t>otros Expedientes Legislativos</w:t>
      </w:r>
      <w:r>
        <w:t>:</w:t>
      </w:r>
    </w:p>
    <w:p w14:paraId="330B05CF" w14:textId="1111C000" w:rsidR="00EA668B" w:rsidRDefault="00EA668B" w:rsidP="00CC6956">
      <w:pPr>
        <w:pStyle w:val="Prrafodelista"/>
        <w:numPr>
          <w:ilvl w:val="0"/>
          <w:numId w:val="5"/>
        </w:numPr>
        <w:spacing w:after="0" w:line="240" w:lineRule="auto"/>
        <w:jc w:val="both"/>
      </w:pPr>
      <w:r>
        <w:t>22.187 Aprobación del acuerdo sobre los términos de la adhesión de Costa Rica a la Convención de la OCDE.</w:t>
      </w:r>
    </w:p>
    <w:p w14:paraId="0158A113" w14:textId="77777777" w:rsidR="00EA668B" w:rsidRDefault="00EA668B" w:rsidP="00CC6956">
      <w:pPr>
        <w:pStyle w:val="Prrafodelista"/>
        <w:numPr>
          <w:ilvl w:val="0"/>
          <w:numId w:val="5"/>
        </w:numPr>
        <w:spacing w:after="0" w:line="240" w:lineRule="auto"/>
        <w:jc w:val="both"/>
      </w:pPr>
      <w:r>
        <w:t>22.160 Ley para potenciar el financiamiento e inversión para el desarrollo sostenible mediante el uso de valores de oferta pública.</w:t>
      </w:r>
    </w:p>
    <w:p w14:paraId="670E8F54" w14:textId="05E93B38" w:rsidR="00EA668B" w:rsidRDefault="00EA668B" w:rsidP="00CC6956">
      <w:pPr>
        <w:pStyle w:val="Prrafodelista"/>
        <w:numPr>
          <w:ilvl w:val="0"/>
          <w:numId w:val="5"/>
        </w:numPr>
        <w:spacing w:after="0" w:line="240" w:lineRule="auto"/>
        <w:jc w:val="both"/>
      </w:pPr>
      <w:r>
        <w:t>21.787 Reforma del Inciso D) del Art</w:t>
      </w:r>
      <w:r w:rsidR="00C513E4">
        <w:t xml:space="preserve"> </w:t>
      </w:r>
      <w:r>
        <w:t>11 de la Ley de Fortalecimiento de las Finanzas Públicas</w:t>
      </w:r>
      <w:r w:rsidR="00855E18">
        <w:t>.</w:t>
      </w:r>
    </w:p>
    <w:p w14:paraId="5381D5B8" w14:textId="4F681956" w:rsidR="00EA668B" w:rsidRDefault="00EA668B" w:rsidP="00CC6956">
      <w:pPr>
        <w:pStyle w:val="Prrafodelista"/>
        <w:numPr>
          <w:ilvl w:val="0"/>
          <w:numId w:val="5"/>
        </w:numPr>
        <w:spacing w:after="0" w:line="240" w:lineRule="auto"/>
        <w:jc w:val="both"/>
      </w:pPr>
      <w:r>
        <w:t>21.951 Reforma Art. 52 inciso C) Ley Orgánica del BCCR L</w:t>
      </w:r>
      <w:r w:rsidR="00837C1E">
        <w:t>ey</w:t>
      </w:r>
      <w:r>
        <w:t xml:space="preserve"> N° 7558.</w:t>
      </w:r>
    </w:p>
    <w:p w14:paraId="718550FF" w14:textId="306044F8" w:rsidR="00EA668B" w:rsidRDefault="00EA668B" w:rsidP="00CC6956">
      <w:pPr>
        <w:pStyle w:val="Prrafodelista"/>
        <w:numPr>
          <w:ilvl w:val="0"/>
          <w:numId w:val="5"/>
        </w:numPr>
        <w:spacing w:after="0" w:line="240" w:lineRule="auto"/>
        <w:jc w:val="both"/>
      </w:pPr>
      <w:r>
        <w:t>22.128 Rescate, recuperación y fortalecimiento de empresas e hipotecas en situación de vulnerabilidad y estímulo a la producción.</w:t>
      </w:r>
    </w:p>
    <w:p w14:paraId="7842A845" w14:textId="77777777" w:rsidR="00E452A9" w:rsidRDefault="00E452A9" w:rsidP="00E452A9">
      <w:pPr>
        <w:spacing w:after="0" w:line="240" w:lineRule="auto"/>
        <w:ind w:left="360"/>
        <w:jc w:val="both"/>
      </w:pPr>
    </w:p>
    <w:p w14:paraId="748FE6C5" w14:textId="3872381F" w:rsidR="00B24D2C" w:rsidRDefault="00B24D2C" w:rsidP="00E452A9">
      <w:pPr>
        <w:pStyle w:val="Ttulo2"/>
        <w:numPr>
          <w:ilvl w:val="1"/>
          <w:numId w:val="1"/>
        </w:numPr>
      </w:pPr>
      <w:bookmarkStart w:id="28" w:name="_Toc64457442"/>
      <w:r>
        <w:t>Aprobación de Reglamentos</w:t>
      </w:r>
      <w:bookmarkEnd w:id="28"/>
    </w:p>
    <w:p w14:paraId="63C4E01A" w14:textId="77777777" w:rsidR="00556370" w:rsidRPr="00556370" w:rsidRDefault="00556370" w:rsidP="00556370">
      <w:pPr>
        <w:tabs>
          <w:tab w:val="left" w:pos="1485"/>
        </w:tabs>
        <w:spacing w:after="0" w:line="240" w:lineRule="auto"/>
      </w:pPr>
    </w:p>
    <w:p w14:paraId="44077323" w14:textId="3A8516C7" w:rsidR="006A3377" w:rsidRDefault="006A3377" w:rsidP="006A3377">
      <w:pPr>
        <w:pStyle w:val="Descripcin"/>
        <w:spacing w:after="0"/>
        <w:jc w:val="center"/>
      </w:pPr>
      <w:r>
        <w:t xml:space="preserve">Tabla </w:t>
      </w:r>
      <w:r>
        <w:fldChar w:fldCharType="begin"/>
      </w:r>
      <w:r>
        <w:instrText xml:space="preserve"> SEQ Tabla \* ARABIC </w:instrText>
      </w:r>
      <w:r>
        <w:fldChar w:fldCharType="separate"/>
      </w:r>
      <w:r w:rsidR="00DB681D">
        <w:rPr>
          <w:noProof/>
        </w:rPr>
        <w:t>10</w:t>
      </w:r>
      <w:r>
        <w:fldChar w:fldCharType="end"/>
      </w:r>
      <w:r>
        <w:t>: Reglamentos</w:t>
      </w:r>
      <w:r w:rsidR="0037124F">
        <w:t xml:space="preserve"> de SUPEN</w:t>
      </w:r>
    </w:p>
    <w:p w14:paraId="6CD8DD28" w14:textId="1A75F7EC" w:rsidR="006A3377" w:rsidRDefault="006A3377" w:rsidP="006A3377">
      <w:pPr>
        <w:pStyle w:val="Descripcin"/>
        <w:spacing w:after="0"/>
        <w:jc w:val="center"/>
      </w:pPr>
      <w:r>
        <w:t xml:space="preserve">Aprobados por </w:t>
      </w:r>
      <w:r w:rsidR="0037124F">
        <w:t>el CONASSIF</w:t>
      </w:r>
    </w:p>
    <w:p w14:paraId="04412473" w14:textId="302B6ADB" w:rsidR="006A3377" w:rsidRDefault="006A3377" w:rsidP="006A3377">
      <w:pPr>
        <w:pStyle w:val="Descripcin"/>
        <w:spacing w:after="0"/>
        <w:jc w:val="center"/>
      </w:pPr>
      <w:r>
        <w:t>durante el cuarto trimestre del 2020</w:t>
      </w:r>
    </w:p>
    <w:tbl>
      <w:tblPr>
        <w:tblStyle w:val="Tablaconcuadrcula4-nfasis1"/>
        <w:tblW w:w="10915" w:type="dxa"/>
        <w:jc w:val="center"/>
        <w:tblLayout w:type="fixed"/>
        <w:tblLook w:val="04A0" w:firstRow="1" w:lastRow="0" w:firstColumn="1" w:lastColumn="0" w:noHBand="0" w:noVBand="1"/>
      </w:tblPr>
      <w:tblGrid>
        <w:gridCol w:w="3256"/>
        <w:gridCol w:w="7659"/>
      </w:tblGrid>
      <w:tr w:rsidR="006A3377" w:rsidRPr="0062045B" w14:paraId="245D1B34" w14:textId="77777777" w:rsidTr="004B499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5AD4735" w14:textId="77777777" w:rsidR="006A3377" w:rsidRPr="0062045B" w:rsidRDefault="006A3377" w:rsidP="004B499C">
            <w:pPr>
              <w:rPr>
                <w:rFonts w:eastAsia="Times New Roman" w:cs="Calibri"/>
                <w:lang w:val="es-CR"/>
              </w:rPr>
            </w:pPr>
            <w:r w:rsidRPr="0062045B">
              <w:rPr>
                <w:rFonts w:eastAsia="Times New Roman" w:cs="Calibri"/>
                <w:lang w:val="es-CR"/>
              </w:rPr>
              <w:t>Acuerdo</w:t>
            </w:r>
          </w:p>
        </w:tc>
        <w:tc>
          <w:tcPr>
            <w:tcW w:w="7659" w:type="dxa"/>
            <w:noWrap/>
            <w:hideMark/>
          </w:tcPr>
          <w:p w14:paraId="23919DBD" w14:textId="77777777" w:rsidR="006A3377" w:rsidRPr="0062045B" w:rsidRDefault="006A3377" w:rsidP="004B499C">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2045B">
              <w:rPr>
                <w:rFonts w:eastAsia="Times New Roman" w:cs="Calibri"/>
                <w:lang w:val="es-CR"/>
              </w:rPr>
              <w:t>Alcance</w:t>
            </w:r>
          </w:p>
        </w:tc>
      </w:tr>
      <w:tr w:rsidR="006A3377" w:rsidRPr="0062045B" w14:paraId="70A94FED" w14:textId="77777777" w:rsidTr="004B499C">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256" w:type="dxa"/>
          </w:tcPr>
          <w:p w14:paraId="22E94E91" w14:textId="7A51E363" w:rsidR="006A3377" w:rsidRPr="0062045B" w:rsidRDefault="00CF068D" w:rsidP="004B499C">
            <w:pPr>
              <w:jc w:val="both"/>
              <w:rPr>
                <w:rFonts w:eastAsia="Times New Roman" w:cs="Calibri"/>
                <w:color w:val="000000"/>
                <w:lang w:val="es-CR"/>
              </w:rPr>
            </w:pPr>
            <w:r w:rsidRPr="00CF068D">
              <w:rPr>
                <w:rFonts w:eastAsia="Times New Roman" w:cs="Calibri"/>
                <w:color w:val="000000"/>
                <w:lang w:val="es-CR"/>
              </w:rPr>
              <w:t>Reglamento de Autorizaciones y Aprobaciones</w:t>
            </w:r>
          </w:p>
        </w:tc>
        <w:tc>
          <w:tcPr>
            <w:tcW w:w="7659" w:type="dxa"/>
          </w:tcPr>
          <w:p w14:paraId="6B77DEC0" w14:textId="46F99A50" w:rsidR="006A3377" w:rsidRPr="0062045B" w:rsidRDefault="00CF068D"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sidRPr="00CF068D">
              <w:rPr>
                <w:rFonts w:eastAsia="Times New Roman" w:cs="Calibri"/>
                <w:color w:val="000000"/>
                <w:lang w:val="es-CR"/>
              </w:rPr>
              <w:t xml:space="preserve">Mediante artículo 6, del acta de la sesión 1626-2020, celebrada el 3 de diciembre de 2020, el </w:t>
            </w:r>
            <w:r>
              <w:rPr>
                <w:rFonts w:eastAsia="Times New Roman" w:cs="Calibri"/>
                <w:color w:val="000000"/>
                <w:lang w:val="es-CR"/>
              </w:rPr>
              <w:t>CONASSIF</w:t>
            </w:r>
            <w:r w:rsidRPr="00CF068D">
              <w:rPr>
                <w:rFonts w:eastAsia="Times New Roman" w:cs="Calibri"/>
                <w:color w:val="000000"/>
                <w:lang w:val="es-CR"/>
              </w:rPr>
              <w:t xml:space="preserve"> aprobó el Reglamento de Autorizaciones y Aprobaciones, cuyo objeto es establecer los requisitos, los plazos y el procedimiento a seguir para la atención de las solicitudes que se presenten a la Superintendencia de Pensiones y que se relacionen con actos sujetos a su aprobación o autorización,  de conformidad con lo que dispone la Ley de Protección al Trabajador, Ley 7983; el Régimen Privado de Pensiones Complementarias, Ley 7523; Ley sobre estupefacientes, sustancias psicotrópicas, drogas de uso no autorizado, actividades conexas, legitimación de capitales y financiamiento al terrorismo, y disposiciones conexas, Ley 7786; Reforma integral del sistema de pensiones y jubilaciones del Magisterio Nacional, Ley 7532; la Ley Orgánica del Poder Judicial, Ley 7333; Ley General de la Administración Pública, Ley 6227 y la Ley de Protección al ciudadano del exceso de requisitos y trámites administrativos, Ley 8220</w:t>
            </w:r>
          </w:p>
        </w:tc>
      </w:tr>
    </w:tbl>
    <w:p w14:paraId="3859291F" w14:textId="7A3E6263" w:rsidR="006A3377" w:rsidRDefault="006A3377" w:rsidP="006A3377">
      <w:pPr>
        <w:pStyle w:val="Descripcin"/>
        <w:spacing w:after="0"/>
      </w:pPr>
      <w:bookmarkStart w:id="29" w:name="_Hlk62557035"/>
      <w:r>
        <w:t xml:space="preserve">Fuente: Elaboración propia </w:t>
      </w:r>
    </w:p>
    <w:p w14:paraId="46517004" w14:textId="2B272168" w:rsidR="00B24D2C" w:rsidRDefault="00B24D2C" w:rsidP="00B24D2C">
      <w:pPr>
        <w:tabs>
          <w:tab w:val="left" w:pos="1485"/>
        </w:tabs>
        <w:spacing w:after="0" w:line="240" w:lineRule="auto"/>
      </w:pPr>
    </w:p>
    <w:p w14:paraId="17395193" w14:textId="0CFB3020" w:rsidR="00E452A9" w:rsidRDefault="00E452A9" w:rsidP="00B24D2C">
      <w:pPr>
        <w:tabs>
          <w:tab w:val="left" w:pos="1485"/>
        </w:tabs>
        <w:spacing w:after="0" w:line="240" w:lineRule="auto"/>
      </w:pPr>
    </w:p>
    <w:p w14:paraId="1B71E630" w14:textId="77777777" w:rsidR="00E452A9" w:rsidRDefault="00E452A9" w:rsidP="00B24D2C">
      <w:pPr>
        <w:tabs>
          <w:tab w:val="left" w:pos="1485"/>
        </w:tabs>
        <w:spacing w:after="0" w:line="240" w:lineRule="auto"/>
      </w:pPr>
    </w:p>
    <w:p w14:paraId="632EB25E" w14:textId="201A171A" w:rsidR="00B24D2C" w:rsidRDefault="00B24D2C" w:rsidP="00E452A9">
      <w:pPr>
        <w:pStyle w:val="Ttulo2"/>
        <w:numPr>
          <w:ilvl w:val="1"/>
          <w:numId w:val="1"/>
        </w:numPr>
      </w:pPr>
      <w:bookmarkStart w:id="30" w:name="_Toc64457443"/>
      <w:r>
        <w:lastRenderedPageBreak/>
        <w:t>Reformas Reglamentarias</w:t>
      </w:r>
      <w:bookmarkEnd w:id="30"/>
    </w:p>
    <w:bookmarkEnd w:id="29"/>
    <w:p w14:paraId="076F3C6E" w14:textId="77777777" w:rsidR="00BB6061" w:rsidRPr="00BB6061" w:rsidRDefault="00BB6061" w:rsidP="00BB6061">
      <w:pPr>
        <w:tabs>
          <w:tab w:val="left" w:pos="1485"/>
        </w:tabs>
        <w:spacing w:after="0" w:line="240" w:lineRule="auto"/>
      </w:pPr>
    </w:p>
    <w:p w14:paraId="251CCAD0" w14:textId="660D5566" w:rsidR="005D1F82" w:rsidRDefault="005D1F82" w:rsidP="005D1F82">
      <w:pPr>
        <w:pStyle w:val="Descripcin"/>
        <w:spacing w:after="0"/>
        <w:jc w:val="center"/>
      </w:pPr>
      <w:r>
        <w:t xml:space="preserve">Tabla </w:t>
      </w:r>
      <w:r>
        <w:fldChar w:fldCharType="begin"/>
      </w:r>
      <w:r>
        <w:instrText xml:space="preserve"> SEQ Tabla \* ARABIC </w:instrText>
      </w:r>
      <w:r>
        <w:fldChar w:fldCharType="separate"/>
      </w:r>
      <w:r w:rsidR="00DB681D">
        <w:rPr>
          <w:noProof/>
        </w:rPr>
        <w:t>11</w:t>
      </w:r>
      <w:r>
        <w:fldChar w:fldCharType="end"/>
      </w:r>
      <w:r>
        <w:t>: Reformas a Reglamentos</w:t>
      </w:r>
      <w:r w:rsidR="00C05C73">
        <w:t xml:space="preserve"> de SUPEN</w:t>
      </w:r>
    </w:p>
    <w:p w14:paraId="497953C2" w14:textId="77777777" w:rsidR="00C05C73" w:rsidRDefault="00C05C73" w:rsidP="00C05C73">
      <w:pPr>
        <w:pStyle w:val="Descripcin"/>
        <w:spacing w:after="0"/>
        <w:jc w:val="center"/>
      </w:pPr>
      <w:r>
        <w:t>Aprobados por el CONASSIF</w:t>
      </w:r>
    </w:p>
    <w:p w14:paraId="1C473B18" w14:textId="77777777" w:rsidR="005D1F82" w:rsidRDefault="005D1F82" w:rsidP="005D1F82">
      <w:pPr>
        <w:pStyle w:val="Descripcin"/>
        <w:spacing w:after="0"/>
        <w:jc w:val="center"/>
      </w:pPr>
      <w:r>
        <w:t>durante el cuarto trimestre del 2020</w:t>
      </w:r>
    </w:p>
    <w:tbl>
      <w:tblPr>
        <w:tblStyle w:val="Tablaconcuadrcula4-nfasis1"/>
        <w:tblW w:w="5176" w:type="pct"/>
        <w:jc w:val="center"/>
        <w:tblLook w:val="04A0" w:firstRow="1" w:lastRow="0" w:firstColumn="1" w:lastColumn="0" w:noHBand="0" w:noVBand="1"/>
      </w:tblPr>
      <w:tblGrid>
        <w:gridCol w:w="5754"/>
        <w:gridCol w:w="2067"/>
        <w:gridCol w:w="5924"/>
      </w:tblGrid>
      <w:tr w:rsidR="005D1F82" w:rsidRPr="0062045B" w14:paraId="33FDFD28" w14:textId="77777777" w:rsidTr="00E452A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093" w:type="pct"/>
          </w:tcPr>
          <w:p w14:paraId="1F57D799" w14:textId="77777777" w:rsidR="005D1F82" w:rsidRPr="00F93DBE" w:rsidRDefault="005D1F82" w:rsidP="004B499C">
            <w:pPr>
              <w:rPr>
                <w:rFonts w:eastAsia="Times New Roman" w:cs="Calibri"/>
                <w:lang w:val="es-CR"/>
              </w:rPr>
            </w:pPr>
            <w:r w:rsidRPr="00F93DBE">
              <w:rPr>
                <w:rFonts w:eastAsia="Times New Roman" w:cs="Calibri"/>
                <w:lang w:val="es-CR"/>
              </w:rPr>
              <w:t>Reglamento</w:t>
            </w:r>
          </w:p>
        </w:tc>
        <w:tc>
          <w:tcPr>
            <w:tcW w:w="752" w:type="pct"/>
            <w:noWrap/>
            <w:hideMark/>
          </w:tcPr>
          <w:p w14:paraId="07F6C341" w14:textId="77777777" w:rsidR="005D1F82" w:rsidRPr="0062045B" w:rsidRDefault="005D1F82" w:rsidP="004B499C">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2045B">
              <w:rPr>
                <w:rFonts w:eastAsia="Times New Roman" w:cs="Calibri"/>
                <w:lang w:val="es-CR"/>
              </w:rPr>
              <w:t>Acuerdo</w:t>
            </w:r>
          </w:p>
        </w:tc>
        <w:tc>
          <w:tcPr>
            <w:tcW w:w="2155" w:type="pct"/>
            <w:noWrap/>
            <w:hideMark/>
          </w:tcPr>
          <w:p w14:paraId="20AD50B5" w14:textId="77777777" w:rsidR="005D1F82" w:rsidRPr="0062045B" w:rsidRDefault="005D1F82" w:rsidP="004B499C">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2045B">
              <w:rPr>
                <w:rFonts w:eastAsia="Times New Roman" w:cs="Calibri"/>
                <w:lang w:val="es-CR"/>
              </w:rPr>
              <w:t>Alcance</w:t>
            </w:r>
          </w:p>
        </w:tc>
      </w:tr>
      <w:tr w:rsidR="005D1F82" w:rsidRPr="0062045B" w14:paraId="19E26CCC" w14:textId="77777777" w:rsidTr="00E452A9">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093" w:type="pct"/>
          </w:tcPr>
          <w:p w14:paraId="31E5B35C" w14:textId="77777777" w:rsidR="005D1F82" w:rsidRPr="00C726C8" w:rsidRDefault="005D1F82" w:rsidP="004B499C">
            <w:pPr>
              <w:jc w:val="both"/>
              <w:rPr>
                <w:rFonts w:eastAsia="Times New Roman" w:cs="Calibri"/>
                <w:color w:val="000000"/>
                <w:lang w:val="es-CR"/>
              </w:rPr>
            </w:pPr>
            <w:r w:rsidRPr="00C726C8">
              <w:rPr>
                <w:rFonts w:eastAsia="Times New Roman" w:cs="Calibri"/>
                <w:color w:val="000000"/>
                <w:lang w:val="es-CR"/>
              </w:rPr>
              <w:t>Reglamento sobre</w:t>
            </w:r>
            <w:r>
              <w:rPr>
                <w:rFonts w:eastAsia="Times New Roman" w:cs="Calibri"/>
                <w:color w:val="000000"/>
                <w:lang w:val="es-CR"/>
              </w:rPr>
              <w:t xml:space="preserve"> </w:t>
            </w:r>
            <w:r w:rsidRPr="00C726C8">
              <w:rPr>
                <w:rFonts w:eastAsia="Times New Roman" w:cs="Calibri"/>
                <w:color w:val="000000"/>
                <w:lang w:val="es-CR"/>
              </w:rPr>
              <w:t>la apertura y funcionamiento de las entidades autorizadas y el funcionamiento de los</w:t>
            </w:r>
          </w:p>
          <w:p w14:paraId="541EA35E" w14:textId="77777777" w:rsidR="005D1F82" w:rsidRPr="00F02C01" w:rsidRDefault="005D1F82" w:rsidP="004B499C">
            <w:pPr>
              <w:jc w:val="both"/>
              <w:rPr>
                <w:rFonts w:eastAsia="Times New Roman" w:cs="Calibri"/>
                <w:color w:val="000000"/>
                <w:lang w:val="es-CR"/>
              </w:rPr>
            </w:pPr>
            <w:r w:rsidRPr="00C726C8">
              <w:rPr>
                <w:rFonts w:eastAsia="Times New Roman" w:cs="Calibri"/>
                <w:color w:val="000000"/>
                <w:lang w:val="es-CR"/>
              </w:rPr>
              <w:t>fondos de pensiones, capitalización laboral y ahorro voluntario previstos en la Ley de</w:t>
            </w:r>
            <w:r>
              <w:rPr>
                <w:rFonts w:eastAsia="Times New Roman" w:cs="Calibri"/>
                <w:color w:val="000000"/>
                <w:lang w:val="es-CR"/>
              </w:rPr>
              <w:t xml:space="preserve"> </w:t>
            </w:r>
            <w:r w:rsidRPr="00C726C8">
              <w:rPr>
                <w:rFonts w:eastAsia="Times New Roman" w:cs="Calibri"/>
                <w:color w:val="000000"/>
                <w:lang w:val="es-CR"/>
              </w:rPr>
              <w:t>Protección al Trabajador</w:t>
            </w:r>
            <w:r>
              <w:rPr>
                <w:rFonts w:eastAsia="Times New Roman" w:cs="Calibri"/>
                <w:color w:val="000000"/>
                <w:lang w:val="es-CR"/>
              </w:rPr>
              <w:t xml:space="preserve"> (RAF)</w:t>
            </w:r>
          </w:p>
        </w:tc>
        <w:tc>
          <w:tcPr>
            <w:tcW w:w="752" w:type="pct"/>
          </w:tcPr>
          <w:p w14:paraId="366E29E9" w14:textId="77777777" w:rsidR="005D1F82" w:rsidRPr="0062045B" w:rsidRDefault="005D1F82"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CR"/>
              </w:rPr>
            </w:pPr>
            <w:r>
              <w:t>Sesión 1609-2020, Artículo 11 celebrada el 5 de octubre de 2020.</w:t>
            </w:r>
          </w:p>
        </w:tc>
        <w:tc>
          <w:tcPr>
            <w:tcW w:w="2155" w:type="pct"/>
          </w:tcPr>
          <w:p w14:paraId="3B4AA48A" w14:textId="77777777" w:rsidR="005D1F82" w:rsidRDefault="005D1F82"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L</w:t>
            </w:r>
            <w:r w:rsidRPr="00D96C66">
              <w:rPr>
                <w:rFonts w:eastAsia="Times New Roman" w:cs="Calibri"/>
                <w:color w:val="000000"/>
                <w:lang w:val="es-CR"/>
              </w:rPr>
              <w:t xml:space="preserve">a Ley 9906, </w:t>
            </w:r>
            <w:r w:rsidRPr="00C05C73">
              <w:rPr>
                <w:rFonts w:eastAsia="Times New Roman" w:cs="Calibri"/>
                <w:i/>
                <w:iCs/>
                <w:color w:val="000000"/>
                <w:lang w:val="es-CR"/>
              </w:rPr>
              <w:t>“Ley para resguardar el derecho de los trabajadores a retirar los recursos de la pensión complementaria”,</w:t>
            </w:r>
            <w:r w:rsidRPr="00D96C66">
              <w:rPr>
                <w:rFonts w:eastAsia="Times New Roman" w:cs="Calibri"/>
                <w:color w:val="000000"/>
                <w:lang w:val="es-CR"/>
              </w:rPr>
              <w:t xml:space="preserve"> </w:t>
            </w:r>
            <w:r>
              <w:rPr>
                <w:rFonts w:eastAsia="Times New Roman" w:cs="Calibri"/>
                <w:color w:val="000000"/>
                <w:lang w:val="es-CR"/>
              </w:rPr>
              <w:t>modificó</w:t>
            </w:r>
            <w:r w:rsidRPr="00D96C66">
              <w:rPr>
                <w:rFonts w:eastAsia="Times New Roman" w:cs="Calibri"/>
                <w:color w:val="000000"/>
                <w:lang w:val="es-CR"/>
              </w:rPr>
              <w:t xml:space="preserve"> el inciso a) del artículo 2, los</w:t>
            </w:r>
            <w:r>
              <w:rPr>
                <w:rFonts w:eastAsia="Times New Roman" w:cs="Calibri"/>
                <w:color w:val="000000"/>
                <w:lang w:val="es-CR"/>
              </w:rPr>
              <w:t xml:space="preserve"> </w:t>
            </w:r>
            <w:r w:rsidRPr="00D96C66">
              <w:rPr>
                <w:rFonts w:eastAsia="Times New Roman" w:cs="Calibri"/>
                <w:color w:val="000000"/>
                <w:lang w:val="es-CR"/>
              </w:rPr>
              <w:t>artículos 3, 8, 13, 20, 22, 25 y 56, el segundo párrafo del artículo 75</w:t>
            </w:r>
            <w:r>
              <w:rPr>
                <w:rFonts w:eastAsia="Times New Roman" w:cs="Calibri"/>
                <w:color w:val="000000"/>
                <w:lang w:val="es-CR"/>
              </w:rPr>
              <w:t xml:space="preserve">, </w:t>
            </w:r>
            <w:r w:rsidRPr="00D96C66">
              <w:rPr>
                <w:rFonts w:eastAsia="Times New Roman" w:cs="Calibri"/>
                <w:color w:val="000000"/>
                <w:lang w:val="es-CR"/>
              </w:rPr>
              <w:t>el artículo 77</w:t>
            </w:r>
            <w:r>
              <w:rPr>
                <w:rFonts w:eastAsia="Times New Roman" w:cs="Calibri"/>
                <w:color w:val="000000"/>
                <w:lang w:val="es-CR"/>
              </w:rPr>
              <w:t xml:space="preserve"> y los </w:t>
            </w:r>
            <w:r w:rsidRPr="00603A7A">
              <w:rPr>
                <w:rFonts w:eastAsia="Times New Roman" w:cs="Calibri"/>
                <w:color w:val="000000"/>
                <w:lang w:val="es-CR"/>
              </w:rPr>
              <w:t>Transitorios XIX y XX</w:t>
            </w:r>
            <w:r w:rsidRPr="00D96C66">
              <w:rPr>
                <w:rFonts w:eastAsia="Times New Roman" w:cs="Calibri"/>
                <w:color w:val="000000"/>
                <w:lang w:val="es-CR"/>
              </w:rPr>
              <w:t xml:space="preserve"> de</w:t>
            </w:r>
            <w:r>
              <w:rPr>
                <w:rFonts w:eastAsia="Times New Roman" w:cs="Calibri"/>
                <w:color w:val="000000"/>
                <w:lang w:val="es-CR"/>
              </w:rPr>
              <w:t xml:space="preserve"> </w:t>
            </w:r>
            <w:r w:rsidRPr="00D96C66">
              <w:rPr>
                <w:rFonts w:eastAsia="Times New Roman" w:cs="Calibri"/>
                <w:color w:val="000000"/>
                <w:lang w:val="es-CR"/>
              </w:rPr>
              <w:t>la Ley 7983, Ley de Protección al Trabajador</w:t>
            </w:r>
            <w:r>
              <w:rPr>
                <w:rFonts w:eastAsia="Times New Roman" w:cs="Calibri"/>
                <w:color w:val="000000"/>
                <w:lang w:val="es-CR"/>
              </w:rPr>
              <w:t>.</w:t>
            </w:r>
          </w:p>
          <w:p w14:paraId="179B3056" w14:textId="77777777" w:rsidR="005D1F82" w:rsidRDefault="005D1F82" w:rsidP="004B499C">
            <w:pPr>
              <w:jc w:val="both"/>
              <w:cnfStyle w:val="000000100000" w:firstRow="0" w:lastRow="0" w:firstColumn="0" w:lastColumn="0" w:oddVBand="0" w:evenVBand="0" w:oddHBand="1" w:evenHBand="0" w:firstRowFirstColumn="0" w:firstRowLastColumn="0" w:lastRowFirstColumn="0" w:lastRowLastColumn="0"/>
            </w:pPr>
            <w:r>
              <w:t>Dichas reformas a la LPT, hacen necesaria la reforma a los artículos 4, 86, 98 y 104 del RAF, relativas a la administración del FCL</w:t>
            </w:r>
            <w:r w:rsidR="00264D3E">
              <w:t>.</w:t>
            </w:r>
          </w:p>
          <w:p w14:paraId="6A820ABA" w14:textId="6EED1067" w:rsidR="0098408F" w:rsidRPr="0062045B" w:rsidRDefault="0098408F"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p>
        </w:tc>
      </w:tr>
      <w:tr w:rsidR="005D1F82" w:rsidRPr="0062045B" w14:paraId="51914934" w14:textId="77777777" w:rsidTr="00E452A9">
        <w:trPr>
          <w:trHeight w:val="456"/>
          <w:jc w:val="center"/>
        </w:trPr>
        <w:tc>
          <w:tcPr>
            <w:cnfStyle w:val="001000000000" w:firstRow="0" w:lastRow="0" w:firstColumn="1" w:lastColumn="0" w:oddVBand="0" w:evenVBand="0" w:oddHBand="0" w:evenHBand="0" w:firstRowFirstColumn="0" w:firstRowLastColumn="0" w:lastRowFirstColumn="0" w:lastRowLastColumn="0"/>
            <w:tcW w:w="2093" w:type="pct"/>
          </w:tcPr>
          <w:p w14:paraId="1E747ED1" w14:textId="77777777" w:rsidR="005D1F82" w:rsidRPr="00AE3757" w:rsidRDefault="005D1F82" w:rsidP="004B499C">
            <w:pPr>
              <w:jc w:val="both"/>
              <w:rPr>
                <w:rFonts w:eastAsia="Times New Roman" w:cs="Calibri"/>
                <w:color w:val="000000"/>
              </w:rPr>
            </w:pPr>
            <w:r>
              <w:rPr>
                <w:rFonts w:eastAsia="Times New Roman" w:cs="Calibri"/>
                <w:color w:val="000000"/>
              </w:rPr>
              <w:t>Reglamento de Beneficios</w:t>
            </w:r>
          </w:p>
        </w:tc>
        <w:tc>
          <w:tcPr>
            <w:tcW w:w="752" w:type="pct"/>
          </w:tcPr>
          <w:p w14:paraId="7631CDF2" w14:textId="77777777" w:rsidR="005D1F82" w:rsidRPr="00AE3757" w:rsidRDefault="005D1F82" w:rsidP="004B499C">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8E529E">
              <w:rPr>
                <w:rFonts w:eastAsia="Times New Roman" w:cs="Calibri"/>
                <w:color w:val="000000"/>
              </w:rPr>
              <w:t>Sesión 1609-2020, Artículo 11 celebrada el 5 de octubre de 2020.</w:t>
            </w:r>
          </w:p>
        </w:tc>
        <w:tc>
          <w:tcPr>
            <w:tcW w:w="2155" w:type="pct"/>
          </w:tcPr>
          <w:p w14:paraId="76165394" w14:textId="098A12EC" w:rsidR="005D1F82" w:rsidRPr="0062045B" w:rsidRDefault="005D1F82" w:rsidP="004B499C">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La reforma practicada por la </w:t>
            </w:r>
            <w:r w:rsidRPr="00B96C8F">
              <w:rPr>
                <w:rFonts w:eastAsia="Times New Roman" w:cs="Calibri"/>
                <w:color w:val="000000"/>
                <w:lang w:val="es-CR"/>
              </w:rPr>
              <w:t xml:space="preserve">Ley 9906, </w:t>
            </w:r>
            <w:r>
              <w:rPr>
                <w:rFonts w:eastAsia="Times New Roman" w:cs="Calibri"/>
                <w:color w:val="000000"/>
                <w:lang w:val="es-CR"/>
              </w:rPr>
              <w:t>a</w:t>
            </w:r>
            <w:r w:rsidRPr="00B96C8F">
              <w:rPr>
                <w:rFonts w:eastAsia="Times New Roman" w:cs="Calibri"/>
                <w:color w:val="000000"/>
                <w:lang w:val="es-CR"/>
              </w:rPr>
              <w:t xml:space="preserve"> la Ley 7983, Ley de Protección al Trabajador</w:t>
            </w:r>
            <w:r>
              <w:rPr>
                <w:rFonts w:eastAsia="Times New Roman" w:cs="Calibri"/>
                <w:color w:val="000000"/>
                <w:lang w:val="es-CR"/>
              </w:rPr>
              <w:t xml:space="preserve">, también hace necesario la modificación de los artículos </w:t>
            </w:r>
            <w:r w:rsidRPr="00664D3F">
              <w:rPr>
                <w:rFonts w:eastAsia="Times New Roman" w:cs="Calibri"/>
                <w:color w:val="000000"/>
                <w:lang w:val="es-CR"/>
              </w:rPr>
              <w:t>2, 4, 5, 6, 10, 12, 17, 23, 26, 42 y el Anexo III</w:t>
            </w:r>
            <w:r>
              <w:rPr>
                <w:rFonts w:eastAsia="Times New Roman" w:cs="Calibri"/>
                <w:color w:val="000000"/>
                <w:lang w:val="es-CR"/>
              </w:rPr>
              <w:t xml:space="preserve"> del Reglamento de Beneficios, relativos a las modalidades de pensión, </w:t>
            </w:r>
            <w:r w:rsidRPr="00E4258D">
              <w:rPr>
                <w:rFonts w:eastAsia="Times New Roman" w:cs="Calibri"/>
                <w:color w:val="000000"/>
                <w:lang w:val="es-CR"/>
              </w:rPr>
              <w:t>ya que</w:t>
            </w:r>
            <w:r>
              <w:rPr>
                <w:rFonts w:eastAsia="Times New Roman" w:cs="Calibri"/>
                <w:color w:val="000000"/>
                <w:lang w:val="es-CR"/>
              </w:rPr>
              <w:t xml:space="preserve"> </w:t>
            </w:r>
            <w:r w:rsidRPr="00E4258D">
              <w:rPr>
                <w:rFonts w:eastAsia="Times New Roman" w:cs="Calibri"/>
                <w:color w:val="000000"/>
                <w:lang w:val="es-CR"/>
              </w:rPr>
              <w:t>dichas normas reglamentarias responden a las normas de la ley No. 7983 que se</w:t>
            </w:r>
            <w:r>
              <w:rPr>
                <w:rFonts w:eastAsia="Times New Roman" w:cs="Calibri"/>
                <w:color w:val="000000"/>
                <w:lang w:val="es-CR"/>
              </w:rPr>
              <w:t xml:space="preserve"> </w:t>
            </w:r>
            <w:r w:rsidRPr="00E4258D">
              <w:rPr>
                <w:rFonts w:eastAsia="Times New Roman" w:cs="Calibri"/>
                <w:color w:val="000000"/>
                <w:lang w:val="es-CR"/>
              </w:rPr>
              <w:t>encontraban vigentes antes de la promulgación de la Ley 9906</w:t>
            </w:r>
            <w:r>
              <w:rPr>
                <w:rFonts w:eastAsia="Times New Roman" w:cs="Calibri"/>
                <w:color w:val="000000"/>
                <w:lang w:val="es-CR"/>
              </w:rPr>
              <w:t>.</w:t>
            </w:r>
          </w:p>
        </w:tc>
      </w:tr>
    </w:tbl>
    <w:p w14:paraId="79785023" w14:textId="77777777" w:rsidR="00B96A35" w:rsidRDefault="00B96A35" w:rsidP="00B96A35">
      <w:pPr>
        <w:pStyle w:val="Descripcin"/>
        <w:spacing w:after="0"/>
      </w:pPr>
      <w:r>
        <w:t xml:space="preserve">Fuente: Elaboración propia </w:t>
      </w:r>
    </w:p>
    <w:p w14:paraId="7A342730" w14:textId="77777777" w:rsidR="00041A3A" w:rsidRDefault="00041A3A">
      <w:pPr>
        <w:rPr>
          <w:rFonts w:asciiTheme="majorHAnsi" w:eastAsiaTheme="majorEastAsia" w:hAnsiTheme="majorHAnsi" w:cstheme="majorBidi"/>
          <w:color w:val="365F91" w:themeColor="accent1" w:themeShade="BF"/>
          <w:sz w:val="32"/>
          <w:szCs w:val="32"/>
        </w:rPr>
      </w:pPr>
      <w:r>
        <w:br w:type="page"/>
      </w:r>
    </w:p>
    <w:p w14:paraId="6CF50FD8" w14:textId="42A5D44F" w:rsidR="00B24D2C" w:rsidRDefault="00B24D2C" w:rsidP="00E452A9">
      <w:pPr>
        <w:pStyle w:val="Ttulo2"/>
        <w:numPr>
          <w:ilvl w:val="1"/>
          <w:numId w:val="1"/>
        </w:numPr>
      </w:pPr>
      <w:bookmarkStart w:id="31" w:name="_Toc64457444"/>
      <w:r>
        <w:lastRenderedPageBreak/>
        <w:t>Acuerdos del Superintendente</w:t>
      </w:r>
      <w:bookmarkEnd w:id="31"/>
    </w:p>
    <w:p w14:paraId="2EB793A4" w14:textId="77777777" w:rsidR="00AD50FA" w:rsidRDefault="00AD50FA" w:rsidP="00DD5D6F">
      <w:pPr>
        <w:tabs>
          <w:tab w:val="left" w:pos="1485"/>
        </w:tabs>
        <w:spacing w:after="0" w:line="240" w:lineRule="auto"/>
      </w:pPr>
    </w:p>
    <w:p w14:paraId="53A7CA27" w14:textId="39A33737" w:rsidR="00AD50FA" w:rsidRDefault="00AD50FA" w:rsidP="00AD50FA">
      <w:pPr>
        <w:pStyle w:val="Descripcin"/>
        <w:spacing w:after="0"/>
        <w:jc w:val="center"/>
      </w:pPr>
      <w:r>
        <w:t xml:space="preserve">Tabla </w:t>
      </w:r>
      <w:r>
        <w:fldChar w:fldCharType="begin"/>
      </w:r>
      <w:r>
        <w:instrText xml:space="preserve"> SEQ Tabla \* ARABIC </w:instrText>
      </w:r>
      <w:r>
        <w:fldChar w:fldCharType="separate"/>
      </w:r>
      <w:r w:rsidR="00DB681D">
        <w:rPr>
          <w:noProof/>
        </w:rPr>
        <w:t>12</w:t>
      </w:r>
      <w:r>
        <w:fldChar w:fldCharType="end"/>
      </w:r>
      <w:r>
        <w:t xml:space="preserve">: Acuerdos de </w:t>
      </w:r>
      <w:r w:rsidR="005F0F5C">
        <w:t>Superintendente</w:t>
      </w:r>
    </w:p>
    <w:p w14:paraId="67031042" w14:textId="77777777" w:rsidR="005F0F5C" w:rsidRDefault="005F0F5C" w:rsidP="00AD50FA">
      <w:pPr>
        <w:pStyle w:val="Descripcin"/>
        <w:spacing w:after="0"/>
        <w:jc w:val="center"/>
      </w:pPr>
      <w:r>
        <w:t>Emitidos por SUPEN</w:t>
      </w:r>
    </w:p>
    <w:p w14:paraId="7B93A8DD" w14:textId="1DC09EE1" w:rsidR="00AD50FA" w:rsidRDefault="00AD50FA" w:rsidP="00AD50FA">
      <w:pPr>
        <w:pStyle w:val="Descripcin"/>
        <w:spacing w:after="0"/>
        <w:jc w:val="center"/>
      </w:pPr>
      <w:r>
        <w:t>durante el</w:t>
      </w:r>
      <w:r w:rsidR="0087113D">
        <w:t xml:space="preserve"> </w:t>
      </w:r>
      <w:r w:rsidR="00F46F31">
        <w:t>cuarto</w:t>
      </w:r>
      <w:r>
        <w:t xml:space="preserve"> trimestre del 2020</w:t>
      </w:r>
    </w:p>
    <w:tbl>
      <w:tblPr>
        <w:tblStyle w:val="Tablaconcuadrcula4-nfasis1"/>
        <w:tblW w:w="13036" w:type="dxa"/>
        <w:jc w:val="center"/>
        <w:tblLayout w:type="fixed"/>
        <w:tblLook w:val="04A0" w:firstRow="1" w:lastRow="0" w:firstColumn="1" w:lastColumn="0" w:noHBand="0" w:noVBand="1"/>
      </w:tblPr>
      <w:tblGrid>
        <w:gridCol w:w="3539"/>
        <w:gridCol w:w="9497"/>
      </w:tblGrid>
      <w:tr w:rsidR="009E3157" w:rsidRPr="0062045B" w14:paraId="6540D277" w14:textId="77777777" w:rsidTr="00E452A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69A25B6" w14:textId="77777777" w:rsidR="009E3157" w:rsidRPr="0062045B" w:rsidRDefault="009E3157" w:rsidP="004B499C">
            <w:pPr>
              <w:rPr>
                <w:rFonts w:eastAsia="Times New Roman" w:cs="Calibri"/>
                <w:lang w:val="es-CR"/>
              </w:rPr>
            </w:pPr>
            <w:r w:rsidRPr="0062045B">
              <w:rPr>
                <w:rFonts w:eastAsia="Times New Roman" w:cs="Calibri"/>
                <w:lang w:val="es-CR"/>
              </w:rPr>
              <w:t>Acuerdo</w:t>
            </w:r>
          </w:p>
        </w:tc>
        <w:tc>
          <w:tcPr>
            <w:tcW w:w="9497" w:type="dxa"/>
            <w:noWrap/>
            <w:hideMark/>
          </w:tcPr>
          <w:p w14:paraId="42A5948E" w14:textId="77777777" w:rsidR="009E3157" w:rsidRPr="0062045B" w:rsidRDefault="009E3157" w:rsidP="004B499C">
            <w:pPr>
              <w:cnfStyle w:val="100000000000" w:firstRow="1" w:lastRow="0" w:firstColumn="0" w:lastColumn="0" w:oddVBand="0" w:evenVBand="0" w:oddHBand="0" w:evenHBand="0" w:firstRowFirstColumn="0" w:firstRowLastColumn="0" w:lastRowFirstColumn="0" w:lastRowLastColumn="0"/>
              <w:rPr>
                <w:rFonts w:eastAsia="Times New Roman" w:cs="Calibri"/>
                <w:lang w:val="es-CR"/>
              </w:rPr>
            </w:pPr>
            <w:r w:rsidRPr="0062045B">
              <w:rPr>
                <w:rFonts w:eastAsia="Times New Roman" w:cs="Calibri"/>
                <w:lang w:val="es-CR"/>
              </w:rPr>
              <w:t>Alcance</w:t>
            </w:r>
          </w:p>
        </w:tc>
      </w:tr>
      <w:tr w:rsidR="009E3157" w:rsidRPr="0062045B" w14:paraId="761A9B6E" w14:textId="77777777" w:rsidTr="00E452A9">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539" w:type="dxa"/>
          </w:tcPr>
          <w:p w14:paraId="02D718FE" w14:textId="77777777" w:rsidR="009E3157" w:rsidRPr="0062045B" w:rsidRDefault="009E3157" w:rsidP="004B499C">
            <w:pPr>
              <w:jc w:val="both"/>
              <w:rPr>
                <w:rFonts w:eastAsia="Times New Roman" w:cs="Calibri"/>
                <w:color w:val="000000"/>
                <w:lang w:val="es-CR"/>
              </w:rPr>
            </w:pPr>
            <w:r w:rsidRPr="0062045B">
              <w:rPr>
                <w:rFonts w:eastAsia="Times New Roman" w:cs="Calibri"/>
                <w:color w:val="000000"/>
                <w:lang w:val="es-CR"/>
              </w:rPr>
              <w:t>SP-A-</w:t>
            </w:r>
            <w:r>
              <w:rPr>
                <w:rFonts w:eastAsia="Times New Roman" w:cs="Calibri"/>
                <w:color w:val="000000"/>
                <w:lang w:val="es-CR"/>
              </w:rPr>
              <w:t>229</w:t>
            </w:r>
            <w:r w:rsidRPr="0062045B">
              <w:rPr>
                <w:rFonts w:eastAsia="Times New Roman" w:cs="Calibri"/>
                <w:color w:val="000000"/>
                <w:lang w:val="es-CR"/>
              </w:rPr>
              <w:t xml:space="preserve"> </w:t>
            </w:r>
            <w:r>
              <w:t>Derogatoria de acuerdo SP-A-041</w:t>
            </w:r>
            <w:r w:rsidRPr="0062045B">
              <w:t>.</w:t>
            </w:r>
          </w:p>
        </w:tc>
        <w:tc>
          <w:tcPr>
            <w:tcW w:w="9497" w:type="dxa"/>
          </w:tcPr>
          <w:p w14:paraId="10E6821F" w14:textId="77777777" w:rsidR="009E3157" w:rsidRPr="0062045B" w:rsidRDefault="009E3157"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Se</w:t>
            </w:r>
            <w:r w:rsidRPr="00AE3757">
              <w:rPr>
                <w:rFonts w:eastAsia="Times New Roman" w:cs="Calibri"/>
                <w:color w:val="000000"/>
                <w:lang w:val="es-CR"/>
              </w:rPr>
              <w:t xml:space="preserve"> </w:t>
            </w:r>
            <w:r>
              <w:rPr>
                <w:rFonts w:eastAsia="Times New Roman" w:cs="Calibri"/>
                <w:color w:val="000000"/>
                <w:lang w:val="es-CR"/>
              </w:rPr>
              <w:t>determinó</w:t>
            </w:r>
            <w:r w:rsidRPr="00AE3757">
              <w:rPr>
                <w:rFonts w:eastAsia="Times New Roman" w:cs="Calibri"/>
                <w:color w:val="000000"/>
                <w:lang w:val="es-CR"/>
              </w:rPr>
              <w:t xml:space="preserve"> que el acuerdo SP-A-041 del 07 de noviembre de 2003, contiene disposiciones desactualizadas, además de que resulta actualmente innecesario ya que, lo normado en el mismo, se encuentra previsto en el Reglamento General de Auditores Externos (Capítulo III, artículos del 16 al 19), al igual que lo relativo a las notas de los estados financieros, las cuales deben ajustarse a las Normas Internacionales de Auditoría.</w:t>
            </w:r>
          </w:p>
        </w:tc>
      </w:tr>
      <w:tr w:rsidR="009E3157" w:rsidRPr="0062045B" w14:paraId="7224F530" w14:textId="77777777" w:rsidTr="00E452A9">
        <w:trPr>
          <w:trHeight w:val="456"/>
          <w:jc w:val="center"/>
        </w:trPr>
        <w:tc>
          <w:tcPr>
            <w:cnfStyle w:val="001000000000" w:firstRow="0" w:lastRow="0" w:firstColumn="1" w:lastColumn="0" w:oddVBand="0" w:evenVBand="0" w:oddHBand="0" w:evenHBand="0" w:firstRowFirstColumn="0" w:firstRowLastColumn="0" w:lastRowFirstColumn="0" w:lastRowLastColumn="0"/>
            <w:tcW w:w="3539" w:type="dxa"/>
          </w:tcPr>
          <w:p w14:paraId="75C9B655" w14:textId="77777777" w:rsidR="009E3157" w:rsidRPr="00AE3757" w:rsidRDefault="009E3157" w:rsidP="004B499C">
            <w:pPr>
              <w:jc w:val="both"/>
              <w:rPr>
                <w:rFonts w:eastAsia="Times New Roman" w:cs="Calibri"/>
                <w:color w:val="000000"/>
              </w:rPr>
            </w:pPr>
            <w:r w:rsidRPr="00AE3757">
              <w:rPr>
                <w:rFonts w:eastAsia="Times New Roman" w:cs="Calibri"/>
                <w:color w:val="000000"/>
              </w:rPr>
              <w:t>SP-A-230</w:t>
            </w:r>
            <w:r>
              <w:rPr>
                <w:rFonts w:eastAsia="Times New Roman" w:cs="Calibri"/>
                <w:color w:val="000000"/>
              </w:rPr>
              <w:t xml:space="preserve"> Reforma del SP-A-141 </w:t>
            </w:r>
            <w:r w:rsidRPr="00432EAE">
              <w:rPr>
                <w:rFonts w:eastAsia="Times New Roman" w:cs="Calibri"/>
                <w:i/>
                <w:iCs/>
                <w:color w:val="000000"/>
              </w:rPr>
              <w:t>“Disposiciones relativas a las modalidades de pensión para el régimen complementario de pensiones de capitalización individual”</w:t>
            </w:r>
          </w:p>
        </w:tc>
        <w:tc>
          <w:tcPr>
            <w:tcW w:w="9497" w:type="dxa"/>
          </w:tcPr>
          <w:p w14:paraId="5664BFF5" w14:textId="769DEC57" w:rsidR="009E3157" w:rsidRPr="0062045B" w:rsidRDefault="009E3157" w:rsidP="004B499C">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C</w:t>
            </w:r>
            <w:r w:rsidRPr="00AE3757">
              <w:rPr>
                <w:rFonts w:eastAsia="Times New Roman" w:cs="Calibri"/>
                <w:color w:val="000000"/>
                <w:lang w:val="es-CR"/>
              </w:rPr>
              <w:t>onsecuencia de la reforma a la Ley de Protección al Trabajador</w:t>
            </w:r>
            <w:r>
              <w:rPr>
                <w:rFonts w:eastAsia="Times New Roman" w:cs="Calibri"/>
                <w:color w:val="000000"/>
                <w:lang w:val="es-CR"/>
              </w:rPr>
              <w:t xml:space="preserve">, por la ley </w:t>
            </w:r>
            <w:r w:rsidRPr="00AE3757">
              <w:rPr>
                <w:rFonts w:eastAsia="Times New Roman" w:cs="Calibri"/>
                <w:color w:val="000000"/>
                <w:lang w:val="es-CR"/>
              </w:rPr>
              <w:t xml:space="preserve">No 9906, </w:t>
            </w:r>
            <w:r w:rsidRPr="00C31EF0">
              <w:rPr>
                <w:rFonts w:eastAsia="Times New Roman" w:cs="Calibri"/>
                <w:i/>
                <w:iCs/>
                <w:color w:val="000000"/>
                <w:lang w:val="es-CR"/>
              </w:rPr>
              <w:t>“Ley para resguardar el derecho de los trabajadores a retirar los recursos de la pensión complementaria”,</w:t>
            </w:r>
            <w:r>
              <w:rPr>
                <w:rFonts w:eastAsia="Times New Roman" w:cs="Calibri"/>
                <w:color w:val="000000"/>
                <w:lang w:val="es-CR"/>
              </w:rPr>
              <w:t xml:space="preserve"> se hizo necesario derogar </w:t>
            </w:r>
            <w:r w:rsidRPr="00AE3757">
              <w:rPr>
                <w:rFonts w:eastAsia="Times New Roman" w:cs="Calibri"/>
                <w:color w:val="000000"/>
                <w:lang w:val="es-CR"/>
              </w:rPr>
              <w:t xml:space="preserve">el artículo 5, y </w:t>
            </w:r>
            <w:r>
              <w:rPr>
                <w:rFonts w:eastAsia="Times New Roman" w:cs="Calibri"/>
                <w:color w:val="000000"/>
                <w:lang w:val="es-CR"/>
              </w:rPr>
              <w:t xml:space="preserve">modificar </w:t>
            </w:r>
            <w:r w:rsidRPr="00AE3757">
              <w:rPr>
                <w:rFonts w:eastAsia="Times New Roman" w:cs="Calibri"/>
                <w:color w:val="000000"/>
                <w:lang w:val="es-CR"/>
              </w:rPr>
              <w:t xml:space="preserve"> los artículos 3 y 4, la nota de la fórmula del artículo 12, el Anexo I), los  artículos 19 y 23, y se agregan tres disposiciones transitorias, todos del acuerdo SP-A-141 de las once horas del treinta de abril de 2010</w:t>
            </w:r>
            <w:r w:rsidR="00432EAE">
              <w:rPr>
                <w:rFonts w:eastAsia="Times New Roman" w:cs="Calibri"/>
                <w:color w:val="000000"/>
                <w:lang w:val="es-CR"/>
              </w:rPr>
              <w:t>.</w:t>
            </w:r>
          </w:p>
        </w:tc>
      </w:tr>
      <w:tr w:rsidR="009E3157" w:rsidRPr="0062045B" w14:paraId="45CC6278" w14:textId="77777777" w:rsidTr="00E452A9">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539" w:type="dxa"/>
          </w:tcPr>
          <w:p w14:paraId="0EDF34D1" w14:textId="77777777" w:rsidR="009E3157" w:rsidRPr="00277DB1" w:rsidRDefault="009E3157" w:rsidP="004B499C">
            <w:pPr>
              <w:jc w:val="both"/>
              <w:rPr>
                <w:rFonts w:eastAsia="Times New Roman" w:cs="Calibri"/>
                <w:color w:val="000000"/>
                <w:lang w:val="es-CR"/>
              </w:rPr>
            </w:pPr>
            <w:r w:rsidRPr="00277DB1">
              <w:rPr>
                <w:rFonts w:eastAsia="Times New Roman" w:cs="Calibri"/>
                <w:color w:val="000000"/>
                <w:lang w:val="es-CR"/>
              </w:rPr>
              <w:t xml:space="preserve">SP-A-231 </w:t>
            </w:r>
            <w:r>
              <w:rPr>
                <w:rFonts w:eastAsia="Times New Roman" w:cs="Calibri"/>
                <w:color w:val="000000"/>
                <w:lang w:val="es-CR"/>
              </w:rPr>
              <w:t xml:space="preserve">Adición al </w:t>
            </w:r>
            <w:r w:rsidRPr="00277DB1">
              <w:rPr>
                <w:rFonts w:eastAsia="Times New Roman" w:cs="Calibri"/>
                <w:color w:val="000000"/>
                <w:lang w:val="es-CR"/>
              </w:rPr>
              <w:t>Manual de Información para las Entidades Supervisadas y Fondos Administrados</w:t>
            </w:r>
          </w:p>
        </w:tc>
        <w:tc>
          <w:tcPr>
            <w:tcW w:w="9497" w:type="dxa"/>
          </w:tcPr>
          <w:p w14:paraId="23F9EB80" w14:textId="5F002514" w:rsidR="009E3157" w:rsidRPr="00277DB1" w:rsidRDefault="009E3157"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lang w:val="es-CR"/>
              </w:rPr>
              <w:t xml:space="preserve">Se adiciona el Capítulo VII al citado manual, relativo a Préstamos, </w:t>
            </w:r>
            <w:r w:rsidRPr="00277DB1">
              <w:rPr>
                <w:rFonts w:eastAsia="Times New Roman" w:cs="Calibri"/>
                <w:color w:val="000000"/>
                <w:lang w:val="es-CR"/>
              </w:rPr>
              <w:t>con el propósito de incorporar el descriptivo que aplica para las entidades supervisadas, así como los requerimientos para el suministro del archivo de préstamos por parte de las entidades supervisadas para, de esta manera, cumplir con la normativa establecida por el C</w:t>
            </w:r>
            <w:r>
              <w:rPr>
                <w:rFonts w:eastAsia="Times New Roman" w:cs="Calibri"/>
                <w:color w:val="000000"/>
                <w:lang w:val="es-CR"/>
              </w:rPr>
              <w:t>ONASSIF</w:t>
            </w:r>
            <w:r w:rsidRPr="00277DB1">
              <w:rPr>
                <w:rFonts w:eastAsia="Times New Roman" w:cs="Calibri"/>
                <w:color w:val="000000"/>
                <w:lang w:val="es-CR"/>
              </w:rPr>
              <w:t>.</w:t>
            </w:r>
          </w:p>
        </w:tc>
      </w:tr>
      <w:tr w:rsidR="009E3157" w:rsidRPr="0062045B" w14:paraId="4E3BDB1E" w14:textId="77777777" w:rsidTr="00E452A9">
        <w:trPr>
          <w:trHeight w:val="456"/>
          <w:jc w:val="center"/>
        </w:trPr>
        <w:tc>
          <w:tcPr>
            <w:cnfStyle w:val="001000000000" w:firstRow="0" w:lastRow="0" w:firstColumn="1" w:lastColumn="0" w:oddVBand="0" w:evenVBand="0" w:oddHBand="0" w:evenHBand="0" w:firstRowFirstColumn="0" w:firstRowLastColumn="0" w:lastRowFirstColumn="0" w:lastRowLastColumn="0"/>
            <w:tcW w:w="3539" w:type="dxa"/>
          </w:tcPr>
          <w:p w14:paraId="4CEA6EAF" w14:textId="77777777" w:rsidR="009E3157" w:rsidRPr="00277DB1" w:rsidRDefault="009E3157" w:rsidP="004B499C">
            <w:pPr>
              <w:jc w:val="both"/>
              <w:rPr>
                <w:rFonts w:eastAsia="Times New Roman" w:cs="Calibri"/>
                <w:color w:val="000000"/>
                <w:lang w:val="es-CR"/>
              </w:rPr>
            </w:pPr>
            <w:r w:rsidRPr="00277DB1">
              <w:rPr>
                <w:rFonts w:eastAsia="Times New Roman" w:cs="Calibri"/>
                <w:color w:val="000000"/>
                <w:lang w:val="es-CR"/>
              </w:rPr>
              <w:t>SP-A-232</w:t>
            </w:r>
            <w:r>
              <w:rPr>
                <w:rFonts w:eastAsia="Times New Roman" w:cs="Calibri"/>
                <w:color w:val="000000"/>
                <w:lang w:val="es-CR"/>
              </w:rPr>
              <w:t xml:space="preserve"> </w:t>
            </w:r>
            <w:bookmarkStart w:id="32" w:name="_Hlk61614692"/>
            <w:r>
              <w:rPr>
                <w:rFonts w:eastAsia="Times New Roman" w:cs="Calibri"/>
                <w:color w:val="000000"/>
                <w:lang w:val="es-CR"/>
              </w:rPr>
              <w:t xml:space="preserve">Derogatoria de varios acuerdos, en aplicación de la </w:t>
            </w:r>
            <w:r w:rsidRPr="00277DB1">
              <w:rPr>
                <w:rFonts w:eastAsia="Times New Roman" w:cs="Calibri"/>
                <w:color w:val="000000"/>
                <w:lang w:val="es-CR"/>
              </w:rPr>
              <w:t xml:space="preserve">ley N° 9548, </w:t>
            </w:r>
            <w:r>
              <w:rPr>
                <w:rFonts w:eastAsia="Times New Roman" w:cs="Calibri"/>
                <w:color w:val="000000"/>
                <w:lang w:val="es-CR"/>
              </w:rPr>
              <w:t>“</w:t>
            </w:r>
            <w:r w:rsidRPr="00B926FD">
              <w:rPr>
                <w:rFonts w:eastAsia="Times New Roman" w:cs="Calibri"/>
                <w:i/>
                <w:iCs/>
                <w:color w:val="000000"/>
                <w:lang w:val="es-CR"/>
              </w:rPr>
              <w:t>Protección y Defensa de las Personas Trabajadoras del Banco Crédito Agrícola de Cartago</w:t>
            </w:r>
            <w:bookmarkEnd w:id="32"/>
            <w:r w:rsidRPr="00B926FD">
              <w:rPr>
                <w:rFonts w:eastAsia="Times New Roman" w:cs="Calibri"/>
                <w:i/>
                <w:iCs/>
                <w:color w:val="000000"/>
                <w:lang w:val="es-CR"/>
              </w:rPr>
              <w:t>”</w:t>
            </w:r>
          </w:p>
        </w:tc>
        <w:tc>
          <w:tcPr>
            <w:tcW w:w="9497" w:type="dxa"/>
          </w:tcPr>
          <w:p w14:paraId="58A5084A" w14:textId="6E15D72E" w:rsidR="009E3157" w:rsidRPr="0062045B" w:rsidRDefault="009E3157" w:rsidP="004B499C">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CR"/>
              </w:rPr>
            </w:pPr>
            <w:r w:rsidRPr="00277DB1">
              <w:rPr>
                <w:rFonts w:eastAsia="Times New Roman" w:cs="Calibri"/>
                <w:color w:val="000000"/>
                <w:lang w:val="es-CR"/>
              </w:rPr>
              <w:t>Se dejan sin efecto los acuerdos SP-A-105 de las catorce horas del diecinueve de noviembre del dos mil siete, Disposiciones para el Fondo de Garantías y Jubilaciones de los Empleados del Banco Crédito Agrícola de Cartago; SP-A-062 de las nueve y treinta horas del primero de junio de 2005, Disposiciones relativas a la remisión de información sobre inversiones. Remisión de información financiera los sábados, domingos y feriados, así como la Carta Circular SP-1053 de las nueve horas del doce de julio del dos mil dos, Disposiciones relativas al suministro de información de las Entidades Autorizadas a la Superintendencia de Pensiones del reporte de valoración a precios de mercado.</w:t>
            </w:r>
          </w:p>
        </w:tc>
      </w:tr>
      <w:tr w:rsidR="009E3157" w:rsidRPr="0062045B" w14:paraId="54AE05B3" w14:textId="77777777" w:rsidTr="00E452A9">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3539" w:type="dxa"/>
          </w:tcPr>
          <w:p w14:paraId="6951FEBD" w14:textId="77777777" w:rsidR="009E3157" w:rsidRPr="00277DB1" w:rsidRDefault="009E3157" w:rsidP="004B499C">
            <w:pPr>
              <w:jc w:val="both"/>
              <w:rPr>
                <w:rFonts w:eastAsia="Times New Roman" w:cs="Calibri"/>
                <w:color w:val="000000"/>
                <w:lang w:val="es-CR"/>
              </w:rPr>
            </w:pPr>
            <w:r w:rsidRPr="00277DB1">
              <w:rPr>
                <w:rFonts w:eastAsia="Times New Roman" w:cs="Calibri"/>
                <w:color w:val="000000"/>
                <w:lang w:val="es-CR"/>
              </w:rPr>
              <w:t>SP-A-233</w:t>
            </w:r>
            <w:r>
              <w:rPr>
                <w:rFonts w:eastAsia="Times New Roman" w:cs="Calibri"/>
                <w:color w:val="000000"/>
                <w:lang w:val="es-CR"/>
              </w:rPr>
              <w:t xml:space="preserve"> D</w:t>
            </w:r>
            <w:r w:rsidRPr="004D2D5A">
              <w:rPr>
                <w:rFonts w:eastAsia="Times New Roman" w:cs="Calibri"/>
                <w:color w:val="000000"/>
                <w:lang w:val="es-CR"/>
              </w:rPr>
              <w:t xml:space="preserve">isposiciones </w:t>
            </w:r>
            <w:r>
              <w:rPr>
                <w:rFonts w:eastAsia="Times New Roman" w:cs="Calibri"/>
                <w:color w:val="000000"/>
                <w:lang w:val="es-CR"/>
              </w:rPr>
              <w:t xml:space="preserve">para la regulación de </w:t>
            </w:r>
            <w:r w:rsidRPr="004D2D5A">
              <w:rPr>
                <w:rFonts w:eastAsia="Times New Roman" w:cs="Calibri"/>
                <w:color w:val="000000"/>
                <w:lang w:val="es-CR"/>
              </w:rPr>
              <w:t>las condiciones del concurso y la administración de los recursos</w:t>
            </w:r>
            <w:r>
              <w:rPr>
                <w:rFonts w:eastAsia="Times New Roman" w:cs="Calibri"/>
                <w:color w:val="000000"/>
                <w:lang w:val="es-CR"/>
              </w:rPr>
              <w:t xml:space="preserve"> </w:t>
            </w:r>
            <w:r w:rsidRPr="004D2D5A">
              <w:rPr>
                <w:rFonts w:eastAsia="Times New Roman" w:cs="Calibri"/>
                <w:color w:val="000000"/>
                <w:lang w:val="es-CR"/>
              </w:rPr>
              <w:t>asociados a los registros erróneos prevista en el artículo 4</w:t>
            </w:r>
            <w:r>
              <w:rPr>
                <w:rFonts w:eastAsia="Times New Roman" w:cs="Calibri"/>
                <w:color w:val="000000"/>
                <w:lang w:val="es-CR"/>
              </w:rPr>
              <w:t xml:space="preserve"> del RAF.</w:t>
            </w:r>
          </w:p>
        </w:tc>
        <w:tc>
          <w:tcPr>
            <w:tcW w:w="9497" w:type="dxa"/>
          </w:tcPr>
          <w:p w14:paraId="09A687A2" w14:textId="77777777" w:rsidR="009E3157" w:rsidRPr="0062045B" w:rsidRDefault="009E3157" w:rsidP="004B499C">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CR"/>
              </w:rPr>
            </w:pPr>
            <w:r>
              <w:rPr>
                <w:rFonts w:eastAsia="Times New Roman" w:cs="Calibri"/>
                <w:color w:val="000000"/>
                <w:lang w:val="es-CR"/>
              </w:rPr>
              <w:t xml:space="preserve">Con la implementación de la </w:t>
            </w:r>
            <w:r w:rsidRPr="004D2D5A">
              <w:rPr>
                <w:rFonts w:eastAsia="Times New Roman" w:cs="Calibri"/>
                <w:color w:val="000000"/>
                <w:lang w:val="es-CR"/>
              </w:rPr>
              <w:t xml:space="preserve">ley No 9906, </w:t>
            </w:r>
            <w:r w:rsidRPr="00B02EA4">
              <w:rPr>
                <w:rFonts w:eastAsia="Times New Roman" w:cs="Calibri"/>
                <w:i/>
                <w:iCs/>
                <w:color w:val="000000"/>
                <w:lang w:val="es-CR"/>
              </w:rPr>
              <w:t>“Ley para resguardar el derecho de los trabajadores a retirar los recursos de la pensión complementaria”</w:t>
            </w:r>
            <w:r>
              <w:rPr>
                <w:rFonts w:eastAsia="Times New Roman" w:cs="Calibri"/>
                <w:color w:val="000000"/>
                <w:lang w:val="es-CR"/>
              </w:rPr>
              <w:t xml:space="preserve"> se hizo necesario derogar </w:t>
            </w:r>
            <w:r w:rsidRPr="004D2D5A">
              <w:rPr>
                <w:rFonts w:eastAsia="Times New Roman" w:cs="Calibri"/>
                <w:color w:val="000000"/>
                <w:lang w:val="es-CR"/>
              </w:rPr>
              <w:t>los acuerdos SP-A-131, Disposiciones relativas a la administración conjunta de los fondos de afiliados automáticos y registros erróneos; SP-A-132, Disposiciones operativas para la administración de los recursos correspondientes a los registros erróneos sujetos a licitación; y SP-A-023, de las catorce horas del veintisiete de marzo del año dos mil tres</w:t>
            </w:r>
            <w:r>
              <w:rPr>
                <w:rFonts w:eastAsia="Times New Roman" w:cs="Calibri"/>
                <w:color w:val="000000"/>
                <w:lang w:val="es-CR"/>
              </w:rPr>
              <w:t xml:space="preserve">, haciéndose necesario emitir </w:t>
            </w:r>
            <w:r w:rsidRPr="004D2D5A">
              <w:rPr>
                <w:rFonts w:eastAsia="Times New Roman" w:cs="Calibri"/>
                <w:color w:val="000000"/>
                <w:lang w:val="es-CR"/>
              </w:rPr>
              <w:t>un nuevo acuerdo comprensivo y actualizado estos tres últimos</w:t>
            </w:r>
            <w:r>
              <w:rPr>
                <w:rFonts w:eastAsia="Times New Roman" w:cs="Calibri"/>
                <w:color w:val="000000"/>
                <w:lang w:val="es-CR"/>
              </w:rPr>
              <w:t>.</w:t>
            </w:r>
          </w:p>
        </w:tc>
      </w:tr>
    </w:tbl>
    <w:p w14:paraId="1F53FCBB" w14:textId="49EA0353" w:rsidR="00E56E1E" w:rsidRDefault="00AD50FA" w:rsidP="00BB6061">
      <w:pPr>
        <w:pStyle w:val="Descripcin"/>
        <w:spacing w:after="0"/>
      </w:pPr>
      <w:r>
        <w:t xml:space="preserve">Fuente: Elaboración propia </w:t>
      </w:r>
    </w:p>
    <w:p w14:paraId="244685F3" w14:textId="66BB540E" w:rsidR="001005C5" w:rsidRDefault="001005C5" w:rsidP="00E452A9">
      <w:pPr>
        <w:pStyle w:val="Ttulo1"/>
        <w:numPr>
          <w:ilvl w:val="0"/>
          <w:numId w:val="1"/>
        </w:numPr>
      </w:pPr>
      <w:bookmarkStart w:id="33" w:name="_Toc64457445"/>
      <w:r>
        <w:lastRenderedPageBreak/>
        <w:t>Otros temas relevantes del trimestre</w:t>
      </w:r>
      <w:bookmarkEnd w:id="33"/>
    </w:p>
    <w:p w14:paraId="7709F995" w14:textId="77777777" w:rsidR="001005C5" w:rsidRPr="001005C5" w:rsidRDefault="001005C5" w:rsidP="001005C5">
      <w:pPr>
        <w:spacing w:after="0" w:line="240" w:lineRule="auto"/>
        <w:jc w:val="both"/>
      </w:pPr>
    </w:p>
    <w:p w14:paraId="13894001" w14:textId="36F3359B" w:rsidR="00CB69A1" w:rsidRDefault="00862846" w:rsidP="00E452A9">
      <w:pPr>
        <w:pStyle w:val="Ttulo2"/>
        <w:numPr>
          <w:ilvl w:val="1"/>
          <w:numId w:val="1"/>
        </w:numPr>
      </w:pPr>
      <w:bookmarkStart w:id="34" w:name="_Toc64457446"/>
      <w:r>
        <w:t>Foro Virtual</w:t>
      </w:r>
      <w:r w:rsidR="00853F4E">
        <w:t xml:space="preserve"> de Pensiones y Multifondos</w:t>
      </w:r>
      <w:bookmarkEnd w:id="34"/>
    </w:p>
    <w:p w14:paraId="1A9B5150" w14:textId="1C5BD930" w:rsidR="00862846" w:rsidRPr="00E452A9" w:rsidRDefault="00862846" w:rsidP="00E452A9">
      <w:pPr>
        <w:spacing w:after="0"/>
        <w:jc w:val="both"/>
        <w:rPr>
          <w:sz w:val="24"/>
          <w:szCs w:val="24"/>
        </w:rPr>
      </w:pPr>
      <w:r w:rsidRPr="00E452A9">
        <w:rPr>
          <w:sz w:val="24"/>
          <w:szCs w:val="24"/>
        </w:rPr>
        <w:t>Para los días 19 y 20 de noviembre SUPEN organizó el primer Foro Virtual de Pensiones y Multifondos, que involucró la participación de expertos internacionales de alto nivel, permitió escuchar en temas de pensiones a Sr. Jaime Barrantes, Gerente de Pensiones de la CCSS exponiendo sobre los temas relacionados con la sostenibilidad del IVM y el futuro del IVM; al señor Sr. Mariano Bosch, División de Mercados Laborales del BID, exponiendo acerca de la visión general de pensiones, propósito, responsabilidades y derechos desde la óptica del cotizante; al Sr. Edgar Robles, Director del Postgrado de Economía explicando sobre cuál ha sido el impacto demográfico en los fondos de pensiones y en qué consiste una pensión universal y cómo se podría implementar; al Sr. Hermes Alvarado, Presidente de ACOP exponiendo desde la óptica de la industria sobre la necesidad de los multifondos; Sr. José Luis Arce, Economista experto brindando una visión general y propósito de multifondos y qué se puede hacer en Costa Rica.</w:t>
      </w:r>
    </w:p>
    <w:p w14:paraId="48FA459F" w14:textId="77777777" w:rsidR="00862846" w:rsidRPr="00E452A9" w:rsidRDefault="00862846" w:rsidP="00E452A9">
      <w:pPr>
        <w:spacing w:after="0"/>
        <w:jc w:val="both"/>
        <w:rPr>
          <w:sz w:val="24"/>
          <w:szCs w:val="24"/>
        </w:rPr>
      </w:pPr>
    </w:p>
    <w:p w14:paraId="538B3750" w14:textId="7FAB5761" w:rsidR="00862846" w:rsidRPr="00E452A9" w:rsidRDefault="00862846" w:rsidP="00E452A9">
      <w:pPr>
        <w:spacing w:after="0"/>
        <w:jc w:val="both"/>
        <w:rPr>
          <w:sz w:val="24"/>
          <w:szCs w:val="24"/>
        </w:rPr>
      </w:pPr>
      <w:r w:rsidRPr="00E452A9">
        <w:rPr>
          <w:sz w:val="24"/>
          <w:szCs w:val="24"/>
        </w:rPr>
        <w:t>En la sección de multifondos se contó con la participación del señor Osvaldo Macías, Superintendente de la Superintendencia de Pensiones de Chile que expuso como pionero en la implementación del esquema de Multifondos; al Sr. Elio Sánchez, Superintendente Adjunto de AFP’s de Perú quien explicó las experiencias de ese país con la adopción de modelos similares, Sr. Octavio Ballinas, Vicepresidente Financiero de la Comisión Nacional del Sistema de Ahorro para el Retiro de México, dio una cátedra sobre fondos generacionales.</w:t>
      </w:r>
    </w:p>
    <w:p w14:paraId="685E7499" w14:textId="77777777" w:rsidR="00862846" w:rsidRPr="00E452A9" w:rsidRDefault="00862846" w:rsidP="00E452A9">
      <w:pPr>
        <w:spacing w:after="0"/>
        <w:jc w:val="both"/>
        <w:rPr>
          <w:sz w:val="24"/>
          <w:szCs w:val="24"/>
        </w:rPr>
      </w:pPr>
    </w:p>
    <w:p w14:paraId="460D8D94" w14:textId="32B7EA5F" w:rsidR="00862846" w:rsidRPr="00E452A9" w:rsidRDefault="00862846" w:rsidP="00E452A9">
      <w:pPr>
        <w:spacing w:after="0"/>
        <w:jc w:val="both"/>
        <w:rPr>
          <w:sz w:val="24"/>
          <w:szCs w:val="24"/>
        </w:rPr>
      </w:pPr>
      <w:r w:rsidRPr="00E452A9">
        <w:rPr>
          <w:sz w:val="24"/>
          <w:szCs w:val="24"/>
        </w:rPr>
        <w:t>Las experiencias compartidas aportaron a la misión de SUPEN y a nuestro enfoque de supervisión, para involucrar también al afiliado; esto como una forma de asegurar que los objetivos propuestos del sistema costarricense de pensiones se cumplan, aumentando la confianza necesaria entre todos los participantes, con la visión de que éste sea sustentable en el largo plazo</w:t>
      </w:r>
      <w:r w:rsidR="009B6235" w:rsidRPr="00E452A9">
        <w:rPr>
          <w:sz w:val="24"/>
          <w:szCs w:val="24"/>
        </w:rPr>
        <w:t>.</w:t>
      </w:r>
    </w:p>
    <w:sectPr w:rsidR="00862846" w:rsidRPr="00E452A9" w:rsidSect="004B499C">
      <w:pgSz w:w="15840" w:h="12240" w:orient="landscape"/>
      <w:pgMar w:top="1701" w:right="1276"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52D8" w14:textId="77777777" w:rsidR="00E071E6" w:rsidRDefault="00E071E6" w:rsidP="00700711">
      <w:pPr>
        <w:spacing w:after="0" w:line="240" w:lineRule="auto"/>
      </w:pPr>
      <w:r>
        <w:separator/>
      </w:r>
    </w:p>
  </w:endnote>
  <w:endnote w:type="continuationSeparator" w:id="0">
    <w:p w14:paraId="00F472EE" w14:textId="77777777" w:rsidR="00E071E6" w:rsidRDefault="00E071E6" w:rsidP="00700711">
      <w:pPr>
        <w:spacing w:after="0" w:line="240" w:lineRule="auto"/>
      </w:pPr>
      <w:r>
        <w:continuationSeparator/>
      </w:r>
    </w:p>
  </w:endnote>
  <w:endnote w:type="continuationNotice" w:id="1">
    <w:p w14:paraId="6E26E530" w14:textId="77777777" w:rsidR="00E071E6" w:rsidRDefault="00E07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5D14" w14:textId="77777777" w:rsidR="004B499C" w:rsidRPr="00BE078A" w:rsidRDefault="004B499C" w:rsidP="00EC0F17">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0C049119" w14:textId="77777777" w:rsidR="004B499C" w:rsidRDefault="004B49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885A" w14:textId="77777777" w:rsidR="00E071E6" w:rsidRDefault="00E071E6" w:rsidP="00700711">
      <w:pPr>
        <w:spacing w:after="0" w:line="240" w:lineRule="auto"/>
      </w:pPr>
      <w:r>
        <w:separator/>
      </w:r>
    </w:p>
  </w:footnote>
  <w:footnote w:type="continuationSeparator" w:id="0">
    <w:p w14:paraId="63AB5B4D" w14:textId="77777777" w:rsidR="00E071E6" w:rsidRDefault="00E071E6" w:rsidP="00700711">
      <w:pPr>
        <w:spacing w:after="0" w:line="240" w:lineRule="auto"/>
      </w:pPr>
      <w:r>
        <w:continuationSeparator/>
      </w:r>
    </w:p>
  </w:footnote>
  <w:footnote w:type="continuationNotice" w:id="1">
    <w:p w14:paraId="3D9E02C4" w14:textId="77777777" w:rsidR="00E071E6" w:rsidRDefault="00E071E6">
      <w:pPr>
        <w:spacing w:after="0" w:line="240" w:lineRule="auto"/>
      </w:pPr>
    </w:p>
  </w:footnote>
  <w:footnote w:id="2">
    <w:p w14:paraId="745EF48B" w14:textId="04658966" w:rsidR="004B499C" w:rsidRPr="009801A9" w:rsidRDefault="004B499C">
      <w:pPr>
        <w:pStyle w:val="Textonotapie"/>
      </w:pPr>
      <w:r>
        <w:rPr>
          <w:rStyle w:val="Refdenotaalpie"/>
        </w:rPr>
        <w:footnoteRef/>
      </w:r>
      <w:r>
        <w:t xml:space="preserve"> Ver </w:t>
      </w:r>
      <w:r w:rsidRPr="009801A9">
        <w:t>Infografía sobre los trámites de afiliados 2020</w:t>
      </w:r>
      <w:r>
        <w:t xml:space="preserve"> en la siguiente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8F53" w14:textId="77777777" w:rsidR="004B499C" w:rsidRDefault="004B499C" w:rsidP="00EC0F17">
    <w:pPr>
      <w:pStyle w:val="Encabezado"/>
      <w:jc w:val="both"/>
    </w:pPr>
    <w:r>
      <w:rPr>
        <w:noProof/>
      </w:rPr>
      <w:drawing>
        <wp:anchor distT="0" distB="0" distL="114300" distR="114300" simplePos="0" relativeHeight="251658241" behindDoc="0" locked="0" layoutInCell="1" allowOverlap="1" wp14:anchorId="650CA359" wp14:editId="30E38299">
          <wp:simplePos x="0" y="0"/>
          <wp:positionH relativeFrom="margin">
            <wp:align>right</wp:align>
          </wp:positionH>
          <wp:positionV relativeFrom="paragraph">
            <wp:posOffset>-164694</wp:posOffset>
          </wp:positionV>
          <wp:extent cx="950595" cy="615315"/>
          <wp:effectExtent l="0" t="0" r="1905"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2315E553" wp14:editId="1A0B6E68">
          <wp:simplePos x="0" y="0"/>
          <wp:positionH relativeFrom="page">
            <wp:posOffset>812165</wp:posOffset>
          </wp:positionH>
          <wp:positionV relativeFrom="page">
            <wp:posOffset>184150</wp:posOffset>
          </wp:positionV>
          <wp:extent cx="1945005" cy="89979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0DD"/>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F12B61"/>
    <w:multiLevelType w:val="hybridMultilevel"/>
    <w:tmpl w:val="AABA0CE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308B0DD3"/>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357C09FF"/>
    <w:multiLevelType w:val="hybridMultilevel"/>
    <w:tmpl w:val="50B22866"/>
    <w:lvl w:ilvl="0" w:tplc="140A000F">
      <w:start w:val="1"/>
      <w:numFmt w:val="decimal"/>
      <w:lvlText w:val="%1."/>
      <w:lvlJc w:val="left"/>
      <w:pPr>
        <w:ind w:left="720" w:hanging="360"/>
      </w:pPr>
    </w:lvl>
    <w:lvl w:ilvl="1" w:tplc="D5A4A848">
      <w:start w:val="1"/>
      <w:numFmt w:val="bullet"/>
      <w:lvlText w:val="­"/>
      <w:lvlJc w:val="left"/>
      <w:pPr>
        <w:ind w:left="1440" w:hanging="360"/>
      </w:pPr>
      <w:rPr>
        <w:rFonts w:ascii="Courier New" w:hAnsi="Courier New"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62B1295"/>
    <w:multiLevelType w:val="multilevel"/>
    <w:tmpl w:val="41A84FCE"/>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9B728E"/>
    <w:multiLevelType w:val="hybridMultilevel"/>
    <w:tmpl w:val="FF04D9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C617452"/>
    <w:multiLevelType w:val="hybridMultilevel"/>
    <w:tmpl w:val="73F86232"/>
    <w:lvl w:ilvl="0" w:tplc="D5A4A848">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4E74DEE"/>
    <w:multiLevelType w:val="hybridMultilevel"/>
    <w:tmpl w:val="AC142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7"/>
  </w:num>
  <w:num w:numId="8">
    <w:abstractNumId w:val="4"/>
  </w:num>
  <w:num w:numId="9">
    <w:abstractNumId w:val="2"/>
  </w:num>
  <w:num w:numId="10">
    <w:abstractNumId w:val="2"/>
  </w:num>
  <w:num w:numId="11">
    <w:abstractNumId w:val="2"/>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B8"/>
    <w:rsid w:val="00000C6E"/>
    <w:rsid w:val="000014E8"/>
    <w:rsid w:val="000027C1"/>
    <w:rsid w:val="00004C84"/>
    <w:rsid w:val="00005FF5"/>
    <w:rsid w:val="00006851"/>
    <w:rsid w:val="0000725F"/>
    <w:rsid w:val="00007615"/>
    <w:rsid w:val="000076D9"/>
    <w:rsid w:val="00007C43"/>
    <w:rsid w:val="00010027"/>
    <w:rsid w:val="000109F7"/>
    <w:rsid w:val="00012B8D"/>
    <w:rsid w:val="00013812"/>
    <w:rsid w:val="00013FDF"/>
    <w:rsid w:val="0001437B"/>
    <w:rsid w:val="00014AA3"/>
    <w:rsid w:val="00014C2C"/>
    <w:rsid w:val="0001719A"/>
    <w:rsid w:val="000174F3"/>
    <w:rsid w:val="000213A9"/>
    <w:rsid w:val="00021969"/>
    <w:rsid w:val="0002201E"/>
    <w:rsid w:val="00022164"/>
    <w:rsid w:val="00023E90"/>
    <w:rsid w:val="000249CC"/>
    <w:rsid w:val="000258BA"/>
    <w:rsid w:val="00025EB5"/>
    <w:rsid w:val="000268A8"/>
    <w:rsid w:val="00026C62"/>
    <w:rsid w:val="000274AC"/>
    <w:rsid w:val="000305CD"/>
    <w:rsid w:val="00033313"/>
    <w:rsid w:val="00033E42"/>
    <w:rsid w:val="00034065"/>
    <w:rsid w:val="00036FAC"/>
    <w:rsid w:val="00040FCB"/>
    <w:rsid w:val="00041A3A"/>
    <w:rsid w:val="00041F73"/>
    <w:rsid w:val="00042EFB"/>
    <w:rsid w:val="0004595A"/>
    <w:rsid w:val="00045B13"/>
    <w:rsid w:val="0004607D"/>
    <w:rsid w:val="000466A7"/>
    <w:rsid w:val="00046CEA"/>
    <w:rsid w:val="00050388"/>
    <w:rsid w:val="00050943"/>
    <w:rsid w:val="00050CDB"/>
    <w:rsid w:val="00050EAC"/>
    <w:rsid w:val="00050F7B"/>
    <w:rsid w:val="00051A66"/>
    <w:rsid w:val="00052CB6"/>
    <w:rsid w:val="0005363C"/>
    <w:rsid w:val="000559A5"/>
    <w:rsid w:val="00055F85"/>
    <w:rsid w:val="00060A18"/>
    <w:rsid w:val="00061536"/>
    <w:rsid w:val="000645FF"/>
    <w:rsid w:val="00064DC3"/>
    <w:rsid w:val="0006544A"/>
    <w:rsid w:val="00065C2A"/>
    <w:rsid w:val="00072725"/>
    <w:rsid w:val="000728C9"/>
    <w:rsid w:val="00077082"/>
    <w:rsid w:val="0007719F"/>
    <w:rsid w:val="00077586"/>
    <w:rsid w:val="00077B65"/>
    <w:rsid w:val="00080E72"/>
    <w:rsid w:val="000822BD"/>
    <w:rsid w:val="00082B26"/>
    <w:rsid w:val="00082CA5"/>
    <w:rsid w:val="00084C45"/>
    <w:rsid w:val="00085DDD"/>
    <w:rsid w:val="000863D0"/>
    <w:rsid w:val="00086546"/>
    <w:rsid w:val="00087083"/>
    <w:rsid w:val="00090AA7"/>
    <w:rsid w:val="00091576"/>
    <w:rsid w:val="00092454"/>
    <w:rsid w:val="000938B2"/>
    <w:rsid w:val="00094629"/>
    <w:rsid w:val="000949B3"/>
    <w:rsid w:val="0009547F"/>
    <w:rsid w:val="00095920"/>
    <w:rsid w:val="000963CD"/>
    <w:rsid w:val="00096F4F"/>
    <w:rsid w:val="00097008"/>
    <w:rsid w:val="000A0944"/>
    <w:rsid w:val="000A0AD4"/>
    <w:rsid w:val="000A0EF8"/>
    <w:rsid w:val="000A1835"/>
    <w:rsid w:val="000A2E38"/>
    <w:rsid w:val="000A35F6"/>
    <w:rsid w:val="000A52E2"/>
    <w:rsid w:val="000A5C90"/>
    <w:rsid w:val="000A603D"/>
    <w:rsid w:val="000B0279"/>
    <w:rsid w:val="000B02C5"/>
    <w:rsid w:val="000B0F90"/>
    <w:rsid w:val="000B1531"/>
    <w:rsid w:val="000B3887"/>
    <w:rsid w:val="000B3ABA"/>
    <w:rsid w:val="000B3AC2"/>
    <w:rsid w:val="000B62C1"/>
    <w:rsid w:val="000B70A6"/>
    <w:rsid w:val="000C051C"/>
    <w:rsid w:val="000C2212"/>
    <w:rsid w:val="000C2E69"/>
    <w:rsid w:val="000C37E4"/>
    <w:rsid w:val="000C39CB"/>
    <w:rsid w:val="000C3D87"/>
    <w:rsid w:val="000C4783"/>
    <w:rsid w:val="000C573D"/>
    <w:rsid w:val="000C5DB8"/>
    <w:rsid w:val="000C6C6E"/>
    <w:rsid w:val="000C70AB"/>
    <w:rsid w:val="000D0158"/>
    <w:rsid w:val="000D0956"/>
    <w:rsid w:val="000D3119"/>
    <w:rsid w:val="000D3D97"/>
    <w:rsid w:val="000D5DDF"/>
    <w:rsid w:val="000D6125"/>
    <w:rsid w:val="000D6726"/>
    <w:rsid w:val="000D6CEC"/>
    <w:rsid w:val="000D7AD9"/>
    <w:rsid w:val="000D7F7B"/>
    <w:rsid w:val="000E0BCE"/>
    <w:rsid w:val="000E116B"/>
    <w:rsid w:val="000E140E"/>
    <w:rsid w:val="000E149A"/>
    <w:rsid w:val="000E31A9"/>
    <w:rsid w:val="000E429B"/>
    <w:rsid w:val="000E59BC"/>
    <w:rsid w:val="000E5ECF"/>
    <w:rsid w:val="000E7393"/>
    <w:rsid w:val="000E7D3E"/>
    <w:rsid w:val="000F017A"/>
    <w:rsid w:val="000F2223"/>
    <w:rsid w:val="000F2447"/>
    <w:rsid w:val="000F319B"/>
    <w:rsid w:val="000F4C71"/>
    <w:rsid w:val="000F5746"/>
    <w:rsid w:val="000F6356"/>
    <w:rsid w:val="000F72D7"/>
    <w:rsid w:val="001005C5"/>
    <w:rsid w:val="001010FA"/>
    <w:rsid w:val="001019BE"/>
    <w:rsid w:val="00101D28"/>
    <w:rsid w:val="00102219"/>
    <w:rsid w:val="00102BE6"/>
    <w:rsid w:val="00103286"/>
    <w:rsid w:val="00107F08"/>
    <w:rsid w:val="00110043"/>
    <w:rsid w:val="00111529"/>
    <w:rsid w:val="001115EC"/>
    <w:rsid w:val="001118CF"/>
    <w:rsid w:val="0011353F"/>
    <w:rsid w:val="00113867"/>
    <w:rsid w:val="00115ED3"/>
    <w:rsid w:val="00116424"/>
    <w:rsid w:val="0011720C"/>
    <w:rsid w:val="00120063"/>
    <w:rsid w:val="00120EAA"/>
    <w:rsid w:val="00121676"/>
    <w:rsid w:val="00122172"/>
    <w:rsid w:val="0012244A"/>
    <w:rsid w:val="00122C01"/>
    <w:rsid w:val="0012306A"/>
    <w:rsid w:val="001238EB"/>
    <w:rsid w:val="00123D35"/>
    <w:rsid w:val="00123F47"/>
    <w:rsid w:val="00124491"/>
    <w:rsid w:val="00124CB2"/>
    <w:rsid w:val="0012619C"/>
    <w:rsid w:val="001264F8"/>
    <w:rsid w:val="00126582"/>
    <w:rsid w:val="00126678"/>
    <w:rsid w:val="00127749"/>
    <w:rsid w:val="00130456"/>
    <w:rsid w:val="0013276C"/>
    <w:rsid w:val="00132FE1"/>
    <w:rsid w:val="00133762"/>
    <w:rsid w:val="0013643A"/>
    <w:rsid w:val="00141791"/>
    <w:rsid w:val="0014266B"/>
    <w:rsid w:val="00142B33"/>
    <w:rsid w:val="0014333B"/>
    <w:rsid w:val="00144402"/>
    <w:rsid w:val="00144549"/>
    <w:rsid w:val="00144742"/>
    <w:rsid w:val="0014485C"/>
    <w:rsid w:val="001453EA"/>
    <w:rsid w:val="00146DA5"/>
    <w:rsid w:val="00147B66"/>
    <w:rsid w:val="00151702"/>
    <w:rsid w:val="00154284"/>
    <w:rsid w:val="001549A7"/>
    <w:rsid w:val="00155A25"/>
    <w:rsid w:val="001577B0"/>
    <w:rsid w:val="00157994"/>
    <w:rsid w:val="001603CE"/>
    <w:rsid w:val="0016176E"/>
    <w:rsid w:val="00161AF0"/>
    <w:rsid w:val="00163ABA"/>
    <w:rsid w:val="00163DD6"/>
    <w:rsid w:val="00164169"/>
    <w:rsid w:val="00164381"/>
    <w:rsid w:val="00164549"/>
    <w:rsid w:val="001669BF"/>
    <w:rsid w:val="00167EF0"/>
    <w:rsid w:val="0017053E"/>
    <w:rsid w:val="00170B03"/>
    <w:rsid w:val="00170F63"/>
    <w:rsid w:val="0017221D"/>
    <w:rsid w:val="001742EA"/>
    <w:rsid w:val="00174B1B"/>
    <w:rsid w:val="00177F37"/>
    <w:rsid w:val="001807B6"/>
    <w:rsid w:val="00182060"/>
    <w:rsid w:val="001821ED"/>
    <w:rsid w:val="00184F61"/>
    <w:rsid w:val="00185030"/>
    <w:rsid w:val="00185BA0"/>
    <w:rsid w:val="00185D18"/>
    <w:rsid w:val="00187E4F"/>
    <w:rsid w:val="0019075D"/>
    <w:rsid w:val="001908A9"/>
    <w:rsid w:val="00190D69"/>
    <w:rsid w:val="00191527"/>
    <w:rsid w:val="00191B26"/>
    <w:rsid w:val="00192145"/>
    <w:rsid w:val="00193995"/>
    <w:rsid w:val="00193BD7"/>
    <w:rsid w:val="0019485B"/>
    <w:rsid w:val="00196EE3"/>
    <w:rsid w:val="00196FFE"/>
    <w:rsid w:val="001971F6"/>
    <w:rsid w:val="001975A7"/>
    <w:rsid w:val="00197E09"/>
    <w:rsid w:val="001A0762"/>
    <w:rsid w:val="001A16FD"/>
    <w:rsid w:val="001A2318"/>
    <w:rsid w:val="001A284C"/>
    <w:rsid w:val="001A60D4"/>
    <w:rsid w:val="001A6A99"/>
    <w:rsid w:val="001A79B5"/>
    <w:rsid w:val="001A7F73"/>
    <w:rsid w:val="001B06C2"/>
    <w:rsid w:val="001B08BD"/>
    <w:rsid w:val="001B1D17"/>
    <w:rsid w:val="001B2241"/>
    <w:rsid w:val="001B3226"/>
    <w:rsid w:val="001B6E07"/>
    <w:rsid w:val="001B7047"/>
    <w:rsid w:val="001B71C7"/>
    <w:rsid w:val="001C0047"/>
    <w:rsid w:val="001C1519"/>
    <w:rsid w:val="001C216E"/>
    <w:rsid w:val="001C2AE7"/>
    <w:rsid w:val="001C332D"/>
    <w:rsid w:val="001C3A3F"/>
    <w:rsid w:val="001C58FF"/>
    <w:rsid w:val="001C5D21"/>
    <w:rsid w:val="001C657A"/>
    <w:rsid w:val="001C6F7B"/>
    <w:rsid w:val="001C7FB6"/>
    <w:rsid w:val="001D3519"/>
    <w:rsid w:val="001D45EE"/>
    <w:rsid w:val="001D4C00"/>
    <w:rsid w:val="001D570C"/>
    <w:rsid w:val="001D586E"/>
    <w:rsid w:val="001E2DBD"/>
    <w:rsid w:val="001E40B1"/>
    <w:rsid w:val="001E4B7E"/>
    <w:rsid w:val="001E650B"/>
    <w:rsid w:val="001E6FE7"/>
    <w:rsid w:val="001F02B2"/>
    <w:rsid w:val="001F2804"/>
    <w:rsid w:val="001F2C78"/>
    <w:rsid w:val="001F302F"/>
    <w:rsid w:val="001F3267"/>
    <w:rsid w:val="001F3FD4"/>
    <w:rsid w:val="001F4D60"/>
    <w:rsid w:val="001F521E"/>
    <w:rsid w:val="001F5B8D"/>
    <w:rsid w:val="001F6709"/>
    <w:rsid w:val="001F7B97"/>
    <w:rsid w:val="0020008E"/>
    <w:rsid w:val="00200429"/>
    <w:rsid w:val="00201328"/>
    <w:rsid w:val="00202535"/>
    <w:rsid w:val="00202EB9"/>
    <w:rsid w:val="00202F0E"/>
    <w:rsid w:val="00203632"/>
    <w:rsid w:val="00203956"/>
    <w:rsid w:val="00204109"/>
    <w:rsid w:val="00205227"/>
    <w:rsid w:val="00206382"/>
    <w:rsid w:val="00206ABA"/>
    <w:rsid w:val="0020715C"/>
    <w:rsid w:val="00207201"/>
    <w:rsid w:val="00207403"/>
    <w:rsid w:val="002105EE"/>
    <w:rsid w:val="0021212F"/>
    <w:rsid w:val="00213CA5"/>
    <w:rsid w:val="002150FF"/>
    <w:rsid w:val="002156F7"/>
    <w:rsid w:val="002165F7"/>
    <w:rsid w:val="00217AE0"/>
    <w:rsid w:val="00221401"/>
    <w:rsid w:val="00221631"/>
    <w:rsid w:val="00222B61"/>
    <w:rsid w:val="00223F11"/>
    <w:rsid w:val="002262FF"/>
    <w:rsid w:val="0022651A"/>
    <w:rsid w:val="00226648"/>
    <w:rsid w:val="00230360"/>
    <w:rsid w:val="00231C53"/>
    <w:rsid w:val="00231E7E"/>
    <w:rsid w:val="00234791"/>
    <w:rsid w:val="00240D40"/>
    <w:rsid w:val="00241FF7"/>
    <w:rsid w:val="00242012"/>
    <w:rsid w:val="00242194"/>
    <w:rsid w:val="00243640"/>
    <w:rsid w:val="00243925"/>
    <w:rsid w:val="00243E13"/>
    <w:rsid w:val="00244049"/>
    <w:rsid w:val="00245551"/>
    <w:rsid w:val="002462A6"/>
    <w:rsid w:val="00246384"/>
    <w:rsid w:val="00246669"/>
    <w:rsid w:val="002475A8"/>
    <w:rsid w:val="00250CD1"/>
    <w:rsid w:val="002518C9"/>
    <w:rsid w:val="00251E1E"/>
    <w:rsid w:val="00252A26"/>
    <w:rsid w:val="00252FBB"/>
    <w:rsid w:val="00253B4A"/>
    <w:rsid w:val="0025604A"/>
    <w:rsid w:val="00256059"/>
    <w:rsid w:val="002560E2"/>
    <w:rsid w:val="00256105"/>
    <w:rsid w:val="00256911"/>
    <w:rsid w:val="00257768"/>
    <w:rsid w:val="00257E73"/>
    <w:rsid w:val="002607C1"/>
    <w:rsid w:val="0026217B"/>
    <w:rsid w:val="0026227E"/>
    <w:rsid w:val="0026274D"/>
    <w:rsid w:val="00262F0E"/>
    <w:rsid w:val="00263835"/>
    <w:rsid w:val="00264D3E"/>
    <w:rsid w:val="00265F62"/>
    <w:rsid w:val="00270CC9"/>
    <w:rsid w:val="00270EA2"/>
    <w:rsid w:val="002724DB"/>
    <w:rsid w:val="002735C3"/>
    <w:rsid w:val="00273831"/>
    <w:rsid w:val="00273AD9"/>
    <w:rsid w:val="00273E40"/>
    <w:rsid w:val="0027438B"/>
    <w:rsid w:val="00275D8D"/>
    <w:rsid w:val="00276942"/>
    <w:rsid w:val="00280EA2"/>
    <w:rsid w:val="00281A3E"/>
    <w:rsid w:val="00282C9C"/>
    <w:rsid w:val="00283B15"/>
    <w:rsid w:val="00283E95"/>
    <w:rsid w:val="00291A63"/>
    <w:rsid w:val="0029213E"/>
    <w:rsid w:val="002926E2"/>
    <w:rsid w:val="002932B7"/>
    <w:rsid w:val="00293FB1"/>
    <w:rsid w:val="00294476"/>
    <w:rsid w:val="00294917"/>
    <w:rsid w:val="00295492"/>
    <w:rsid w:val="00295C0D"/>
    <w:rsid w:val="00295D86"/>
    <w:rsid w:val="00295DFA"/>
    <w:rsid w:val="0029732E"/>
    <w:rsid w:val="002A01D8"/>
    <w:rsid w:val="002A064F"/>
    <w:rsid w:val="002A076A"/>
    <w:rsid w:val="002A09AE"/>
    <w:rsid w:val="002A0A54"/>
    <w:rsid w:val="002A12BA"/>
    <w:rsid w:val="002A1545"/>
    <w:rsid w:val="002A2AAB"/>
    <w:rsid w:val="002A2D65"/>
    <w:rsid w:val="002A3C19"/>
    <w:rsid w:val="002A4D42"/>
    <w:rsid w:val="002A5017"/>
    <w:rsid w:val="002A58A8"/>
    <w:rsid w:val="002A6D6A"/>
    <w:rsid w:val="002A6EE5"/>
    <w:rsid w:val="002A7D0C"/>
    <w:rsid w:val="002B0561"/>
    <w:rsid w:val="002B11CB"/>
    <w:rsid w:val="002B1AED"/>
    <w:rsid w:val="002B4B07"/>
    <w:rsid w:val="002B52CD"/>
    <w:rsid w:val="002B5E1A"/>
    <w:rsid w:val="002B602A"/>
    <w:rsid w:val="002B6049"/>
    <w:rsid w:val="002B6731"/>
    <w:rsid w:val="002B6E70"/>
    <w:rsid w:val="002B705A"/>
    <w:rsid w:val="002B7125"/>
    <w:rsid w:val="002B77C4"/>
    <w:rsid w:val="002C1221"/>
    <w:rsid w:val="002C1A8E"/>
    <w:rsid w:val="002C1AD7"/>
    <w:rsid w:val="002C2ED8"/>
    <w:rsid w:val="002C3725"/>
    <w:rsid w:val="002C38F4"/>
    <w:rsid w:val="002C3C3C"/>
    <w:rsid w:val="002C4FD2"/>
    <w:rsid w:val="002C78A8"/>
    <w:rsid w:val="002D0A41"/>
    <w:rsid w:val="002D0D19"/>
    <w:rsid w:val="002D1483"/>
    <w:rsid w:val="002D1E02"/>
    <w:rsid w:val="002D2BA4"/>
    <w:rsid w:val="002D3B07"/>
    <w:rsid w:val="002D4049"/>
    <w:rsid w:val="002D43C7"/>
    <w:rsid w:val="002D45E5"/>
    <w:rsid w:val="002D4BD4"/>
    <w:rsid w:val="002D7016"/>
    <w:rsid w:val="002D7433"/>
    <w:rsid w:val="002E06A7"/>
    <w:rsid w:val="002E34F0"/>
    <w:rsid w:val="002E4F29"/>
    <w:rsid w:val="002E526F"/>
    <w:rsid w:val="002E629A"/>
    <w:rsid w:val="002E6639"/>
    <w:rsid w:val="002E66A1"/>
    <w:rsid w:val="002F1CB6"/>
    <w:rsid w:val="002F1FE6"/>
    <w:rsid w:val="002F36E9"/>
    <w:rsid w:val="002F3869"/>
    <w:rsid w:val="002F4417"/>
    <w:rsid w:val="002F5872"/>
    <w:rsid w:val="002F59B6"/>
    <w:rsid w:val="002F6A07"/>
    <w:rsid w:val="002F79E3"/>
    <w:rsid w:val="002F7D79"/>
    <w:rsid w:val="0030150F"/>
    <w:rsid w:val="0030235C"/>
    <w:rsid w:val="00305358"/>
    <w:rsid w:val="00305428"/>
    <w:rsid w:val="00307D20"/>
    <w:rsid w:val="00310A2A"/>
    <w:rsid w:val="0031233E"/>
    <w:rsid w:val="00312E8D"/>
    <w:rsid w:val="00313582"/>
    <w:rsid w:val="00314A47"/>
    <w:rsid w:val="00315548"/>
    <w:rsid w:val="00316282"/>
    <w:rsid w:val="003169E1"/>
    <w:rsid w:val="0031719C"/>
    <w:rsid w:val="0031766B"/>
    <w:rsid w:val="00320276"/>
    <w:rsid w:val="00320871"/>
    <w:rsid w:val="00322759"/>
    <w:rsid w:val="00322D31"/>
    <w:rsid w:val="0032329D"/>
    <w:rsid w:val="0032341D"/>
    <w:rsid w:val="00324A61"/>
    <w:rsid w:val="00324CC3"/>
    <w:rsid w:val="00325034"/>
    <w:rsid w:val="00325D21"/>
    <w:rsid w:val="0032628D"/>
    <w:rsid w:val="00326A20"/>
    <w:rsid w:val="00326AF5"/>
    <w:rsid w:val="00326ED8"/>
    <w:rsid w:val="00326F80"/>
    <w:rsid w:val="0032728F"/>
    <w:rsid w:val="0033068B"/>
    <w:rsid w:val="00331232"/>
    <w:rsid w:val="00332DD6"/>
    <w:rsid w:val="00332EFC"/>
    <w:rsid w:val="00332EFF"/>
    <w:rsid w:val="00334092"/>
    <w:rsid w:val="003343F0"/>
    <w:rsid w:val="00335748"/>
    <w:rsid w:val="0033646A"/>
    <w:rsid w:val="00336650"/>
    <w:rsid w:val="00336712"/>
    <w:rsid w:val="003372FD"/>
    <w:rsid w:val="003407AD"/>
    <w:rsid w:val="00342002"/>
    <w:rsid w:val="00342AD9"/>
    <w:rsid w:val="00344699"/>
    <w:rsid w:val="00344897"/>
    <w:rsid w:val="003459CF"/>
    <w:rsid w:val="003463F7"/>
    <w:rsid w:val="0034780A"/>
    <w:rsid w:val="00350614"/>
    <w:rsid w:val="00351FA1"/>
    <w:rsid w:val="0035229A"/>
    <w:rsid w:val="00352BFF"/>
    <w:rsid w:val="0035475E"/>
    <w:rsid w:val="00354932"/>
    <w:rsid w:val="0035501D"/>
    <w:rsid w:val="00355EFE"/>
    <w:rsid w:val="00357176"/>
    <w:rsid w:val="0036056E"/>
    <w:rsid w:val="003613CB"/>
    <w:rsid w:val="00361955"/>
    <w:rsid w:val="003625DC"/>
    <w:rsid w:val="00362C6D"/>
    <w:rsid w:val="00363BBA"/>
    <w:rsid w:val="00364753"/>
    <w:rsid w:val="00364BA0"/>
    <w:rsid w:val="00366333"/>
    <w:rsid w:val="0036682C"/>
    <w:rsid w:val="00366EC3"/>
    <w:rsid w:val="00367A3A"/>
    <w:rsid w:val="00370D1C"/>
    <w:rsid w:val="0037124F"/>
    <w:rsid w:val="00372B02"/>
    <w:rsid w:val="00373A3E"/>
    <w:rsid w:val="003748A0"/>
    <w:rsid w:val="00375127"/>
    <w:rsid w:val="00377633"/>
    <w:rsid w:val="00380159"/>
    <w:rsid w:val="00380C51"/>
    <w:rsid w:val="003822AA"/>
    <w:rsid w:val="00382A75"/>
    <w:rsid w:val="0038366B"/>
    <w:rsid w:val="00383C2A"/>
    <w:rsid w:val="0038518F"/>
    <w:rsid w:val="0038532C"/>
    <w:rsid w:val="003858DE"/>
    <w:rsid w:val="00385AE8"/>
    <w:rsid w:val="0038661D"/>
    <w:rsid w:val="003868DF"/>
    <w:rsid w:val="003872B1"/>
    <w:rsid w:val="0039020E"/>
    <w:rsid w:val="00390426"/>
    <w:rsid w:val="0039187A"/>
    <w:rsid w:val="00391A6B"/>
    <w:rsid w:val="003924BF"/>
    <w:rsid w:val="00392E18"/>
    <w:rsid w:val="00394589"/>
    <w:rsid w:val="00394DBE"/>
    <w:rsid w:val="003A3141"/>
    <w:rsid w:val="003A3B07"/>
    <w:rsid w:val="003A50B0"/>
    <w:rsid w:val="003A57B0"/>
    <w:rsid w:val="003B0175"/>
    <w:rsid w:val="003B1BC8"/>
    <w:rsid w:val="003B2A19"/>
    <w:rsid w:val="003B2D49"/>
    <w:rsid w:val="003B2E47"/>
    <w:rsid w:val="003B3553"/>
    <w:rsid w:val="003B35CF"/>
    <w:rsid w:val="003B44B8"/>
    <w:rsid w:val="003B4EAA"/>
    <w:rsid w:val="003B4F28"/>
    <w:rsid w:val="003B50B3"/>
    <w:rsid w:val="003B51B5"/>
    <w:rsid w:val="003B5728"/>
    <w:rsid w:val="003B5ED2"/>
    <w:rsid w:val="003B662D"/>
    <w:rsid w:val="003B6881"/>
    <w:rsid w:val="003B7072"/>
    <w:rsid w:val="003B7E22"/>
    <w:rsid w:val="003C0576"/>
    <w:rsid w:val="003C0783"/>
    <w:rsid w:val="003C0A94"/>
    <w:rsid w:val="003C155C"/>
    <w:rsid w:val="003C158B"/>
    <w:rsid w:val="003C1E9F"/>
    <w:rsid w:val="003C27E2"/>
    <w:rsid w:val="003C30A0"/>
    <w:rsid w:val="003C32E5"/>
    <w:rsid w:val="003C41D8"/>
    <w:rsid w:val="003C5A98"/>
    <w:rsid w:val="003D2C27"/>
    <w:rsid w:val="003D310E"/>
    <w:rsid w:val="003D3B71"/>
    <w:rsid w:val="003D57DF"/>
    <w:rsid w:val="003D5F68"/>
    <w:rsid w:val="003D7272"/>
    <w:rsid w:val="003E0662"/>
    <w:rsid w:val="003E0F64"/>
    <w:rsid w:val="003E403C"/>
    <w:rsid w:val="003E41A4"/>
    <w:rsid w:val="003E699E"/>
    <w:rsid w:val="003E7141"/>
    <w:rsid w:val="003E7728"/>
    <w:rsid w:val="003E7DCA"/>
    <w:rsid w:val="003F028F"/>
    <w:rsid w:val="003F10CD"/>
    <w:rsid w:val="003F35B3"/>
    <w:rsid w:val="003F47FA"/>
    <w:rsid w:val="003F491D"/>
    <w:rsid w:val="003F4EEE"/>
    <w:rsid w:val="003F66BE"/>
    <w:rsid w:val="003F7D8B"/>
    <w:rsid w:val="004001D4"/>
    <w:rsid w:val="004002CB"/>
    <w:rsid w:val="00400B46"/>
    <w:rsid w:val="00400D68"/>
    <w:rsid w:val="00401991"/>
    <w:rsid w:val="00403905"/>
    <w:rsid w:val="00405190"/>
    <w:rsid w:val="004059BF"/>
    <w:rsid w:val="00405E27"/>
    <w:rsid w:val="00407059"/>
    <w:rsid w:val="004075F7"/>
    <w:rsid w:val="004103A9"/>
    <w:rsid w:val="00411229"/>
    <w:rsid w:val="00411523"/>
    <w:rsid w:val="00411A4B"/>
    <w:rsid w:val="0041386A"/>
    <w:rsid w:val="00414F00"/>
    <w:rsid w:val="0041744F"/>
    <w:rsid w:val="004174A0"/>
    <w:rsid w:val="00420318"/>
    <w:rsid w:val="00420D23"/>
    <w:rsid w:val="00421438"/>
    <w:rsid w:val="00422001"/>
    <w:rsid w:val="00423B6C"/>
    <w:rsid w:val="0042614F"/>
    <w:rsid w:val="00426C9D"/>
    <w:rsid w:val="00427CD1"/>
    <w:rsid w:val="00427F51"/>
    <w:rsid w:val="004308B6"/>
    <w:rsid w:val="00432EAE"/>
    <w:rsid w:val="00435186"/>
    <w:rsid w:val="00435F45"/>
    <w:rsid w:val="00436825"/>
    <w:rsid w:val="00437094"/>
    <w:rsid w:val="00437A9E"/>
    <w:rsid w:val="00440C42"/>
    <w:rsid w:val="0044191F"/>
    <w:rsid w:val="00442FAC"/>
    <w:rsid w:val="00443515"/>
    <w:rsid w:val="004460CD"/>
    <w:rsid w:val="00446C6A"/>
    <w:rsid w:val="0044709C"/>
    <w:rsid w:val="0044709F"/>
    <w:rsid w:val="00447BB8"/>
    <w:rsid w:val="00450116"/>
    <w:rsid w:val="00450F7C"/>
    <w:rsid w:val="0045173C"/>
    <w:rsid w:val="00453407"/>
    <w:rsid w:val="00455DEC"/>
    <w:rsid w:val="004562F3"/>
    <w:rsid w:val="00456440"/>
    <w:rsid w:val="0045724B"/>
    <w:rsid w:val="0045764C"/>
    <w:rsid w:val="004576F1"/>
    <w:rsid w:val="004600B4"/>
    <w:rsid w:val="004603C7"/>
    <w:rsid w:val="004607D3"/>
    <w:rsid w:val="00460D92"/>
    <w:rsid w:val="00461010"/>
    <w:rsid w:val="00461609"/>
    <w:rsid w:val="004616E7"/>
    <w:rsid w:val="00462A3B"/>
    <w:rsid w:val="00462D2D"/>
    <w:rsid w:val="004632C4"/>
    <w:rsid w:val="004633C6"/>
    <w:rsid w:val="00465350"/>
    <w:rsid w:val="00467280"/>
    <w:rsid w:val="00467EB7"/>
    <w:rsid w:val="004700BE"/>
    <w:rsid w:val="00470110"/>
    <w:rsid w:val="00470677"/>
    <w:rsid w:val="004722B6"/>
    <w:rsid w:val="00472D67"/>
    <w:rsid w:val="00474CAF"/>
    <w:rsid w:val="00475C17"/>
    <w:rsid w:val="0047644A"/>
    <w:rsid w:val="0047684A"/>
    <w:rsid w:val="00480812"/>
    <w:rsid w:val="004825B1"/>
    <w:rsid w:val="00482C6B"/>
    <w:rsid w:val="004838EC"/>
    <w:rsid w:val="00484029"/>
    <w:rsid w:val="0048444A"/>
    <w:rsid w:val="00487549"/>
    <w:rsid w:val="004875FA"/>
    <w:rsid w:val="004901F1"/>
    <w:rsid w:val="0049180D"/>
    <w:rsid w:val="0049267B"/>
    <w:rsid w:val="00493FE1"/>
    <w:rsid w:val="004944B8"/>
    <w:rsid w:val="004949D5"/>
    <w:rsid w:val="00495740"/>
    <w:rsid w:val="00497712"/>
    <w:rsid w:val="004A12C4"/>
    <w:rsid w:val="004A160C"/>
    <w:rsid w:val="004A1CD5"/>
    <w:rsid w:val="004A232C"/>
    <w:rsid w:val="004A442C"/>
    <w:rsid w:val="004A5A5B"/>
    <w:rsid w:val="004A5A71"/>
    <w:rsid w:val="004A5BF2"/>
    <w:rsid w:val="004A5E21"/>
    <w:rsid w:val="004A6008"/>
    <w:rsid w:val="004A6855"/>
    <w:rsid w:val="004A721D"/>
    <w:rsid w:val="004A7273"/>
    <w:rsid w:val="004A7D37"/>
    <w:rsid w:val="004B067D"/>
    <w:rsid w:val="004B0A90"/>
    <w:rsid w:val="004B13A0"/>
    <w:rsid w:val="004B13E3"/>
    <w:rsid w:val="004B25ED"/>
    <w:rsid w:val="004B2C94"/>
    <w:rsid w:val="004B499C"/>
    <w:rsid w:val="004B4F38"/>
    <w:rsid w:val="004B4F5F"/>
    <w:rsid w:val="004B7F48"/>
    <w:rsid w:val="004C0CC3"/>
    <w:rsid w:val="004C1914"/>
    <w:rsid w:val="004C1E64"/>
    <w:rsid w:val="004C1EA1"/>
    <w:rsid w:val="004C23F0"/>
    <w:rsid w:val="004C45AF"/>
    <w:rsid w:val="004C5F37"/>
    <w:rsid w:val="004C60A0"/>
    <w:rsid w:val="004D10DD"/>
    <w:rsid w:val="004D2005"/>
    <w:rsid w:val="004D2142"/>
    <w:rsid w:val="004D2B8A"/>
    <w:rsid w:val="004D3264"/>
    <w:rsid w:val="004D3EC4"/>
    <w:rsid w:val="004D4000"/>
    <w:rsid w:val="004D6100"/>
    <w:rsid w:val="004D624C"/>
    <w:rsid w:val="004D6CFB"/>
    <w:rsid w:val="004D7951"/>
    <w:rsid w:val="004E01EB"/>
    <w:rsid w:val="004E2577"/>
    <w:rsid w:val="004E32B2"/>
    <w:rsid w:val="004E521B"/>
    <w:rsid w:val="004E530B"/>
    <w:rsid w:val="004E624B"/>
    <w:rsid w:val="004E71D1"/>
    <w:rsid w:val="004E724D"/>
    <w:rsid w:val="004E7585"/>
    <w:rsid w:val="004E7D5C"/>
    <w:rsid w:val="004F029B"/>
    <w:rsid w:val="004F113A"/>
    <w:rsid w:val="004F12FD"/>
    <w:rsid w:val="004F1603"/>
    <w:rsid w:val="004F190B"/>
    <w:rsid w:val="004F2195"/>
    <w:rsid w:val="004F234E"/>
    <w:rsid w:val="004F2398"/>
    <w:rsid w:val="004F3376"/>
    <w:rsid w:val="004F459D"/>
    <w:rsid w:val="004F494A"/>
    <w:rsid w:val="004F4B7C"/>
    <w:rsid w:val="004F4BDF"/>
    <w:rsid w:val="004F538C"/>
    <w:rsid w:val="004F65BD"/>
    <w:rsid w:val="004F6C4A"/>
    <w:rsid w:val="004F71A7"/>
    <w:rsid w:val="005039EE"/>
    <w:rsid w:val="0050435A"/>
    <w:rsid w:val="005047D4"/>
    <w:rsid w:val="00505522"/>
    <w:rsid w:val="00505D16"/>
    <w:rsid w:val="00506182"/>
    <w:rsid w:val="0050694B"/>
    <w:rsid w:val="00506F49"/>
    <w:rsid w:val="005126D7"/>
    <w:rsid w:val="00512A6F"/>
    <w:rsid w:val="00513DA1"/>
    <w:rsid w:val="005140AC"/>
    <w:rsid w:val="00514D76"/>
    <w:rsid w:val="00514E0B"/>
    <w:rsid w:val="005158CE"/>
    <w:rsid w:val="0051691B"/>
    <w:rsid w:val="005170D8"/>
    <w:rsid w:val="0051768A"/>
    <w:rsid w:val="0052001A"/>
    <w:rsid w:val="00521202"/>
    <w:rsid w:val="0052133B"/>
    <w:rsid w:val="0052406E"/>
    <w:rsid w:val="005260BC"/>
    <w:rsid w:val="00526266"/>
    <w:rsid w:val="00526592"/>
    <w:rsid w:val="0053023A"/>
    <w:rsid w:val="00531CAC"/>
    <w:rsid w:val="00532029"/>
    <w:rsid w:val="00532C23"/>
    <w:rsid w:val="00533777"/>
    <w:rsid w:val="00534BF4"/>
    <w:rsid w:val="00535704"/>
    <w:rsid w:val="00535FAE"/>
    <w:rsid w:val="00536183"/>
    <w:rsid w:val="00536A7C"/>
    <w:rsid w:val="005371E2"/>
    <w:rsid w:val="00537507"/>
    <w:rsid w:val="00541CE5"/>
    <w:rsid w:val="005429DA"/>
    <w:rsid w:val="005429FA"/>
    <w:rsid w:val="00542ED2"/>
    <w:rsid w:val="00544FFB"/>
    <w:rsid w:val="0054671E"/>
    <w:rsid w:val="00547456"/>
    <w:rsid w:val="0055078E"/>
    <w:rsid w:val="00552CB6"/>
    <w:rsid w:val="00553BF4"/>
    <w:rsid w:val="00555F0A"/>
    <w:rsid w:val="00556370"/>
    <w:rsid w:val="00557F45"/>
    <w:rsid w:val="00560BDB"/>
    <w:rsid w:val="0056317E"/>
    <w:rsid w:val="005648D7"/>
    <w:rsid w:val="00566313"/>
    <w:rsid w:val="00566C83"/>
    <w:rsid w:val="005679D6"/>
    <w:rsid w:val="005709E2"/>
    <w:rsid w:val="0057152B"/>
    <w:rsid w:val="005715B8"/>
    <w:rsid w:val="00571E1B"/>
    <w:rsid w:val="00572867"/>
    <w:rsid w:val="00574EA2"/>
    <w:rsid w:val="00576D8A"/>
    <w:rsid w:val="00576F98"/>
    <w:rsid w:val="00577F62"/>
    <w:rsid w:val="00580CE0"/>
    <w:rsid w:val="00580DEF"/>
    <w:rsid w:val="0058115B"/>
    <w:rsid w:val="00581E68"/>
    <w:rsid w:val="0058323A"/>
    <w:rsid w:val="00584910"/>
    <w:rsid w:val="00585CF0"/>
    <w:rsid w:val="00585EAA"/>
    <w:rsid w:val="00590338"/>
    <w:rsid w:val="00590670"/>
    <w:rsid w:val="00590AC6"/>
    <w:rsid w:val="00590AEB"/>
    <w:rsid w:val="005919BA"/>
    <w:rsid w:val="00592873"/>
    <w:rsid w:val="00594F58"/>
    <w:rsid w:val="005A1E9C"/>
    <w:rsid w:val="005A2B54"/>
    <w:rsid w:val="005A4512"/>
    <w:rsid w:val="005A5565"/>
    <w:rsid w:val="005A5AF4"/>
    <w:rsid w:val="005B0712"/>
    <w:rsid w:val="005B17AD"/>
    <w:rsid w:val="005B2109"/>
    <w:rsid w:val="005B26C1"/>
    <w:rsid w:val="005B27DE"/>
    <w:rsid w:val="005B286F"/>
    <w:rsid w:val="005B2B01"/>
    <w:rsid w:val="005B2BBE"/>
    <w:rsid w:val="005B322F"/>
    <w:rsid w:val="005B345D"/>
    <w:rsid w:val="005B3BA5"/>
    <w:rsid w:val="005B53AB"/>
    <w:rsid w:val="005B6A2A"/>
    <w:rsid w:val="005B6BEA"/>
    <w:rsid w:val="005B7373"/>
    <w:rsid w:val="005B7F06"/>
    <w:rsid w:val="005C02DE"/>
    <w:rsid w:val="005C0F80"/>
    <w:rsid w:val="005C12B3"/>
    <w:rsid w:val="005C40B4"/>
    <w:rsid w:val="005C6132"/>
    <w:rsid w:val="005D0A08"/>
    <w:rsid w:val="005D1F82"/>
    <w:rsid w:val="005D388F"/>
    <w:rsid w:val="005D3A43"/>
    <w:rsid w:val="005D4588"/>
    <w:rsid w:val="005D4BA7"/>
    <w:rsid w:val="005D50A7"/>
    <w:rsid w:val="005D6773"/>
    <w:rsid w:val="005D6CD5"/>
    <w:rsid w:val="005D7B44"/>
    <w:rsid w:val="005E07CB"/>
    <w:rsid w:val="005E0B05"/>
    <w:rsid w:val="005E0B07"/>
    <w:rsid w:val="005E0CFE"/>
    <w:rsid w:val="005E1425"/>
    <w:rsid w:val="005E1C52"/>
    <w:rsid w:val="005E263F"/>
    <w:rsid w:val="005E2ECB"/>
    <w:rsid w:val="005E5884"/>
    <w:rsid w:val="005E6B27"/>
    <w:rsid w:val="005F0338"/>
    <w:rsid w:val="005F0F5C"/>
    <w:rsid w:val="005F13B3"/>
    <w:rsid w:val="005F376D"/>
    <w:rsid w:val="005F49D3"/>
    <w:rsid w:val="005F5DAD"/>
    <w:rsid w:val="00600150"/>
    <w:rsid w:val="00602575"/>
    <w:rsid w:val="00602671"/>
    <w:rsid w:val="006047F8"/>
    <w:rsid w:val="0060502E"/>
    <w:rsid w:val="00605EB2"/>
    <w:rsid w:val="00606FC2"/>
    <w:rsid w:val="0060763F"/>
    <w:rsid w:val="00607B97"/>
    <w:rsid w:val="00611B8C"/>
    <w:rsid w:val="00611E75"/>
    <w:rsid w:val="00612166"/>
    <w:rsid w:val="00612296"/>
    <w:rsid w:val="006139B7"/>
    <w:rsid w:val="00614049"/>
    <w:rsid w:val="00616706"/>
    <w:rsid w:val="00616D58"/>
    <w:rsid w:val="006175A4"/>
    <w:rsid w:val="006178B1"/>
    <w:rsid w:val="00620A81"/>
    <w:rsid w:val="00620D13"/>
    <w:rsid w:val="00621A99"/>
    <w:rsid w:val="00622780"/>
    <w:rsid w:val="00622AFD"/>
    <w:rsid w:val="00622FD1"/>
    <w:rsid w:val="0062312D"/>
    <w:rsid w:val="006238D9"/>
    <w:rsid w:val="00624386"/>
    <w:rsid w:val="00624723"/>
    <w:rsid w:val="00626190"/>
    <w:rsid w:val="00632796"/>
    <w:rsid w:val="0063459A"/>
    <w:rsid w:val="00634D14"/>
    <w:rsid w:val="006352E5"/>
    <w:rsid w:val="00636309"/>
    <w:rsid w:val="00636ECD"/>
    <w:rsid w:val="00636EEB"/>
    <w:rsid w:val="00637B4B"/>
    <w:rsid w:val="00637EBB"/>
    <w:rsid w:val="00637F57"/>
    <w:rsid w:val="00641048"/>
    <w:rsid w:val="00642CB8"/>
    <w:rsid w:val="00643CA3"/>
    <w:rsid w:val="00643CDB"/>
    <w:rsid w:val="006448BC"/>
    <w:rsid w:val="00644FB7"/>
    <w:rsid w:val="00645079"/>
    <w:rsid w:val="0064522C"/>
    <w:rsid w:val="00651533"/>
    <w:rsid w:val="00651A3A"/>
    <w:rsid w:val="00653E18"/>
    <w:rsid w:val="006556D6"/>
    <w:rsid w:val="0065674E"/>
    <w:rsid w:val="00656922"/>
    <w:rsid w:val="00657BE3"/>
    <w:rsid w:val="00661128"/>
    <w:rsid w:val="0066167D"/>
    <w:rsid w:val="0066192A"/>
    <w:rsid w:val="00661DDD"/>
    <w:rsid w:val="00662B8B"/>
    <w:rsid w:val="006648B8"/>
    <w:rsid w:val="006648C9"/>
    <w:rsid w:val="006658D0"/>
    <w:rsid w:val="00666F0A"/>
    <w:rsid w:val="00667653"/>
    <w:rsid w:val="0066788C"/>
    <w:rsid w:val="006702EE"/>
    <w:rsid w:val="00670C28"/>
    <w:rsid w:val="00670E9B"/>
    <w:rsid w:val="0067269D"/>
    <w:rsid w:val="006727F5"/>
    <w:rsid w:val="0067301A"/>
    <w:rsid w:val="006735AD"/>
    <w:rsid w:val="006741EB"/>
    <w:rsid w:val="00674F3F"/>
    <w:rsid w:val="006765ED"/>
    <w:rsid w:val="006766BC"/>
    <w:rsid w:val="00677218"/>
    <w:rsid w:val="00677DD8"/>
    <w:rsid w:val="00680185"/>
    <w:rsid w:val="0068020F"/>
    <w:rsid w:val="00680F11"/>
    <w:rsid w:val="00681C9F"/>
    <w:rsid w:val="00682800"/>
    <w:rsid w:val="0068302A"/>
    <w:rsid w:val="00683858"/>
    <w:rsid w:val="0068433E"/>
    <w:rsid w:val="00684E15"/>
    <w:rsid w:val="00684E2A"/>
    <w:rsid w:val="00686413"/>
    <w:rsid w:val="0068680E"/>
    <w:rsid w:val="00686A6C"/>
    <w:rsid w:val="00686DE8"/>
    <w:rsid w:val="0069013C"/>
    <w:rsid w:val="00690563"/>
    <w:rsid w:val="00691E9D"/>
    <w:rsid w:val="006929F8"/>
    <w:rsid w:val="00694158"/>
    <w:rsid w:val="0069475C"/>
    <w:rsid w:val="006949EB"/>
    <w:rsid w:val="00695337"/>
    <w:rsid w:val="00695395"/>
    <w:rsid w:val="006955BD"/>
    <w:rsid w:val="006969BF"/>
    <w:rsid w:val="00697106"/>
    <w:rsid w:val="0069732D"/>
    <w:rsid w:val="006A07FF"/>
    <w:rsid w:val="006A0C09"/>
    <w:rsid w:val="006A16AD"/>
    <w:rsid w:val="006A32FD"/>
    <w:rsid w:val="006A3377"/>
    <w:rsid w:val="006A55A6"/>
    <w:rsid w:val="006A58A7"/>
    <w:rsid w:val="006A5F39"/>
    <w:rsid w:val="006B1606"/>
    <w:rsid w:val="006B1E4D"/>
    <w:rsid w:val="006B2868"/>
    <w:rsid w:val="006B3467"/>
    <w:rsid w:val="006C174B"/>
    <w:rsid w:val="006C2EE1"/>
    <w:rsid w:val="006C58D3"/>
    <w:rsid w:val="006C62D1"/>
    <w:rsid w:val="006C6A28"/>
    <w:rsid w:val="006C7809"/>
    <w:rsid w:val="006D1B52"/>
    <w:rsid w:val="006D250D"/>
    <w:rsid w:val="006D25D8"/>
    <w:rsid w:val="006D2B1D"/>
    <w:rsid w:val="006D2F10"/>
    <w:rsid w:val="006D36C4"/>
    <w:rsid w:val="006D3A7F"/>
    <w:rsid w:val="006D47B3"/>
    <w:rsid w:val="006D603A"/>
    <w:rsid w:val="006D7611"/>
    <w:rsid w:val="006D764B"/>
    <w:rsid w:val="006D7B3D"/>
    <w:rsid w:val="006E01AD"/>
    <w:rsid w:val="006E17A3"/>
    <w:rsid w:val="006E17CF"/>
    <w:rsid w:val="006E18AE"/>
    <w:rsid w:val="006E2D91"/>
    <w:rsid w:val="006E2E5F"/>
    <w:rsid w:val="006E4AF4"/>
    <w:rsid w:val="006E581B"/>
    <w:rsid w:val="006E5A6D"/>
    <w:rsid w:val="006E6AD3"/>
    <w:rsid w:val="006E7E4F"/>
    <w:rsid w:val="006F0B8B"/>
    <w:rsid w:val="006F0CD3"/>
    <w:rsid w:val="006F10FE"/>
    <w:rsid w:val="006F19F1"/>
    <w:rsid w:val="006F1C70"/>
    <w:rsid w:val="006F22D0"/>
    <w:rsid w:val="006F275A"/>
    <w:rsid w:val="006F2D58"/>
    <w:rsid w:val="006F2FF4"/>
    <w:rsid w:val="006F3C4B"/>
    <w:rsid w:val="006F585D"/>
    <w:rsid w:val="006F5CBB"/>
    <w:rsid w:val="006F6A33"/>
    <w:rsid w:val="006F7C96"/>
    <w:rsid w:val="006F7D74"/>
    <w:rsid w:val="00700711"/>
    <w:rsid w:val="00700CF5"/>
    <w:rsid w:val="00701F57"/>
    <w:rsid w:val="00703B19"/>
    <w:rsid w:val="00704510"/>
    <w:rsid w:val="00705498"/>
    <w:rsid w:val="00705D5C"/>
    <w:rsid w:val="0070698C"/>
    <w:rsid w:val="007070F0"/>
    <w:rsid w:val="007073AC"/>
    <w:rsid w:val="0071057F"/>
    <w:rsid w:val="00712616"/>
    <w:rsid w:val="00713BAC"/>
    <w:rsid w:val="00713D37"/>
    <w:rsid w:val="00714BE4"/>
    <w:rsid w:val="00716A85"/>
    <w:rsid w:val="00717768"/>
    <w:rsid w:val="00717D49"/>
    <w:rsid w:val="0072107C"/>
    <w:rsid w:val="007215C8"/>
    <w:rsid w:val="00721801"/>
    <w:rsid w:val="0072187A"/>
    <w:rsid w:val="007219CD"/>
    <w:rsid w:val="007219FA"/>
    <w:rsid w:val="0072353C"/>
    <w:rsid w:val="00723D1F"/>
    <w:rsid w:val="00724362"/>
    <w:rsid w:val="00724E66"/>
    <w:rsid w:val="00725FE9"/>
    <w:rsid w:val="00726286"/>
    <w:rsid w:val="00726651"/>
    <w:rsid w:val="00730022"/>
    <w:rsid w:val="00730D18"/>
    <w:rsid w:val="00730DE2"/>
    <w:rsid w:val="0073202C"/>
    <w:rsid w:val="00732136"/>
    <w:rsid w:val="00733C1F"/>
    <w:rsid w:val="00735FCC"/>
    <w:rsid w:val="00736683"/>
    <w:rsid w:val="00737175"/>
    <w:rsid w:val="007376C5"/>
    <w:rsid w:val="00740A5F"/>
    <w:rsid w:val="00740B91"/>
    <w:rsid w:val="00740F3F"/>
    <w:rsid w:val="00741055"/>
    <w:rsid w:val="00741714"/>
    <w:rsid w:val="00741B11"/>
    <w:rsid w:val="00742D92"/>
    <w:rsid w:val="007430AE"/>
    <w:rsid w:val="00743608"/>
    <w:rsid w:val="00743BD5"/>
    <w:rsid w:val="0074472B"/>
    <w:rsid w:val="0074601B"/>
    <w:rsid w:val="00746B58"/>
    <w:rsid w:val="00747A1A"/>
    <w:rsid w:val="00750592"/>
    <w:rsid w:val="00754086"/>
    <w:rsid w:val="00756522"/>
    <w:rsid w:val="00757EBE"/>
    <w:rsid w:val="007603C9"/>
    <w:rsid w:val="007612A3"/>
    <w:rsid w:val="00761420"/>
    <w:rsid w:val="00761C5E"/>
    <w:rsid w:val="00762E94"/>
    <w:rsid w:val="007639D9"/>
    <w:rsid w:val="00766731"/>
    <w:rsid w:val="00767A3D"/>
    <w:rsid w:val="00767AC8"/>
    <w:rsid w:val="007729BD"/>
    <w:rsid w:val="007731EB"/>
    <w:rsid w:val="00773348"/>
    <w:rsid w:val="00775502"/>
    <w:rsid w:val="00775F83"/>
    <w:rsid w:val="007764DB"/>
    <w:rsid w:val="00777763"/>
    <w:rsid w:val="00780DEE"/>
    <w:rsid w:val="00780F08"/>
    <w:rsid w:val="00781BDD"/>
    <w:rsid w:val="007823EA"/>
    <w:rsid w:val="00782C12"/>
    <w:rsid w:val="007845DF"/>
    <w:rsid w:val="007867BA"/>
    <w:rsid w:val="00786A8E"/>
    <w:rsid w:val="00790210"/>
    <w:rsid w:val="00790B90"/>
    <w:rsid w:val="00790BEF"/>
    <w:rsid w:val="00791571"/>
    <w:rsid w:val="00791624"/>
    <w:rsid w:val="00792B2A"/>
    <w:rsid w:val="007939C0"/>
    <w:rsid w:val="00794D98"/>
    <w:rsid w:val="00795132"/>
    <w:rsid w:val="00795437"/>
    <w:rsid w:val="007959EE"/>
    <w:rsid w:val="00795EA3"/>
    <w:rsid w:val="00796313"/>
    <w:rsid w:val="007965CF"/>
    <w:rsid w:val="00796F5A"/>
    <w:rsid w:val="007970B1"/>
    <w:rsid w:val="0079714C"/>
    <w:rsid w:val="007A1BE5"/>
    <w:rsid w:val="007A1C6F"/>
    <w:rsid w:val="007A20FF"/>
    <w:rsid w:val="007A3787"/>
    <w:rsid w:val="007A4C34"/>
    <w:rsid w:val="007A4DB7"/>
    <w:rsid w:val="007A7154"/>
    <w:rsid w:val="007A719B"/>
    <w:rsid w:val="007B0412"/>
    <w:rsid w:val="007B04C6"/>
    <w:rsid w:val="007B10EA"/>
    <w:rsid w:val="007B11DC"/>
    <w:rsid w:val="007B1272"/>
    <w:rsid w:val="007B1509"/>
    <w:rsid w:val="007B1693"/>
    <w:rsid w:val="007B3DE6"/>
    <w:rsid w:val="007B4A4A"/>
    <w:rsid w:val="007B537C"/>
    <w:rsid w:val="007B6DB1"/>
    <w:rsid w:val="007B7265"/>
    <w:rsid w:val="007B73F9"/>
    <w:rsid w:val="007B7811"/>
    <w:rsid w:val="007B7FFD"/>
    <w:rsid w:val="007C1C0D"/>
    <w:rsid w:val="007C2245"/>
    <w:rsid w:val="007C2284"/>
    <w:rsid w:val="007C2374"/>
    <w:rsid w:val="007C3140"/>
    <w:rsid w:val="007C53B9"/>
    <w:rsid w:val="007C6409"/>
    <w:rsid w:val="007C6A23"/>
    <w:rsid w:val="007C6DF2"/>
    <w:rsid w:val="007C7902"/>
    <w:rsid w:val="007D15A5"/>
    <w:rsid w:val="007D2252"/>
    <w:rsid w:val="007D2D0F"/>
    <w:rsid w:val="007D3BFC"/>
    <w:rsid w:val="007D617A"/>
    <w:rsid w:val="007E07EA"/>
    <w:rsid w:val="007E170D"/>
    <w:rsid w:val="007E24E4"/>
    <w:rsid w:val="007E2AA4"/>
    <w:rsid w:val="007E2CA2"/>
    <w:rsid w:val="007E3246"/>
    <w:rsid w:val="007E410E"/>
    <w:rsid w:val="007E49A1"/>
    <w:rsid w:val="007E4C29"/>
    <w:rsid w:val="007E4DD2"/>
    <w:rsid w:val="007E5D8A"/>
    <w:rsid w:val="007E612A"/>
    <w:rsid w:val="007E70FB"/>
    <w:rsid w:val="007E72D3"/>
    <w:rsid w:val="007E7562"/>
    <w:rsid w:val="007E772A"/>
    <w:rsid w:val="007E7881"/>
    <w:rsid w:val="007F0A25"/>
    <w:rsid w:val="007F1DEC"/>
    <w:rsid w:val="007F2D57"/>
    <w:rsid w:val="007F3D6F"/>
    <w:rsid w:val="007F6C6B"/>
    <w:rsid w:val="007F6EAB"/>
    <w:rsid w:val="007F7C64"/>
    <w:rsid w:val="008009C7"/>
    <w:rsid w:val="008017BC"/>
    <w:rsid w:val="00801B81"/>
    <w:rsid w:val="00801BFB"/>
    <w:rsid w:val="00802B6A"/>
    <w:rsid w:val="00803A27"/>
    <w:rsid w:val="00803E6D"/>
    <w:rsid w:val="0080413B"/>
    <w:rsid w:val="008042F7"/>
    <w:rsid w:val="00805B28"/>
    <w:rsid w:val="008101E2"/>
    <w:rsid w:val="00811931"/>
    <w:rsid w:val="008120DC"/>
    <w:rsid w:val="00812A82"/>
    <w:rsid w:val="00813DFF"/>
    <w:rsid w:val="00814294"/>
    <w:rsid w:val="00814E71"/>
    <w:rsid w:val="008164C8"/>
    <w:rsid w:val="00817AD1"/>
    <w:rsid w:val="00823BE4"/>
    <w:rsid w:val="00825592"/>
    <w:rsid w:val="00825636"/>
    <w:rsid w:val="00825829"/>
    <w:rsid w:val="00825F1D"/>
    <w:rsid w:val="00827752"/>
    <w:rsid w:val="00827A34"/>
    <w:rsid w:val="008309E8"/>
    <w:rsid w:val="008309EA"/>
    <w:rsid w:val="00831D7E"/>
    <w:rsid w:val="00831FA3"/>
    <w:rsid w:val="00832C53"/>
    <w:rsid w:val="00832E8E"/>
    <w:rsid w:val="008330EA"/>
    <w:rsid w:val="008338C3"/>
    <w:rsid w:val="008339F4"/>
    <w:rsid w:val="00833E63"/>
    <w:rsid w:val="00834D6E"/>
    <w:rsid w:val="008354EC"/>
    <w:rsid w:val="008362CF"/>
    <w:rsid w:val="00836975"/>
    <w:rsid w:val="00837C1E"/>
    <w:rsid w:val="0084104B"/>
    <w:rsid w:val="008412B2"/>
    <w:rsid w:val="00841412"/>
    <w:rsid w:val="00841E24"/>
    <w:rsid w:val="0084208A"/>
    <w:rsid w:val="0084235F"/>
    <w:rsid w:val="00842C96"/>
    <w:rsid w:val="00842D71"/>
    <w:rsid w:val="00843174"/>
    <w:rsid w:val="0084369A"/>
    <w:rsid w:val="00843AA3"/>
    <w:rsid w:val="0084426E"/>
    <w:rsid w:val="008445F2"/>
    <w:rsid w:val="008447E2"/>
    <w:rsid w:val="00844D6D"/>
    <w:rsid w:val="00846CB0"/>
    <w:rsid w:val="008470CD"/>
    <w:rsid w:val="00847F19"/>
    <w:rsid w:val="008522C7"/>
    <w:rsid w:val="00853F4E"/>
    <w:rsid w:val="00855795"/>
    <w:rsid w:val="00855E18"/>
    <w:rsid w:val="00855EA8"/>
    <w:rsid w:val="008568B4"/>
    <w:rsid w:val="008575BE"/>
    <w:rsid w:val="008607E7"/>
    <w:rsid w:val="008619FA"/>
    <w:rsid w:val="00862054"/>
    <w:rsid w:val="00862846"/>
    <w:rsid w:val="00864D8A"/>
    <w:rsid w:val="00866C1B"/>
    <w:rsid w:val="0087113D"/>
    <w:rsid w:val="00872E54"/>
    <w:rsid w:val="00874D1E"/>
    <w:rsid w:val="00875181"/>
    <w:rsid w:val="00875D69"/>
    <w:rsid w:val="00876CD1"/>
    <w:rsid w:val="00876DB8"/>
    <w:rsid w:val="00877622"/>
    <w:rsid w:val="0088082D"/>
    <w:rsid w:val="00881218"/>
    <w:rsid w:val="00881C5D"/>
    <w:rsid w:val="00882B9A"/>
    <w:rsid w:val="0088311D"/>
    <w:rsid w:val="00884A25"/>
    <w:rsid w:val="008869E2"/>
    <w:rsid w:val="0089167C"/>
    <w:rsid w:val="00892660"/>
    <w:rsid w:val="008939F1"/>
    <w:rsid w:val="008944D9"/>
    <w:rsid w:val="00894835"/>
    <w:rsid w:val="008949AC"/>
    <w:rsid w:val="0089548D"/>
    <w:rsid w:val="0089566B"/>
    <w:rsid w:val="00895CD8"/>
    <w:rsid w:val="008970C8"/>
    <w:rsid w:val="008A0E1B"/>
    <w:rsid w:val="008A234A"/>
    <w:rsid w:val="008A2BE8"/>
    <w:rsid w:val="008A3CFB"/>
    <w:rsid w:val="008A444F"/>
    <w:rsid w:val="008A4B88"/>
    <w:rsid w:val="008A562B"/>
    <w:rsid w:val="008A678D"/>
    <w:rsid w:val="008A7512"/>
    <w:rsid w:val="008A7A72"/>
    <w:rsid w:val="008B06A0"/>
    <w:rsid w:val="008B13C2"/>
    <w:rsid w:val="008B1D07"/>
    <w:rsid w:val="008B2E83"/>
    <w:rsid w:val="008B38FE"/>
    <w:rsid w:val="008B459A"/>
    <w:rsid w:val="008B5C26"/>
    <w:rsid w:val="008B67A0"/>
    <w:rsid w:val="008C0425"/>
    <w:rsid w:val="008C0532"/>
    <w:rsid w:val="008C0B7D"/>
    <w:rsid w:val="008C15BE"/>
    <w:rsid w:val="008C174A"/>
    <w:rsid w:val="008C397C"/>
    <w:rsid w:val="008C566C"/>
    <w:rsid w:val="008C60E1"/>
    <w:rsid w:val="008C72AF"/>
    <w:rsid w:val="008C7C31"/>
    <w:rsid w:val="008D08EF"/>
    <w:rsid w:val="008D1ECA"/>
    <w:rsid w:val="008D2038"/>
    <w:rsid w:val="008D24A1"/>
    <w:rsid w:val="008D56F0"/>
    <w:rsid w:val="008D61AC"/>
    <w:rsid w:val="008D637D"/>
    <w:rsid w:val="008D7A13"/>
    <w:rsid w:val="008D7D3F"/>
    <w:rsid w:val="008E0ACC"/>
    <w:rsid w:val="008E227C"/>
    <w:rsid w:val="008E2282"/>
    <w:rsid w:val="008E2F6D"/>
    <w:rsid w:val="008E3B3D"/>
    <w:rsid w:val="008E45B5"/>
    <w:rsid w:val="008E4F5D"/>
    <w:rsid w:val="008E55C2"/>
    <w:rsid w:val="008E5860"/>
    <w:rsid w:val="008E5950"/>
    <w:rsid w:val="008E5D80"/>
    <w:rsid w:val="008E664D"/>
    <w:rsid w:val="008E6D5E"/>
    <w:rsid w:val="008E79B3"/>
    <w:rsid w:val="008F1C9A"/>
    <w:rsid w:val="008F2B0D"/>
    <w:rsid w:val="008F3EB1"/>
    <w:rsid w:val="008F463F"/>
    <w:rsid w:val="008F69DE"/>
    <w:rsid w:val="008F7156"/>
    <w:rsid w:val="00900173"/>
    <w:rsid w:val="009011EE"/>
    <w:rsid w:val="009030CB"/>
    <w:rsid w:val="009032E0"/>
    <w:rsid w:val="009036C8"/>
    <w:rsid w:val="0090387A"/>
    <w:rsid w:val="0090484E"/>
    <w:rsid w:val="00907606"/>
    <w:rsid w:val="00907B37"/>
    <w:rsid w:val="00910CCE"/>
    <w:rsid w:val="0091263A"/>
    <w:rsid w:val="00912B19"/>
    <w:rsid w:val="009132FC"/>
    <w:rsid w:val="00913340"/>
    <w:rsid w:val="009134BB"/>
    <w:rsid w:val="00913508"/>
    <w:rsid w:val="00913FB0"/>
    <w:rsid w:val="009142B5"/>
    <w:rsid w:val="009164D8"/>
    <w:rsid w:val="00920283"/>
    <w:rsid w:val="009219B6"/>
    <w:rsid w:val="00923190"/>
    <w:rsid w:val="009236A8"/>
    <w:rsid w:val="009249F0"/>
    <w:rsid w:val="00924AEC"/>
    <w:rsid w:val="00925DB8"/>
    <w:rsid w:val="0092615A"/>
    <w:rsid w:val="009270D6"/>
    <w:rsid w:val="0092785C"/>
    <w:rsid w:val="00927F96"/>
    <w:rsid w:val="00930711"/>
    <w:rsid w:val="00930CB0"/>
    <w:rsid w:val="00931447"/>
    <w:rsid w:val="009343E9"/>
    <w:rsid w:val="0093453D"/>
    <w:rsid w:val="009352CD"/>
    <w:rsid w:val="00935322"/>
    <w:rsid w:val="00936E1D"/>
    <w:rsid w:val="0093743F"/>
    <w:rsid w:val="0093752B"/>
    <w:rsid w:val="00940EB8"/>
    <w:rsid w:val="009417A3"/>
    <w:rsid w:val="00941CA7"/>
    <w:rsid w:val="00943348"/>
    <w:rsid w:val="009435AC"/>
    <w:rsid w:val="00944202"/>
    <w:rsid w:val="00945379"/>
    <w:rsid w:val="0094623D"/>
    <w:rsid w:val="009469F0"/>
    <w:rsid w:val="00947586"/>
    <w:rsid w:val="00951099"/>
    <w:rsid w:val="0095142F"/>
    <w:rsid w:val="00953D92"/>
    <w:rsid w:val="00954793"/>
    <w:rsid w:val="009556C9"/>
    <w:rsid w:val="009558DC"/>
    <w:rsid w:val="00963952"/>
    <w:rsid w:val="00964245"/>
    <w:rsid w:val="00964544"/>
    <w:rsid w:val="00965353"/>
    <w:rsid w:val="009663EA"/>
    <w:rsid w:val="009670DE"/>
    <w:rsid w:val="00970CD3"/>
    <w:rsid w:val="009725DD"/>
    <w:rsid w:val="00974124"/>
    <w:rsid w:val="009746F3"/>
    <w:rsid w:val="00974E59"/>
    <w:rsid w:val="00975055"/>
    <w:rsid w:val="00975A9C"/>
    <w:rsid w:val="009763F2"/>
    <w:rsid w:val="00977002"/>
    <w:rsid w:val="00980068"/>
    <w:rsid w:val="009801A9"/>
    <w:rsid w:val="00980B3F"/>
    <w:rsid w:val="00980FCC"/>
    <w:rsid w:val="0098139F"/>
    <w:rsid w:val="00981C7C"/>
    <w:rsid w:val="00982086"/>
    <w:rsid w:val="009820C9"/>
    <w:rsid w:val="00982726"/>
    <w:rsid w:val="009828CA"/>
    <w:rsid w:val="00982A2D"/>
    <w:rsid w:val="00983465"/>
    <w:rsid w:val="009838BC"/>
    <w:rsid w:val="009838C8"/>
    <w:rsid w:val="0098391A"/>
    <w:rsid w:val="00983C17"/>
    <w:rsid w:val="0098408F"/>
    <w:rsid w:val="00984F99"/>
    <w:rsid w:val="009856E4"/>
    <w:rsid w:val="00985F6A"/>
    <w:rsid w:val="009864B3"/>
    <w:rsid w:val="009870F8"/>
    <w:rsid w:val="00987238"/>
    <w:rsid w:val="00990959"/>
    <w:rsid w:val="00991097"/>
    <w:rsid w:val="00992239"/>
    <w:rsid w:val="00992437"/>
    <w:rsid w:val="00992DE6"/>
    <w:rsid w:val="0099372F"/>
    <w:rsid w:val="00993C08"/>
    <w:rsid w:val="009946DE"/>
    <w:rsid w:val="009952B2"/>
    <w:rsid w:val="0099611A"/>
    <w:rsid w:val="00996E71"/>
    <w:rsid w:val="009973CA"/>
    <w:rsid w:val="009975CE"/>
    <w:rsid w:val="009A0E13"/>
    <w:rsid w:val="009A13F0"/>
    <w:rsid w:val="009A256B"/>
    <w:rsid w:val="009A4458"/>
    <w:rsid w:val="009A4ABC"/>
    <w:rsid w:val="009A5E19"/>
    <w:rsid w:val="009A6CE9"/>
    <w:rsid w:val="009B10B2"/>
    <w:rsid w:val="009B33BE"/>
    <w:rsid w:val="009B4C96"/>
    <w:rsid w:val="009B4CF7"/>
    <w:rsid w:val="009B585F"/>
    <w:rsid w:val="009B5DE3"/>
    <w:rsid w:val="009B5E88"/>
    <w:rsid w:val="009B6235"/>
    <w:rsid w:val="009B6242"/>
    <w:rsid w:val="009C03BC"/>
    <w:rsid w:val="009C1E75"/>
    <w:rsid w:val="009C282C"/>
    <w:rsid w:val="009C4A22"/>
    <w:rsid w:val="009C4E38"/>
    <w:rsid w:val="009C7177"/>
    <w:rsid w:val="009C7717"/>
    <w:rsid w:val="009D079F"/>
    <w:rsid w:val="009D0FCC"/>
    <w:rsid w:val="009D117C"/>
    <w:rsid w:val="009D1423"/>
    <w:rsid w:val="009D4265"/>
    <w:rsid w:val="009D4411"/>
    <w:rsid w:val="009D574D"/>
    <w:rsid w:val="009D5FBB"/>
    <w:rsid w:val="009D7617"/>
    <w:rsid w:val="009E056B"/>
    <w:rsid w:val="009E07AA"/>
    <w:rsid w:val="009E0C85"/>
    <w:rsid w:val="009E2143"/>
    <w:rsid w:val="009E3157"/>
    <w:rsid w:val="009E3367"/>
    <w:rsid w:val="009E5410"/>
    <w:rsid w:val="009E7B58"/>
    <w:rsid w:val="009F26A3"/>
    <w:rsid w:val="009F4F3B"/>
    <w:rsid w:val="009F62FA"/>
    <w:rsid w:val="009F6D79"/>
    <w:rsid w:val="009F7D5C"/>
    <w:rsid w:val="00A0003B"/>
    <w:rsid w:val="00A007F1"/>
    <w:rsid w:val="00A01680"/>
    <w:rsid w:val="00A01991"/>
    <w:rsid w:val="00A01A6A"/>
    <w:rsid w:val="00A01AB1"/>
    <w:rsid w:val="00A028B4"/>
    <w:rsid w:val="00A03B4A"/>
    <w:rsid w:val="00A03F00"/>
    <w:rsid w:val="00A03F62"/>
    <w:rsid w:val="00A053EB"/>
    <w:rsid w:val="00A058D6"/>
    <w:rsid w:val="00A0739F"/>
    <w:rsid w:val="00A10739"/>
    <w:rsid w:val="00A11811"/>
    <w:rsid w:val="00A131D6"/>
    <w:rsid w:val="00A13AA1"/>
    <w:rsid w:val="00A14CBF"/>
    <w:rsid w:val="00A159BD"/>
    <w:rsid w:val="00A15D4A"/>
    <w:rsid w:val="00A16127"/>
    <w:rsid w:val="00A167CA"/>
    <w:rsid w:val="00A2234E"/>
    <w:rsid w:val="00A231D0"/>
    <w:rsid w:val="00A231D8"/>
    <w:rsid w:val="00A235D7"/>
    <w:rsid w:val="00A25946"/>
    <w:rsid w:val="00A25DC3"/>
    <w:rsid w:val="00A26E04"/>
    <w:rsid w:val="00A2798F"/>
    <w:rsid w:val="00A27B83"/>
    <w:rsid w:val="00A27CC6"/>
    <w:rsid w:val="00A300A0"/>
    <w:rsid w:val="00A300F7"/>
    <w:rsid w:val="00A303EC"/>
    <w:rsid w:val="00A33DEB"/>
    <w:rsid w:val="00A348D4"/>
    <w:rsid w:val="00A34D6C"/>
    <w:rsid w:val="00A35039"/>
    <w:rsid w:val="00A35F86"/>
    <w:rsid w:val="00A361B4"/>
    <w:rsid w:val="00A37326"/>
    <w:rsid w:val="00A373C2"/>
    <w:rsid w:val="00A400A0"/>
    <w:rsid w:val="00A40A1F"/>
    <w:rsid w:val="00A4178C"/>
    <w:rsid w:val="00A41E66"/>
    <w:rsid w:val="00A41F1D"/>
    <w:rsid w:val="00A42208"/>
    <w:rsid w:val="00A439E3"/>
    <w:rsid w:val="00A43B77"/>
    <w:rsid w:val="00A448B0"/>
    <w:rsid w:val="00A44C79"/>
    <w:rsid w:val="00A44E34"/>
    <w:rsid w:val="00A451EE"/>
    <w:rsid w:val="00A45B1A"/>
    <w:rsid w:val="00A4706B"/>
    <w:rsid w:val="00A471C7"/>
    <w:rsid w:val="00A472D7"/>
    <w:rsid w:val="00A51469"/>
    <w:rsid w:val="00A52D21"/>
    <w:rsid w:val="00A53C74"/>
    <w:rsid w:val="00A55D93"/>
    <w:rsid w:val="00A562D0"/>
    <w:rsid w:val="00A56ADB"/>
    <w:rsid w:val="00A5734E"/>
    <w:rsid w:val="00A60091"/>
    <w:rsid w:val="00A61B46"/>
    <w:rsid w:val="00A62AC9"/>
    <w:rsid w:val="00A62F86"/>
    <w:rsid w:val="00A6364F"/>
    <w:rsid w:val="00A63BF6"/>
    <w:rsid w:val="00A66D06"/>
    <w:rsid w:val="00A713E4"/>
    <w:rsid w:val="00A71553"/>
    <w:rsid w:val="00A72B42"/>
    <w:rsid w:val="00A73273"/>
    <w:rsid w:val="00A7338A"/>
    <w:rsid w:val="00A75A5F"/>
    <w:rsid w:val="00A824E8"/>
    <w:rsid w:val="00A825F2"/>
    <w:rsid w:val="00A827E4"/>
    <w:rsid w:val="00A82C95"/>
    <w:rsid w:val="00A83B68"/>
    <w:rsid w:val="00A84BE4"/>
    <w:rsid w:val="00A86EB2"/>
    <w:rsid w:val="00A905A8"/>
    <w:rsid w:val="00A90BEB"/>
    <w:rsid w:val="00A919A6"/>
    <w:rsid w:val="00A940C3"/>
    <w:rsid w:val="00A9597D"/>
    <w:rsid w:val="00A95C2D"/>
    <w:rsid w:val="00A969FC"/>
    <w:rsid w:val="00A96A95"/>
    <w:rsid w:val="00A96AE7"/>
    <w:rsid w:val="00A970B2"/>
    <w:rsid w:val="00A973F9"/>
    <w:rsid w:val="00AA1973"/>
    <w:rsid w:val="00AA406B"/>
    <w:rsid w:val="00AA42FE"/>
    <w:rsid w:val="00AA4B1E"/>
    <w:rsid w:val="00AA4D19"/>
    <w:rsid w:val="00AA536A"/>
    <w:rsid w:val="00AA5639"/>
    <w:rsid w:val="00AA56E9"/>
    <w:rsid w:val="00AA66AE"/>
    <w:rsid w:val="00AA7138"/>
    <w:rsid w:val="00AA7E66"/>
    <w:rsid w:val="00AB06C0"/>
    <w:rsid w:val="00AB14FB"/>
    <w:rsid w:val="00AB19A9"/>
    <w:rsid w:val="00AB2AFE"/>
    <w:rsid w:val="00AB3BF7"/>
    <w:rsid w:val="00AB4D1D"/>
    <w:rsid w:val="00AB659E"/>
    <w:rsid w:val="00AB7D09"/>
    <w:rsid w:val="00AB7E64"/>
    <w:rsid w:val="00AC0240"/>
    <w:rsid w:val="00AC04A5"/>
    <w:rsid w:val="00AC3593"/>
    <w:rsid w:val="00AC36B6"/>
    <w:rsid w:val="00AC373D"/>
    <w:rsid w:val="00AC37E8"/>
    <w:rsid w:val="00AC37FD"/>
    <w:rsid w:val="00AC458D"/>
    <w:rsid w:val="00AC4A95"/>
    <w:rsid w:val="00AC7EF2"/>
    <w:rsid w:val="00AD013A"/>
    <w:rsid w:val="00AD0B2A"/>
    <w:rsid w:val="00AD0CD5"/>
    <w:rsid w:val="00AD26AA"/>
    <w:rsid w:val="00AD2C20"/>
    <w:rsid w:val="00AD4867"/>
    <w:rsid w:val="00AD4962"/>
    <w:rsid w:val="00AD4BF1"/>
    <w:rsid w:val="00AD50FA"/>
    <w:rsid w:val="00AD55B7"/>
    <w:rsid w:val="00AD5966"/>
    <w:rsid w:val="00AD5AED"/>
    <w:rsid w:val="00AD7173"/>
    <w:rsid w:val="00AD7321"/>
    <w:rsid w:val="00AE03F5"/>
    <w:rsid w:val="00AE0C13"/>
    <w:rsid w:val="00AE0D78"/>
    <w:rsid w:val="00AE0F78"/>
    <w:rsid w:val="00AE101C"/>
    <w:rsid w:val="00AE2E8F"/>
    <w:rsid w:val="00AE38A0"/>
    <w:rsid w:val="00AE4108"/>
    <w:rsid w:val="00AE417E"/>
    <w:rsid w:val="00AE48A3"/>
    <w:rsid w:val="00AE71AF"/>
    <w:rsid w:val="00AE7641"/>
    <w:rsid w:val="00AE7EA9"/>
    <w:rsid w:val="00AF0186"/>
    <w:rsid w:val="00AF11C9"/>
    <w:rsid w:val="00AF13FB"/>
    <w:rsid w:val="00AF163A"/>
    <w:rsid w:val="00AF2AAF"/>
    <w:rsid w:val="00AF4240"/>
    <w:rsid w:val="00AF4B25"/>
    <w:rsid w:val="00AF5788"/>
    <w:rsid w:val="00AF6A37"/>
    <w:rsid w:val="00AF784D"/>
    <w:rsid w:val="00B00350"/>
    <w:rsid w:val="00B0042E"/>
    <w:rsid w:val="00B0086C"/>
    <w:rsid w:val="00B00B36"/>
    <w:rsid w:val="00B00C06"/>
    <w:rsid w:val="00B01149"/>
    <w:rsid w:val="00B0129A"/>
    <w:rsid w:val="00B02EA4"/>
    <w:rsid w:val="00B04360"/>
    <w:rsid w:val="00B048CD"/>
    <w:rsid w:val="00B04E53"/>
    <w:rsid w:val="00B0522B"/>
    <w:rsid w:val="00B0656F"/>
    <w:rsid w:val="00B12C1B"/>
    <w:rsid w:val="00B1382D"/>
    <w:rsid w:val="00B1514A"/>
    <w:rsid w:val="00B16C1F"/>
    <w:rsid w:val="00B207A5"/>
    <w:rsid w:val="00B229D1"/>
    <w:rsid w:val="00B22AA2"/>
    <w:rsid w:val="00B2337F"/>
    <w:rsid w:val="00B23731"/>
    <w:rsid w:val="00B23D86"/>
    <w:rsid w:val="00B2488B"/>
    <w:rsid w:val="00B249A9"/>
    <w:rsid w:val="00B24D2C"/>
    <w:rsid w:val="00B26B33"/>
    <w:rsid w:val="00B304A2"/>
    <w:rsid w:val="00B30BB9"/>
    <w:rsid w:val="00B31035"/>
    <w:rsid w:val="00B31A27"/>
    <w:rsid w:val="00B32B78"/>
    <w:rsid w:val="00B32B7B"/>
    <w:rsid w:val="00B33057"/>
    <w:rsid w:val="00B335C3"/>
    <w:rsid w:val="00B344EB"/>
    <w:rsid w:val="00B34A4F"/>
    <w:rsid w:val="00B409FC"/>
    <w:rsid w:val="00B41A91"/>
    <w:rsid w:val="00B41ABC"/>
    <w:rsid w:val="00B42235"/>
    <w:rsid w:val="00B423A8"/>
    <w:rsid w:val="00B42EAA"/>
    <w:rsid w:val="00B42EAB"/>
    <w:rsid w:val="00B44D03"/>
    <w:rsid w:val="00B44D8C"/>
    <w:rsid w:val="00B45DD0"/>
    <w:rsid w:val="00B46140"/>
    <w:rsid w:val="00B46BDA"/>
    <w:rsid w:val="00B47867"/>
    <w:rsid w:val="00B47986"/>
    <w:rsid w:val="00B47AC6"/>
    <w:rsid w:val="00B50394"/>
    <w:rsid w:val="00B51830"/>
    <w:rsid w:val="00B5193A"/>
    <w:rsid w:val="00B520C8"/>
    <w:rsid w:val="00B52C32"/>
    <w:rsid w:val="00B53F55"/>
    <w:rsid w:val="00B54760"/>
    <w:rsid w:val="00B549B3"/>
    <w:rsid w:val="00B54A78"/>
    <w:rsid w:val="00B55729"/>
    <w:rsid w:val="00B55C18"/>
    <w:rsid w:val="00B61538"/>
    <w:rsid w:val="00B65964"/>
    <w:rsid w:val="00B7001F"/>
    <w:rsid w:val="00B700FA"/>
    <w:rsid w:val="00B70133"/>
    <w:rsid w:val="00B704F3"/>
    <w:rsid w:val="00B71473"/>
    <w:rsid w:val="00B72C92"/>
    <w:rsid w:val="00B72E85"/>
    <w:rsid w:val="00B73B8C"/>
    <w:rsid w:val="00B744FE"/>
    <w:rsid w:val="00B7538D"/>
    <w:rsid w:val="00B76242"/>
    <w:rsid w:val="00B7694E"/>
    <w:rsid w:val="00B77B2B"/>
    <w:rsid w:val="00B8150B"/>
    <w:rsid w:val="00B828DC"/>
    <w:rsid w:val="00B83066"/>
    <w:rsid w:val="00B83976"/>
    <w:rsid w:val="00B84FA8"/>
    <w:rsid w:val="00B856EA"/>
    <w:rsid w:val="00B85CA2"/>
    <w:rsid w:val="00B861E0"/>
    <w:rsid w:val="00B86D1C"/>
    <w:rsid w:val="00B87452"/>
    <w:rsid w:val="00B87590"/>
    <w:rsid w:val="00B926FD"/>
    <w:rsid w:val="00B93D44"/>
    <w:rsid w:val="00B94934"/>
    <w:rsid w:val="00B9565E"/>
    <w:rsid w:val="00B95A87"/>
    <w:rsid w:val="00B96308"/>
    <w:rsid w:val="00B967BF"/>
    <w:rsid w:val="00B96A35"/>
    <w:rsid w:val="00B9703E"/>
    <w:rsid w:val="00B970C8"/>
    <w:rsid w:val="00BA0708"/>
    <w:rsid w:val="00BA1177"/>
    <w:rsid w:val="00BA140F"/>
    <w:rsid w:val="00BA2171"/>
    <w:rsid w:val="00BA2AAF"/>
    <w:rsid w:val="00BA2ED1"/>
    <w:rsid w:val="00BA4798"/>
    <w:rsid w:val="00BA62A7"/>
    <w:rsid w:val="00BA6BC1"/>
    <w:rsid w:val="00BA6D1F"/>
    <w:rsid w:val="00BA77A3"/>
    <w:rsid w:val="00BB2DBD"/>
    <w:rsid w:val="00BB2E45"/>
    <w:rsid w:val="00BB2F59"/>
    <w:rsid w:val="00BB496B"/>
    <w:rsid w:val="00BB4CDC"/>
    <w:rsid w:val="00BB6061"/>
    <w:rsid w:val="00BB62EA"/>
    <w:rsid w:val="00BB6C10"/>
    <w:rsid w:val="00BB6CB8"/>
    <w:rsid w:val="00BB6F39"/>
    <w:rsid w:val="00BB7008"/>
    <w:rsid w:val="00BB78B1"/>
    <w:rsid w:val="00BC045D"/>
    <w:rsid w:val="00BC17CE"/>
    <w:rsid w:val="00BC1DF3"/>
    <w:rsid w:val="00BC1E76"/>
    <w:rsid w:val="00BC284D"/>
    <w:rsid w:val="00BC2E26"/>
    <w:rsid w:val="00BC414E"/>
    <w:rsid w:val="00BC4AFF"/>
    <w:rsid w:val="00BC536D"/>
    <w:rsid w:val="00BC589F"/>
    <w:rsid w:val="00BC6D48"/>
    <w:rsid w:val="00BD280A"/>
    <w:rsid w:val="00BD2EC8"/>
    <w:rsid w:val="00BD2FED"/>
    <w:rsid w:val="00BD5AFA"/>
    <w:rsid w:val="00BD66FC"/>
    <w:rsid w:val="00BE2D9E"/>
    <w:rsid w:val="00BE4225"/>
    <w:rsid w:val="00BE4F0B"/>
    <w:rsid w:val="00BE50A0"/>
    <w:rsid w:val="00BE5499"/>
    <w:rsid w:val="00BE618C"/>
    <w:rsid w:val="00BE7023"/>
    <w:rsid w:val="00BF2439"/>
    <w:rsid w:val="00BF2927"/>
    <w:rsid w:val="00BF2BCF"/>
    <w:rsid w:val="00BF36A8"/>
    <w:rsid w:val="00BF3742"/>
    <w:rsid w:val="00BF47CD"/>
    <w:rsid w:val="00BF4B50"/>
    <w:rsid w:val="00BF5615"/>
    <w:rsid w:val="00BF56F8"/>
    <w:rsid w:val="00BF5E30"/>
    <w:rsid w:val="00BF62A0"/>
    <w:rsid w:val="00BF75B8"/>
    <w:rsid w:val="00C01178"/>
    <w:rsid w:val="00C01A6B"/>
    <w:rsid w:val="00C02D33"/>
    <w:rsid w:val="00C05C73"/>
    <w:rsid w:val="00C07413"/>
    <w:rsid w:val="00C07436"/>
    <w:rsid w:val="00C109AB"/>
    <w:rsid w:val="00C123D8"/>
    <w:rsid w:val="00C13076"/>
    <w:rsid w:val="00C134CD"/>
    <w:rsid w:val="00C13D0C"/>
    <w:rsid w:val="00C14155"/>
    <w:rsid w:val="00C14B75"/>
    <w:rsid w:val="00C17399"/>
    <w:rsid w:val="00C218F6"/>
    <w:rsid w:val="00C21ADD"/>
    <w:rsid w:val="00C21D04"/>
    <w:rsid w:val="00C22212"/>
    <w:rsid w:val="00C228B8"/>
    <w:rsid w:val="00C230D9"/>
    <w:rsid w:val="00C23AF7"/>
    <w:rsid w:val="00C25276"/>
    <w:rsid w:val="00C2629A"/>
    <w:rsid w:val="00C277E1"/>
    <w:rsid w:val="00C27963"/>
    <w:rsid w:val="00C27A18"/>
    <w:rsid w:val="00C30006"/>
    <w:rsid w:val="00C30338"/>
    <w:rsid w:val="00C304B5"/>
    <w:rsid w:val="00C3050B"/>
    <w:rsid w:val="00C31EF0"/>
    <w:rsid w:val="00C328B8"/>
    <w:rsid w:val="00C33987"/>
    <w:rsid w:val="00C33C02"/>
    <w:rsid w:val="00C345CA"/>
    <w:rsid w:val="00C35167"/>
    <w:rsid w:val="00C35864"/>
    <w:rsid w:val="00C36353"/>
    <w:rsid w:val="00C36377"/>
    <w:rsid w:val="00C40EAC"/>
    <w:rsid w:val="00C4140D"/>
    <w:rsid w:val="00C42973"/>
    <w:rsid w:val="00C42B4F"/>
    <w:rsid w:val="00C43F05"/>
    <w:rsid w:val="00C45CC6"/>
    <w:rsid w:val="00C50EF0"/>
    <w:rsid w:val="00C5105C"/>
    <w:rsid w:val="00C513E4"/>
    <w:rsid w:val="00C53E1E"/>
    <w:rsid w:val="00C549AA"/>
    <w:rsid w:val="00C570BE"/>
    <w:rsid w:val="00C571B0"/>
    <w:rsid w:val="00C60EBE"/>
    <w:rsid w:val="00C6120A"/>
    <w:rsid w:val="00C61921"/>
    <w:rsid w:val="00C63655"/>
    <w:rsid w:val="00C63F6E"/>
    <w:rsid w:val="00C64092"/>
    <w:rsid w:val="00C6444F"/>
    <w:rsid w:val="00C6545F"/>
    <w:rsid w:val="00C659DC"/>
    <w:rsid w:val="00C65BE5"/>
    <w:rsid w:val="00C65CBA"/>
    <w:rsid w:val="00C66AB4"/>
    <w:rsid w:val="00C66CDE"/>
    <w:rsid w:val="00C67B35"/>
    <w:rsid w:val="00C712EE"/>
    <w:rsid w:val="00C71859"/>
    <w:rsid w:val="00C72096"/>
    <w:rsid w:val="00C72658"/>
    <w:rsid w:val="00C72DB9"/>
    <w:rsid w:val="00C7371E"/>
    <w:rsid w:val="00C73B02"/>
    <w:rsid w:val="00C74688"/>
    <w:rsid w:val="00C74702"/>
    <w:rsid w:val="00C74CA8"/>
    <w:rsid w:val="00C765EB"/>
    <w:rsid w:val="00C7672F"/>
    <w:rsid w:val="00C768CA"/>
    <w:rsid w:val="00C773A1"/>
    <w:rsid w:val="00C77CC8"/>
    <w:rsid w:val="00C80881"/>
    <w:rsid w:val="00C83292"/>
    <w:rsid w:val="00C8371F"/>
    <w:rsid w:val="00C83D68"/>
    <w:rsid w:val="00C841D7"/>
    <w:rsid w:val="00C841FD"/>
    <w:rsid w:val="00C8584A"/>
    <w:rsid w:val="00C86B22"/>
    <w:rsid w:val="00C86F6E"/>
    <w:rsid w:val="00C9285A"/>
    <w:rsid w:val="00C92915"/>
    <w:rsid w:val="00C92A17"/>
    <w:rsid w:val="00C92B8C"/>
    <w:rsid w:val="00C932B8"/>
    <w:rsid w:val="00C935B3"/>
    <w:rsid w:val="00C96C5B"/>
    <w:rsid w:val="00C9788F"/>
    <w:rsid w:val="00CA083C"/>
    <w:rsid w:val="00CA12C4"/>
    <w:rsid w:val="00CA1821"/>
    <w:rsid w:val="00CA2762"/>
    <w:rsid w:val="00CA2FF2"/>
    <w:rsid w:val="00CA4224"/>
    <w:rsid w:val="00CA48E8"/>
    <w:rsid w:val="00CA48FB"/>
    <w:rsid w:val="00CA5437"/>
    <w:rsid w:val="00CA7704"/>
    <w:rsid w:val="00CA77B1"/>
    <w:rsid w:val="00CB01A8"/>
    <w:rsid w:val="00CB145F"/>
    <w:rsid w:val="00CB1A2D"/>
    <w:rsid w:val="00CB58D0"/>
    <w:rsid w:val="00CB63A3"/>
    <w:rsid w:val="00CB69A1"/>
    <w:rsid w:val="00CB7BC2"/>
    <w:rsid w:val="00CC21F0"/>
    <w:rsid w:val="00CC30DE"/>
    <w:rsid w:val="00CC31B3"/>
    <w:rsid w:val="00CC3BB8"/>
    <w:rsid w:val="00CC4DD5"/>
    <w:rsid w:val="00CC6956"/>
    <w:rsid w:val="00CC71F8"/>
    <w:rsid w:val="00CC7F99"/>
    <w:rsid w:val="00CD01CB"/>
    <w:rsid w:val="00CD0BA6"/>
    <w:rsid w:val="00CD0F65"/>
    <w:rsid w:val="00CD121D"/>
    <w:rsid w:val="00CD12EB"/>
    <w:rsid w:val="00CD292F"/>
    <w:rsid w:val="00CD2F5E"/>
    <w:rsid w:val="00CD3445"/>
    <w:rsid w:val="00CD38EE"/>
    <w:rsid w:val="00CD5450"/>
    <w:rsid w:val="00CD56EC"/>
    <w:rsid w:val="00CD5EE2"/>
    <w:rsid w:val="00CD6463"/>
    <w:rsid w:val="00CD698F"/>
    <w:rsid w:val="00CD69A5"/>
    <w:rsid w:val="00CD75B6"/>
    <w:rsid w:val="00CE05D7"/>
    <w:rsid w:val="00CE09FF"/>
    <w:rsid w:val="00CE1855"/>
    <w:rsid w:val="00CE1CA3"/>
    <w:rsid w:val="00CE1EFF"/>
    <w:rsid w:val="00CE67AC"/>
    <w:rsid w:val="00CE68D2"/>
    <w:rsid w:val="00CE6F0D"/>
    <w:rsid w:val="00CF0139"/>
    <w:rsid w:val="00CF02E3"/>
    <w:rsid w:val="00CF068D"/>
    <w:rsid w:val="00CF06B6"/>
    <w:rsid w:val="00CF15EE"/>
    <w:rsid w:val="00CF174B"/>
    <w:rsid w:val="00CF1E07"/>
    <w:rsid w:val="00CF2187"/>
    <w:rsid w:val="00CF25F2"/>
    <w:rsid w:val="00CF2C5E"/>
    <w:rsid w:val="00CF2D0B"/>
    <w:rsid w:val="00CF47BC"/>
    <w:rsid w:val="00CF663B"/>
    <w:rsid w:val="00D00810"/>
    <w:rsid w:val="00D01118"/>
    <w:rsid w:val="00D01904"/>
    <w:rsid w:val="00D0231A"/>
    <w:rsid w:val="00D029A6"/>
    <w:rsid w:val="00D039D9"/>
    <w:rsid w:val="00D04C04"/>
    <w:rsid w:val="00D05830"/>
    <w:rsid w:val="00D05C1E"/>
    <w:rsid w:val="00D069BC"/>
    <w:rsid w:val="00D07B0A"/>
    <w:rsid w:val="00D105D1"/>
    <w:rsid w:val="00D117F7"/>
    <w:rsid w:val="00D1240C"/>
    <w:rsid w:val="00D13344"/>
    <w:rsid w:val="00D13888"/>
    <w:rsid w:val="00D14129"/>
    <w:rsid w:val="00D142B9"/>
    <w:rsid w:val="00D147D3"/>
    <w:rsid w:val="00D14B94"/>
    <w:rsid w:val="00D16208"/>
    <w:rsid w:val="00D22A9A"/>
    <w:rsid w:val="00D23479"/>
    <w:rsid w:val="00D23686"/>
    <w:rsid w:val="00D23751"/>
    <w:rsid w:val="00D23853"/>
    <w:rsid w:val="00D242AE"/>
    <w:rsid w:val="00D24A8F"/>
    <w:rsid w:val="00D2516D"/>
    <w:rsid w:val="00D26BE6"/>
    <w:rsid w:val="00D27216"/>
    <w:rsid w:val="00D301A6"/>
    <w:rsid w:val="00D3207A"/>
    <w:rsid w:val="00D3268B"/>
    <w:rsid w:val="00D3279D"/>
    <w:rsid w:val="00D32CFA"/>
    <w:rsid w:val="00D33326"/>
    <w:rsid w:val="00D33F6A"/>
    <w:rsid w:val="00D355DB"/>
    <w:rsid w:val="00D35C3C"/>
    <w:rsid w:val="00D36289"/>
    <w:rsid w:val="00D406E9"/>
    <w:rsid w:val="00D42884"/>
    <w:rsid w:val="00D42F3D"/>
    <w:rsid w:val="00D430A6"/>
    <w:rsid w:val="00D434DD"/>
    <w:rsid w:val="00D43749"/>
    <w:rsid w:val="00D4467D"/>
    <w:rsid w:val="00D449F1"/>
    <w:rsid w:val="00D463E6"/>
    <w:rsid w:val="00D4691E"/>
    <w:rsid w:val="00D477CE"/>
    <w:rsid w:val="00D47DCA"/>
    <w:rsid w:val="00D50BC8"/>
    <w:rsid w:val="00D50DC3"/>
    <w:rsid w:val="00D51DB3"/>
    <w:rsid w:val="00D5267C"/>
    <w:rsid w:val="00D5328F"/>
    <w:rsid w:val="00D53858"/>
    <w:rsid w:val="00D53A56"/>
    <w:rsid w:val="00D53D6E"/>
    <w:rsid w:val="00D559B6"/>
    <w:rsid w:val="00D56A1F"/>
    <w:rsid w:val="00D56C10"/>
    <w:rsid w:val="00D60B63"/>
    <w:rsid w:val="00D612EA"/>
    <w:rsid w:val="00D61AB9"/>
    <w:rsid w:val="00D62D86"/>
    <w:rsid w:val="00D64199"/>
    <w:rsid w:val="00D641B3"/>
    <w:rsid w:val="00D64752"/>
    <w:rsid w:val="00D64814"/>
    <w:rsid w:val="00D65025"/>
    <w:rsid w:val="00D65175"/>
    <w:rsid w:val="00D6618A"/>
    <w:rsid w:val="00D671F1"/>
    <w:rsid w:val="00D71234"/>
    <w:rsid w:val="00D719C9"/>
    <w:rsid w:val="00D72844"/>
    <w:rsid w:val="00D73A89"/>
    <w:rsid w:val="00D73EA0"/>
    <w:rsid w:val="00D74A3E"/>
    <w:rsid w:val="00D74EB2"/>
    <w:rsid w:val="00D75AB3"/>
    <w:rsid w:val="00D75BB9"/>
    <w:rsid w:val="00D76AD1"/>
    <w:rsid w:val="00D77305"/>
    <w:rsid w:val="00D77E26"/>
    <w:rsid w:val="00D80F29"/>
    <w:rsid w:val="00D81179"/>
    <w:rsid w:val="00D8140D"/>
    <w:rsid w:val="00D817A6"/>
    <w:rsid w:val="00D81FCE"/>
    <w:rsid w:val="00D8399A"/>
    <w:rsid w:val="00D83D46"/>
    <w:rsid w:val="00D84C39"/>
    <w:rsid w:val="00D85422"/>
    <w:rsid w:val="00D85D2E"/>
    <w:rsid w:val="00D86851"/>
    <w:rsid w:val="00D877BA"/>
    <w:rsid w:val="00D87F37"/>
    <w:rsid w:val="00D9095E"/>
    <w:rsid w:val="00D91908"/>
    <w:rsid w:val="00D92306"/>
    <w:rsid w:val="00D9230C"/>
    <w:rsid w:val="00D94451"/>
    <w:rsid w:val="00D9603A"/>
    <w:rsid w:val="00D96A88"/>
    <w:rsid w:val="00DA1AF3"/>
    <w:rsid w:val="00DA4C0A"/>
    <w:rsid w:val="00DA5C09"/>
    <w:rsid w:val="00DA5DEB"/>
    <w:rsid w:val="00DA626C"/>
    <w:rsid w:val="00DA64F5"/>
    <w:rsid w:val="00DA6631"/>
    <w:rsid w:val="00DA6A93"/>
    <w:rsid w:val="00DA6DB3"/>
    <w:rsid w:val="00DB08B7"/>
    <w:rsid w:val="00DB19F7"/>
    <w:rsid w:val="00DB246B"/>
    <w:rsid w:val="00DB248B"/>
    <w:rsid w:val="00DB3CE2"/>
    <w:rsid w:val="00DB47A4"/>
    <w:rsid w:val="00DB48F5"/>
    <w:rsid w:val="00DB4956"/>
    <w:rsid w:val="00DB49A0"/>
    <w:rsid w:val="00DB5E51"/>
    <w:rsid w:val="00DB604B"/>
    <w:rsid w:val="00DB681D"/>
    <w:rsid w:val="00DB6FD3"/>
    <w:rsid w:val="00DC1517"/>
    <w:rsid w:val="00DC1B49"/>
    <w:rsid w:val="00DC6DA3"/>
    <w:rsid w:val="00DC7174"/>
    <w:rsid w:val="00DD0DDE"/>
    <w:rsid w:val="00DD1F4C"/>
    <w:rsid w:val="00DD1FFF"/>
    <w:rsid w:val="00DD230B"/>
    <w:rsid w:val="00DD2AB5"/>
    <w:rsid w:val="00DD3B6A"/>
    <w:rsid w:val="00DD3BEC"/>
    <w:rsid w:val="00DD461C"/>
    <w:rsid w:val="00DD5416"/>
    <w:rsid w:val="00DD56B1"/>
    <w:rsid w:val="00DD5D6F"/>
    <w:rsid w:val="00DD5EE2"/>
    <w:rsid w:val="00DD71AD"/>
    <w:rsid w:val="00DD732B"/>
    <w:rsid w:val="00DE54A9"/>
    <w:rsid w:val="00DE5A0C"/>
    <w:rsid w:val="00DE620D"/>
    <w:rsid w:val="00DF176A"/>
    <w:rsid w:val="00DF1A57"/>
    <w:rsid w:val="00DF31AA"/>
    <w:rsid w:val="00DF32C5"/>
    <w:rsid w:val="00DF33F2"/>
    <w:rsid w:val="00DF3D39"/>
    <w:rsid w:val="00DF4768"/>
    <w:rsid w:val="00DF4D95"/>
    <w:rsid w:val="00DF5A62"/>
    <w:rsid w:val="00DF72B9"/>
    <w:rsid w:val="00E001B9"/>
    <w:rsid w:val="00E007CA"/>
    <w:rsid w:val="00E00A24"/>
    <w:rsid w:val="00E01915"/>
    <w:rsid w:val="00E01C43"/>
    <w:rsid w:val="00E01CD0"/>
    <w:rsid w:val="00E0214C"/>
    <w:rsid w:val="00E02898"/>
    <w:rsid w:val="00E034BD"/>
    <w:rsid w:val="00E05283"/>
    <w:rsid w:val="00E0678D"/>
    <w:rsid w:val="00E071E6"/>
    <w:rsid w:val="00E10134"/>
    <w:rsid w:val="00E105F0"/>
    <w:rsid w:val="00E10F04"/>
    <w:rsid w:val="00E12CE5"/>
    <w:rsid w:val="00E145DF"/>
    <w:rsid w:val="00E14ADE"/>
    <w:rsid w:val="00E1582C"/>
    <w:rsid w:val="00E20D21"/>
    <w:rsid w:val="00E215DB"/>
    <w:rsid w:val="00E22AEB"/>
    <w:rsid w:val="00E230F6"/>
    <w:rsid w:val="00E23198"/>
    <w:rsid w:val="00E2531A"/>
    <w:rsid w:val="00E2535A"/>
    <w:rsid w:val="00E254A5"/>
    <w:rsid w:val="00E26C70"/>
    <w:rsid w:val="00E271DC"/>
    <w:rsid w:val="00E3008F"/>
    <w:rsid w:val="00E30854"/>
    <w:rsid w:val="00E30FBC"/>
    <w:rsid w:val="00E31318"/>
    <w:rsid w:val="00E31FDB"/>
    <w:rsid w:val="00E326EE"/>
    <w:rsid w:val="00E329AA"/>
    <w:rsid w:val="00E33794"/>
    <w:rsid w:val="00E34558"/>
    <w:rsid w:val="00E349F3"/>
    <w:rsid w:val="00E35998"/>
    <w:rsid w:val="00E37374"/>
    <w:rsid w:val="00E374E8"/>
    <w:rsid w:val="00E41E41"/>
    <w:rsid w:val="00E42607"/>
    <w:rsid w:val="00E427C0"/>
    <w:rsid w:val="00E42F0C"/>
    <w:rsid w:val="00E43216"/>
    <w:rsid w:val="00E444DF"/>
    <w:rsid w:val="00E44842"/>
    <w:rsid w:val="00E452A9"/>
    <w:rsid w:val="00E47D90"/>
    <w:rsid w:val="00E47FB8"/>
    <w:rsid w:val="00E5037E"/>
    <w:rsid w:val="00E51EB8"/>
    <w:rsid w:val="00E5359A"/>
    <w:rsid w:val="00E5511B"/>
    <w:rsid w:val="00E5557C"/>
    <w:rsid w:val="00E5576F"/>
    <w:rsid w:val="00E56726"/>
    <w:rsid w:val="00E56E1E"/>
    <w:rsid w:val="00E607DD"/>
    <w:rsid w:val="00E608A9"/>
    <w:rsid w:val="00E61005"/>
    <w:rsid w:val="00E615E5"/>
    <w:rsid w:val="00E620DA"/>
    <w:rsid w:val="00E62DA2"/>
    <w:rsid w:val="00E6455F"/>
    <w:rsid w:val="00E64F48"/>
    <w:rsid w:val="00E64FC7"/>
    <w:rsid w:val="00E716A6"/>
    <w:rsid w:val="00E71CDD"/>
    <w:rsid w:val="00E71E76"/>
    <w:rsid w:val="00E721F2"/>
    <w:rsid w:val="00E725EC"/>
    <w:rsid w:val="00E73700"/>
    <w:rsid w:val="00E75E47"/>
    <w:rsid w:val="00E764E8"/>
    <w:rsid w:val="00E77749"/>
    <w:rsid w:val="00E809EF"/>
    <w:rsid w:val="00E80A7D"/>
    <w:rsid w:val="00E81179"/>
    <w:rsid w:val="00E8399F"/>
    <w:rsid w:val="00E83C01"/>
    <w:rsid w:val="00E842DF"/>
    <w:rsid w:val="00E85247"/>
    <w:rsid w:val="00E85924"/>
    <w:rsid w:val="00E8627A"/>
    <w:rsid w:val="00E87FE7"/>
    <w:rsid w:val="00E9043A"/>
    <w:rsid w:val="00E91AE3"/>
    <w:rsid w:val="00E9352D"/>
    <w:rsid w:val="00E93B2D"/>
    <w:rsid w:val="00E94B12"/>
    <w:rsid w:val="00E9580F"/>
    <w:rsid w:val="00E965C4"/>
    <w:rsid w:val="00E96DE3"/>
    <w:rsid w:val="00E9778B"/>
    <w:rsid w:val="00EA0078"/>
    <w:rsid w:val="00EA07ED"/>
    <w:rsid w:val="00EA0EB1"/>
    <w:rsid w:val="00EA1324"/>
    <w:rsid w:val="00EA15A0"/>
    <w:rsid w:val="00EA313A"/>
    <w:rsid w:val="00EA3529"/>
    <w:rsid w:val="00EA38A1"/>
    <w:rsid w:val="00EA5807"/>
    <w:rsid w:val="00EA5E14"/>
    <w:rsid w:val="00EA64DF"/>
    <w:rsid w:val="00EA668B"/>
    <w:rsid w:val="00EA6690"/>
    <w:rsid w:val="00EA7359"/>
    <w:rsid w:val="00EA7366"/>
    <w:rsid w:val="00EB254A"/>
    <w:rsid w:val="00EB28F0"/>
    <w:rsid w:val="00EB49A7"/>
    <w:rsid w:val="00EB5B7E"/>
    <w:rsid w:val="00EB60CF"/>
    <w:rsid w:val="00EB653B"/>
    <w:rsid w:val="00EB6E81"/>
    <w:rsid w:val="00EB72CB"/>
    <w:rsid w:val="00EC0DCE"/>
    <w:rsid w:val="00EC0F17"/>
    <w:rsid w:val="00EC1467"/>
    <w:rsid w:val="00EC1527"/>
    <w:rsid w:val="00EC1914"/>
    <w:rsid w:val="00EC2200"/>
    <w:rsid w:val="00EC2278"/>
    <w:rsid w:val="00EC2A16"/>
    <w:rsid w:val="00EC2CF9"/>
    <w:rsid w:val="00EC38EA"/>
    <w:rsid w:val="00EC4483"/>
    <w:rsid w:val="00EC5166"/>
    <w:rsid w:val="00EC60ED"/>
    <w:rsid w:val="00EC6EBF"/>
    <w:rsid w:val="00EC7498"/>
    <w:rsid w:val="00ED1F78"/>
    <w:rsid w:val="00ED24C5"/>
    <w:rsid w:val="00ED4066"/>
    <w:rsid w:val="00ED4275"/>
    <w:rsid w:val="00ED4B27"/>
    <w:rsid w:val="00ED4F87"/>
    <w:rsid w:val="00ED7578"/>
    <w:rsid w:val="00EE034B"/>
    <w:rsid w:val="00EE198C"/>
    <w:rsid w:val="00EE2AE6"/>
    <w:rsid w:val="00EE3FB4"/>
    <w:rsid w:val="00EE5911"/>
    <w:rsid w:val="00EE5FFD"/>
    <w:rsid w:val="00EE63BB"/>
    <w:rsid w:val="00EE690C"/>
    <w:rsid w:val="00EE69FC"/>
    <w:rsid w:val="00EE6B5B"/>
    <w:rsid w:val="00EF0BE0"/>
    <w:rsid w:val="00EF19D0"/>
    <w:rsid w:val="00EF2784"/>
    <w:rsid w:val="00EF32C0"/>
    <w:rsid w:val="00EF46AA"/>
    <w:rsid w:val="00EF57DF"/>
    <w:rsid w:val="00EF5E48"/>
    <w:rsid w:val="00EF6078"/>
    <w:rsid w:val="00EF724A"/>
    <w:rsid w:val="00EF7A46"/>
    <w:rsid w:val="00EF7CBE"/>
    <w:rsid w:val="00F00A87"/>
    <w:rsid w:val="00F00E25"/>
    <w:rsid w:val="00F01047"/>
    <w:rsid w:val="00F01E03"/>
    <w:rsid w:val="00F02FEE"/>
    <w:rsid w:val="00F0352E"/>
    <w:rsid w:val="00F04641"/>
    <w:rsid w:val="00F04EA1"/>
    <w:rsid w:val="00F06A42"/>
    <w:rsid w:val="00F06BF0"/>
    <w:rsid w:val="00F07074"/>
    <w:rsid w:val="00F11611"/>
    <w:rsid w:val="00F117C3"/>
    <w:rsid w:val="00F11962"/>
    <w:rsid w:val="00F121B8"/>
    <w:rsid w:val="00F12A67"/>
    <w:rsid w:val="00F12D02"/>
    <w:rsid w:val="00F136AF"/>
    <w:rsid w:val="00F13F1B"/>
    <w:rsid w:val="00F14C8F"/>
    <w:rsid w:val="00F15352"/>
    <w:rsid w:val="00F155D5"/>
    <w:rsid w:val="00F15AB6"/>
    <w:rsid w:val="00F15BC1"/>
    <w:rsid w:val="00F15E0D"/>
    <w:rsid w:val="00F1763A"/>
    <w:rsid w:val="00F17A2C"/>
    <w:rsid w:val="00F17D7F"/>
    <w:rsid w:val="00F20731"/>
    <w:rsid w:val="00F20982"/>
    <w:rsid w:val="00F20FC1"/>
    <w:rsid w:val="00F21FB8"/>
    <w:rsid w:val="00F221EE"/>
    <w:rsid w:val="00F22C89"/>
    <w:rsid w:val="00F252B0"/>
    <w:rsid w:val="00F25792"/>
    <w:rsid w:val="00F27883"/>
    <w:rsid w:val="00F30A6E"/>
    <w:rsid w:val="00F30D84"/>
    <w:rsid w:val="00F30E4C"/>
    <w:rsid w:val="00F3138A"/>
    <w:rsid w:val="00F31D6E"/>
    <w:rsid w:val="00F32163"/>
    <w:rsid w:val="00F32218"/>
    <w:rsid w:val="00F322EE"/>
    <w:rsid w:val="00F3269F"/>
    <w:rsid w:val="00F32E07"/>
    <w:rsid w:val="00F33F64"/>
    <w:rsid w:val="00F34A7B"/>
    <w:rsid w:val="00F354AD"/>
    <w:rsid w:val="00F35593"/>
    <w:rsid w:val="00F37BE9"/>
    <w:rsid w:val="00F40472"/>
    <w:rsid w:val="00F40D38"/>
    <w:rsid w:val="00F415F3"/>
    <w:rsid w:val="00F41DEA"/>
    <w:rsid w:val="00F4271C"/>
    <w:rsid w:val="00F42881"/>
    <w:rsid w:val="00F42BF5"/>
    <w:rsid w:val="00F42FAC"/>
    <w:rsid w:val="00F43A14"/>
    <w:rsid w:val="00F43BD2"/>
    <w:rsid w:val="00F4510A"/>
    <w:rsid w:val="00F46F31"/>
    <w:rsid w:val="00F501CE"/>
    <w:rsid w:val="00F511C2"/>
    <w:rsid w:val="00F519B4"/>
    <w:rsid w:val="00F51A04"/>
    <w:rsid w:val="00F52B13"/>
    <w:rsid w:val="00F52CBE"/>
    <w:rsid w:val="00F53A8F"/>
    <w:rsid w:val="00F551E6"/>
    <w:rsid w:val="00F5545D"/>
    <w:rsid w:val="00F55A04"/>
    <w:rsid w:val="00F56EF3"/>
    <w:rsid w:val="00F5725C"/>
    <w:rsid w:val="00F61BD4"/>
    <w:rsid w:val="00F61ECF"/>
    <w:rsid w:val="00F63CCC"/>
    <w:rsid w:val="00F6444F"/>
    <w:rsid w:val="00F662F7"/>
    <w:rsid w:val="00F66381"/>
    <w:rsid w:val="00F67EE2"/>
    <w:rsid w:val="00F67F42"/>
    <w:rsid w:val="00F70DED"/>
    <w:rsid w:val="00F734D0"/>
    <w:rsid w:val="00F73CA6"/>
    <w:rsid w:val="00F740BE"/>
    <w:rsid w:val="00F74556"/>
    <w:rsid w:val="00F7603E"/>
    <w:rsid w:val="00F76CC1"/>
    <w:rsid w:val="00F7734F"/>
    <w:rsid w:val="00F801BB"/>
    <w:rsid w:val="00F80268"/>
    <w:rsid w:val="00F81C9D"/>
    <w:rsid w:val="00F82F3C"/>
    <w:rsid w:val="00F835B7"/>
    <w:rsid w:val="00F85127"/>
    <w:rsid w:val="00F85B04"/>
    <w:rsid w:val="00F90993"/>
    <w:rsid w:val="00F90F8B"/>
    <w:rsid w:val="00F91585"/>
    <w:rsid w:val="00F91D5A"/>
    <w:rsid w:val="00F92665"/>
    <w:rsid w:val="00F94DBB"/>
    <w:rsid w:val="00F94F47"/>
    <w:rsid w:val="00F96BDA"/>
    <w:rsid w:val="00F96FAA"/>
    <w:rsid w:val="00FA0597"/>
    <w:rsid w:val="00FA06C6"/>
    <w:rsid w:val="00FA1E5C"/>
    <w:rsid w:val="00FA264D"/>
    <w:rsid w:val="00FA27B3"/>
    <w:rsid w:val="00FA3117"/>
    <w:rsid w:val="00FA4510"/>
    <w:rsid w:val="00FA5BE0"/>
    <w:rsid w:val="00FA5CCE"/>
    <w:rsid w:val="00FA65AE"/>
    <w:rsid w:val="00FA6DA6"/>
    <w:rsid w:val="00FB0998"/>
    <w:rsid w:val="00FB177D"/>
    <w:rsid w:val="00FB21D1"/>
    <w:rsid w:val="00FB54CA"/>
    <w:rsid w:val="00FB57CC"/>
    <w:rsid w:val="00FB5EF3"/>
    <w:rsid w:val="00FB604E"/>
    <w:rsid w:val="00FB634D"/>
    <w:rsid w:val="00FB7DE0"/>
    <w:rsid w:val="00FC0A8F"/>
    <w:rsid w:val="00FC2670"/>
    <w:rsid w:val="00FC3387"/>
    <w:rsid w:val="00FC355E"/>
    <w:rsid w:val="00FC4126"/>
    <w:rsid w:val="00FC48B6"/>
    <w:rsid w:val="00FC5005"/>
    <w:rsid w:val="00FC500F"/>
    <w:rsid w:val="00FC5FE0"/>
    <w:rsid w:val="00FC6162"/>
    <w:rsid w:val="00FC6A1A"/>
    <w:rsid w:val="00FC7E7C"/>
    <w:rsid w:val="00FD0C41"/>
    <w:rsid w:val="00FD148B"/>
    <w:rsid w:val="00FD170D"/>
    <w:rsid w:val="00FD1756"/>
    <w:rsid w:val="00FD2AF1"/>
    <w:rsid w:val="00FD30D7"/>
    <w:rsid w:val="00FD3996"/>
    <w:rsid w:val="00FD3A3C"/>
    <w:rsid w:val="00FD3E1C"/>
    <w:rsid w:val="00FD439D"/>
    <w:rsid w:val="00FD4B79"/>
    <w:rsid w:val="00FD5D2B"/>
    <w:rsid w:val="00FD5F3B"/>
    <w:rsid w:val="00FD6C4D"/>
    <w:rsid w:val="00FD6EAA"/>
    <w:rsid w:val="00FE0161"/>
    <w:rsid w:val="00FE109F"/>
    <w:rsid w:val="00FE235D"/>
    <w:rsid w:val="00FE4133"/>
    <w:rsid w:val="00FE6569"/>
    <w:rsid w:val="00FE6C00"/>
    <w:rsid w:val="00FF0946"/>
    <w:rsid w:val="00FF10B2"/>
    <w:rsid w:val="00FF1FD4"/>
    <w:rsid w:val="00FF21BF"/>
    <w:rsid w:val="00FF234D"/>
    <w:rsid w:val="00FF3E7D"/>
    <w:rsid w:val="00FF425E"/>
    <w:rsid w:val="00FF52D6"/>
    <w:rsid w:val="00FF631F"/>
    <w:rsid w:val="00FF751A"/>
    <w:rsid w:val="12AE4DDD"/>
    <w:rsid w:val="1AF4918D"/>
    <w:rsid w:val="20532F7E"/>
    <w:rsid w:val="3F1EB211"/>
    <w:rsid w:val="4558EAEE"/>
    <w:rsid w:val="573A1436"/>
    <w:rsid w:val="5EB2F338"/>
    <w:rsid w:val="60F166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5236"/>
  <w15:chartTrackingRefBased/>
  <w15:docId w15:val="{CB24A682-E490-485E-9A56-F84B9ED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394DBE"/>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4A22"/>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51EE"/>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22780"/>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304A2"/>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304A2"/>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B304A2"/>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304A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304A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31"/>
    <w:rPr>
      <w:lang w:val="es-ES"/>
    </w:rPr>
  </w:style>
  <w:style w:type="paragraph" w:styleId="Piedepgina">
    <w:name w:val="footer"/>
    <w:basedOn w:val="Normal"/>
    <w:link w:val="PiedepginaCar"/>
    <w:uiPriority w:val="99"/>
    <w:unhideWhenUsed/>
    <w:rsid w:val="002B6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31"/>
    <w:rPr>
      <w:lang w:val="es-ES"/>
    </w:rPr>
  </w:style>
  <w:style w:type="character" w:styleId="Hipervnculo">
    <w:name w:val="Hyperlink"/>
    <w:basedOn w:val="Fuentedeprrafopredeter"/>
    <w:uiPriority w:val="99"/>
    <w:rsid w:val="002B6731"/>
    <w:rPr>
      <w:color w:val="0000FF"/>
      <w:u w:val="single"/>
    </w:rPr>
  </w:style>
  <w:style w:type="paragraph" w:customStyle="1" w:styleId="paragraph">
    <w:name w:val="paragraph"/>
    <w:basedOn w:val="Normal"/>
    <w:rsid w:val="002B6731"/>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2B6731"/>
  </w:style>
  <w:style w:type="character" w:customStyle="1" w:styleId="eop">
    <w:name w:val="eop"/>
    <w:basedOn w:val="Fuentedeprrafopredeter"/>
    <w:rsid w:val="002B6731"/>
  </w:style>
  <w:style w:type="character" w:customStyle="1" w:styleId="Ttulo1Car">
    <w:name w:val="Título 1 Car"/>
    <w:basedOn w:val="Fuentedeprrafopredeter"/>
    <w:link w:val="Ttulo1"/>
    <w:uiPriority w:val="9"/>
    <w:rsid w:val="00394DBE"/>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F27883"/>
    <w:pPr>
      <w:spacing w:line="259" w:lineRule="auto"/>
      <w:outlineLvl w:val="9"/>
    </w:pPr>
    <w:rPr>
      <w:lang w:val="es-CR" w:eastAsia="es-CR"/>
    </w:rPr>
  </w:style>
  <w:style w:type="paragraph" w:styleId="TDC2">
    <w:name w:val="toc 2"/>
    <w:basedOn w:val="Normal"/>
    <w:next w:val="Normal"/>
    <w:autoRedefine/>
    <w:uiPriority w:val="39"/>
    <w:unhideWhenUsed/>
    <w:rsid w:val="00F27883"/>
    <w:pPr>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F27883"/>
    <w:pPr>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F27883"/>
    <w:pPr>
      <w:spacing w:after="100" w:line="259" w:lineRule="auto"/>
      <w:ind w:left="440"/>
    </w:pPr>
    <w:rPr>
      <w:rFonts w:eastAsiaTheme="minorEastAsia" w:cs="Times New Roman"/>
      <w:lang w:val="es-CR" w:eastAsia="es-CR"/>
    </w:rPr>
  </w:style>
  <w:style w:type="paragraph" w:styleId="Textonotapie">
    <w:name w:val="footnote text"/>
    <w:basedOn w:val="Normal"/>
    <w:link w:val="TextonotapieCar"/>
    <w:uiPriority w:val="99"/>
    <w:semiHidden/>
    <w:unhideWhenUsed/>
    <w:rsid w:val="00700711"/>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0711"/>
    <w:rPr>
      <w:rFonts w:ascii="Calibri" w:eastAsia="Calibri" w:hAnsi="Calibri" w:cs="Times New Roman"/>
      <w:sz w:val="20"/>
      <w:szCs w:val="20"/>
      <w:lang w:val="es-ES"/>
    </w:rPr>
  </w:style>
  <w:style w:type="character" w:styleId="Refdenotaalpie">
    <w:name w:val="footnote reference"/>
    <w:uiPriority w:val="99"/>
    <w:semiHidden/>
    <w:unhideWhenUsed/>
    <w:rsid w:val="00700711"/>
    <w:rPr>
      <w:vertAlign w:val="superscript"/>
    </w:rPr>
  </w:style>
  <w:style w:type="table" w:styleId="Tablaconcuadrcula4-nfasis1">
    <w:name w:val="Grid Table 4 Accent 1"/>
    <w:basedOn w:val="Tablanormal"/>
    <w:uiPriority w:val="49"/>
    <w:rsid w:val="0070071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2Car">
    <w:name w:val="Título 2 Car"/>
    <w:basedOn w:val="Fuentedeprrafopredeter"/>
    <w:link w:val="Ttulo2"/>
    <w:uiPriority w:val="9"/>
    <w:rsid w:val="009C4A22"/>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Informe"/>
    <w:basedOn w:val="Normal"/>
    <w:link w:val="PrrafodelistaCar"/>
    <w:uiPriority w:val="34"/>
    <w:qFormat/>
    <w:rsid w:val="00405190"/>
    <w:pPr>
      <w:ind w:left="720"/>
      <w:contextualSpacing/>
    </w:pPr>
  </w:style>
  <w:style w:type="paragraph" w:styleId="Descripcin">
    <w:name w:val="caption"/>
    <w:basedOn w:val="Normal"/>
    <w:next w:val="Normal"/>
    <w:uiPriority w:val="35"/>
    <w:unhideWhenUsed/>
    <w:qFormat/>
    <w:rsid w:val="00F96FAA"/>
    <w:pPr>
      <w:spacing w:line="240" w:lineRule="auto"/>
    </w:pPr>
    <w:rPr>
      <w:i/>
      <w:iCs/>
      <w:color w:val="1F497D" w:themeColor="text2"/>
      <w:sz w:val="18"/>
      <w:szCs w:val="18"/>
    </w:rPr>
  </w:style>
  <w:style w:type="table" w:styleId="Tablanormal1">
    <w:name w:val="Plain Table 1"/>
    <w:basedOn w:val="Tablanormal"/>
    <w:uiPriority w:val="41"/>
    <w:rsid w:val="00560B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9314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447"/>
    <w:rPr>
      <w:rFonts w:ascii="Segoe UI" w:hAnsi="Segoe UI" w:cs="Segoe UI"/>
      <w:sz w:val="18"/>
      <w:szCs w:val="18"/>
      <w:lang w:val="es-ES"/>
    </w:rPr>
  </w:style>
  <w:style w:type="table" w:styleId="Tablaconcuadrcula4-nfasis5">
    <w:name w:val="Grid Table 4 Accent 5"/>
    <w:basedOn w:val="Tablanormal"/>
    <w:uiPriority w:val="49"/>
    <w:rsid w:val="00585CF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021969"/>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021969"/>
    <w:rPr>
      <w:lang w:val="es-ES"/>
    </w:rPr>
  </w:style>
  <w:style w:type="character" w:customStyle="1" w:styleId="normaltextrun">
    <w:name w:val="normaltextrun"/>
    <w:basedOn w:val="Fuentedeprrafopredeter"/>
    <w:rsid w:val="00021969"/>
  </w:style>
  <w:style w:type="character" w:customStyle="1" w:styleId="Ttulo3Car">
    <w:name w:val="Título 3 Car"/>
    <w:basedOn w:val="Fuentedeprrafopredeter"/>
    <w:link w:val="Ttulo3"/>
    <w:uiPriority w:val="9"/>
    <w:rsid w:val="00A451EE"/>
    <w:rPr>
      <w:rFonts w:asciiTheme="majorHAnsi" w:eastAsiaTheme="majorEastAsia" w:hAnsiTheme="majorHAnsi" w:cstheme="majorBidi"/>
      <w:color w:val="243F60" w:themeColor="accent1" w:themeShade="7F"/>
      <w:sz w:val="24"/>
      <w:szCs w:val="24"/>
      <w:lang w:val="es-ES"/>
    </w:rPr>
  </w:style>
  <w:style w:type="paragraph" w:styleId="Textocomentario">
    <w:name w:val="annotation text"/>
    <w:basedOn w:val="Normal"/>
    <w:link w:val="TextocomentarioCar"/>
    <w:uiPriority w:val="99"/>
    <w:semiHidden/>
    <w:unhideWhenUsed/>
    <w:rsid w:val="00571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52B"/>
    <w:rPr>
      <w:sz w:val="20"/>
      <w:szCs w:val="20"/>
      <w:lang w:val="es-ES"/>
    </w:rPr>
  </w:style>
  <w:style w:type="character" w:styleId="Refdecomentario">
    <w:name w:val="annotation reference"/>
    <w:basedOn w:val="Fuentedeprrafopredeter"/>
    <w:uiPriority w:val="99"/>
    <w:semiHidden/>
    <w:unhideWhenUsed/>
    <w:rsid w:val="0057152B"/>
    <w:rPr>
      <w:sz w:val="16"/>
      <w:szCs w:val="16"/>
    </w:rPr>
  </w:style>
  <w:style w:type="character" w:customStyle="1" w:styleId="hps">
    <w:name w:val="hps"/>
    <w:basedOn w:val="Fuentedeprrafopredeter"/>
    <w:rsid w:val="008C0B7D"/>
  </w:style>
  <w:style w:type="table" w:styleId="Tablaconcuadrcula5oscura-nfasis1">
    <w:name w:val="Grid Table 5 Dark Accent 1"/>
    <w:basedOn w:val="Tablanormal"/>
    <w:uiPriority w:val="50"/>
    <w:rsid w:val="001D58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E26C7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tulo4Car">
    <w:name w:val="Título 4 Car"/>
    <w:basedOn w:val="Fuentedeprrafopredeter"/>
    <w:link w:val="Ttulo4"/>
    <w:uiPriority w:val="9"/>
    <w:rsid w:val="00622780"/>
    <w:rPr>
      <w:rFonts w:asciiTheme="majorHAnsi" w:eastAsiaTheme="majorEastAsia" w:hAnsiTheme="majorHAnsi" w:cstheme="majorBidi"/>
      <w:i/>
      <w:iCs/>
      <w:color w:val="365F91" w:themeColor="accent1" w:themeShade="BF"/>
      <w:lang w:val="es-ES"/>
    </w:rPr>
  </w:style>
  <w:style w:type="character" w:styleId="Hipervnculovisitado">
    <w:name w:val="FollowedHyperlink"/>
    <w:basedOn w:val="Fuentedeprrafopredeter"/>
    <w:uiPriority w:val="99"/>
    <w:semiHidden/>
    <w:unhideWhenUsed/>
    <w:rsid w:val="007E2AA4"/>
    <w:rPr>
      <w:color w:val="954F72"/>
      <w:u w:val="single"/>
    </w:rPr>
  </w:style>
  <w:style w:type="paragraph" w:customStyle="1" w:styleId="msonormal0">
    <w:name w:val="msonormal"/>
    <w:basedOn w:val="Normal"/>
    <w:rsid w:val="007E2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xl64">
    <w:name w:val="xl64"/>
    <w:basedOn w:val="Normal"/>
    <w:rsid w:val="007E2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5">
    <w:name w:val="xl65"/>
    <w:basedOn w:val="Normal"/>
    <w:rsid w:val="007E2AA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6">
    <w:name w:val="xl66"/>
    <w:basedOn w:val="Normal"/>
    <w:rsid w:val="007E2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7">
    <w:name w:val="xl67"/>
    <w:basedOn w:val="Normal"/>
    <w:rsid w:val="007E2AA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8">
    <w:name w:val="xl68"/>
    <w:basedOn w:val="Normal"/>
    <w:rsid w:val="007E2AA4"/>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69">
    <w:name w:val="xl69"/>
    <w:basedOn w:val="Normal"/>
    <w:rsid w:val="007E2AA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0">
    <w:name w:val="xl70"/>
    <w:basedOn w:val="Normal"/>
    <w:rsid w:val="007E2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1">
    <w:name w:val="xl71"/>
    <w:basedOn w:val="Normal"/>
    <w:rsid w:val="007E2AA4"/>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2">
    <w:name w:val="xl72"/>
    <w:basedOn w:val="Normal"/>
    <w:rsid w:val="007E2AA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3">
    <w:name w:val="xl73"/>
    <w:basedOn w:val="Normal"/>
    <w:rsid w:val="007E2AA4"/>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4">
    <w:name w:val="xl74"/>
    <w:basedOn w:val="Normal"/>
    <w:rsid w:val="007E2A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5">
    <w:name w:val="xl75"/>
    <w:basedOn w:val="Normal"/>
    <w:rsid w:val="007E2AA4"/>
    <w:pPr>
      <w:pBdr>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6">
    <w:name w:val="xl76"/>
    <w:basedOn w:val="Normal"/>
    <w:rsid w:val="007E2AA4"/>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7">
    <w:name w:val="xl77"/>
    <w:basedOn w:val="Normal"/>
    <w:rsid w:val="007E2A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8">
    <w:name w:val="xl78"/>
    <w:basedOn w:val="Normal"/>
    <w:rsid w:val="007E2AA4"/>
    <w:pPr>
      <w:pBdr>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79">
    <w:name w:val="xl79"/>
    <w:basedOn w:val="Normal"/>
    <w:rsid w:val="007E2AA4"/>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0">
    <w:name w:val="xl80"/>
    <w:basedOn w:val="Normal"/>
    <w:rsid w:val="007E2AA4"/>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val="es-CR" w:eastAsia="es-CR"/>
    </w:rPr>
  </w:style>
  <w:style w:type="paragraph" w:customStyle="1" w:styleId="xl81">
    <w:name w:val="xl81"/>
    <w:basedOn w:val="Normal"/>
    <w:rsid w:val="007E2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2">
    <w:name w:val="xl82"/>
    <w:basedOn w:val="Normal"/>
    <w:rsid w:val="007E2A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3">
    <w:name w:val="xl83"/>
    <w:basedOn w:val="Normal"/>
    <w:rsid w:val="007E2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4">
    <w:name w:val="xl84"/>
    <w:basedOn w:val="Normal"/>
    <w:rsid w:val="007E2AA4"/>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5">
    <w:name w:val="xl85"/>
    <w:basedOn w:val="Normal"/>
    <w:rsid w:val="007E2AA4"/>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6">
    <w:name w:val="xl86"/>
    <w:basedOn w:val="Normal"/>
    <w:rsid w:val="007E2AA4"/>
    <w:pPr>
      <w:pBdr>
        <w:top w:val="single" w:sz="4"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7">
    <w:name w:val="xl87"/>
    <w:basedOn w:val="Normal"/>
    <w:rsid w:val="007E2AA4"/>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8">
    <w:name w:val="xl88"/>
    <w:basedOn w:val="Normal"/>
    <w:rsid w:val="007E2A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89">
    <w:name w:val="xl89"/>
    <w:basedOn w:val="Normal"/>
    <w:rsid w:val="007E2A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0">
    <w:name w:val="xl90"/>
    <w:basedOn w:val="Normal"/>
    <w:rsid w:val="007E2AA4"/>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1">
    <w:name w:val="xl91"/>
    <w:basedOn w:val="Normal"/>
    <w:rsid w:val="007E2AA4"/>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2">
    <w:name w:val="xl92"/>
    <w:basedOn w:val="Normal"/>
    <w:rsid w:val="007E2AA4"/>
    <w:pPr>
      <w:pBdr>
        <w:top w:val="single" w:sz="4" w:space="0" w:color="auto"/>
        <w:left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3">
    <w:name w:val="xl93"/>
    <w:basedOn w:val="Normal"/>
    <w:rsid w:val="007E2AA4"/>
    <w:pPr>
      <w:pBdr>
        <w:top w:val="single" w:sz="4" w:space="0" w:color="auto"/>
        <w:left w:val="single" w:sz="4"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CR" w:eastAsia="es-CR"/>
    </w:rPr>
  </w:style>
  <w:style w:type="paragraph" w:customStyle="1" w:styleId="xl94">
    <w:name w:val="xl94"/>
    <w:basedOn w:val="Normal"/>
    <w:rsid w:val="007E2AA4"/>
    <w:pPr>
      <w:pBdr>
        <w:left w:val="single" w:sz="8"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5">
    <w:name w:val="xl95"/>
    <w:basedOn w:val="Normal"/>
    <w:rsid w:val="007E2AA4"/>
    <w:pPr>
      <w:pBdr>
        <w:bottom w:val="single" w:sz="12"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6">
    <w:name w:val="xl96"/>
    <w:basedOn w:val="Normal"/>
    <w:rsid w:val="007E2AA4"/>
    <w:pPr>
      <w:pBdr>
        <w:bottom w:val="single" w:sz="12"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7">
    <w:name w:val="xl97"/>
    <w:basedOn w:val="Normal"/>
    <w:rsid w:val="007E2AA4"/>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98">
    <w:name w:val="xl98"/>
    <w:basedOn w:val="Normal"/>
    <w:rsid w:val="007E2AA4"/>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99">
    <w:name w:val="xl99"/>
    <w:basedOn w:val="Normal"/>
    <w:rsid w:val="007E2AA4"/>
    <w:pPr>
      <w:pBdr>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0">
    <w:name w:val="xl100"/>
    <w:basedOn w:val="Normal"/>
    <w:rsid w:val="007E2AA4"/>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1">
    <w:name w:val="xl101"/>
    <w:basedOn w:val="Normal"/>
    <w:rsid w:val="007E2AA4"/>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2">
    <w:name w:val="xl102"/>
    <w:basedOn w:val="Normal"/>
    <w:rsid w:val="007E2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3">
    <w:name w:val="xl103"/>
    <w:basedOn w:val="Normal"/>
    <w:rsid w:val="007E2AA4"/>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4">
    <w:name w:val="xl104"/>
    <w:basedOn w:val="Normal"/>
    <w:rsid w:val="007E2AA4"/>
    <w:pPr>
      <w:pBdr>
        <w:top w:val="single" w:sz="12" w:space="0" w:color="auto"/>
        <w:left w:val="single" w:sz="8"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5">
    <w:name w:val="xl105"/>
    <w:basedOn w:val="Normal"/>
    <w:rsid w:val="007E2AA4"/>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6">
    <w:name w:val="xl106"/>
    <w:basedOn w:val="Normal"/>
    <w:rsid w:val="007E2AA4"/>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07">
    <w:name w:val="xl107"/>
    <w:basedOn w:val="Normal"/>
    <w:rsid w:val="007E2AA4"/>
    <w:pPr>
      <w:pBdr>
        <w:bottom w:val="single" w:sz="12"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8">
    <w:name w:val="xl108"/>
    <w:basedOn w:val="Normal"/>
    <w:rsid w:val="007E2AA4"/>
    <w:pPr>
      <w:pBdr>
        <w:bottom w:val="single" w:sz="12"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09">
    <w:name w:val="xl109"/>
    <w:basedOn w:val="Normal"/>
    <w:rsid w:val="007E2AA4"/>
    <w:pPr>
      <w:pBdr>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CR" w:eastAsia="es-CR"/>
    </w:rPr>
  </w:style>
  <w:style w:type="paragraph" w:customStyle="1" w:styleId="xl110">
    <w:name w:val="xl110"/>
    <w:basedOn w:val="Normal"/>
    <w:rsid w:val="007E2AA4"/>
    <w:pPr>
      <w:pBdr>
        <w:left w:val="single" w:sz="8" w:space="0" w:color="auto"/>
        <w:bottom w:val="single" w:sz="12"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1">
    <w:name w:val="xl111"/>
    <w:basedOn w:val="Normal"/>
    <w:rsid w:val="007E2AA4"/>
    <w:pPr>
      <w:pBdr>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2">
    <w:name w:val="xl112"/>
    <w:basedOn w:val="Normal"/>
    <w:rsid w:val="007E2AA4"/>
    <w:pPr>
      <w:pBdr>
        <w:top w:val="single" w:sz="12" w:space="0" w:color="auto"/>
        <w:left w:val="single" w:sz="8" w:space="0" w:color="auto"/>
        <w:right w:val="single" w:sz="12"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3">
    <w:name w:val="xl113"/>
    <w:basedOn w:val="Normal"/>
    <w:rsid w:val="007E2AA4"/>
    <w:pPr>
      <w:pBdr>
        <w:left w:val="single" w:sz="8" w:space="0" w:color="auto"/>
        <w:bottom w:val="single" w:sz="12"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4">
    <w:name w:val="xl114"/>
    <w:basedOn w:val="Normal"/>
    <w:rsid w:val="007E2AA4"/>
    <w:pPr>
      <w:pBdr>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5">
    <w:name w:val="xl115"/>
    <w:basedOn w:val="Normal"/>
    <w:rsid w:val="007E2AA4"/>
    <w:pPr>
      <w:pBdr>
        <w:top w:val="single" w:sz="12" w:space="0" w:color="auto"/>
        <w:left w:val="single" w:sz="8" w:space="0" w:color="auto"/>
        <w:right w:val="single" w:sz="12"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6">
    <w:name w:val="xl116"/>
    <w:basedOn w:val="Normal"/>
    <w:rsid w:val="007E2AA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7">
    <w:name w:val="xl117"/>
    <w:basedOn w:val="Normal"/>
    <w:rsid w:val="007E2AA4"/>
    <w:pPr>
      <w:pBdr>
        <w:top w:val="single" w:sz="12"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8">
    <w:name w:val="xl118"/>
    <w:basedOn w:val="Normal"/>
    <w:rsid w:val="007E2AA4"/>
    <w:pPr>
      <w:pBdr>
        <w:top w:val="single" w:sz="12"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19">
    <w:name w:val="xl119"/>
    <w:basedOn w:val="Normal"/>
    <w:rsid w:val="007E2AA4"/>
    <w:pPr>
      <w:pBdr>
        <w:top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0">
    <w:name w:val="xl120"/>
    <w:basedOn w:val="Normal"/>
    <w:rsid w:val="007E2AA4"/>
    <w:pPr>
      <w:pBdr>
        <w:top w:val="single" w:sz="12"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1">
    <w:name w:val="xl121"/>
    <w:basedOn w:val="Normal"/>
    <w:rsid w:val="007E2AA4"/>
    <w:pPr>
      <w:pBdr>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2">
    <w:name w:val="xl122"/>
    <w:basedOn w:val="Normal"/>
    <w:rsid w:val="007E2AA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3">
    <w:name w:val="xl123"/>
    <w:basedOn w:val="Normal"/>
    <w:rsid w:val="007E2AA4"/>
    <w:pPr>
      <w:pBdr>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CR" w:eastAsia="es-CR"/>
    </w:rPr>
  </w:style>
  <w:style w:type="paragraph" w:customStyle="1" w:styleId="xl124">
    <w:name w:val="xl124"/>
    <w:basedOn w:val="Normal"/>
    <w:rsid w:val="007E2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s-CR" w:eastAsia="es-CR"/>
    </w:rPr>
  </w:style>
  <w:style w:type="paragraph" w:customStyle="1" w:styleId="Default">
    <w:name w:val="Default"/>
    <w:rsid w:val="0005363C"/>
    <w:pPr>
      <w:autoSpaceDE w:val="0"/>
      <w:autoSpaceDN w:val="0"/>
      <w:adjustRightInd w:val="0"/>
      <w:spacing w:after="0" w:line="240" w:lineRule="auto"/>
    </w:pPr>
    <w:rPr>
      <w:rFonts w:ascii="Century Gothic" w:eastAsiaTheme="minorEastAsia" w:hAnsi="Century Gothic" w:cs="Century Gothic"/>
      <w:color w:val="000000"/>
      <w:sz w:val="24"/>
      <w:szCs w:val="24"/>
      <w:lang w:val="es-ES"/>
    </w:rPr>
  </w:style>
  <w:style w:type="character" w:customStyle="1" w:styleId="Ttulo5Car">
    <w:name w:val="Título 5 Car"/>
    <w:basedOn w:val="Fuentedeprrafopredeter"/>
    <w:link w:val="Ttulo5"/>
    <w:uiPriority w:val="9"/>
    <w:rsid w:val="00B304A2"/>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rsid w:val="00B304A2"/>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B304A2"/>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B304A2"/>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304A2"/>
    <w:rPr>
      <w:rFonts w:asciiTheme="majorHAnsi" w:eastAsiaTheme="majorEastAsia" w:hAnsiTheme="majorHAnsi" w:cstheme="majorBidi"/>
      <w:i/>
      <w:iCs/>
      <w:color w:val="272727" w:themeColor="text1" w:themeTint="D8"/>
      <w:sz w:val="21"/>
      <w:szCs w:val="21"/>
      <w:lang w:val="es-ES"/>
    </w:rPr>
  </w:style>
  <w:style w:type="paragraph" w:styleId="Asuntodelcomentario">
    <w:name w:val="annotation subject"/>
    <w:basedOn w:val="Textocomentario"/>
    <w:next w:val="Textocomentario"/>
    <w:link w:val="AsuntodelcomentarioCar"/>
    <w:uiPriority w:val="99"/>
    <w:semiHidden/>
    <w:unhideWhenUsed/>
    <w:rsid w:val="003B51B5"/>
    <w:rPr>
      <w:b/>
      <w:bCs/>
    </w:rPr>
  </w:style>
  <w:style w:type="character" w:customStyle="1" w:styleId="AsuntodelcomentarioCar">
    <w:name w:val="Asunto del comentario Car"/>
    <w:basedOn w:val="TextocomentarioCar"/>
    <w:link w:val="Asuntodelcomentario"/>
    <w:uiPriority w:val="99"/>
    <w:semiHidden/>
    <w:rsid w:val="003B51B5"/>
    <w:rPr>
      <w:b/>
      <w:bCs/>
      <w:sz w:val="20"/>
      <w:szCs w:val="20"/>
      <w:lang w:val="es-ES"/>
    </w:rPr>
  </w:style>
  <w:style w:type="character" w:styleId="Mencinsinresolver">
    <w:name w:val="Unresolved Mention"/>
    <w:basedOn w:val="Fuentedeprrafopredeter"/>
    <w:uiPriority w:val="99"/>
    <w:semiHidden/>
    <w:unhideWhenUsed/>
    <w:rsid w:val="0024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7726">
      <w:bodyDiv w:val="1"/>
      <w:marLeft w:val="0"/>
      <w:marRight w:val="0"/>
      <w:marTop w:val="0"/>
      <w:marBottom w:val="0"/>
      <w:divBdr>
        <w:top w:val="none" w:sz="0" w:space="0" w:color="auto"/>
        <w:left w:val="none" w:sz="0" w:space="0" w:color="auto"/>
        <w:bottom w:val="none" w:sz="0" w:space="0" w:color="auto"/>
        <w:right w:val="none" w:sz="0" w:space="0" w:color="auto"/>
      </w:divBdr>
      <w:divsChild>
        <w:div w:id="742334244">
          <w:marLeft w:val="0"/>
          <w:marRight w:val="0"/>
          <w:marTop w:val="0"/>
          <w:marBottom w:val="0"/>
          <w:divBdr>
            <w:top w:val="none" w:sz="0" w:space="0" w:color="auto"/>
            <w:left w:val="none" w:sz="0" w:space="0" w:color="auto"/>
            <w:bottom w:val="none" w:sz="0" w:space="0" w:color="auto"/>
            <w:right w:val="none" w:sz="0" w:space="0" w:color="auto"/>
          </w:divBdr>
        </w:div>
      </w:divsChild>
    </w:div>
    <w:div w:id="136267454">
      <w:bodyDiv w:val="1"/>
      <w:marLeft w:val="0"/>
      <w:marRight w:val="0"/>
      <w:marTop w:val="0"/>
      <w:marBottom w:val="0"/>
      <w:divBdr>
        <w:top w:val="none" w:sz="0" w:space="0" w:color="auto"/>
        <w:left w:val="none" w:sz="0" w:space="0" w:color="auto"/>
        <w:bottom w:val="none" w:sz="0" w:space="0" w:color="auto"/>
        <w:right w:val="none" w:sz="0" w:space="0" w:color="auto"/>
      </w:divBdr>
      <w:divsChild>
        <w:div w:id="2118017613">
          <w:marLeft w:val="1138"/>
          <w:marRight w:val="0"/>
          <w:marTop w:val="0"/>
          <w:marBottom w:val="720"/>
          <w:divBdr>
            <w:top w:val="none" w:sz="0" w:space="0" w:color="auto"/>
            <w:left w:val="none" w:sz="0" w:space="0" w:color="auto"/>
            <w:bottom w:val="none" w:sz="0" w:space="0" w:color="auto"/>
            <w:right w:val="none" w:sz="0" w:space="0" w:color="auto"/>
          </w:divBdr>
        </w:div>
        <w:div w:id="875696551">
          <w:marLeft w:val="1138"/>
          <w:marRight w:val="0"/>
          <w:marTop w:val="0"/>
          <w:marBottom w:val="720"/>
          <w:divBdr>
            <w:top w:val="none" w:sz="0" w:space="0" w:color="auto"/>
            <w:left w:val="none" w:sz="0" w:space="0" w:color="auto"/>
            <w:bottom w:val="none" w:sz="0" w:space="0" w:color="auto"/>
            <w:right w:val="none" w:sz="0" w:space="0" w:color="auto"/>
          </w:divBdr>
        </w:div>
        <w:div w:id="86049450">
          <w:marLeft w:val="1138"/>
          <w:marRight w:val="0"/>
          <w:marTop w:val="0"/>
          <w:marBottom w:val="720"/>
          <w:divBdr>
            <w:top w:val="none" w:sz="0" w:space="0" w:color="auto"/>
            <w:left w:val="none" w:sz="0" w:space="0" w:color="auto"/>
            <w:bottom w:val="none" w:sz="0" w:space="0" w:color="auto"/>
            <w:right w:val="none" w:sz="0" w:space="0" w:color="auto"/>
          </w:divBdr>
        </w:div>
        <w:div w:id="1515532391">
          <w:marLeft w:val="1138"/>
          <w:marRight w:val="0"/>
          <w:marTop w:val="0"/>
          <w:marBottom w:val="720"/>
          <w:divBdr>
            <w:top w:val="none" w:sz="0" w:space="0" w:color="auto"/>
            <w:left w:val="none" w:sz="0" w:space="0" w:color="auto"/>
            <w:bottom w:val="none" w:sz="0" w:space="0" w:color="auto"/>
            <w:right w:val="none" w:sz="0" w:space="0" w:color="auto"/>
          </w:divBdr>
        </w:div>
        <w:div w:id="1703480855">
          <w:marLeft w:val="1138"/>
          <w:marRight w:val="0"/>
          <w:marTop w:val="0"/>
          <w:marBottom w:val="720"/>
          <w:divBdr>
            <w:top w:val="none" w:sz="0" w:space="0" w:color="auto"/>
            <w:left w:val="none" w:sz="0" w:space="0" w:color="auto"/>
            <w:bottom w:val="none" w:sz="0" w:space="0" w:color="auto"/>
            <w:right w:val="none" w:sz="0" w:space="0" w:color="auto"/>
          </w:divBdr>
        </w:div>
      </w:divsChild>
    </w:div>
    <w:div w:id="181207937">
      <w:bodyDiv w:val="1"/>
      <w:marLeft w:val="0"/>
      <w:marRight w:val="0"/>
      <w:marTop w:val="0"/>
      <w:marBottom w:val="0"/>
      <w:divBdr>
        <w:top w:val="none" w:sz="0" w:space="0" w:color="auto"/>
        <w:left w:val="none" w:sz="0" w:space="0" w:color="auto"/>
        <w:bottom w:val="none" w:sz="0" w:space="0" w:color="auto"/>
        <w:right w:val="none" w:sz="0" w:space="0" w:color="auto"/>
      </w:divBdr>
    </w:div>
    <w:div w:id="191043176">
      <w:bodyDiv w:val="1"/>
      <w:marLeft w:val="0"/>
      <w:marRight w:val="0"/>
      <w:marTop w:val="0"/>
      <w:marBottom w:val="0"/>
      <w:divBdr>
        <w:top w:val="none" w:sz="0" w:space="0" w:color="auto"/>
        <w:left w:val="none" w:sz="0" w:space="0" w:color="auto"/>
        <w:bottom w:val="none" w:sz="0" w:space="0" w:color="auto"/>
        <w:right w:val="none" w:sz="0" w:space="0" w:color="auto"/>
      </w:divBdr>
      <w:divsChild>
        <w:div w:id="90591348">
          <w:marLeft w:val="547"/>
          <w:marRight w:val="0"/>
          <w:marTop w:val="0"/>
          <w:marBottom w:val="0"/>
          <w:divBdr>
            <w:top w:val="none" w:sz="0" w:space="0" w:color="auto"/>
            <w:left w:val="none" w:sz="0" w:space="0" w:color="auto"/>
            <w:bottom w:val="none" w:sz="0" w:space="0" w:color="auto"/>
            <w:right w:val="none" w:sz="0" w:space="0" w:color="auto"/>
          </w:divBdr>
        </w:div>
      </w:divsChild>
    </w:div>
    <w:div w:id="195899110">
      <w:bodyDiv w:val="1"/>
      <w:marLeft w:val="0"/>
      <w:marRight w:val="0"/>
      <w:marTop w:val="0"/>
      <w:marBottom w:val="0"/>
      <w:divBdr>
        <w:top w:val="none" w:sz="0" w:space="0" w:color="auto"/>
        <w:left w:val="none" w:sz="0" w:space="0" w:color="auto"/>
        <w:bottom w:val="none" w:sz="0" w:space="0" w:color="auto"/>
        <w:right w:val="none" w:sz="0" w:space="0" w:color="auto"/>
      </w:divBdr>
    </w:div>
    <w:div w:id="266617732">
      <w:bodyDiv w:val="1"/>
      <w:marLeft w:val="0"/>
      <w:marRight w:val="0"/>
      <w:marTop w:val="0"/>
      <w:marBottom w:val="0"/>
      <w:divBdr>
        <w:top w:val="none" w:sz="0" w:space="0" w:color="auto"/>
        <w:left w:val="none" w:sz="0" w:space="0" w:color="auto"/>
        <w:bottom w:val="none" w:sz="0" w:space="0" w:color="auto"/>
        <w:right w:val="none" w:sz="0" w:space="0" w:color="auto"/>
      </w:divBdr>
    </w:div>
    <w:div w:id="307243629">
      <w:bodyDiv w:val="1"/>
      <w:marLeft w:val="0"/>
      <w:marRight w:val="0"/>
      <w:marTop w:val="0"/>
      <w:marBottom w:val="0"/>
      <w:divBdr>
        <w:top w:val="none" w:sz="0" w:space="0" w:color="auto"/>
        <w:left w:val="none" w:sz="0" w:space="0" w:color="auto"/>
        <w:bottom w:val="none" w:sz="0" w:space="0" w:color="auto"/>
        <w:right w:val="none" w:sz="0" w:space="0" w:color="auto"/>
      </w:divBdr>
    </w:div>
    <w:div w:id="383985756">
      <w:bodyDiv w:val="1"/>
      <w:marLeft w:val="0"/>
      <w:marRight w:val="0"/>
      <w:marTop w:val="0"/>
      <w:marBottom w:val="0"/>
      <w:divBdr>
        <w:top w:val="none" w:sz="0" w:space="0" w:color="auto"/>
        <w:left w:val="none" w:sz="0" w:space="0" w:color="auto"/>
        <w:bottom w:val="none" w:sz="0" w:space="0" w:color="auto"/>
        <w:right w:val="none" w:sz="0" w:space="0" w:color="auto"/>
      </w:divBdr>
    </w:div>
    <w:div w:id="392049821">
      <w:bodyDiv w:val="1"/>
      <w:marLeft w:val="0"/>
      <w:marRight w:val="0"/>
      <w:marTop w:val="0"/>
      <w:marBottom w:val="0"/>
      <w:divBdr>
        <w:top w:val="none" w:sz="0" w:space="0" w:color="auto"/>
        <w:left w:val="none" w:sz="0" w:space="0" w:color="auto"/>
        <w:bottom w:val="none" w:sz="0" w:space="0" w:color="auto"/>
        <w:right w:val="none" w:sz="0" w:space="0" w:color="auto"/>
      </w:divBdr>
    </w:div>
    <w:div w:id="404688534">
      <w:bodyDiv w:val="1"/>
      <w:marLeft w:val="0"/>
      <w:marRight w:val="0"/>
      <w:marTop w:val="0"/>
      <w:marBottom w:val="0"/>
      <w:divBdr>
        <w:top w:val="none" w:sz="0" w:space="0" w:color="auto"/>
        <w:left w:val="none" w:sz="0" w:space="0" w:color="auto"/>
        <w:bottom w:val="none" w:sz="0" w:space="0" w:color="auto"/>
        <w:right w:val="none" w:sz="0" w:space="0" w:color="auto"/>
      </w:divBdr>
    </w:div>
    <w:div w:id="434135216">
      <w:bodyDiv w:val="1"/>
      <w:marLeft w:val="0"/>
      <w:marRight w:val="0"/>
      <w:marTop w:val="0"/>
      <w:marBottom w:val="0"/>
      <w:divBdr>
        <w:top w:val="none" w:sz="0" w:space="0" w:color="auto"/>
        <w:left w:val="none" w:sz="0" w:space="0" w:color="auto"/>
        <w:bottom w:val="none" w:sz="0" w:space="0" w:color="auto"/>
        <w:right w:val="none" w:sz="0" w:space="0" w:color="auto"/>
      </w:divBdr>
    </w:div>
    <w:div w:id="500437398">
      <w:bodyDiv w:val="1"/>
      <w:marLeft w:val="0"/>
      <w:marRight w:val="0"/>
      <w:marTop w:val="0"/>
      <w:marBottom w:val="0"/>
      <w:divBdr>
        <w:top w:val="none" w:sz="0" w:space="0" w:color="auto"/>
        <w:left w:val="none" w:sz="0" w:space="0" w:color="auto"/>
        <w:bottom w:val="none" w:sz="0" w:space="0" w:color="auto"/>
        <w:right w:val="none" w:sz="0" w:space="0" w:color="auto"/>
      </w:divBdr>
    </w:div>
    <w:div w:id="553203483">
      <w:bodyDiv w:val="1"/>
      <w:marLeft w:val="0"/>
      <w:marRight w:val="0"/>
      <w:marTop w:val="0"/>
      <w:marBottom w:val="0"/>
      <w:divBdr>
        <w:top w:val="none" w:sz="0" w:space="0" w:color="auto"/>
        <w:left w:val="none" w:sz="0" w:space="0" w:color="auto"/>
        <w:bottom w:val="none" w:sz="0" w:space="0" w:color="auto"/>
        <w:right w:val="none" w:sz="0" w:space="0" w:color="auto"/>
      </w:divBdr>
    </w:div>
    <w:div w:id="614603857">
      <w:bodyDiv w:val="1"/>
      <w:marLeft w:val="0"/>
      <w:marRight w:val="0"/>
      <w:marTop w:val="0"/>
      <w:marBottom w:val="0"/>
      <w:divBdr>
        <w:top w:val="none" w:sz="0" w:space="0" w:color="auto"/>
        <w:left w:val="none" w:sz="0" w:space="0" w:color="auto"/>
        <w:bottom w:val="none" w:sz="0" w:space="0" w:color="auto"/>
        <w:right w:val="none" w:sz="0" w:space="0" w:color="auto"/>
      </w:divBdr>
    </w:div>
    <w:div w:id="680739640">
      <w:bodyDiv w:val="1"/>
      <w:marLeft w:val="0"/>
      <w:marRight w:val="0"/>
      <w:marTop w:val="0"/>
      <w:marBottom w:val="0"/>
      <w:divBdr>
        <w:top w:val="none" w:sz="0" w:space="0" w:color="auto"/>
        <w:left w:val="none" w:sz="0" w:space="0" w:color="auto"/>
        <w:bottom w:val="none" w:sz="0" w:space="0" w:color="auto"/>
        <w:right w:val="none" w:sz="0" w:space="0" w:color="auto"/>
      </w:divBdr>
    </w:div>
    <w:div w:id="731389772">
      <w:bodyDiv w:val="1"/>
      <w:marLeft w:val="0"/>
      <w:marRight w:val="0"/>
      <w:marTop w:val="0"/>
      <w:marBottom w:val="0"/>
      <w:divBdr>
        <w:top w:val="none" w:sz="0" w:space="0" w:color="auto"/>
        <w:left w:val="none" w:sz="0" w:space="0" w:color="auto"/>
        <w:bottom w:val="none" w:sz="0" w:space="0" w:color="auto"/>
        <w:right w:val="none" w:sz="0" w:space="0" w:color="auto"/>
      </w:divBdr>
    </w:div>
    <w:div w:id="751588255">
      <w:bodyDiv w:val="1"/>
      <w:marLeft w:val="0"/>
      <w:marRight w:val="0"/>
      <w:marTop w:val="0"/>
      <w:marBottom w:val="0"/>
      <w:divBdr>
        <w:top w:val="none" w:sz="0" w:space="0" w:color="auto"/>
        <w:left w:val="none" w:sz="0" w:space="0" w:color="auto"/>
        <w:bottom w:val="none" w:sz="0" w:space="0" w:color="auto"/>
        <w:right w:val="none" w:sz="0" w:space="0" w:color="auto"/>
      </w:divBdr>
    </w:div>
    <w:div w:id="795412032">
      <w:bodyDiv w:val="1"/>
      <w:marLeft w:val="0"/>
      <w:marRight w:val="0"/>
      <w:marTop w:val="0"/>
      <w:marBottom w:val="0"/>
      <w:divBdr>
        <w:top w:val="none" w:sz="0" w:space="0" w:color="auto"/>
        <w:left w:val="none" w:sz="0" w:space="0" w:color="auto"/>
        <w:bottom w:val="none" w:sz="0" w:space="0" w:color="auto"/>
        <w:right w:val="none" w:sz="0" w:space="0" w:color="auto"/>
      </w:divBdr>
    </w:div>
    <w:div w:id="805202811">
      <w:bodyDiv w:val="1"/>
      <w:marLeft w:val="0"/>
      <w:marRight w:val="0"/>
      <w:marTop w:val="0"/>
      <w:marBottom w:val="0"/>
      <w:divBdr>
        <w:top w:val="none" w:sz="0" w:space="0" w:color="auto"/>
        <w:left w:val="none" w:sz="0" w:space="0" w:color="auto"/>
        <w:bottom w:val="none" w:sz="0" w:space="0" w:color="auto"/>
        <w:right w:val="none" w:sz="0" w:space="0" w:color="auto"/>
      </w:divBdr>
    </w:div>
    <w:div w:id="805968758">
      <w:bodyDiv w:val="1"/>
      <w:marLeft w:val="0"/>
      <w:marRight w:val="0"/>
      <w:marTop w:val="0"/>
      <w:marBottom w:val="0"/>
      <w:divBdr>
        <w:top w:val="none" w:sz="0" w:space="0" w:color="auto"/>
        <w:left w:val="none" w:sz="0" w:space="0" w:color="auto"/>
        <w:bottom w:val="none" w:sz="0" w:space="0" w:color="auto"/>
        <w:right w:val="none" w:sz="0" w:space="0" w:color="auto"/>
      </w:divBdr>
    </w:div>
    <w:div w:id="809440092">
      <w:bodyDiv w:val="1"/>
      <w:marLeft w:val="0"/>
      <w:marRight w:val="0"/>
      <w:marTop w:val="0"/>
      <w:marBottom w:val="0"/>
      <w:divBdr>
        <w:top w:val="none" w:sz="0" w:space="0" w:color="auto"/>
        <w:left w:val="none" w:sz="0" w:space="0" w:color="auto"/>
        <w:bottom w:val="none" w:sz="0" w:space="0" w:color="auto"/>
        <w:right w:val="none" w:sz="0" w:space="0" w:color="auto"/>
      </w:divBdr>
    </w:div>
    <w:div w:id="815728078">
      <w:bodyDiv w:val="1"/>
      <w:marLeft w:val="0"/>
      <w:marRight w:val="0"/>
      <w:marTop w:val="0"/>
      <w:marBottom w:val="0"/>
      <w:divBdr>
        <w:top w:val="none" w:sz="0" w:space="0" w:color="auto"/>
        <w:left w:val="none" w:sz="0" w:space="0" w:color="auto"/>
        <w:bottom w:val="none" w:sz="0" w:space="0" w:color="auto"/>
        <w:right w:val="none" w:sz="0" w:space="0" w:color="auto"/>
      </w:divBdr>
    </w:div>
    <w:div w:id="873611667">
      <w:bodyDiv w:val="1"/>
      <w:marLeft w:val="0"/>
      <w:marRight w:val="0"/>
      <w:marTop w:val="0"/>
      <w:marBottom w:val="0"/>
      <w:divBdr>
        <w:top w:val="none" w:sz="0" w:space="0" w:color="auto"/>
        <w:left w:val="none" w:sz="0" w:space="0" w:color="auto"/>
        <w:bottom w:val="none" w:sz="0" w:space="0" w:color="auto"/>
        <w:right w:val="none" w:sz="0" w:space="0" w:color="auto"/>
      </w:divBdr>
    </w:div>
    <w:div w:id="875704363">
      <w:bodyDiv w:val="1"/>
      <w:marLeft w:val="0"/>
      <w:marRight w:val="0"/>
      <w:marTop w:val="0"/>
      <w:marBottom w:val="0"/>
      <w:divBdr>
        <w:top w:val="none" w:sz="0" w:space="0" w:color="auto"/>
        <w:left w:val="none" w:sz="0" w:space="0" w:color="auto"/>
        <w:bottom w:val="none" w:sz="0" w:space="0" w:color="auto"/>
        <w:right w:val="none" w:sz="0" w:space="0" w:color="auto"/>
      </w:divBdr>
    </w:div>
    <w:div w:id="925725453">
      <w:bodyDiv w:val="1"/>
      <w:marLeft w:val="0"/>
      <w:marRight w:val="0"/>
      <w:marTop w:val="0"/>
      <w:marBottom w:val="0"/>
      <w:divBdr>
        <w:top w:val="none" w:sz="0" w:space="0" w:color="auto"/>
        <w:left w:val="none" w:sz="0" w:space="0" w:color="auto"/>
        <w:bottom w:val="none" w:sz="0" w:space="0" w:color="auto"/>
        <w:right w:val="none" w:sz="0" w:space="0" w:color="auto"/>
      </w:divBdr>
      <w:divsChild>
        <w:div w:id="302196350">
          <w:marLeft w:val="1570"/>
          <w:marRight w:val="0"/>
          <w:marTop w:val="0"/>
          <w:marBottom w:val="120"/>
          <w:divBdr>
            <w:top w:val="none" w:sz="0" w:space="0" w:color="auto"/>
            <w:left w:val="none" w:sz="0" w:space="0" w:color="auto"/>
            <w:bottom w:val="none" w:sz="0" w:space="0" w:color="auto"/>
            <w:right w:val="none" w:sz="0" w:space="0" w:color="auto"/>
          </w:divBdr>
        </w:div>
        <w:div w:id="797721783">
          <w:marLeft w:val="1570"/>
          <w:marRight w:val="0"/>
          <w:marTop w:val="0"/>
          <w:marBottom w:val="120"/>
          <w:divBdr>
            <w:top w:val="none" w:sz="0" w:space="0" w:color="auto"/>
            <w:left w:val="none" w:sz="0" w:space="0" w:color="auto"/>
            <w:bottom w:val="none" w:sz="0" w:space="0" w:color="auto"/>
            <w:right w:val="none" w:sz="0" w:space="0" w:color="auto"/>
          </w:divBdr>
        </w:div>
      </w:divsChild>
    </w:div>
    <w:div w:id="932081448">
      <w:bodyDiv w:val="1"/>
      <w:marLeft w:val="0"/>
      <w:marRight w:val="0"/>
      <w:marTop w:val="0"/>
      <w:marBottom w:val="0"/>
      <w:divBdr>
        <w:top w:val="none" w:sz="0" w:space="0" w:color="auto"/>
        <w:left w:val="none" w:sz="0" w:space="0" w:color="auto"/>
        <w:bottom w:val="none" w:sz="0" w:space="0" w:color="auto"/>
        <w:right w:val="none" w:sz="0" w:space="0" w:color="auto"/>
      </w:divBdr>
    </w:div>
    <w:div w:id="945818632">
      <w:bodyDiv w:val="1"/>
      <w:marLeft w:val="0"/>
      <w:marRight w:val="0"/>
      <w:marTop w:val="0"/>
      <w:marBottom w:val="0"/>
      <w:divBdr>
        <w:top w:val="none" w:sz="0" w:space="0" w:color="auto"/>
        <w:left w:val="none" w:sz="0" w:space="0" w:color="auto"/>
        <w:bottom w:val="none" w:sz="0" w:space="0" w:color="auto"/>
        <w:right w:val="none" w:sz="0" w:space="0" w:color="auto"/>
      </w:divBdr>
    </w:div>
    <w:div w:id="959262861">
      <w:bodyDiv w:val="1"/>
      <w:marLeft w:val="0"/>
      <w:marRight w:val="0"/>
      <w:marTop w:val="0"/>
      <w:marBottom w:val="0"/>
      <w:divBdr>
        <w:top w:val="none" w:sz="0" w:space="0" w:color="auto"/>
        <w:left w:val="none" w:sz="0" w:space="0" w:color="auto"/>
        <w:bottom w:val="none" w:sz="0" w:space="0" w:color="auto"/>
        <w:right w:val="none" w:sz="0" w:space="0" w:color="auto"/>
      </w:divBdr>
    </w:div>
    <w:div w:id="989406442">
      <w:bodyDiv w:val="1"/>
      <w:marLeft w:val="0"/>
      <w:marRight w:val="0"/>
      <w:marTop w:val="0"/>
      <w:marBottom w:val="0"/>
      <w:divBdr>
        <w:top w:val="none" w:sz="0" w:space="0" w:color="auto"/>
        <w:left w:val="none" w:sz="0" w:space="0" w:color="auto"/>
        <w:bottom w:val="none" w:sz="0" w:space="0" w:color="auto"/>
        <w:right w:val="none" w:sz="0" w:space="0" w:color="auto"/>
      </w:divBdr>
    </w:div>
    <w:div w:id="992180815">
      <w:bodyDiv w:val="1"/>
      <w:marLeft w:val="0"/>
      <w:marRight w:val="0"/>
      <w:marTop w:val="0"/>
      <w:marBottom w:val="0"/>
      <w:divBdr>
        <w:top w:val="none" w:sz="0" w:space="0" w:color="auto"/>
        <w:left w:val="none" w:sz="0" w:space="0" w:color="auto"/>
        <w:bottom w:val="none" w:sz="0" w:space="0" w:color="auto"/>
        <w:right w:val="none" w:sz="0" w:space="0" w:color="auto"/>
      </w:divBdr>
      <w:divsChild>
        <w:div w:id="1408527596">
          <w:marLeft w:val="1138"/>
          <w:marRight w:val="0"/>
          <w:marTop w:val="0"/>
          <w:marBottom w:val="600"/>
          <w:divBdr>
            <w:top w:val="none" w:sz="0" w:space="0" w:color="auto"/>
            <w:left w:val="none" w:sz="0" w:space="0" w:color="auto"/>
            <w:bottom w:val="none" w:sz="0" w:space="0" w:color="auto"/>
            <w:right w:val="none" w:sz="0" w:space="0" w:color="auto"/>
          </w:divBdr>
        </w:div>
        <w:div w:id="744256893">
          <w:marLeft w:val="1138"/>
          <w:marRight w:val="0"/>
          <w:marTop w:val="0"/>
          <w:marBottom w:val="600"/>
          <w:divBdr>
            <w:top w:val="none" w:sz="0" w:space="0" w:color="auto"/>
            <w:left w:val="none" w:sz="0" w:space="0" w:color="auto"/>
            <w:bottom w:val="none" w:sz="0" w:space="0" w:color="auto"/>
            <w:right w:val="none" w:sz="0" w:space="0" w:color="auto"/>
          </w:divBdr>
        </w:div>
        <w:div w:id="2072774945">
          <w:marLeft w:val="1138"/>
          <w:marRight w:val="0"/>
          <w:marTop w:val="0"/>
          <w:marBottom w:val="600"/>
          <w:divBdr>
            <w:top w:val="none" w:sz="0" w:space="0" w:color="auto"/>
            <w:left w:val="none" w:sz="0" w:space="0" w:color="auto"/>
            <w:bottom w:val="none" w:sz="0" w:space="0" w:color="auto"/>
            <w:right w:val="none" w:sz="0" w:space="0" w:color="auto"/>
          </w:divBdr>
        </w:div>
        <w:div w:id="1544437759">
          <w:marLeft w:val="1138"/>
          <w:marRight w:val="0"/>
          <w:marTop w:val="0"/>
          <w:marBottom w:val="600"/>
          <w:divBdr>
            <w:top w:val="none" w:sz="0" w:space="0" w:color="auto"/>
            <w:left w:val="none" w:sz="0" w:space="0" w:color="auto"/>
            <w:bottom w:val="none" w:sz="0" w:space="0" w:color="auto"/>
            <w:right w:val="none" w:sz="0" w:space="0" w:color="auto"/>
          </w:divBdr>
        </w:div>
        <w:div w:id="2133672099">
          <w:marLeft w:val="1138"/>
          <w:marRight w:val="0"/>
          <w:marTop w:val="0"/>
          <w:marBottom w:val="600"/>
          <w:divBdr>
            <w:top w:val="none" w:sz="0" w:space="0" w:color="auto"/>
            <w:left w:val="none" w:sz="0" w:space="0" w:color="auto"/>
            <w:bottom w:val="none" w:sz="0" w:space="0" w:color="auto"/>
            <w:right w:val="none" w:sz="0" w:space="0" w:color="auto"/>
          </w:divBdr>
        </w:div>
      </w:divsChild>
    </w:div>
    <w:div w:id="1025398398">
      <w:bodyDiv w:val="1"/>
      <w:marLeft w:val="0"/>
      <w:marRight w:val="0"/>
      <w:marTop w:val="0"/>
      <w:marBottom w:val="0"/>
      <w:divBdr>
        <w:top w:val="none" w:sz="0" w:space="0" w:color="auto"/>
        <w:left w:val="none" w:sz="0" w:space="0" w:color="auto"/>
        <w:bottom w:val="none" w:sz="0" w:space="0" w:color="auto"/>
        <w:right w:val="none" w:sz="0" w:space="0" w:color="auto"/>
      </w:divBdr>
    </w:div>
    <w:div w:id="1103695502">
      <w:bodyDiv w:val="1"/>
      <w:marLeft w:val="0"/>
      <w:marRight w:val="0"/>
      <w:marTop w:val="0"/>
      <w:marBottom w:val="0"/>
      <w:divBdr>
        <w:top w:val="none" w:sz="0" w:space="0" w:color="auto"/>
        <w:left w:val="none" w:sz="0" w:space="0" w:color="auto"/>
        <w:bottom w:val="none" w:sz="0" w:space="0" w:color="auto"/>
        <w:right w:val="none" w:sz="0" w:space="0" w:color="auto"/>
      </w:divBdr>
    </w:div>
    <w:div w:id="1154878649">
      <w:bodyDiv w:val="1"/>
      <w:marLeft w:val="0"/>
      <w:marRight w:val="0"/>
      <w:marTop w:val="0"/>
      <w:marBottom w:val="0"/>
      <w:divBdr>
        <w:top w:val="none" w:sz="0" w:space="0" w:color="auto"/>
        <w:left w:val="none" w:sz="0" w:space="0" w:color="auto"/>
        <w:bottom w:val="none" w:sz="0" w:space="0" w:color="auto"/>
        <w:right w:val="none" w:sz="0" w:space="0" w:color="auto"/>
      </w:divBdr>
    </w:div>
    <w:div w:id="1156528250">
      <w:bodyDiv w:val="1"/>
      <w:marLeft w:val="0"/>
      <w:marRight w:val="0"/>
      <w:marTop w:val="0"/>
      <w:marBottom w:val="0"/>
      <w:divBdr>
        <w:top w:val="none" w:sz="0" w:space="0" w:color="auto"/>
        <w:left w:val="none" w:sz="0" w:space="0" w:color="auto"/>
        <w:bottom w:val="none" w:sz="0" w:space="0" w:color="auto"/>
        <w:right w:val="none" w:sz="0" w:space="0" w:color="auto"/>
      </w:divBdr>
    </w:div>
    <w:div w:id="1305700170">
      <w:bodyDiv w:val="1"/>
      <w:marLeft w:val="0"/>
      <w:marRight w:val="0"/>
      <w:marTop w:val="0"/>
      <w:marBottom w:val="0"/>
      <w:divBdr>
        <w:top w:val="none" w:sz="0" w:space="0" w:color="auto"/>
        <w:left w:val="none" w:sz="0" w:space="0" w:color="auto"/>
        <w:bottom w:val="none" w:sz="0" w:space="0" w:color="auto"/>
        <w:right w:val="none" w:sz="0" w:space="0" w:color="auto"/>
      </w:divBdr>
    </w:div>
    <w:div w:id="1306396774">
      <w:bodyDiv w:val="1"/>
      <w:marLeft w:val="0"/>
      <w:marRight w:val="0"/>
      <w:marTop w:val="0"/>
      <w:marBottom w:val="0"/>
      <w:divBdr>
        <w:top w:val="none" w:sz="0" w:space="0" w:color="auto"/>
        <w:left w:val="none" w:sz="0" w:space="0" w:color="auto"/>
        <w:bottom w:val="none" w:sz="0" w:space="0" w:color="auto"/>
        <w:right w:val="none" w:sz="0" w:space="0" w:color="auto"/>
      </w:divBdr>
    </w:div>
    <w:div w:id="1314093654">
      <w:bodyDiv w:val="1"/>
      <w:marLeft w:val="0"/>
      <w:marRight w:val="0"/>
      <w:marTop w:val="0"/>
      <w:marBottom w:val="0"/>
      <w:divBdr>
        <w:top w:val="none" w:sz="0" w:space="0" w:color="auto"/>
        <w:left w:val="none" w:sz="0" w:space="0" w:color="auto"/>
        <w:bottom w:val="none" w:sz="0" w:space="0" w:color="auto"/>
        <w:right w:val="none" w:sz="0" w:space="0" w:color="auto"/>
      </w:divBdr>
      <w:divsChild>
        <w:div w:id="99763100">
          <w:marLeft w:val="0"/>
          <w:marRight w:val="0"/>
          <w:marTop w:val="0"/>
          <w:marBottom w:val="0"/>
          <w:divBdr>
            <w:top w:val="none" w:sz="0" w:space="0" w:color="auto"/>
            <w:left w:val="none" w:sz="0" w:space="0" w:color="auto"/>
            <w:bottom w:val="none" w:sz="0" w:space="0" w:color="auto"/>
            <w:right w:val="none" w:sz="0" w:space="0" w:color="auto"/>
          </w:divBdr>
          <w:divsChild>
            <w:div w:id="960959710">
              <w:marLeft w:val="0"/>
              <w:marRight w:val="0"/>
              <w:marTop w:val="0"/>
              <w:marBottom w:val="0"/>
              <w:divBdr>
                <w:top w:val="none" w:sz="0" w:space="0" w:color="auto"/>
                <w:left w:val="none" w:sz="0" w:space="0" w:color="auto"/>
                <w:bottom w:val="none" w:sz="0" w:space="0" w:color="auto"/>
                <w:right w:val="none" w:sz="0" w:space="0" w:color="auto"/>
              </w:divBdr>
              <w:divsChild>
                <w:div w:id="1952475088">
                  <w:marLeft w:val="0"/>
                  <w:marRight w:val="0"/>
                  <w:marTop w:val="0"/>
                  <w:marBottom w:val="0"/>
                  <w:divBdr>
                    <w:top w:val="none" w:sz="0" w:space="0" w:color="auto"/>
                    <w:left w:val="none" w:sz="0" w:space="0" w:color="auto"/>
                    <w:bottom w:val="none" w:sz="0" w:space="0" w:color="auto"/>
                    <w:right w:val="none" w:sz="0" w:space="0" w:color="auto"/>
                  </w:divBdr>
                </w:div>
              </w:divsChild>
            </w:div>
            <w:div w:id="1183057273">
              <w:marLeft w:val="0"/>
              <w:marRight w:val="0"/>
              <w:marTop w:val="0"/>
              <w:marBottom w:val="0"/>
              <w:divBdr>
                <w:top w:val="none" w:sz="0" w:space="0" w:color="auto"/>
                <w:left w:val="none" w:sz="0" w:space="0" w:color="auto"/>
                <w:bottom w:val="none" w:sz="0" w:space="0" w:color="auto"/>
                <w:right w:val="none" w:sz="0" w:space="0" w:color="auto"/>
              </w:divBdr>
            </w:div>
          </w:divsChild>
        </w:div>
        <w:div w:id="1785684617">
          <w:marLeft w:val="0"/>
          <w:marRight w:val="0"/>
          <w:marTop w:val="0"/>
          <w:marBottom w:val="0"/>
          <w:divBdr>
            <w:top w:val="none" w:sz="0" w:space="0" w:color="auto"/>
            <w:left w:val="none" w:sz="0" w:space="0" w:color="auto"/>
            <w:bottom w:val="none" w:sz="0" w:space="0" w:color="auto"/>
            <w:right w:val="none" w:sz="0" w:space="0" w:color="auto"/>
          </w:divBdr>
          <w:divsChild>
            <w:div w:id="1137188936">
              <w:marLeft w:val="0"/>
              <w:marRight w:val="0"/>
              <w:marTop w:val="375"/>
              <w:marBottom w:val="300"/>
              <w:divBdr>
                <w:top w:val="single" w:sz="6" w:space="0" w:color="CCCCCC"/>
                <w:left w:val="single" w:sz="6" w:space="0" w:color="CCCCCC"/>
                <w:bottom w:val="single" w:sz="6" w:space="0" w:color="CCCCCC"/>
                <w:right w:val="single" w:sz="6" w:space="0" w:color="CCCCCC"/>
              </w:divBdr>
            </w:div>
          </w:divsChild>
        </w:div>
      </w:divsChild>
    </w:div>
    <w:div w:id="1405108906">
      <w:bodyDiv w:val="1"/>
      <w:marLeft w:val="0"/>
      <w:marRight w:val="0"/>
      <w:marTop w:val="0"/>
      <w:marBottom w:val="0"/>
      <w:divBdr>
        <w:top w:val="none" w:sz="0" w:space="0" w:color="auto"/>
        <w:left w:val="none" w:sz="0" w:space="0" w:color="auto"/>
        <w:bottom w:val="none" w:sz="0" w:space="0" w:color="auto"/>
        <w:right w:val="none" w:sz="0" w:space="0" w:color="auto"/>
      </w:divBdr>
      <w:divsChild>
        <w:div w:id="1532067139">
          <w:marLeft w:val="1138"/>
          <w:marRight w:val="0"/>
          <w:marTop w:val="0"/>
          <w:marBottom w:val="720"/>
          <w:divBdr>
            <w:top w:val="none" w:sz="0" w:space="0" w:color="auto"/>
            <w:left w:val="none" w:sz="0" w:space="0" w:color="auto"/>
            <w:bottom w:val="none" w:sz="0" w:space="0" w:color="auto"/>
            <w:right w:val="none" w:sz="0" w:space="0" w:color="auto"/>
          </w:divBdr>
        </w:div>
        <w:div w:id="1631551286">
          <w:marLeft w:val="1138"/>
          <w:marRight w:val="0"/>
          <w:marTop w:val="0"/>
          <w:marBottom w:val="720"/>
          <w:divBdr>
            <w:top w:val="none" w:sz="0" w:space="0" w:color="auto"/>
            <w:left w:val="none" w:sz="0" w:space="0" w:color="auto"/>
            <w:bottom w:val="none" w:sz="0" w:space="0" w:color="auto"/>
            <w:right w:val="none" w:sz="0" w:space="0" w:color="auto"/>
          </w:divBdr>
        </w:div>
        <w:div w:id="1328249906">
          <w:marLeft w:val="1138"/>
          <w:marRight w:val="0"/>
          <w:marTop w:val="0"/>
          <w:marBottom w:val="720"/>
          <w:divBdr>
            <w:top w:val="none" w:sz="0" w:space="0" w:color="auto"/>
            <w:left w:val="none" w:sz="0" w:space="0" w:color="auto"/>
            <w:bottom w:val="none" w:sz="0" w:space="0" w:color="auto"/>
            <w:right w:val="none" w:sz="0" w:space="0" w:color="auto"/>
          </w:divBdr>
        </w:div>
        <w:div w:id="1730877303">
          <w:marLeft w:val="1138"/>
          <w:marRight w:val="0"/>
          <w:marTop w:val="0"/>
          <w:marBottom w:val="720"/>
          <w:divBdr>
            <w:top w:val="none" w:sz="0" w:space="0" w:color="auto"/>
            <w:left w:val="none" w:sz="0" w:space="0" w:color="auto"/>
            <w:bottom w:val="none" w:sz="0" w:space="0" w:color="auto"/>
            <w:right w:val="none" w:sz="0" w:space="0" w:color="auto"/>
          </w:divBdr>
        </w:div>
        <w:div w:id="574975222">
          <w:marLeft w:val="1138"/>
          <w:marRight w:val="0"/>
          <w:marTop w:val="0"/>
          <w:marBottom w:val="720"/>
          <w:divBdr>
            <w:top w:val="none" w:sz="0" w:space="0" w:color="auto"/>
            <w:left w:val="none" w:sz="0" w:space="0" w:color="auto"/>
            <w:bottom w:val="none" w:sz="0" w:space="0" w:color="auto"/>
            <w:right w:val="none" w:sz="0" w:space="0" w:color="auto"/>
          </w:divBdr>
        </w:div>
      </w:divsChild>
    </w:div>
    <w:div w:id="1433278850">
      <w:bodyDiv w:val="1"/>
      <w:marLeft w:val="0"/>
      <w:marRight w:val="0"/>
      <w:marTop w:val="0"/>
      <w:marBottom w:val="0"/>
      <w:divBdr>
        <w:top w:val="none" w:sz="0" w:space="0" w:color="auto"/>
        <w:left w:val="none" w:sz="0" w:space="0" w:color="auto"/>
        <w:bottom w:val="none" w:sz="0" w:space="0" w:color="auto"/>
        <w:right w:val="none" w:sz="0" w:space="0" w:color="auto"/>
      </w:divBdr>
    </w:div>
    <w:div w:id="1457138324">
      <w:bodyDiv w:val="1"/>
      <w:marLeft w:val="0"/>
      <w:marRight w:val="0"/>
      <w:marTop w:val="0"/>
      <w:marBottom w:val="0"/>
      <w:divBdr>
        <w:top w:val="none" w:sz="0" w:space="0" w:color="auto"/>
        <w:left w:val="none" w:sz="0" w:space="0" w:color="auto"/>
        <w:bottom w:val="none" w:sz="0" w:space="0" w:color="auto"/>
        <w:right w:val="none" w:sz="0" w:space="0" w:color="auto"/>
      </w:divBdr>
      <w:divsChild>
        <w:div w:id="1418746218">
          <w:marLeft w:val="547"/>
          <w:marRight w:val="0"/>
          <w:marTop w:val="0"/>
          <w:marBottom w:val="0"/>
          <w:divBdr>
            <w:top w:val="none" w:sz="0" w:space="0" w:color="auto"/>
            <w:left w:val="none" w:sz="0" w:space="0" w:color="auto"/>
            <w:bottom w:val="none" w:sz="0" w:space="0" w:color="auto"/>
            <w:right w:val="none" w:sz="0" w:space="0" w:color="auto"/>
          </w:divBdr>
        </w:div>
      </w:divsChild>
    </w:div>
    <w:div w:id="1466006280">
      <w:bodyDiv w:val="1"/>
      <w:marLeft w:val="0"/>
      <w:marRight w:val="0"/>
      <w:marTop w:val="0"/>
      <w:marBottom w:val="0"/>
      <w:divBdr>
        <w:top w:val="none" w:sz="0" w:space="0" w:color="auto"/>
        <w:left w:val="none" w:sz="0" w:space="0" w:color="auto"/>
        <w:bottom w:val="none" w:sz="0" w:space="0" w:color="auto"/>
        <w:right w:val="none" w:sz="0" w:space="0" w:color="auto"/>
      </w:divBdr>
    </w:div>
    <w:div w:id="1482885494">
      <w:bodyDiv w:val="1"/>
      <w:marLeft w:val="0"/>
      <w:marRight w:val="0"/>
      <w:marTop w:val="0"/>
      <w:marBottom w:val="0"/>
      <w:divBdr>
        <w:top w:val="none" w:sz="0" w:space="0" w:color="auto"/>
        <w:left w:val="none" w:sz="0" w:space="0" w:color="auto"/>
        <w:bottom w:val="none" w:sz="0" w:space="0" w:color="auto"/>
        <w:right w:val="none" w:sz="0" w:space="0" w:color="auto"/>
      </w:divBdr>
      <w:divsChild>
        <w:div w:id="657422978">
          <w:marLeft w:val="1138"/>
          <w:marRight w:val="0"/>
          <w:marTop w:val="0"/>
          <w:marBottom w:val="600"/>
          <w:divBdr>
            <w:top w:val="none" w:sz="0" w:space="0" w:color="auto"/>
            <w:left w:val="none" w:sz="0" w:space="0" w:color="auto"/>
            <w:bottom w:val="none" w:sz="0" w:space="0" w:color="auto"/>
            <w:right w:val="none" w:sz="0" w:space="0" w:color="auto"/>
          </w:divBdr>
        </w:div>
        <w:div w:id="1909339521">
          <w:marLeft w:val="1138"/>
          <w:marRight w:val="0"/>
          <w:marTop w:val="0"/>
          <w:marBottom w:val="600"/>
          <w:divBdr>
            <w:top w:val="none" w:sz="0" w:space="0" w:color="auto"/>
            <w:left w:val="none" w:sz="0" w:space="0" w:color="auto"/>
            <w:bottom w:val="none" w:sz="0" w:space="0" w:color="auto"/>
            <w:right w:val="none" w:sz="0" w:space="0" w:color="auto"/>
          </w:divBdr>
        </w:div>
        <w:div w:id="1333950793">
          <w:marLeft w:val="1138"/>
          <w:marRight w:val="0"/>
          <w:marTop w:val="0"/>
          <w:marBottom w:val="600"/>
          <w:divBdr>
            <w:top w:val="none" w:sz="0" w:space="0" w:color="auto"/>
            <w:left w:val="none" w:sz="0" w:space="0" w:color="auto"/>
            <w:bottom w:val="none" w:sz="0" w:space="0" w:color="auto"/>
            <w:right w:val="none" w:sz="0" w:space="0" w:color="auto"/>
          </w:divBdr>
        </w:div>
        <w:div w:id="1068531690">
          <w:marLeft w:val="1138"/>
          <w:marRight w:val="0"/>
          <w:marTop w:val="0"/>
          <w:marBottom w:val="600"/>
          <w:divBdr>
            <w:top w:val="none" w:sz="0" w:space="0" w:color="auto"/>
            <w:left w:val="none" w:sz="0" w:space="0" w:color="auto"/>
            <w:bottom w:val="none" w:sz="0" w:space="0" w:color="auto"/>
            <w:right w:val="none" w:sz="0" w:space="0" w:color="auto"/>
          </w:divBdr>
        </w:div>
        <w:div w:id="1715351267">
          <w:marLeft w:val="1138"/>
          <w:marRight w:val="0"/>
          <w:marTop w:val="0"/>
          <w:marBottom w:val="600"/>
          <w:divBdr>
            <w:top w:val="none" w:sz="0" w:space="0" w:color="auto"/>
            <w:left w:val="none" w:sz="0" w:space="0" w:color="auto"/>
            <w:bottom w:val="none" w:sz="0" w:space="0" w:color="auto"/>
            <w:right w:val="none" w:sz="0" w:space="0" w:color="auto"/>
          </w:divBdr>
        </w:div>
      </w:divsChild>
    </w:div>
    <w:div w:id="1509561571">
      <w:bodyDiv w:val="1"/>
      <w:marLeft w:val="0"/>
      <w:marRight w:val="0"/>
      <w:marTop w:val="0"/>
      <w:marBottom w:val="0"/>
      <w:divBdr>
        <w:top w:val="none" w:sz="0" w:space="0" w:color="auto"/>
        <w:left w:val="none" w:sz="0" w:space="0" w:color="auto"/>
        <w:bottom w:val="none" w:sz="0" w:space="0" w:color="auto"/>
        <w:right w:val="none" w:sz="0" w:space="0" w:color="auto"/>
      </w:divBdr>
    </w:div>
    <w:div w:id="1521822039">
      <w:bodyDiv w:val="1"/>
      <w:marLeft w:val="0"/>
      <w:marRight w:val="0"/>
      <w:marTop w:val="0"/>
      <w:marBottom w:val="0"/>
      <w:divBdr>
        <w:top w:val="none" w:sz="0" w:space="0" w:color="auto"/>
        <w:left w:val="none" w:sz="0" w:space="0" w:color="auto"/>
        <w:bottom w:val="none" w:sz="0" w:space="0" w:color="auto"/>
        <w:right w:val="none" w:sz="0" w:space="0" w:color="auto"/>
      </w:divBdr>
    </w:div>
    <w:div w:id="1639452482">
      <w:bodyDiv w:val="1"/>
      <w:marLeft w:val="0"/>
      <w:marRight w:val="0"/>
      <w:marTop w:val="0"/>
      <w:marBottom w:val="0"/>
      <w:divBdr>
        <w:top w:val="none" w:sz="0" w:space="0" w:color="auto"/>
        <w:left w:val="none" w:sz="0" w:space="0" w:color="auto"/>
        <w:bottom w:val="none" w:sz="0" w:space="0" w:color="auto"/>
        <w:right w:val="none" w:sz="0" w:space="0" w:color="auto"/>
      </w:divBdr>
    </w:div>
    <w:div w:id="1649820150">
      <w:bodyDiv w:val="1"/>
      <w:marLeft w:val="0"/>
      <w:marRight w:val="0"/>
      <w:marTop w:val="0"/>
      <w:marBottom w:val="0"/>
      <w:divBdr>
        <w:top w:val="none" w:sz="0" w:space="0" w:color="auto"/>
        <w:left w:val="none" w:sz="0" w:space="0" w:color="auto"/>
        <w:bottom w:val="none" w:sz="0" w:space="0" w:color="auto"/>
        <w:right w:val="none" w:sz="0" w:space="0" w:color="auto"/>
      </w:divBdr>
    </w:div>
    <w:div w:id="1653172744">
      <w:bodyDiv w:val="1"/>
      <w:marLeft w:val="0"/>
      <w:marRight w:val="0"/>
      <w:marTop w:val="0"/>
      <w:marBottom w:val="0"/>
      <w:divBdr>
        <w:top w:val="none" w:sz="0" w:space="0" w:color="auto"/>
        <w:left w:val="none" w:sz="0" w:space="0" w:color="auto"/>
        <w:bottom w:val="none" w:sz="0" w:space="0" w:color="auto"/>
        <w:right w:val="none" w:sz="0" w:space="0" w:color="auto"/>
      </w:divBdr>
    </w:div>
    <w:div w:id="1767115576">
      <w:bodyDiv w:val="1"/>
      <w:marLeft w:val="0"/>
      <w:marRight w:val="0"/>
      <w:marTop w:val="0"/>
      <w:marBottom w:val="0"/>
      <w:divBdr>
        <w:top w:val="none" w:sz="0" w:space="0" w:color="auto"/>
        <w:left w:val="none" w:sz="0" w:space="0" w:color="auto"/>
        <w:bottom w:val="none" w:sz="0" w:space="0" w:color="auto"/>
        <w:right w:val="none" w:sz="0" w:space="0" w:color="auto"/>
      </w:divBdr>
    </w:div>
    <w:div w:id="1784230455">
      <w:bodyDiv w:val="1"/>
      <w:marLeft w:val="0"/>
      <w:marRight w:val="0"/>
      <w:marTop w:val="0"/>
      <w:marBottom w:val="0"/>
      <w:divBdr>
        <w:top w:val="none" w:sz="0" w:space="0" w:color="auto"/>
        <w:left w:val="none" w:sz="0" w:space="0" w:color="auto"/>
        <w:bottom w:val="none" w:sz="0" w:space="0" w:color="auto"/>
        <w:right w:val="none" w:sz="0" w:space="0" w:color="auto"/>
      </w:divBdr>
    </w:div>
    <w:div w:id="1785685973">
      <w:bodyDiv w:val="1"/>
      <w:marLeft w:val="0"/>
      <w:marRight w:val="0"/>
      <w:marTop w:val="0"/>
      <w:marBottom w:val="0"/>
      <w:divBdr>
        <w:top w:val="none" w:sz="0" w:space="0" w:color="auto"/>
        <w:left w:val="none" w:sz="0" w:space="0" w:color="auto"/>
        <w:bottom w:val="none" w:sz="0" w:space="0" w:color="auto"/>
        <w:right w:val="none" w:sz="0" w:space="0" w:color="auto"/>
      </w:divBdr>
    </w:div>
    <w:div w:id="1844204921">
      <w:bodyDiv w:val="1"/>
      <w:marLeft w:val="0"/>
      <w:marRight w:val="0"/>
      <w:marTop w:val="0"/>
      <w:marBottom w:val="0"/>
      <w:divBdr>
        <w:top w:val="none" w:sz="0" w:space="0" w:color="auto"/>
        <w:left w:val="none" w:sz="0" w:space="0" w:color="auto"/>
        <w:bottom w:val="none" w:sz="0" w:space="0" w:color="auto"/>
        <w:right w:val="none" w:sz="0" w:space="0" w:color="auto"/>
      </w:divBdr>
    </w:div>
    <w:div w:id="1881551546">
      <w:bodyDiv w:val="1"/>
      <w:marLeft w:val="0"/>
      <w:marRight w:val="0"/>
      <w:marTop w:val="0"/>
      <w:marBottom w:val="0"/>
      <w:divBdr>
        <w:top w:val="none" w:sz="0" w:space="0" w:color="auto"/>
        <w:left w:val="none" w:sz="0" w:space="0" w:color="auto"/>
        <w:bottom w:val="none" w:sz="0" w:space="0" w:color="auto"/>
        <w:right w:val="none" w:sz="0" w:space="0" w:color="auto"/>
      </w:divBdr>
    </w:div>
    <w:div w:id="1900362691">
      <w:bodyDiv w:val="1"/>
      <w:marLeft w:val="0"/>
      <w:marRight w:val="0"/>
      <w:marTop w:val="0"/>
      <w:marBottom w:val="0"/>
      <w:divBdr>
        <w:top w:val="none" w:sz="0" w:space="0" w:color="auto"/>
        <w:left w:val="none" w:sz="0" w:space="0" w:color="auto"/>
        <w:bottom w:val="none" w:sz="0" w:space="0" w:color="auto"/>
        <w:right w:val="none" w:sz="0" w:space="0" w:color="auto"/>
      </w:divBdr>
    </w:div>
    <w:div w:id="1915239028">
      <w:bodyDiv w:val="1"/>
      <w:marLeft w:val="0"/>
      <w:marRight w:val="0"/>
      <w:marTop w:val="0"/>
      <w:marBottom w:val="0"/>
      <w:divBdr>
        <w:top w:val="none" w:sz="0" w:space="0" w:color="auto"/>
        <w:left w:val="none" w:sz="0" w:space="0" w:color="auto"/>
        <w:bottom w:val="none" w:sz="0" w:space="0" w:color="auto"/>
        <w:right w:val="none" w:sz="0" w:space="0" w:color="auto"/>
      </w:divBdr>
    </w:div>
    <w:div w:id="1921211115">
      <w:bodyDiv w:val="1"/>
      <w:marLeft w:val="0"/>
      <w:marRight w:val="0"/>
      <w:marTop w:val="0"/>
      <w:marBottom w:val="0"/>
      <w:divBdr>
        <w:top w:val="none" w:sz="0" w:space="0" w:color="auto"/>
        <w:left w:val="none" w:sz="0" w:space="0" w:color="auto"/>
        <w:bottom w:val="none" w:sz="0" w:space="0" w:color="auto"/>
        <w:right w:val="none" w:sz="0" w:space="0" w:color="auto"/>
      </w:divBdr>
    </w:div>
    <w:div w:id="1924753953">
      <w:bodyDiv w:val="1"/>
      <w:marLeft w:val="0"/>
      <w:marRight w:val="0"/>
      <w:marTop w:val="0"/>
      <w:marBottom w:val="0"/>
      <w:divBdr>
        <w:top w:val="none" w:sz="0" w:space="0" w:color="auto"/>
        <w:left w:val="none" w:sz="0" w:space="0" w:color="auto"/>
        <w:bottom w:val="none" w:sz="0" w:space="0" w:color="auto"/>
        <w:right w:val="none" w:sz="0" w:space="0" w:color="auto"/>
      </w:divBdr>
    </w:div>
    <w:div w:id="1972712708">
      <w:bodyDiv w:val="1"/>
      <w:marLeft w:val="0"/>
      <w:marRight w:val="0"/>
      <w:marTop w:val="0"/>
      <w:marBottom w:val="0"/>
      <w:divBdr>
        <w:top w:val="none" w:sz="0" w:space="0" w:color="auto"/>
        <w:left w:val="none" w:sz="0" w:space="0" w:color="auto"/>
        <w:bottom w:val="none" w:sz="0" w:space="0" w:color="auto"/>
        <w:right w:val="none" w:sz="0" w:space="0" w:color="auto"/>
      </w:divBdr>
    </w:div>
    <w:div w:id="2024621449">
      <w:bodyDiv w:val="1"/>
      <w:marLeft w:val="0"/>
      <w:marRight w:val="0"/>
      <w:marTop w:val="0"/>
      <w:marBottom w:val="0"/>
      <w:divBdr>
        <w:top w:val="none" w:sz="0" w:space="0" w:color="auto"/>
        <w:left w:val="none" w:sz="0" w:space="0" w:color="auto"/>
        <w:bottom w:val="none" w:sz="0" w:space="0" w:color="auto"/>
        <w:right w:val="none" w:sz="0" w:space="0" w:color="auto"/>
      </w:divBdr>
    </w:div>
    <w:div w:id="2029065229">
      <w:bodyDiv w:val="1"/>
      <w:marLeft w:val="0"/>
      <w:marRight w:val="0"/>
      <w:marTop w:val="0"/>
      <w:marBottom w:val="0"/>
      <w:divBdr>
        <w:top w:val="none" w:sz="0" w:space="0" w:color="auto"/>
        <w:left w:val="none" w:sz="0" w:space="0" w:color="auto"/>
        <w:bottom w:val="none" w:sz="0" w:space="0" w:color="auto"/>
        <w:right w:val="none" w:sz="0" w:space="0" w:color="auto"/>
      </w:divBdr>
      <w:divsChild>
        <w:div w:id="1100835191">
          <w:marLeft w:val="1138"/>
          <w:marRight w:val="0"/>
          <w:marTop w:val="0"/>
          <w:marBottom w:val="720"/>
          <w:divBdr>
            <w:top w:val="none" w:sz="0" w:space="0" w:color="auto"/>
            <w:left w:val="none" w:sz="0" w:space="0" w:color="auto"/>
            <w:bottom w:val="none" w:sz="0" w:space="0" w:color="auto"/>
            <w:right w:val="none" w:sz="0" w:space="0" w:color="auto"/>
          </w:divBdr>
        </w:div>
        <w:div w:id="1150829421">
          <w:marLeft w:val="1138"/>
          <w:marRight w:val="0"/>
          <w:marTop w:val="0"/>
          <w:marBottom w:val="720"/>
          <w:divBdr>
            <w:top w:val="none" w:sz="0" w:space="0" w:color="auto"/>
            <w:left w:val="none" w:sz="0" w:space="0" w:color="auto"/>
            <w:bottom w:val="none" w:sz="0" w:space="0" w:color="auto"/>
            <w:right w:val="none" w:sz="0" w:space="0" w:color="auto"/>
          </w:divBdr>
        </w:div>
        <w:div w:id="1130980293">
          <w:marLeft w:val="1138"/>
          <w:marRight w:val="0"/>
          <w:marTop w:val="0"/>
          <w:marBottom w:val="720"/>
          <w:divBdr>
            <w:top w:val="none" w:sz="0" w:space="0" w:color="auto"/>
            <w:left w:val="none" w:sz="0" w:space="0" w:color="auto"/>
            <w:bottom w:val="none" w:sz="0" w:space="0" w:color="auto"/>
            <w:right w:val="none" w:sz="0" w:space="0" w:color="auto"/>
          </w:divBdr>
        </w:div>
        <w:div w:id="41832520">
          <w:marLeft w:val="1138"/>
          <w:marRight w:val="0"/>
          <w:marTop w:val="0"/>
          <w:marBottom w:val="720"/>
          <w:divBdr>
            <w:top w:val="none" w:sz="0" w:space="0" w:color="auto"/>
            <w:left w:val="none" w:sz="0" w:space="0" w:color="auto"/>
            <w:bottom w:val="none" w:sz="0" w:space="0" w:color="auto"/>
            <w:right w:val="none" w:sz="0" w:space="0" w:color="auto"/>
          </w:divBdr>
        </w:div>
      </w:divsChild>
    </w:div>
    <w:div w:id="2035111012">
      <w:bodyDiv w:val="1"/>
      <w:marLeft w:val="0"/>
      <w:marRight w:val="0"/>
      <w:marTop w:val="0"/>
      <w:marBottom w:val="0"/>
      <w:divBdr>
        <w:top w:val="none" w:sz="0" w:space="0" w:color="auto"/>
        <w:left w:val="none" w:sz="0" w:space="0" w:color="auto"/>
        <w:bottom w:val="none" w:sz="0" w:space="0" w:color="auto"/>
        <w:right w:val="none" w:sz="0" w:space="0" w:color="auto"/>
      </w:divBdr>
    </w:div>
    <w:div w:id="20835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cid:image001.png@01D6FEBB.C54485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supen-my.sharepoint.com/personal/cespedesld_supen_fi_cr/Documents/SUPEN/InformeConassifDic2020/CuadrosDic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upen-my.sharepoint.com/personal/cespedesld_supen_fi_cr/Documents/SUPEN/InformeConassifDic2020/CuadrosDic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2351990892005"/>
          <c:y val="5.0825914439575591E-2"/>
          <c:w val="0.79316721457413364"/>
          <c:h val="0.58185933734746886"/>
        </c:manualLayout>
      </c:layout>
      <c:barChart>
        <c:barDir val="col"/>
        <c:grouping val="stacked"/>
        <c:varyColors val="0"/>
        <c:ser>
          <c:idx val="0"/>
          <c:order val="0"/>
          <c:tx>
            <c:strRef>
              <c:f>Activo!$B$1</c:f>
              <c:strCache>
                <c:ptCount val="1"/>
                <c:pt idx="0">
                  <c:v> Fondo de Capitalización Laboral </c:v>
                </c:pt>
              </c:strCache>
            </c:strRef>
          </c:tx>
          <c:spPr>
            <a:solidFill>
              <a:schemeClr val="accent1"/>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Activo!$B$2:$B$12</c:f>
              <c:numCache>
                <c:formatCode>_-* #,##0.0_-;\-* #,##0.0_-;_-* "-"??_-;_-@_-</c:formatCode>
                <c:ptCount val="11"/>
                <c:pt idx="0">
                  <c:v>0.37758497349279002</c:v>
                </c:pt>
                <c:pt idx="1">
                  <c:v>0.30237424868655</c:v>
                </c:pt>
                <c:pt idx="2">
                  <c:v>0.37924599498111999</c:v>
                </c:pt>
                <c:pt idx="3">
                  <c:v>0.46087351818978001</c:v>
                </c:pt>
                <c:pt idx="4">
                  <c:v>0.53172622033729999</c:v>
                </c:pt>
                <c:pt idx="5">
                  <c:v>0.62663351038924997</c:v>
                </c:pt>
                <c:pt idx="6">
                  <c:v>0.49952520989500998</c:v>
                </c:pt>
                <c:pt idx="7">
                  <c:v>0.56977895297609005</c:v>
                </c:pt>
                <c:pt idx="8">
                  <c:v>0.62508713847675001</c:v>
                </c:pt>
                <c:pt idx="9">
                  <c:v>0.72465513350761002</c:v>
                </c:pt>
                <c:pt idx="10">
                  <c:v>0.73302074826222996</c:v>
                </c:pt>
              </c:numCache>
            </c:numRef>
          </c:val>
          <c:extLst>
            <c:ext xmlns:c16="http://schemas.microsoft.com/office/drawing/2014/chart" uri="{C3380CC4-5D6E-409C-BE32-E72D297353CC}">
              <c16:uniqueId val="{00000000-8108-45EA-82AA-935287D1CB71}"/>
            </c:ext>
          </c:extLst>
        </c:ser>
        <c:ser>
          <c:idx val="1"/>
          <c:order val="1"/>
          <c:tx>
            <c:strRef>
              <c:f>Activo!$C$1</c:f>
              <c:strCache>
                <c:ptCount val="1"/>
                <c:pt idx="0">
                  <c:v> Planes Voluntarios </c:v>
                </c:pt>
              </c:strCache>
            </c:strRef>
          </c:tx>
          <c:spPr>
            <a:solidFill>
              <a:srgbClr val="7030A0"/>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Activo!$C$2:$C$12</c:f>
              <c:numCache>
                <c:formatCode>_-* #,##0.0_-;\-* #,##0.0_-;_-* "-"??_-;_-@_-</c:formatCode>
                <c:ptCount val="11"/>
                <c:pt idx="0">
                  <c:v>0.12754241418949</c:v>
                </c:pt>
                <c:pt idx="1">
                  <c:v>0.13708005858323</c:v>
                </c:pt>
                <c:pt idx="2">
                  <c:v>0.14372155967864</c:v>
                </c:pt>
                <c:pt idx="3">
                  <c:v>0.16206610685438</c:v>
                </c:pt>
                <c:pt idx="4">
                  <c:v>0.17242073907072999</c:v>
                </c:pt>
                <c:pt idx="5">
                  <c:v>0.19983622005012</c:v>
                </c:pt>
                <c:pt idx="6">
                  <c:v>0.23264824657781999</c:v>
                </c:pt>
                <c:pt idx="7">
                  <c:v>0.25094220482860002</c:v>
                </c:pt>
                <c:pt idx="8">
                  <c:v>0.26956417284391998</c:v>
                </c:pt>
                <c:pt idx="9">
                  <c:v>0.31524064701469001</c:v>
                </c:pt>
                <c:pt idx="10">
                  <c:v>0.36497393034853998</c:v>
                </c:pt>
              </c:numCache>
            </c:numRef>
          </c:val>
          <c:extLst>
            <c:ext xmlns:c16="http://schemas.microsoft.com/office/drawing/2014/chart" uri="{C3380CC4-5D6E-409C-BE32-E72D297353CC}">
              <c16:uniqueId val="{00000001-8108-45EA-82AA-935287D1CB71}"/>
            </c:ext>
          </c:extLst>
        </c:ser>
        <c:ser>
          <c:idx val="2"/>
          <c:order val="2"/>
          <c:tx>
            <c:strRef>
              <c:f>Activo!$D$1</c:f>
              <c:strCache>
                <c:ptCount val="1"/>
                <c:pt idx="0">
                  <c:v> Regimen Obligatorio Complementario </c:v>
                </c:pt>
              </c:strCache>
            </c:strRef>
          </c:tx>
          <c:spPr>
            <a:solidFill>
              <a:schemeClr val="accent3"/>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Activo!$D$2:$D$12</c:f>
              <c:numCache>
                <c:formatCode>_-* #,##0.0_-;\-* #,##0.0_-;_-* "-"??_-;_-@_-</c:formatCode>
                <c:ptCount val="11"/>
                <c:pt idx="0">
                  <c:v>1.4568919565431799</c:v>
                </c:pt>
                <c:pt idx="1">
                  <c:v>1.8055407988371299</c:v>
                </c:pt>
                <c:pt idx="2">
                  <c:v>2.22898511556757</c:v>
                </c:pt>
                <c:pt idx="3">
                  <c:v>2.74334720764808</c:v>
                </c:pt>
                <c:pt idx="4">
                  <c:v>3.21685753199713</c:v>
                </c:pt>
                <c:pt idx="5">
                  <c:v>3.87641127595831</c:v>
                </c:pt>
                <c:pt idx="6">
                  <c:v>4.4579054772766096</c:v>
                </c:pt>
                <c:pt idx="7">
                  <c:v>5.0534913627572404</c:v>
                </c:pt>
                <c:pt idx="8">
                  <c:v>5.6668539109234404</c:v>
                </c:pt>
                <c:pt idx="9">
                  <c:v>6.8508475886768601</c:v>
                </c:pt>
                <c:pt idx="10">
                  <c:v>7.8664910546024496</c:v>
                </c:pt>
              </c:numCache>
            </c:numRef>
          </c:val>
          <c:extLst>
            <c:ext xmlns:c16="http://schemas.microsoft.com/office/drawing/2014/chart" uri="{C3380CC4-5D6E-409C-BE32-E72D297353CC}">
              <c16:uniqueId val="{00000002-8108-45EA-82AA-935287D1CB71}"/>
            </c:ext>
          </c:extLst>
        </c:ser>
        <c:ser>
          <c:idx val="4"/>
          <c:order val="3"/>
          <c:tx>
            <c:strRef>
              <c:f>Activo!$F$1</c:f>
              <c:strCache>
                <c:ptCount val="1"/>
                <c:pt idx="0">
                  <c:v> Regímenes Ocupacionales Complementarios </c:v>
                </c:pt>
              </c:strCache>
            </c:strRef>
          </c:tx>
          <c:spPr>
            <a:solidFill>
              <a:schemeClr val="accent5"/>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Activo!$F$2:$F$12</c:f>
              <c:numCache>
                <c:formatCode>_-* #,##0.0_-;\-* #,##0.0_-;_-* "-"??_-;_-@_-</c:formatCode>
                <c:ptCount val="11"/>
                <c:pt idx="0">
                  <c:v>6.4360191388549995E-2</c:v>
                </c:pt>
                <c:pt idx="1">
                  <c:v>7.5906551435889993E-2</c:v>
                </c:pt>
                <c:pt idx="2">
                  <c:v>9.0065997832899994E-2</c:v>
                </c:pt>
                <c:pt idx="3">
                  <c:v>0.62232204967185001</c:v>
                </c:pt>
                <c:pt idx="4">
                  <c:v>0.67686945057893999</c:v>
                </c:pt>
                <c:pt idx="5">
                  <c:v>0.74383261028804004</c:v>
                </c:pt>
                <c:pt idx="6">
                  <c:v>0.78788628585081999</c:v>
                </c:pt>
                <c:pt idx="7">
                  <c:v>0.79824832826771996</c:v>
                </c:pt>
                <c:pt idx="8">
                  <c:v>0.82641658157191</c:v>
                </c:pt>
                <c:pt idx="9">
                  <c:v>0.90873995754376002</c:v>
                </c:pt>
                <c:pt idx="10">
                  <c:v>0.92572625482253001</c:v>
                </c:pt>
              </c:numCache>
            </c:numRef>
          </c:val>
          <c:extLst>
            <c:ext xmlns:c16="http://schemas.microsoft.com/office/drawing/2014/chart" uri="{C3380CC4-5D6E-409C-BE32-E72D297353CC}">
              <c16:uniqueId val="{00000003-8108-45EA-82AA-935287D1CB71}"/>
            </c:ext>
          </c:extLst>
        </c:ser>
        <c:ser>
          <c:idx val="5"/>
          <c:order val="4"/>
          <c:tx>
            <c:strRef>
              <c:f>Activo!$G$1</c:f>
              <c:strCache>
                <c:ptCount val="1"/>
                <c:pt idx="0">
                  <c:v>Regímenes Básicos Sustitutos </c:v>
                </c:pt>
              </c:strCache>
            </c:strRef>
          </c:tx>
          <c:spPr>
            <a:solidFill>
              <a:schemeClr val="accent6"/>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Activo!$G$2:$G$12</c:f>
              <c:numCache>
                <c:formatCode>_-* #,##0.0_-;\-* #,##0.0_-;_-* "-"??_-;_-@_-</c:formatCode>
                <c:ptCount val="11"/>
                <c:pt idx="0">
                  <c:v>1.25728892430232</c:v>
                </c:pt>
                <c:pt idx="1">
                  <c:v>1.4677862957298999</c:v>
                </c:pt>
                <c:pt idx="2">
                  <c:v>1.69622205438962</c:v>
                </c:pt>
                <c:pt idx="3">
                  <c:v>1.43910679533172</c:v>
                </c:pt>
                <c:pt idx="4">
                  <c:v>1.6723162251665902</c:v>
                </c:pt>
                <c:pt idx="5">
                  <c:v>2.00195846850034</c:v>
                </c:pt>
                <c:pt idx="6">
                  <c:v>2.3342637255577601</c:v>
                </c:pt>
                <c:pt idx="7">
                  <c:v>2.6547632996576698</c:v>
                </c:pt>
                <c:pt idx="8">
                  <c:v>3.0031769200416898</c:v>
                </c:pt>
                <c:pt idx="9">
                  <c:v>3.6225673215315499</c:v>
                </c:pt>
                <c:pt idx="10">
                  <c:v>4.0674292211651499</c:v>
                </c:pt>
              </c:numCache>
            </c:numRef>
          </c:val>
          <c:extLst>
            <c:ext xmlns:c16="http://schemas.microsoft.com/office/drawing/2014/chart" uri="{C3380CC4-5D6E-409C-BE32-E72D297353CC}">
              <c16:uniqueId val="{00000004-8108-45EA-82AA-935287D1CB71}"/>
            </c:ext>
          </c:extLst>
        </c:ser>
        <c:ser>
          <c:idx val="6"/>
          <c:order val="5"/>
          <c:tx>
            <c:strRef>
              <c:f>Activo!$H$1</c:f>
              <c:strCache>
                <c:ptCount val="1"/>
                <c:pt idx="0">
                  <c:v> Régimen Básico </c:v>
                </c:pt>
              </c:strCache>
            </c:strRef>
          </c:tx>
          <c:spPr>
            <a:solidFill>
              <a:schemeClr val="accent1">
                <a:lumMod val="60000"/>
              </a:schemeClr>
            </a:solidFill>
            <a:ln>
              <a:noFill/>
            </a:ln>
            <a:effectLst/>
          </c:spPr>
          <c:invertIfNegative val="0"/>
          <c:cat>
            <c:strRef>
              <c:f>Activo!$T$2:$T$12</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Activo!$H$2:$H$12</c:f>
              <c:numCache>
                <c:formatCode>_-* #,##0.0_-;\-* #,##0.0_-;_-* "-"??_-;_-@_-</c:formatCode>
                <c:ptCount val="11"/>
                <c:pt idx="0">
                  <c:v>1.4729985092146101</c:v>
                </c:pt>
                <c:pt idx="1">
                  <c:v>1.6342733009999999</c:v>
                </c:pt>
                <c:pt idx="2">
                  <c:v>1.7682857299999999</c:v>
                </c:pt>
                <c:pt idx="3">
                  <c:v>1.8846139</c:v>
                </c:pt>
                <c:pt idx="4">
                  <c:v>1.9898470124800001</c:v>
                </c:pt>
                <c:pt idx="5">
                  <c:v>2.0740344951358001</c:v>
                </c:pt>
                <c:pt idx="6">
                  <c:v>2.2244389324399001</c:v>
                </c:pt>
                <c:pt idx="7">
                  <c:v>2.4159253760000001</c:v>
                </c:pt>
                <c:pt idx="8">
                  <c:v>2.7003552487618099</c:v>
                </c:pt>
                <c:pt idx="9">
                  <c:v>2.9214915709656499</c:v>
                </c:pt>
                <c:pt idx="10">
                  <c:v>3.0622645146567899</c:v>
                </c:pt>
              </c:numCache>
            </c:numRef>
          </c:val>
          <c:extLst>
            <c:ext xmlns:c16="http://schemas.microsoft.com/office/drawing/2014/chart" uri="{C3380CC4-5D6E-409C-BE32-E72D297353CC}">
              <c16:uniqueId val="{00000005-8108-45EA-82AA-935287D1CB71}"/>
            </c:ext>
          </c:extLst>
        </c:ser>
        <c:dLbls>
          <c:showLegendKey val="0"/>
          <c:showVal val="0"/>
          <c:showCatName val="0"/>
          <c:showSerName val="0"/>
          <c:showPercent val="0"/>
          <c:showBubbleSize val="0"/>
        </c:dLbls>
        <c:gapWidth val="219"/>
        <c:overlap val="100"/>
        <c:axId val="844511359"/>
        <c:axId val="746865471"/>
      </c:barChart>
      <c:lineChart>
        <c:grouping val="standard"/>
        <c:varyColors val="0"/>
        <c:ser>
          <c:idx val="8"/>
          <c:order val="6"/>
          <c:tx>
            <c:strRef>
              <c:f>Activo!$J$1</c:f>
              <c:strCache>
                <c:ptCount val="1"/>
                <c:pt idx="0">
                  <c:v> % del PIB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1957385678953266E-2"/>
                  <c:y val="-4.0660731551660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08-45EA-82AA-935287D1CB71}"/>
                </c:ext>
              </c:extLst>
            </c:dLbl>
            <c:dLbl>
              <c:idx val="1"/>
              <c:layout>
                <c:manualLayout>
                  <c:x val="-3.018197536345588E-2"/>
                  <c:y val="-2.71071543677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08-45EA-82AA-935287D1CB71}"/>
                </c:ext>
              </c:extLst>
            </c:dLbl>
            <c:dLbl>
              <c:idx val="2"/>
              <c:layout>
                <c:manualLayout>
                  <c:x val="-3.1957385678953253E-2"/>
                  <c:y val="-2.71071543677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08-45EA-82AA-935287D1CB71}"/>
                </c:ext>
              </c:extLst>
            </c:dLbl>
            <c:dLbl>
              <c:idx val="3"/>
              <c:layout>
                <c:manualLayout>
                  <c:x val="-3.3732795994450657E-2"/>
                  <c:y val="-3.0495548663745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08-45EA-82AA-935287D1CB71}"/>
                </c:ext>
              </c:extLst>
            </c:dLbl>
            <c:dLbl>
              <c:idx val="4"/>
              <c:layout>
                <c:manualLayout>
                  <c:x val="-3.1957385678953253E-2"/>
                  <c:y val="-2.71071543677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08-45EA-82AA-935287D1CB71}"/>
                </c:ext>
              </c:extLst>
            </c:dLbl>
            <c:dLbl>
              <c:idx val="5"/>
              <c:layout>
                <c:manualLayout>
                  <c:x val="-3.1957385678953253E-2"/>
                  <c:y val="-2.371876007180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08-45EA-82AA-935287D1CB71}"/>
                </c:ext>
              </c:extLst>
            </c:dLbl>
            <c:dLbl>
              <c:idx val="6"/>
              <c:layout>
                <c:manualLayout>
                  <c:x val="-3.5508206309948186E-2"/>
                  <c:y val="-2.371876007180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08-45EA-82AA-935287D1CB71}"/>
                </c:ext>
              </c:extLst>
            </c:dLbl>
            <c:dLbl>
              <c:idx val="7"/>
              <c:layout>
                <c:manualLayout>
                  <c:x val="-3.1957385678953253E-2"/>
                  <c:y val="-2.371876007180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08-45EA-82AA-935287D1CB71}"/>
                </c:ext>
              </c:extLst>
            </c:dLbl>
            <c:dLbl>
              <c:idx val="8"/>
              <c:layout>
                <c:manualLayout>
                  <c:x val="-3.1957385678953253E-2"/>
                  <c:y val="-2.7107154367773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08-45EA-82AA-935287D1CB71}"/>
                </c:ext>
              </c:extLst>
            </c:dLbl>
            <c:dLbl>
              <c:idx val="9"/>
              <c:layout>
                <c:manualLayout>
                  <c:x val="-3.7283667225889605E-2"/>
                  <c:y val="-3.3883942959717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08-45EA-82AA-935287D1CB71}"/>
                </c:ext>
              </c:extLst>
            </c:dLbl>
            <c:dLbl>
              <c:idx val="10"/>
              <c:layout>
                <c:manualLayout>
                  <c:x val="-3.728361662544559E-2"/>
                  <c:y val="-2.71071543677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08-45EA-82AA-935287D1CB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Activo!$J$2:$J$12</c:f>
              <c:numCache>
                <c:formatCode>0.0%</c:formatCode>
                <c:ptCount val="11"/>
                <c:pt idx="0">
                  <c:v>0.24272502622505254</c:v>
                </c:pt>
                <c:pt idx="1">
                  <c:v>0.25375644250673535</c:v>
                </c:pt>
                <c:pt idx="2">
                  <c:v>0.26983941286355351</c:v>
                </c:pt>
                <c:pt idx="3">
                  <c:v>0.29412920621151267</c:v>
                </c:pt>
                <c:pt idx="4">
                  <c:v>0.30337799026642137</c:v>
                </c:pt>
                <c:pt idx="5">
                  <c:v>0.32521379648993026</c:v>
                </c:pt>
                <c:pt idx="6">
                  <c:v>0.33840559619796767</c:v>
                </c:pt>
                <c:pt idx="7">
                  <c:v>0.35382420292470868</c:v>
                </c:pt>
                <c:pt idx="8">
                  <c:v>0.37470599322438858</c:v>
                </c:pt>
                <c:pt idx="9">
                  <c:v>0.42273812504267888</c:v>
                </c:pt>
                <c:pt idx="10">
                  <c:v>0.48824931086133133</c:v>
                </c:pt>
              </c:numCache>
            </c:numRef>
          </c:val>
          <c:smooth val="0"/>
          <c:extLst>
            <c:ext xmlns:c16="http://schemas.microsoft.com/office/drawing/2014/chart" uri="{C3380CC4-5D6E-409C-BE32-E72D297353CC}">
              <c16:uniqueId val="{00000011-8108-45EA-82AA-935287D1CB71}"/>
            </c:ext>
          </c:extLst>
        </c:ser>
        <c:dLbls>
          <c:showLegendKey val="0"/>
          <c:showVal val="0"/>
          <c:showCatName val="0"/>
          <c:showSerName val="0"/>
          <c:showPercent val="0"/>
          <c:showBubbleSize val="0"/>
        </c:dLbls>
        <c:marker val="1"/>
        <c:smooth val="0"/>
        <c:axId val="844514959"/>
        <c:axId val="746882943"/>
      </c:lineChart>
      <c:catAx>
        <c:axId val="8445113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46865471"/>
        <c:crosses val="autoZero"/>
        <c:auto val="1"/>
        <c:lblAlgn val="ctr"/>
        <c:lblOffset val="100"/>
        <c:noMultiLvlLbl val="0"/>
      </c:catAx>
      <c:valAx>
        <c:axId val="7468654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 en billones de colones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44511359"/>
        <c:crosses val="autoZero"/>
        <c:crossBetween val="between"/>
      </c:valAx>
      <c:valAx>
        <c:axId val="746882943"/>
        <c:scaling>
          <c:orientation val="minMax"/>
          <c:max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44514959"/>
        <c:crosses val="max"/>
        <c:crossBetween val="between"/>
      </c:valAx>
      <c:catAx>
        <c:axId val="844514959"/>
        <c:scaling>
          <c:orientation val="minMax"/>
        </c:scaling>
        <c:delete val="1"/>
        <c:axPos val="b"/>
        <c:majorTickMark val="none"/>
        <c:minorTickMark val="none"/>
        <c:tickLblPos val="nextTo"/>
        <c:crossAx val="746882943"/>
        <c:crosses val="autoZero"/>
        <c:auto val="1"/>
        <c:lblAlgn val="ctr"/>
        <c:lblOffset val="100"/>
        <c:noMultiLvlLbl val="0"/>
      </c:catAx>
      <c:spPr>
        <a:noFill/>
        <a:ln>
          <a:noFill/>
        </a:ln>
        <a:effectLst/>
      </c:spPr>
    </c:plotArea>
    <c:legend>
      <c:legendPos val="b"/>
      <c:layout>
        <c:manualLayout>
          <c:xMode val="edge"/>
          <c:yMode val="edge"/>
          <c:x val="1.6484115656622347E-2"/>
          <c:y val="0.73694510784796774"/>
          <c:w val="0.96024290242742061"/>
          <c:h val="0.26305489215203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0EC-4731-B1C0-4313B20E9D8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0EC-4731-B1C0-4313B20E9D8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0EC-4731-B1C0-4313B20E9D8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0EC-4731-B1C0-4313B20E9D8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0EC-4731-B1C0-4313B20E9D85}"/>
              </c:ext>
            </c:extLst>
          </c:dPt>
          <c:dLbls>
            <c:dLbl>
              <c:idx val="0"/>
              <c:layout>
                <c:manualLayout>
                  <c:x val="0.28319783197831977"/>
                  <c:y val="0.152133291030928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EC-4731-B1C0-4313B20E9D85}"/>
                </c:ext>
              </c:extLst>
            </c:dLbl>
            <c:dLbl>
              <c:idx val="1"/>
              <c:layout>
                <c:manualLayout>
                  <c:x val="6.6666666666666666E-2"/>
                  <c:y val="-6.30790459294304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EC-4731-B1C0-4313B20E9D85}"/>
                </c:ext>
              </c:extLst>
            </c:dLbl>
            <c:dLbl>
              <c:idx val="2"/>
              <c:layout>
                <c:manualLayout>
                  <c:x val="-0.20982374154450206"/>
                  <c:y val="3.357657215924932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EC-4731-B1C0-4313B20E9D85}"/>
                </c:ext>
              </c:extLst>
            </c:dLbl>
            <c:dLbl>
              <c:idx val="3"/>
              <c:layout>
                <c:manualLayout>
                  <c:x val="-0.27411924119241193"/>
                  <c:y val="0.227106227106227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EC-4731-B1C0-4313B20E9D85}"/>
                </c:ext>
              </c:extLst>
            </c:dLbl>
            <c:dLbl>
              <c:idx val="4"/>
              <c:layout>
                <c:manualLayout>
                  <c:x val="0.1705962059620596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EC-4731-B1C0-4313B20E9D8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es-C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ActivoTotal!$X$21:$X$30</c:f>
              <c:strCache>
                <c:ptCount val="5"/>
                <c:pt idx="0">
                  <c:v>Disponibilidades</c:v>
                </c:pt>
                <c:pt idx="1">
                  <c:v>Inversiones</c:v>
                </c:pt>
                <c:pt idx="2">
                  <c:v>Cartera de créditos</c:v>
                </c:pt>
                <c:pt idx="3">
                  <c:v>Aportes por cobrar</c:v>
                </c:pt>
                <c:pt idx="4">
                  <c:v>Otros Activos</c:v>
                </c:pt>
              </c:strCache>
              <c:extLst/>
            </c:strRef>
          </c:cat>
          <c:val>
            <c:numRef>
              <c:f>ActivoTotal!$Y$21:$Y$30</c:f>
              <c:numCache>
                <c:formatCode>_(* #,##0.00_);_(* \(#,##0.00\);_(* "-"??_);_(@_)</c:formatCode>
                <c:ptCount val="5"/>
                <c:pt idx="0">
                  <c:v>672784380819.49756</c:v>
                </c:pt>
                <c:pt idx="1">
                  <c:v>15421983922091.018</c:v>
                </c:pt>
                <c:pt idx="2">
                  <c:v>346771059614.89001</c:v>
                </c:pt>
                <c:pt idx="3">
                  <c:v>609102430307.68005</c:v>
                </c:pt>
                <c:pt idx="4">
                  <c:v>60371231861.775208</c:v>
                </c:pt>
              </c:numCache>
              <c:extLst/>
            </c:numRef>
          </c:val>
          <c:extLst>
            <c:ext xmlns:c16="http://schemas.microsoft.com/office/drawing/2014/chart" uri="{C3380CC4-5D6E-409C-BE32-E72D297353CC}">
              <c16:uniqueId val="{0000000A-80EC-4731-B1C0-4313B20E9D85}"/>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5" ma:contentTypeDescription="Crear nuevo documento." ma:contentTypeScope="" ma:versionID="b63f3bcf0276a04e22e39c3f0d1614ce">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aa729d9a8929a85eaaff3f24f849356d"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B4269-2719-4891-AB1A-558B33340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A7DB6-51CC-4053-BE2C-9FB92033B7A3}">
  <ds:schemaRefs>
    <ds:schemaRef ds:uri="http://schemas.openxmlformats.org/officeDocument/2006/bibliography"/>
  </ds:schemaRefs>
</ds:datastoreItem>
</file>

<file path=customXml/itemProps3.xml><?xml version="1.0" encoding="utf-8"?>
<ds:datastoreItem xmlns:ds="http://schemas.openxmlformats.org/officeDocument/2006/customXml" ds:itemID="{AA19511C-AB72-4F05-A11A-6EAA31BE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65F07-94A6-4D63-BEAE-C6F8C3DF1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5761</Words>
  <Characters>31688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InformeCoyunturaDic2020.docx</vt:lpstr>
    </vt:vector>
  </TitlesOfParts>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InformeCoyunturaDic2020.docx</dc:title>
  <dc:subject/>
  <dc:creator>CESPEDES LOPEZ DAISY</dc:creator>
  <cp:keywords/>
  <dc:description/>
  <cp:lastModifiedBy>VILLALOBOS ARROYO ALLAN STEVEN</cp:lastModifiedBy>
  <cp:revision>2</cp:revision>
  <dcterms:created xsi:type="dcterms:W3CDTF">2021-02-17T19:19:00Z</dcterms:created>
  <dcterms:modified xsi:type="dcterms:W3CDTF">2021-02-17T19:19:00Z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