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CCFC9" w14:textId="77777777" w:rsidR="002B6731" w:rsidRPr="00D70332" w:rsidRDefault="002B6731" w:rsidP="00C07436">
      <w:pPr>
        <w:jc w:val="center"/>
        <w:rPr>
          <w:rFonts w:ascii="Segoe UI" w:hAnsi="Segoe UI" w:cs="Segoe UI"/>
        </w:rPr>
      </w:pPr>
      <w:bookmarkStart w:id="0" w:name="_Hlk8031810"/>
      <w:bookmarkEnd w:id="0"/>
      <w:r w:rsidRPr="00D70332">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16C507AC" wp14:editId="1FC40F74">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45B637DB" w14:textId="77777777" w:rsidR="00C50A6E" w:rsidRPr="00C26828" w:rsidRDefault="00C50A6E" w:rsidP="002B6731">
                            <w:pPr>
                              <w:pBdr>
                                <w:left w:val="single" w:sz="4" w:space="9" w:color="4F81BD" w:themeColor="accent1"/>
                              </w:pBdr>
                              <w:jc w:val="center"/>
                              <w:rPr>
                                <w:rFonts w:asciiTheme="majorHAnsi" w:eastAsiaTheme="majorEastAsia" w:hAnsiTheme="majorHAnsi" w:cstheme="majorBidi"/>
                                <w:sz w:val="40"/>
                                <w:szCs w:val="40"/>
                              </w:rPr>
                            </w:pPr>
                          </w:p>
                          <w:p w14:paraId="7A89B741" w14:textId="77777777" w:rsidR="00C50A6E" w:rsidRPr="00C26828" w:rsidRDefault="00C50A6E" w:rsidP="002B6731">
                            <w:pPr>
                              <w:pBdr>
                                <w:left w:val="single" w:sz="4" w:space="9" w:color="4F81BD" w:themeColor="accent1"/>
                              </w:pBdr>
                              <w:jc w:val="center"/>
                              <w:rPr>
                                <w:rFonts w:asciiTheme="majorHAnsi" w:eastAsiaTheme="majorEastAsia" w:hAnsiTheme="majorHAnsi" w:cstheme="majorBidi"/>
                                <w:sz w:val="40"/>
                                <w:szCs w:val="40"/>
                              </w:rPr>
                            </w:pPr>
                          </w:p>
                          <w:p w14:paraId="10482BA2" w14:textId="77777777" w:rsidR="00C50A6E" w:rsidRPr="00C26828" w:rsidRDefault="00C50A6E" w:rsidP="002B6731">
                            <w:pPr>
                              <w:pBdr>
                                <w:left w:val="single" w:sz="4" w:space="9" w:color="4F81BD" w:themeColor="accent1"/>
                              </w:pBdr>
                              <w:jc w:val="center"/>
                              <w:rPr>
                                <w:rFonts w:asciiTheme="majorHAnsi" w:eastAsiaTheme="majorEastAsia" w:hAnsiTheme="majorHAnsi" w:cstheme="majorBidi"/>
                                <w:sz w:val="40"/>
                                <w:szCs w:val="40"/>
                              </w:rPr>
                            </w:pPr>
                          </w:p>
                          <w:p w14:paraId="584DB86D"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b/>
                                <w:sz w:val="40"/>
                                <w:szCs w:val="44"/>
                              </w:rPr>
                            </w:pPr>
                            <w:r w:rsidRPr="00C50A6E">
                              <w:rPr>
                                <w:rFonts w:asciiTheme="majorHAnsi" w:eastAsiaTheme="majorEastAsia" w:hAnsiTheme="majorHAnsi" w:cstheme="majorBidi"/>
                                <w:b/>
                                <w:sz w:val="40"/>
                                <w:szCs w:val="44"/>
                              </w:rPr>
                              <w:t>EXTRACTO</w:t>
                            </w:r>
                          </w:p>
                          <w:p w14:paraId="3BBE926F" w14:textId="38A90171" w:rsidR="00C50A6E" w:rsidRPr="00C50A6E" w:rsidRDefault="00C50A6E" w:rsidP="002B6731">
                            <w:pPr>
                              <w:pBdr>
                                <w:left w:val="single" w:sz="4" w:space="9" w:color="4F81BD" w:themeColor="accent1"/>
                              </w:pBdr>
                              <w:jc w:val="center"/>
                              <w:rPr>
                                <w:rFonts w:asciiTheme="majorHAnsi" w:eastAsiaTheme="majorEastAsia" w:hAnsiTheme="majorHAnsi" w:cstheme="majorBidi"/>
                                <w:b/>
                                <w:sz w:val="40"/>
                                <w:szCs w:val="44"/>
                              </w:rPr>
                            </w:pPr>
                            <w:r w:rsidRPr="00C50A6E">
                              <w:rPr>
                                <w:rFonts w:asciiTheme="majorHAnsi" w:eastAsiaTheme="majorEastAsia" w:hAnsiTheme="majorHAnsi" w:cstheme="majorBidi"/>
                                <w:b/>
                                <w:sz w:val="40"/>
                                <w:szCs w:val="44"/>
                              </w:rPr>
                              <w:t xml:space="preserve">INFORME DE COYUNTURA </w:t>
                            </w:r>
                          </w:p>
                          <w:p w14:paraId="19048917"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p>
                          <w:p w14:paraId="5E0BE5E2" w14:textId="77777777" w:rsidR="00C50A6E" w:rsidRPr="00C50A6E" w:rsidRDefault="00C50A6E" w:rsidP="002B6731">
                            <w:pPr>
                              <w:pBdr>
                                <w:left w:val="single" w:sz="4" w:space="9" w:color="4F81BD" w:themeColor="accent1"/>
                              </w:pBdr>
                              <w:rPr>
                                <w:rFonts w:asciiTheme="majorHAnsi" w:eastAsiaTheme="majorEastAsia" w:hAnsiTheme="majorHAnsi" w:cstheme="majorBidi"/>
                                <w:sz w:val="36"/>
                                <w:szCs w:val="44"/>
                              </w:rPr>
                            </w:pPr>
                          </w:p>
                          <w:p w14:paraId="097F0797"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r w:rsidRPr="00C50A6E">
                              <w:rPr>
                                <w:rFonts w:asciiTheme="majorHAnsi" w:eastAsiaTheme="majorEastAsia" w:hAnsiTheme="majorHAnsi" w:cstheme="majorBidi"/>
                                <w:sz w:val="36"/>
                                <w:szCs w:val="44"/>
                              </w:rPr>
                              <w:t xml:space="preserve">Evolución de los sistemas de pensiones </w:t>
                            </w:r>
                          </w:p>
                          <w:p w14:paraId="6952E253"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r w:rsidRPr="00C50A6E">
                              <w:rPr>
                                <w:rFonts w:asciiTheme="majorHAnsi" w:eastAsiaTheme="majorEastAsia" w:hAnsiTheme="majorHAnsi" w:cstheme="majorBidi"/>
                                <w:sz w:val="36"/>
                                <w:szCs w:val="44"/>
                              </w:rPr>
                              <w:t>y situación de los entes supervisados</w:t>
                            </w:r>
                          </w:p>
                          <w:p w14:paraId="2BC18C61"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p>
                          <w:p w14:paraId="3B33333D" w14:textId="795CB80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r w:rsidRPr="00C50A6E">
                              <w:rPr>
                                <w:rFonts w:asciiTheme="majorHAnsi" w:eastAsiaTheme="majorEastAsia" w:hAnsiTheme="majorHAnsi" w:cstheme="majorBidi"/>
                                <w:sz w:val="36"/>
                                <w:szCs w:val="44"/>
                              </w:rPr>
                              <w:t>Tercer Trimestre</w:t>
                            </w:r>
                          </w:p>
                          <w:p w14:paraId="3641885F" w14:textId="77777777" w:rsidR="00C50A6E" w:rsidRPr="00C50A6E" w:rsidRDefault="00C50A6E" w:rsidP="002B6731">
                            <w:pPr>
                              <w:pBdr>
                                <w:left w:val="single" w:sz="4" w:space="9" w:color="4F81BD" w:themeColor="accent1"/>
                              </w:pBdr>
                              <w:jc w:val="center"/>
                              <w:rPr>
                                <w:sz w:val="24"/>
                                <w:szCs w:val="24"/>
                              </w:rPr>
                            </w:pPr>
                            <w:r w:rsidRPr="00C50A6E">
                              <w:rPr>
                                <w:rFonts w:asciiTheme="majorHAnsi" w:eastAsiaTheme="majorEastAsia" w:hAnsiTheme="majorHAnsi" w:cstheme="majorBidi"/>
                                <w:sz w:val="36"/>
                                <w:szCs w:val="44"/>
                              </w:rPr>
                              <w:t>2020</w:t>
                            </w:r>
                          </w:p>
                          <w:p w14:paraId="0B197CDB" w14:textId="77777777" w:rsidR="00C50A6E" w:rsidRPr="00AC2538" w:rsidRDefault="00C50A6E" w:rsidP="002B6731">
                            <w:pPr>
                              <w:pBdr>
                                <w:left w:val="single" w:sz="4" w:space="9" w:color="4F81BD" w:themeColor="accent1"/>
                              </w:pBdr>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6C507AC"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45B637DB" w14:textId="77777777" w:rsidR="00C50A6E" w:rsidRPr="00C26828" w:rsidRDefault="00C50A6E" w:rsidP="002B6731">
                      <w:pPr>
                        <w:pBdr>
                          <w:left w:val="single" w:sz="4" w:space="9" w:color="4F81BD" w:themeColor="accent1"/>
                        </w:pBdr>
                        <w:jc w:val="center"/>
                        <w:rPr>
                          <w:rFonts w:asciiTheme="majorHAnsi" w:eastAsiaTheme="majorEastAsia" w:hAnsiTheme="majorHAnsi" w:cstheme="majorBidi"/>
                          <w:sz w:val="40"/>
                          <w:szCs w:val="40"/>
                        </w:rPr>
                      </w:pPr>
                    </w:p>
                    <w:p w14:paraId="7A89B741" w14:textId="77777777" w:rsidR="00C50A6E" w:rsidRPr="00C26828" w:rsidRDefault="00C50A6E" w:rsidP="002B6731">
                      <w:pPr>
                        <w:pBdr>
                          <w:left w:val="single" w:sz="4" w:space="9" w:color="4F81BD" w:themeColor="accent1"/>
                        </w:pBdr>
                        <w:jc w:val="center"/>
                        <w:rPr>
                          <w:rFonts w:asciiTheme="majorHAnsi" w:eastAsiaTheme="majorEastAsia" w:hAnsiTheme="majorHAnsi" w:cstheme="majorBidi"/>
                          <w:sz w:val="40"/>
                          <w:szCs w:val="40"/>
                        </w:rPr>
                      </w:pPr>
                    </w:p>
                    <w:p w14:paraId="10482BA2" w14:textId="77777777" w:rsidR="00C50A6E" w:rsidRPr="00C26828" w:rsidRDefault="00C50A6E" w:rsidP="002B6731">
                      <w:pPr>
                        <w:pBdr>
                          <w:left w:val="single" w:sz="4" w:space="9" w:color="4F81BD" w:themeColor="accent1"/>
                        </w:pBdr>
                        <w:jc w:val="center"/>
                        <w:rPr>
                          <w:rFonts w:asciiTheme="majorHAnsi" w:eastAsiaTheme="majorEastAsia" w:hAnsiTheme="majorHAnsi" w:cstheme="majorBidi"/>
                          <w:sz w:val="40"/>
                          <w:szCs w:val="40"/>
                        </w:rPr>
                      </w:pPr>
                    </w:p>
                    <w:p w14:paraId="584DB86D"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b/>
                          <w:sz w:val="40"/>
                          <w:szCs w:val="44"/>
                        </w:rPr>
                      </w:pPr>
                      <w:r w:rsidRPr="00C50A6E">
                        <w:rPr>
                          <w:rFonts w:asciiTheme="majorHAnsi" w:eastAsiaTheme="majorEastAsia" w:hAnsiTheme="majorHAnsi" w:cstheme="majorBidi"/>
                          <w:b/>
                          <w:sz w:val="40"/>
                          <w:szCs w:val="44"/>
                        </w:rPr>
                        <w:t>EXTRACTO</w:t>
                      </w:r>
                    </w:p>
                    <w:p w14:paraId="3BBE926F" w14:textId="38A90171" w:rsidR="00C50A6E" w:rsidRPr="00C50A6E" w:rsidRDefault="00C50A6E" w:rsidP="002B6731">
                      <w:pPr>
                        <w:pBdr>
                          <w:left w:val="single" w:sz="4" w:space="9" w:color="4F81BD" w:themeColor="accent1"/>
                        </w:pBdr>
                        <w:jc w:val="center"/>
                        <w:rPr>
                          <w:rFonts w:asciiTheme="majorHAnsi" w:eastAsiaTheme="majorEastAsia" w:hAnsiTheme="majorHAnsi" w:cstheme="majorBidi"/>
                          <w:b/>
                          <w:sz w:val="40"/>
                          <w:szCs w:val="44"/>
                        </w:rPr>
                      </w:pPr>
                      <w:r w:rsidRPr="00C50A6E">
                        <w:rPr>
                          <w:rFonts w:asciiTheme="majorHAnsi" w:eastAsiaTheme="majorEastAsia" w:hAnsiTheme="majorHAnsi" w:cstheme="majorBidi"/>
                          <w:b/>
                          <w:sz w:val="40"/>
                          <w:szCs w:val="44"/>
                        </w:rPr>
                        <w:t xml:space="preserve">INFORME DE COYUNTURA </w:t>
                      </w:r>
                    </w:p>
                    <w:p w14:paraId="19048917"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p>
                    <w:p w14:paraId="5E0BE5E2" w14:textId="77777777" w:rsidR="00C50A6E" w:rsidRPr="00C50A6E" w:rsidRDefault="00C50A6E" w:rsidP="002B6731">
                      <w:pPr>
                        <w:pBdr>
                          <w:left w:val="single" w:sz="4" w:space="9" w:color="4F81BD" w:themeColor="accent1"/>
                        </w:pBdr>
                        <w:rPr>
                          <w:rFonts w:asciiTheme="majorHAnsi" w:eastAsiaTheme="majorEastAsia" w:hAnsiTheme="majorHAnsi" w:cstheme="majorBidi"/>
                          <w:sz w:val="36"/>
                          <w:szCs w:val="44"/>
                        </w:rPr>
                      </w:pPr>
                    </w:p>
                    <w:p w14:paraId="097F0797"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r w:rsidRPr="00C50A6E">
                        <w:rPr>
                          <w:rFonts w:asciiTheme="majorHAnsi" w:eastAsiaTheme="majorEastAsia" w:hAnsiTheme="majorHAnsi" w:cstheme="majorBidi"/>
                          <w:sz w:val="36"/>
                          <w:szCs w:val="44"/>
                        </w:rPr>
                        <w:t xml:space="preserve">Evolución de los sistemas de pensiones </w:t>
                      </w:r>
                    </w:p>
                    <w:p w14:paraId="6952E253"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r w:rsidRPr="00C50A6E">
                        <w:rPr>
                          <w:rFonts w:asciiTheme="majorHAnsi" w:eastAsiaTheme="majorEastAsia" w:hAnsiTheme="majorHAnsi" w:cstheme="majorBidi"/>
                          <w:sz w:val="36"/>
                          <w:szCs w:val="44"/>
                        </w:rPr>
                        <w:t>y situación de los entes supervisados</w:t>
                      </w:r>
                    </w:p>
                    <w:p w14:paraId="2BC18C61" w14:textId="7777777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p>
                    <w:p w14:paraId="3B33333D" w14:textId="795CB807" w:rsidR="00C50A6E" w:rsidRPr="00C50A6E" w:rsidRDefault="00C50A6E" w:rsidP="002B6731">
                      <w:pPr>
                        <w:pBdr>
                          <w:left w:val="single" w:sz="4" w:space="9" w:color="4F81BD" w:themeColor="accent1"/>
                        </w:pBdr>
                        <w:jc w:val="center"/>
                        <w:rPr>
                          <w:rFonts w:asciiTheme="majorHAnsi" w:eastAsiaTheme="majorEastAsia" w:hAnsiTheme="majorHAnsi" w:cstheme="majorBidi"/>
                          <w:sz w:val="36"/>
                          <w:szCs w:val="44"/>
                        </w:rPr>
                      </w:pPr>
                      <w:r w:rsidRPr="00C50A6E">
                        <w:rPr>
                          <w:rFonts w:asciiTheme="majorHAnsi" w:eastAsiaTheme="majorEastAsia" w:hAnsiTheme="majorHAnsi" w:cstheme="majorBidi"/>
                          <w:sz w:val="36"/>
                          <w:szCs w:val="44"/>
                        </w:rPr>
                        <w:t>Tercer Trimestre</w:t>
                      </w:r>
                    </w:p>
                    <w:p w14:paraId="3641885F" w14:textId="77777777" w:rsidR="00C50A6E" w:rsidRPr="00C50A6E" w:rsidRDefault="00C50A6E" w:rsidP="002B6731">
                      <w:pPr>
                        <w:pBdr>
                          <w:left w:val="single" w:sz="4" w:space="9" w:color="4F81BD" w:themeColor="accent1"/>
                        </w:pBdr>
                        <w:jc w:val="center"/>
                        <w:rPr>
                          <w:sz w:val="24"/>
                          <w:szCs w:val="24"/>
                        </w:rPr>
                      </w:pPr>
                      <w:r w:rsidRPr="00C50A6E">
                        <w:rPr>
                          <w:rFonts w:asciiTheme="majorHAnsi" w:eastAsiaTheme="majorEastAsia" w:hAnsiTheme="majorHAnsi" w:cstheme="majorBidi"/>
                          <w:sz w:val="36"/>
                          <w:szCs w:val="44"/>
                        </w:rPr>
                        <w:t>2020</w:t>
                      </w:r>
                    </w:p>
                    <w:p w14:paraId="0B197CDB" w14:textId="77777777" w:rsidR="00C50A6E" w:rsidRPr="00AC2538" w:rsidRDefault="00C50A6E" w:rsidP="002B6731">
                      <w:pPr>
                        <w:pBdr>
                          <w:left w:val="single" w:sz="4" w:space="9" w:color="4F81BD" w:themeColor="accent1"/>
                        </w:pBdr>
                        <w:jc w:val="center"/>
                        <w:rPr>
                          <w:rFonts w:asciiTheme="majorHAnsi" w:eastAsiaTheme="majorEastAsia" w:hAnsiTheme="majorHAnsi" w:cstheme="majorBidi"/>
                          <w:szCs w:val="40"/>
                        </w:rPr>
                      </w:pPr>
                    </w:p>
                  </w:txbxContent>
                </v:textbox>
                <w10:wrap type="square" anchorx="margin"/>
              </v:rect>
            </w:pict>
          </mc:Fallback>
        </mc:AlternateContent>
      </w:r>
    </w:p>
    <w:p w14:paraId="6BD796F4" w14:textId="77777777" w:rsidR="002B6731" w:rsidRPr="00D70332" w:rsidRDefault="002B6731" w:rsidP="002B6731">
      <w:pPr>
        <w:rPr>
          <w:rFonts w:ascii="Segoe UI" w:hAnsi="Segoe UI" w:cs="Segoe UI"/>
        </w:rPr>
      </w:pPr>
    </w:p>
    <w:p w14:paraId="48C6EDB9" w14:textId="77777777" w:rsidR="002B6731" w:rsidRPr="00D70332" w:rsidRDefault="002B6731" w:rsidP="002B6731">
      <w:pPr>
        <w:rPr>
          <w:rFonts w:ascii="Segoe UI" w:hAnsi="Segoe UI" w:cs="Segoe UI"/>
        </w:rPr>
      </w:pPr>
    </w:p>
    <w:p w14:paraId="129ABF61" w14:textId="77777777" w:rsidR="002B6731" w:rsidRPr="00D70332" w:rsidRDefault="002B6731" w:rsidP="002B6731">
      <w:pPr>
        <w:rPr>
          <w:rFonts w:ascii="Segoe UI" w:hAnsi="Segoe UI" w:cs="Segoe UI"/>
        </w:rPr>
      </w:pPr>
    </w:p>
    <w:p w14:paraId="55ACB8AA" w14:textId="77777777" w:rsidR="002B6731" w:rsidRPr="00D70332" w:rsidRDefault="002B6731" w:rsidP="002B6731">
      <w:pPr>
        <w:rPr>
          <w:rFonts w:ascii="Segoe UI" w:hAnsi="Segoe UI" w:cs="Segoe UI"/>
        </w:rPr>
      </w:pPr>
    </w:p>
    <w:p w14:paraId="5E353616" w14:textId="77777777" w:rsidR="002B6731" w:rsidRPr="00D70332" w:rsidRDefault="002B6731" w:rsidP="002B6731">
      <w:pPr>
        <w:rPr>
          <w:rFonts w:ascii="Segoe UI" w:hAnsi="Segoe UI" w:cs="Segoe UI"/>
        </w:rPr>
      </w:pPr>
      <w:r w:rsidRPr="00D70332">
        <w:rPr>
          <w:rFonts w:ascii="Segoe UI" w:hAnsi="Segoe UI" w:cs="Segoe UI"/>
          <w:noProof/>
          <w:lang w:eastAsia="es-ES"/>
        </w:rPr>
        <w:drawing>
          <wp:anchor distT="0" distB="0" distL="114300" distR="114300" simplePos="0" relativeHeight="251658241" behindDoc="1" locked="0" layoutInCell="1" allowOverlap="1" wp14:anchorId="3F9190EF" wp14:editId="4E71F8B7">
            <wp:simplePos x="0" y="0"/>
            <wp:positionH relativeFrom="page">
              <wp:posOffset>161925</wp:posOffset>
            </wp:positionH>
            <wp:positionV relativeFrom="page">
              <wp:posOffset>2381250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3A68CC26" w14:textId="77777777" w:rsidR="002B6731" w:rsidRPr="00D70332" w:rsidRDefault="002B6731" w:rsidP="002B6731">
      <w:pPr>
        <w:rPr>
          <w:rFonts w:ascii="Segoe UI" w:hAnsi="Segoe UI" w:cs="Segoe UI"/>
        </w:rPr>
      </w:pPr>
    </w:p>
    <w:p w14:paraId="263F34D7" w14:textId="77777777" w:rsidR="002B6731" w:rsidRPr="00D70332" w:rsidRDefault="002B6731" w:rsidP="002B6731">
      <w:pPr>
        <w:rPr>
          <w:rFonts w:ascii="Segoe UI" w:hAnsi="Segoe UI" w:cs="Segoe UI"/>
        </w:rPr>
        <w:sectPr w:rsidR="002B6731" w:rsidRPr="00D70332" w:rsidSect="004722B6">
          <w:headerReference w:type="default" r:id="rId12"/>
          <w:footerReference w:type="default" r:id="rId13"/>
          <w:pgSz w:w="12240" w:h="15840"/>
          <w:pgMar w:top="1417" w:right="1701" w:bottom="1417" w:left="1701" w:header="708" w:footer="708" w:gutter="0"/>
          <w:cols w:space="708"/>
          <w:titlePg/>
          <w:docGrid w:linePitch="360"/>
        </w:sectPr>
      </w:pPr>
    </w:p>
    <w:p w14:paraId="61DADDE4" w14:textId="1C501B05" w:rsidR="002B6731" w:rsidRDefault="002B6731" w:rsidP="002B6731">
      <w:pPr>
        <w:jc w:val="center"/>
        <w:rPr>
          <w:rFonts w:ascii="Segoe UI" w:hAnsi="Segoe UI" w:cs="Segoe UI"/>
        </w:rPr>
      </w:pPr>
    </w:p>
    <w:p w14:paraId="48296270" w14:textId="77777777" w:rsidR="00A8066D" w:rsidRPr="00D70332" w:rsidRDefault="00A8066D" w:rsidP="002B6731">
      <w:pPr>
        <w:jc w:val="center"/>
        <w:rPr>
          <w:rFonts w:ascii="Segoe UI" w:hAnsi="Segoe UI" w:cs="Segoe UI"/>
        </w:rPr>
      </w:pPr>
    </w:p>
    <w:p w14:paraId="39E6095F" w14:textId="77777777" w:rsidR="00822F0B" w:rsidRDefault="002B6731" w:rsidP="00C50A6E">
      <w:pPr>
        <w:pStyle w:val="paragraph"/>
        <w:spacing w:line="360" w:lineRule="auto"/>
        <w:jc w:val="both"/>
        <w:textAlignment w:val="baseline"/>
        <w:rPr>
          <w:rStyle w:val="eop"/>
          <w:rFonts w:asciiTheme="minorHAnsi" w:hAnsiTheme="minorHAnsi" w:cs="Segoe UI"/>
          <w:lang w:val="es-ES"/>
        </w:rPr>
      </w:pPr>
      <w:r w:rsidRPr="00C50A6E">
        <w:rPr>
          <w:rStyle w:val="normaltextrun1"/>
          <w:rFonts w:asciiTheme="minorHAnsi" w:hAnsiTheme="minorHAnsi" w:cs="Segoe UI"/>
        </w:rPr>
        <w:t xml:space="preserve">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tgtFrame="_blank" w:history="1">
        <w:r w:rsidRPr="00C50A6E">
          <w:rPr>
            <w:rStyle w:val="normaltextrun1"/>
            <w:rFonts w:asciiTheme="minorHAnsi" w:hAnsiTheme="minorHAnsi" w:cs="Segoe UI"/>
            <w:color w:val="548DD4"/>
            <w:u w:val="single"/>
          </w:rPr>
          <w:t>Supen@Supen.fi.cr</w:t>
        </w:r>
      </w:hyperlink>
      <w:r w:rsidRPr="00C50A6E">
        <w:rPr>
          <w:rStyle w:val="eop"/>
          <w:rFonts w:asciiTheme="minorHAnsi" w:hAnsiTheme="minorHAnsi" w:cs="Segoe UI"/>
          <w:lang w:val="es-ES"/>
        </w:rPr>
        <w:t> </w:t>
      </w:r>
    </w:p>
    <w:p w14:paraId="769A89DA" w14:textId="77777777" w:rsidR="00822F0B" w:rsidRDefault="00822F0B" w:rsidP="00C50A6E">
      <w:pPr>
        <w:pStyle w:val="paragraph"/>
        <w:spacing w:line="360" w:lineRule="auto"/>
        <w:jc w:val="both"/>
        <w:textAlignment w:val="baseline"/>
        <w:rPr>
          <w:rStyle w:val="eop"/>
          <w:rFonts w:asciiTheme="minorHAnsi" w:hAnsiTheme="minorHAnsi" w:cs="Segoe UI"/>
          <w:lang w:val="es-ES"/>
        </w:rPr>
      </w:pPr>
    </w:p>
    <w:p w14:paraId="247F601A" w14:textId="49024193" w:rsidR="005F5DAD" w:rsidRPr="00C50A6E" w:rsidRDefault="005F5DAD" w:rsidP="00C50A6E">
      <w:pPr>
        <w:pStyle w:val="paragraph"/>
        <w:spacing w:line="360" w:lineRule="auto"/>
        <w:jc w:val="both"/>
        <w:textAlignment w:val="baseline"/>
        <w:rPr>
          <w:rStyle w:val="eop"/>
          <w:rFonts w:asciiTheme="minorHAnsi" w:hAnsiTheme="minorHAnsi" w:cs="Segoe UI"/>
          <w:lang w:val="es-ES"/>
        </w:rPr>
      </w:pPr>
      <w:r w:rsidRPr="00C50A6E">
        <w:rPr>
          <w:rStyle w:val="eop"/>
          <w:rFonts w:asciiTheme="minorHAnsi" w:hAnsiTheme="minorHAnsi" w:cs="Segoe UI"/>
          <w:lang w:val="es-ES"/>
        </w:rPr>
        <w:br w:type="page"/>
      </w:r>
    </w:p>
    <w:sdt>
      <w:sdtPr>
        <w:rPr>
          <w:rFonts w:asciiTheme="minorHAnsi" w:eastAsiaTheme="minorHAnsi" w:hAnsiTheme="minorHAnsi" w:cstheme="minorBidi"/>
          <w:color w:val="auto"/>
          <w:sz w:val="22"/>
          <w:szCs w:val="22"/>
          <w:lang w:val="es-ES" w:eastAsia="en-US"/>
        </w:rPr>
        <w:id w:val="1721554443"/>
        <w:docPartObj>
          <w:docPartGallery w:val="Table of Contents"/>
          <w:docPartUnique/>
        </w:docPartObj>
      </w:sdtPr>
      <w:sdtEndPr>
        <w:rPr>
          <w:b/>
          <w:bCs/>
        </w:rPr>
      </w:sdtEndPr>
      <w:sdtContent>
        <w:p w14:paraId="45968AFB" w14:textId="77777777" w:rsidR="00F27883" w:rsidRDefault="00F27883">
          <w:pPr>
            <w:pStyle w:val="TtuloTDC"/>
          </w:pPr>
          <w:r>
            <w:rPr>
              <w:lang w:val="es-ES"/>
            </w:rPr>
            <w:t>Contenido</w:t>
          </w:r>
        </w:p>
        <w:p w14:paraId="09B70D6D" w14:textId="729A2EB8" w:rsidR="00B664C2" w:rsidRDefault="00F27883">
          <w:pPr>
            <w:pStyle w:val="TDC1"/>
            <w:tabs>
              <w:tab w:val="left" w:pos="440"/>
              <w:tab w:val="right" w:leader="dot" w:pos="13278"/>
            </w:tabs>
            <w:rPr>
              <w:rFonts w:cstheme="minorBidi"/>
              <w:noProof/>
            </w:rPr>
          </w:pPr>
          <w:r>
            <w:fldChar w:fldCharType="begin"/>
          </w:r>
          <w:r>
            <w:instrText xml:space="preserve"> TOC \o "1-3" \h \z \u </w:instrText>
          </w:r>
          <w:r>
            <w:fldChar w:fldCharType="separate"/>
          </w:r>
          <w:hyperlink w:anchor="_Toc64039554" w:history="1">
            <w:r w:rsidR="00B664C2" w:rsidRPr="00882B0C">
              <w:rPr>
                <w:rStyle w:val="Hipervnculo"/>
                <w:noProof/>
              </w:rPr>
              <w:t>1.</w:t>
            </w:r>
            <w:r w:rsidR="00B664C2">
              <w:rPr>
                <w:rFonts w:cstheme="minorBidi"/>
                <w:noProof/>
              </w:rPr>
              <w:tab/>
            </w:r>
            <w:r w:rsidR="00B664C2" w:rsidRPr="00882B0C">
              <w:rPr>
                <w:rStyle w:val="Hipervnculo"/>
                <w:noProof/>
              </w:rPr>
              <w:t>Definiciones</w:t>
            </w:r>
            <w:r w:rsidR="00B664C2">
              <w:rPr>
                <w:noProof/>
                <w:webHidden/>
              </w:rPr>
              <w:tab/>
            </w:r>
            <w:r w:rsidR="00B664C2">
              <w:rPr>
                <w:noProof/>
                <w:webHidden/>
              </w:rPr>
              <w:fldChar w:fldCharType="begin"/>
            </w:r>
            <w:r w:rsidR="00B664C2">
              <w:rPr>
                <w:noProof/>
                <w:webHidden/>
              </w:rPr>
              <w:instrText xml:space="preserve"> PAGEREF _Toc64039554 \h </w:instrText>
            </w:r>
            <w:r w:rsidR="00B664C2">
              <w:rPr>
                <w:noProof/>
                <w:webHidden/>
              </w:rPr>
            </w:r>
            <w:r w:rsidR="00B664C2">
              <w:rPr>
                <w:noProof/>
                <w:webHidden/>
              </w:rPr>
              <w:fldChar w:fldCharType="separate"/>
            </w:r>
            <w:r w:rsidR="00B664C2">
              <w:rPr>
                <w:noProof/>
                <w:webHidden/>
              </w:rPr>
              <w:t>4</w:t>
            </w:r>
            <w:r w:rsidR="00B664C2">
              <w:rPr>
                <w:noProof/>
                <w:webHidden/>
              </w:rPr>
              <w:fldChar w:fldCharType="end"/>
            </w:r>
          </w:hyperlink>
        </w:p>
        <w:p w14:paraId="4E8AC824" w14:textId="21DAE4D8" w:rsidR="00B664C2" w:rsidRDefault="00B664C2">
          <w:pPr>
            <w:pStyle w:val="TDC1"/>
            <w:tabs>
              <w:tab w:val="left" w:pos="440"/>
              <w:tab w:val="right" w:leader="dot" w:pos="13278"/>
            </w:tabs>
            <w:rPr>
              <w:rFonts w:cstheme="minorBidi"/>
              <w:noProof/>
            </w:rPr>
          </w:pPr>
          <w:hyperlink w:anchor="_Toc64039555" w:history="1">
            <w:r w:rsidRPr="00882B0C">
              <w:rPr>
                <w:rStyle w:val="Hipervnculo"/>
                <w:noProof/>
              </w:rPr>
              <w:t>2.</w:t>
            </w:r>
            <w:r>
              <w:rPr>
                <w:rFonts w:cstheme="minorBidi"/>
                <w:noProof/>
              </w:rPr>
              <w:tab/>
            </w:r>
            <w:r w:rsidRPr="00882B0C">
              <w:rPr>
                <w:rStyle w:val="Hipervnculo"/>
                <w:noProof/>
              </w:rPr>
              <w:t>Resumen ejecutivo</w:t>
            </w:r>
            <w:r>
              <w:rPr>
                <w:noProof/>
                <w:webHidden/>
              </w:rPr>
              <w:tab/>
            </w:r>
            <w:r>
              <w:rPr>
                <w:noProof/>
                <w:webHidden/>
              </w:rPr>
              <w:fldChar w:fldCharType="begin"/>
            </w:r>
            <w:r>
              <w:rPr>
                <w:noProof/>
                <w:webHidden/>
              </w:rPr>
              <w:instrText xml:space="preserve"> PAGEREF _Toc64039555 \h </w:instrText>
            </w:r>
            <w:r>
              <w:rPr>
                <w:noProof/>
                <w:webHidden/>
              </w:rPr>
            </w:r>
            <w:r>
              <w:rPr>
                <w:noProof/>
                <w:webHidden/>
              </w:rPr>
              <w:fldChar w:fldCharType="separate"/>
            </w:r>
            <w:r>
              <w:rPr>
                <w:noProof/>
                <w:webHidden/>
              </w:rPr>
              <w:t>5</w:t>
            </w:r>
            <w:r>
              <w:rPr>
                <w:noProof/>
                <w:webHidden/>
              </w:rPr>
              <w:fldChar w:fldCharType="end"/>
            </w:r>
          </w:hyperlink>
        </w:p>
        <w:p w14:paraId="3D2CFA19" w14:textId="356CB9CB" w:rsidR="00B664C2" w:rsidRDefault="00B664C2">
          <w:pPr>
            <w:pStyle w:val="TDC1"/>
            <w:tabs>
              <w:tab w:val="left" w:pos="440"/>
              <w:tab w:val="right" w:leader="dot" w:pos="13278"/>
            </w:tabs>
            <w:rPr>
              <w:rFonts w:cstheme="minorBidi"/>
              <w:noProof/>
            </w:rPr>
          </w:pPr>
          <w:hyperlink w:anchor="_Toc64039556" w:history="1">
            <w:r w:rsidRPr="00882B0C">
              <w:rPr>
                <w:rStyle w:val="Hipervnculo"/>
                <w:noProof/>
              </w:rPr>
              <w:t>3.</w:t>
            </w:r>
            <w:r>
              <w:rPr>
                <w:rFonts w:cstheme="minorBidi"/>
                <w:noProof/>
              </w:rPr>
              <w:tab/>
            </w:r>
            <w:r w:rsidRPr="00882B0C">
              <w:rPr>
                <w:rStyle w:val="Hipervnculo"/>
                <w:noProof/>
              </w:rPr>
              <w:t>Introducción</w:t>
            </w:r>
            <w:r>
              <w:rPr>
                <w:noProof/>
                <w:webHidden/>
              </w:rPr>
              <w:tab/>
            </w:r>
            <w:r>
              <w:rPr>
                <w:noProof/>
                <w:webHidden/>
              </w:rPr>
              <w:fldChar w:fldCharType="begin"/>
            </w:r>
            <w:r>
              <w:rPr>
                <w:noProof/>
                <w:webHidden/>
              </w:rPr>
              <w:instrText xml:space="preserve"> PAGEREF _Toc64039556 \h </w:instrText>
            </w:r>
            <w:r>
              <w:rPr>
                <w:noProof/>
                <w:webHidden/>
              </w:rPr>
            </w:r>
            <w:r>
              <w:rPr>
                <w:noProof/>
                <w:webHidden/>
              </w:rPr>
              <w:fldChar w:fldCharType="separate"/>
            </w:r>
            <w:r>
              <w:rPr>
                <w:noProof/>
                <w:webHidden/>
              </w:rPr>
              <w:t>6</w:t>
            </w:r>
            <w:r>
              <w:rPr>
                <w:noProof/>
                <w:webHidden/>
              </w:rPr>
              <w:fldChar w:fldCharType="end"/>
            </w:r>
          </w:hyperlink>
        </w:p>
        <w:p w14:paraId="018375F1" w14:textId="3748F67D" w:rsidR="00B664C2" w:rsidRDefault="00B664C2">
          <w:pPr>
            <w:pStyle w:val="TDC1"/>
            <w:tabs>
              <w:tab w:val="left" w:pos="440"/>
              <w:tab w:val="right" w:leader="dot" w:pos="13278"/>
            </w:tabs>
            <w:rPr>
              <w:rFonts w:cstheme="minorBidi"/>
              <w:noProof/>
            </w:rPr>
          </w:pPr>
          <w:hyperlink w:anchor="_Toc64039557" w:history="1">
            <w:r w:rsidRPr="00882B0C">
              <w:rPr>
                <w:rStyle w:val="Hipervnculo"/>
                <w:noProof/>
              </w:rPr>
              <w:t>4.</w:t>
            </w:r>
            <w:r>
              <w:rPr>
                <w:rFonts w:cstheme="minorBidi"/>
                <w:noProof/>
              </w:rPr>
              <w:tab/>
            </w:r>
            <w:r w:rsidRPr="00882B0C">
              <w:rPr>
                <w:rStyle w:val="Hipervnculo"/>
                <w:noProof/>
              </w:rPr>
              <w:t>Efectos del Covid-19 en los Fondos de pensión</w:t>
            </w:r>
            <w:r>
              <w:rPr>
                <w:noProof/>
                <w:webHidden/>
              </w:rPr>
              <w:tab/>
            </w:r>
            <w:r>
              <w:rPr>
                <w:noProof/>
                <w:webHidden/>
              </w:rPr>
              <w:fldChar w:fldCharType="begin"/>
            </w:r>
            <w:r>
              <w:rPr>
                <w:noProof/>
                <w:webHidden/>
              </w:rPr>
              <w:instrText xml:space="preserve"> PAGEREF _Toc64039557 \h </w:instrText>
            </w:r>
            <w:r>
              <w:rPr>
                <w:noProof/>
                <w:webHidden/>
              </w:rPr>
            </w:r>
            <w:r>
              <w:rPr>
                <w:noProof/>
                <w:webHidden/>
              </w:rPr>
              <w:fldChar w:fldCharType="separate"/>
            </w:r>
            <w:r>
              <w:rPr>
                <w:noProof/>
                <w:webHidden/>
              </w:rPr>
              <w:t>7</w:t>
            </w:r>
            <w:r>
              <w:rPr>
                <w:noProof/>
                <w:webHidden/>
              </w:rPr>
              <w:fldChar w:fldCharType="end"/>
            </w:r>
          </w:hyperlink>
        </w:p>
        <w:p w14:paraId="2B503E66" w14:textId="63826C67" w:rsidR="00B664C2" w:rsidRDefault="00B664C2">
          <w:pPr>
            <w:pStyle w:val="TDC2"/>
            <w:tabs>
              <w:tab w:val="left" w:pos="880"/>
              <w:tab w:val="right" w:leader="dot" w:pos="13278"/>
            </w:tabs>
            <w:rPr>
              <w:rFonts w:cstheme="minorBidi"/>
              <w:noProof/>
            </w:rPr>
          </w:pPr>
          <w:hyperlink w:anchor="_Toc64039558" w:history="1">
            <w:r w:rsidRPr="00882B0C">
              <w:rPr>
                <w:rStyle w:val="Hipervnculo"/>
                <w:noProof/>
              </w:rPr>
              <w:t>4.1.</w:t>
            </w:r>
            <w:r>
              <w:rPr>
                <w:rFonts w:cstheme="minorBidi"/>
                <w:noProof/>
              </w:rPr>
              <w:tab/>
            </w:r>
            <w:r w:rsidRPr="00882B0C">
              <w:rPr>
                <w:rStyle w:val="Hipervnculo"/>
                <w:noProof/>
              </w:rPr>
              <w:t>Efectos en Regímenes de Capitalización Individual</w:t>
            </w:r>
            <w:r>
              <w:rPr>
                <w:noProof/>
                <w:webHidden/>
              </w:rPr>
              <w:tab/>
            </w:r>
            <w:r>
              <w:rPr>
                <w:noProof/>
                <w:webHidden/>
              </w:rPr>
              <w:fldChar w:fldCharType="begin"/>
            </w:r>
            <w:r>
              <w:rPr>
                <w:noProof/>
                <w:webHidden/>
              </w:rPr>
              <w:instrText xml:space="preserve"> PAGEREF _Toc64039558 \h </w:instrText>
            </w:r>
            <w:r>
              <w:rPr>
                <w:noProof/>
                <w:webHidden/>
              </w:rPr>
            </w:r>
            <w:r>
              <w:rPr>
                <w:noProof/>
                <w:webHidden/>
              </w:rPr>
              <w:fldChar w:fldCharType="separate"/>
            </w:r>
            <w:r>
              <w:rPr>
                <w:noProof/>
                <w:webHidden/>
              </w:rPr>
              <w:t>7</w:t>
            </w:r>
            <w:r>
              <w:rPr>
                <w:noProof/>
                <w:webHidden/>
              </w:rPr>
              <w:fldChar w:fldCharType="end"/>
            </w:r>
          </w:hyperlink>
        </w:p>
        <w:p w14:paraId="40768A1A" w14:textId="45C0FD92" w:rsidR="00B664C2" w:rsidRDefault="00B664C2">
          <w:pPr>
            <w:pStyle w:val="TDC3"/>
            <w:tabs>
              <w:tab w:val="left" w:pos="1320"/>
              <w:tab w:val="right" w:leader="dot" w:pos="13278"/>
            </w:tabs>
            <w:rPr>
              <w:rFonts w:cstheme="minorBidi"/>
              <w:noProof/>
            </w:rPr>
          </w:pPr>
          <w:hyperlink w:anchor="_Toc64039559" w:history="1">
            <w:r w:rsidRPr="00882B0C">
              <w:rPr>
                <w:rStyle w:val="Hipervnculo"/>
                <w:noProof/>
              </w:rPr>
              <w:t>4.1.1.</w:t>
            </w:r>
            <w:r>
              <w:rPr>
                <w:rFonts w:cstheme="minorBidi"/>
                <w:noProof/>
              </w:rPr>
              <w:tab/>
            </w:r>
            <w:r w:rsidRPr="00882B0C">
              <w:rPr>
                <w:rStyle w:val="Hipervnculo"/>
                <w:noProof/>
              </w:rPr>
              <w:t>Reactivación del traslado de los recursos de los afiliados entre operadoras</w:t>
            </w:r>
            <w:r>
              <w:rPr>
                <w:noProof/>
                <w:webHidden/>
              </w:rPr>
              <w:tab/>
            </w:r>
            <w:r>
              <w:rPr>
                <w:noProof/>
                <w:webHidden/>
              </w:rPr>
              <w:fldChar w:fldCharType="begin"/>
            </w:r>
            <w:r>
              <w:rPr>
                <w:noProof/>
                <w:webHidden/>
              </w:rPr>
              <w:instrText xml:space="preserve"> PAGEREF _Toc64039559 \h </w:instrText>
            </w:r>
            <w:r>
              <w:rPr>
                <w:noProof/>
                <w:webHidden/>
              </w:rPr>
            </w:r>
            <w:r>
              <w:rPr>
                <w:noProof/>
                <w:webHidden/>
              </w:rPr>
              <w:fldChar w:fldCharType="separate"/>
            </w:r>
            <w:r>
              <w:rPr>
                <w:noProof/>
                <w:webHidden/>
              </w:rPr>
              <w:t>7</w:t>
            </w:r>
            <w:r>
              <w:rPr>
                <w:noProof/>
                <w:webHidden/>
              </w:rPr>
              <w:fldChar w:fldCharType="end"/>
            </w:r>
          </w:hyperlink>
        </w:p>
        <w:p w14:paraId="1E9CCB85" w14:textId="4503C5D9" w:rsidR="00B664C2" w:rsidRDefault="00B664C2">
          <w:pPr>
            <w:pStyle w:val="TDC3"/>
            <w:tabs>
              <w:tab w:val="left" w:pos="1320"/>
              <w:tab w:val="right" w:leader="dot" w:pos="13278"/>
            </w:tabs>
            <w:rPr>
              <w:rFonts w:cstheme="minorBidi"/>
              <w:noProof/>
            </w:rPr>
          </w:pPr>
          <w:hyperlink w:anchor="_Toc64039560" w:history="1">
            <w:r w:rsidRPr="00882B0C">
              <w:rPr>
                <w:rStyle w:val="Hipervnculo"/>
                <w:noProof/>
              </w:rPr>
              <w:t>4.1.2.</w:t>
            </w:r>
            <w:r>
              <w:rPr>
                <w:rFonts w:cstheme="minorBidi"/>
                <w:noProof/>
              </w:rPr>
              <w:tab/>
            </w:r>
            <w:r w:rsidRPr="00882B0C">
              <w:rPr>
                <w:rStyle w:val="Hipervnculo"/>
                <w:noProof/>
              </w:rPr>
              <w:t>Retiros FCL por nuevas causales</w:t>
            </w:r>
            <w:r>
              <w:rPr>
                <w:noProof/>
                <w:webHidden/>
              </w:rPr>
              <w:tab/>
            </w:r>
            <w:r>
              <w:rPr>
                <w:noProof/>
                <w:webHidden/>
              </w:rPr>
              <w:fldChar w:fldCharType="begin"/>
            </w:r>
            <w:r>
              <w:rPr>
                <w:noProof/>
                <w:webHidden/>
              </w:rPr>
              <w:instrText xml:space="preserve"> PAGEREF _Toc64039560 \h </w:instrText>
            </w:r>
            <w:r>
              <w:rPr>
                <w:noProof/>
                <w:webHidden/>
              </w:rPr>
            </w:r>
            <w:r>
              <w:rPr>
                <w:noProof/>
                <w:webHidden/>
              </w:rPr>
              <w:fldChar w:fldCharType="separate"/>
            </w:r>
            <w:r>
              <w:rPr>
                <w:noProof/>
                <w:webHidden/>
              </w:rPr>
              <w:t>8</w:t>
            </w:r>
            <w:r>
              <w:rPr>
                <w:noProof/>
                <w:webHidden/>
              </w:rPr>
              <w:fldChar w:fldCharType="end"/>
            </w:r>
          </w:hyperlink>
        </w:p>
        <w:p w14:paraId="003874CD" w14:textId="2884623A" w:rsidR="00B664C2" w:rsidRDefault="00B664C2">
          <w:pPr>
            <w:pStyle w:val="TDC3"/>
            <w:tabs>
              <w:tab w:val="left" w:pos="1320"/>
              <w:tab w:val="right" w:leader="dot" w:pos="13278"/>
            </w:tabs>
            <w:rPr>
              <w:rFonts w:cstheme="minorBidi"/>
              <w:noProof/>
            </w:rPr>
          </w:pPr>
          <w:hyperlink w:anchor="_Toc64039561" w:history="1">
            <w:r w:rsidRPr="00882B0C">
              <w:rPr>
                <w:rStyle w:val="Hipervnculo"/>
                <w:noProof/>
              </w:rPr>
              <w:t>4.1.3.</w:t>
            </w:r>
            <w:r>
              <w:rPr>
                <w:rFonts w:cstheme="minorBidi"/>
                <w:noProof/>
              </w:rPr>
              <w:tab/>
            </w:r>
            <w:r w:rsidRPr="00882B0C">
              <w:rPr>
                <w:rStyle w:val="Hipervnculo"/>
                <w:noProof/>
              </w:rPr>
              <w:t>Impacto en la recaudación del ROP y FCL</w:t>
            </w:r>
            <w:r>
              <w:rPr>
                <w:noProof/>
                <w:webHidden/>
              </w:rPr>
              <w:tab/>
            </w:r>
            <w:r>
              <w:rPr>
                <w:noProof/>
                <w:webHidden/>
              </w:rPr>
              <w:fldChar w:fldCharType="begin"/>
            </w:r>
            <w:r>
              <w:rPr>
                <w:noProof/>
                <w:webHidden/>
              </w:rPr>
              <w:instrText xml:space="preserve"> PAGEREF _Toc64039561 \h </w:instrText>
            </w:r>
            <w:r>
              <w:rPr>
                <w:noProof/>
                <w:webHidden/>
              </w:rPr>
            </w:r>
            <w:r>
              <w:rPr>
                <w:noProof/>
                <w:webHidden/>
              </w:rPr>
              <w:fldChar w:fldCharType="separate"/>
            </w:r>
            <w:r>
              <w:rPr>
                <w:noProof/>
                <w:webHidden/>
              </w:rPr>
              <w:t>8</w:t>
            </w:r>
            <w:r>
              <w:rPr>
                <w:noProof/>
                <w:webHidden/>
              </w:rPr>
              <w:fldChar w:fldCharType="end"/>
            </w:r>
          </w:hyperlink>
        </w:p>
        <w:p w14:paraId="10E59AE4" w14:textId="44B5EE13" w:rsidR="00B664C2" w:rsidRDefault="00B664C2">
          <w:pPr>
            <w:pStyle w:val="TDC2"/>
            <w:tabs>
              <w:tab w:val="left" w:pos="880"/>
              <w:tab w:val="right" w:leader="dot" w:pos="13278"/>
            </w:tabs>
            <w:rPr>
              <w:rFonts w:cstheme="minorBidi"/>
              <w:noProof/>
            </w:rPr>
          </w:pPr>
          <w:hyperlink w:anchor="_Toc64039562" w:history="1">
            <w:r w:rsidRPr="00882B0C">
              <w:rPr>
                <w:rStyle w:val="Hipervnculo"/>
                <w:noProof/>
              </w:rPr>
              <w:t>4.2.</w:t>
            </w:r>
            <w:r>
              <w:rPr>
                <w:rFonts w:cstheme="minorBidi"/>
                <w:noProof/>
              </w:rPr>
              <w:tab/>
            </w:r>
            <w:r w:rsidRPr="00882B0C">
              <w:rPr>
                <w:rStyle w:val="Hipervnculo"/>
                <w:noProof/>
              </w:rPr>
              <w:t>Efectos y acciones tomadas en Regímenes de Capitalización Colectiva</w:t>
            </w:r>
            <w:r>
              <w:rPr>
                <w:noProof/>
                <w:webHidden/>
              </w:rPr>
              <w:tab/>
            </w:r>
            <w:r>
              <w:rPr>
                <w:noProof/>
                <w:webHidden/>
              </w:rPr>
              <w:fldChar w:fldCharType="begin"/>
            </w:r>
            <w:r>
              <w:rPr>
                <w:noProof/>
                <w:webHidden/>
              </w:rPr>
              <w:instrText xml:space="preserve"> PAGEREF _Toc64039562 \h </w:instrText>
            </w:r>
            <w:r>
              <w:rPr>
                <w:noProof/>
                <w:webHidden/>
              </w:rPr>
            </w:r>
            <w:r>
              <w:rPr>
                <w:noProof/>
                <w:webHidden/>
              </w:rPr>
              <w:fldChar w:fldCharType="separate"/>
            </w:r>
            <w:r>
              <w:rPr>
                <w:noProof/>
                <w:webHidden/>
              </w:rPr>
              <w:t>9</w:t>
            </w:r>
            <w:r>
              <w:rPr>
                <w:noProof/>
                <w:webHidden/>
              </w:rPr>
              <w:fldChar w:fldCharType="end"/>
            </w:r>
          </w:hyperlink>
        </w:p>
        <w:p w14:paraId="5373DC11" w14:textId="3EDD51A8" w:rsidR="00B664C2" w:rsidRDefault="00B664C2">
          <w:pPr>
            <w:pStyle w:val="TDC1"/>
            <w:tabs>
              <w:tab w:val="left" w:pos="440"/>
              <w:tab w:val="right" w:leader="dot" w:pos="13278"/>
            </w:tabs>
            <w:rPr>
              <w:rFonts w:cstheme="minorBidi"/>
              <w:noProof/>
            </w:rPr>
          </w:pPr>
          <w:hyperlink w:anchor="_Toc64039563" w:history="1">
            <w:r w:rsidRPr="00882B0C">
              <w:rPr>
                <w:rStyle w:val="Hipervnculo"/>
                <w:noProof/>
              </w:rPr>
              <w:t>5.</w:t>
            </w:r>
            <w:r>
              <w:rPr>
                <w:rFonts w:cstheme="minorBidi"/>
                <w:noProof/>
              </w:rPr>
              <w:tab/>
            </w:r>
            <w:r w:rsidRPr="00882B0C">
              <w:rPr>
                <w:rStyle w:val="Hipervnculo"/>
                <w:noProof/>
              </w:rPr>
              <w:t>Estadísticas</w:t>
            </w:r>
            <w:r>
              <w:rPr>
                <w:noProof/>
                <w:webHidden/>
              </w:rPr>
              <w:tab/>
            </w:r>
            <w:r>
              <w:rPr>
                <w:noProof/>
                <w:webHidden/>
              </w:rPr>
              <w:fldChar w:fldCharType="begin"/>
            </w:r>
            <w:r>
              <w:rPr>
                <w:noProof/>
                <w:webHidden/>
              </w:rPr>
              <w:instrText xml:space="preserve"> PAGEREF _Toc64039563 \h </w:instrText>
            </w:r>
            <w:r>
              <w:rPr>
                <w:noProof/>
                <w:webHidden/>
              </w:rPr>
            </w:r>
            <w:r>
              <w:rPr>
                <w:noProof/>
                <w:webHidden/>
              </w:rPr>
              <w:fldChar w:fldCharType="separate"/>
            </w:r>
            <w:r>
              <w:rPr>
                <w:noProof/>
                <w:webHidden/>
              </w:rPr>
              <w:t>11</w:t>
            </w:r>
            <w:r>
              <w:rPr>
                <w:noProof/>
                <w:webHidden/>
              </w:rPr>
              <w:fldChar w:fldCharType="end"/>
            </w:r>
          </w:hyperlink>
        </w:p>
        <w:p w14:paraId="1ECE6C13" w14:textId="41498457" w:rsidR="00B664C2" w:rsidRDefault="00B664C2">
          <w:pPr>
            <w:pStyle w:val="TDC2"/>
            <w:tabs>
              <w:tab w:val="left" w:pos="880"/>
              <w:tab w:val="right" w:leader="dot" w:pos="13278"/>
            </w:tabs>
            <w:rPr>
              <w:rFonts w:cstheme="minorBidi"/>
              <w:noProof/>
            </w:rPr>
          </w:pPr>
          <w:hyperlink w:anchor="_Toc64039564" w:history="1">
            <w:r w:rsidRPr="00882B0C">
              <w:rPr>
                <w:rStyle w:val="Hipervnculo"/>
                <w:noProof/>
              </w:rPr>
              <w:t>5.1.</w:t>
            </w:r>
            <w:r>
              <w:rPr>
                <w:rFonts w:cstheme="minorBidi"/>
                <w:noProof/>
              </w:rPr>
              <w:tab/>
            </w:r>
            <w:r w:rsidRPr="00882B0C">
              <w:rPr>
                <w:rStyle w:val="Hipervnculo"/>
                <w:noProof/>
              </w:rPr>
              <w:t>Sistema Nacional de Pensiones</w:t>
            </w:r>
            <w:r>
              <w:rPr>
                <w:noProof/>
                <w:webHidden/>
              </w:rPr>
              <w:tab/>
            </w:r>
            <w:r>
              <w:rPr>
                <w:noProof/>
                <w:webHidden/>
              </w:rPr>
              <w:fldChar w:fldCharType="begin"/>
            </w:r>
            <w:r>
              <w:rPr>
                <w:noProof/>
                <w:webHidden/>
              </w:rPr>
              <w:instrText xml:space="preserve"> PAGEREF _Toc64039564 \h </w:instrText>
            </w:r>
            <w:r>
              <w:rPr>
                <w:noProof/>
                <w:webHidden/>
              </w:rPr>
            </w:r>
            <w:r>
              <w:rPr>
                <w:noProof/>
                <w:webHidden/>
              </w:rPr>
              <w:fldChar w:fldCharType="separate"/>
            </w:r>
            <w:r>
              <w:rPr>
                <w:noProof/>
                <w:webHidden/>
              </w:rPr>
              <w:t>11</w:t>
            </w:r>
            <w:r>
              <w:rPr>
                <w:noProof/>
                <w:webHidden/>
              </w:rPr>
              <w:fldChar w:fldCharType="end"/>
            </w:r>
          </w:hyperlink>
        </w:p>
        <w:p w14:paraId="7014D02B" w14:textId="0D44E80B" w:rsidR="00B664C2" w:rsidRDefault="00B664C2">
          <w:pPr>
            <w:pStyle w:val="TDC2"/>
            <w:tabs>
              <w:tab w:val="left" w:pos="880"/>
              <w:tab w:val="right" w:leader="dot" w:pos="13278"/>
            </w:tabs>
            <w:rPr>
              <w:rFonts w:cstheme="minorBidi"/>
              <w:noProof/>
            </w:rPr>
          </w:pPr>
          <w:hyperlink w:anchor="_Toc64039565" w:history="1">
            <w:r w:rsidRPr="00882B0C">
              <w:rPr>
                <w:rStyle w:val="Hipervnculo"/>
                <w:noProof/>
              </w:rPr>
              <w:t>5.2.</w:t>
            </w:r>
            <w:r>
              <w:rPr>
                <w:rFonts w:cstheme="minorBidi"/>
                <w:noProof/>
              </w:rPr>
              <w:tab/>
            </w:r>
            <w:r w:rsidRPr="00882B0C">
              <w:rPr>
                <w:rStyle w:val="Hipervnculo"/>
                <w:noProof/>
              </w:rPr>
              <w:t>Activos administrados</w:t>
            </w:r>
            <w:r>
              <w:rPr>
                <w:noProof/>
                <w:webHidden/>
              </w:rPr>
              <w:tab/>
            </w:r>
            <w:r>
              <w:rPr>
                <w:noProof/>
                <w:webHidden/>
              </w:rPr>
              <w:fldChar w:fldCharType="begin"/>
            </w:r>
            <w:r>
              <w:rPr>
                <w:noProof/>
                <w:webHidden/>
              </w:rPr>
              <w:instrText xml:space="preserve"> PAGEREF _Toc64039565 \h </w:instrText>
            </w:r>
            <w:r>
              <w:rPr>
                <w:noProof/>
                <w:webHidden/>
              </w:rPr>
            </w:r>
            <w:r>
              <w:rPr>
                <w:noProof/>
                <w:webHidden/>
              </w:rPr>
              <w:fldChar w:fldCharType="separate"/>
            </w:r>
            <w:r>
              <w:rPr>
                <w:noProof/>
                <w:webHidden/>
              </w:rPr>
              <w:t>12</w:t>
            </w:r>
            <w:r>
              <w:rPr>
                <w:noProof/>
                <w:webHidden/>
              </w:rPr>
              <w:fldChar w:fldCharType="end"/>
            </w:r>
          </w:hyperlink>
        </w:p>
        <w:p w14:paraId="6982F575" w14:textId="5DDBEEEA" w:rsidR="00B664C2" w:rsidRDefault="00B664C2">
          <w:pPr>
            <w:pStyle w:val="TDC2"/>
            <w:tabs>
              <w:tab w:val="left" w:pos="880"/>
              <w:tab w:val="right" w:leader="dot" w:pos="13278"/>
            </w:tabs>
            <w:rPr>
              <w:rFonts w:cstheme="minorBidi"/>
              <w:noProof/>
            </w:rPr>
          </w:pPr>
          <w:hyperlink w:anchor="_Toc64039566" w:history="1">
            <w:r w:rsidRPr="00882B0C">
              <w:rPr>
                <w:rStyle w:val="Hipervnculo"/>
                <w:noProof/>
              </w:rPr>
              <w:t>5.3.</w:t>
            </w:r>
            <w:r>
              <w:rPr>
                <w:rFonts w:cstheme="minorBidi"/>
                <w:noProof/>
              </w:rPr>
              <w:tab/>
            </w:r>
            <w:r w:rsidRPr="00882B0C">
              <w:rPr>
                <w:rStyle w:val="Hipervnculo"/>
                <w:noProof/>
              </w:rPr>
              <w:t>Inversiones</w:t>
            </w:r>
            <w:r>
              <w:rPr>
                <w:noProof/>
                <w:webHidden/>
              </w:rPr>
              <w:tab/>
            </w:r>
            <w:r>
              <w:rPr>
                <w:noProof/>
                <w:webHidden/>
              </w:rPr>
              <w:fldChar w:fldCharType="begin"/>
            </w:r>
            <w:r>
              <w:rPr>
                <w:noProof/>
                <w:webHidden/>
              </w:rPr>
              <w:instrText xml:space="preserve"> PAGEREF _Toc64039566 \h </w:instrText>
            </w:r>
            <w:r>
              <w:rPr>
                <w:noProof/>
                <w:webHidden/>
              </w:rPr>
            </w:r>
            <w:r>
              <w:rPr>
                <w:noProof/>
                <w:webHidden/>
              </w:rPr>
              <w:fldChar w:fldCharType="separate"/>
            </w:r>
            <w:r>
              <w:rPr>
                <w:noProof/>
                <w:webHidden/>
              </w:rPr>
              <w:t>13</w:t>
            </w:r>
            <w:r>
              <w:rPr>
                <w:noProof/>
                <w:webHidden/>
              </w:rPr>
              <w:fldChar w:fldCharType="end"/>
            </w:r>
          </w:hyperlink>
        </w:p>
        <w:p w14:paraId="600F82D0" w14:textId="3BB35F14" w:rsidR="00B664C2" w:rsidRDefault="00B664C2">
          <w:pPr>
            <w:pStyle w:val="TDC2"/>
            <w:tabs>
              <w:tab w:val="left" w:pos="880"/>
              <w:tab w:val="right" w:leader="dot" w:pos="13278"/>
            </w:tabs>
            <w:rPr>
              <w:rFonts w:cstheme="minorBidi"/>
              <w:noProof/>
            </w:rPr>
          </w:pPr>
          <w:hyperlink w:anchor="_Toc64039567" w:history="1">
            <w:r w:rsidRPr="00882B0C">
              <w:rPr>
                <w:rStyle w:val="Hipervnculo"/>
                <w:noProof/>
              </w:rPr>
              <w:t>5.4.</w:t>
            </w:r>
            <w:r>
              <w:rPr>
                <w:rFonts w:cstheme="minorBidi"/>
                <w:noProof/>
              </w:rPr>
              <w:tab/>
            </w:r>
            <w:r w:rsidRPr="00882B0C">
              <w:rPr>
                <w:rStyle w:val="Hipervnculo"/>
                <w:noProof/>
              </w:rPr>
              <w:t>Rentabilidad</w:t>
            </w:r>
            <w:r>
              <w:rPr>
                <w:noProof/>
                <w:webHidden/>
              </w:rPr>
              <w:tab/>
            </w:r>
            <w:r>
              <w:rPr>
                <w:noProof/>
                <w:webHidden/>
              </w:rPr>
              <w:fldChar w:fldCharType="begin"/>
            </w:r>
            <w:r>
              <w:rPr>
                <w:noProof/>
                <w:webHidden/>
              </w:rPr>
              <w:instrText xml:space="preserve"> PAGEREF _Toc64039567 \h </w:instrText>
            </w:r>
            <w:r>
              <w:rPr>
                <w:noProof/>
                <w:webHidden/>
              </w:rPr>
            </w:r>
            <w:r>
              <w:rPr>
                <w:noProof/>
                <w:webHidden/>
              </w:rPr>
              <w:fldChar w:fldCharType="separate"/>
            </w:r>
            <w:r>
              <w:rPr>
                <w:noProof/>
                <w:webHidden/>
              </w:rPr>
              <w:t>15</w:t>
            </w:r>
            <w:r>
              <w:rPr>
                <w:noProof/>
                <w:webHidden/>
              </w:rPr>
              <w:fldChar w:fldCharType="end"/>
            </w:r>
          </w:hyperlink>
        </w:p>
        <w:p w14:paraId="4E1A4253" w14:textId="2DB3450D" w:rsidR="00B664C2" w:rsidRDefault="00B664C2">
          <w:pPr>
            <w:pStyle w:val="TDC2"/>
            <w:tabs>
              <w:tab w:val="right" w:leader="dot" w:pos="13278"/>
            </w:tabs>
            <w:rPr>
              <w:rFonts w:cstheme="minorBidi"/>
              <w:noProof/>
            </w:rPr>
          </w:pPr>
          <w:hyperlink w:anchor="_Toc64039568" w:history="1">
            <w:r w:rsidRPr="00882B0C">
              <w:rPr>
                <w:rStyle w:val="Hipervnculo"/>
                <w:i/>
                <w:iCs/>
                <w:noProof/>
              </w:rPr>
              <w:t>Eurobonos de Costa Rica</w:t>
            </w:r>
            <w:r>
              <w:rPr>
                <w:noProof/>
                <w:webHidden/>
              </w:rPr>
              <w:tab/>
            </w:r>
            <w:r>
              <w:rPr>
                <w:noProof/>
                <w:webHidden/>
              </w:rPr>
              <w:fldChar w:fldCharType="begin"/>
            </w:r>
            <w:r>
              <w:rPr>
                <w:noProof/>
                <w:webHidden/>
              </w:rPr>
              <w:instrText xml:space="preserve"> PAGEREF _Toc64039568 \h </w:instrText>
            </w:r>
            <w:r>
              <w:rPr>
                <w:noProof/>
                <w:webHidden/>
              </w:rPr>
            </w:r>
            <w:r>
              <w:rPr>
                <w:noProof/>
                <w:webHidden/>
              </w:rPr>
              <w:fldChar w:fldCharType="separate"/>
            </w:r>
            <w:r>
              <w:rPr>
                <w:noProof/>
                <w:webHidden/>
              </w:rPr>
              <w:t>17</w:t>
            </w:r>
            <w:r>
              <w:rPr>
                <w:noProof/>
                <w:webHidden/>
              </w:rPr>
              <w:fldChar w:fldCharType="end"/>
            </w:r>
          </w:hyperlink>
        </w:p>
        <w:p w14:paraId="606F3F0B" w14:textId="34937644" w:rsidR="00B664C2" w:rsidRDefault="00B664C2">
          <w:pPr>
            <w:pStyle w:val="TDC1"/>
            <w:tabs>
              <w:tab w:val="left" w:pos="440"/>
              <w:tab w:val="right" w:leader="dot" w:pos="13278"/>
            </w:tabs>
            <w:rPr>
              <w:rFonts w:cstheme="minorBidi"/>
              <w:noProof/>
            </w:rPr>
          </w:pPr>
          <w:hyperlink w:anchor="_Toc64039569" w:history="1">
            <w:r w:rsidRPr="00882B0C">
              <w:rPr>
                <w:rStyle w:val="Hipervnculo"/>
                <w:noProof/>
              </w:rPr>
              <w:t>6.</w:t>
            </w:r>
            <w:r>
              <w:rPr>
                <w:rFonts w:cstheme="minorBidi"/>
                <w:noProof/>
              </w:rPr>
              <w:tab/>
            </w:r>
            <w:r w:rsidRPr="00882B0C">
              <w:rPr>
                <w:rStyle w:val="Hipervnculo"/>
                <w:noProof/>
              </w:rPr>
              <w:t>Proyectos de Ley</w:t>
            </w:r>
            <w:r>
              <w:rPr>
                <w:noProof/>
                <w:webHidden/>
              </w:rPr>
              <w:tab/>
            </w:r>
            <w:r>
              <w:rPr>
                <w:noProof/>
                <w:webHidden/>
              </w:rPr>
              <w:fldChar w:fldCharType="begin"/>
            </w:r>
            <w:r>
              <w:rPr>
                <w:noProof/>
                <w:webHidden/>
              </w:rPr>
              <w:instrText xml:space="preserve"> PAGEREF _Toc64039569 \h </w:instrText>
            </w:r>
            <w:r>
              <w:rPr>
                <w:noProof/>
                <w:webHidden/>
              </w:rPr>
            </w:r>
            <w:r>
              <w:rPr>
                <w:noProof/>
                <w:webHidden/>
              </w:rPr>
              <w:fldChar w:fldCharType="separate"/>
            </w:r>
            <w:r>
              <w:rPr>
                <w:noProof/>
                <w:webHidden/>
              </w:rPr>
              <w:t>18</w:t>
            </w:r>
            <w:r>
              <w:rPr>
                <w:noProof/>
                <w:webHidden/>
              </w:rPr>
              <w:fldChar w:fldCharType="end"/>
            </w:r>
          </w:hyperlink>
        </w:p>
        <w:p w14:paraId="26D2817C" w14:textId="10E4EC0F" w:rsidR="00B664C2" w:rsidRDefault="00B664C2">
          <w:pPr>
            <w:pStyle w:val="TDC2"/>
            <w:tabs>
              <w:tab w:val="right" w:leader="dot" w:pos="13278"/>
            </w:tabs>
            <w:rPr>
              <w:rFonts w:cstheme="minorBidi"/>
              <w:noProof/>
            </w:rPr>
          </w:pPr>
          <w:hyperlink w:anchor="_Toc64039570" w:history="1">
            <w:r w:rsidRPr="00882B0C">
              <w:rPr>
                <w:rStyle w:val="Hipervnculo"/>
                <w:i/>
                <w:iCs/>
                <w:noProof/>
              </w:rPr>
              <w:t>Decreto Legislativo N° 9906</w:t>
            </w:r>
            <w:r>
              <w:rPr>
                <w:noProof/>
                <w:webHidden/>
              </w:rPr>
              <w:tab/>
            </w:r>
            <w:r>
              <w:rPr>
                <w:noProof/>
                <w:webHidden/>
              </w:rPr>
              <w:fldChar w:fldCharType="begin"/>
            </w:r>
            <w:r>
              <w:rPr>
                <w:noProof/>
                <w:webHidden/>
              </w:rPr>
              <w:instrText xml:space="preserve"> PAGEREF _Toc64039570 \h </w:instrText>
            </w:r>
            <w:r>
              <w:rPr>
                <w:noProof/>
                <w:webHidden/>
              </w:rPr>
            </w:r>
            <w:r>
              <w:rPr>
                <w:noProof/>
                <w:webHidden/>
              </w:rPr>
              <w:fldChar w:fldCharType="separate"/>
            </w:r>
            <w:r>
              <w:rPr>
                <w:noProof/>
                <w:webHidden/>
              </w:rPr>
              <w:t>20</w:t>
            </w:r>
            <w:r>
              <w:rPr>
                <w:noProof/>
                <w:webHidden/>
              </w:rPr>
              <w:fldChar w:fldCharType="end"/>
            </w:r>
          </w:hyperlink>
        </w:p>
        <w:p w14:paraId="74BE2884" w14:textId="0A464E40" w:rsidR="00B664C2" w:rsidRDefault="00B664C2">
          <w:pPr>
            <w:pStyle w:val="TDC1"/>
            <w:tabs>
              <w:tab w:val="left" w:pos="440"/>
              <w:tab w:val="right" w:leader="dot" w:pos="13278"/>
            </w:tabs>
            <w:rPr>
              <w:rFonts w:cstheme="minorBidi"/>
              <w:noProof/>
            </w:rPr>
          </w:pPr>
          <w:hyperlink w:anchor="_Toc64039571" w:history="1">
            <w:r w:rsidRPr="00882B0C">
              <w:rPr>
                <w:rStyle w:val="Hipervnculo"/>
                <w:noProof/>
              </w:rPr>
              <w:t>7.</w:t>
            </w:r>
            <w:r>
              <w:rPr>
                <w:rFonts w:cstheme="minorBidi"/>
                <w:noProof/>
              </w:rPr>
              <w:tab/>
            </w:r>
            <w:r w:rsidRPr="00882B0C">
              <w:rPr>
                <w:rStyle w:val="Hipervnculo"/>
                <w:noProof/>
              </w:rPr>
              <w:t>Acuerdos del Superintendente</w:t>
            </w:r>
            <w:r>
              <w:rPr>
                <w:noProof/>
                <w:webHidden/>
              </w:rPr>
              <w:tab/>
            </w:r>
            <w:r>
              <w:rPr>
                <w:noProof/>
                <w:webHidden/>
              </w:rPr>
              <w:fldChar w:fldCharType="begin"/>
            </w:r>
            <w:r>
              <w:rPr>
                <w:noProof/>
                <w:webHidden/>
              </w:rPr>
              <w:instrText xml:space="preserve"> PAGEREF _Toc64039571 \h </w:instrText>
            </w:r>
            <w:r>
              <w:rPr>
                <w:noProof/>
                <w:webHidden/>
              </w:rPr>
            </w:r>
            <w:r>
              <w:rPr>
                <w:noProof/>
                <w:webHidden/>
              </w:rPr>
              <w:fldChar w:fldCharType="separate"/>
            </w:r>
            <w:r>
              <w:rPr>
                <w:noProof/>
                <w:webHidden/>
              </w:rPr>
              <w:t>21</w:t>
            </w:r>
            <w:r>
              <w:rPr>
                <w:noProof/>
                <w:webHidden/>
              </w:rPr>
              <w:fldChar w:fldCharType="end"/>
            </w:r>
          </w:hyperlink>
        </w:p>
        <w:p w14:paraId="7847027B" w14:textId="1580CFF8" w:rsidR="00F27883" w:rsidRDefault="00F27883">
          <w:r>
            <w:rPr>
              <w:b/>
              <w:bCs/>
            </w:rPr>
            <w:fldChar w:fldCharType="end"/>
          </w:r>
        </w:p>
      </w:sdtContent>
    </w:sdt>
    <w:p w14:paraId="0EB41BB8" w14:textId="77777777" w:rsidR="003735BC" w:rsidRDefault="003735BC">
      <w:pPr>
        <w:rPr>
          <w:rFonts w:asciiTheme="majorHAnsi" w:eastAsiaTheme="majorEastAsia" w:hAnsiTheme="majorHAnsi" w:cstheme="majorBidi"/>
          <w:color w:val="365F91" w:themeColor="accent1" w:themeShade="BF"/>
          <w:sz w:val="32"/>
          <w:szCs w:val="32"/>
        </w:rPr>
      </w:pPr>
      <w:r>
        <w:br w:type="page"/>
      </w:r>
    </w:p>
    <w:p w14:paraId="16FA3203" w14:textId="50C41DB2" w:rsidR="00C01A6B" w:rsidRDefault="00C01A6B" w:rsidP="00C570BE">
      <w:pPr>
        <w:pStyle w:val="Ttulo1"/>
        <w:numPr>
          <w:ilvl w:val="0"/>
          <w:numId w:val="1"/>
        </w:numPr>
      </w:pPr>
      <w:bookmarkStart w:id="1" w:name="_Toc64039554"/>
      <w:r>
        <w:t>Definiciones</w:t>
      </w:r>
      <w:bookmarkEnd w:id="1"/>
    </w:p>
    <w:p w14:paraId="72E2B118" w14:textId="77777777" w:rsidR="008C0B7D" w:rsidRPr="004D0DCE" w:rsidRDefault="008C0B7D" w:rsidP="008C0B7D">
      <w:pPr>
        <w:spacing w:after="0" w:line="240" w:lineRule="auto"/>
        <w:jc w:val="both"/>
        <w:rPr>
          <w:rFonts w:ascii="Calibri" w:eastAsia="Times New Roman" w:hAnsi="Calibri" w:cs="Calibri"/>
          <w:b/>
          <w:bCs/>
          <w:color w:val="000000"/>
          <w:lang w:val="es-CR" w:eastAsia="es-CR"/>
        </w:rPr>
      </w:pPr>
      <w:r w:rsidRPr="004D0DCE">
        <w:rPr>
          <w:rFonts w:ascii="Calibri" w:eastAsia="Times New Roman" w:hAnsi="Calibri" w:cs="Calibri"/>
          <w:b/>
          <w:bCs/>
          <w:color w:val="000000"/>
          <w:lang w:val="es-CR" w:eastAsia="es-CR"/>
        </w:rPr>
        <w:t>Para efectos de este reporte se utilizarán las definiciones y abreviaturas que se indican a continuación:</w:t>
      </w:r>
    </w:p>
    <w:p w14:paraId="0CF147A3" w14:textId="0AE257C7" w:rsidR="00E5576F" w:rsidRPr="00A8066D" w:rsidRDefault="00E5576F"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BCCR: Banco Central de Costa Rica</w:t>
      </w:r>
    </w:p>
    <w:p w14:paraId="3EFE1A08" w14:textId="3511F503" w:rsidR="00547456" w:rsidRPr="00A8066D" w:rsidRDefault="00547456"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BPDC: Banco Popular y de Desarrollo Comunal</w:t>
      </w:r>
    </w:p>
    <w:p w14:paraId="04635814" w14:textId="6D3BC949"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Bomberos: Fondo de Pensiones y Jubilaciones para los miembros del Benemérito Cuerpo de Bomberos de Costa Rica</w:t>
      </w:r>
    </w:p>
    <w:p w14:paraId="72369D40" w14:textId="15E78090"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CCSS: Caja Costarricense del Seguro Social</w:t>
      </w:r>
    </w:p>
    <w:p w14:paraId="09D77264" w14:textId="1BA90C33" w:rsidR="00F00A87" w:rsidRPr="00A8066D" w:rsidRDefault="00F00A87"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CONASSIF: Consejo Nacional de Supervisión Financiera</w:t>
      </w:r>
    </w:p>
    <w:p w14:paraId="3F45B367" w14:textId="7C89F16B" w:rsidR="00F37BE9" w:rsidRPr="00A8066D" w:rsidRDefault="00F37BE9"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 xml:space="preserve">DST: Dirección de </w:t>
      </w:r>
      <w:r w:rsidR="00E5576F" w:rsidRPr="00A8066D">
        <w:rPr>
          <w:rFonts w:ascii="Calibri" w:eastAsia="Times New Roman" w:hAnsi="Calibri" w:cs="Calibri"/>
          <w:color w:val="000000"/>
          <w:lang w:val="es-CR" w:eastAsia="es-CR"/>
        </w:rPr>
        <w:t>Servicios Tecnológicos del BCCR</w:t>
      </w:r>
    </w:p>
    <w:p w14:paraId="52FF951A" w14:textId="53006927" w:rsidR="008E2F6D" w:rsidRPr="00A8066D" w:rsidRDefault="008E2F6D"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 xml:space="preserve">ETF: Exchange </w:t>
      </w:r>
      <w:proofErr w:type="spellStart"/>
      <w:r w:rsidRPr="00A8066D">
        <w:rPr>
          <w:rFonts w:ascii="Calibri" w:eastAsia="Times New Roman" w:hAnsi="Calibri" w:cs="Calibri"/>
          <w:color w:val="000000"/>
          <w:lang w:val="es-CR" w:eastAsia="es-CR"/>
        </w:rPr>
        <w:t>Traded</w:t>
      </w:r>
      <w:proofErr w:type="spellEnd"/>
      <w:r w:rsidRPr="00A8066D">
        <w:rPr>
          <w:rFonts w:ascii="Calibri" w:eastAsia="Times New Roman" w:hAnsi="Calibri" w:cs="Calibri"/>
          <w:color w:val="000000"/>
          <w:lang w:val="es-CR" w:eastAsia="es-CR"/>
        </w:rPr>
        <w:t xml:space="preserve"> Fund</w:t>
      </w:r>
    </w:p>
    <w:p w14:paraId="343BA3FA"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FBCR: Fondo de Jubilaciones de los Empleados del Banco de Costa Rica</w:t>
      </w:r>
    </w:p>
    <w:p w14:paraId="6F0E6DE2" w14:textId="76B0A76D"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FBNCR: Fondo de Garantías y Jubilaciones de Empleados del Banco Nacional de Costa Rica.</w:t>
      </w:r>
    </w:p>
    <w:p w14:paraId="179A5C8F"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FCL: Fondo de capitalización laboral</w:t>
      </w:r>
    </w:p>
    <w:p w14:paraId="17DD8B54"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FGN: Fondo de Garantía Notarial</w:t>
      </w:r>
    </w:p>
    <w:p w14:paraId="2936E3E4" w14:textId="7213F303"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FICE: Fondo de Garantías y Ahorro de Empleados del Instituto Costarricense de Electricidad</w:t>
      </w:r>
    </w:p>
    <w:p w14:paraId="39D17B85" w14:textId="5A799B8F"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FICT: Fondo de Empleados del Instituto Costarricense de Turismo</w:t>
      </w:r>
    </w:p>
    <w:p w14:paraId="347C610D"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FPJ: Fondo de Jubilaciones y Pensiones del Poder Judicial.</w:t>
      </w:r>
    </w:p>
    <w:p w14:paraId="22A4115B"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FRE: Fondo de Retiro de los Empleados de la Caja Costarricense de Seguro Social.</w:t>
      </w:r>
    </w:p>
    <w:p w14:paraId="0B3A9D8A"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FVENLOT: Fondo de Jubilaciones y Pensiones de los Vendedores de Lotería.</w:t>
      </w:r>
    </w:p>
    <w:p w14:paraId="62BA6390" w14:textId="77777777" w:rsidR="00E716A6" w:rsidRPr="00A8066D" w:rsidRDefault="00E716A6"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INEC: I</w:t>
      </w:r>
      <w:r w:rsidR="00F31D6E" w:rsidRPr="00A8066D">
        <w:rPr>
          <w:rFonts w:ascii="Calibri" w:eastAsia="Times New Roman" w:hAnsi="Calibri" w:cs="Calibri"/>
          <w:color w:val="000000"/>
          <w:lang w:val="es-CR" w:eastAsia="es-CR"/>
        </w:rPr>
        <w:t>nstituto Nacional de Estadística y Censos</w:t>
      </w:r>
    </w:p>
    <w:p w14:paraId="238A8081" w14:textId="77777777" w:rsidR="00681C9F" w:rsidRPr="00A8066D" w:rsidRDefault="00681C9F"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JUPEMA: Junta de Pensiones del Magisterio Nacional</w:t>
      </w:r>
    </w:p>
    <w:p w14:paraId="13708BA4"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 xml:space="preserve">LPT: </w:t>
      </w:r>
      <w:bookmarkStart w:id="2" w:name="_Hlk55162105"/>
      <w:r w:rsidRPr="00A8066D">
        <w:rPr>
          <w:rFonts w:ascii="Calibri" w:eastAsia="Times New Roman" w:hAnsi="Calibri" w:cs="Calibri"/>
          <w:color w:val="000000"/>
          <w:lang w:val="es-CR" w:eastAsia="es-CR"/>
        </w:rPr>
        <w:t>Ley de Protección al trabajador</w:t>
      </w:r>
      <w:bookmarkEnd w:id="2"/>
    </w:p>
    <w:p w14:paraId="5FA9BD96" w14:textId="77777777" w:rsidR="00202EB9" w:rsidRPr="00A8066D" w:rsidRDefault="00202EB9"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MS</w:t>
      </w:r>
      <w:r w:rsidR="00AE2E8F" w:rsidRPr="00A8066D">
        <w:rPr>
          <w:rFonts w:ascii="Calibri" w:eastAsia="Times New Roman" w:hAnsi="Calibri" w:cs="Calibri"/>
          <w:color w:val="000000"/>
          <w:lang w:val="es-CR" w:eastAsia="es-CR"/>
        </w:rPr>
        <w:t xml:space="preserve">ER Modelo de supervisión y evaluación de riesgos </w:t>
      </w:r>
    </w:p>
    <w:p w14:paraId="0DDB0760" w14:textId="366E358A"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 xml:space="preserve">OPC: Operadoras de pensiones </w:t>
      </w:r>
      <w:r w:rsidR="007D617A" w:rsidRPr="00A8066D">
        <w:rPr>
          <w:rFonts w:ascii="Calibri" w:eastAsia="Times New Roman" w:hAnsi="Calibri" w:cs="Calibri"/>
          <w:color w:val="000000"/>
          <w:lang w:val="es-CR" w:eastAsia="es-CR"/>
        </w:rPr>
        <w:t>complementarias</w:t>
      </w:r>
    </w:p>
    <w:p w14:paraId="26B6A639" w14:textId="77777777" w:rsidR="00EA3529" w:rsidRPr="00A8066D" w:rsidRDefault="00EA3529"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PIB: Producto Interno Bruto</w:t>
      </w:r>
    </w:p>
    <w:p w14:paraId="4813A2F6" w14:textId="5B7AD270"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RCCMN: Régimen de Capitalización Colectiva del Sistema de Pensiones y Jubilaciones del Magisterio Nacional</w:t>
      </w:r>
    </w:p>
    <w:p w14:paraId="2FF6C33A" w14:textId="29A5DF78" w:rsidR="007A4DB7" w:rsidRPr="00A8066D" w:rsidRDefault="007A4DB7"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RIVM: Régimen de Invalidez, Vejez y Muerte de la CCSS</w:t>
      </w:r>
    </w:p>
    <w:p w14:paraId="515B0F89" w14:textId="098052C9"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ROP: Régimen Obligatorios de Pensiones Complementario</w:t>
      </w:r>
    </w:p>
    <w:p w14:paraId="1AF48E1D" w14:textId="0A16BDF1" w:rsidR="000A0944" w:rsidRPr="00A8066D" w:rsidRDefault="000A0944"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 xml:space="preserve">SICERE: Sistema Centralizado de Recaudación </w:t>
      </w:r>
    </w:p>
    <w:p w14:paraId="2D6FEE29" w14:textId="77777777" w:rsidR="000E7D3E" w:rsidRPr="00A8066D"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SNP: Sistema Nacional de Pensiones</w:t>
      </w:r>
    </w:p>
    <w:p w14:paraId="08B117CB" w14:textId="0A528F4C" w:rsidR="00AE417E" w:rsidRPr="00A8066D" w:rsidRDefault="000E7D3E" w:rsidP="00A8066D">
      <w:pPr>
        <w:pStyle w:val="Prrafodelista"/>
        <w:numPr>
          <w:ilvl w:val="0"/>
          <w:numId w:val="2"/>
        </w:numPr>
        <w:spacing w:after="0" w:line="240" w:lineRule="auto"/>
        <w:jc w:val="both"/>
        <w:rPr>
          <w:rFonts w:ascii="Calibri" w:eastAsia="Times New Roman" w:hAnsi="Calibri" w:cs="Calibri"/>
          <w:color w:val="000000"/>
          <w:lang w:val="es-CR" w:eastAsia="es-CR"/>
        </w:rPr>
      </w:pPr>
      <w:r w:rsidRPr="00A8066D">
        <w:rPr>
          <w:rFonts w:ascii="Calibri" w:eastAsia="Times New Roman" w:hAnsi="Calibri" w:cs="Calibri"/>
          <w:color w:val="000000"/>
          <w:lang w:val="es-CR" w:eastAsia="es-CR"/>
        </w:rPr>
        <w:t>SUPEN: Superintendencia de Pensiones, órgano de desconcentración máxima del Banco Central de Costa Rica</w:t>
      </w:r>
      <w:r w:rsidR="00AE417E">
        <w:br w:type="page"/>
      </w:r>
    </w:p>
    <w:p w14:paraId="0CEA86E3" w14:textId="77777777" w:rsidR="002B6731" w:rsidRDefault="00394DBE" w:rsidP="00C570BE">
      <w:pPr>
        <w:pStyle w:val="Ttulo1"/>
        <w:numPr>
          <w:ilvl w:val="0"/>
          <w:numId w:val="1"/>
        </w:numPr>
      </w:pPr>
      <w:bookmarkStart w:id="3" w:name="_Toc64039555"/>
      <w:r>
        <w:t>Resumen ejecutivo</w:t>
      </w:r>
      <w:bookmarkEnd w:id="3"/>
    </w:p>
    <w:p w14:paraId="1C457886" w14:textId="77777777" w:rsidR="00512A6F" w:rsidRPr="00C50A6E" w:rsidRDefault="00512A6F" w:rsidP="00512A6F">
      <w:pPr>
        <w:spacing w:after="0" w:line="240" w:lineRule="auto"/>
        <w:jc w:val="both"/>
        <w:rPr>
          <w:rFonts w:ascii="Calibri" w:eastAsia="Times New Roman" w:hAnsi="Calibri" w:cs="Calibri"/>
          <w:color w:val="000000"/>
          <w:sz w:val="24"/>
          <w:szCs w:val="24"/>
          <w:lang w:val="es-CR" w:eastAsia="es-CR"/>
        </w:rPr>
      </w:pPr>
    </w:p>
    <w:p w14:paraId="302D8027" w14:textId="647D3910" w:rsidR="00512A6F" w:rsidRPr="00C50A6E" w:rsidRDefault="00512A6F" w:rsidP="004D0DCE">
      <w:pPr>
        <w:spacing w:after="0"/>
        <w:jc w:val="both"/>
        <w:rPr>
          <w:sz w:val="24"/>
          <w:szCs w:val="24"/>
        </w:rPr>
      </w:pPr>
      <w:r w:rsidRPr="00C50A6E">
        <w:rPr>
          <w:sz w:val="24"/>
          <w:szCs w:val="24"/>
        </w:rPr>
        <w:t xml:space="preserve">El Sistema Nacional de Pensiones (SNP) y el Fondo de Capitalización Laboral (FCL) administran recursos, a </w:t>
      </w:r>
      <w:r w:rsidR="005D0281" w:rsidRPr="00C50A6E">
        <w:rPr>
          <w:sz w:val="24"/>
          <w:szCs w:val="24"/>
        </w:rPr>
        <w:t xml:space="preserve">setiembre </w:t>
      </w:r>
      <w:r w:rsidRPr="00C50A6E">
        <w:rPr>
          <w:sz w:val="24"/>
          <w:szCs w:val="24"/>
        </w:rPr>
        <w:t xml:space="preserve">del 2020, que totalizan </w:t>
      </w:r>
      <w:bookmarkStart w:id="4" w:name="_Hlk48293175"/>
      <w:r w:rsidRPr="00C50A6E">
        <w:rPr>
          <w:sz w:val="24"/>
          <w:szCs w:val="24"/>
        </w:rPr>
        <w:t>₡</w:t>
      </w:r>
      <w:bookmarkEnd w:id="4"/>
      <w:r w:rsidRPr="00C50A6E">
        <w:rPr>
          <w:sz w:val="24"/>
          <w:szCs w:val="24"/>
        </w:rPr>
        <w:t>16,</w:t>
      </w:r>
      <w:r w:rsidR="00C73B02" w:rsidRPr="00C50A6E">
        <w:rPr>
          <w:sz w:val="24"/>
          <w:szCs w:val="24"/>
        </w:rPr>
        <w:t>7</w:t>
      </w:r>
      <w:r w:rsidRPr="00C50A6E">
        <w:rPr>
          <w:sz w:val="24"/>
          <w:szCs w:val="24"/>
        </w:rPr>
        <w:t xml:space="preserve"> billones, </w:t>
      </w:r>
      <w:r w:rsidR="00256911" w:rsidRPr="00C50A6E">
        <w:rPr>
          <w:sz w:val="24"/>
          <w:szCs w:val="24"/>
        </w:rPr>
        <w:t>equivalentes</w:t>
      </w:r>
      <w:r w:rsidRPr="00C50A6E">
        <w:rPr>
          <w:sz w:val="24"/>
          <w:szCs w:val="24"/>
        </w:rPr>
        <w:t xml:space="preserve"> al </w:t>
      </w:r>
      <w:r w:rsidR="00C73B02" w:rsidRPr="00C50A6E">
        <w:rPr>
          <w:sz w:val="24"/>
          <w:szCs w:val="24"/>
        </w:rPr>
        <w:t>47,4</w:t>
      </w:r>
      <w:r w:rsidRPr="00C50A6E">
        <w:rPr>
          <w:sz w:val="24"/>
          <w:szCs w:val="24"/>
        </w:rPr>
        <w:t xml:space="preserve">% del Producto Interno Bruto (PIB). El crecimiento durante los primeros </w:t>
      </w:r>
      <w:r w:rsidR="0052001A" w:rsidRPr="00C50A6E">
        <w:rPr>
          <w:sz w:val="24"/>
          <w:szCs w:val="24"/>
        </w:rPr>
        <w:t>nueve</w:t>
      </w:r>
      <w:r w:rsidRPr="00C50A6E">
        <w:rPr>
          <w:sz w:val="24"/>
          <w:szCs w:val="24"/>
        </w:rPr>
        <w:t xml:space="preserve"> meses del año ha sido del </w:t>
      </w:r>
      <w:r w:rsidR="0052001A" w:rsidRPr="00C50A6E">
        <w:rPr>
          <w:sz w:val="24"/>
          <w:szCs w:val="24"/>
        </w:rPr>
        <w:t>8,</w:t>
      </w:r>
      <w:r w:rsidR="00A63BF6" w:rsidRPr="00C50A6E">
        <w:rPr>
          <w:sz w:val="24"/>
          <w:szCs w:val="24"/>
        </w:rPr>
        <w:t>4</w:t>
      </w:r>
      <w:r w:rsidRPr="00C50A6E">
        <w:rPr>
          <w:sz w:val="24"/>
          <w:szCs w:val="24"/>
        </w:rPr>
        <w:t xml:space="preserve">%, </w:t>
      </w:r>
      <w:r w:rsidR="00EF5E48" w:rsidRPr="00C50A6E">
        <w:rPr>
          <w:sz w:val="24"/>
          <w:szCs w:val="24"/>
        </w:rPr>
        <w:t xml:space="preserve">menor </w:t>
      </w:r>
      <w:r w:rsidRPr="00C50A6E">
        <w:rPr>
          <w:sz w:val="24"/>
          <w:szCs w:val="24"/>
        </w:rPr>
        <w:t xml:space="preserve">en comparación con el crecimiento promedio anual de los últimos 10 años que ronda el 13,9%. </w:t>
      </w:r>
    </w:p>
    <w:p w14:paraId="28571691" w14:textId="300984F4" w:rsidR="0052001A" w:rsidRPr="00C50A6E" w:rsidRDefault="0052001A" w:rsidP="004D0DCE">
      <w:pPr>
        <w:spacing w:after="0"/>
        <w:jc w:val="both"/>
        <w:rPr>
          <w:sz w:val="24"/>
          <w:szCs w:val="24"/>
          <w:highlight w:val="yellow"/>
        </w:rPr>
      </w:pPr>
    </w:p>
    <w:p w14:paraId="1EBD3398" w14:textId="3AE1EEE0" w:rsidR="00252FBB" w:rsidRPr="00C50A6E" w:rsidRDefault="00512A6F" w:rsidP="004D0DCE">
      <w:pPr>
        <w:spacing w:after="0"/>
        <w:jc w:val="both"/>
        <w:rPr>
          <w:rFonts w:ascii="Calibri" w:eastAsia="Times New Roman" w:hAnsi="Calibri" w:cs="Calibri"/>
          <w:color w:val="000000"/>
          <w:sz w:val="24"/>
          <w:szCs w:val="24"/>
          <w:lang w:val="es-CR" w:eastAsia="es-CR"/>
        </w:rPr>
      </w:pPr>
      <w:r w:rsidRPr="00C50A6E">
        <w:rPr>
          <w:rFonts w:ascii="Calibri" w:eastAsia="Times New Roman" w:hAnsi="Calibri" w:cs="Calibri"/>
          <w:color w:val="000000" w:themeColor="text1"/>
          <w:sz w:val="24"/>
          <w:szCs w:val="24"/>
          <w:lang w:val="es-CR" w:eastAsia="es-CR"/>
        </w:rPr>
        <w:t xml:space="preserve">A partir de marzo vemos </w:t>
      </w:r>
      <w:r w:rsidR="0039020E" w:rsidRPr="00C50A6E">
        <w:rPr>
          <w:rFonts w:ascii="Calibri" w:eastAsia="Times New Roman" w:hAnsi="Calibri" w:cs="Calibri"/>
          <w:color w:val="000000" w:themeColor="text1"/>
          <w:sz w:val="24"/>
          <w:szCs w:val="24"/>
          <w:lang w:val="es-CR" w:eastAsia="es-CR"/>
        </w:rPr>
        <w:t xml:space="preserve">los efectos </w:t>
      </w:r>
      <w:r w:rsidR="0088082D" w:rsidRPr="00C50A6E">
        <w:rPr>
          <w:rFonts w:ascii="Calibri" w:eastAsia="Times New Roman" w:hAnsi="Calibri" w:cs="Calibri"/>
          <w:color w:val="000000" w:themeColor="text1"/>
          <w:sz w:val="24"/>
          <w:szCs w:val="24"/>
          <w:lang w:val="es-CR" w:eastAsia="es-CR"/>
        </w:rPr>
        <w:t>provocadas</w:t>
      </w:r>
      <w:r w:rsidR="00790B90" w:rsidRPr="00C50A6E">
        <w:rPr>
          <w:rFonts w:ascii="Calibri" w:eastAsia="Times New Roman" w:hAnsi="Calibri" w:cs="Calibri"/>
          <w:color w:val="000000" w:themeColor="text1"/>
          <w:sz w:val="24"/>
          <w:szCs w:val="24"/>
          <w:lang w:val="es-CR" w:eastAsia="es-CR"/>
        </w:rPr>
        <w:t xml:space="preserve"> </w:t>
      </w:r>
      <w:r w:rsidRPr="00C50A6E">
        <w:rPr>
          <w:rFonts w:ascii="Calibri" w:eastAsia="Times New Roman" w:hAnsi="Calibri" w:cs="Calibri"/>
          <w:color w:val="000000" w:themeColor="text1"/>
          <w:sz w:val="24"/>
          <w:szCs w:val="24"/>
          <w:lang w:val="es-CR" w:eastAsia="es-CR"/>
        </w:rPr>
        <w:t>por el COVID19,</w:t>
      </w:r>
      <w:r w:rsidR="00461010" w:rsidRPr="00C50A6E">
        <w:rPr>
          <w:rFonts w:ascii="Calibri" w:eastAsia="Times New Roman" w:hAnsi="Calibri" w:cs="Calibri"/>
          <w:color w:val="000000" w:themeColor="text1"/>
          <w:sz w:val="24"/>
          <w:szCs w:val="24"/>
          <w:lang w:val="es-CR" w:eastAsia="es-CR"/>
        </w:rPr>
        <w:t xml:space="preserve"> </w:t>
      </w:r>
      <w:r w:rsidR="008B06A0" w:rsidRPr="00C50A6E">
        <w:rPr>
          <w:rFonts w:ascii="Calibri" w:eastAsia="Times New Roman" w:hAnsi="Calibri" w:cs="Calibri"/>
          <w:color w:val="000000" w:themeColor="text1"/>
          <w:sz w:val="24"/>
          <w:szCs w:val="24"/>
          <w:lang w:val="es-CR" w:eastAsia="es-CR"/>
        </w:rPr>
        <w:t>en</w:t>
      </w:r>
      <w:r w:rsidR="008D24A1" w:rsidRPr="00C50A6E">
        <w:rPr>
          <w:rFonts w:ascii="Calibri" w:eastAsia="Times New Roman" w:hAnsi="Calibri" w:cs="Calibri"/>
          <w:color w:val="000000" w:themeColor="text1"/>
          <w:sz w:val="24"/>
          <w:szCs w:val="24"/>
          <w:lang w:val="es-CR" w:eastAsia="es-CR"/>
        </w:rPr>
        <w:t xml:space="preserve"> la actividad económica,</w:t>
      </w:r>
      <w:r w:rsidR="008B06A0" w:rsidRPr="00C50A6E">
        <w:rPr>
          <w:rFonts w:ascii="Calibri" w:eastAsia="Times New Roman" w:hAnsi="Calibri" w:cs="Calibri"/>
          <w:color w:val="000000" w:themeColor="text1"/>
          <w:sz w:val="24"/>
          <w:szCs w:val="24"/>
          <w:lang w:val="es-CR" w:eastAsia="es-CR"/>
        </w:rPr>
        <w:t xml:space="preserve"> el </w:t>
      </w:r>
      <w:r w:rsidR="008D24A1" w:rsidRPr="00C50A6E">
        <w:rPr>
          <w:rFonts w:ascii="Calibri" w:eastAsia="Times New Roman" w:hAnsi="Calibri" w:cs="Calibri"/>
          <w:color w:val="000000" w:themeColor="text1"/>
          <w:sz w:val="24"/>
          <w:szCs w:val="24"/>
          <w:lang w:val="es-CR" w:eastAsia="es-CR"/>
        </w:rPr>
        <w:t xml:space="preserve">empleo y </w:t>
      </w:r>
      <w:r w:rsidR="00C42973" w:rsidRPr="00C50A6E">
        <w:rPr>
          <w:rFonts w:ascii="Calibri" w:eastAsia="Times New Roman" w:hAnsi="Calibri" w:cs="Calibri"/>
          <w:color w:val="000000" w:themeColor="text1"/>
          <w:sz w:val="24"/>
          <w:szCs w:val="24"/>
          <w:lang w:val="es-CR" w:eastAsia="es-CR"/>
        </w:rPr>
        <w:t xml:space="preserve">los mercados financieros. Como primera consecuencia, </w:t>
      </w:r>
      <w:r w:rsidR="00440C42" w:rsidRPr="00C50A6E">
        <w:rPr>
          <w:rFonts w:ascii="Calibri" w:eastAsia="Times New Roman" w:hAnsi="Calibri" w:cs="Calibri"/>
          <w:color w:val="000000" w:themeColor="text1"/>
          <w:sz w:val="24"/>
          <w:szCs w:val="24"/>
          <w:lang w:val="es-CR" w:eastAsia="es-CR"/>
        </w:rPr>
        <w:t>ha generado una reducción en la recaudación en los</w:t>
      </w:r>
      <w:r w:rsidR="00C42973" w:rsidRPr="00C50A6E">
        <w:rPr>
          <w:rFonts w:ascii="Calibri" w:eastAsia="Times New Roman" w:hAnsi="Calibri" w:cs="Calibri"/>
          <w:color w:val="000000" w:themeColor="text1"/>
          <w:sz w:val="24"/>
          <w:szCs w:val="24"/>
          <w:lang w:val="es-CR" w:eastAsia="es-CR"/>
        </w:rPr>
        <w:t xml:space="preserve"> </w:t>
      </w:r>
      <w:r w:rsidR="00AB3BF7" w:rsidRPr="00C50A6E">
        <w:rPr>
          <w:rFonts w:ascii="Calibri" w:eastAsia="Times New Roman" w:hAnsi="Calibri" w:cs="Calibri"/>
          <w:color w:val="000000" w:themeColor="text1"/>
          <w:sz w:val="24"/>
          <w:szCs w:val="24"/>
          <w:lang w:val="es-CR" w:eastAsia="es-CR"/>
        </w:rPr>
        <w:t>fondos de pensiones</w:t>
      </w:r>
      <w:r w:rsidR="00790B90" w:rsidRPr="00C50A6E">
        <w:rPr>
          <w:rFonts w:ascii="Calibri" w:eastAsia="Times New Roman" w:hAnsi="Calibri" w:cs="Calibri"/>
          <w:color w:val="000000" w:themeColor="text1"/>
          <w:sz w:val="24"/>
          <w:szCs w:val="24"/>
          <w:lang w:val="es-CR" w:eastAsia="es-CR"/>
        </w:rPr>
        <w:t>,</w:t>
      </w:r>
      <w:r w:rsidR="003E7728" w:rsidRPr="00C50A6E">
        <w:rPr>
          <w:rFonts w:ascii="Calibri" w:eastAsia="Times New Roman" w:hAnsi="Calibri" w:cs="Calibri"/>
          <w:color w:val="000000" w:themeColor="text1"/>
          <w:sz w:val="24"/>
          <w:szCs w:val="24"/>
          <w:lang w:val="es-CR" w:eastAsia="es-CR"/>
        </w:rPr>
        <w:t xml:space="preserve"> principalmente por la di</w:t>
      </w:r>
      <w:r w:rsidR="004944B8" w:rsidRPr="00C50A6E">
        <w:rPr>
          <w:rFonts w:ascii="Calibri" w:eastAsia="Times New Roman" w:hAnsi="Calibri" w:cs="Calibri"/>
          <w:color w:val="000000" w:themeColor="text1"/>
          <w:sz w:val="24"/>
          <w:szCs w:val="24"/>
          <w:lang w:val="es-CR" w:eastAsia="es-CR"/>
        </w:rPr>
        <w:t>s</w:t>
      </w:r>
      <w:r w:rsidR="003E7728" w:rsidRPr="00C50A6E">
        <w:rPr>
          <w:rFonts w:ascii="Calibri" w:eastAsia="Times New Roman" w:hAnsi="Calibri" w:cs="Calibri"/>
          <w:color w:val="000000" w:themeColor="text1"/>
          <w:sz w:val="24"/>
          <w:szCs w:val="24"/>
          <w:lang w:val="es-CR" w:eastAsia="es-CR"/>
        </w:rPr>
        <w:t>minución en los aportes de los afiliados</w:t>
      </w:r>
      <w:r w:rsidR="00D71234" w:rsidRPr="00C50A6E">
        <w:rPr>
          <w:rFonts w:ascii="Calibri" w:eastAsia="Times New Roman" w:hAnsi="Calibri" w:cs="Calibri"/>
          <w:color w:val="000000" w:themeColor="text1"/>
          <w:sz w:val="24"/>
          <w:szCs w:val="24"/>
          <w:lang w:val="es-CR" w:eastAsia="es-CR"/>
        </w:rPr>
        <w:t>.</w:t>
      </w:r>
      <w:r w:rsidR="00600150" w:rsidRPr="00C50A6E">
        <w:rPr>
          <w:rFonts w:ascii="Calibri" w:eastAsia="Times New Roman" w:hAnsi="Calibri" w:cs="Calibri"/>
          <w:color w:val="000000" w:themeColor="text1"/>
          <w:sz w:val="24"/>
          <w:szCs w:val="24"/>
          <w:lang w:val="es-CR" w:eastAsia="es-CR"/>
        </w:rPr>
        <w:t xml:space="preserve"> Se </w:t>
      </w:r>
      <w:r w:rsidR="00080E72" w:rsidRPr="00C50A6E">
        <w:rPr>
          <w:rFonts w:ascii="Calibri" w:eastAsia="Times New Roman" w:hAnsi="Calibri" w:cs="Calibri"/>
          <w:color w:val="000000" w:themeColor="text1"/>
          <w:sz w:val="24"/>
          <w:szCs w:val="24"/>
          <w:lang w:val="es-CR" w:eastAsia="es-CR"/>
        </w:rPr>
        <w:t>continúan presentando</w:t>
      </w:r>
      <w:r w:rsidR="00D71234" w:rsidRPr="00C50A6E">
        <w:rPr>
          <w:rFonts w:ascii="Calibri" w:eastAsia="Times New Roman" w:hAnsi="Calibri" w:cs="Calibri"/>
          <w:color w:val="000000" w:themeColor="text1"/>
          <w:sz w:val="24"/>
          <w:szCs w:val="24"/>
          <w:lang w:val="es-CR" w:eastAsia="es-CR"/>
        </w:rPr>
        <w:t xml:space="preserve"> situaciones </w:t>
      </w:r>
      <w:r w:rsidR="0047684A" w:rsidRPr="00C50A6E">
        <w:rPr>
          <w:rFonts w:ascii="Calibri" w:eastAsia="Times New Roman" w:hAnsi="Calibri" w:cs="Calibri"/>
          <w:color w:val="000000" w:themeColor="text1"/>
          <w:sz w:val="24"/>
          <w:szCs w:val="24"/>
          <w:lang w:val="es-CR" w:eastAsia="es-CR"/>
        </w:rPr>
        <w:t>inéditas</w:t>
      </w:r>
      <w:r w:rsidR="00D71234" w:rsidRPr="00C50A6E">
        <w:rPr>
          <w:rFonts w:ascii="Calibri" w:eastAsia="Times New Roman" w:hAnsi="Calibri" w:cs="Calibri"/>
          <w:color w:val="000000" w:themeColor="text1"/>
          <w:sz w:val="24"/>
          <w:szCs w:val="24"/>
          <w:lang w:val="es-CR" w:eastAsia="es-CR"/>
        </w:rPr>
        <w:t xml:space="preserve"> en los fondos como </w:t>
      </w:r>
      <w:r w:rsidR="000F319B" w:rsidRPr="00C50A6E">
        <w:rPr>
          <w:rFonts w:ascii="Calibri" w:eastAsia="Times New Roman" w:hAnsi="Calibri" w:cs="Calibri"/>
          <w:color w:val="000000" w:themeColor="text1"/>
          <w:sz w:val="24"/>
          <w:szCs w:val="24"/>
          <w:lang w:val="es-CR" w:eastAsia="es-CR"/>
        </w:rPr>
        <w:t xml:space="preserve">la suspensión </w:t>
      </w:r>
      <w:r w:rsidR="00D434DD" w:rsidRPr="00C50A6E">
        <w:rPr>
          <w:rFonts w:ascii="Calibri" w:eastAsia="Times New Roman" w:hAnsi="Calibri" w:cs="Calibri"/>
          <w:color w:val="000000" w:themeColor="text1"/>
          <w:sz w:val="24"/>
          <w:szCs w:val="24"/>
          <w:lang w:val="es-CR" w:eastAsia="es-CR"/>
        </w:rPr>
        <w:t xml:space="preserve">y reactivación </w:t>
      </w:r>
      <w:r w:rsidR="000F319B" w:rsidRPr="00C50A6E">
        <w:rPr>
          <w:rFonts w:ascii="Calibri" w:eastAsia="Times New Roman" w:hAnsi="Calibri" w:cs="Calibri"/>
          <w:color w:val="000000" w:themeColor="text1"/>
          <w:sz w:val="24"/>
          <w:szCs w:val="24"/>
          <w:lang w:val="es-CR" w:eastAsia="es-CR"/>
        </w:rPr>
        <w:t>de los traslados de recursos entre operadoras por</w:t>
      </w:r>
      <w:r w:rsidR="007B4A4A" w:rsidRPr="00C50A6E">
        <w:rPr>
          <w:rFonts w:ascii="Calibri" w:eastAsia="Times New Roman" w:hAnsi="Calibri" w:cs="Calibri"/>
          <w:color w:val="000000" w:themeColor="text1"/>
          <w:sz w:val="24"/>
          <w:szCs w:val="24"/>
          <w:lang w:val="es-CR" w:eastAsia="es-CR"/>
        </w:rPr>
        <w:t xml:space="preserve"> la suspensión de la</w:t>
      </w:r>
      <w:r w:rsidR="000F319B" w:rsidRPr="00C50A6E">
        <w:rPr>
          <w:rFonts w:ascii="Calibri" w:eastAsia="Times New Roman" w:hAnsi="Calibri" w:cs="Calibri"/>
          <w:color w:val="000000" w:themeColor="text1"/>
          <w:sz w:val="24"/>
          <w:szCs w:val="24"/>
          <w:lang w:val="es-CR" w:eastAsia="es-CR"/>
        </w:rPr>
        <w:t xml:space="preserve"> libre transferencia, los retiros</w:t>
      </w:r>
      <w:r w:rsidR="00592873" w:rsidRPr="00C50A6E">
        <w:rPr>
          <w:rFonts w:ascii="Calibri" w:eastAsia="Times New Roman" w:hAnsi="Calibri" w:cs="Calibri"/>
          <w:color w:val="000000" w:themeColor="text1"/>
          <w:sz w:val="24"/>
          <w:szCs w:val="24"/>
          <w:lang w:val="es-CR" w:eastAsia="es-CR"/>
        </w:rPr>
        <w:t xml:space="preserve"> </w:t>
      </w:r>
      <w:r w:rsidR="007B4A4A" w:rsidRPr="00C50A6E">
        <w:rPr>
          <w:rFonts w:ascii="Calibri" w:eastAsia="Times New Roman" w:hAnsi="Calibri" w:cs="Calibri"/>
          <w:color w:val="000000" w:themeColor="text1"/>
          <w:sz w:val="24"/>
          <w:szCs w:val="24"/>
          <w:lang w:val="es-CR" w:eastAsia="es-CR"/>
        </w:rPr>
        <w:t xml:space="preserve">extraordinarios </w:t>
      </w:r>
      <w:r w:rsidR="00592873" w:rsidRPr="00C50A6E">
        <w:rPr>
          <w:rFonts w:ascii="Calibri" w:eastAsia="Times New Roman" w:hAnsi="Calibri" w:cs="Calibri"/>
          <w:color w:val="000000" w:themeColor="text1"/>
          <w:sz w:val="24"/>
          <w:szCs w:val="24"/>
          <w:lang w:val="es-CR" w:eastAsia="es-CR"/>
        </w:rPr>
        <w:t>del FCL</w:t>
      </w:r>
      <w:r w:rsidR="000F319B" w:rsidRPr="00C50A6E">
        <w:rPr>
          <w:rFonts w:ascii="Calibri" w:eastAsia="Times New Roman" w:hAnsi="Calibri" w:cs="Calibri"/>
          <w:color w:val="000000" w:themeColor="text1"/>
          <w:sz w:val="24"/>
          <w:szCs w:val="24"/>
          <w:lang w:val="es-CR" w:eastAsia="es-CR"/>
        </w:rPr>
        <w:t xml:space="preserve"> por reducción de jornada laboral y </w:t>
      </w:r>
      <w:r w:rsidR="00592873" w:rsidRPr="00C50A6E">
        <w:rPr>
          <w:rFonts w:ascii="Calibri" w:eastAsia="Times New Roman" w:hAnsi="Calibri" w:cs="Calibri"/>
          <w:color w:val="000000" w:themeColor="text1"/>
          <w:sz w:val="24"/>
          <w:szCs w:val="24"/>
          <w:lang w:val="es-CR" w:eastAsia="es-CR"/>
        </w:rPr>
        <w:t>suspensión del contrato</w:t>
      </w:r>
      <w:r w:rsidR="008B67A0" w:rsidRPr="00C50A6E">
        <w:rPr>
          <w:rFonts w:ascii="Calibri" w:eastAsia="Times New Roman" w:hAnsi="Calibri" w:cs="Calibri"/>
          <w:color w:val="000000" w:themeColor="text1"/>
          <w:sz w:val="24"/>
          <w:szCs w:val="24"/>
          <w:lang w:val="es-CR" w:eastAsia="es-CR"/>
        </w:rPr>
        <w:t>,</w:t>
      </w:r>
      <w:r w:rsidR="00592873" w:rsidRPr="00C50A6E">
        <w:rPr>
          <w:rFonts w:ascii="Calibri" w:eastAsia="Times New Roman" w:hAnsi="Calibri" w:cs="Calibri"/>
          <w:color w:val="000000" w:themeColor="text1"/>
          <w:sz w:val="24"/>
          <w:szCs w:val="24"/>
          <w:lang w:val="es-CR" w:eastAsia="es-CR"/>
        </w:rPr>
        <w:t xml:space="preserve"> </w:t>
      </w:r>
      <w:r w:rsidR="00D434DD" w:rsidRPr="00C50A6E">
        <w:rPr>
          <w:rFonts w:ascii="Calibri" w:eastAsia="Times New Roman" w:hAnsi="Calibri" w:cs="Calibri"/>
          <w:color w:val="000000" w:themeColor="text1"/>
          <w:sz w:val="24"/>
          <w:szCs w:val="24"/>
          <w:lang w:val="es-CR" w:eastAsia="es-CR"/>
        </w:rPr>
        <w:t>entre otro</w:t>
      </w:r>
      <w:r w:rsidR="0014333B" w:rsidRPr="00C50A6E">
        <w:rPr>
          <w:rFonts w:ascii="Calibri" w:eastAsia="Times New Roman" w:hAnsi="Calibri" w:cs="Calibri"/>
          <w:color w:val="000000" w:themeColor="text1"/>
          <w:sz w:val="24"/>
          <w:szCs w:val="24"/>
          <w:lang w:val="es-CR" w:eastAsia="es-CR"/>
        </w:rPr>
        <w:t>s.</w:t>
      </w:r>
    </w:p>
    <w:p w14:paraId="5B7122F6" w14:textId="77777777" w:rsidR="000C2E69" w:rsidRPr="00C50A6E" w:rsidRDefault="000C2E69" w:rsidP="004D0DCE">
      <w:pPr>
        <w:spacing w:after="0"/>
        <w:jc w:val="both"/>
        <w:rPr>
          <w:rFonts w:ascii="Calibri" w:eastAsia="Times New Roman" w:hAnsi="Calibri" w:cs="Calibri"/>
          <w:color w:val="000000"/>
          <w:sz w:val="24"/>
          <w:szCs w:val="24"/>
          <w:highlight w:val="yellow"/>
          <w:lang w:val="es-CR" w:eastAsia="es-CR"/>
        </w:rPr>
      </w:pPr>
    </w:p>
    <w:p w14:paraId="1E5721EB" w14:textId="77777777" w:rsidR="000C2E69" w:rsidRPr="00C50A6E" w:rsidRDefault="000C2E69" w:rsidP="004D0DCE">
      <w:pPr>
        <w:spacing w:after="0"/>
        <w:jc w:val="both"/>
        <w:rPr>
          <w:sz w:val="24"/>
          <w:szCs w:val="24"/>
        </w:rPr>
      </w:pPr>
      <w:r w:rsidRPr="00C50A6E">
        <w:rPr>
          <w:sz w:val="24"/>
          <w:szCs w:val="24"/>
        </w:rPr>
        <w:t xml:space="preserve">La inversión en el extranjero de los portafolios de pensiones ha presentado una recuperación durante el trimestre, la exposición de cada fondo depende de su propia composición, entre mayor sea el porcentaje de la cartera invertido en valores extranjeros, mayor ha sido la recuperación de las pérdidas sufridas durante marzo. </w:t>
      </w:r>
    </w:p>
    <w:p w14:paraId="0FBCF317" w14:textId="77777777" w:rsidR="000C2E69" w:rsidRPr="00C50A6E" w:rsidRDefault="000C2E69" w:rsidP="004D0DCE">
      <w:pPr>
        <w:spacing w:after="0"/>
        <w:jc w:val="both"/>
        <w:rPr>
          <w:sz w:val="24"/>
          <w:szCs w:val="24"/>
        </w:rPr>
      </w:pPr>
    </w:p>
    <w:p w14:paraId="5EC66E1A" w14:textId="65586BBB" w:rsidR="00662B8B" w:rsidRPr="00C50A6E" w:rsidRDefault="000C2E69" w:rsidP="004D0DCE">
      <w:pPr>
        <w:spacing w:after="0"/>
        <w:jc w:val="both"/>
        <w:rPr>
          <w:sz w:val="24"/>
          <w:szCs w:val="24"/>
        </w:rPr>
      </w:pPr>
      <w:r w:rsidRPr="00C50A6E">
        <w:rPr>
          <w:sz w:val="24"/>
          <w:szCs w:val="24"/>
        </w:rPr>
        <w:t xml:space="preserve">En el mercado local, la volatilidad del tipo de cambio mostró fluctuaciones relevantes en este trimestre, oscilando su valor entre un mínimo de </w:t>
      </w:r>
      <w:r w:rsidR="00825829" w:rsidRPr="00C50A6E">
        <w:rPr>
          <w:sz w:val="24"/>
          <w:szCs w:val="24"/>
        </w:rPr>
        <w:t>₡</w:t>
      </w:r>
      <w:r w:rsidRPr="00C50A6E">
        <w:rPr>
          <w:sz w:val="24"/>
          <w:szCs w:val="24"/>
        </w:rPr>
        <w:t>5</w:t>
      </w:r>
      <w:r w:rsidR="004C1914" w:rsidRPr="00C50A6E">
        <w:rPr>
          <w:sz w:val="24"/>
          <w:szCs w:val="24"/>
        </w:rPr>
        <w:t>82</w:t>
      </w:r>
      <w:r w:rsidRPr="00C50A6E">
        <w:rPr>
          <w:sz w:val="24"/>
          <w:szCs w:val="24"/>
        </w:rPr>
        <w:t>,</w:t>
      </w:r>
      <w:r w:rsidR="004C1914" w:rsidRPr="00C50A6E">
        <w:rPr>
          <w:sz w:val="24"/>
          <w:szCs w:val="24"/>
        </w:rPr>
        <w:t>86</w:t>
      </w:r>
      <w:r w:rsidRPr="00C50A6E">
        <w:rPr>
          <w:sz w:val="24"/>
          <w:szCs w:val="24"/>
        </w:rPr>
        <w:t xml:space="preserve"> y un máximo de </w:t>
      </w:r>
      <w:r w:rsidR="00825829" w:rsidRPr="00C50A6E">
        <w:rPr>
          <w:sz w:val="24"/>
          <w:szCs w:val="24"/>
        </w:rPr>
        <w:t>₡</w:t>
      </w:r>
      <w:r w:rsidR="004C1914" w:rsidRPr="00C50A6E">
        <w:rPr>
          <w:sz w:val="24"/>
          <w:szCs w:val="24"/>
        </w:rPr>
        <w:t>606</w:t>
      </w:r>
      <w:r w:rsidR="006E581B" w:rsidRPr="00C50A6E">
        <w:rPr>
          <w:sz w:val="24"/>
          <w:szCs w:val="24"/>
        </w:rPr>
        <w:t>,68</w:t>
      </w:r>
      <w:r w:rsidRPr="00C50A6E">
        <w:rPr>
          <w:sz w:val="24"/>
          <w:szCs w:val="24"/>
        </w:rPr>
        <w:t xml:space="preserve">. </w:t>
      </w:r>
      <w:r w:rsidR="006E581B" w:rsidRPr="00C50A6E">
        <w:rPr>
          <w:sz w:val="24"/>
          <w:szCs w:val="24"/>
        </w:rPr>
        <w:t xml:space="preserve">La tasa básica pasiva (TBP), su valor se mantuvo entre 3,95% (1° de julio) y 3,45% (24 de setiembre) cerrando el trimestre con una tendencia sostenida hacia la baja en 3,45%. </w:t>
      </w:r>
      <w:r w:rsidR="00F121B8" w:rsidRPr="00C50A6E">
        <w:rPr>
          <w:sz w:val="24"/>
          <w:szCs w:val="24"/>
        </w:rPr>
        <w:t xml:space="preserve">La tasa de política monetaria (TPM) se mantuvo sin variaciones durante el trimestre en 0,75%. </w:t>
      </w:r>
      <w:r w:rsidR="0068680E" w:rsidRPr="00C50A6E">
        <w:rPr>
          <w:sz w:val="24"/>
          <w:szCs w:val="24"/>
        </w:rPr>
        <w:t xml:space="preserve">Lo </w:t>
      </w:r>
      <w:r w:rsidR="004E01EB" w:rsidRPr="00C50A6E">
        <w:rPr>
          <w:sz w:val="24"/>
          <w:szCs w:val="24"/>
        </w:rPr>
        <w:t xml:space="preserve">anterior </w:t>
      </w:r>
      <w:r w:rsidR="0068680E" w:rsidRPr="00C50A6E">
        <w:rPr>
          <w:sz w:val="24"/>
          <w:szCs w:val="24"/>
        </w:rPr>
        <w:t xml:space="preserve">generó variaciones en la rentabilidad de los fondos que mantienen un porcentaje significativo de su portafolio en títulos </w:t>
      </w:r>
      <w:r w:rsidR="00E8627A" w:rsidRPr="00C50A6E">
        <w:rPr>
          <w:sz w:val="24"/>
          <w:szCs w:val="24"/>
        </w:rPr>
        <w:t>del mercado costarricense</w:t>
      </w:r>
      <w:r w:rsidR="0068680E" w:rsidRPr="00C50A6E">
        <w:rPr>
          <w:sz w:val="24"/>
          <w:szCs w:val="24"/>
        </w:rPr>
        <w:t>.</w:t>
      </w:r>
    </w:p>
    <w:p w14:paraId="3426736A" w14:textId="42267F13" w:rsidR="00250CD1" w:rsidRPr="00C50A6E" w:rsidRDefault="00250CD1" w:rsidP="004D0DCE">
      <w:pPr>
        <w:spacing w:after="0"/>
        <w:jc w:val="both"/>
        <w:rPr>
          <w:sz w:val="24"/>
          <w:szCs w:val="24"/>
        </w:rPr>
      </w:pPr>
    </w:p>
    <w:p w14:paraId="6FE55082" w14:textId="638C241D" w:rsidR="00351FA1" w:rsidRDefault="001807B6" w:rsidP="004D0DCE">
      <w:pPr>
        <w:spacing w:after="0"/>
        <w:jc w:val="both"/>
        <w:rPr>
          <w:rFonts w:asciiTheme="majorHAnsi" w:eastAsiaTheme="majorEastAsia" w:hAnsiTheme="majorHAnsi" w:cstheme="majorBidi"/>
          <w:color w:val="365F91" w:themeColor="accent1" w:themeShade="BF"/>
          <w:sz w:val="32"/>
          <w:szCs w:val="32"/>
        </w:rPr>
      </w:pPr>
      <w:r w:rsidRPr="00C50A6E">
        <w:rPr>
          <w:sz w:val="24"/>
          <w:szCs w:val="24"/>
        </w:rPr>
        <w:t>El 5 de octubre se aprobó el Decreto Legislativo N°9906, la Ley para resguardar el derecho de los trabajadores a retirar los recursos de la pensión complementaria, el cual contempla</w:t>
      </w:r>
      <w:r w:rsidR="12AE4DDD" w:rsidRPr="00C50A6E">
        <w:rPr>
          <w:sz w:val="24"/>
          <w:szCs w:val="24"/>
        </w:rPr>
        <w:t xml:space="preserve"> algunos</w:t>
      </w:r>
      <w:r w:rsidRPr="00C50A6E">
        <w:rPr>
          <w:sz w:val="24"/>
          <w:szCs w:val="24"/>
        </w:rPr>
        <w:t xml:space="preserve"> cambios a la </w:t>
      </w:r>
      <w:r w:rsidRPr="00C50A6E">
        <w:rPr>
          <w:rFonts w:ascii="Calibri" w:eastAsia="Times New Roman" w:hAnsi="Calibri" w:cs="Calibri"/>
          <w:color w:val="000000" w:themeColor="text1"/>
          <w:sz w:val="24"/>
          <w:szCs w:val="24"/>
          <w:lang w:val="es-CR" w:eastAsia="es-CR"/>
        </w:rPr>
        <w:t>Ley de Protección al trabajador</w:t>
      </w:r>
      <w:r w:rsidRPr="00C50A6E">
        <w:rPr>
          <w:sz w:val="24"/>
          <w:szCs w:val="24"/>
        </w:rPr>
        <w:t xml:space="preserve"> (LPT)</w:t>
      </w:r>
      <w:r w:rsidR="00D85422" w:rsidRPr="00C50A6E">
        <w:rPr>
          <w:sz w:val="24"/>
          <w:szCs w:val="24"/>
        </w:rPr>
        <w:t>, que introducen varios productos que permiten el retiro acelerado de los recursos.</w:t>
      </w:r>
      <w:r w:rsidR="00351FA1">
        <w:br w:type="page"/>
      </w:r>
    </w:p>
    <w:p w14:paraId="4B4E8E20" w14:textId="77777777" w:rsidR="00394DBE" w:rsidRPr="00394DBE" w:rsidRDefault="00394DBE" w:rsidP="00C570BE">
      <w:pPr>
        <w:pStyle w:val="Ttulo1"/>
        <w:numPr>
          <w:ilvl w:val="0"/>
          <w:numId w:val="1"/>
        </w:numPr>
      </w:pPr>
      <w:bookmarkStart w:id="5" w:name="_Toc64039556"/>
      <w:r>
        <w:t>Introducción</w:t>
      </w:r>
      <w:bookmarkEnd w:id="5"/>
    </w:p>
    <w:p w14:paraId="1FAF480E" w14:textId="77777777" w:rsidR="00DA1AF3" w:rsidRPr="00C50A6E" w:rsidRDefault="00DA1AF3" w:rsidP="00C50A6E">
      <w:pPr>
        <w:spacing w:after="0" w:line="360" w:lineRule="auto"/>
        <w:jc w:val="both"/>
        <w:rPr>
          <w:rFonts w:ascii="Calibri" w:eastAsia="Times New Roman" w:hAnsi="Calibri" w:cs="Calibri"/>
          <w:color w:val="000000"/>
          <w:sz w:val="24"/>
          <w:szCs w:val="24"/>
          <w:lang w:val="es-CR" w:eastAsia="es-CR"/>
        </w:rPr>
      </w:pPr>
    </w:p>
    <w:p w14:paraId="226C002D" w14:textId="77777777" w:rsidR="00C9285A" w:rsidRPr="00C50A6E" w:rsidRDefault="00C9285A" w:rsidP="00C50A6E">
      <w:pPr>
        <w:spacing w:after="0" w:line="360" w:lineRule="auto"/>
        <w:jc w:val="both"/>
        <w:rPr>
          <w:rFonts w:ascii="Calibri" w:eastAsia="Times New Roman" w:hAnsi="Calibri" w:cs="Calibri"/>
          <w:color w:val="000000"/>
          <w:sz w:val="24"/>
          <w:szCs w:val="24"/>
          <w:lang w:val="es-CR" w:eastAsia="es-CR"/>
        </w:rPr>
      </w:pPr>
      <w:r w:rsidRPr="00C50A6E">
        <w:rPr>
          <w:rFonts w:ascii="Calibri" w:eastAsia="Times New Roman" w:hAnsi="Calibri" w:cs="Calibri"/>
          <w:color w:val="000000"/>
          <w:sz w:val="24"/>
          <w:szCs w:val="24"/>
          <w:lang w:val="es-CR" w:eastAsia="es-CR"/>
        </w:rPr>
        <w:t xml:space="preserve">La Superintendencia de Pensiones presenta al Consejo Nacional de Supervisión del Sistema Financiero (CONASSIF) un informe trimestral sobre la evolución del sistema de pensiones (SNP) y la situación de los entes supervisados, según lo dispuesto en el artículo 38, inciso n) de la Ley 7523, Régimen Privado de Pensiones Complementarias. </w:t>
      </w:r>
    </w:p>
    <w:p w14:paraId="244F95F1" w14:textId="77777777" w:rsidR="00C9285A" w:rsidRPr="00C50A6E" w:rsidRDefault="00C9285A" w:rsidP="00C50A6E">
      <w:pPr>
        <w:spacing w:after="0" w:line="360" w:lineRule="auto"/>
        <w:jc w:val="both"/>
        <w:rPr>
          <w:rFonts w:ascii="Calibri" w:eastAsia="Times New Roman" w:hAnsi="Calibri" w:cs="Calibri"/>
          <w:color w:val="000000"/>
          <w:sz w:val="24"/>
          <w:szCs w:val="24"/>
          <w:lang w:val="es-CR" w:eastAsia="es-CR"/>
        </w:rPr>
      </w:pPr>
    </w:p>
    <w:p w14:paraId="1C37FEFE" w14:textId="77777777" w:rsidR="00C9285A" w:rsidRPr="00C50A6E" w:rsidRDefault="00C9285A" w:rsidP="00C50A6E">
      <w:pPr>
        <w:spacing w:after="0" w:line="360" w:lineRule="auto"/>
        <w:jc w:val="both"/>
        <w:rPr>
          <w:rFonts w:ascii="Calibri" w:eastAsia="Times New Roman" w:hAnsi="Calibri" w:cs="Calibri"/>
          <w:color w:val="000000"/>
          <w:sz w:val="24"/>
          <w:szCs w:val="24"/>
          <w:lang w:val="es-CR" w:eastAsia="es-CR"/>
        </w:rPr>
      </w:pPr>
      <w:r w:rsidRPr="00C50A6E">
        <w:rPr>
          <w:rFonts w:ascii="Calibri" w:eastAsia="Times New Roman" w:hAnsi="Calibri" w:cs="Calibri"/>
          <w:color w:val="000000"/>
          <w:sz w:val="24"/>
          <w:szCs w:val="24"/>
          <w:lang w:val="es-CR" w:eastAsia="es-CR"/>
        </w:rPr>
        <w:t xml:space="preserve">Este informe tiene una visión global del sistema de pensiones, en el sentido de que analiza tanto las variables relevantes respecto a la caracterización del ahorro nacional, así como las situaciones particulares relevantes que enfrentan cada uno de los sujetos fiscalizados, permitiendo a los señores miembros del Consejo un criterio informado, de lo que acontece y de las labores que el supervisor ha emprendido. </w:t>
      </w:r>
    </w:p>
    <w:p w14:paraId="2B3E11D8" w14:textId="77777777" w:rsidR="00C9285A" w:rsidRPr="00C50A6E" w:rsidRDefault="00C9285A" w:rsidP="00C50A6E">
      <w:pPr>
        <w:spacing w:after="0" w:line="360" w:lineRule="auto"/>
        <w:jc w:val="both"/>
        <w:rPr>
          <w:rFonts w:ascii="Calibri" w:eastAsia="Times New Roman" w:hAnsi="Calibri" w:cs="Calibri"/>
          <w:color w:val="000000"/>
          <w:sz w:val="24"/>
          <w:szCs w:val="24"/>
          <w:lang w:val="es-CR" w:eastAsia="es-CR"/>
        </w:rPr>
      </w:pPr>
    </w:p>
    <w:p w14:paraId="073F4E75" w14:textId="77777777" w:rsidR="006929F8" w:rsidRPr="00C50A6E" w:rsidRDefault="00C9285A" w:rsidP="00C50A6E">
      <w:pPr>
        <w:spacing w:after="0" w:line="360" w:lineRule="auto"/>
        <w:jc w:val="both"/>
        <w:rPr>
          <w:rFonts w:ascii="Calibri" w:eastAsia="Times New Roman" w:hAnsi="Calibri" w:cs="Calibri"/>
          <w:color w:val="000000"/>
          <w:sz w:val="24"/>
          <w:szCs w:val="24"/>
          <w:lang w:val="es-CR" w:eastAsia="es-CR"/>
        </w:rPr>
      </w:pPr>
      <w:r w:rsidRPr="00C50A6E">
        <w:rPr>
          <w:rFonts w:ascii="Calibri" w:eastAsia="Times New Roman" w:hAnsi="Calibri" w:cs="Calibri"/>
          <w:color w:val="000000"/>
          <w:sz w:val="24"/>
          <w:szCs w:val="24"/>
          <w:lang w:val="es-CR" w:eastAsia="es-CR"/>
        </w:rPr>
        <w:t>El documento enfatiza los hechos relevantes sucedidos en el trimestre en análisis, con influencia en el desempeño del SNP</w:t>
      </w:r>
      <w:r w:rsidR="00FC355E" w:rsidRPr="00C50A6E">
        <w:rPr>
          <w:rFonts w:ascii="Calibri" w:eastAsia="Times New Roman" w:hAnsi="Calibri" w:cs="Calibri"/>
          <w:color w:val="000000"/>
          <w:sz w:val="24"/>
          <w:szCs w:val="24"/>
          <w:lang w:val="es-CR" w:eastAsia="es-CR"/>
        </w:rPr>
        <w:t xml:space="preserve">. </w:t>
      </w:r>
      <w:r w:rsidR="00974E59" w:rsidRPr="00C50A6E">
        <w:rPr>
          <w:rFonts w:ascii="Calibri" w:eastAsia="Times New Roman" w:hAnsi="Calibri" w:cs="Calibri"/>
          <w:color w:val="000000"/>
          <w:sz w:val="24"/>
          <w:szCs w:val="24"/>
          <w:lang w:val="es-CR" w:eastAsia="es-CR"/>
        </w:rPr>
        <w:t xml:space="preserve">Además, </w:t>
      </w:r>
      <w:r w:rsidR="001E6FE7" w:rsidRPr="00C50A6E">
        <w:rPr>
          <w:rFonts w:ascii="Calibri" w:eastAsia="Times New Roman" w:hAnsi="Calibri" w:cs="Calibri"/>
          <w:color w:val="000000"/>
          <w:sz w:val="24"/>
          <w:szCs w:val="24"/>
          <w:lang w:val="es-CR" w:eastAsia="es-CR"/>
        </w:rPr>
        <w:t>d</w:t>
      </w:r>
      <w:r w:rsidR="005B53AB" w:rsidRPr="00C50A6E">
        <w:rPr>
          <w:rFonts w:ascii="Calibri" w:eastAsia="Times New Roman" w:hAnsi="Calibri" w:cs="Calibri"/>
          <w:color w:val="000000"/>
          <w:sz w:val="24"/>
          <w:szCs w:val="24"/>
          <w:lang w:val="es-CR" w:eastAsia="es-CR"/>
        </w:rPr>
        <w:t>escribe</w:t>
      </w:r>
      <w:r w:rsidRPr="00C50A6E">
        <w:rPr>
          <w:rFonts w:ascii="Calibri" w:eastAsia="Times New Roman" w:hAnsi="Calibri" w:cs="Calibri"/>
          <w:color w:val="000000"/>
          <w:sz w:val="24"/>
          <w:szCs w:val="24"/>
          <w:lang w:val="es-CR" w:eastAsia="es-CR"/>
        </w:rPr>
        <w:t xml:space="preserve"> los hechos puntuales que han afectado</w:t>
      </w:r>
      <w:r w:rsidR="00243E13" w:rsidRPr="00C50A6E">
        <w:rPr>
          <w:rFonts w:ascii="Calibri" w:eastAsia="Times New Roman" w:hAnsi="Calibri" w:cs="Calibri"/>
          <w:color w:val="000000"/>
          <w:sz w:val="24"/>
          <w:szCs w:val="24"/>
          <w:lang w:val="es-CR" w:eastAsia="es-CR"/>
        </w:rPr>
        <w:t xml:space="preserve"> a</w:t>
      </w:r>
      <w:r w:rsidR="005B53AB" w:rsidRPr="00C50A6E">
        <w:rPr>
          <w:rFonts w:ascii="Calibri" w:eastAsia="Times New Roman" w:hAnsi="Calibri" w:cs="Calibri"/>
          <w:color w:val="000000"/>
          <w:sz w:val="24"/>
          <w:szCs w:val="24"/>
          <w:lang w:val="es-CR" w:eastAsia="es-CR"/>
        </w:rPr>
        <w:t xml:space="preserve"> las entidades supervisadas </w:t>
      </w:r>
      <w:r w:rsidR="001E6FE7" w:rsidRPr="00C50A6E">
        <w:rPr>
          <w:rFonts w:ascii="Calibri" w:eastAsia="Times New Roman" w:hAnsi="Calibri" w:cs="Calibri"/>
          <w:color w:val="000000"/>
          <w:sz w:val="24"/>
          <w:szCs w:val="24"/>
          <w:lang w:val="es-CR" w:eastAsia="es-CR"/>
        </w:rPr>
        <w:t>producto</w:t>
      </w:r>
      <w:r w:rsidRPr="00C50A6E">
        <w:rPr>
          <w:rFonts w:ascii="Calibri" w:eastAsia="Times New Roman" w:hAnsi="Calibri" w:cs="Calibri"/>
          <w:color w:val="000000"/>
          <w:sz w:val="24"/>
          <w:szCs w:val="24"/>
          <w:lang w:val="es-CR" w:eastAsia="es-CR"/>
        </w:rPr>
        <w:t xml:space="preserve"> del COVID-19. </w:t>
      </w:r>
    </w:p>
    <w:p w14:paraId="22B1A0D1" w14:textId="77777777" w:rsidR="001F7B97" w:rsidRPr="00C50A6E" w:rsidRDefault="001F7B97" w:rsidP="00C50A6E">
      <w:pPr>
        <w:spacing w:after="0" w:line="360" w:lineRule="auto"/>
        <w:jc w:val="both"/>
        <w:rPr>
          <w:rFonts w:ascii="Calibri" w:eastAsia="Times New Roman" w:hAnsi="Calibri" w:cs="Calibri"/>
          <w:color w:val="000000"/>
          <w:sz w:val="24"/>
          <w:szCs w:val="24"/>
          <w:lang w:val="es-CR" w:eastAsia="es-CR"/>
        </w:rPr>
      </w:pPr>
    </w:p>
    <w:p w14:paraId="13734241" w14:textId="77777777" w:rsidR="00C01A6B" w:rsidRDefault="00C01A6B">
      <w:pPr>
        <w:rPr>
          <w:rFonts w:asciiTheme="majorHAnsi" w:eastAsiaTheme="majorEastAsia" w:hAnsiTheme="majorHAnsi" w:cstheme="majorBidi"/>
          <w:color w:val="365F91" w:themeColor="accent1" w:themeShade="BF"/>
          <w:sz w:val="32"/>
          <w:szCs w:val="32"/>
        </w:rPr>
      </w:pPr>
      <w:r>
        <w:br w:type="page"/>
      </w:r>
    </w:p>
    <w:p w14:paraId="47C1604D" w14:textId="77777777" w:rsidR="006929F8" w:rsidRDefault="006929F8" w:rsidP="00C570BE">
      <w:pPr>
        <w:pStyle w:val="Ttulo1"/>
        <w:numPr>
          <w:ilvl w:val="0"/>
          <w:numId w:val="1"/>
        </w:numPr>
      </w:pPr>
      <w:bookmarkStart w:id="6" w:name="_Toc64039557"/>
      <w:r>
        <w:t xml:space="preserve">Efectos </w:t>
      </w:r>
      <w:r w:rsidR="009975CE">
        <w:t xml:space="preserve">del </w:t>
      </w:r>
      <w:r>
        <w:t>Covid-19</w:t>
      </w:r>
      <w:r w:rsidR="009975CE">
        <w:t xml:space="preserve"> en los Fondos de pensión</w:t>
      </w:r>
      <w:bookmarkEnd w:id="6"/>
    </w:p>
    <w:p w14:paraId="55A62DDA" w14:textId="77777777" w:rsidR="00AD5AED" w:rsidRPr="00AD5AED" w:rsidRDefault="00AD5AED" w:rsidP="00AD5AED">
      <w:pPr>
        <w:spacing w:after="0" w:line="240" w:lineRule="auto"/>
      </w:pPr>
    </w:p>
    <w:p w14:paraId="6339D857" w14:textId="6CA86938" w:rsidR="00CD698F" w:rsidRDefault="00C02D33" w:rsidP="00A8066D">
      <w:pPr>
        <w:spacing w:after="0" w:line="360" w:lineRule="auto"/>
        <w:jc w:val="both"/>
        <w:rPr>
          <w:rFonts w:ascii="Calibri" w:eastAsia="Times New Roman" w:hAnsi="Calibri" w:cs="Calibri"/>
          <w:color w:val="000000"/>
          <w:lang w:val="es-CR" w:eastAsia="es-CR"/>
        </w:rPr>
      </w:pPr>
      <w:r w:rsidRPr="00C02D33">
        <w:rPr>
          <w:rFonts w:ascii="Calibri" w:eastAsia="Times New Roman" w:hAnsi="Calibri" w:cs="Calibri"/>
          <w:color w:val="000000"/>
          <w:lang w:val="es-CR" w:eastAsia="es-CR"/>
        </w:rPr>
        <w:t>La Superintendencia de Pensiones se mantiene operando bajo la modalidad de teletrabajo</w:t>
      </w:r>
      <w:r w:rsidR="00686DE8">
        <w:rPr>
          <w:rFonts w:ascii="Calibri" w:eastAsia="Times New Roman" w:hAnsi="Calibri" w:cs="Calibri"/>
          <w:color w:val="000000"/>
          <w:lang w:val="es-CR" w:eastAsia="es-CR"/>
        </w:rPr>
        <w:t xml:space="preserve"> durante el trimestre</w:t>
      </w:r>
      <w:r w:rsidR="00844D6D">
        <w:rPr>
          <w:rFonts w:ascii="Calibri" w:eastAsia="Times New Roman" w:hAnsi="Calibri" w:cs="Calibri"/>
          <w:color w:val="000000"/>
          <w:lang w:val="es-CR" w:eastAsia="es-CR"/>
        </w:rPr>
        <w:t xml:space="preserve">, </w:t>
      </w:r>
      <w:r w:rsidRPr="00C02D33">
        <w:rPr>
          <w:rFonts w:ascii="Calibri" w:eastAsia="Times New Roman" w:hAnsi="Calibri" w:cs="Calibri"/>
          <w:color w:val="000000"/>
          <w:lang w:val="es-CR" w:eastAsia="es-CR"/>
        </w:rPr>
        <w:t xml:space="preserve">las labores </w:t>
      </w:r>
      <w:r w:rsidR="00844D6D">
        <w:rPr>
          <w:rFonts w:ascii="Calibri" w:eastAsia="Times New Roman" w:hAnsi="Calibri" w:cs="Calibri"/>
          <w:color w:val="000000"/>
          <w:lang w:val="es-CR" w:eastAsia="es-CR"/>
        </w:rPr>
        <w:t xml:space="preserve">de supervisión </w:t>
      </w:r>
      <w:r w:rsidRPr="00C02D33">
        <w:rPr>
          <w:rFonts w:ascii="Calibri" w:eastAsia="Times New Roman" w:hAnsi="Calibri" w:cs="Calibri"/>
          <w:color w:val="000000"/>
          <w:lang w:val="es-CR" w:eastAsia="es-CR"/>
        </w:rPr>
        <w:t xml:space="preserve">se han desempeñado con normalidad, ejecutando las actividades de supervisión de forma virtual, según lo planificado en el Plan Anual de Supervisión (PAS) de 2020 y en aplicación del Modelo de Supervisión y Evaluación de Riesgos (MSER). </w:t>
      </w:r>
    </w:p>
    <w:p w14:paraId="1DA50D3A" w14:textId="77777777" w:rsidR="00040FCB" w:rsidRDefault="00E809EF" w:rsidP="00C570BE">
      <w:pPr>
        <w:pStyle w:val="Ttulo2"/>
        <w:numPr>
          <w:ilvl w:val="1"/>
          <w:numId w:val="1"/>
        </w:numPr>
      </w:pPr>
      <w:bookmarkStart w:id="7" w:name="_Toc64039558"/>
      <w:r>
        <w:t>Efectos en</w:t>
      </w:r>
      <w:r w:rsidR="00C74688" w:rsidRPr="00C74688">
        <w:t xml:space="preserve"> </w:t>
      </w:r>
      <w:r w:rsidR="00040FCB">
        <w:t>Regímenes de Capitalización Individual</w:t>
      </w:r>
      <w:bookmarkEnd w:id="7"/>
      <w:r w:rsidR="00040FCB" w:rsidRPr="00040FCB">
        <w:t xml:space="preserve"> </w:t>
      </w:r>
    </w:p>
    <w:p w14:paraId="5FF930CD" w14:textId="77777777" w:rsidR="00F42881" w:rsidRPr="00F42881" w:rsidRDefault="00F42881" w:rsidP="002F3869">
      <w:pPr>
        <w:spacing w:after="0" w:line="240" w:lineRule="auto"/>
      </w:pPr>
    </w:p>
    <w:p w14:paraId="35578F06" w14:textId="77777777" w:rsidR="00632796" w:rsidRPr="00632796" w:rsidRDefault="00632796" w:rsidP="002A064F">
      <w:pPr>
        <w:pStyle w:val="Ttulo3"/>
        <w:numPr>
          <w:ilvl w:val="2"/>
          <w:numId w:val="1"/>
        </w:numPr>
        <w:jc w:val="both"/>
      </w:pPr>
      <w:bookmarkStart w:id="8" w:name="_Toc64039559"/>
      <w:r w:rsidRPr="00632796">
        <w:t>Reactivación del traslado de los recursos de los afiliados entre operadoras</w:t>
      </w:r>
      <w:bookmarkEnd w:id="8"/>
    </w:p>
    <w:p w14:paraId="749128A9" w14:textId="37EA8FA9" w:rsidR="009663EA" w:rsidRDefault="009663EA" w:rsidP="00A8066D">
      <w:pPr>
        <w:spacing w:after="0" w:line="360" w:lineRule="auto"/>
        <w:jc w:val="both"/>
      </w:pPr>
      <w:r w:rsidRPr="009663EA">
        <w:t>Mediante la resolución CNS-1598/06 del CONASSIF emitida el 21 de agosto de 2020, se comunicó el levantamiento de la suspensión de la libre transferencia la cual se dejó de ejercer desde el 25 de mayo 2020. En el oficio SP-1105-2020 de esa misma fecha, la SUPEN remitió los lineamientos operativos necesarios para la ejecución de la libre transferencia a través del Sistema Electrónico de Compensación (SEC), la cual se reanudó con éxito el 2 de setiembre de 2020. En la siguiente tabla se presentan los resultados de la reactivación del proceso de traslado de recursos del 2 de setiembre de este año:</w:t>
      </w:r>
    </w:p>
    <w:p w14:paraId="134FE0AC" w14:textId="4CE8CB3E" w:rsidR="001A7F73" w:rsidRDefault="001A7F73" w:rsidP="001A7F73">
      <w:pPr>
        <w:pStyle w:val="Descripcin"/>
        <w:spacing w:after="0"/>
        <w:jc w:val="center"/>
        <w:rPr>
          <w:b/>
          <w:bCs/>
          <w:i w:val="0"/>
          <w:iCs w:val="0"/>
          <w:smallCaps/>
        </w:rPr>
      </w:pPr>
      <w:r w:rsidRPr="001C58FF">
        <w:t xml:space="preserve">Tabla </w:t>
      </w:r>
      <w:r w:rsidRPr="001C58FF">
        <w:fldChar w:fldCharType="begin"/>
      </w:r>
      <w:r w:rsidRPr="001C58FF">
        <w:instrText xml:space="preserve"> SEQ Tabla \* ARABIC </w:instrText>
      </w:r>
      <w:r w:rsidRPr="001C58FF">
        <w:fldChar w:fldCharType="separate"/>
      </w:r>
      <w:r w:rsidR="00E620DA">
        <w:rPr>
          <w:noProof/>
        </w:rPr>
        <w:t>1</w:t>
      </w:r>
      <w:r w:rsidRPr="001C58FF">
        <w:fldChar w:fldCharType="end"/>
      </w:r>
      <w:r w:rsidRPr="001C58FF">
        <w:t xml:space="preserve">: </w:t>
      </w:r>
      <w:r w:rsidR="0019075D">
        <w:t>Tr</w:t>
      </w:r>
      <w:r w:rsidRPr="00D50095">
        <w:t>aslado</w:t>
      </w:r>
      <w:r>
        <w:t>s</w:t>
      </w:r>
      <w:r w:rsidRPr="00D50095">
        <w:t xml:space="preserve"> de recursos</w:t>
      </w:r>
      <w:r>
        <w:t xml:space="preserve"> </w:t>
      </w:r>
      <w:r w:rsidRPr="00D50095">
        <w:t>de los afiliados</w:t>
      </w:r>
      <w:r>
        <w:t xml:space="preserve"> entre operadoras</w:t>
      </w:r>
    </w:p>
    <w:p w14:paraId="4081EBC9" w14:textId="701FA713" w:rsidR="0019075D" w:rsidRPr="0019075D" w:rsidRDefault="001A7F73" w:rsidP="0019075D">
      <w:pPr>
        <w:pStyle w:val="Descripcin"/>
        <w:spacing w:after="0"/>
        <w:jc w:val="center"/>
      </w:pPr>
      <w:r>
        <w:t>por f</w:t>
      </w:r>
      <w:r w:rsidRPr="00BE13B0">
        <w:t xml:space="preserve">ondo administrado </w:t>
      </w:r>
      <w:r>
        <w:t>y c</w:t>
      </w:r>
      <w:r w:rsidRPr="00D50095">
        <w:t xml:space="preserve">antidad </w:t>
      </w:r>
      <w:r>
        <w:t>a</w:t>
      </w:r>
      <w:r w:rsidRPr="00D50095">
        <w:t>filiados</w:t>
      </w:r>
    </w:p>
    <w:tbl>
      <w:tblPr>
        <w:tblStyle w:val="Tablaconcuadrcula4-nfasis1"/>
        <w:tblW w:w="6034" w:type="dxa"/>
        <w:jc w:val="center"/>
        <w:tblLook w:val="04E0" w:firstRow="1" w:lastRow="1" w:firstColumn="1" w:lastColumn="0" w:noHBand="0" w:noVBand="1"/>
      </w:tblPr>
      <w:tblGrid>
        <w:gridCol w:w="2815"/>
        <w:gridCol w:w="2116"/>
        <w:gridCol w:w="1103"/>
      </w:tblGrid>
      <w:tr w:rsidR="0031719C" w:rsidRPr="0031719C" w14:paraId="54C11CAF" w14:textId="77777777" w:rsidTr="00BC536D">
        <w:trPr>
          <w:cnfStyle w:val="100000000000" w:firstRow="1" w:lastRow="0" w:firstColumn="0" w:lastColumn="0" w:oddVBand="0" w:evenVBand="0" w:oddHBand="0" w:evenHBand="0" w:firstRowFirstColumn="0" w:firstRowLastColumn="0" w:lastRowFirstColumn="0" w:lastRowLastColumn="0"/>
          <w:trHeight w:val="185"/>
          <w:tblHeader/>
          <w:jc w:val="center"/>
        </w:trPr>
        <w:tc>
          <w:tcPr>
            <w:cnfStyle w:val="001000000000" w:firstRow="0" w:lastRow="0" w:firstColumn="1" w:lastColumn="0" w:oddVBand="0" w:evenVBand="0" w:oddHBand="0" w:evenHBand="0" w:firstRowFirstColumn="0" w:firstRowLastColumn="0" w:lastRowFirstColumn="0" w:lastRowLastColumn="0"/>
            <w:tcW w:w="2815" w:type="dxa"/>
            <w:noWrap/>
            <w:vAlign w:val="center"/>
            <w:hideMark/>
          </w:tcPr>
          <w:p w14:paraId="2AF4BA9B" w14:textId="77777777" w:rsidR="0031719C" w:rsidRPr="0031719C" w:rsidRDefault="0031719C" w:rsidP="00C50A6E">
            <w:pPr>
              <w:jc w:val="center"/>
              <w:rPr>
                <w:rFonts w:asciiTheme="minorHAnsi" w:eastAsia="Times New Roman" w:hAnsiTheme="minorHAnsi" w:cstheme="minorHAnsi"/>
                <w:lang w:val="es-CR"/>
              </w:rPr>
            </w:pPr>
            <w:r w:rsidRPr="0031719C">
              <w:rPr>
                <w:rFonts w:asciiTheme="minorHAnsi" w:eastAsia="Times New Roman" w:hAnsiTheme="minorHAnsi" w:cstheme="minorHAnsi"/>
                <w:lang w:val="es-CR"/>
              </w:rPr>
              <w:t>Fondo</w:t>
            </w:r>
          </w:p>
        </w:tc>
        <w:tc>
          <w:tcPr>
            <w:tcW w:w="2116" w:type="dxa"/>
            <w:noWrap/>
            <w:vAlign w:val="center"/>
            <w:hideMark/>
          </w:tcPr>
          <w:p w14:paraId="09A79B23" w14:textId="77777777" w:rsidR="0031719C" w:rsidRPr="0031719C" w:rsidRDefault="0031719C"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31719C">
              <w:rPr>
                <w:rFonts w:asciiTheme="minorHAnsi" w:eastAsia="Times New Roman" w:hAnsiTheme="minorHAnsi" w:cstheme="minorHAnsi"/>
                <w:lang w:val="es-CR"/>
              </w:rPr>
              <w:t>Monto</w:t>
            </w:r>
          </w:p>
          <w:p w14:paraId="7DF7447C" w14:textId="77777777" w:rsidR="0031719C" w:rsidRPr="0031719C" w:rsidRDefault="0031719C"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31719C">
              <w:rPr>
                <w:rFonts w:asciiTheme="minorHAnsi" w:eastAsia="Times New Roman" w:hAnsiTheme="minorHAnsi" w:cstheme="minorHAnsi"/>
                <w:lang w:val="es-CR"/>
              </w:rPr>
              <w:t>Trasladado</w:t>
            </w:r>
          </w:p>
        </w:tc>
        <w:tc>
          <w:tcPr>
            <w:tcW w:w="1103" w:type="dxa"/>
            <w:vAlign w:val="center"/>
          </w:tcPr>
          <w:p w14:paraId="120B40C9" w14:textId="77777777" w:rsidR="0031719C" w:rsidRPr="0031719C" w:rsidRDefault="0031719C"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31719C">
              <w:rPr>
                <w:rFonts w:asciiTheme="minorHAnsi" w:eastAsia="Times New Roman" w:hAnsiTheme="minorHAnsi" w:cstheme="minorHAnsi"/>
                <w:lang w:val="es-CR"/>
              </w:rPr>
              <w:t>Cantidad Afiliados</w:t>
            </w:r>
          </w:p>
        </w:tc>
      </w:tr>
      <w:tr w:rsidR="0031719C" w:rsidRPr="0031719C" w14:paraId="7D37EB90" w14:textId="77777777" w:rsidTr="0031719C">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15" w:type="dxa"/>
            <w:noWrap/>
          </w:tcPr>
          <w:p w14:paraId="0F765239" w14:textId="77777777" w:rsidR="0031719C" w:rsidRPr="0031719C" w:rsidRDefault="0031719C" w:rsidP="00C50A6E">
            <w:pPr>
              <w:rPr>
                <w:rFonts w:asciiTheme="minorHAnsi" w:eastAsia="Times New Roman" w:hAnsiTheme="minorHAnsi" w:cstheme="minorHAnsi"/>
                <w:b w:val="0"/>
                <w:bCs w:val="0"/>
                <w:color w:val="000000"/>
                <w:lang w:val="es-CR"/>
              </w:rPr>
            </w:pPr>
            <w:r w:rsidRPr="0031719C">
              <w:rPr>
                <w:rFonts w:asciiTheme="minorHAnsi" w:eastAsia="Times New Roman" w:hAnsiTheme="minorHAnsi" w:cstheme="minorHAnsi"/>
                <w:b w:val="0"/>
                <w:bCs w:val="0"/>
                <w:color w:val="000000"/>
                <w:lang w:val="es-CR"/>
              </w:rPr>
              <w:t>Régimen Obligatorio ROP</w:t>
            </w:r>
          </w:p>
        </w:tc>
        <w:tc>
          <w:tcPr>
            <w:tcW w:w="2116" w:type="dxa"/>
            <w:noWrap/>
          </w:tcPr>
          <w:p w14:paraId="493D16B8" w14:textId="4A49BE49"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lang w:val="es-CR"/>
              </w:rPr>
            </w:pPr>
            <w:r w:rsidRPr="0031719C">
              <w:rPr>
                <w:rFonts w:asciiTheme="minorHAnsi" w:eastAsia="Times New Roman" w:hAnsiTheme="minorHAnsi" w:cstheme="minorHAnsi"/>
                <w:lang w:val="es-CR"/>
              </w:rPr>
              <w:t xml:space="preserve"> </w:t>
            </w:r>
            <w:r w:rsidR="00D72844">
              <w:rPr>
                <w:rFonts w:asciiTheme="minorHAnsi" w:hAnsiTheme="minorHAnsi" w:cstheme="minorHAnsi"/>
              </w:rPr>
              <w:t>₡</w:t>
            </w:r>
            <w:r w:rsidRPr="0031719C">
              <w:rPr>
                <w:rFonts w:asciiTheme="minorHAnsi" w:eastAsia="Times New Roman" w:hAnsiTheme="minorHAnsi" w:cstheme="minorHAnsi"/>
                <w:lang w:val="es-CR"/>
              </w:rPr>
              <w:t xml:space="preserve">63 700 808 834 </w:t>
            </w:r>
          </w:p>
        </w:tc>
        <w:tc>
          <w:tcPr>
            <w:tcW w:w="1103" w:type="dxa"/>
          </w:tcPr>
          <w:p w14:paraId="479D6BA8" w14:textId="77777777"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15 398</w:t>
            </w:r>
          </w:p>
        </w:tc>
      </w:tr>
      <w:tr w:rsidR="0031719C" w:rsidRPr="0031719C" w14:paraId="40207695" w14:textId="77777777" w:rsidTr="0031719C">
        <w:tblPrEx>
          <w:jc w:val="left"/>
          <w:tblLook w:val="04A0" w:firstRow="1" w:lastRow="0" w:firstColumn="1" w:lastColumn="0" w:noHBand="0" w:noVBand="1"/>
        </w:tblPrEx>
        <w:trPr>
          <w:trHeight w:val="242"/>
        </w:trPr>
        <w:tc>
          <w:tcPr>
            <w:cnfStyle w:val="001000000000" w:firstRow="0" w:lastRow="0" w:firstColumn="1" w:lastColumn="0" w:oddVBand="0" w:evenVBand="0" w:oddHBand="0" w:evenHBand="0" w:firstRowFirstColumn="0" w:firstRowLastColumn="0" w:lastRowFirstColumn="0" w:lastRowLastColumn="0"/>
            <w:tcW w:w="2815" w:type="dxa"/>
            <w:noWrap/>
          </w:tcPr>
          <w:p w14:paraId="6554E3DA" w14:textId="77777777" w:rsidR="0031719C" w:rsidRPr="0031719C" w:rsidRDefault="0031719C" w:rsidP="00C50A6E">
            <w:pPr>
              <w:rPr>
                <w:rFonts w:asciiTheme="minorHAnsi" w:eastAsia="Times New Roman" w:hAnsiTheme="minorHAnsi" w:cstheme="minorHAnsi"/>
                <w:color w:val="000000"/>
                <w:lang w:val="es-CR"/>
              </w:rPr>
            </w:pPr>
            <w:r w:rsidRPr="0031719C">
              <w:rPr>
                <w:rFonts w:asciiTheme="minorHAnsi" w:eastAsia="Times New Roman" w:hAnsiTheme="minorHAnsi" w:cstheme="minorHAnsi"/>
                <w:b w:val="0"/>
                <w:bCs w:val="0"/>
                <w:color w:val="000000"/>
                <w:lang w:val="es-CR"/>
              </w:rPr>
              <w:t>Capitalización Laboral FCL</w:t>
            </w:r>
          </w:p>
        </w:tc>
        <w:tc>
          <w:tcPr>
            <w:tcW w:w="2116" w:type="dxa"/>
            <w:noWrap/>
          </w:tcPr>
          <w:p w14:paraId="04B61BCF" w14:textId="02EF9F33" w:rsidR="0031719C" w:rsidRPr="0031719C" w:rsidRDefault="00D72844"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Pr>
                <w:rFonts w:asciiTheme="minorHAnsi" w:hAnsiTheme="minorHAnsi" w:cstheme="minorHAnsi"/>
              </w:rPr>
              <w:t>₡</w:t>
            </w:r>
            <w:r w:rsidR="0031719C" w:rsidRPr="0031719C">
              <w:rPr>
                <w:rFonts w:asciiTheme="minorHAnsi" w:eastAsia="Times New Roman" w:hAnsiTheme="minorHAnsi" w:cstheme="minorHAnsi"/>
                <w:lang w:val="es-CR"/>
              </w:rPr>
              <w:t xml:space="preserve">6 484 574 299 </w:t>
            </w:r>
          </w:p>
        </w:tc>
        <w:tc>
          <w:tcPr>
            <w:tcW w:w="1103" w:type="dxa"/>
          </w:tcPr>
          <w:p w14:paraId="5955801B" w14:textId="77777777" w:rsidR="0031719C" w:rsidRPr="0031719C" w:rsidRDefault="0031719C"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15 038</w:t>
            </w:r>
          </w:p>
        </w:tc>
      </w:tr>
      <w:tr w:rsidR="0031719C" w:rsidRPr="0031719C" w14:paraId="756B369D" w14:textId="77777777" w:rsidTr="0031719C">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15" w:type="dxa"/>
            <w:noWrap/>
          </w:tcPr>
          <w:p w14:paraId="387205C0" w14:textId="77777777" w:rsidR="0031719C" w:rsidRPr="0031719C" w:rsidRDefault="0031719C" w:rsidP="00C50A6E">
            <w:pPr>
              <w:rPr>
                <w:rFonts w:asciiTheme="minorHAnsi" w:eastAsia="Times New Roman" w:hAnsiTheme="minorHAnsi" w:cstheme="minorHAnsi"/>
                <w:color w:val="000000"/>
                <w:lang w:val="es-CR"/>
              </w:rPr>
            </w:pPr>
            <w:r w:rsidRPr="0031719C">
              <w:rPr>
                <w:rFonts w:asciiTheme="minorHAnsi" w:eastAsia="Times New Roman" w:hAnsiTheme="minorHAnsi" w:cstheme="minorHAnsi"/>
                <w:b w:val="0"/>
                <w:bCs w:val="0"/>
                <w:color w:val="000000"/>
                <w:lang w:val="es-CR"/>
              </w:rPr>
              <w:t>Voluntario Colones A</w:t>
            </w:r>
          </w:p>
        </w:tc>
        <w:tc>
          <w:tcPr>
            <w:tcW w:w="2116" w:type="dxa"/>
            <w:noWrap/>
          </w:tcPr>
          <w:p w14:paraId="09536581" w14:textId="4EA3000E"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lang w:val="es-CR"/>
              </w:rPr>
            </w:pPr>
            <w:r w:rsidRPr="0031719C">
              <w:rPr>
                <w:rFonts w:asciiTheme="minorHAnsi" w:eastAsia="Times New Roman" w:hAnsiTheme="minorHAnsi" w:cstheme="minorHAnsi"/>
                <w:lang w:val="es-CR"/>
              </w:rPr>
              <w:t xml:space="preserve">      </w:t>
            </w:r>
            <w:r w:rsidR="00D72844">
              <w:rPr>
                <w:rFonts w:asciiTheme="minorHAnsi" w:hAnsiTheme="minorHAnsi" w:cstheme="minorHAnsi"/>
              </w:rPr>
              <w:t>₡</w:t>
            </w:r>
            <w:r w:rsidRPr="0031719C">
              <w:rPr>
                <w:rFonts w:asciiTheme="minorHAnsi" w:eastAsia="Times New Roman" w:hAnsiTheme="minorHAnsi" w:cstheme="minorHAnsi"/>
                <w:lang w:val="es-CR"/>
              </w:rPr>
              <w:t xml:space="preserve">809 997 090 </w:t>
            </w:r>
          </w:p>
        </w:tc>
        <w:tc>
          <w:tcPr>
            <w:tcW w:w="1103" w:type="dxa"/>
          </w:tcPr>
          <w:p w14:paraId="5F69B5AA" w14:textId="77777777"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61</w:t>
            </w:r>
          </w:p>
        </w:tc>
      </w:tr>
      <w:tr w:rsidR="0031719C" w:rsidRPr="0031719C" w14:paraId="0AE7A023" w14:textId="77777777" w:rsidTr="0031719C">
        <w:tblPrEx>
          <w:jc w:val="left"/>
          <w:tblLook w:val="04A0" w:firstRow="1" w:lastRow="0" w:firstColumn="1" w:lastColumn="0" w:noHBand="0" w:noVBand="1"/>
        </w:tblPrEx>
        <w:trPr>
          <w:trHeight w:val="242"/>
        </w:trPr>
        <w:tc>
          <w:tcPr>
            <w:cnfStyle w:val="001000000000" w:firstRow="0" w:lastRow="0" w:firstColumn="1" w:lastColumn="0" w:oddVBand="0" w:evenVBand="0" w:oddHBand="0" w:evenHBand="0" w:firstRowFirstColumn="0" w:firstRowLastColumn="0" w:lastRowFirstColumn="0" w:lastRowLastColumn="0"/>
            <w:tcW w:w="2815" w:type="dxa"/>
            <w:noWrap/>
            <w:hideMark/>
          </w:tcPr>
          <w:p w14:paraId="2D1B088B" w14:textId="77777777" w:rsidR="0031719C" w:rsidRPr="0031719C" w:rsidRDefault="0031719C" w:rsidP="00C50A6E">
            <w:pPr>
              <w:rPr>
                <w:rFonts w:asciiTheme="minorHAnsi" w:eastAsia="Times New Roman" w:hAnsiTheme="minorHAnsi" w:cstheme="minorHAnsi"/>
                <w:b w:val="0"/>
                <w:bCs w:val="0"/>
                <w:color w:val="000000"/>
                <w:lang w:val="es-CR"/>
              </w:rPr>
            </w:pPr>
            <w:r w:rsidRPr="0031719C">
              <w:rPr>
                <w:rFonts w:asciiTheme="minorHAnsi" w:eastAsia="Times New Roman" w:hAnsiTheme="minorHAnsi" w:cstheme="minorHAnsi"/>
                <w:b w:val="0"/>
                <w:bCs w:val="0"/>
                <w:color w:val="000000"/>
                <w:lang w:val="es-CR"/>
              </w:rPr>
              <w:t>Voluntario Colones B</w:t>
            </w:r>
          </w:p>
        </w:tc>
        <w:tc>
          <w:tcPr>
            <w:tcW w:w="2116" w:type="dxa"/>
            <w:noWrap/>
            <w:hideMark/>
          </w:tcPr>
          <w:p w14:paraId="0123785E" w14:textId="3B4BEDDE" w:rsidR="0031719C" w:rsidRPr="0031719C" w:rsidRDefault="0031719C"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31719C">
              <w:rPr>
                <w:rFonts w:asciiTheme="minorHAnsi" w:eastAsia="Times New Roman" w:hAnsiTheme="minorHAnsi" w:cstheme="minorHAnsi"/>
                <w:lang w:val="es-CR"/>
              </w:rPr>
              <w:t xml:space="preserve">     </w:t>
            </w:r>
            <w:r w:rsidR="00D72844">
              <w:rPr>
                <w:rFonts w:asciiTheme="minorHAnsi" w:hAnsiTheme="minorHAnsi" w:cstheme="minorHAnsi"/>
              </w:rPr>
              <w:t>₡</w:t>
            </w:r>
            <w:r w:rsidRPr="0031719C">
              <w:rPr>
                <w:rFonts w:asciiTheme="minorHAnsi" w:eastAsia="Times New Roman" w:hAnsiTheme="minorHAnsi" w:cstheme="minorHAnsi"/>
                <w:lang w:val="es-CR"/>
              </w:rPr>
              <w:t xml:space="preserve">424 503 490 </w:t>
            </w:r>
          </w:p>
        </w:tc>
        <w:tc>
          <w:tcPr>
            <w:tcW w:w="1103" w:type="dxa"/>
          </w:tcPr>
          <w:p w14:paraId="48CD66A5" w14:textId="77777777" w:rsidR="0031719C" w:rsidRPr="0031719C" w:rsidRDefault="0031719C"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96</w:t>
            </w:r>
          </w:p>
        </w:tc>
      </w:tr>
      <w:tr w:rsidR="0031719C" w:rsidRPr="0031719C" w14:paraId="7D5047E2" w14:textId="77777777" w:rsidTr="0031719C">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15" w:type="dxa"/>
            <w:noWrap/>
          </w:tcPr>
          <w:p w14:paraId="72F715A2" w14:textId="77777777" w:rsidR="0031719C" w:rsidRPr="0031719C" w:rsidRDefault="0031719C" w:rsidP="00C50A6E">
            <w:pPr>
              <w:rPr>
                <w:rFonts w:asciiTheme="minorHAnsi" w:eastAsia="Times New Roman" w:hAnsiTheme="minorHAnsi" w:cstheme="minorHAnsi"/>
                <w:b w:val="0"/>
                <w:bCs w:val="0"/>
                <w:color w:val="000000"/>
                <w:lang w:val="es-CR"/>
              </w:rPr>
            </w:pPr>
            <w:r w:rsidRPr="0031719C">
              <w:rPr>
                <w:rFonts w:asciiTheme="minorHAnsi" w:eastAsia="Times New Roman" w:hAnsiTheme="minorHAnsi" w:cstheme="minorHAnsi"/>
                <w:color w:val="000000"/>
                <w:lang w:val="es-CR"/>
              </w:rPr>
              <w:t>Total Colones</w:t>
            </w:r>
          </w:p>
        </w:tc>
        <w:tc>
          <w:tcPr>
            <w:tcW w:w="2116" w:type="dxa"/>
            <w:noWrap/>
          </w:tcPr>
          <w:p w14:paraId="0C05ED87" w14:textId="412CFC21" w:rsidR="0031719C" w:rsidRPr="0031719C" w:rsidRDefault="00D72844"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lang w:val="es-CR"/>
              </w:rPr>
            </w:pPr>
            <w:r>
              <w:rPr>
                <w:rFonts w:asciiTheme="minorHAnsi" w:hAnsiTheme="minorHAnsi" w:cstheme="minorHAnsi"/>
              </w:rPr>
              <w:t>₡</w:t>
            </w:r>
            <w:r w:rsidR="0031719C" w:rsidRPr="0031719C">
              <w:rPr>
                <w:rFonts w:asciiTheme="minorHAnsi" w:eastAsia="Times New Roman" w:hAnsiTheme="minorHAnsi" w:cstheme="minorHAnsi"/>
                <w:b/>
                <w:bCs/>
                <w:lang w:val="es-CR"/>
              </w:rPr>
              <w:t>71 419 883 714</w:t>
            </w:r>
          </w:p>
        </w:tc>
        <w:tc>
          <w:tcPr>
            <w:tcW w:w="1103" w:type="dxa"/>
          </w:tcPr>
          <w:p w14:paraId="5A760951" w14:textId="77777777"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val="es-CR"/>
              </w:rPr>
            </w:pPr>
            <w:r w:rsidRPr="0031719C">
              <w:rPr>
                <w:rFonts w:asciiTheme="minorHAnsi" w:eastAsia="Times New Roman" w:hAnsiTheme="minorHAnsi" w:cstheme="minorHAnsi"/>
                <w:b/>
                <w:bCs/>
                <w:color w:val="000000"/>
                <w:lang w:val="es-CR"/>
              </w:rPr>
              <w:t>30 593</w:t>
            </w:r>
          </w:p>
        </w:tc>
      </w:tr>
      <w:tr w:rsidR="0031719C" w:rsidRPr="0031719C" w14:paraId="636946C7" w14:textId="77777777" w:rsidTr="0031719C">
        <w:tblPrEx>
          <w:jc w:val="left"/>
          <w:tblLook w:val="04A0" w:firstRow="1" w:lastRow="0" w:firstColumn="1" w:lastColumn="0" w:noHBand="0" w:noVBand="1"/>
        </w:tblPrEx>
        <w:trPr>
          <w:trHeight w:val="254"/>
        </w:trPr>
        <w:tc>
          <w:tcPr>
            <w:cnfStyle w:val="001000000000" w:firstRow="0" w:lastRow="0" w:firstColumn="1" w:lastColumn="0" w:oddVBand="0" w:evenVBand="0" w:oddHBand="0" w:evenHBand="0" w:firstRowFirstColumn="0" w:firstRowLastColumn="0" w:lastRowFirstColumn="0" w:lastRowLastColumn="0"/>
            <w:tcW w:w="2815" w:type="dxa"/>
            <w:noWrap/>
            <w:hideMark/>
          </w:tcPr>
          <w:p w14:paraId="0BE292AE" w14:textId="77777777" w:rsidR="0031719C" w:rsidRPr="0031719C" w:rsidRDefault="0031719C" w:rsidP="00C50A6E">
            <w:pPr>
              <w:rPr>
                <w:rFonts w:asciiTheme="minorHAnsi" w:eastAsia="Times New Roman" w:hAnsiTheme="minorHAnsi" w:cstheme="minorHAnsi"/>
                <w:b w:val="0"/>
                <w:bCs w:val="0"/>
                <w:color w:val="000000"/>
                <w:lang w:val="es-CR"/>
              </w:rPr>
            </w:pPr>
            <w:r w:rsidRPr="0031719C">
              <w:rPr>
                <w:rFonts w:asciiTheme="minorHAnsi" w:eastAsia="Times New Roman" w:hAnsiTheme="minorHAnsi" w:cstheme="minorHAnsi"/>
                <w:b w:val="0"/>
                <w:bCs w:val="0"/>
                <w:color w:val="000000"/>
                <w:lang w:val="es-CR"/>
              </w:rPr>
              <w:t>Voluntario Dólares A</w:t>
            </w:r>
          </w:p>
        </w:tc>
        <w:tc>
          <w:tcPr>
            <w:tcW w:w="2116" w:type="dxa"/>
            <w:noWrap/>
          </w:tcPr>
          <w:p w14:paraId="0E21CE24" w14:textId="77777777" w:rsidR="0031719C" w:rsidRPr="0031719C" w:rsidRDefault="0031719C"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$552 140</w:t>
            </w:r>
          </w:p>
        </w:tc>
        <w:tc>
          <w:tcPr>
            <w:tcW w:w="1103" w:type="dxa"/>
          </w:tcPr>
          <w:p w14:paraId="41EE0602" w14:textId="77777777" w:rsidR="0031719C" w:rsidRPr="0031719C" w:rsidRDefault="0031719C"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6</w:t>
            </w:r>
          </w:p>
        </w:tc>
      </w:tr>
      <w:tr w:rsidR="0031719C" w:rsidRPr="0031719C" w14:paraId="595DE42E" w14:textId="77777777" w:rsidTr="0031719C">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815" w:type="dxa"/>
            <w:noWrap/>
          </w:tcPr>
          <w:p w14:paraId="58CD2824" w14:textId="77777777" w:rsidR="0031719C" w:rsidRPr="0031719C" w:rsidRDefault="0031719C" w:rsidP="00C50A6E">
            <w:pPr>
              <w:rPr>
                <w:rFonts w:asciiTheme="minorHAnsi" w:eastAsia="Times New Roman" w:hAnsiTheme="minorHAnsi" w:cstheme="minorHAnsi"/>
                <w:color w:val="000000"/>
                <w:lang w:val="es-CR"/>
              </w:rPr>
            </w:pPr>
            <w:r w:rsidRPr="0031719C">
              <w:rPr>
                <w:rFonts w:asciiTheme="minorHAnsi" w:eastAsia="Times New Roman" w:hAnsiTheme="minorHAnsi" w:cstheme="minorHAnsi"/>
                <w:b w:val="0"/>
                <w:bCs w:val="0"/>
                <w:color w:val="000000"/>
                <w:lang w:val="es-CR"/>
              </w:rPr>
              <w:t>Voluntario Dólares B</w:t>
            </w:r>
          </w:p>
        </w:tc>
        <w:tc>
          <w:tcPr>
            <w:tcW w:w="2116" w:type="dxa"/>
            <w:noWrap/>
          </w:tcPr>
          <w:p w14:paraId="5189E3D7" w14:textId="77777777"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$578 307</w:t>
            </w:r>
          </w:p>
        </w:tc>
        <w:tc>
          <w:tcPr>
            <w:tcW w:w="1103" w:type="dxa"/>
          </w:tcPr>
          <w:p w14:paraId="31F68520" w14:textId="77777777"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14</w:t>
            </w:r>
          </w:p>
        </w:tc>
      </w:tr>
      <w:tr w:rsidR="0031719C" w:rsidRPr="0031719C" w14:paraId="454737E5" w14:textId="77777777" w:rsidTr="00B45DD0">
        <w:tblPrEx>
          <w:jc w:val="left"/>
          <w:tblLook w:val="04A0" w:firstRow="1" w:lastRow="0" w:firstColumn="1" w:lastColumn="0" w:noHBand="0" w:noVBand="1"/>
        </w:tblPrEx>
        <w:trPr>
          <w:trHeight w:val="254"/>
        </w:trPr>
        <w:tc>
          <w:tcPr>
            <w:cnfStyle w:val="001000000000" w:firstRow="0" w:lastRow="0" w:firstColumn="1" w:lastColumn="0" w:oddVBand="0" w:evenVBand="0" w:oddHBand="0" w:evenHBand="0" w:firstRowFirstColumn="0" w:firstRowLastColumn="0" w:lastRowFirstColumn="0" w:lastRowLastColumn="0"/>
            <w:tcW w:w="2815" w:type="dxa"/>
            <w:tcBorders>
              <w:bottom w:val="double" w:sz="4" w:space="0" w:color="95B3D7" w:themeColor="accent1" w:themeTint="99"/>
            </w:tcBorders>
            <w:noWrap/>
          </w:tcPr>
          <w:p w14:paraId="0207A476" w14:textId="77777777" w:rsidR="0031719C" w:rsidRPr="0031719C" w:rsidRDefault="0031719C" w:rsidP="00C50A6E">
            <w:pPr>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Total Dólares</w:t>
            </w:r>
          </w:p>
        </w:tc>
        <w:tc>
          <w:tcPr>
            <w:tcW w:w="2116" w:type="dxa"/>
            <w:tcBorders>
              <w:bottom w:val="double" w:sz="4" w:space="0" w:color="95B3D7" w:themeColor="accent1" w:themeTint="99"/>
            </w:tcBorders>
            <w:noWrap/>
          </w:tcPr>
          <w:p w14:paraId="7A3CFDFB" w14:textId="77777777" w:rsidR="0031719C" w:rsidRPr="0031719C" w:rsidRDefault="0031719C"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lang w:val="es-CR"/>
              </w:rPr>
            </w:pPr>
            <w:r w:rsidRPr="0031719C">
              <w:rPr>
                <w:rFonts w:asciiTheme="minorHAnsi" w:eastAsia="Times New Roman" w:hAnsiTheme="minorHAnsi" w:cstheme="minorHAnsi"/>
                <w:b/>
                <w:bCs/>
                <w:color w:val="000000"/>
                <w:lang w:val="es-CR"/>
              </w:rPr>
              <w:t>$1 130 447</w:t>
            </w:r>
          </w:p>
        </w:tc>
        <w:tc>
          <w:tcPr>
            <w:tcW w:w="1103" w:type="dxa"/>
            <w:tcBorders>
              <w:bottom w:val="double" w:sz="4" w:space="0" w:color="95B3D7" w:themeColor="accent1" w:themeTint="99"/>
            </w:tcBorders>
          </w:tcPr>
          <w:p w14:paraId="10E89274" w14:textId="77777777" w:rsidR="0031719C" w:rsidRPr="0031719C" w:rsidRDefault="0031719C"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lang w:val="es-CR"/>
              </w:rPr>
            </w:pPr>
            <w:r w:rsidRPr="0031719C">
              <w:rPr>
                <w:rFonts w:asciiTheme="minorHAnsi" w:eastAsia="Times New Roman" w:hAnsiTheme="minorHAnsi" w:cstheme="minorHAnsi"/>
                <w:b/>
                <w:bCs/>
                <w:color w:val="000000"/>
                <w:lang w:val="es-CR"/>
              </w:rPr>
              <w:t>20</w:t>
            </w:r>
          </w:p>
        </w:tc>
      </w:tr>
      <w:tr w:rsidR="0031719C" w:rsidRPr="0031719C" w14:paraId="436E443F" w14:textId="77777777" w:rsidTr="00B45DD0">
        <w:tblPrEx>
          <w:jc w:val="left"/>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815" w:type="dxa"/>
            <w:tcBorders>
              <w:top w:val="double" w:sz="4" w:space="0" w:color="95B3D7" w:themeColor="accent1" w:themeTint="99"/>
            </w:tcBorders>
            <w:noWrap/>
          </w:tcPr>
          <w:p w14:paraId="5838182B" w14:textId="77777777" w:rsidR="0031719C" w:rsidRPr="0031719C" w:rsidRDefault="0031719C" w:rsidP="00C50A6E">
            <w:pPr>
              <w:rPr>
                <w:rFonts w:asciiTheme="minorHAnsi" w:eastAsia="Times New Roman" w:hAnsiTheme="minorHAnsi" w:cstheme="minorHAnsi"/>
                <w:color w:val="000000"/>
                <w:lang w:val="es-CR"/>
              </w:rPr>
            </w:pPr>
            <w:r w:rsidRPr="0031719C">
              <w:rPr>
                <w:rFonts w:asciiTheme="minorHAnsi" w:eastAsia="Times New Roman" w:hAnsiTheme="minorHAnsi" w:cstheme="minorHAnsi"/>
                <w:color w:val="000000"/>
                <w:lang w:val="es-CR"/>
              </w:rPr>
              <w:t>Total expresado en colones</w:t>
            </w:r>
          </w:p>
        </w:tc>
        <w:tc>
          <w:tcPr>
            <w:tcW w:w="2116" w:type="dxa"/>
            <w:tcBorders>
              <w:top w:val="double" w:sz="4" w:space="0" w:color="95B3D7" w:themeColor="accent1" w:themeTint="99"/>
            </w:tcBorders>
            <w:noWrap/>
          </w:tcPr>
          <w:p w14:paraId="7B040A80" w14:textId="7912497B" w:rsidR="0031719C" w:rsidRPr="0031719C" w:rsidRDefault="00D72844"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val="es-CR"/>
              </w:rPr>
            </w:pPr>
            <w:r>
              <w:rPr>
                <w:rFonts w:asciiTheme="minorHAnsi" w:hAnsiTheme="minorHAnsi" w:cstheme="minorHAnsi"/>
              </w:rPr>
              <w:t>₡</w:t>
            </w:r>
            <w:r w:rsidR="0031719C" w:rsidRPr="0031719C">
              <w:rPr>
                <w:rFonts w:asciiTheme="minorHAnsi" w:eastAsia="Times New Roman" w:hAnsiTheme="minorHAnsi" w:cstheme="minorHAnsi"/>
                <w:b/>
                <w:bCs/>
                <w:lang w:val="es-CR"/>
              </w:rPr>
              <w:t>72 090 374 438</w:t>
            </w:r>
          </w:p>
        </w:tc>
        <w:tc>
          <w:tcPr>
            <w:tcW w:w="1103" w:type="dxa"/>
            <w:tcBorders>
              <w:top w:val="double" w:sz="4" w:space="0" w:color="95B3D7" w:themeColor="accent1" w:themeTint="99"/>
            </w:tcBorders>
          </w:tcPr>
          <w:p w14:paraId="6513CB61" w14:textId="77777777" w:rsidR="0031719C" w:rsidRPr="0031719C" w:rsidRDefault="0031719C"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val="es-CR"/>
              </w:rPr>
            </w:pPr>
            <w:r w:rsidRPr="0031719C">
              <w:rPr>
                <w:rFonts w:asciiTheme="minorHAnsi" w:eastAsia="Times New Roman" w:hAnsiTheme="minorHAnsi" w:cstheme="minorHAnsi"/>
                <w:b/>
                <w:bCs/>
                <w:color w:val="000000"/>
                <w:lang w:val="es-CR"/>
              </w:rPr>
              <w:t>30 613</w:t>
            </w:r>
          </w:p>
        </w:tc>
      </w:tr>
    </w:tbl>
    <w:p w14:paraId="742D3171" w14:textId="77777777" w:rsidR="00A96AE7" w:rsidRPr="00FC4A12" w:rsidRDefault="00A96AE7" w:rsidP="00A96AE7">
      <w:pPr>
        <w:suppressAutoHyphens/>
        <w:spacing w:after="0" w:line="240" w:lineRule="auto"/>
        <w:ind w:left="708" w:firstLine="708"/>
        <w:rPr>
          <w:rFonts w:ascii="Times New Roman" w:hAnsi="Times New Roman" w:cs="Times New Roman"/>
          <w:i/>
          <w:iCs/>
          <w:color w:val="1F497D" w:themeColor="text2"/>
          <w:sz w:val="20"/>
          <w:szCs w:val="20"/>
        </w:rPr>
      </w:pPr>
      <w:r w:rsidRPr="00FC4A12">
        <w:rPr>
          <w:rFonts w:ascii="Times New Roman" w:hAnsi="Times New Roman" w:cs="Times New Roman"/>
          <w:i/>
          <w:iCs/>
          <w:color w:val="1F497D" w:themeColor="text2"/>
          <w:sz w:val="20"/>
          <w:szCs w:val="20"/>
        </w:rPr>
        <w:t xml:space="preserve">Tipo de cambio de compra BCCR de </w:t>
      </w:r>
      <w:r w:rsidRPr="00A96AE7">
        <w:rPr>
          <w:rFonts w:ascii="Times New Roman" w:hAnsi="Times New Roman" w:cs="Times New Roman"/>
          <w:i/>
          <w:iCs/>
          <w:color w:val="1F497D" w:themeColor="text2"/>
          <w:sz w:val="20"/>
          <w:szCs w:val="20"/>
        </w:rPr>
        <w:t>₡593,12 al 2 de setiembre de 2020 </w:t>
      </w:r>
    </w:p>
    <w:p w14:paraId="05E00BFE" w14:textId="6787EA48" w:rsidR="00A96AE7" w:rsidRPr="00FC4A12" w:rsidRDefault="00A96AE7" w:rsidP="007B7265">
      <w:pPr>
        <w:suppressAutoHyphens/>
        <w:spacing w:after="0" w:line="240" w:lineRule="auto"/>
        <w:ind w:left="1418" w:right="1467"/>
        <w:rPr>
          <w:rFonts w:ascii="Times New Roman" w:hAnsi="Times New Roman" w:cs="Times New Roman"/>
          <w:i/>
          <w:iCs/>
          <w:color w:val="1F497D" w:themeColor="text2"/>
          <w:sz w:val="20"/>
          <w:szCs w:val="20"/>
        </w:rPr>
      </w:pPr>
      <w:r w:rsidRPr="00FC4A12">
        <w:rPr>
          <w:rFonts w:ascii="Times New Roman" w:hAnsi="Times New Roman" w:cs="Times New Roman"/>
          <w:i/>
          <w:iCs/>
          <w:color w:val="1F497D" w:themeColor="text2"/>
          <w:sz w:val="20"/>
          <w:szCs w:val="20"/>
        </w:rPr>
        <w:t>Fuente: Elaboración propia con información disponible en las bases de datos de la Superintendencia</w:t>
      </w:r>
    </w:p>
    <w:p w14:paraId="73523317" w14:textId="77777777" w:rsidR="00040FCB" w:rsidRDefault="003F028F" w:rsidP="00C570BE">
      <w:pPr>
        <w:pStyle w:val="Ttulo3"/>
        <w:numPr>
          <w:ilvl w:val="2"/>
          <w:numId w:val="1"/>
        </w:numPr>
      </w:pPr>
      <w:bookmarkStart w:id="9" w:name="_Toc64039560"/>
      <w:r>
        <w:t>Retiros</w:t>
      </w:r>
      <w:r w:rsidR="00040FCB" w:rsidRPr="0089566B">
        <w:t xml:space="preserve"> FCL por nuevas causales</w:t>
      </w:r>
      <w:bookmarkEnd w:id="9"/>
    </w:p>
    <w:p w14:paraId="337EF5BD" w14:textId="77777777" w:rsidR="003F028F" w:rsidRDefault="003F028F" w:rsidP="00B70133">
      <w:pPr>
        <w:pStyle w:val="Descripcin"/>
        <w:spacing w:after="0"/>
        <w:jc w:val="center"/>
      </w:pPr>
    </w:p>
    <w:p w14:paraId="28A61B38" w14:textId="24AEF0D3" w:rsidR="00B70133" w:rsidRPr="001C58FF" w:rsidRDefault="006238D9" w:rsidP="00B70133">
      <w:pPr>
        <w:pStyle w:val="Descripcin"/>
        <w:spacing w:after="0"/>
        <w:jc w:val="center"/>
      </w:pPr>
      <w:r w:rsidRPr="001C58FF">
        <w:t xml:space="preserve">Tabla </w:t>
      </w:r>
      <w:r w:rsidRPr="001C58FF">
        <w:fldChar w:fldCharType="begin"/>
      </w:r>
      <w:r w:rsidRPr="001C58FF">
        <w:instrText xml:space="preserve"> SEQ Tabla \* ARABIC </w:instrText>
      </w:r>
      <w:r w:rsidRPr="001C58FF">
        <w:fldChar w:fldCharType="separate"/>
      </w:r>
      <w:r w:rsidR="00E620DA">
        <w:rPr>
          <w:noProof/>
        </w:rPr>
        <w:t>2</w:t>
      </w:r>
      <w:r w:rsidRPr="001C58FF">
        <w:fldChar w:fldCharType="end"/>
      </w:r>
      <w:r w:rsidRPr="001C58FF">
        <w:t xml:space="preserve">: </w:t>
      </w:r>
      <w:r w:rsidR="00B70133" w:rsidRPr="001C58FF">
        <w:t>Retiros del Fondo de Capitalización Laboral</w:t>
      </w:r>
    </w:p>
    <w:p w14:paraId="076EF8BB" w14:textId="75C83496" w:rsidR="00723D1F" w:rsidRPr="001C58FF" w:rsidRDefault="00B70133" w:rsidP="00723D1F">
      <w:pPr>
        <w:pStyle w:val="Descripcin"/>
        <w:spacing w:after="0"/>
        <w:jc w:val="center"/>
      </w:pPr>
      <w:r w:rsidRPr="001C58FF">
        <w:t xml:space="preserve">Atendidas </w:t>
      </w:r>
      <w:r w:rsidR="004C60A0" w:rsidRPr="001C58FF">
        <w:t>al 30 de setiembre</w:t>
      </w:r>
      <w:r w:rsidR="005F0338" w:rsidRPr="001C58FF">
        <w:t xml:space="preserve"> de</w:t>
      </w:r>
      <w:r w:rsidR="004C60A0" w:rsidRPr="001C58FF">
        <w:t>l</w:t>
      </w:r>
      <w:r w:rsidR="005F0338" w:rsidRPr="001C58FF">
        <w:t xml:space="preserve"> 2020</w:t>
      </w:r>
    </w:p>
    <w:p w14:paraId="4748D90D" w14:textId="5F51C16E" w:rsidR="004A6855" w:rsidRPr="001C58FF" w:rsidRDefault="004A6855" w:rsidP="004A6855">
      <w:pPr>
        <w:pStyle w:val="Descripcin"/>
        <w:spacing w:after="0"/>
        <w:jc w:val="center"/>
      </w:pPr>
      <w:r w:rsidRPr="001C58FF">
        <w:t>Monto en mil</w:t>
      </w:r>
      <w:r w:rsidR="0049180D" w:rsidRPr="001C58FF">
        <w:t>lones</w:t>
      </w:r>
      <w:r w:rsidRPr="001C58FF">
        <w:t xml:space="preserve"> de colones</w:t>
      </w:r>
    </w:p>
    <w:tbl>
      <w:tblPr>
        <w:tblStyle w:val="Tablaconcuadrcula4-nfasis1"/>
        <w:tblW w:w="8784" w:type="dxa"/>
        <w:jc w:val="center"/>
        <w:tblLook w:val="04E0" w:firstRow="1" w:lastRow="1" w:firstColumn="1" w:lastColumn="0" w:noHBand="0" w:noVBand="1"/>
      </w:tblPr>
      <w:tblGrid>
        <w:gridCol w:w="2434"/>
        <w:gridCol w:w="1545"/>
        <w:gridCol w:w="1261"/>
        <w:gridCol w:w="1532"/>
        <w:gridCol w:w="2012"/>
      </w:tblGrid>
      <w:tr w:rsidR="0049180D" w:rsidRPr="00C8584A" w14:paraId="3A3D1C02" w14:textId="77777777" w:rsidTr="0049180D">
        <w:trPr>
          <w:cnfStyle w:val="100000000000" w:firstRow="1" w:lastRow="0"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vAlign w:val="center"/>
            <w:hideMark/>
          </w:tcPr>
          <w:p w14:paraId="1C2C1195" w14:textId="77777777" w:rsidR="0049180D" w:rsidRPr="00C8584A" w:rsidRDefault="0049180D" w:rsidP="00C50A6E">
            <w:pPr>
              <w:rPr>
                <w:rFonts w:asciiTheme="minorHAnsi" w:eastAsia="Times New Roman" w:hAnsiTheme="minorHAnsi" w:cstheme="minorHAnsi"/>
                <w:lang w:val="es-CR"/>
              </w:rPr>
            </w:pPr>
            <w:r w:rsidRPr="00C8584A">
              <w:rPr>
                <w:rFonts w:asciiTheme="minorHAnsi" w:eastAsia="Times New Roman" w:hAnsiTheme="minorHAnsi" w:cstheme="minorHAnsi"/>
                <w:lang w:val="es-CR"/>
              </w:rPr>
              <w:t>Motivo</w:t>
            </w:r>
          </w:p>
        </w:tc>
        <w:tc>
          <w:tcPr>
            <w:tcW w:w="1545" w:type="dxa"/>
            <w:noWrap/>
            <w:vAlign w:val="center"/>
            <w:hideMark/>
          </w:tcPr>
          <w:p w14:paraId="61AB42D7" w14:textId="77777777" w:rsidR="0049180D" w:rsidRPr="00C8584A" w:rsidRDefault="0049180D"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C8584A">
              <w:rPr>
                <w:rFonts w:asciiTheme="minorHAnsi" w:eastAsia="Times New Roman" w:hAnsiTheme="minorHAnsi" w:cstheme="minorHAnsi"/>
                <w:lang w:val="es-CR"/>
              </w:rPr>
              <w:t>Monto</w:t>
            </w:r>
          </w:p>
          <w:p w14:paraId="0230176A" w14:textId="5E76859B" w:rsidR="0049180D" w:rsidRPr="00C8584A" w:rsidRDefault="0049180D"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 xml:space="preserve">pagado </w:t>
            </w:r>
          </w:p>
        </w:tc>
        <w:tc>
          <w:tcPr>
            <w:tcW w:w="1261" w:type="dxa"/>
            <w:vAlign w:val="center"/>
          </w:tcPr>
          <w:p w14:paraId="09FEE0CD" w14:textId="77777777" w:rsidR="0049180D" w:rsidRPr="00C8584A" w:rsidRDefault="0049180D"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C8584A">
              <w:rPr>
                <w:rFonts w:asciiTheme="minorHAnsi" w:eastAsia="Times New Roman" w:hAnsiTheme="minorHAnsi" w:cstheme="minorHAnsi"/>
                <w:lang w:val="es-CR"/>
              </w:rPr>
              <w:t>%</w:t>
            </w:r>
          </w:p>
          <w:p w14:paraId="1202E129" w14:textId="77777777" w:rsidR="0049180D" w:rsidRPr="00C8584A" w:rsidRDefault="0049180D"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Monto total</w:t>
            </w:r>
          </w:p>
        </w:tc>
        <w:tc>
          <w:tcPr>
            <w:tcW w:w="1532" w:type="dxa"/>
            <w:noWrap/>
            <w:vAlign w:val="center"/>
            <w:hideMark/>
          </w:tcPr>
          <w:p w14:paraId="13848D59" w14:textId="77777777" w:rsidR="0049180D" w:rsidRPr="00C8584A" w:rsidRDefault="0049180D"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Cantidad de solicitudes</w:t>
            </w:r>
          </w:p>
        </w:tc>
        <w:tc>
          <w:tcPr>
            <w:tcW w:w="2012" w:type="dxa"/>
            <w:vAlign w:val="center"/>
          </w:tcPr>
          <w:p w14:paraId="5F2F410C" w14:textId="77777777" w:rsidR="0049180D" w:rsidRPr="00C8584A" w:rsidRDefault="0049180D"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C8584A">
              <w:rPr>
                <w:rFonts w:asciiTheme="minorHAnsi" w:eastAsia="Times New Roman" w:hAnsiTheme="minorHAnsi" w:cstheme="minorHAnsi"/>
                <w:lang w:val="es-CR"/>
              </w:rPr>
              <w:t>%</w:t>
            </w:r>
          </w:p>
          <w:p w14:paraId="32DF43E9" w14:textId="77777777" w:rsidR="0049180D" w:rsidRPr="00C8584A" w:rsidRDefault="0049180D" w:rsidP="00C50A6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Total de solicitudes</w:t>
            </w:r>
          </w:p>
        </w:tc>
      </w:tr>
      <w:tr w:rsidR="0049180D" w:rsidRPr="00C8584A" w14:paraId="771CB86F" w14:textId="77777777" w:rsidTr="0049180D">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556854D0" w14:textId="77777777" w:rsidR="0049180D" w:rsidRPr="00C8584A" w:rsidRDefault="0049180D" w:rsidP="00C50A6E">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 xml:space="preserve">Cese de relación laboral </w:t>
            </w:r>
          </w:p>
        </w:tc>
        <w:tc>
          <w:tcPr>
            <w:tcW w:w="1545" w:type="dxa"/>
            <w:noWrap/>
            <w:hideMark/>
          </w:tcPr>
          <w:p w14:paraId="1E8A9278"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 xml:space="preserve">    30 054 </w:t>
            </w:r>
          </w:p>
        </w:tc>
        <w:tc>
          <w:tcPr>
            <w:tcW w:w="1261" w:type="dxa"/>
          </w:tcPr>
          <w:p w14:paraId="4521D671"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584A">
              <w:rPr>
                <w:rFonts w:asciiTheme="minorHAnsi" w:hAnsiTheme="minorHAnsi" w:cstheme="minorHAnsi"/>
              </w:rPr>
              <w:t>49%</w:t>
            </w:r>
          </w:p>
        </w:tc>
        <w:tc>
          <w:tcPr>
            <w:tcW w:w="1532" w:type="dxa"/>
            <w:noWrap/>
            <w:hideMark/>
          </w:tcPr>
          <w:p w14:paraId="3E2C8684"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hAnsiTheme="minorHAnsi" w:cstheme="minorHAnsi"/>
              </w:rPr>
              <w:t xml:space="preserve"> 186 210 </w:t>
            </w:r>
          </w:p>
        </w:tc>
        <w:tc>
          <w:tcPr>
            <w:tcW w:w="2012" w:type="dxa"/>
          </w:tcPr>
          <w:p w14:paraId="4D314B25"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584A">
              <w:rPr>
                <w:rFonts w:asciiTheme="minorHAnsi" w:hAnsiTheme="minorHAnsi" w:cstheme="minorHAnsi"/>
              </w:rPr>
              <w:t>61%</w:t>
            </w:r>
          </w:p>
        </w:tc>
      </w:tr>
      <w:tr w:rsidR="0049180D" w:rsidRPr="00C8584A" w14:paraId="27F05432" w14:textId="77777777" w:rsidTr="0049180D">
        <w:trPr>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23DC6D0B" w14:textId="77777777" w:rsidR="0049180D" w:rsidRPr="00C8584A" w:rsidRDefault="0049180D" w:rsidP="00C50A6E">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Suspensión del contrato</w:t>
            </w:r>
          </w:p>
        </w:tc>
        <w:tc>
          <w:tcPr>
            <w:tcW w:w="1545" w:type="dxa"/>
            <w:noWrap/>
            <w:hideMark/>
          </w:tcPr>
          <w:p w14:paraId="5A4FF611" w14:textId="77777777" w:rsidR="0049180D" w:rsidRPr="00C8584A" w:rsidRDefault="0049180D"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 xml:space="preserve">     6 931 </w:t>
            </w:r>
          </w:p>
        </w:tc>
        <w:tc>
          <w:tcPr>
            <w:tcW w:w="1261" w:type="dxa"/>
          </w:tcPr>
          <w:p w14:paraId="489FD76C" w14:textId="77777777" w:rsidR="0049180D" w:rsidRPr="00C8584A" w:rsidRDefault="0049180D" w:rsidP="00C50A6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584A">
              <w:rPr>
                <w:rFonts w:asciiTheme="minorHAnsi" w:hAnsiTheme="minorHAnsi" w:cstheme="minorHAnsi"/>
              </w:rPr>
              <w:t>11%</w:t>
            </w:r>
          </w:p>
        </w:tc>
        <w:tc>
          <w:tcPr>
            <w:tcW w:w="1532" w:type="dxa"/>
            <w:noWrap/>
            <w:hideMark/>
          </w:tcPr>
          <w:p w14:paraId="37181DA1" w14:textId="77777777" w:rsidR="0049180D" w:rsidRPr="00C8584A" w:rsidRDefault="0049180D" w:rsidP="00C50A6E">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hAnsiTheme="minorHAnsi" w:cstheme="minorHAnsi"/>
              </w:rPr>
              <w:t xml:space="preserve"> 36 604 </w:t>
            </w:r>
          </w:p>
        </w:tc>
        <w:tc>
          <w:tcPr>
            <w:tcW w:w="2012" w:type="dxa"/>
          </w:tcPr>
          <w:p w14:paraId="333589B3" w14:textId="77777777" w:rsidR="0049180D" w:rsidRPr="00C8584A" w:rsidRDefault="0049180D" w:rsidP="00C50A6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8584A">
              <w:rPr>
                <w:rFonts w:asciiTheme="minorHAnsi" w:hAnsiTheme="minorHAnsi" w:cstheme="minorHAnsi"/>
              </w:rPr>
              <w:t>12%</w:t>
            </w:r>
          </w:p>
        </w:tc>
      </w:tr>
      <w:tr w:rsidR="0049180D" w:rsidRPr="00C8584A" w14:paraId="1B0F49C3" w14:textId="77777777" w:rsidTr="0049180D">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49DAD688" w14:textId="77777777" w:rsidR="0049180D" w:rsidRPr="00C8584A" w:rsidRDefault="0049180D" w:rsidP="00C50A6E">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Reducción de la jornada</w:t>
            </w:r>
          </w:p>
        </w:tc>
        <w:tc>
          <w:tcPr>
            <w:tcW w:w="1545" w:type="dxa"/>
            <w:noWrap/>
            <w:hideMark/>
          </w:tcPr>
          <w:p w14:paraId="6B650D79"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 xml:space="preserve">    24 953 </w:t>
            </w:r>
          </w:p>
        </w:tc>
        <w:tc>
          <w:tcPr>
            <w:tcW w:w="1261" w:type="dxa"/>
          </w:tcPr>
          <w:p w14:paraId="1EC2D4A5"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584A">
              <w:rPr>
                <w:rFonts w:asciiTheme="minorHAnsi" w:hAnsiTheme="minorHAnsi" w:cstheme="minorHAnsi"/>
              </w:rPr>
              <w:t>40%</w:t>
            </w:r>
          </w:p>
        </w:tc>
        <w:tc>
          <w:tcPr>
            <w:tcW w:w="1532" w:type="dxa"/>
            <w:noWrap/>
            <w:hideMark/>
          </w:tcPr>
          <w:p w14:paraId="336470D2"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hAnsiTheme="minorHAnsi" w:cstheme="minorHAnsi"/>
              </w:rPr>
              <w:t xml:space="preserve"> 83 269 </w:t>
            </w:r>
          </w:p>
        </w:tc>
        <w:tc>
          <w:tcPr>
            <w:tcW w:w="2012" w:type="dxa"/>
          </w:tcPr>
          <w:p w14:paraId="2F48E894" w14:textId="77777777" w:rsidR="0049180D" w:rsidRPr="00C8584A" w:rsidRDefault="0049180D" w:rsidP="00C50A6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8584A">
              <w:rPr>
                <w:rFonts w:asciiTheme="minorHAnsi" w:hAnsiTheme="minorHAnsi" w:cstheme="minorHAnsi"/>
              </w:rPr>
              <w:t>27%</w:t>
            </w:r>
          </w:p>
        </w:tc>
      </w:tr>
      <w:tr w:rsidR="0049180D" w:rsidRPr="00C8584A" w14:paraId="20343256" w14:textId="77777777" w:rsidTr="0049180D">
        <w:trPr>
          <w:cnfStyle w:val="010000000000" w:firstRow="0" w:lastRow="1"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348D8912" w14:textId="77777777" w:rsidR="0049180D" w:rsidRPr="00C8584A" w:rsidRDefault="0049180D" w:rsidP="00C50A6E">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Total</w:t>
            </w:r>
          </w:p>
        </w:tc>
        <w:tc>
          <w:tcPr>
            <w:tcW w:w="1545" w:type="dxa"/>
            <w:noWrap/>
            <w:hideMark/>
          </w:tcPr>
          <w:p w14:paraId="34D0391A" w14:textId="77777777" w:rsidR="0049180D" w:rsidRPr="00C8584A" w:rsidRDefault="0049180D" w:rsidP="00C50A6E">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 xml:space="preserve">    61 938 </w:t>
            </w:r>
          </w:p>
        </w:tc>
        <w:tc>
          <w:tcPr>
            <w:tcW w:w="1261" w:type="dxa"/>
          </w:tcPr>
          <w:p w14:paraId="332B71D0" w14:textId="77777777" w:rsidR="0049180D" w:rsidRPr="00C8584A" w:rsidRDefault="0049180D" w:rsidP="00C50A6E">
            <w:pPr>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rPr>
            </w:pPr>
          </w:p>
        </w:tc>
        <w:tc>
          <w:tcPr>
            <w:tcW w:w="1532" w:type="dxa"/>
            <w:noWrap/>
            <w:hideMark/>
          </w:tcPr>
          <w:p w14:paraId="24BA0A76" w14:textId="77777777" w:rsidR="0049180D" w:rsidRPr="00C8584A" w:rsidRDefault="0049180D" w:rsidP="00C50A6E">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C8584A">
              <w:rPr>
                <w:rFonts w:asciiTheme="minorHAnsi" w:hAnsiTheme="minorHAnsi" w:cstheme="minorHAnsi"/>
              </w:rPr>
              <w:t xml:space="preserve"> 306 083 </w:t>
            </w:r>
          </w:p>
        </w:tc>
        <w:tc>
          <w:tcPr>
            <w:tcW w:w="2012" w:type="dxa"/>
          </w:tcPr>
          <w:p w14:paraId="103018CD" w14:textId="77777777" w:rsidR="0049180D" w:rsidRPr="00C8584A" w:rsidRDefault="0049180D" w:rsidP="00C50A6E">
            <w:pPr>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rPr>
            </w:pPr>
          </w:p>
        </w:tc>
      </w:tr>
    </w:tbl>
    <w:p w14:paraId="1618A8B0" w14:textId="77777777" w:rsidR="00680F11" w:rsidRDefault="00680F11" w:rsidP="001C58FF">
      <w:pPr>
        <w:pStyle w:val="Descripcin"/>
        <w:spacing w:after="0"/>
      </w:pPr>
      <w:r w:rsidRPr="001C58FF">
        <w:t xml:space="preserve">Fuente: Elaboración propia </w:t>
      </w:r>
      <w:r w:rsidR="00723D1F" w:rsidRPr="001C58FF">
        <w:t>con datos suministrados por las entidades</w:t>
      </w:r>
    </w:p>
    <w:p w14:paraId="49C21CFB" w14:textId="77777777" w:rsidR="00A8066D" w:rsidRDefault="00A8066D" w:rsidP="00A8066D">
      <w:pPr>
        <w:spacing w:after="0" w:line="360" w:lineRule="auto"/>
        <w:jc w:val="both"/>
      </w:pPr>
    </w:p>
    <w:p w14:paraId="0E21623E" w14:textId="4D86DC66" w:rsidR="00EA0EB1" w:rsidRPr="00157994" w:rsidRDefault="00EA0EB1" w:rsidP="00A8066D">
      <w:pPr>
        <w:spacing w:after="0" w:line="360" w:lineRule="auto"/>
        <w:jc w:val="both"/>
      </w:pPr>
      <w:r w:rsidRPr="00157994">
        <w:t>Al 30 de setiembre de 2020, las operadoras de pensiones habían recibido 306</w:t>
      </w:r>
      <w:r w:rsidR="0013276C" w:rsidRPr="00157994">
        <w:t xml:space="preserve"> </w:t>
      </w:r>
      <w:r w:rsidRPr="00157994">
        <w:t>086 solicitudes de retiro del FCL, de las cuales el 99% habían sido pagadas a esa fecha</w:t>
      </w:r>
      <w:r w:rsidR="004E32B2" w:rsidRPr="00157994">
        <w:t xml:space="preserve">. </w:t>
      </w:r>
      <w:r w:rsidRPr="00157994">
        <w:t>Popular Pensiones OPC y OPC CCSS se mantienen como las entidades que han pagado la mayor cantidad de recursos (48% del monto liquidado).</w:t>
      </w:r>
    </w:p>
    <w:p w14:paraId="3D0D1AF3" w14:textId="77777777" w:rsidR="004E32B2" w:rsidRPr="00157994" w:rsidRDefault="004E32B2" w:rsidP="00A8066D">
      <w:pPr>
        <w:spacing w:after="0" w:line="360" w:lineRule="auto"/>
        <w:jc w:val="both"/>
      </w:pPr>
    </w:p>
    <w:p w14:paraId="6AE2BAD2" w14:textId="1443655A" w:rsidR="00E02898" w:rsidRDefault="0038661D" w:rsidP="00A8066D">
      <w:pPr>
        <w:spacing w:after="0" w:line="360" w:lineRule="auto"/>
        <w:jc w:val="both"/>
      </w:pPr>
      <w:r w:rsidRPr="00157994">
        <w:t xml:space="preserve">El pago de estos recursos se ha realizado con los </w:t>
      </w:r>
      <w:r w:rsidR="00566313" w:rsidRPr="00157994">
        <w:t>dineros</w:t>
      </w:r>
      <w:r w:rsidRPr="00157994">
        <w:t xml:space="preserve"> provenientes de la recaudación y de vencimientos, sin necesidad de acudir a otros mecanismos como los previstos en la reciente modificación a la </w:t>
      </w:r>
      <w:r w:rsidR="00741055" w:rsidRPr="00157994">
        <w:t>LPT</w:t>
      </w:r>
      <w:r w:rsidRPr="00157994">
        <w:t xml:space="preserve">. SUPEN continúa dando seguimiento a la gestión de la liquidez y a la evolución de las solicitudes de retiro de los trabajadores. </w:t>
      </w:r>
    </w:p>
    <w:p w14:paraId="7893E118" w14:textId="5C2F46C9" w:rsidR="00B44D8C" w:rsidRDefault="00B44D8C" w:rsidP="00747A1A">
      <w:pPr>
        <w:spacing w:after="0" w:line="240" w:lineRule="auto"/>
        <w:jc w:val="both"/>
      </w:pPr>
    </w:p>
    <w:p w14:paraId="5CF59120" w14:textId="77777777" w:rsidR="00B44D8C" w:rsidRPr="00B44D8C" w:rsidRDefault="00B44D8C" w:rsidP="00B44D8C">
      <w:pPr>
        <w:pStyle w:val="Ttulo3"/>
        <w:numPr>
          <w:ilvl w:val="2"/>
          <w:numId w:val="1"/>
        </w:numPr>
      </w:pPr>
      <w:bookmarkStart w:id="10" w:name="_Toc64039561"/>
      <w:r w:rsidRPr="00B44D8C">
        <w:t>Impacto en la recaudación del ROP y FCL</w:t>
      </w:r>
      <w:bookmarkEnd w:id="10"/>
      <w:r w:rsidRPr="00B44D8C">
        <w:t xml:space="preserve"> </w:t>
      </w:r>
    </w:p>
    <w:p w14:paraId="502609FB" w14:textId="77777777" w:rsidR="00812A82" w:rsidRDefault="00812A82" w:rsidP="00747A1A">
      <w:pPr>
        <w:spacing w:after="0" w:line="240" w:lineRule="auto"/>
        <w:jc w:val="both"/>
      </w:pPr>
    </w:p>
    <w:p w14:paraId="1CBB6A9C" w14:textId="3F9CCA10" w:rsidR="00B44D8C" w:rsidRDefault="00812A82" w:rsidP="00A8066D">
      <w:pPr>
        <w:spacing w:after="0" w:line="360" w:lineRule="auto"/>
        <w:jc w:val="both"/>
      </w:pPr>
      <w:r w:rsidRPr="00812A82">
        <w:t xml:space="preserve">La pandemia por el COVID-19 también ha tenido su efecto en la recaudación de los recursos del ROP y FCL, debido a que desde finales de marzo de 2020 varias empresas han optado por cesar trabajadores, suspender o reducir la jornada laboral de estos. En este sentido, durante el tercer trimestre los aportes al ROP trasladados por el SICERE a las operadoras de pensiones, se redujeron en </w:t>
      </w:r>
      <w:r w:rsidR="00252A26">
        <w:t>₡</w:t>
      </w:r>
      <w:r w:rsidRPr="00812A82">
        <w:t xml:space="preserve">1 848 millones, mientras que los del FCL disminuyeron en </w:t>
      </w:r>
      <w:r w:rsidR="00252A26">
        <w:t>₡</w:t>
      </w:r>
      <w:r w:rsidRPr="00812A82">
        <w:t>2 745 millones, según se puede apreciar en el gráfico siguiente:</w:t>
      </w:r>
    </w:p>
    <w:p w14:paraId="730F4683" w14:textId="77777777" w:rsidR="00000C6E" w:rsidRDefault="00000C6E" w:rsidP="00A8066D">
      <w:pPr>
        <w:spacing w:after="0" w:line="360" w:lineRule="auto"/>
        <w:jc w:val="both"/>
      </w:pPr>
    </w:p>
    <w:p w14:paraId="73268522" w14:textId="11DEC566" w:rsidR="002607C1" w:rsidRDefault="00000C6E" w:rsidP="002607C1">
      <w:pPr>
        <w:pStyle w:val="Descripcin"/>
        <w:tabs>
          <w:tab w:val="center" w:pos="4419"/>
          <w:tab w:val="left" w:pos="5331"/>
        </w:tabs>
        <w:spacing w:after="0"/>
        <w:jc w:val="center"/>
      </w:pPr>
      <w:r>
        <w:t xml:space="preserve">Gráfico </w:t>
      </w:r>
      <w:r>
        <w:fldChar w:fldCharType="begin"/>
      </w:r>
      <w:r>
        <w:instrText xml:space="preserve"> SEQ Gráfico \* ARABIC </w:instrText>
      </w:r>
      <w:r>
        <w:fldChar w:fldCharType="separate"/>
      </w:r>
      <w:r w:rsidR="00E620DA">
        <w:rPr>
          <w:noProof/>
        </w:rPr>
        <w:t>1</w:t>
      </w:r>
      <w:r>
        <w:fldChar w:fldCharType="end"/>
      </w:r>
      <w:r>
        <w:t xml:space="preserve">: </w:t>
      </w:r>
      <w:r w:rsidR="002607C1">
        <w:t xml:space="preserve">Monto trimestral de recursos trasladados por SICERE </w:t>
      </w:r>
    </w:p>
    <w:p w14:paraId="6D0E41FD" w14:textId="2F7D40AA" w:rsidR="002607C1" w:rsidRDefault="002607C1" w:rsidP="002607C1">
      <w:pPr>
        <w:pStyle w:val="Descripcin"/>
        <w:tabs>
          <w:tab w:val="center" w:pos="4419"/>
          <w:tab w:val="left" w:pos="5331"/>
        </w:tabs>
        <w:spacing w:after="0"/>
        <w:jc w:val="center"/>
      </w:pPr>
      <w:r>
        <w:t>a las operadoras de pensiones</w:t>
      </w:r>
    </w:p>
    <w:p w14:paraId="4C860936" w14:textId="5DC58EC0" w:rsidR="007612A3" w:rsidRDefault="007612A3" w:rsidP="00DF3D39">
      <w:pPr>
        <w:spacing w:after="20" w:line="240" w:lineRule="auto"/>
        <w:jc w:val="center"/>
      </w:pPr>
      <w:r>
        <w:rPr>
          <w:noProof/>
        </w:rPr>
        <w:drawing>
          <wp:inline distT="0" distB="0" distL="0" distR="0" wp14:anchorId="4CB88B51" wp14:editId="75DC62BC">
            <wp:extent cx="4039870" cy="2433320"/>
            <wp:effectExtent l="0" t="0" r="17780" b="5080"/>
            <wp:docPr id="4" name="Gráfico 4">
              <a:extLst xmlns:a="http://schemas.openxmlformats.org/drawingml/2006/main">
                <a:ext uri="{FF2B5EF4-FFF2-40B4-BE49-F238E27FC236}">
                  <a16:creationId xmlns:a16="http://schemas.microsoft.com/office/drawing/2014/main" id="{693EB5D4-9FD7-4625-8ADC-353A596BE3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0249F7" w14:textId="02955964" w:rsidR="00CA4224" w:rsidRDefault="00000C6E" w:rsidP="00000C6E">
      <w:pPr>
        <w:spacing w:after="0" w:line="240" w:lineRule="auto"/>
        <w:ind w:left="708" w:firstLine="84"/>
      </w:pPr>
      <w:r w:rsidRPr="006E224B">
        <w:rPr>
          <w:i/>
          <w:iCs/>
          <w:color w:val="1F497D" w:themeColor="text2"/>
          <w:sz w:val="18"/>
          <w:szCs w:val="18"/>
        </w:rPr>
        <w:t xml:space="preserve">Fuente: </w:t>
      </w:r>
      <w:r>
        <w:rPr>
          <w:i/>
          <w:iCs/>
          <w:color w:val="1F497D" w:themeColor="text2"/>
          <w:sz w:val="18"/>
          <w:szCs w:val="18"/>
        </w:rPr>
        <w:t>Elaboración propia con información remitida por SICERE</w:t>
      </w:r>
    </w:p>
    <w:p w14:paraId="15EE3CCA" w14:textId="77777777" w:rsidR="007C2374" w:rsidRDefault="007C2374" w:rsidP="003C155C">
      <w:pPr>
        <w:spacing w:after="0" w:line="240" w:lineRule="auto"/>
        <w:jc w:val="both"/>
        <w:rPr>
          <w:rFonts w:ascii="Calibri" w:eastAsia="Times New Roman" w:hAnsi="Calibri" w:cs="Calibri"/>
          <w:color w:val="000000"/>
          <w:lang w:val="es-CR" w:eastAsia="es-CR"/>
        </w:rPr>
      </w:pPr>
    </w:p>
    <w:p w14:paraId="6F9EDDA8" w14:textId="584DFBD1" w:rsidR="00040FCB" w:rsidRDefault="00E809EF" w:rsidP="00E2531A">
      <w:pPr>
        <w:pStyle w:val="Ttulo2"/>
        <w:numPr>
          <w:ilvl w:val="1"/>
          <w:numId w:val="1"/>
        </w:numPr>
      </w:pPr>
      <w:bookmarkStart w:id="11" w:name="_Toc64039562"/>
      <w:r>
        <w:t xml:space="preserve">Efectos </w:t>
      </w:r>
      <w:r w:rsidR="00697106">
        <w:t xml:space="preserve">y acciones tomadas </w:t>
      </w:r>
      <w:r>
        <w:t>en</w:t>
      </w:r>
      <w:r w:rsidRPr="00C74688">
        <w:t xml:space="preserve"> </w:t>
      </w:r>
      <w:r w:rsidR="0089566B">
        <w:t>Regímenes de Capitalización Colectiva</w:t>
      </w:r>
      <w:bookmarkEnd w:id="11"/>
    </w:p>
    <w:p w14:paraId="7202737D" w14:textId="7897C432" w:rsidR="00A01AB1" w:rsidRPr="004D0DCE" w:rsidRDefault="00A01AB1" w:rsidP="00A01AB1">
      <w:pPr>
        <w:pStyle w:val="Descripcin"/>
        <w:spacing w:after="0"/>
        <w:jc w:val="center"/>
        <w:rPr>
          <w:sz w:val="20"/>
          <w:szCs w:val="20"/>
        </w:rPr>
      </w:pPr>
      <w:r w:rsidRPr="004D0DCE">
        <w:rPr>
          <w:sz w:val="20"/>
          <w:szCs w:val="20"/>
        </w:rPr>
        <w:t xml:space="preserve">Tabla </w:t>
      </w:r>
      <w:r w:rsidRPr="004D0DCE">
        <w:rPr>
          <w:sz w:val="20"/>
          <w:szCs w:val="20"/>
        </w:rPr>
        <w:fldChar w:fldCharType="begin"/>
      </w:r>
      <w:r w:rsidRPr="004D0DCE">
        <w:rPr>
          <w:sz w:val="20"/>
          <w:szCs w:val="20"/>
        </w:rPr>
        <w:instrText xml:space="preserve"> SEQ Tabla \* ARABIC </w:instrText>
      </w:r>
      <w:r w:rsidRPr="004D0DCE">
        <w:rPr>
          <w:sz w:val="20"/>
          <w:szCs w:val="20"/>
        </w:rPr>
        <w:fldChar w:fldCharType="separate"/>
      </w:r>
      <w:r w:rsidR="00E620DA" w:rsidRPr="004D0DCE">
        <w:rPr>
          <w:noProof/>
          <w:sz w:val="20"/>
          <w:szCs w:val="20"/>
        </w:rPr>
        <w:t>3</w:t>
      </w:r>
      <w:r w:rsidRPr="004D0DCE">
        <w:rPr>
          <w:sz w:val="20"/>
          <w:szCs w:val="20"/>
        </w:rPr>
        <w:fldChar w:fldCharType="end"/>
      </w:r>
      <w:r w:rsidRPr="004D0DCE">
        <w:rPr>
          <w:sz w:val="20"/>
          <w:szCs w:val="20"/>
        </w:rPr>
        <w:t xml:space="preserve">: </w:t>
      </w:r>
      <w:r w:rsidR="00D05C1E" w:rsidRPr="004D0DCE">
        <w:rPr>
          <w:sz w:val="20"/>
          <w:szCs w:val="20"/>
        </w:rPr>
        <w:t>Efectos del COVID-19 en</w:t>
      </w:r>
      <w:r w:rsidRPr="004D0DCE">
        <w:rPr>
          <w:sz w:val="20"/>
          <w:szCs w:val="20"/>
        </w:rPr>
        <w:t xml:space="preserve"> los fondos</w:t>
      </w:r>
    </w:p>
    <w:p w14:paraId="631586E2" w14:textId="08121A2E" w:rsidR="00A451EE" w:rsidRPr="004D0DCE" w:rsidRDefault="009B5E88" w:rsidP="00D05C1E">
      <w:pPr>
        <w:pStyle w:val="Descripcin"/>
        <w:spacing w:after="0"/>
        <w:jc w:val="center"/>
        <w:rPr>
          <w:sz w:val="20"/>
          <w:szCs w:val="20"/>
        </w:rPr>
      </w:pPr>
      <w:r w:rsidRPr="004D0DCE">
        <w:rPr>
          <w:sz w:val="20"/>
          <w:szCs w:val="20"/>
        </w:rPr>
        <w:t>Regímenes de Capitalización Colectiva</w:t>
      </w:r>
    </w:p>
    <w:p w14:paraId="39830D2F" w14:textId="32088D21" w:rsidR="000014E8" w:rsidRPr="004D0DCE" w:rsidRDefault="000014E8" w:rsidP="000014E8">
      <w:pPr>
        <w:pStyle w:val="Descripcin"/>
        <w:spacing w:after="0"/>
        <w:jc w:val="center"/>
        <w:rPr>
          <w:sz w:val="20"/>
          <w:szCs w:val="20"/>
        </w:rPr>
      </w:pPr>
      <w:r w:rsidRPr="004D0DCE">
        <w:rPr>
          <w:sz w:val="20"/>
          <w:szCs w:val="20"/>
        </w:rPr>
        <w:t>Durante el tercer trimestre del 2020</w:t>
      </w:r>
    </w:p>
    <w:tbl>
      <w:tblPr>
        <w:tblStyle w:val="Tablaconcuadrcula4-nfasis1"/>
        <w:tblW w:w="13320" w:type="dxa"/>
        <w:jc w:val="center"/>
        <w:tblLook w:val="04A0" w:firstRow="1" w:lastRow="0" w:firstColumn="1" w:lastColumn="0" w:noHBand="0" w:noVBand="1"/>
      </w:tblPr>
      <w:tblGrid>
        <w:gridCol w:w="975"/>
        <w:gridCol w:w="12345"/>
      </w:tblGrid>
      <w:tr w:rsidR="003C30A0" w:rsidRPr="004D0DCE" w14:paraId="4EA11525" w14:textId="77777777" w:rsidTr="00A8066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75" w:type="dxa"/>
            <w:hideMark/>
          </w:tcPr>
          <w:p w14:paraId="27B116E6" w14:textId="77777777" w:rsidR="003C30A0" w:rsidRPr="004D0DCE" w:rsidRDefault="003C30A0" w:rsidP="003C30A0">
            <w:pPr>
              <w:rPr>
                <w:rFonts w:eastAsia="Times New Roman" w:cs="Calibri"/>
                <w:color w:val="000000"/>
                <w:sz w:val="22"/>
                <w:szCs w:val="22"/>
                <w:lang w:val="es-CR"/>
              </w:rPr>
            </w:pPr>
            <w:r w:rsidRPr="004D0DCE">
              <w:rPr>
                <w:rFonts w:eastAsia="Times New Roman" w:cs="Calibri"/>
                <w:color w:val="000000"/>
                <w:sz w:val="22"/>
                <w:szCs w:val="22"/>
                <w:lang w:val="es-CR"/>
              </w:rPr>
              <w:t>Fondo</w:t>
            </w:r>
          </w:p>
        </w:tc>
        <w:tc>
          <w:tcPr>
            <w:tcW w:w="12345" w:type="dxa"/>
            <w:hideMark/>
          </w:tcPr>
          <w:p w14:paraId="4FC834DE" w14:textId="77777777" w:rsidR="003C30A0" w:rsidRPr="004D0DCE" w:rsidRDefault="003C30A0" w:rsidP="003C30A0">
            <w:pPr>
              <w:cnfStyle w:val="100000000000" w:firstRow="1"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4D0DCE">
              <w:rPr>
                <w:rFonts w:eastAsia="Times New Roman" w:cs="Calibri"/>
                <w:color w:val="000000"/>
                <w:sz w:val="22"/>
                <w:szCs w:val="22"/>
                <w:lang w:val="es-CR"/>
              </w:rPr>
              <w:t>Efectos COVID</w:t>
            </w:r>
          </w:p>
        </w:tc>
      </w:tr>
      <w:tr w:rsidR="003C30A0" w:rsidRPr="004D0DCE" w14:paraId="4784F288" w14:textId="77777777" w:rsidTr="00A8066D">
        <w:trPr>
          <w:cnfStyle w:val="000000100000" w:firstRow="0" w:lastRow="0" w:firstColumn="0" w:lastColumn="0" w:oddVBand="0" w:evenVBand="0" w:oddHBand="1" w:evenHBand="0" w:firstRowFirstColumn="0" w:firstRowLastColumn="0" w:lastRowFirstColumn="0" w:lastRowLastColumn="0"/>
          <w:trHeight w:val="531"/>
          <w:jc w:val="center"/>
        </w:trPr>
        <w:tc>
          <w:tcPr>
            <w:cnfStyle w:val="001000000000" w:firstRow="0" w:lastRow="0" w:firstColumn="1" w:lastColumn="0" w:oddVBand="0" w:evenVBand="0" w:oddHBand="0" w:evenHBand="0" w:firstRowFirstColumn="0" w:firstRowLastColumn="0" w:lastRowFirstColumn="0" w:lastRowLastColumn="0"/>
            <w:tcW w:w="975" w:type="dxa"/>
            <w:hideMark/>
          </w:tcPr>
          <w:p w14:paraId="14B506E2" w14:textId="77777777" w:rsidR="003C30A0" w:rsidRPr="004D0DCE" w:rsidRDefault="003C30A0" w:rsidP="003C30A0">
            <w:pPr>
              <w:rPr>
                <w:rFonts w:eastAsia="Times New Roman" w:cs="Calibri"/>
                <w:color w:val="000000"/>
                <w:lang w:val="es-CR"/>
              </w:rPr>
            </w:pPr>
            <w:r w:rsidRPr="004D0DCE">
              <w:rPr>
                <w:rFonts w:eastAsia="Times New Roman" w:cs="Calibri"/>
                <w:color w:val="000000"/>
                <w:lang w:val="es-CR"/>
              </w:rPr>
              <w:t>RIVM</w:t>
            </w:r>
          </w:p>
        </w:tc>
        <w:tc>
          <w:tcPr>
            <w:tcW w:w="12345" w:type="dxa"/>
            <w:hideMark/>
          </w:tcPr>
          <w:p w14:paraId="7FD5C8CA" w14:textId="3A97F975" w:rsidR="003C30A0" w:rsidRPr="004D0DCE" w:rsidRDefault="003C30A0" w:rsidP="00C80881">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D0DCE">
              <w:rPr>
                <w:rFonts w:eastAsia="Times New Roman" w:cs="Calibri"/>
                <w:color w:val="000000"/>
                <w:lang w:val="es-CR"/>
              </w:rPr>
              <w:t xml:space="preserve">De marzo a agosto de 2020, se evidencia una disminución de 80 758 afiliados lo que corresponde a una reducción de </w:t>
            </w:r>
            <w:r w:rsidR="001E650B" w:rsidRPr="004D0DCE">
              <w:rPr>
                <w:rFonts w:eastAsia="Times New Roman" w:cs="Calibri"/>
                <w:color w:val="000000"/>
                <w:lang w:val="es-CR"/>
              </w:rPr>
              <w:t>₡</w:t>
            </w:r>
            <w:r w:rsidRPr="004D0DCE">
              <w:rPr>
                <w:rFonts w:eastAsia="Times New Roman" w:cs="Calibri"/>
                <w:color w:val="000000"/>
                <w:lang w:val="es-CR"/>
              </w:rPr>
              <w:t xml:space="preserve">112 419 millones en la masa salarial y recaudación de la institución. La deuda estatal a agosto de 2020 alcanzó los </w:t>
            </w:r>
            <w:r w:rsidR="001E650B" w:rsidRPr="004D0DCE">
              <w:rPr>
                <w:rFonts w:eastAsia="Times New Roman" w:cs="Calibri"/>
                <w:color w:val="000000"/>
                <w:lang w:val="es-CR"/>
              </w:rPr>
              <w:t>₡</w:t>
            </w:r>
            <w:r w:rsidRPr="004D0DCE">
              <w:rPr>
                <w:rFonts w:eastAsia="Times New Roman" w:cs="Calibri"/>
                <w:color w:val="000000"/>
                <w:lang w:val="es-CR"/>
              </w:rPr>
              <w:t>321,8 mil millones, sufriendo un incremento del 5% con respecto a marzo 2020.</w:t>
            </w:r>
          </w:p>
        </w:tc>
      </w:tr>
      <w:tr w:rsidR="003C30A0" w:rsidRPr="004D0DCE" w14:paraId="37F826CE" w14:textId="77777777" w:rsidTr="00A8066D">
        <w:trPr>
          <w:trHeight w:val="640"/>
          <w:jc w:val="center"/>
        </w:trPr>
        <w:tc>
          <w:tcPr>
            <w:cnfStyle w:val="001000000000" w:firstRow="0" w:lastRow="0" w:firstColumn="1" w:lastColumn="0" w:oddVBand="0" w:evenVBand="0" w:oddHBand="0" w:evenHBand="0" w:firstRowFirstColumn="0" w:firstRowLastColumn="0" w:lastRowFirstColumn="0" w:lastRowLastColumn="0"/>
            <w:tcW w:w="975" w:type="dxa"/>
            <w:hideMark/>
          </w:tcPr>
          <w:p w14:paraId="52591CB4" w14:textId="77777777" w:rsidR="003C30A0" w:rsidRPr="004D0DCE" w:rsidRDefault="003C30A0" w:rsidP="003C30A0">
            <w:pPr>
              <w:rPr>
                <w:rFonts w:eastAsia="Times New Roman" w:cs="Calibri"/>
                <w:color w:val="000000"/>
                <w:lang w:val="es-CR"/>
              </w:rPr>
            </w:pPr>
            <w:r w:rsidRPr="004D0DCE">
              <w:rPr>
                <w:rFonts w:eastAsia="Times New Roman" w:cs="Calibri"/>
                <w:color w:val="000000"/>
                <w:lang w:val="es-CR"/>
              </w:rPr>
              <w:t>RNC</w:t>
            </w:r>
          </w:p>
        </w:tc>
        <w:tc>
          <w:tcPr>
            <w:tcW w:w="12345" w:type="dxa"/>
            <w:hideMark/>
          </w:tcPr>
          <w:p w14:paraId="3FAF024D" w14:textId="35AF6A61" w:rsidR="003C30A0" w:rsidRPr="004D0DCE" w:rsidRDefault="003C30A0" w:rsidP="00C80881">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D0DCE">
              <w:rPr>
                <w:rFonts w:eastAsia="Times New Roman" w:cs="Calibri"/>
                <w:color w:val="000000"/>
                <w:lang w:val="es-CR"/>
              </w:rPr>
              <w:t xml:space="preserve">La CCSS informó que aprobará 3 600 nuevas solicitudes (50% del total de casos pendientes de personas registradas en pobreza según el SINIRUBE) producto de la inyección de recursos financieros que realizó el Gobierno Central posterior a la aprobación en segundo debate del presupuesto extraordinario de la República en la Asamblea Legislativa. Actualmente el RNC otorga 128 mil pensiones por un monto equivalente a </w:t>
            </w:r>
            <w:r w:rsidR="001E650B" w:rsidRPr="004D0DCE">
              <w:rPr>
                <w:rFonts w:eastAsia="Times New Roman" w:cs="Calibri"/>
                <w:color w:val="000000"/>
                <w:lang w:val="es-CR"/>
              </w:rPr>
              <w:t>₡</w:t>
            </w:r>
            <w:r w:rsidRPr="004D0DCE">
              <w:rPr>
                <w:rFonts w:eastAsia="Times New Roman" w:cs="Calibri"/>
                <w:color w:val="000000"/>
                <w:lang w:val="es-CR"/>
              </w:rPr>
              <w:t>11 500 millones mensuales.</w:t>
            </w:r>
          </w:p>
        </w:tc>
      </w:tr>
      <w:tr w:rsidR="003C30A0" w:rsidRPr="004D0DCE" w14:paraId="2385E8FF" w14:textId="77777777" w:rsidTr="00A8066D">
        <w:trPr>
          <w:cnfStyle w:val="000000100000" w:firstRow="0" w:lastRow="0" w:firstColumn="0" w:lastColumn="0" w:oddVBand="0" w:evenVBand="0" w:oddHBand="1" w:evenHBand="0" w:firstRowFirstColumn="0" w:firstRowLastColumn="0" w:lastRowFirstColumn="0" w:lastRowLastColumn="0"/>
          <w:trHeight w:val="88"/>
          <w:jc w:val="center"/>
        </w:trPr>
        <w:tc>
          <w:tcPr>
            <w:cnfStyle w:val="001000000000" w:firstRow="0" w:lastRow="0" w:firstColumn="1" w:lastColumn="0" w:oddVBand="0" w:evenVBand="0" w:oddHBand="0" w:evenHBand="0" w:firstRowFirstColumn="0" w:firstRowLastColumn="0" w:lastRowFirstColumn="0" w:lastRowLastColumn="0"/>
            <w:tcW w:w="975" w:type="dxa"/>
            <w:hideMark/>
          </w:tcPr>
          <w:p w14:paraId="45F576B7" w14:textId="77777777" w:rsidR="003C30A0" w:rsidRPr="004D0DCE" w:rsidRDefault="003C30A0" w:rsidP="003C30A0">
            <w:pPr>
              <w:rPr>
                <w:rFonts w:eastAsia="Times New Roman" w:cs="Calibri"/>
                <w:color w:val="000000"/>
                <w:lang w:val="es-CR"/>
              </w:rPr>
            </w:pPr>
            <w:r w:rsidRPr="004D0DCE">
              <w:rPr>
                <w:rFonts w:eastAsia="Times New Roman" w:cs="Calibri"/>
                <w:color w:val="000000"/>
                <w:lang w:val="es-CR"/>
              </w:rPr>
              <w:t>FVENLOT</w:t>
            </w:r>
          </w:p>
        </w:tc>
        <w:tc>
          <w:tcPr>
            <w:tcW w:w="12345" w:type="dxa"/>
            <w:hideMark/>
          </w:tcPr>
          <w:p w14:paraId="74D82810" w14:textId="77777777" w:rsidR="003C30A0" w:rsidRPr="004D0DCE" w:rsidRDefault="003C30A0" w:rsidP="003C30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D0DCE">
              <w:rPr>
                <w:rFonts w:eastAsia="Times New Roman" w:cs="Calibri"/>
                <w:color w:val="000000"/>
                <w:lang w:val="es-CR"/>
              </w:rPr>
              <w:t>FOMUVEL está planteando ante la JPS que se autorice su comercialización a través de una plataforma digital.</w:t>
            </w:r>
          </w:p>
        </w:tc>
      </w:tr>
    </w:tbl>
    <w:p w14:paraId="029C7717" w14:textId="35AADCAB" w:rsidR="00191B26" w:rsidRDefault="00A01AB1" w:rsidP="00A01AB1">
      <w:pPr>
        <w:pStyle w:val="Descripcin"/>
        <w:spacing w:after="0"/>
      </w:pPr>
      <w:r>
        <w:t>Fuente: Elaboración propia</w:t>
      </w:r>
    </w:p>
    <w:p w14:paraId="7BC7115C" w14:textId="77777777" w:rsidR="00464F4C" w:rsidRDefault="00464F4C" w:rsidP="003C30A0">
      <w:pPr>
        <w:pStyle w:val="Descripcin"/>
        <w:spacing w:after="0"/>
        <w:jc w:val="center"/>
      </w:pPr>
    </w:p>
    <w:p w14:paraId="54010B11" w14:textId="172B862C" w:rsidR="003C30A0" w:rsidRPr="004D0DCE" w:rsidRDefault="003C30A0" w:rsidP="003C30A0">
      <w:pPr>
        <w:pStyle w:val="Descripcin"/>
        <w:spacing w:after="0"/>
        <w:jc w:val="center"/>
        <w:rPr>
          <w:sz w:val="22"/>
          <w:szCs w:val="22"/>
        </w:rPr>
      </w:pPr>
      <w:r w:rsidRPr="004D0DCE">
        <w:rPr>
          <w:sz w:val="22"/>
          <w:szCs w:val="22"/>
        </w:rPr>
        <w:t xml:space="preserve">Tabla </w:t>
      </w:r>
      <w:r w:rsidRPr="004D0DCE">
        <w:rPr>
          <w:sz w:val="22"/>
          <w:szCs w:val="22"/>
        </w:rPr>
        <w:fldChar w:fldCharType="begin"/>
      </w:r>
      <w:r w:rsidRPr="004D0DCE">
        <w:rPr>
          <w:sz w:val="22"/>
          <w:szCs w:val="22"/>
        </w:rPr>
        <w:instrText xml:space="preserve"> SEQ Tabla \* ARABIC </w:instrText>
      </w:r>
      <w:r w:rsidRPr="004D0DCE">
        <w:rPr>
          <w:sz w:val="22"/>
          <w:szCs w:val="22"/>
        </w:rPr>
        <w:fldChar w:fldCharType="separate"/>
      </w:r>
      <w:r w:rsidR="00E620DA" w:rsidRPr="004D0DCE">
        <w:rPr>
          <w:noProof/>
          <w:sz w:val="22"/>
          <w:szCs w:val="22"/>
        </w:rPr>
        <w:t>4</w:t>
      </w:r>
      <w:r w:rsidRPr="004D0DCE">
        <w:rPr>
          <w:sz w:val="22"/>
          <w:szCs w:val="22"/>
        </w:rPr>
        <w:fldChar w:fldCharType="end"/>
      </w:r>
      <w:r w:rsidRPr="004D0DCE">
        <w:rPr>
          <w:sz w:val="22"/>
          <w:szCs w:val="22"/>
        </w:rPr>
        <w:t>:</w:t>
      </w:r>
      <w:r w:rsidR="00CF25F2" w:rsidRPr="004D0DCE">
        <w:rPr>
          <w:sz w:val="22"/>
          <w:szCs w:val="22"/>
        </w:rPr>
        <w:t xml:space="preserve"> Medidas</w:t>
      </w:r>
      <w:r w:rsidRPr="004D0DCE">
        <w:rPr>
          <w:sz w:val="22"/>
          <w:szCs w:val="22"/>
        </w:rPr>
        <w:t xml:space="preserve"> tomadas por los fondos</w:t>
      </w:r>
      <w:r w:rsidR="000014E8" w:rsidRPr="004D0DCE">
        <w:rPr>
          <w:sz w:val="22"/>
          <w:szCs w:val="22"/>
        </w:rPr>
        <w:t xml:space="preserve"> por </w:t>
      </w:r>
      <w:r w:rsidR="00CF25F2" w:rsidRPr="004D0DCE">
        <w:rPr>
          <w:sz w:val="22"/>
          <w:szCs w:val="22"/>
        </w:rPr>
        <w:t>e</w:t>
      </w:r>
      <w:r w:rsidR="000014E8" w:rsidRPr="004D0DCE">
        <w:rPr>
          <w:sz w:val="22"/>
          <w:szCs w:val="22"/>
        </w:rPr>
        <w:t>l COVID-19</w:t>
      </w:r>
    </w:p>
    <w:p w14:paraId="47126F21" w14:textId="0D1B0967" w:rsidR="003C30A0" w:rsidRPr="004D0DCE" w:rsidRDefault="003C30A0" w:rsidP="003C30A0">
      <w:pPr>
        <w:pStyle w:val="Descripcin"/>
        <w:spacing w:after="0"/>
        <w:jc w:val="center"/>
        <w:rPr>
          <w:sz w:val="22"/>
          <w:szCs w:val="22"/>
        </w:rPr>
      </w:pPr>
      <w:r w:rsidRPr="004D0DCE">
        <w:rPr>
          <w:sz w:val="22"/>
          <w:szCs w:val="22"/>
        </w:rPr>
        <w:t>Regímenes de Capitalización Colectiva</w:t>
      </w:r>
    </w:p>
    <w:p w14:paraId="614462CC" w14:textId="29A4A259" w:rsidR="000014E8" w:rsidRPr="004D0DCE" w:rsidRDefault="000014E8" w:rsidP="000014E8">
      <w:pPr>
        <w:pStyle w:val="Descripcin"/>
        <w:spacing w:after="0"/>
        <w:jc w:val="center"/>
        <w:rPr>
          <w:sz w:val="22"/>
          <w:szCs w:val="22"/>
        </w:rPr>
      </w:pPr>
      <w:r w:rsidRPr="004D0DCE">
        <w:rPr>
          <w:sz w:val="22"/>
          <w:szCs w:val="22"/>
        </w:rPr>
        <w:t>Durante el tercer trimestre del 2020</w:t>
      </w:r>
    </w:p>
    <w:tbl>
      <w:tblPr>
        <w:tblStyle w:val="Tablaconcuadrcula4-nfasis1"/>
        <w:tblW w:w="13178" w:type="dxa"/>
        <w:jc w:val="center"/>
        <w:tblLook w:val="04A0" w:firstRow="1" w:lastRow="0" w:firstColumn="1" w:lastColumn="0" w:noHBand="0" w:noVBand="1"/>
      </w:tblPr>
      <w:tblGrid>
        <w:gridCol w:w="910"/>
        <w:gridCol w:w="12331"/>
      </w:tblGrid>
      <w:tr w:rsidR="005E1425" w:rsidRPr="004D0DCE" w14:paraId="24D89B55" w14:textId="77777777" w:rsidTr="00A8066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7" w:type="dxa"/>
            <w:noWrap/>
            <w:hideMark/>
          </w:tcPr>
          <w:p w14:paraId="12CB9747" w14:textId="77777777" w:rsidR="005E1425" w:rsidRPr="004D0DCE" w:rsidRDefault="005E1425" w:rsidP="005E1425">
            <w:pPr>
              <w:rPr>
                <w:rFonts w:asciiTheme="minorHAnsi" w:eastAsia="Times New Roman" w:hAnsiTheme="minorHAnsi" w:cstheme="minorHAnsi"/>
                <w:sz w:val="24"/>
                <w:szCs w:val="24"/>
                <w:lang w:val="es-CR"/>
              </w:rPr>
            </w:pPr>
            <w:r w:rsidRPr="004D0DCE">
              <w:rPr>
                <w:rFonts w:asciiTheme="minorHAnsi" w:eastAsia="Times New Roman" w:hAnsiTheme="minorHAnsi" w:cstheme="minorHAnsi"/>
                <w:sz w:val="24"/>
                <w:szCs w:val="24"/>
                <w:lang w:val="es-CR"/>
              </w:rPr>
              <w:t>Fondo</w:t>
            </w:r>
          </w:p>
        </w:tc>
        <w:tc>
          <w:tcPr>
            <w:tcW w:w="12331" w:type="dxa"/>
            <w:noWrap/>
            <w:hideMark/>
          </w:tcPr>
          <w:p w14:paraId="27773FD5" w14:textId="4FD38498" w:rsidR="005E1425" w:rsidRPr="004D0DCE" w:rsidRDefault="00CF25F2" w:rsidP="005E1425">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lang w:val="es-CR"/>
              </w:rPr>
            </w:pPr>
            <w:r w:rsidRPr="004D0DCE">
              <w:rPr>
                <w:rFonts w:asciiTheme="minorHAnsi" w:eastAsia="Times New Roman" w:hAnsiTheme="minorHAnsi" w:cstheme="minorHAnsi"/>
                <w:sz w:val="24"/>
                <w:szCs w:val="24"/>
                <w:lang w:val="es-CR"/>
              </w:rPr>
              <w:t>Medidas tomadas</w:t>
            </w:r>
          </w:p>
        </w:tc>
      </w:tr>
      <w:tr w:rsidR="005E1425" w:rsidRPr="004D0DCE" w14:paraId="60B661D1" w14:textId="77777777" w:rsidTr="00A8066D">
        <w:trPr>
          <w:cnfStyle w:val="000000100000" w:firstRow="0" w:lastRow="0" w:firstColumn="0" w:lastColumn="0" w:oddVBand="0" w:evenVBand="0" w:oddHBand="1" w:evenHBand="0" w:firstRowFirstColumn="0" w:firstRowLastColumn="0" w:lastRowFirstColumn="0" w:lastRowLastColumn="0"/>
          <w:trHeight w:val="2507"/>
          <w:jc w:val="center"/>
        </w:trPr>
        <w:tc>
          <w:tcPr>
            <w:cnfStyle w:val="001000000000" w:firstRow="0" w:lastRow="0" w:firstColumn="1" w:lastColumn="0" w:oddVBand="0" w:evenVBand="0" w:oddHBand="0" w:evenHBand="0" w:firstRowFirstColumn="0" w:firstRowLastColumn="0" w:lastRowFirstColumn="0" w:lastRowLastColumn="0"/>
            <w:tcW w:w="847" w:type="dxa"/>
            <w:hideMark/>
          </w:tcPr>
          <w:p w14:paraId="24CBD443" w14:textId="77777777" w:rsidR="005E1425" w:rsidRPr="004D0DCE" w:rsidRDefault="005E1425" w:rsidP="005E1425">
            <w:pPr>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color w:val="000000"/>
                <w:sz w:val="22"/>
                <w:szCs w:val="22"/>
                <w:lang w:val="es-CR"/>
              </w:rPr>
              <w:t>RIVM</w:t>
            </w:r>
          </w:p>
        </w:tc>
        <w:tc>
          <w:tcPr>
            <w:tcW w:w="12331" w:type="dxa"/>
            <w:hideMark/>
          </w:tcPr>
          <w:p w14:paraId="3A9AD3A6" w14:textId="5319F470" w:rsidR="005E1425" w:rsidRPr="004D0DCE" w:rsidRDefault="005E1425" w:rsidP="005E142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b/>
                <w:bCs/>
                <w:color w:val="000000"/>
                <w:sz w:val="22"/>
                <w:szCs w:val="22"/>
                <w:u w:val="single"/>
                <w:lang w:val="es-CR"/>
              </w:rPr>
              <w:t>Créditos:</w:t>
            </w:r>
            <w:r w:rsidRPr="004D0DCE">
              <w:rPr>
                <w:rFonts w:asciiTheme="minorHAnsi" w:eastAsia="Times New Roman" w:hAnsiTheme="minorHAnsi" w:cstheme="minorHAnsi"/>
                <w:color w:val="000000"/>
                <w:sz w:val="22"/>
                <w:szCs w:val="22"/>
                <w:lang w:val="es-CR"/>
              </w:rPr>
              <w:br/>
              <w:t>- Se postergan pagos de cuotas desde julio a diciembre 2020.</w:t>
            </w:r>
            <w:r w:rsidRPr="004D0DCE">
              <w:rPr>
                <w:rFonts w:asciiTheme="minorHAnsi" w:eastAsia="Times New Roman" w:hAnsiTheme="minorHAnsi" w:cstheme="minorHAnsi"/>
                <w:color w:val="000000"/>
                <w:sz w:val="22"/>
                <w:szCs w:val="22"/>
                <w:lang w:val="es-CR"/>
              </w:rPr>
              <w:br/>
            </w:r>
            <w:r w:rsidRPr="004D0DCE">
              <w:rPr>
                <w:rFonts w:asciiTheme="minorHAnsi" w:eastAsia="Times New Roman" w:hAnsiTheme="minorHAnsi" w:cstheme="minorHAnsi"/>
                <w:b/>
                <w:bCs/>
                <w:color w:val="000000"/>
                <w:sz w:val="22"/>
                <w:szCs w:val="22"/>
                <w:u w:val="single"/>
                <w:lang w:val="es-CR"/>
              </w:rPr>
              <w:t>Aportes de patronos y trabajadores independientes:</w:t>
            </w:r>
            <w:r w:rsidRPr="004D0DCE">
              <w:rPr>
                <w:rFonts w:asciiTheme="minorHAnsi" w:eastAsia="Times New Roman" w:hAnsiTheme="minorHAnsi" w:cstheme="minorHAnsi"/>
                <w:color w:val="000000"/>
                <w:sz w:val="22"/>
                <w:szCs w:val="22"/>
                <w:lang w:val="es-CR"/>
              </w:rPr>
              <w:br/>
              <w:t>- Se posterga a agosto la reducción de la base mínima contributiva:</w:t>
            </w:r>
            <w:r w:rsidRPr="004D0DCE">
              <w:rPr>
                <w:rFonts w:asciiTheme="minorHAnsi" w:eastAsia="Times New Roman" w:hAnsiTheme="minorHAnsi" w:cstheme="minorHAnsi"/>
                <w:color w:val="000000"/>
                <w:sz w:val="22"/>
                <w:szCs w:val="22"/>
                <w:lang w:val="es-CR"/>
              </w:rPr>
              <w:br/>
              <w:t xml:space="preserve">       </w:t>
            </w:r>
            <w:r w:rsidR="001C657A" w:rsidRPr="004D0DCE">
              <w:rPr>
                <w:rFonts w:asciiTheme="minorHAnsi" w:eastAsia="Times New Roman" w:hAnsiTheme="minorHAnsi" w:cstheme="minorHAnsi"/>
                <w:color w:val="000000"/>
                <w:sz w:val="22"/>
                <w:szCs w:val="22"/>
                <w:lang w:val="es-CR"/>
              </w:rPr>
              <w:t>P</w:t>
            </w:r>
            <w:r w:rsidRPr="004D0DCE">
              <w:rPr>
                <w:rFonts w:asciiTheme="minorHAnsi" w:eastAsia="Times New Roman" w:hAnsiTheme="minorHAnsi" w:cstheme="minorHAnsi"/>
                <w:color w:val="000000"/>
                <w:sz w:val="22"/>
                <w:szCs w:val="22"/>
                <w:lang w:val="es-CR"/>
              </w:rPr>
              <w:t xml:space="preserve">lanillas patronales, la base mínima contributiva se mantendrá reducida a un 25% respecto </w:t>
            </w:r>
            <w:r w:rsidR="00F34A7B" w:rsidRPr="004D0DCE">
              <w:rPr>
                <w:rFonts w:asciiTheme="minorHAnsi" w:eastAsia="Times New Roman" w:hAnsiTheme="minorHAnsi" w:cstheme="minorHAnsi"/>
                <w:color w:val="000000"/>
                <w:sz w:val="22"/>
                <w:szCs w:val="22"/>
                <w:lang w:val="es-CR"/>
              </w:rPr>
              <w:t>a</w:t>
            </w:r>
            <w:r w:rsidRPr="004D0DCE">
              <w:rPr>
                <w:rFonts w:asciiTheme="minorHAnsi" w:eastAsia="Times New Roman" w:hAnsiTheme="minorHAnsi" w:cstheme="minorHAnsi"/>
                <w:color w:val="000000"/>
                <w:sz w:val="22"/>
                <w:szCs w:val="22"/>
                <w:lang w:val="es-CR"/>
              </w:rPr>
              <w:t xml:space="preserve"> febrero 2020.</w:t>
            </w:r>
            <w:r w:rsidRPr="004D0DCE">
              <w:rPr>
                <w:rFonts w:asciiTheme="minorHAnsi" w:eastAsia="Times New Roman" w:hAnsiTheme="minorHAnsi" w:cstheme="minorHAnsi"/>
                <w:color w:val="000000"/>
                <w:sz w:val="22"/>
                <w:szCs w:val="22"/>
                <w:lang w:val="es-CR"/>
              </w:rPr>
              <w:br/>
              <w:t xml:space="preserve">       </w:t>
            </w:r>
            <w:r w:rsidR="001C657A" w:rsidRPr="004D0DCE">
              <w:rPr>
                <w:rFonts w:asciiTheme="minorHAnsi" w:eastAsia="Times New Roman" w:hAnsiTheme="minorHAnsi" w:cstheme="minorHAnsi"/>
                <w:color w:val="000000"/>
                <w:sz w:val="22"/>
                <w:szCs w:val="22"/>
                <w:lang w:val="es-CR"/>
              </w:rPr>
              <w:t>A</w:t>
            </w:r>
            <w:r w:rsidRPr="004D0DCE">
              <w:rPr>
                <w:rFonts w:asciiTheme="minorHAnsi" w:eastAsia="Times New Roman" w:hAnsiTheme="minorHAnsi" w:cstheme="minorHAnsi"/>
                <w:color w:val="000000"/>
                <w:sz w:val="22"/>
                <w:szCs w:val="22"/>
                <w:lang w:val="es-CR"/>
              </w:rPr>
              <w:t>segurados voluntarios y trabajadores independientes</w:t>
            </w:r>
            <w:r w:rsidR="001C657A" w:rsidRPr="004D0DCE">
              <w:rPr>
                <w:rFonts w:asciiTheme="minorHAnsi" w:eastAsia="Times New Roman" w:hAnsiTheme="minorHAnsi" w:cstheme="minorHAnsi"/>
                <w:color w:val="000000"/>
                <w:sz w:val="22"/>
                <w:szCs w:val="22"/>
                <w:lang w:val="es-CR"/>
              </w:rPr>
              <w:t>,</w:t>
            </w:r>
            <w:r w:rsidRPr="004D0DCE">
              <w:rPr>
                <w:rFonts w:asciiTheme="minorHAnsi" w:eastAsia="Times New Roman" w:hAnsiTheme="minorHAnsi" w:cstheme="minorHAnsi"/>
                <w:color w:val="000000"/>
                <w:sz w:val="22"/>
                <w:szCs w:val="22"/>
                <w:lang w:val="es-CR"/>
              </w:rPr>
              <w:t xml:space="preserve"> se redujo un 75% </w:t>
            </w:r>
            <w:r w:rsidR="00F34A7B" w:rsidRPr="004D0DCE">
              <w:rPr>
                <w:rFonts w:asciiTheme="minorHAnsi" w:eastAsia="Times New Roman" w:hAnsiTheme="minorHAnsi" w:cstheme="minorHAnsi"/>
                <w:color w:val="000000"/>
                <w:sz w:val="22"/>
                <w:szCs w:val="22"/>
                <w:lang w:val="es-CR"/>
              </w:rPr>
              <w:t xml:space="preserve">respecto a </w:t>
            </w:r>
            <w:r w:rsidRPr="004D0DCE">
              <w:rPr>
                <w:rFonts w:asciiTheme="minorHAnsi" w:eastAsia="Times New Roman" w:hAnsiTheme="minorHAnsi" w:cstheme="minorHAnsi"/>
                <w:color w:val="000000"/>
                <w:sz w:val="22"/>
                <w:szCs w:val="22"/>
                <w:lang w:val="es-CR"/>
              </w:rPr>
              <w:t>febrero 2020.</w:t>
            </w:r>
            <w:r w:rsidRPr="004D0DCE">
              <w:rPr>
                <w:rFonts w:asciiTheme="minorHAnsi" w:eastAsia="Times New Roman" w:hAnsiTheme="minorHAnsi" w:cstheme="minorHAnsi"/>
                <w:color w:val="000000"/>
                <w:sz w:val="22"/>
                <w:szCs w:val="22"/>
                <w:lang w:val="es-CR"/>
              </w:rPr>
              <w:br/>
              <w:t xml:space="preserve">- Hasta agosto el impacto era de </w:t>
            </w:r>
            <w:r w:rsidR="001E650B" w:rsidRPr="004D0DCE">
              <w:rPr>
                <w:rFonts w:asciiTheme="minorHAnsi" w:eastAsia="Times New Roman" w:hAnsiTheme="minorHAnsi" w:cstheme="minorHAnsi"/>
                <w:color w:val="000000"/>
                <w:sz w:val="22"/>
                <w:szCs w:val="22"/>
                <w:lang w:val="es-CR"/>
              </w:rPr>
              <w:t>₡</w:t>
            </w:r>
            <w:r w:rsidRPr="004D0DCE">
              <w:rPr>
                <w:rFonts w:asciiTheme="minorHAnsi" w:eastAsia="Times New Roman" w:hAnsiTheme="minorHAnsi" w:cstheme="minorHAnsi"/>
                <w:color w:val="000000"/>
                <w:sz w:val="22"/>
                <w:szCs w:val="22"/>
                <w:lang w:val="es-CR"/>
              </w:rPr>
              <w:t xml:space="preserve">7 118 millones. </w:t>
            </w:r>
            <w:r w:rsidRPr="004D0DCE">
              <w:rPr>
                <w:rFonts w:asciiTheme="minorHAnsi" w:eastAsia="Times New Roman" w:hAnsiTheme="minorHAnsi" w:cstheme="minorHAnsi"/>
                <w:color w:val="000000"/>
                <w:sz w:val="22"/>
                <w:szCs w:val="22"/>
                <w:lang w:val="es-CR"/>
              </w:rPr>
              <w:br/>
            </w:r>
            <w:r w:rsidRPr="004D0DCE">
              <w:rPr>
                <w:rFonts w:asciiTheme="minorHAnsi" w:eastAsia="Times New Roman" w:hAnsiTheme="minorHAnsi" w:cstheme="minorHAnsi"/>
                <w:b/>
                <w:bCs/>
                <w:color w:val="000000"/>
                <w:sz w:val="22"/>
                <w:szCs w:val="22"/>
                <w:u w:val="single"/>
                <w:lang w:val="es-CR"/>
              </w:rPr>
              <w:t>Flujo de caja proyectado de julio a setiembre (escenario base):</w:t>
            </w:r>
            <w:r w:rsidRPr="004D0DCE">
              <w:rPr>
                <w:rFonts w:asciiTheme="minorHAnsi" w:eastAsia="Times New Roman" w:hAnsiTheme="minorHAnsi" w:cstheme="minorHAnsi"/>
                <w:color w:val="000000"/>
                <w:sz w:val="22"/>
                <w:szCs w:val="22"/>
                <w:lang w:val="es-CR"/>
              </w:rPr>
              <w:br/>
              <w:t xml:space="preserve">- Los gastos se mantienen similar a lo proyectado, </w:t>
            </w:r>
            <w:r w:rsidR="001E650B" w:rsidRPr="004D0DCE">
              <w:rPr>
                <w:rFonts w:asciiTheme="minorHAnsi" w:eastAsia="Times New Roman" w:hAnsiTheme="minorHAnsi" w:cstheme="minorHAnsi"/>
                <w:color w:val="000000"/>
                <w:sz w:val="22"/>
                <w:szCs w:val="22"/>
                <w:lang w:val="es-CR"/>
              </w:rPr>
              <w:t>₡</w:t>
            </w:r>
            <w:r w:rsidRPr="004D0DCE">
              <w:rPr>
                <w:rFonts w:asciiTheme="minorHAnsi" w:eastAsia="Times New Roman" w:hAnsiTheme="minorHAnsi" w:cstheme="minorHAnsi"/>
                <w:color w:val="000000"/>
                <w:sz w:val="22"/>
                <w:szCs w:val="22"/>
                <w:lang w:val="es-CR"/>
              </w:rPr>
              <w:t xml:space="preserve">289 953 millones, con una tasa del 96%. </w:t>
            </w:r>
            <w:r w:rsidRPr="004D0DCE">
              <w:rPr>
                <w:rFonts w:asciiTheme="minorHAnsi" w:eastAsia="Times New Roman" w:hAnsiTheme="minorHAnsi" w:cstheme="minorHAnsi"/>
                <w:color w:val="000000"/>
                <w:sz w:val="22"/>
                <w:szCs w:val="22"/>
                <w:lang w:val="es-CR"/>
              </w:rPr>
              <w:br/>
              <w:t xml:space="preserve">- El ingreso fue </w:t>
            </w:r>
            <w:r w:rsidR="001E650B" w:rsidRPr="004D0DCE">
              <w:rPr>
                <w:rFonts w:asciiTheme="minorHAnsi" w:eastAsia="Times New Roman" w:hAnsiTheme="minorHAnsi" w:cstheme="minorHAnsi"/>
                <w:color w:val="000000"/>
                <w:sz w:val="22"/>
                <w:szCs w:val="22"/>
                <w:lang w:val="es-CR"/>
              </w:rPr>
              <w:t>₡</w:t>
            </w:r>
            <w:r w:rsidRPr="004D0DCE">
              <w:rPr>
                <w:rFonts w:asciiTheme="minorHAnsi" w:eastAsia="Times New Roman" w:hAnsiTheme="minorHAnsi" w:cstheme="minorHAnsi"/>
                <w:color w:val="000000"/>
                <w:sz w:val="22"/>
                <w:szCs w:val="22"/>
                <w:lang w:val="es-CR"/>
              </w:rPr>
              <w:t xml:space="preserve">280 118 millones, el cual fue subestimado con respecto al proyectado en </w:t>
            </w:r>
            <w:r w:rsidR="001E650B" w:rsidRPr="004D0DCE">
              <w:rPr>
                <w:rFonts w:asciiTheme="minorHAnsi" w:eastAsia="Times New Roman" w:hAnsiTheme="minorHAnsi" w:cstheme="minorHAnsi"/>
                <w:color w:val="000000"/>
                <w:sz w:val="22"/>
                <w:szCs w:val="22"/>
                <w:lang w:val="es-CR"/>
              </w:rPr>
              <w:t>₡</w:t>
            </w:r>
            <w:r w:rsidRPr="004D0DCE">
              <w:rPr>
                <w:rFonts w:asciiTheme="minorHAnsi" w:eastAsia="Times New Roman" w:hAnsiTheme="minorHAnsi" w:cstheme="minorHAnsi"/>
                <w:color w:val="000000"/>
                <w:sz w:val="22"/>
                <w:szCs w:val="22"/>
                <w:lang w:val="es-CR"/>
              </w:rPr>
              <w:t>58 485 millones.</w:t>
            </w:r>
            <w:r w:rsidRPr="004D0DCE">
              <w:rPr>
                <w:rFonts w:asciiTheme="minorHAnsi" w:eastAsia="Times New Roman" w:hAnsiTheme="minorHAnsi" w:cstheme="minorHAnsi"/>
                <w:color w:val="000000"/>
                <w:sz w:val="22"/>
                <w:szCs w:val="22"/>
                <w:lang w:val="es-CR"/>
              </w:rPr>
              <w:br/>
              <w:t>- Desde marzo 2020, la cuota estatal ha disminuido en un 66% y la cuota de los trabajadores un 21,50%.</w:t>
            </w:r>
          </w:p>
        </w:tc>
      </w:tr>
      <w:tr w:rsidR="005E1425" w:rsidRPr="004D0DCE" w14:paraId="20CFDB26" w14:textId="77777777" w:rsidTr="00A8066D">
        <w:trPr>
          <w:trHeight w:val="236"/>
          <w:jc w:val="center"/>
        </w:trPr>
        <w:tc>
          <w:tcPr>
            <w:cnfStyle w:val="001000000000" w:firstRow="0" w:lastRow="0" w:firstColumn="1" w:lastColumn="0" w:oddVBand="0" w:evenVBand="0" w:oddHBand="0" w:evenHBand="0" w:firstRowFirstColumn="0" w:firstRowLastColumn="0" w:lastRowFirstColumn="0" w:lastRowLastColumn="0"/>
            <w:tcW w:w="847" w:type="dxa"/>
            <w:hideMark/>
          </w:tcPr>
          <w:p w14:paraId="4FD378F3" w14:textId="77777777" w:rsidR="005E1425" w:rsidRPr="004D0DCE" w:rsidRDefault="005E1425" w:rsidP="005E1425">
            <w:pPr>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color w:val="000000"/>
                <w:sz w:val="22"/>
                <w:szCs w:val="22"/>
                <w:lang w:val="es-CR"/>
              </w:rPr>
              <w:t>FPJ</w:t>
            </w:r>
          </w:p>
        </w:tc>
        <w:tc>
          <w:tcPr>
            <w:tcW w:w="12331" w:type="dxa"/>
            <w:hideMark/>
          </w:tcPr>
          <w:p w14:paraId="7ED3DCF0" w14:textId="77777777" w:rsidR="005E1425" w:rsidRPr="004D0DCE" w:rsidRDefault="005E1425" w:rsidP="00CD5450">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color w:val="000000"/>
                <w:sz w:val="22"/>
                <w:szCs w:val="22"/>
                <w:lang w:val="es-CR"/>
              </w:rPr>
              <w:t>Mantiene el acuerdo tomado por la Junta Administrativa de no invertir en fondos de inversión inmobiliarios, hasta que el mercado muestre recuperación en este tipo de instrumentos.</w:t>
            </w:r>
          </w:p>
        </w:tc>
      </w:tr>
      <w:tr w:rsidR="005E1425" w:rsidRPr="004D0DCE" w14:paraId="02CAC025" w14:textId="77777777" w:rsidTr="00A8066D">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847" w:type="dxa"/>
            <w:hideMark/>
          </w:tcPr>
          <w:p w14:paraId="6117134D" w14:textId="77777777" w:rsidR="005E1425" w:rsidRPr="004D0DCE" w:rsidRDefault="005E1425" w:rsidP="005E1425">
            <w:pPr>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color w:val="000000"/>
                <w:sz w:val="22"/>
                <w:szCs w:val="22"/>
                <w:lang w:val="es-CR"/>
              </w:rPr>
              <w:t>RCCMN</w:t>
            </w:r>
          </w:p>
        </w:tc>
        <w:tc>
          <w:tcPr>
            <w:tcW w:w="12331" w:type="dxa"/>
            <w:hideMark/>
          </w:tcPr>
          <w:p w14:paraId="4D4C4A49" w14:textId="77777777" w:rsidR="005E1425" w:rsidRPr="004D0DCE" w:rsidRDefault="005E1425" w:rsidP="00CD5450">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color w:val="000000"/>
                <w:sz w:val="22"/>
                <w:szCs w:val="22"/>
                <w:lang w:val="es-CR"/>
              </w:rPr>
              <w:t>Decide no realizar inversiones adicionales en fondos inmobiliarios, dado el deterioro que continúan presentando estos instrumentos, el cual se ha visto agravado por la pandemia.</w:t>
            </w:r>
          </w:p>
        </w:tc>
      </w:tr>
      <w:tr w:rsidR="005E1425" w:rsidRPr="004D0DCE" w14:paraId="015145EF" w14:textId="77777777" w:rsidTr="00A8066D">
        <w:trPr>
          <w:trHeight w:val="73"/>
          <w:jc w:val="center"/>
        </w:trPr>
        <w:tc>
          <w:tcPr>
            <w:cnfStyle w:val="001000000000" w:firstRow="0" w:lastRow="0" w:firstColumn="1" w:lastColumn="0" w:oddVBand="0" w:evenVBand="0" w:oddHBand="0" w:evenHBand="0" w:firstRowFirstColumn="0" w:firstRowLastColumn="0" w:lastRowFirstColumn="0" w:lastRowLastColumn="0"/>
            <w:tcW w:w="847" w:type="dxa"/>
            <w:hideMark/>
          </w:tcPr>
          <w:p w14:paraId="3739F4F4" w14:textId="77777777" w:rsidR="005E1425" w:rsidRPr="004D0DCE" w:rsidRDefault="005E1425" w:rsidP="005E1425">
            <w:pPr>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color w:val="000000"/>
                <w:sz w:val="22"/>
                <w:szCs w:val="22"/>
                <w:lang w:val="es-CR"/>
              </w:rPr>
              <w:t>FRE</w:t>
            </w:r>
          </w:p>
        </w:tc>
        <w:tc>
          <w:tcPr>
            <w:tcW w:w="12331" w:type="dxa"/>
            <w:noWrap/>
            <w:hideMark/>
          </w:tcPr>
          <w:p w14:paraId="4577003F" w14:textId="0FB0C483" w:rsidR="005E1425" w:rsidRPr="004D0DCE" w:rsidRDefault="005E1425" w:rsidP="00CD5450">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2"/>
                <w:szCs w:val="22"/>
                <w:lang w:val="es-CR"/>
              </w:rPr>
            </w:pPr>
            <w:r w:rsidRPr="004D0DCE">
              <w:rPr>
                <w:rFonts w:asciiTheme="minorHAnsi" w:eastAsia="Times New Roman" w:hAnsiTheme="minorHAnsi" w:cstheme="minorHAnsi"/>
                <w:color w:val="000000"/>
                <w:sz w:val="22"/>
                <w:szCs w:val="22"/>
              </w:rPr>
              <w:t xml:space="preserve">El Comité de Inversiones modificó la estrategia adoptada para mitigar el riesgo de crédito del portafolio por el efecto del COVID-19.  Al respecto, acordó mantener un máximo de </w:t>
            </w:r>
            <w:r w:rsidR="001E650B" w:rsidRPr="004D0DCE">
              <w:rPr>
                <w:rFonts w:asciiTheme="minorHAnsi" w:eastAsia="Times New Roman" w:hAnsiTheme="minorHAnsi" w:cstheme="minorHAnsi"/>
                <w:color w:val="000000"/>
                <w:sz w:val="22"/>
                <w:szCs w:val="22"/>
              </w:rPr>
              <w:t>₡</w:t>
            </w:r>
            <w:r w:rsidRPr="004D0DCE">
              <w:rPr>
                <w:rFonts w:asciiTheme="minorHAnsi" w:eastAsia="Times New Roman" w:hAnsiTheme="minorHAnsi" w:cstheme="minorHAnsi"/>
                <w:color w:val="000000"/>
                <w:sz w:val="22"/>
                <w:szCs w:val="22"/>
              </w:rPr>
              <w:t xml:space="preserve">7 mil millones a la vista para cubrir el pago de 3 meses de la planilla de pensionados, con el fin de evitar excesos de liquidez y obtener mejores rendimientos.  </w:t>
            </w:r>
          </w:p>
        </w:tc>
      </w:tr>
    </w:tbl>
    <w:p w14:paraId="2C2DA66D" w14:textId="33424814" w:rsidR="000E31A9" w:rsidRDefault="003C30A0" w:rsidP="00A8066D">
      <w:pPr>
        <w:pStyle w:val="Descripcin"/>
        <w:spacing w:after="0"/>
        <w:rPr>
          <w:rFonts w:asciiTheme="majorHAnsi" w:eastAsiaTheme="majorEastAsia" w:hAnsiTheme="majorHAnsi" w:cstheme="majorBidi"/>
          <w:color w:val="365F91" w:themeColor="accent1" w:themeShade="BF"/>
          <w:sz w:val="32"/>
          <w:szCs w:val="32"/>
        </w:rPr>
      </w:pPr>
      <w:r>
        <w:t>Fuente: Elaboración propia</w:t>
      </w:r>
      <w:r w:rsidR="000E31A9">
        <w:br w:type="page"/>
      </w:r>
    </w:p>
    <w:p w14:paraId="2E53C788" w14:textId="18BD2B2A" w:rsidR="00394DBE" w:rsidRDefault="006929F8" w:rsidP="00E2531A">
      <w:pPr>
        <w:pStyle w:val="Ttulo1"/>
        <w:numPr>
          <w:ilvl w:val="0"/>
          <w:numId w:val="1"/>
        </w:numPr>
      </w:pPr>
      <w:bookmarkStart w:id="12" w:name="_Toc64039563"/>
      <w:r>
        <w:t>Estadísticas</w:t>
      </w:r>
      <w:bookmarkEnd w:id="12"/>
    </w:p>
    <w:p w14:paraId="5F1A6AF8" w14:textId="77777777" w:rsidR="00CF174B" w:rsidRPr="0074601B" w:rsidRDefault="00657BE3" w:rsidP="00E2531A">
      <w:pPr>
        <w:pStyle w:val="Ttulo2"/>
        <w:numPr>
          <w:ilvl w:val="1"/>
          <w:numId w:val="1"/>
        </w:numPr>
      </w:pPr>
      <w:bookmarkStart w:id="13" w:name="_Toc64039564"/>
      <w:r>
        <w:t>Sistema Nacional de Pensiones</w:t>
      </w:r>
      <w:bookmarkEnd w:id="13"/>
    </w:p>
    <w:p w14:paraId="13869FA3" w14:textId="77777777" w:rsidR="00CF174B" w:rsidRPr="00A8066D" w:rsidRDefault="00CF174B" w:rsidP="00CF174B">
      <w:pPr>
        <w:spacing w:after="0" w:line="240" w:lineRule="auto"/>
        <w:jc w:val="both"/>
        <w:rPr>
          <w:rFonts w:ascii="Calibri" w:eastAsia="Times New Roman" w:hAnsi="Calibri" w:cs="Calibri"/>
          <w:color w:val="000000"/>
          <w:sz w:val="24"/>
          <w:szCs w:val="24"/>
          <w:lang w:val="es-CR" w:eastAsia="es-CR"/>
        </w:rPr>
      </w:pPr>
    </w:p>
    <w:p w14:paraId="2EA6E723" w14:textId="03C4E0D1" w:rsidR="00BC1E76" w:rsidRPr="00A8066D" w:rsidRDefault="001B3226" w:rsidP="001B3226">
      <w:pPr>
        <w:pStyle w:val="Descripcin"/>
        <w:spacing w:after="0"/>
        <w:jc w:val="center"/>
        <w:rPr>
          <w:sz w:val="20"/>
          <w:szCs w:val="20"/>
        </w:rPr>
      </w:pPr>
      <w:r w:rsidRPr="00A8066D">
        <w:rPr>
          <w:sz w:val="20"/>
          <w:szCs w:val="20"/>
        </w:rPr>
        <w:t xml:space="preserve">Tabla </w:t>
      </w:r>
      <w:r w:rsidRPr="00A8066D">
        <w:rPr>
          <w:sz w:val="20"/>
          <w:szCs w:val="20"/>
        </w:rPr>
        <w:fldChar w:fldCharType="begin"/>
      </w:r>
      <w:r w:rsidRPr="00A8066D">
        <w:rPr>
          <w:sz w:val="20"/>
          <w:szCs w:val="20"/>
        </w:rPr>
        <w:instrText xml:space="preserve"> SEQ Tabla \* ARABIC </w:instrText>
      </w:r>
      <w:r w:rsidRPr="00A8066D">
        <w:rPr>
          <w:sz w:val="20"/>
          <w:szCs w:val="20"/>
        </w:rPr>
        <w:fldChar w:fldCharType="separate"/>
      </w:r>
      <w:r w:rsidR="00637F57" w:rsidRPr="00A8066D">
        <w:rPr>
          <w:noProof/>
          <w:sz w:val="20"/>
          <w:szCs w:val="20"/>
        </w:rPr>
        <w:t>5</w:t>
      </w:r>
      <w:r w:rsidRPr="00A8066D">
        <w:rPr>
          <w:sz w:val="20"/>
          <w:szCs w:val="20"/>
        </w:rPr>
        <w:fldChar w:fldCharType="end"/>
      </w:r>
      <w:r w:rsidRPr="00A8066D">
        <w:rPr>
          <w:sz w:val="20"/>
          <w:szCs w:val="20"/>
        </w:rPr>
        <w:t xml:space="preserve">: </w:t>
      </w:r>
      <w:r w:rsidR="007E170D" w:rsidRPr="00A8066D">
        <w:rPr>
          <w:sz w:val="20"/>
          <w:szCs w:val="20"/>
        </w:rPr>
        <w:t>Afiliados, pensionados</w:t>
      </w:r>
      <w:r w:rsidR="00DB5E51" w:rsidRPr="00A8066D">
        <w:rPr>
          <w:sz w:val="20"/>
          <w:szCs w:val="20"/>
        </w:rPr>
        <w:t xml:space="preserve">, pensión promedio </w:t>
      </w:r>
      <w:r w:rsidR="007E170D" w:rsidRPr="00A8066D">
        <w:rPr>
          <w:sz w:val="20"/>
          <w:szCs w:val="20"/>
        </w:rPr>
        <w:t xml:space="preserve">y </w:t>
      </w:r>
      <w:r w:rsidR="00A058D6" w:rsidRPr="00A8066D">
        <w:rPr>
          <w:sz w:val="20"/>
          <w:szCs w:val="20"/>
        </w:rPr>
        <w:t>contribuciones</w:t>
      </w:r>
      <w:r w:rsidR="007E170D" w:rsidRPr="00A8066D">
        <w:rPr>
          <w:sz w:val="20"/>
          <w:szCs w:val="20"/>
        </w:rPr>
        <w:t xml:space="preserve"> </w:t>
      </w:r>
    </w:p>
    <w:p w14:paraId="53FE0906" w14:textId="56DE44AA" w:rsidR="001B3226" w:rsidRPr="00A8066D" w:rsidRDefault="00BC1E76" w:rsidP="00BC1E76">
      <w:pPr>
        <w:pStyle w:val="Descripcin"/>
        <w:spacing w:after="0"/>
        <w:jc w:val="center"/>
        <w:rPr>
          <w:sz w:val="20"/>
          <w:szCs w:val="20"/>
        </w:rPr>
      </w:pPr>
      <w:r w:rsidRPr="00A8066D">
        <w:rPr>
          <w:sz w:val="20"/>
          <w:szCs w:val="20"/>
        </w:rPr>
        <w:t>Sistema Nacional de Pensiones</w:t>
      </w:r>
      <w:r w:rsidR="00D142B9" w:rsidRPr="00A8066D">
        <w:rPr>
          <w:sz w:val="20"/>
          <w:szCs w:val="20"/>
        </w:rPr>
        <w:t xml:space="preserve"> </w:t>
      </w:r>
    </w:p>
    <w:p w14:paraId="53AD06D1" w14:textId="4F8CF1A2" w:rsidR="001B3226" w:rsidRPr="00A8066D" w:rsidRDefault="001B3226" w:rsidP="001B3226">
      <w:pPr>
        <w:pStyle w:val="Descripcin"/>
        <w:tabs>
          <w:tab w:val="center" w:pos="4419"/>
          <w:tab w:val="left" w:pos="5788"/>
        </w:tabs>
        <w:spacing w:after="0"/>
        <w:jc w:val="center"/>
        <w:rPr>
          <w:sz w:val="20"/>
          <w:szCs w:val="20"/>
        </w:rPr>
      </w:pPr>
      <w:r w:rsidRPr="00A8066D">
        <w:rPr>
          <w:sz w:val="20"/>
          <w:szCs w:val="20"/>
        </w:rPr>
        <w:t xml:space="preserve">Al 30 de </w:t>
      </w:r>
      <w:r w:rsidR="00B520C8" w:rsidRPr="00A8066D">
        <w:rPr>
          <w:sz w:val="20"/>
          <w:szCs w:val="20"/>
        </w:rPr>
        <w:t xml:space="preserve">setiembre </w:t>
      </w:r>
      <w:r w:rsidRPr="00A8066D">
        <w:rPr>
          <w:sz w:val="20"/>
          <w:szCs w:val="20"/>
        </w:rPr>
        <w:t>del 2020</w:t>
      </w:r>
    </w:p>
    <w:tbl>
      <w:tblPr>
        <w:tblStyle w:val="Tablaconcuadrcula4-nfasis1"/>
        <w:tblW w:w="10343" w:type="dxa"/>
        <w:jc w:val="center"/>
        <w:tblLook w:val="04A0" w:firstRow="1" w:lastRow="0" w:firstColumn="1" w:lastColumn="0" w:noHBand="0" w:noVBand="1"/>
      </w:tblPr>
      <w:tblGrid>
        <w:gridCol w:w="3912"/>
        <w:gridCol w:w="1106"/>
        <w:gridCol w:w="1373"/>
        <w:gridCol w:w="1352"/>
        <w:gridCol w:w="1057"/>
        <w:gridCol w:w="833"/>
        <w:gridCol w:w="1111"/>
      </w:tblGrid>
      <w:tr w:rsidR="00AC04A5" w:rsidRPr="00A8066D" w14:paraId="0D579972" w14:textId="77777777" w:rsidTr="0098391A">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912" w:type="dxa"/>
            <w:vMerge w:val="restart"/>
            <w:tcBorders>
              <w:top w:val="single" w:sz="4" w:space="0" w:color="8DB3E2" w:themeColor="text2" w:themeTint="66"/>
              <w:left w:val="single" w:sz="4" w:space="0" w:color="8DB3E2" w:themeColor="text2" w:themeTint="66"/>
              <w:bottom w:val="single" w:sz="4" w:space="0" w:color="8DB3E2" w:themeColor="text2" w:themeTint="66"/>
              <w:right w:val="single" w:sz="6" w:space="0" w:color="8DB3E2" w:themeColor="text2" w:themeTint="66"/>
            </w:tcBorders>
            <w:noWrap/>
            <w:vAlign w:val="center"/>
            <w:hideMark/>
          </w:tcPr>
          <w:p w14:paraId="2FEB5F63" w14:textId="77777777" w:rsidR="00AC04A5" w:rsidRPr="00A8066D" w:rsidRDefault="00AC04A5" w:rsidP="001D586E">
            <w:pPr>
              <w:jc w:val="center"/>
              <w:rPr>
                <w:rFonts w:eastAsia="Times New Roman" w:cs="Calibri"/>
                <w:sz w:val="22"/>
                <w:szCs w:val="22"/>
                <w:lang w:val="es-CR"/>
              </w:rPr>
            </w:pPr>
            <w:r w:rsidRPr="00A8066D">
              <w:rPr>
                <w:rFonts w:eastAsia="Times New Roman" w:cs="Calibri"/>
                <w:sz w:val="22"/>
                <w:szCs w:val="22"/>
                <w:lang w:val="es-CR"/>
              </w:rPr>
              <w:t>Tipo de Fondo</w:t>
            </w:r>
          </w:p>
        </w:tc>
        <w:tc>
          <w:tcPr>
            <w:tcW w:w="1106" w:type="dxa"/>
            <w:vMerge w:val="restart"/>
            <w:tcBorders>
              <w:top w:val="single" w:sz="4" w:space="0" w:color="8DB3E2" w:themeColor="text2" w:themeTint="66"/>
              <w:left w:val="single" w:sz="6" w:space="0" w:color="8DB3E2" w:themeColor="text2" w:themeTint="66"/>
              <w:bottom w:val="single" w:sz="4" w:space="0" w:color="8DB3E2" w:themeColor="text2" w:themeTint="66"/>
              <w:right w:val="single" w:sz="6" w:space="0" w:color="8DB3E2" w:themeColor="text2" w:themeTint="66"/>
            </w:tcBorders>
            <w:noWrap/>
            <w:vAlign w:val="center"/>
            <w:hideMark/>
          </w:tcPr>
          <w:p w14:paraId="73B71C2C" w14:textId="77777777" w:rsidR="00AC04A5" w:rsidRPr="00A8066D"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sz w:val="22"/>
                <w:szCs w:val="22"/>
                <w:lang w:val="es-CR"/>
              </w:rPr>
            </w:pPr>
            <w:r w:rsidRPr="00A8066D">
              <w:rPr>
                <w:rFonts w:eastAsia="Times New Roman" w:cs="Calibri"/>
                <w:sz w:val="22"/>
                <w:szCs w:val="22"/>
                <w:lang w:val="es-CR"/>
              </w:rPr>
              <w:t>Afiliados</w:t>
            </w:r>
          </w:p>
        </w:tc>
        <w:tc>
          <w:tcPr>
            <w:tcW w:w="1073" w:type="dxa"/>
            <w:vMerge w:val="restart"/>
            <w:tcBorders>
              <w:top w:val="single" w:sz="4" w:space="0" w:color="8DB3E2" w:themeColor="text2" w:themeTint="66"/>
              <w:left w:val="single" w:sz="6" w:space="0" w:color="8DB3E2" w:themeColor="text2" w:themeTint="66"/>
              <w:bottom w:val="single" w:sz="4" w:space="0" w:color="8DB3E2" w:themeColor="text2" w:themeTint="66"/>
              <w:right w:val="single" w:sz="6" w:space="0" w:color="8DB3E2" w:themeColor="text2" w:themeTint="66"/>
            </w:tcBorders>
            <w:noWrap/>
            <w:vAlign w:val="center"/>
            <w:hideMark/>
          </w:tcPr>
          <w:p w14:paraId="52C0C190" w14:textId="77777777" w:rsidR="00AC04A5" w:rsidRPr="00A8066D"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sz w:val="22"/>
                <w:szCs w:val="22"/>
                <w:lang w:val="es-CR"/>
              </w:rPr>
            </w:pPr>
            <w:r w:rsidRPr="00A8066D">
              <w:rPr>
                <w:rFonts w:eastAsia="Times New Roman" w:cs="Calibri"/>
                <w:sz w:val="22"/>
                <w:szCs w:val="22"/>
                <w:lang w:val="es-CR"/>
              </w:rPr>
              <w:t>Pensionados</w:t>
            </w:r>
          </w:p>
        </w:tc>
        <w:tc>
          <w:tcPr>
            <w:tcW w:w="3186" w:type="dxa"/>
            <w:gridSpan w:val="3"/>
            <w:tcBorders>
              <w:top w:val="single" w:sz="4" w:space="0" w:color="8DB3E2" w:themeColor="text2" w:themeTint="66"/>
              <w:left w:val="single" w:sz="6" w:space="0" w:color="8DB3E2" w:themeColor="text2" w:themeTint="66"/>
              <w:bottom w:val="single" w:sz="4" w:space="0" w:color="8DB3E2" w:themeColor="text2" w:themeTint="66"/>
              <w:right w:val="single" w:sz="6" w:space="0" w:color="8DB3E2" w:themeColor="text2" w:themeTint="66"/>
            </w:tcBorders>
            <w:noWrap/>
            <w:vAlign w:val="center"/>
            <w:hideMark/>
          </w:tcPr>
          <w:p w14:paraId="47CE9BA3" w14:textId="77777777" w:rsidR="00AC04A5" w:rsidRPr="00A8066D"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sz w:val="22"/>
                <w:szCs w:val="22"/>
                <w:lang w:val="es-CR"/>
              </w:rPr>
            </w:pPr>
            <w:r w:rsidRPr="00A8066D">
              <w:rPr>
                <w:rFonts w:eastAsia="Times New Roman" w:cs="Calibri"/>
                <w:sz w:val="22"/>
                <w:szCs w:val="22"/>
                <w:lang w:val="es-CR"/>
              </w:rPr>
              <w:t>Contribuciones</w:t>
            </w:r>
          </w:p>
        </w:tc>
        <w:tc>
          <w:tcPr>
            <w:tcW w:w="1066" w:type="dxa"/>
            <w:vMerge w:val="restart"/>
            <w:tcBorders>
              <w:top w:val="single" w:sz="4" w:space="0" w:color="8DB3E2" w:themeColor="text2" w:themeTint="66"/>
              <w:left w:val="single" w:sz="6" w:space="0" w:color="8DB3E2" w:themeColor="text2" w:themeTint="66"/>
              <w:right w:val="single" w:sz="4" w:space="0" w:color="8DB3E2" w:themeColor="text2" w:themeTint="66"/>
            </w:tcBorders>
            <w:noWrap/>
            <w:vAlign w:val="center"/>
            <w:hideMark/>
          </w:tcPr>
          <w:p w14:paraId="5C358C63" w14:textId="77777777" w:rsidR="00AC04A5" w:rsidRPr="00A8066D"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sz w:val="22"/>
                <w:szCs w:val="22"/>
                <w:lang w:val="es-CR"/>
              </w:rPr>
            </w:pPr>
            <w:r w:rsidRPr="00A8066D">
              <w:rPr>
                <w:rFonts w:eastAsia="Times New Roman" w:cs="Calibri"/>
                <w:sz w:val="22"/>
                <w:szCs w:val="22"/>
                <w:lang w:val="es-CR"/>
              </w:rPr>
              <w:t>Pensión promedio</w:t>
            </w:r>
          </w:p>
        </w:tc>
      </w:tr>
      <w:tr w:rsidR="00AC04A5" w:rsidRPr="00A8066D" w14:paraId="571F2317" w14:textId="77777777" w:rsidTr="0098391A">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912" w:type="dxa"/>
            <w:vMerge/>
            <w:tcBorders>
              <w:top w:val="single" w:sz="4" w:space="0" w:color="8DB3E2" w:themeColor="text2" w:themeTint="66"/>
            </w:tcBorders>
            <w:hideMark/>
          </w:tcPr>
          <w:p w14:paraId="74A657F8" w14:textId="77777777" w:rsidR="00AC04A5" w:rsidRPr="00A8066D" w:rsidRDefault="00AC04A5" w:rsidP="001D586E">
            <w:pPr>
              <w:rPr>
                <w:rFonts w:eastAsia="Times New Roman" w:cs="Calibri"/>
                <w:color w:val="000000"/>
                <w:sz w:val="22"/>
                <w:szCs w:val="22"/>
                <w:lang w:val="es-CR"/>
              </w:rPr>
            </w:pPr>
          </w:p>
        </w:tc>
        <w:tc>
          <w:tcPr>
            <w:tcW w:w="1106" w:type="dxa"/>
            <w:vMerge/>
            <w:tcBorders>
              <w:top w:val="single" w:sz="4" w:space="0" w:color="8DB3E2" w:themeColor="text2" w:themeTint="66"/>
            </w:tcBorders>
            <w:hideMark/>
          </w:tcPr>
          <w:p w14:paraId="2C89AFB8" w14:textId="77777777" w:rsidR="00AC04A5" w:rsidRPr="00A8066D"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sz w:val="22"/>
                <w:szCs w:val="22"/>
                <w:lang w:val="es-CR"/>
              </w:rPr>
            </w:pPr>
          </w:p>
        </w:tc>
        <w:tc>
          <w:tcPr>
            <w:tcW w:w="1073" w:type="dxa"/>
            <w:vMerge/>
            <w:tcBorders>
              <w:top w:val="single" w:sz="4" w:space="0" w:color="8DB3E2" w:themeColor="text2" w:themeTint="66"/>
            </w:tcBorders>
            <w:hideMark/>
          </w:tcPr>
          <w:p w14:paraId="3926EB9A" w14:textId="77777777" w:rsidR="00AC04A5" w:rsidRPr="00A8066D"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sz w:val="22"/>
                <w:szCs w:val="22"/>
                <w:lang w:val="es-CR"/>
              </w:rPr>
            </w:pPr>
          </w:p>
        </w:tc>
        <w:tc>
          <w:tcPr>
            <w:tcW w:w="1352" w:type="dxa"/>
            <w:tcBorders>
              <w:top w:val="single" w:sz="4" w:space="0" w:color="8DB3E2" w:themeColor="text2" w:themeTint="66"/>
            </w:tcBorders>
            <w:shd w:val="clear" w:color="auto" w:fill="4F81BD" w:themeFill="accent1"/>
            <w:noWrap/>
            <w:hideMark/>
          </w:tcPr>
          <w:p w14:paraId="252950E8" w14:textId="77777777" w:rsidR="00AC04A5" w:rsidRPr="00A8066D"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sz w:val="22"/>
                <w:szCs w:val="22"/>
                <w:lang w:val="es-CR"/>
              </w:rPr>
            </w:pPr>
            <w:r w:rsidRPr="00A8066D">
              <w:rPr>
                <w:rFonts w:eastAsia="Times New Roman" w:cs="Calibri"/>
                <w:b/>
                <w:bCs/>
                <w:color w:val="FFFFFF" w:themeColor="background1"/>
                <w:sz w:val="22"/>
                <w:szCs w:val="22"/>
                <w:lang w:val="es-CR"/>
              </w:rPr>
              <w:t>Trabajador</w:t>
            </w:r>
          </w:p>
        </w:tc>
        <w:tc>
          <w:tcPr>
            <w:tcW w:w="1057" w:type="dxa"/>
            <w:tcBorders>
              <w:top w:val="single" w:sz="4" w:space="0" w:color="8DB3E2" w:themeColor="text2" w:themeTint="66"/>
            </w:tcBorders>
            <w:shd w:val="clear" w:color="auto" w:fill="4F81BD" w:themeFill="accent1"/>
            <w:noWrap/>
            <w:hideMark/>
          </w:tcPr>
          <w:p w14:paraId="3D11A594" w14:textId="77777777" w:rsidR="00AC04A5" w:rsidRPr="00A8066D"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sz w:val="22"/>
                <w:szCs w:val="22"/>
                <w:lang w:val="es-CR"/>
              </w:rPr>
            </w:pPr>
            <w:r w:rsidRPr="00A8066D">
              <w:rPr>
                <w:rFonts w:eastAsia="Times New Roman" w:cs="Calibri"/>
                <w:b/>
                <w:bCs/>
                <w:color w:val="FFFFFF" w:themeColor="background1"/>
                <w:sz w:val="22"/>
                <w:szCs w:val="22"/>
                <w:lang w:val="es-CR"/>
              </w:rPr>
              <w:t>Patrono</w:t>
            </w:r>
          </w:p>
        </w:tc>
        <w:tc>
          <w:tcPr>
            <w:tcW w:w="777" w:type="dxa"/>
            <w:tcBorders>
              <w:top w:val="single" w:sz="4" w:space="0" w:color="8DB3E2" w:themeColor="text2" w:themeTint="66"/>
              <w:right w:val="single" w:sz="6" w:space="0" w:color="8DB3E2" w:themeColor="text2" w:themeTint="66"/>
            </w:tcBorders>
            <w:shd w:val="clear" w:color="auto" w:fill="4F81BD" w:themeFill="accent1"/>
            <w:noWrap/>
            <w:hideMark/>
          </w:tcPr>
          <w:p w14:paraId="6909FBAD" w14:textId="77777777" w:rsidR="00AC04A5" w:rsidRPr="00A8066D"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sz w:val="22"/>
                <w:szCs w:val="22"/>
                <w:lang w:val="es-CR"/>
              </w:rPr>
            </w:pPr>
            <w:r w:rsidRPr="00A8066D">
              <w:rPr>
                <w:rFonts w:eastAsia="Times New Roman" w:cs="Calibri"/>
                <w:b/>
                <w:bCs/>
                <w:color w:val="FFFFFF" w:themeColor="background1"/>
                <w:sz w:val="22"/>
                <w:szCs w:val="22"/>
                <w:lang w:val="es-CR"/>
              </w:rPr>
              <w:t>Estado</w:t>
            </w:r>
          </w:p>
        </w:tc>
        <w:tc>
          <w:tcPr>
            <w:tcW w:w="1066" w:type="dxa"/>
            <w:vMerge/>
            <w:tcBorders>
              <w:left w:val="single" w:sz="6" w:space="0" w:color="8DB3E2" w:themeColor="text2" w:themeTint="66"/>
              <w:right w:val="single" w:sz="4" w:space="0" w:color="8DB3E2" w:themeColor="text2" w:themeTint="66"/>
            </w:tcBorders>
            <w:hideMark/>
          </w:tcPr>
          <w:p w14:paraId="3F08FEAE" w14:textId="77777777" w:rsidR="00AC04A5" w:rsidRPr="00A8066D"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sz w:val="22"/>
                <w:szCs w:val="22"/>
                <w:lang w:val="es-CR"/>
              </w:rPr>
            </w:pPr>
          </w:p>
        </w:tc>
      </w:tr>
      <w:tr w:rsidR="00D16208" w:rsidRPr="00A8066D" w14:paraId="18F6A4AB" w14:textId="77777777" w:rsidTr="0098391A">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609206F0" w14:textId="71F03BCC" w:rsidR="00D16208" w:rsidRPr="00A8066D" w:rsidRDefault="00D16208" w:rsidP="00D16208">
            <w:pPr>
              <w:rPr>
                <w:rFonts w:eastAsia="Times New Roman" w:cs="Calibri"/>
                <w:color w:val="000000"/>
                <w:sz w:val="22"/>
                <w:szCs w:val="22"/>
                <w:lang w:val="es-CR"/>
              </w:rPr>
            </w:pPr>
            <w:r w:rsidRPr="00A8066D">
              <w:rPr>
                <w:rFonts w:eastAsia="Times New Roman" w:cs="Calibri"/>
                <w:color w:val="000000"/>
                <w:sz w:val="22"/>
                <w:szCs w:val="22"/>
                <w:lang w:val="es-CR"/>
              </w:rPr>
              <w:t>Régimen Básico (</w:t>
            </w:r>
            <w:r w:rsidR="00F7603E" w:rsidRPr="00A8066D">
              <w:rPr>
                <w:rFonts w:eastAsia="Times New Roman" w:cs="Calibri"/>
                <w:color w:val="000000"/>
                <w:sz w:val="22"/>
                <w:szCs w:val="22"/>
                <w:lang w:val="es-CR"/>
              </w:rPr>
              <w:t>R</w:t>
            </w:r>
            <w:r w:rsidRPr="00A8066D">
              <w:rPr>
                <w:rFonts w:eastAsia="Times New Roman" w:cs="Calibri"/>
                <w:color w:val="000000"/>
                <w:sz w:val="22"/>
                <w:szCs w:val="22"/>
                <w:lang w:val="es-CR"/>
              </w:rPr>
              <w:t>IVM)*</w:t>
            </w:r>
          </w:p>
        </w:tc>
        <w:tc>
          <w:tcPr>
            <w:tcW w:w="1106" w:type="dxa"/>
            <w:hideMark/>
          </w:tcPr>
          <w:p w14:paraId="5D21205E" w14:textId="55178227" w:rsidR="00D16208" w:rsidRPr="00A8066D" w:rsidRDefault="00D16208" w:rsidP="00D1620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lang w:val="es-CR"/>
              </w:rPr>
              <w:t>1 280 274</w:t>
            </w:r>
          </w:p>
        </w:tc>
        <w:tc>
          <w:tcPr>
            <w:tcW w:w="1073" w:type="dxa"/>
            <w:hideMark/>
          </w:tcPr>
          <w:p w14:paraId="5AE3A7AA" w14:textId="63648FD9" w:rsidR="00D16208" w:rsidRPr="00A8066D" w:rsidRDefault="00D16208" w:rsidP="00D1620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lang w:val="es-CR"/>
              </w:rPr>
              <w:t>291 886</w:t>
            </w:r>
          </w:p>
        </w:tc>
        <w:tc>
          <w:tcPr>
            <w:tcW w:w="1352" w:type="dxa"/>
            <w:noWrap/>
            <w:hideMark/>
          </w:tcPr>
          <w:p w14:paraId="6AA405B6" w14:textId="77777777" w:rsidR="00D16208" w:rsidRPr="00A8066D" w:rsidRDefault="00D16208" w:rsidP="00D1620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4%</w:t>
            </w:r>
          </w:p>
        </w:tc>
        <w:tc>
          <w:tcPr>
            <w:tcW w:w="1057" w:type="dxa"/>
            <w:noWrap/>
            <w:hideMark/>
          </w:tcPr>
          <w:p w14:paraId="317C18F8" w14:textId="77777777" w:rsidR="00D16208" w:rsidRPr="00A8066D" w:rsidRDefault="00D16208" w:rsidP="00D1620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5,25%</w:t>
            </w:r>
          </w:p>
        </w:tc>
        <w:tc>
          <w:tcPr>
            <w:tcW w:w="777" w:type="dxa"/>
            <w:noWrap/>
            <w:hideMark/>
          </w:tcPr>
          <w:p w14:paraId="00D6B39F" w14:textId="77777777" w:rsidR="00D16208" w:rsidRPr="00A8066D" w:rsidRDefault="00D16208" w:rsidP="00D1620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1,41%</w:t>
            </w:r>
          </w:p>
        </w:tc>
        <w:tc>
          <w:tcPr>
            <w:tcW w:w="1066" w:type="dxa"/>
            <w:noWrap/>
            <w:hideMark/>
          </w:tcPr>
          <w:p w14:paraId="47B57FDA" w14:textId="5E2E0365" w:rsidR="00D16208" w:rsidRPr="00A8066D" w:rsidRDefault="000C2212" w:rsidP="00D1620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lang w:val="es-CR"/>
              </w:rPr>
              <w:t>279 615</w:t>
            </w:r>
          </w:p>
        </w:tc>
      </w:tr>
      <w:tr w:rsidR="001D586E" w:rsidRPr="00A8066D" w14:paraId="349B5013" w14:textId="77777777" w:rsidTr="00A058D6">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343" w:type="dxa"/>
            <w:gridSpan w:val="7"/>
            <w:noWrap/>
            <w:hideMark/>
          </w:tcPr>
          <w:p w14:paraId="4917E43A" w14:textId="77777777" w:rsidR="001D586E" w:rsidRPr="00A8066D" w:rsidRDefault="001D586E" w:rsidP="001D586E">
            <w:pPr>
              <w:rPr>
                <w:rFonts w:eastAsia="Times New Roman" w:cs="Calibri"/>
                <w:color w:val="000000"/>
                <w:sz w:val="22"/>
                <w:szCs w:val="22"/>
                <w:lang w:val="es-CR"/>
              </w:rPr>
            </w:pPr>
            <w:r w:rsidRPr="00A8066D">
              <w:rPr>
                <w:rFonts w:eastAsia="Times New Roman" w:cs="Calibri"/>
                <w:color w:val="000000"/>
                <w:sz w:val="22"/>
                <w:szCs w:val="22"/>
                <w:lang w:val="es-CR"/>
              </w:rPr>
              <w:t>Regímenes Básicos sustitutos</w:t>
            </w:r>
          </w:p>
        </w:tc>
      </w:tr>
      <w:tr w:rsidR="00C45CC6" w:rsidRPr="00A8066D" w14:paraId="073EFFBB" w14:textId="77777777" w:rsidTr="0098391A">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455BBBEC" w14:textId="36F94498" w:rsidR="00C45CC6" w:rsidRPr="00A8066D" w:rsidRDefault="00C45CC6" w:rsidP="00C45CC6">
            <w:pPr>
              <w:rPr>
                <w:rFonts w:eastAsia="Times New Roman" w:cs="Calibri"/>
                <w:color w:val="000000"/>
                <w:sz w:val="22"/>
                <w:szCs w:val="22"/>
                <w:lang w:val="es-CR"/>
              </w:rPr>
            </w:pPr>
            <w:r w:rsidRPr="00A8066D">
              <w:rPr>
                <w:rFonts w:eastAsia="Times New Roman" w:cs="Calibri"/>
                <w:color w:val="000000"/>
                <w:sz w:val="22"/>
                <w:szCs w:val="22"/>
                <w:lang w:val="es-CR"/>
              </w:rPr>
              <w:t xml:space="preserve">   RCCMN*</w:t>
            </w:r>
          </w:p>
        </w:tc>
        <w:tc>
          <w:tcPr>
            <w:tcW w:w="1106" w:type="dxa"/>
          </w:tcPr>
          <w:p w14:paraId="6B453076" w14:textId="5461C90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97 719</w:t>
            </w:r>
          </w:p>
        </w:tc>
        <w:tc>
          <w:tcPr>
            <w:tcW w:w="1073" w:type="dxa"/>
          </w:tcPr>
          <w:p w14:paraId="58611601" w14:textId="6C04376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2 647</w:t>
            </w:r>
          </w:p>
        </w:tc>
        <w:tc>
          <w:tcPr>
            <w:tcW w:w="1352" w:type="dxa"/>
            <w:noWrap/>
          </w:tcPr>
          <w:p w14:paraId="1F95F703" w14:textId="7777777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8%</w:t>
            </w:r>
          </w:p>
        </w:tc>
        <w:tc>
          <w:tcPr>
            <w:tcW w:w="1057" w:type="dxa"/>
            <w:noWrap/>
          </w:tcPr>
          <w:p w14:paraId="5731EEFA" w14:textId="7777777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6,75%</w:t>
            </w:r>
          </w:p>
        </w:tc>
        <w:tc>
          <w:tcPr>
            <w:tcW w:w="777" w:type="dxa"/>
            <w:noWrap/>
          </w:tcPr>
          <w:p w14:paraId="31A9D233" w14:textId="7777777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1,41%</w:t>
            </w:r>
          </w:p>
        </w:tc>
        <w:tc>
          <w:tcPr>
            <w:tcW w:w="1066" w:type="dxa"/>
            <w:noWrap/>
          </w:tcPr>
          <w:p w14:paraId="5AF1BF26" w14:textId="6D9F8F55"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 xml:space="preserve"> 360 228</w:t>
            </w:r>
          </w:p>
        </w:tc>
      </w:tr>
      <w:tr w:rsidR="00C45CC6" w:rsidRPr="00A8066D" w14:paraId="7984B887" w14:textId="77777777" w:rsidTr="0098391A">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16E56421" w14:textId="02D2D984" w:rsidR="00C45CC6" w:rsidRPr="00A8066D" w:rsidRDefault="00C45CC6" w:rsidP="00C45CC6">
            <w:pPr>
              <w:rPr>
                <w:rFonts w:eastAsia="Times New Roman" w:cs="Calibri"/>
                <w:color w:val="000000"/>
                <w:sz w:val="22"/>
                <w:szCs w:val="22"/>
                <w:lang w:val="es-CR"/>
              </w:rPr>
            </w:pPr>
            <w:r w:rsidRPr="00A8066D">
              <w:rPr>
                <w:rFonts w:eastAsia="Times New Roman" w:cs="Calibri"/>
                <w:color w:val="000000"/>
                <w:sz w:val="22"/>
                <w:szCs w:val="22"/>
                <w:lang w:val="es-CR"/>
              </w:rPr>
              <w:t xml:space="preserve">   FPJ*</w:t>
            </w:r>
          </w:p>
        </w:tc>
        <w:tc>
          <w:tcPr>
            <w:tcW w:w="1106" w:type="dxa"/>
            <w:hideMark/>
          </w:tcPr>
          <w:p w14:paraId="793F0C7E" w14:textId="221C64AA" w:rsidR="00C45CC6" w:rsidRPr="00A8066D" w:rsidRDefault="00C45CC6" w:rsidP="00C45CC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13 649</w:t>
            </w:r>
          </w:p>
        </w:tc>
        <w:tc>
          <w:tcPr>
            <w:tcW w:w="1073" w:type="dxa"/>
            <w:hideMark/>
          </w:tcPr>
          <w:p w14:paraId="02CF3B0F" w14:textId="0166B6EF" w:rsidR="00C45CC6" w:rsidRPr="00A8066D" w:rsidRDefault="00C45CC6" w:rsidP="00C45CC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4 263</w:t>
            </w:r>
          </w:p>
        </w:tc>
        <w:tc>
          <w:tcPr>
            <w:tcW w:w="1352" w:type="dxa"/>
            <w:noWrap/>
            <w:hideMark/>
          </w:tcPr>
          <w:p w14:paraId="63195689" w14:textId="20B56226" w:rsidR="00C45CC6" w:rsidRPr="00A8066D" w:rsidRDefault="00C45CC6" w:rsidP="00C45CC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w:t>
            </w:r>
            <w:r w:rsidR="00B46140" w:rsidRPr="00A8066D">
              <w:rPr>
                <w:rFonts w:eastAsia="Times New Roman" w:cs="Calibri"/>
                <w:color w:val="000000"/>
                <w:sz w:val="22"/>
                <w:szCs w:val="22"/>
                <w:lang w:val="es-CR"/>
              </w:rPr>
              <w:t>3</w:t>
            </w:r>
            <w:r w:rsidRPr="00A8066D">
              <w:rPr>
                <w:rFonts w:eastAsia="Times New Roman" w:cs="Calibri"/>
                <w:color w:val="000000"/>
                <w:sz w:val="22"/>
                <w:szCs w:val="22"/>
                <w:lang w:val="es-CR"/>
              </w:rPr>
              <w:t>%**</w:t>
            </w:r>
          </w:p>
        </w:tc>
        <w:tc>
          <w:tcPr>
            <w:tcW w:w="1057" w:type="dxa"/>
            <w:noWrap/>
            <w:hideMark/>
          </w:tcPr>
          <w:p w14:paraId="5E19A66E" w14:textId="77777777" w:rsidR="00C45CC6" w:rsidRPr="00A8066D" w:rsidRDefault="00C45CC6" w:rsidP="00C45CC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14,36%</w:t>
            </w:r>
          </w:p>
        </w:tc>
        <w:tc>
          <w:tcPr>
            <w:tcW w:w="777" w:type="dxa"/>
            <w:noWrap/>
            <w:hideMark/>
          </w:tcPr>
          <w:p w14:paraId="1912A095" w14:textId="77777777" w:rsidR="00C45CC6" w:rsidRPr="00A8066D" w:rsidRDefault="00C45CC6" w:rsidP="00C45CC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1,41%</w:t>
            </w:r>
          </w:p>
        </w:tc>
        <w:tc>
          <w:tcPr>
            <w:tcW w:w="1066" w:type="dxa"/>
            <w:noWrap/>
            <w:hideMark/>
          </w:tcPr>
          <w:p w14:paraId="7AA726B4" w14:textId="50A8FCF8" w:rsidR="00C45CC6" w:rsidRPr="00A8066D" w:rsidRDefault="00C45CC6" w:rsidP="00C45CC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 xml:space="preserve"> 1 790 362 </w:t>
            </w:r>
          </w:p>
        </w:tc>
      </w:tr>
      <w:tr w:rsidR="00C45CC6" w:rsidRPr="00A8066D" w14:paraId="692E46C6" w14:textId="77777777" w:rsidTr="0098391A">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73A81E08" w14:textId="390381F8" w:rsidR="00C45CC6" w:rsidRPr="00A8066D" w:rsidRDefault="00C45CC6" w:rsidP="00C45CC6">
            <w:pPr>
              <w:rPr>
                <w:rFonts w:eastAsia="Times New Roman" w:cs="Calibri"/>
                <w:color w:val="000000"/>
                <w:sz w:val="22"/>
                <w:szCs w:val="22"/>
                <w:lang w:val="es-CR"/>
              </w:rPr>
            </w:pPr>
            <w:r w:rsidRPr="00A8066D">
              <w:rPr>
                <w:rFonts w:eastAsia="Times New Roman" w:cs="Calibri"/>
                <w:color w:val="000000"/>
                <w:sz w:val="22"/>
                <w:szCs w:val="22"/>
                <w:lang w:val="es-CR"/>
              </w:rPr>
              <w:t xml:space="preserve">   FBOMBEROS</w:t>
            </w:r>
          </w:p>
        </w:tc>
        <w:tc>
          <w:tcPr>
            <w:tcW w:w="1106" w:type="dxa"/>
          </w:tcPr>
          <w:p w14:paraId="13951703" w14:textId="648A55B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4</w:t>
            </w:r>
          </w:p>
        </w:tc>
        <w:tc>
          <w:tcPr>
            <w:tcW w:w="1073" w:type="dxa"/>
          </w:tcPr>
          <w:p w14:paraId="59A09C8A" w14:textId="74D1A90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222</w:t>
            </w:r>
          </w:p>
        </w:tc>
        <w:tc>
          <w:tcPr>
            <w:tcW w:w="1352" w:type="dxa"/>
            <w:noWrap/>
          </w:tcPr>
          <w:p w14:paraId="01A23ACB" w14:textId="7777777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12,5%</w:t>
            </w:r>
          </w:p>
        </w:tc>
        <w:tc>
          <w:tcPr>
            <w:tcW w:w="1057" w:type="dxa"/>
            <w:noWrap/>
          </w:tcPr>
          <w:p w14:paraId="47B63D5C" w14:textId="7777777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37,5%**</w:t>
            </w:r>
          </w:p>
        </w:tc>
        <w:tc>
          <w:tcPr>
            <w:tcW w:w="777" w:type="dxa"/>
            <w:noWrap/>
          </w:tcPr>
          <w:p w14:paraId="355CD46E" w14:textId="77777777"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0%</w:t>
            </w:r>
          </w:p>
        </w:tc>
        <w:tc>
          <w:tcPr>
            <w:tcW w:w="1066" w:type="dxa"/>
            <w:noWrap/>
          </w:tcPr>
          <w:p w14:paraId="454E5561" w14:textId="06CC0FDE" w:rsidR="00C45CC6" w:rsidRPr="00A8066D" w:rsidRDefault="00C45CC6" w:rsidP="00C45CC6">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 xml:space="preserve"> 913 502 </w:t>
            </w:r>
          </w:p>
        </w:tc>
      </w:tr>
      <w:tr w:rsidR="001D586E" w:rsidRPr="00A8066D" w14:paraId="443DA8A4" w14:textId="77777777" w:rsidTr="00A058D6">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343" w:type="dxa"/>
            <w:gridSpan w:val="7"/>
            <w:noWrap/>
            <w:hideMark/>
          </w:tcPr>
          <w:p w14:paraId="2F5E0048" w14:textId="77777777" w:rsidR="001D586E" w:rsidRPr="00A8066D" w:rsidRDefault="001D586E" w:rsidP="001D586E">
            <w:pPr>
              <w:rPr>
                <w:rFonts w:eastAsia="Times New Roman" w:cs="Calibri"/>
                <w:color w:val="000000"/>
                <w:sz w:val="22"/>
                <w:szCs w:val="22"/>
                <w:lang w:val="es-CR"/>
              </w:rPr>
            </w:pPr>
            <w:r w:rsidRPr="00A8066D">
              <w:rPr>
                <w:rFonts w:eastAsia="Times New Roman" w:cs="Calibri"/>
                <w:color w:val="000000"/>
                <w:sz w:val="22"/>
                <w:szCs w:val="22"/>
                <w:lang w:val="es-CR"/>
              </w:rPr>
              <w:t>Regímenes Ocupacionales Complementarios</w:t>
            </w:r>
          </w:p>
        </w:tc>
      </w:tr>
      <w:tr w:rsidR="00C71859" w:rsidRPr="00A8066D" w14:paraId="33966600" w14:textId="77777777" w:rsidTr="0098391A">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0C7B774B" w14:textId="7096474A" w:rsidR="00C71859" w:rsidRPr="00A8066D" w:rsidRDefault="00C71859" w:rsidP="00C71859">
            <w:pPr>
              <w:rPr>
                <w:rFonts w:eastAsia="Times New Roman" w:cs="Calibri"/>
                <w:color w:val="000000"/>
                <w:sz w:val="22"/>
                <w:szCs w:val="22"/>
                <w:lang w:val="es-CR"/>
              </w:rPr>
            </w:pPr>
            <w:r w:rsidRPr="00A8066D">
              <w:rPr>
                <w:rFonts w:eastAsia="Times New Roman" w:cs="Calibri"/>
                <w:color w:val="000000"/>
                <w:sz w:val="22"/>
                <w:szCs w:val="22"/>
                <w:lang w:val="es-CR"/>
              </w:rPr>
              <w:t xml:space="preserve">   FBNCR </w:t>
            </w:r>
          </w:p>
        </w:tc>
        <w:tc>
          <w:tcPr>
            <w:tcW w:w="1106" w:type="dxa"/>
            <w:hideMark/>
          </w:tcPr>
          <w:p w14:paraId="779C384F" w14:textId="31590127"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5 140</w:t>
            </w:r>
          </w:p>
        </w:tc>
        <w:tc>
          <w:tcPr>
            <w:tcW w:w="1073" w:type="dxa"/>
            <w:hideMark/>
          </w:tcPr>
          <w:p w14:paraId="3F291427" w14:textId="6916A617"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1 571</w:t>
            </w:r>
          </w:p>
        </w:tc>
        <w:tc>
          <w:tcPr>
            <w:tcW w:w="1352" w:type="dxa"/>
            <w:noWrap/>
            <w:hideMark/>
          </w:tcPr>
          <w:p w14:paraId="25F6F3E9" w14:textId="60CA7C21"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5</w:t>
            </w:r>
            <w:r w:rsidR="002C3C3C" w:rsidRPr="00A8066D">
              <w:rPr>
                <w:rFonts w:eastAsia="Times New Roman" w:cs="Calibri"/>
                <w:color w:val="000000"/>
                <w:sz w:val="22"/>
                <w:szCs w:val="22"/>
                <w:lang w:val="es-CR"/>
              </w:rPr>
              <w:t>,5</w:t>
            </w:r>
            <w:r w:rsidRPr="00A8066D">
              <w:rPr>
                <w:rFonts w:eastAsia="Times New Roman" w:cs="Calibri"/>
                <w:color w:val="000000"/>
                <w:sz w:val="22"/>
                <w:szCs w:val="22"/>
                <w:lang w:val="es-CR"/>
              </w:rPr>
              <w:t>%</w:t>
            </w:r>
          </w:p>
        </w:tc>
        <w:tc>
          <w:tcPr>
            <w:tcW w:w="1057" w:type="dxa"/>
            <w:noWrap/>
            <w:hideMark/>
          </w:tcPr>
          <w:p w14:paraId="0DF80006" w14:textId="77777777"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10%</w:t>
            </w:r>
          </w:p>
        </w:tc>
        <w:tc>
          <w:tcPr>
            <w:tcW w:w="777" w:type="dxa"/>
            <w:noWrap/>
            <w:hideMark/>
          </w:tcPr>
          <w:p w14:paraId="7E259981" w14:textId="77777777"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hideMark/>
          </w:tcPr>
          <w:p w14:paraId="037ED3F7" w14:textId="2E477526"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 xml:space="preserve"> 750 603 </w:t>
            </w:r>
          </w:p>
        </w:tc>
      </w:tr>
      <w:tr w:rsidR="00C71859" w:rsidRPr="00A8066D" w14:paraId="5045F69A" w14:textId="77777777" w:rsidTr="0098391A">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2BD3DB7A" w14:textId="482BBB3F" w:rsidR="00C71859" w:rsidRPr="00A8066D" w:rsidRDefault="00C71859" w:rsidP="00C71859">
            <w:pPr>
              <w:rPr>
                <w:rFonts w:eastAsia="Times New Roman" w:cs="Calibri"/>
                <w:color w:val="000000"/>
                <w:sz w:val="22"/>
                <w:szCs w:val="22"/>
                <w:lang w:val="es-CR"/>
              </w:rPr>
            </w:pPr>
            <w:r w:rsidRPr="00A8066D">
              <w:rPr>
                <w:rFonts w:eastAsia="Times New Roman" w:cs="Calibri"/>
                <w:color w:val="000000"/>
                <w:sz w:val="22"/>
                <w:szCs w:val="22"/>
                <w:lang w:val="es-CR"/>
              </w:rPr>
              <w:t xml:space="preserve">   FICE</w:t>
            </w:r>
          </w:p>
        </w:tc>
        <w:tc>
          <w:tcPr>
            <w:tcW w:w="1106" w:type="dxa"/>
            <w:hideMark/>
          </w:tcPr>
          <w:p w14:paraId="7997AA1D" w14:textId="71A0F632" w:rsidR="00C71859" w:rsidRPr="00A8066D" w:rsidRDefault="00C71859" w:rsidP="00C7185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12 070</w:t>
            </w:r>
          </w:p>
        </w:tc>
        <w:tc>
          <w:tcPr>
            <w:tcW w:w="1073" w:type="dxa"/>
            <w:hideMark/>
          </w:tcPr>
          <w:p w14:paraId="4A660FB9" w14:textId="0F5780E7" w:rsidR="00C71859" w:rsidRPr="00A8066D" w:rsidRDefault="00C71859" w:rsidP="00C7185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4 227</w:t>
            </w:r>
          </w:p>
        </w:tc>
        <w:tc>
          <w:tcPr>
            <w:tcW w:w="1352" w:type="dxa"/>
            <w:noWrap/>
            <w:hideMark/>
          </w:tcPr>
          <w:p w14:paraId="48760958" w14:textId="77777777" w:rsidR="00C71859" w:rsidRPr="00A8066D" w:rsidRDefault="00C71859" w:rsidP="00C7185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w:t>
            </w:r>
          </w:p>
        </w:tc>
        <w:tc>
          <w:tcPr>
            <w:tcW w:w="1057" w:type="dxa"/>
            <w:noWrap/>
            <w:hideMark/>
          </w:tcPr>
          <w:p w14:paraId="73514657" w14:textId="77777777" w:rsidR="00C71859" w:rsidRPr="00A8066D" w:rsidRDefault="00C71859" w:rsidP="00C7185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4,5%</w:t>
            </w:r>
          </w:p>
        </w:tc>
        <w:tc>
          <w:tcPr>
            <w:tcW w:w="777" w:type="dxa"/>
            <w:noWrap/>
            <w:hideMark/>
          </w:tcPr>
          <w:p w14:paraId="10045B7D" w14:textId="77777777" w:rsidR="00C71859" w:rsidRPr="00A8066D" w:rsidRDefault="00C71859" w:rsidP="00C7185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hideMark/>
          </w:tcPr>
          <w:p w14:paraId="123682D6" w14:textId="11D80072" w:rsidR="00C71859" w:rsidRPr="00A8066D" w:rsidRDefault="00C71859" w:rsidP="00C7185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 xml:space="preserve"> 280 182 </w:t>
            </w:r>
          </w:p>
        </w:tc>
      </w:tr>
      <w:tr w:rsidR="00C71859" w:rsidRPr="00A8066D" w14:paraId="0A244BE5" w14:textId="77777777" w:rsidTr="0098391A">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271247E4" w14:textId="7E88FC6F" w:rsidR="00C71859" w:rsidRPr="00A8066D" w:rsidRDefault="00C71859" w:rsidP="00C71859">
            <w:pPr>
              <w:rPr>
                <w:rFonts w:eastAsia="Times New Roman" w:cs="Calibri"/>
                <w:color w:val="000000"/>
                <w:sz w:val="22"/>
                <w:szCs w:val="22"/>
                <w:lang w:val="es-CR"/>
              </w:rPr>
            </w:pPr>
            <w:r w:rsidRPr="00A8066D">
              <w:rPr>
                <w:rFonts w:eastAsia="Times New Roman" w:cs="Calibri"/>
                <w:color w:val="000000"/>
                <w:sz w:val="22"/>
                <w:szCs w:val="22"/>
                <w:lang w:val="es-CR"/>
              </w:rPr>
              <w:t xml:space="preserve">   FRE</w:t>
            </w:r>
          </w:p>
        </w:tc>
        <w:tc>
          <w:tcPr>
            <w:tcW w:w="1106" w:type="dxa"/>
            <w:hideMark/>
          </w:tcPr>
          <w:p w14:paraId="035CB66C" w14:textId="29B35CC4"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57 134</w:t>
            </w:r>
          </w:p>
        </w:tc>
        <w:tc>
          <w:tcPr>
            <w:tcW w:w="1073" w:type="dxa"/>
            <w:hideMark/>
          </w:tcPr>
          <w:p w14:paraId="16CEF061" w14:textId="083BE3F6"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18 049</w:t>
            </w:r>
          </w:p>
        </w:tc>
        <w:tc>
          <w:tcPr>
            <w:tcW w:w="1352" w:type="dxa"/>
            <w:noWrap/>
            <w:hideMark/>
          </w:tcPr>
          <w:p w14:paraId="1BE873FC" w14:textId="77777777"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57" w:type="dxa"/>
            <w:noWrap/>
            <w:hideMark/>
          </w:tcPr>
          <w:p w14:paraId="3FB64D9C" w14:textId="77777777"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2%</w:t>
            </w:r>
          </w:p>
        </w:tc>
        <w:tc>
          <w:tcPr>
            <w:tcW w:w="777" w:type="dxa"/>
            <w:noWrap/>
            <w:hideMark/>
          </w:tcPr>
          <w:p w14:paraId="4FCC22F3" w14:textId="77777777"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hideMark/>
          </w:tcPr>
          <w:p w14:paraId="6565B6D7" w14:textId="5ECF3BE4" w:rsidR="00C71859" w:rsidRPr="00A8066D" w:rsidRDefault="00C71859" w:rsidP="00C7185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 xml:space="preserve"> 129 489 </w:t>
            </w:r>
          </w:p>
        </w:tc>
      </w:tr>
      <w:tr w:rsidR="005170D8" w:rsidRPr="00A8066D" w14:paraId="4FBDEE36" w14:textId="77777777" w:rsidTr="0098391A">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3912" w:type="dxa"/>
            <w:noWrap/>
            <w:vAlign w:val="center"/>
            <w:hideMark/>
          </w:tcPr>
          <w:p w14:paraId="2D805859" w14:textId="322BFC97" w:rsidR="005170D8" w:rsidRPr="00A8066D" w:rsidRDefault="005170D8" w:rsidP="005170D8">
            <w:pPr>
              <w:rPr>
                <w:rFonts w:eastAsia="Times New Roman" w:cs="Calibri"/>
                <w:color w:val="000000"/>
                <w:sz w:val="22"/>
                <w:szCs w:val="22"/>
                <w:lang w:val="es-CR"/>
              </w:rPr>
            </w:pPr>
            <w:r w:rsidRPr="00A8066D">
              <w:rPr>
                <w:rFonts w:eastAsia="Times New Roman" w:cs="Calibri"/>
                <w:color w:val="000000"/>
                <w:sz w:val="22"/>
                <w:szCs w:val="22"/>
                <w:lang w:val="es-CR"/>
              </w:rPr>
              <w:t xml:space="preserve">   FVENTLOT</w:t>
            </w:r>
          </w:p>
        </w:tc>
        <w:tc>
          <w:tcPr>
            <w:tcW w:w="1106" w:type="dxa"/>
            <w:vAlign w:val="center"/>
            <w:hideMark/>
          </w:tcPr>
          <w:p w14:paraId="2FCA251A" w14:textId="12AFAB9A" w:rsidR="005170D8" w:rsidRPr="00A8066D" w:rsidRDefault="005170D8" w:rsidP="005170D8">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1 828</w:t>
            </w:r>
          </w:p>
        </w:tc>
        <w:tc>
          <w:tcPr>
            <w:tcW w:w="1073" w:type="dxa"/>
            <w:vAlign w:val="center"/>
            <w:hideMark/>
          </w:tcPr>
          <w:p w14:paraId="78FE16F5" w14:textId="3BD7CC1E" w:rsidR="005170D8" w:rsidRPr="00A8066D" w:rsidRDefault="005170D8" w:rsidP="005170D8">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sz w:val="22"/>
                <w:szCs w:val="22"/>
              </w:rPr>
              <w:t>451</w:t>
            </w:r>
          </w:p>
        </w:tc>
        <w:tc>
          <w:tcPr>
            <w:tcW w:w="1352" w:type="dxa"/>
            <w:vAlign w:val="center"/>
            <w:hideMark/>
          </w:tcPr>
          <w:p w14:paraId="46C39DE7" w14:textId="77777777" w:rsidR="005170D8" w:rsidRPr="00A8066D" w:rsidRDefault="005170D8" w:rsidP="005170D8">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s-CR"/>
              </w:rPr>
            </w:pPr>
            <w:r w:rsidRPr="00A8066D">
              <w:rPr>
                <w:rFonts w:eastAsia="Times New Roman" w:cs="Calibri"/>
                <w:color w:val="000000"/>
                <w:sz w:val="18"/>
                <w:szCs w:val="18"/>
                <w:lang w:val="es-CR"/>
              </w:rPr>
              <w:t>0,25% del monto aportado por Patrono</w:t>
            </w:r>
          </w:p>
        </w:tc>
        <w:tc>
          <w:tcPr>
            <w:tcW w:w="1057" w:type="dxa"/>
            <w:vAlign w:val="center"/>
            <w:hideMark/>
          </w:tcPr>
          <w:p w14:paraId="598D8C25" w14:textId="77777777" w:rsidR="005170D8" w:rsidRPr="00A8066D" w:rsidRDefault="005170D8" w:rsidP="005170D8">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s-CR"/>
              </w:rPr>
            </w:pPr>
            <w:r w:rsidRPr="00A8066D">
              <w:rPr>
                <w:rFonts w:eastAsia="Times New Roman" w:cs="Calibri"/>
                <w:color w:val="000000"/>
                <w:sz w:val="18"/>
                <w:szCs w:val="18"/>
                <w:lang w:val="es-CR"/>
              </w:rPr>
              <w:t>1% de ventas de lotería</w:t>
            </w:r>
          </w:p>
        </w:tc>
        <w:tc>
          <w:tcPr>
            <w:tcW w:w="777" w:type="dxa"/>
            <w:noWrap/>
            <w:vAlign w:val="center"/>
            <w:hideMark/>
          </w:tcPr>
          <w:p w14:paraId="2646507E" w14:textId="77777777" w:rsidR="005170D8" w:rsidRPr="00A8066D" w:rsidRDefault="005170D8" w:rsidP="005170D8">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vAlign w:val="center"/>
            <w:hideMark/>
          </w:tcPr>
          <w:p w14:paraId="728ABE92" w14:textId="71838053" w:rsidR="005170D8" w:rsidRPr="00A8066D" w:rsidRDefault="005170D8" w:rsidP="005170D8">
            <w:pPr>
              <w:jc w:val="right"/>
              <w:cnfStyle w:val="000000100000" w:firstRow="0" w:lastRow="0" w:firstColumn="0" w:lastColumn="0" w:oddVBand="0" w:evenVBand="0" w:oddHBand="1" w:evenHBand="0" w:firstRowFirstColumn="0" w:firstRowLastColumn="0" w:lastRowFirstColumn="0" w:lastRowLastColumn="0"/>
              <w:rPr>
                <w:sz w:val="22"/>
                <w:szCs w:val="22"/>
              </w:rPr>
            </w:pPr>
            <w:r w:rsidRPr="00A8066D">
              <w:rPr>
                <w:sz w:val="22"/>
                <w:szCs w:val="22"/>
              </w:rPr>
              <w:t xml:space="preserve"> </w:t>
            </w:r>
            <w:r w:rsidRPr="00A8066D">
              <w:rPr>
                <w:rFonts w:eastAsia="Times New Roman" w:cs="Calibri"/>
                <w:color w:val="000000"/>
                <w:sz w:val="22"/>
                <w:szCs w:val="22"/>
                <w:lang w:val="es-CR"/>
              </w:rPr>
              <w:t>144</w:t>
            </w:r>
            <w:r w:rsidRPr="00A8066D">
              <w:rPr>
                <w:sz w:val="22"/>
                <w:szCs w:val="22"/>
              </w:rPr>
              <w:t xml:space="preserve"> 200</w:t>
            </w:r>
          </w:p>
        </w:tc>
      </w:tr>
      <w:tr w:rsidR="005170D8" w:rsidRPr="00A8066D" w14:paraId="19D02544" w14:textId="77777777" w:rsidTr="0098391A">
        <w:trPr>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44685B2B" w14:textId="7868EA8C" w:rsidR="005170D8" w:rsidRPr="00A8066D" w:rsidRDefault="005170D8" w:rsidP="005170D8">
            <w:pPr>
              <w:rPr>
                <w:rFonts w:eastAsia="Times New Roman" w:cs="Calibri"/>
                <w:color w:val="000000"/>
                <w:sz w:val="22"/>
                <w:szCs w:val="22"/>
                <w:lang w:val="es-CR"/>
              </w:rPr>
            </w:pPr>
            <w:r w:rsidRPr="00A8066D">
              <w:rPr>
                <w:rFonts w:eastAsia="Times New Roman" w:cs="Calibri"/>
                <w:color w:val="000000"/>
                <w:sz w:val="22"/>
                <w:szCs w:val="22"/>
                <w:lang w:val="es-CR"/>
              </w:rPr>
              <w:t xml:space="preserve">   FBCR</w:t>
            </w:r>
          </w:p>
        </w:tc>
        <w:tc>
          <w:tcPr>
            <w:tcW w:w="1106" w:type="dxa"/>
            <w:vAlign w:val="center"/>
          </w:tcPr>
          <w:p w14:paraId="727E5A62" w14:textId="061B4221" w:rsidR="005170D8" w:rsidRPr="00A8066D" w:rsidRDefault="005170D8" w:rsidP="005170D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3 965</w:t>
            </w:r>
          </w:p>
        </w:tc>
        <w:tc>
          <w:tcPr>
            <w:tcW w:w="1073" w:type="dxa"/>
            <w:vAlign w:val="center"/>
          </w:tcPr>
          <w:p w14:paraId="745E52AA" w14:textId="372F3506" w:rsidR="005170D8" w:rsidRPr="00A8066D" w:rsidRDefault="005170D8" w:rsidP="005170D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sz w:val="22"/>
                <w:szCs w:val="22"/>
              </w:rPr>
              <w:t>8</w:t>
            </w:r>
          </w:p>
        </w:tc>
        <w:tc>
          <w:tcPr>
            <w:tcW w:w="1352" w:type="dxa"/>
            <w:noWrap/>
          </w:tcPr>
          <w:p w14:paraId="619647B4" w14:textId="77777777" w:rsidR="005170D8" w:rsidRPr="00A8066D" w:rsidRDefault="005170D8" w:rsidP="005170D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0,5%</w:t>
            </w:r>
          </w:p>
        </w:tc>
        <w:tc>
          <w:tcPr>
            <w:tcW w:w="1057" w:type="dxa"/>
            <w:noWrap/>
          </w:tcPr>
          <w:p w14:paraId="5D49BFA5" w14:textId="77777777" w:rsidR="005170D8" w:rsidRPr="00A8066D" w:rsidRDefault="005170D8" w:rsidP="005170D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10%</w:t>
            </w:r>
          </w:p>
        </w:tc>
        <w:tc>
          <w:tcPr>
            <w:tcW w:w="777" w:type="dxa"/>
            <w:noWrap/>
          </w:tcPr>
          <w:p w14:paraId="714A156C" w14:textId="77777777" w:rsidR="005170D8" w:rsidRPr="00A8066D" w:rsidRDefault="005170D8" w:rsidP="005170D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tcPr>
          <w:p w14:paraId="4224D36F" w14:textId="77777777" w:rsidR="005170D8" w:rsidRPr="00A8066D" w:rsidRDefault="005170D8" w:rsidP="005170D8">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162 313</w:t>
            </w:r>
          </w:p>
        </w:tc>
      </w:tr>
      <w:tr w:rsidR="00724362" w:rsidRPr="00A8066D" w14:paraId="415F742E" w14:textId="77777777" w:rsidTr="0098391A">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6132504F" w14:textId="52169C2D" w:rsidR="00724362" w:rsidRPr="00A8066D" w:rsidRDefault="00D142B9" w:rsidP="00724362">
            <w:pPr>
              <w:rPr>
                <w:rFonts w:eastAsia="Times New Roman" w:cs="Calibri"/>
                <w:color w:val="000000"/>
                <w:sz w:val="22"/>
                <w:szCs w:val="22"/>
                <w:lang w:val="es-CR"/>
              </w:rPr>
            </w:pPr>
            <w:r w:rsidRPr="00A8066D">
              <w:rPr>
                <w:rFonts w:eastAsia="Times New Roman" w:cs="Calibri"/>
                <w:color w:val="000000"/>
                <w:sz w:val="22"/>
                <w:szCs w:val="22"/>
                <w:lang w:val="es-CR"/>
              </w:rPr>
              <w:t xml:space="preserve">  </w:t>
            </w:r>
            <w:r w:rsidR="00724362" w:rsidRPr="00A8066D">
              <w:rPr>
                <w:rFonts w:eastAsia="Times New Roman" w:cs="Calibri"/>
                <w:color w:val="000000"/>
                <w:sz w:val="22"/>
                <w:szCs w:val="22"/>
                <w:lang w:val="es-CR"/>
              </w:rPr>
              <w:t xml:space="preserve"> FICT</w:t>
            </w:r>
          </w:p>
        </w:tc>
        <w:tc>
          <w:tcPr>
            <w:tcW w:w="1106" w:type="dxa"/>
          </w:tcPr>
          <w:p w14:paraId="623FBFCA" w14:textId="6CC9E34A" w:rsidR="00724362" w:rsidRPr="00A8066D" w:rsidRDefault="00705498" w:rsidP="00705498">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30</w:t>
            </w:r>
            <w:r w:rsidR="00754086" w:rsidRPr="00A8066D">
              <w:rPr>
                <w:rFonts w:eastAsia="Times New Roman" w:cs="Calibri"/>
                <w:color w:val="000000"/>
                <w:sz w:val="22"/>
                <w:szCs w:val="22"/>
                <w:lang w:val="es-CR"/>
              </w:rPr>
              <w:t>7</w:t>
            </w:r>
          </w:p>
        </w:tc>
        <w:tc>
          <w:tcPr>
            <w:tcW w:w="1073" w:type="dxa"/>
          </w:tcPr>
          <w:p w14:paraId="42AD8119" w14:textId="77777777" w:rsidR="00724362" w:rsidRPr="00A8066D" w:rsidRDefault="00273831"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352" w:type="dxa"/>
            <w:noWrap/>
          </w:tcPr>
          <w:p w14:paraId="153E7852" w14:textId="77777777" w:rsidR="00724362" w:rsidRPr="00A8066D" w:rsidRDefault="00CB145F"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57" w:type="dxa"/>
            <w:noWrap/>
          </w:tcPr>
          <w:p w14:paraId="189AAC45" w14:textId="77777777" w:rsidR="00724362" w:rsidRPr="00A8066D" w:rsidRDefault="00CB145F"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5%</w:t>
            </w:r>
          </w:p>
        </w:tc>
        <w:tc>
          <w:tcPr>
            <w:tcW w:w="777" w:type="dxa"/>
            <w:noWrap/>
          </w:tcPr>
          <w:p w14:paraId="00CF9BAD" w14:textId="77777777" w:rsidR="00724362" w:rsidRPr="00A8066D" w:rsidRDefault="000C3D87"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tcPr>
          <w:p w14:paraId="3793EFB3" w14:textId="77777777" w:rsidR="00724362" w:rsidRPr="00A8066D" w:rsidRDefault="00AC04A5"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r>
      <w:tr w:rsidR="00AE0C13" w:rsidRPr="00A8066D" w14:paraId="78EDCFD0" w14:textId="77777777" w:rsidTr="0098391A">
        <w:trPr>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05F8D8F7" w14:textId="77777777" w:rsidR="001D586E" w:rsidRPr="00A8066D" w:rsidRDefault="00163ABA" w:rsidP="001D586E">
            <w:pPr>
              <w:rPr>
                <w:rFonts w:eastAsia="Times New Roman" w:cs="Calibri"/>
                <w:color w:val="000000"/>
                <w:sz w:val="22"/>
                <w:szCs w:val="22"/>
                <w:lang w:val="es-CR"/>
              </w:rPr>
            </w:pPr>
            <w:r w:rsidRPr="00A8066D">
              <w:rPr>
                <w:rFonts w:eastAsia="Times New Roman" w:cs="Calibri"/>
                <w:color w:val="000000"/>
                <w:sz w:val="22"/>
                <w:szCs w:val="22"/>
                <w:lang w:val="es-CR"/>
              </w:rPr>
              <w:t>Régimen Obligatorio Complementario (</w:t>
            </w:r>
            <w:r w:rsidR="001D586E" w:rsidRPr="00A8066D">
              <w:rPr>
                <w:rFonts w:eastAsia="Times New Roman" w:cs="Calibri"/>
                <w:color w:val="000000"/>
                <w:sz w:val="22"/>
                <w:szCs w:val="22"/>
                <w:lang w:val="es-CR"/>
              </w:rPr>
              <w:t>ROP</w:t>
            </w:r>
            <w:r w:rsidRPr="00A8066D">
              <w:rPr>
                <w:rFonts w:eastAsia="Times New Roman" w:cs="Calibri"/>
                <w:color w:val="000000"/>
                <w:sz w:val="22"/>
                <w:szCs w:val="22"/>
                <w:lang w:val="es-CR"/>
              </w:rPr>
              <w:t>)</w:t>
            </w:r>
          </w:p>
        </w:tc>
        <w:tc>
          <w:tcPr>
            <w:tcW w:w="1106" w:type="dxa"/>
            <w:hideMark/>
          </w:tcPr>
          <w:p w14:paraId="36A81D73" w14:textId="4F591B4F"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2</w:t>
            </w:r>
            <w:r w:rsidR="00D60B63" w:rsidRPr="00A8066D">
              <w:rPr>
                <w:rFonts w:eastAsia="Times New Roman" w:cs="Calibri"/>
                <w:color w:val="000000"/>
                <w:sz w:val="22"/>
                <w:szCs w:val="22"/>
                <w:lang w:val="es-CR"/>
              </w:rPr>
              <w:t> </w:t>
            </w:r>
            <w:r w:rsidR="00147B66" w:rsidRPr="00A8066D">
              <w:rPr>
                <w:rFonts w:eastAsia="Times New Roman" w:cs="Calibri"/>
                <w:color w:val="000000"/>
                <w:sz w:val="22"/>
                <w:szCs w:val="22"/>
                <w:lang w:val="es-CR"/>
              </w:rPr>
              <w:t>787</w:t>
            </w:r>
            <w:r w:rsidR="00D60B63" w:rsidRPr="00A8066D">
              <w:rPr>
                <w:rFonts w:eastAsia="Times New Roman" w:cs="Calibri"/>
                <w:color w:val="000000"/>
                <w:sz w:val="22"/>
                <w:szCs w:val="22"/>
                <w:lang w:val="es-CR"/>
              </w:rPr>
              <w:t xml:space="preserve"> 226</w:t>
            </w:r>
          </w:p>
        </w:tc>
        <w:tc>
          <w:tcPr>
            <w:tcW w:w="1073" w:type="dxa"/>
            <w:hideMark/>
          </w:tcPr>
          <w:p w14:paraId="6A7E9493" w14:textId="79E42644" w:rsidR="001D586E" w:rsidRPr="00A8066D" w:rsidRDefault="0098391A" w:rsidP="0098391A">
            <w:pPr>
              <w:jc w:val="right"/>
              <w:cnfStyle w:val="000000000000" w:firstRow="0" w:lastRow="0" w:firstColumn="0" w:lastColumn="0" w:oddVBand="0" w:evenVBand="0" w:oddHBand="0" w:evenHBand="0" w:firstRowFirstColumn="0" w:firstRowLastColumn="0" w:lastRowFirstColumn="0" w:lastRowLastColumn="0"/>
              <w:rPr>
                <w:sz w:val="22"/>
                <w:szCs w:val="22"/>
              </w:rPr>
            </w:pPr>
            <w:r w:rsidRPr="00A8066D">
              <w:rPr>
                <w:sz w:val="22"/>
                <w:szCs w:val="22"/>
              </w:rPr>
              <w:t>12 249</w:t>
            </w:r>
          </w:p>
        </w:tc>
        <w:tc>
          <w:tcPr>
            <w:tcW w:w="1352" w:type="dxa"/>
            <w:noWrap/>
            <w:hideMark/>
          </w:tcPr>
          <w:p w14:paraId="1516B667"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sz w:val="22"/>
                <w:szCs w:val="22"/>
              </w:rPr>
            </w:pPr>
            <w:r w:rsidRPr="00A8066D">
              <w:rPr>
                <w:sz w:val="22"/>
                <w:szCs w:val="22"/>
              </w:rPr>
              <w:t>1%</w:t>
            </w:r>
          </w:p>
        </w:tc>
        <w:tc>
          <w:tcPr>
            <w:tcW w:w="1057" w:type="dxa"/>
            <w:noWrap/>
            <w:hideMark/>
          </w:tcPr>
          <w:p w14:paraId="23604F95"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3,25%</w:t>
            </w:r>
          </w:p>
        </w:tc>
        <w:tc>
          <w:tcPr>
            <w:tcW w:w="777" w:type="dxa"/>
            <w:noWrap/>
            <w:hideMark/>
          </w:tcPr>
          <w:p w14:paraId="40D9C984"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hideMark/>
          </w:tcPr>
          <w:p w14:paraId="7E14A43E"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 xml:space="preserve">98 039 </w:t>
            </w:r>
          </w:p>
        </w:tc>
      </w:tr>
      <w:tr w:rsidR="0063459A" w:rsidRPr="00A8066D" w14:paraId="18E7684F" w14:textId="77777777" w:rsidTr="0098391A">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564A50FA" w14:textId="77777777" w:rsidR="001D586E" w:rsidRPr="00A8066D" w:rsidRDefault="00C25276" w:rsidP="001D586E">
            <w:pPr>
              <w:rPr>
                <w:rFonts w:eastAsia="Times New Roman" w:cs="Calibri"/>
                <w:color w:val="000000"/>
                <w:sz w:val="22"/>
                <w:szCs w:val="22"/>
                <w:lang w:val="es-CR"/>
              </w:rPr>
            </w:pPr>
            <w:r w:rsidRPr="00A8066D">
              <w:rPr>
                <w:rFonts w:eastAsia="Times New Roman" w:cs="Calibri"/>
                <w:color w:val="000000"/>
                <w:sz w:val="22"/>
                <w:szCs w:val="22"/>
                <w:lang w:val="es-CR"/>
              </w:rPr>
              <w:t>Planes Voluntarios</w:t>
            </w:r>
          </w:p>
        </w:tc>
        <w:tc>
          <w:tcPr>
            <w:tcW w:w="1106" w:type="dxa"/>
            <w:hideMark/>
          </w:tcPr>
          <w:p w14:paraId="7C116EBE" w14:textId="0CB2C56E" w:rsidR="001D586E" w:rsidRPr="00A8066D" w:rsidRDefault="00D60B63"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161 627</w:t>
            </w:r>
          </w:p>
        </w:tc>
        <w:tc>
          <w:tcPr>
            <w:tcW w:w="1073" w:type="dxa"/>
            <w:noWrap/>
            <w:hideMark/>
          </w:tcPr>
          <w:p w14:paraId="43D26CC1" w14:textId="77777777" w:rsidR="001D586E" w:rsidRPr="00A8066D" w:rsidRDefault="00D33F6A"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352" w:type="dxa"/>
            <w:hideMark/>
          </w:tcPr>
          <w:p w14:paraId="7AA2FA28" w14:textId="77777777" w:rsidR="001D586E" w:rsidRPr="00A8066D" w:rsidRDefault="001D586E" w:rsidP="00A2594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Libre</w:t>
            </w:r>
          </w:p>
        </w:tc>
        <w:tc>
          <w:tcPr>
            <w:tcW w:w="1057" w:type="dxa"/>
            <w:noWrap/>
            <w:hideMark/>
          </w:tcPr>
          <w:p w14:paraId="5963CCC3" w14:textId="77777777" w:rsidR="001D586E" w:rsidRPr="00A8066D" w:rsidRDefault="001D586E"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777" w:type="dxa"/>
            <w:noWrap/>
            <w:hideMark/>
          </w:tcPr>
          <w:p w14:paraId="64B334F9" w14:textId="77777777" w:rsidR="001D586E" w:rsidRPr="00A8066D" w:rsidRDefault="001D586E"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hideMark/>
          </w:tcPr>
          <w:p w14:paraId="4A041005" w14:textId="77777777" w:rsidR="001D586E" w:rsidRPr="00A8066D" w:rsidRDefault="001D586E"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NA</w:t>
            </w:r>
          </w:p>
        </w:tc>
      </w:tr>
      <w:tr w:rsidR="0063459A" w:rsidRPr="00A8066D" w14:paraId="70B119F6" w14:textId="77777777" w:rsidTr="0098391A">
        <w:trPr>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00996609" w14:textId="77777777" w:rsidR="001D586E" w:rsidRPr="00A8066D" w:rsidRDefault="001D586E" w:rsidP="001D586E">
            <w:pPr>
              <w:rPr>
                <w:rFonts w:eastAsia="Times New Roman" w:cs="Calibri"/>
                <w:color w:val="000000"/>
                <w:sz w:val="22"/>
                <w:szCs w:val="22"/>
                <w:lang w:val="es-CR"/>
              </w:rPr>
            </w:pPr>
            <w:r w:rsidRPr="00A8066D">
              <w:rPr>
                <w:rFonts w:eastAsia="Times New Roman" w:cs="Calibri"/>
                <w:color w:val="000000"/>
                <w:sz w:val="22"/>
                <w:szCs w:val="22"/>
                <w:lang w:val="es-CR"/>
              </w:rPr>
              <w:t>Fondo de Capitalización Laboral (FCL)</w:t>
            </w:r>
          </w:p>
        </w:tc>
        <w:tc>
          <w:tcPr>
            <w:tcW w:w="1106" w:type="dxa"/>
            <w:hideMark/>
          </w:tcPr>
          <w:p w14:paraId="17EC17C0" w14:textId="32504D28"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2</w:t>
            </w:r>
            <w:r w:rsidR="00316282" w:rsidRPr="00A8066D">
              <w:rPr>
                <w:rFonts w:eastAsia="Times New Roman" w:cs="Calibri"/>
                <w:color w:val="000000"/>
                <w:sz w:val="22"/>
                <w:szCs w:val="22"/>
                <w:lang w:val="es-CR"/>
              </w:rPr>
              <w:t> </w:t>
            </w:r>
            <w:r w:rsidR="00D60B63" w:rsidRPr="00A8066D">
              <w:rPr>
                <w:rFonts w:eastAsia="Times New Roman" w:cs="Calibri"/>
                <w:color w:val="000000"/>
                <w:sz w:val="22"/>
                <w:szCs w:val="22"/>
                <w:lang w:val="es-CR"/>
              </w:rPr>
              <w:t>2</w:t>
            </w:r>
            <w:r w:rsidR="00316282" w:rsidRPr="00A8066D">
              <w:rPr>
                <w:rFonts w:eastAsia="Times New Roman" w:cs="Calibri"/>
                <w:color w:val="000000"/>
                <w:sz w:val="22"/>
                <w:szCs w:val="22"/>
                <w:lang w:val="es-CR"/>
              </w:rPr>
              <w:t>39 457</w:t>
            </w:r>
          </w:p>
        </w:tc>
        <w:tc>
          <w:tcPr>
            <w:tcW w:w="1073" w:type="dxa"/>
            <w:noWrap/>
            <w:hideMark/>
          </w:tcPr>
          <w:p w14:paraId="5757E83B"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NA</w:t>
            </w:r>
          </w:p>
        </w:tc>
        <w:tc>
          <w:tcPr>
            <w:tcW w:w="1352" w:type="dxa"/>
            <w:noWrap/>
            <w:hideMark/>
          </w:tcPr>
          <w:p w14:paraId="62750FB6"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1,50%</w:t>
            </w:r>
          </w:p>
        </w:tc>
        <w:tc>
          <w:tcPr>
            <w:tcW w:w="1057" w:type="dxa"/>
            <w:noWrap/>
            <w:hideMark/>
          </w:tcPr>
          <w:p w14:paraId="3FE8AD68"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777" w:type="dxa"/>
            <w:noWrap/>
            <w:hideMark/>
          </w:tcPr>
          <w:p w14:paraId="5C514506"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0%</w:t>
            </w:r>
          </w:p>
        </w:tc>
        <w:tc>
          <w:tcPr>
            <w:tcW w:w="1066" w:type="dxa"/>
            <w:noWrap/>
            <w:hideMark/>
          </w:tcPr>
          <w:p w14:paraId="34D1D3A4" w14:textId="77777777" w:rsidR="001D586E" w:rsidRPr="00A8066D"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22"/>
                <w:szCs w:val="22"/>
                <w:lang w:val="es-CR"/>
              </w:rPr>
            </w:pPr>
            <w:r w:rsidRPr="00A8066D">
              <w:rPr>
                <w:rFonts w:eastAsia="Times New Roman" w:cs="Calibri"/>
                <w:color w:val="000000"/>
                <w:sz w:val="22"/>
                <w:szCs w:val="22"/>
                <w:lang w:val="es-CR"/>
              </w:rPr>
              <w:t>NA</w:t>
            </w:r>
          </w:p>
        </w:tc>
      </w:tr>
    </w:tbl>
    <w:p w14:paraId="02BD1B25" w14:textId="32F61544" w:rsidR="00F4271C" w:rsidRDefault="00F4271C" w:rsidP="00A8066D">
      <w:pPr>
        <w:pStyle w:val="Descripcin"/>
        <w:spacing w:after="0"/>
        <w:ind w:left="1134"/>
        <w:jc w:val="both"/>
      </w:pPr>
      <w:r>
        <w:t>* Datos de afiliados a junio para RIVM, a julio para el RCCMN y agosto para el FPJ y da</w:t>
      </w:r>
      <w:r w:rsidR="007C2284">
        <w:t>t</w:t>
      </w:r>
      <w:r>
        <w:t>os de pensionados a julio para el RIVM. Último dato disponible.</w:t>
      </w:r>
    </w:p>
    <w:p w14:paraId="2BC70394" w14:textId="77777777" w:rsidR="00F4271C" w:rsidRDefault="00F4271C" w:rsidP="00A8066D">
      <w:pPr>
        <w:pStyle w:val="Descripcin"/>
        <w:spacing w:after="0"/>
        <w:ind w:left="1134"/>
      </w:pPr>
      <w:r>
        <w:t>**Cotizan el trabajador y el pensionado</w:t>
      </w:r>
    </w:p>
    <w:p w14:paraId="2DD668B2" w14:textId="465C0529" w:rsidR="00AE03F5" w:rsidRDefault="00F4271C" w:rsidP="00A8066D">
      <w:pPr>
        <w:pStyle w:val="Descripcin"/>
        <w:spacing w:after="0"/>
        <w:ind w:left="1134"/>
      </w:pPr>
      <w:r>
        <w:t>Fuente: Elaboración propia</w:t>
      </w:r>
    </w:p>
    <w:p w14:paraId="157B485D" w14:textId="77777777" w:rsidR="00C83D68" w:rsidRPr="00C83D68" w:rsidRDefault="00C83D68" w:rsidP="00C83D68">
      <w:pPr>
        <w:spacing w:after="0" w:line="240" w:lineRule="auto"/>
      </w:pPr>
    </w:p>
    <w:p w14:paraId="3593C724" w14:textId="77777777" w:rsidR="004308B6" w:rsidRDefault="006929F8" w:rsidP="00E2531A">
      <w:pPr>
        <w:pStyle w:val="Ttulo2"/>
        <w:numPr>
          <w:ilvl w:val="1"/>
          <w:numId w:val="1"/>
        </w:numPr>
      </w:pPr>
      <w:bookmarkStart w:id="14" w:name="_Toc64039565"/>
      <w:r>
        <w:t>Activos administrados</w:t>
      </w:r>
      <w:bookmarkEnd w:id="14"/>
      <w:r w:rsidR="20532F7E">
        <w:t xml:space="preserve"> </w:t>
      </w:r>
    </w:p>
    <w:p w14:paraId="014B8221" w14:textId="77777777" w:rsidR="00CA77B1" w:rsidRDefault="00CA77B1" w:rsidP="00CA77B1">
      <w:pPr>
        <w:spacing w:after="0" w:line="240" w:lineRule="auto"/>
      </w:pPr>
    </w:p>
    <w:p w14:paraId="48CBDB7E" w14:textId="4F58FBAD" w:rsidR="00CA77B1" w:rsidRPr="00A8066D" w:rsidRDefault="00CA77B1" w:rsidP="00A8066D">
      <w:pPr>
        <w:spacing w:after="0" w:line="360" w:lineRule="auto"/>
        <w:jc w:val="both"/>
        <w:rPr>
          <w:sz w:val="24"/>
          <w:szCs w:val="24"/>
        </w:rPr>
      </w:pPr>
      <w:r w:rsidRPr="00A8066D">
        <w:rPr>
          <w:sz w:val="24"/>
          <w:szCs w:val="24"/>
        </w:rPr>
        <w:t>El Sistema Nacional de Pensiones (SNP) y el FCL</w:t>
      </w:r>
      <w:r w:rsidR="00681C9F" w:rsidRPr="00A8066D">
        <w:rPr>
          <w:sz w:val="24"/>
          <w:szCs w:val="24"/>
        </w:rPr>
        <w:t xml:space="preserve"> </w:t>
      </w:r>
      <w:r w:rsidRPr="00A8066D">
        <w:rPr>
          <w:sz w:val="24"/>
          <w:szCs w:val="24"/>
        </w:rPr>
        <w:t xml:space="preserve">administran recursos, a </w:t>
      </w:r>
      <w:r w:rsidR="00A8644F" w:rsidRPr="00A8066D">
        <w:rPr>
          <w:sz w:val="24"/>
          <w:szCs w:val="24"/>
        </w:rPr>
        <w:t xml:space="preserve">setiembre </w:t>
      </w:r>
      <w:r w:rsidR="002B2FA3" w:rsidRPr="00A8066D">
        <w:rPr>
          <w:sz w:val="24"/>
          <w:szCs w:val="24"/>
        </w:rPr>
        <w:t>d</w:t>
      </w:r>
      <w:r w:rsidRPr="00A8066D">
        <w:rPr>
          <w:sz w:val="24"/>
          <w:szCs w:val="24"/>
        </w:rPr>
        <w:t xml:space="preserve">el 2020, que totalizan </w:t>
      </w:r>
      <w:r w:rsidR="00C13D0C" w:rsidRPr="00A8066D">
        <w:rPr>
          <w:sz w:val="24"/>
          <w:szCs w:val="24"/>
        </w:rPr>
        <w:t>₡</w:t>
      </w:r>
      <w:r w:rsidRPr="00A8066D">
        <w:rPr>
          <w:sz w:val="24"/>
          <w:szCs w:val="24"/>
        </w:rPr>
        <w:t>16,</w:t>
      </w:r>
      <w:r w:rsidR="0045724B" w:rsidRPr="00A8066D">
        <w:rPr>
          <w:sz w:val="24"/>
          <w:szCs w:val="24"/>
        </w:rPr>
        <w:t>7</w:t>
      </w:r>
      <w:r w:rsidRPr="00A8066D">
        <w:rPr>
          <w:sz w:val="24"/>
          <w:szCs w:val="24"/>
        </w:rPr>
        <w:t xml:space="preserve"> billones, esto corresponde al </w:t>
      </w:r>
      <w:r w:rsidR="00D53D6E" w:rsidRPr="00A8066D">
        <w:rPr>
          <w:sz w:val="24"/>
          <w:szCs w:val="24"/>
        </w:rPr>
        <w:t>4</w:t>
      </w:r>
      <w:r w:rsidR="00EA38A1" w:rsidRPr="00A8066D">
        <w:rPr>
          <w:sz w:val="24"/>
          <w:szCs w:val="24"/>
        </w:rPr>
        <w:t>7,4</w:t>
      </w:r>
      <w:r w:rsidRPr="00A8066D">
        <w:rPr>
          <w:sz w:val="24"/>
          <w:szCs w:val="24"/>
        </w:rPr>
        <w:t xml:space="preserve">% del PIB. El crecimiento </w:t>
      </w:r>
      <w:r w:rsidR="00110043" w:rsidRPr="00A8066D">
        <w:rPr>
          <w:sz w:val="24"/>
          <w:szCs w:val="24"/>
        </w:rPr>
        <w:t xml:space="preserve">durante </w:t>
      </w:r>
      <w:r w:rsidR="009A13F0" w:rsidRPr="00A8066D">
        <w:rPr>
          <w:sz w:val="24"/>
          <w:szCs w:val="24"/>
        </w:rPr>
        <w:t xml:space="preserve">los primeros </w:t>
      </w:r>
      <w:r w:rsidR="00CC4DD5" w:rsidRPr="00A8066D">
        <w:rPr>
          <w:sz w:val="24"/>
          <w:szCs w:val="24"/>
        </w:rPr>
        <w:t>nueve</w:t>
      </w:r>
      <w:r w:rsidR="009A13F0" w:rsidRPr="00A8066D">
        <w:rPr>
          <w:sz w:val="24"/>
          <w:szCs w:val="24"/>
        </w:rPr>
        <w:t xml:space="preserve"> meses del año</w:t>
      </w:r>
      <w:r w:rsidR="009417A3" w:rsidRPr="00A8066D">
        <w:rPr>
          <w:sz w:val="24"/>
          <w:szCs w:val="24"/>
        </w:rPr>
        <w:t xml:space="preserve"> ha sido d</w:t>
      </w:r>
      <w:r w:rsidRPr="00A8066D">
        <w:rPr>
          <w:sz w:val="24"/>
          <w:szCs w:val="24"/>
        </w:rPr>
        <w:t xml:space="preserve">el </w:t>
      </w:r>
      <w:r w:rsidR="00F06BF0" w:rsidRPr="00A8066D">
        <w:rPr>
          <w:sz w:val="24"/>
          <w:szCs w:val="24"/>
        </w:rPr>
        <w:t>8,4</w:t>
      </w:r>
      <w:r w:rsidRPr="00A8066D">
        <w:rPr>
          <w:sz w:val="24"/>
          <w:szCs w:val="24"/>
        </w:rPr>
        <w:t>%</w:t>
      </w:r>
      <w:r w:rsidR="009417A3" w:rsidRPr="00A8066D">
        <w:rPr>
          <w:sz w:val="24"/>
          <w:szCs w:val="24"/>
        </w:rPr>
        <w:t>,</w:t>
      </w:r>
      <w:r w:rsidRPr="00A8066D">
        <w:rPr>
          <w:sz w:val="24"/>
          <w:szCs w:val="24"/>
        </w:rPr>
        <w:t xml:space="preserve"> </w:t>
      </w:r>
      <w:r w:rsidR="00D76AD1" w:rsidRPr="00A8066D">
        <w:rPr>
          <w:rStyle w:val="normaltextrun"/>
          <w:rFonts w:ascii="Calibri" w:hAnsi="Calibri" w:cs="Calibri"/>
          <w:color w:val="000000"/>
          <w:sz w:val="24"/>
          <w:szCs w:val="24"/>
          <w:shd w:val="clear" w:color="auto" w:fill="FFFFFF"/>
        </w:rPr>
        <w:t>por debajo de lo observado para el mismo periodo el año pasado que fue del 15</w:t>
      </w:r>
      <w:r w:rsidR="00C65BE5" w:rsidRPr="00A8066D">
        <w:rPr>
          <w:rStyle w:val="normaltextrun"/>
          <w:rFonts w:ascii="Calibri" w:hAnsi="Calibri" w:cs="Calibri"/>
          <w:color w:val="000000"/>
          <w:sz w:val="24"/>
          <w:szCs w:val="24"/>
          <w:shd w:val="clear" w:color="auto" w:fill="FFFFFF"/>
        </w:rPr>
        <w:t>,</w:t>
      </w:r>
      <w:r w:rsidR="00D76AD1" w:rsidRPr="00A8066D">
        <w:rPr>
          <w:rStyle w:val="normaltextrun"/>
          <w:rFonts w:ascii="Calibri" w:hAnsi="Calibri" w:cs="Calibri"/>
          <w:color w:val="000000"/>
          <w:sz w:val="24"/>
          <w:szCs w:val="24"/>
          <w:shd w:val="clear" w:color="auto" w:fill="FFFFFF"/>
        </w:rPr>
        <w:t xml:space="preserve">40% y también </w:t>
      </w:r>
      <w:r w:rsidR="00590670" w:rsidRPr="00A8066D">
        <w:rPr>
          <w:rStyle w:val="normaltextrun"/>
          <w:rFonts w:ascii="Calibri" w:hAnsi="Calibri" w:cs="Calibri"/>
          <w:color w:val="000000"/>
          <w:sz w:val="24"/>
          <w:szCs w:val="24"/>
          <w:shd w:val="clear" w:color="auto" w:fill="FFFFFF"/>
        </w:rPr>
        <w:t>ba</w:t>
      </w:r>
      <w:r w:rsidR="009417A3" w:rsidRPr="00A8066D">
        <w:rPr>
          <w:sz w:val="24"/>
          <w:szCs w:val="24"/>
        </w:rPr>
        <w:t>jo en comparaci</w:t>
      </w:r>
      <w:r w:rsidR="000C6C6E" w:rsidRPr="00A8066D">
        <w:rPr>
          <w:sz w:val="24"/>
          <w:szCs w:val="24"/>
        </w:rPr>
        <w:t>ó</w:t>
      </w:r>
      <w:r w:rsidR="009417A3" w:rsidRPr="00A8066D">
        <w:rPr>
          <w:sz w:val="24"/>
          <w:szCs w:val="24"/>
        </w:rPr>
        <w:t xml:space="preserve">n con el crecimiento promedio anual de los últimos 10 años que </w:t>
      </w:r>
      <w:r w:rsidRPr="00A8066D">
        <w:rPr>
          <w:sz w:val="24"/>
          <w:szCs w:val="24"/>
        </w:rPr>
        <w:t xml:space="preserve">ronda el </w:t>
      </w:r>
      <w:r w:rsidR="009A13F0" w:rsidRPr="00A8066D">
        <w:rPr>
          <w:sz w:val="24"/>
          <w:szCs w:val="24"/>
        </w:rPr>
        <w:t>13,9</w:t>
      </w:r>
      <w:r w:rsidRPr="00A8066D">
        <w:rPr>
          <w:sz w:val="24"/>
          <w:szCs w:val="24"/>
        </w:rPr>
        <w:t>%</w:t>
      </w:r>
      <w:r w:rsidR="00B23D86" w:rsidRPr="00A8066D">
        <w:rPr>
          <w:sz w:val="24"/>
          <w:szCs w:val="24"/>
        </w:rPr>
        <w:t>. El crecimiento de los activos</w:t>
      </w:r>
      <w:r w:rsidRPr="00A8066D">
        <w:rPr>
          <w:sz w:val="24"/>
          <w:szCs w:val="24"/>
        </w:rPr>
        <w:t xml:space="preserve"> se </w:t>
      </w:r>
      <w:r w:rsidR="009A13F0" w:rsidRPr="00A8066D">
        <w:rPr>
          <w:sz w:val="24"/>
          <w:szCs w:val="24"/>
        </w:rPr>
        <w:t xml:space="preserve">explica por el </w:t>
      </w:r>
      <w:r w:rsidR="00B744FE" w:rsidRPr="00A8066D">
        <w:rPr>
          <w:sz w:val="24"/>
          <w:szCs w:val="24"/>
        </w:rPr>
        <w:t>ingreso</w:t>
      </w:r>
      <w:r w:rsidRPr="00A8066D">
        <w:rPr>
          <w:sz w:val="24"/>
          <w:szCs w:val="24"/>
        </w:rPr>
        <w:t xml:space="preserve"> de</w:t>
      </w:r>
      <w:r w:rsidR="00B744FE" w:rsidRPr="00A8066D">
        <w:rPr>
          <w:sz w:val="24"/>
          <w:szCs w:val="24"/>
        </w:rPr>
        <w:t xml:space="preserve"> </w:t>
      </w:r>
      <w:r w:rsidRPr="00A8066D">
        <w:rPr>
          <w:sz w:val="24"/>
          <w:szCs w:val="24"/>
        </w:rPr>
        <w:t>aportes</w:t>
      </w:r>
      <w:r w:rsidR="00B744FE" w:rsidRPr="00A8066D">
        <w:rPr>
          <w:sz w:val="24"/>
          <w:szCs w:val="24"/>
        </w:rPr>
        <w:t xml:space="preserve"> a los diferentes fondos</w:t>
      </w:r>
      <w:r w:rsidRPr="00A8066D">
        <w:rPr>
          <w:sz w:val="24"/>
          <w:szCs w:val="24"/>
        </w:rPr>
        <w:t xml:space="preserve"> y la valoración de los activos</w:t>
      </w:r>
      <w:r w:rsidR="00320871" w:rsidRPr="00A8066D">
        <w:rPr>
          <w:sz w:val="24"/>
          <w:szCs w:val="24"/>
        </w:rPr>
        <w:t>,</w:t>
      </w:r>
      <w:r w:rsidR="00184F61" w:rsidRPr="00A8066D">
        <w:rPr>
          <w:sz w:val="24"/>
          <w:szCs w:val="24"/>
        </w:rPr>
        <w:t xml:space="preserve"> ambos</w:t>
      </w:r>
      <w:r w:rsidR="00910CCE" w:rsidRPr="00A8066D">
        <w:rPr>
          <w:sz w:val="24"/>
          <w:szCs w:val="24"/>
        </w:rPr>
        <w:t xml:space="preserve"> afectados por</w:t>
      </w:r>
      <w:r w:rsidRPr="00A8066D">
        <w:rPr>
          <w:sz w:val="24"/>
          <w:szCs w:val="24"/>
        </w:rPr>
        <w:t xml:space="preserve"> </w:t>
      </w:r>
      <w:r w:rsidR="00320871" w:rsidRPr="00A8066D">
        <w:rPr>
          <w:sz w:val="24"/>
          <w:szCs w:val="24"/>
        </w:rPr>
        <w:t>el COVID-19</w:t>
      </w:r>
      <w:r w:rsidRPr="00A8066D">
        <w:rPr>
          <w:sz w:val="24"/>
          <w:szCs w:val="24"/>
        </w:rPr>
        <w:t xml:space="preserve">. </w:t>
      </w:r>
    </w:p>
    <w:p w14:paraId="4FB050C2" w14:textId="793576E9" w:rsidR="00841412" w:rsidRPr="00A8066D" w:rsidRDefault="00841412" w:rsidP="00A8066D">
      <w:pPr>
        <w:spacing w:after="0" w:line="360" w:lineRule="auto"/>
        <w:jc w:val="both"/>
        <w:rPr>
          <w:sz w:val="24"/>
          <w:szCs w:val="24"/>
        </w:rPr>
      </w:pPr>
    </w:p>
    <w:p w14:paraId="3A16FB91" w14:textId="57F751DD" w:rsidR="00CA77B1" w:rsidRPr="00A8066D" w:rsidRDefault="00CA77B1" w:rsidP="00A8066D">
      <w:pPr>
        <w:spacing w:after="0" w:line="360" w:lineRule="auto"/>
        <w:jc w:val="both"/>
        <w:rPr>
          <w:sz w:val="24"/>
          <w:szCs w:val="24"/>
        </w:rPr>
      </w:pPr>
      <w:r w:rsidRPr="00A8066D">
        <w:rPr>
          <w:sz w:val="24"/>
          <w:szCs w:val="24"/>
        </w:rPr>
        <w:t>El Régimen de Invalidez, Vejez y Muerte administrado por la CCSS</w:t>
      </w:r>
      <w:r w:rsidR="0020715C" w:rsidRPr="00A8066D">
        <w:rPr>
          <w:sz w:val="24"/>
          <w:szCs w:val="24"/>
        </w:rPr>
        <w:t xml:space="preserve"> </w:t>
      </w:r>
      <w:r w:rsidRPr="00A8066D">
        <w:rPr>
          <w:sz w:val="24"/>
          <w:szCs w:val="24"/>
        </w:rPr>
        <w:t xml:space="preserve">creció un 5% </w:t>
      </w:r>
      <w:r w:rsidR="00C40EAC" w:rsidRPr="00A8066D">
        <w:rPr>
          <w:sz w:val="24"/>
          <w:szCs w:val="24"/>
        </w:rPr>
        <w:t xml:space="preserve">en los primeros </w:t>
      </w:r>
      <w:r w:rsidR="00421438" w:rsidRPr="00A8066D">
        <w:rPr>
          <w:sz w:val="24"/>
          <w:szCs w:val="24"/>
        </w:rPr>
        <w:t>nueve</w:t>
      </w:r>
      <w:r w:rsidR="00C40EAC" w:rsidRPr="00A8066D">
        <w:rPr>
          <w:sz w:val="24"/>
          <w:szCs w:val="24"/>
        </w:rPr>
        <w:t xml:space="preserve"> meses del año</w:t>
      </w:r>
      <w:r w:rsidR="00F67F42" w:rsidRPr="00A8066D">
        <w:rPr>
          <w:sz w:val="24"/>
          <w:szCs w:val="24"/>
        </w:rPr>
        <w:t>, manteniéndose muy similar al</w:t>
      </w:r>
      <w:r w:rsidR="00590670" w:rsidRPr="00A8066D">
        <w:rPr>
          <w:sz w:val="24"/>
          <w:szCs w:val="24"/>
        </w:rPr>
        <w:t xml:space="preserve"> crecimiento del</w:t>
      </w:r>
      <w:r w:rsidR="00F67F42" w:rsidRPr="00A8066D">
        <w:rPr>
          <w:sz w:val="24"/>
          <w:szCs w:val="24"/>
        </w:rPr>
        <w:t xml:space="preserve"> trimestre anterior</w:t>
      </w:r>
      <w:r w:rsidRPr="00A8066D">
        <w:rPr>
          <w:sz w:val="24"/>
          <w:szCs w:val="24"/>
        </w:rPr>
        <w:t xml:space="preserve">, este fondo representa un </w:t>
      </w:r>
      <w:r w:rsidR="00F5725C" w:rsidRPr="00A8066D">
        <w:rPr>
          <w:sz w:val="24"/>
          <w:szCs w:val="24"/>
        </w:rPr>
        <w:t>8,9</w:t>
      </w:r>
      <w:r w:rsidRPr="00A8066D">
        <w:rPr>
          <w:sz w:val="24"/>
          <w:szCs w:val="24"/>
        </w:rPr>
        <w:t>% del PIB.</w:t>
      </w:r>
    </w:p>
    <w:p w14:paraId="1EBDC265" w14:textId="77777777" w:rsidR="00B9565E" w:rsidRPr="00A8066D" w:rsidRDefault="00B9565E" w:rsidP="00A8066D">
      <w:pPr>
        <w:spacing w:after="0" w:line="360" w:lineRule="auto"/>
        <w:jc w:val="both"/>
        <w:rPr>
          <w:sz w:val="24"/>
          <w:szCs w:val="24"/>
        </w:rPr>
      </w:pPr>
    </w:p>
    <w:p w14:paraId="70D75290" w14:textId="1E4A357C" w:rsidR="00B9565E" w:rsidRPr="00A8066D" w:rsidRDefault="00B9565E" w:rsidP="00A8066D">
      <w:pPr>
        <w:spacing w:after="0" w:line="360" w:lineRule="auto"/>
        <w:jc w:val="both"/>
        <w:rPr>
          <w:sz w:val="24"/>
          <w:szCs w:val="24"/>
        </w:rPr>
      </w:pPr>
      <w:r w:rsidRPr="00A8066D">
        <w:rPr>
          <w:sz w:val="24"/>
          <w:szCs w:val="24"/>
        </w:rPr>
        <w:t>De los 14 gestores de fondos de pensiones, tres administran ₡9,</w:t>
      </w:r>
      <w:r w:rsidR="00C72DB9" w:rsidRPr="00A8066D">
        <w:rPr>
          <w:sz w:val="24"/>
          <w:szCs w:val="24"/>
        </w:rPr>
        <w:t>7</w:t>
      </w:r>
      <w:r w:rsidRPr="00A8066D">
        <w:rPr>
          <w:sz w:val="24"/>
          <w:szCs w:val="24"/>
        </w:rPr>
        <w:t xml:space="preserve"> billones, que representan el 5</w:t>
      </w:r>
      <w:r w:rsidR="00F415F3" w:rsidRPr="00A8066D">
        <w:rPr>
          <w:sz w:val="24"/>
          <w:szCs w:val="24"/>
        </w:rPr>
        <w:t>7</w:t>
      </w:r>
      <w:r w:rsidRPr="00A8066D">
        <w:rPr>
          <w:sz w:val="24"/>
          <w:szCs w:val="24"/>
        </w:rPr>
        <w:t>,</w:t>
      </w:r>
      <w:r w:rsidR="00F415F3" w:rsidRPr="00A8066D">
        <w:rPr>
          <w:sz w:val="24"/>
          <w:szCs w:val="24"/>
        </w:rPr>
        <w:t>9</w:t>
      </w:r>
      <w:r w:rsidRPr="00A8066D">
        <w:rPr>
          <w:sz w:val="24"/>
          <w:szCs w:val="24"/>
        </w:rPr>
        <w:t>% del total de activos. Estos tres gestores administran activos de más ₡3 billones cada uno, a saber, RIVM, JUPEMA y Popular Pensiones, los dos primeros regímenes básicos y el último, régimen complementario.</w:t>
      </w:r>
    </w:p>
    <w:p w14:paraId="0F874F28" w14:textId="77777777" w:rsidR="00B9565E" w:rsidRPr="00A8066D" w:rsidRDefault="00B9565E" w:rsidP="00A8066D">
      <w:pPr>
        <w:spacing w:after="0" w:line="360" w:lineRule="auto"/>
        <w:jc w:val="both"/>
        <w:rPr>
          <w:sz w:val="24"/>
          <w:szCs w:val="24"/>
        </w:rPr>
      </w:pPr>
      <w:r w:rsidRPr="00A8066D">
        <w:rPr>
          <w:sz w:val="24"/>
          <w:szCs w:val="24"/>
        </w:rPr>
        <w:t>El mayor volumen de activos lo administran los planes obligatorios complementarios (ROP), los planes ocupacionales básicos y régimen de seguridad social. Los fondos voluntarios han experimentado un menor crecimiento a lo largo de los años, debido a que perdieron los beneficios fiscales que tenían en sus orígenes y a la poca diferenciación respecto a los fondos de inversión abiertos en cuanto a rentabilidad y flexibilidad.</w:t>
      </w:r>
    </w:p>
    <w:p w14:paraId="54F47A49" w14:textId="14D8FAE0" w:rsidR="00A8066D" w:rsidRDefault="00A8066D">
      <w:pPr>
        <w:rPr>
          <w:sz w:val="24"/>
          <w:szCs w:val="24"/>
        </w:rPr>
      </w:pPr>
      <w:r>
        <w:rPr>
          <w:sz w:val="24"/>
          <w:szCs w:val="24"/>
        </w:rPr>
        <w:br w:type="page"/>
      </w:r>
    </w:p>
    <w:p w14:paraId="42042AAC" w14:textId="10D40933" w:rsidR="00C42B4F" w:rsidRPr="00C42B4F" w:rsidRDefault="00C42B4F" w:rsidP="00A8066D">
      <w:pPr>
        <w:pStyle w:val="Descripcin"/>
        <w:tabs>
          <w:tab w:val="center" w:pos="4419"/>
          <w:tab w:val="left" w:pos="5331"/>
        </w:tabs>
        <w:spacing w:after="0"/>
        <w:jc w:val="center"/>
      </w:pPr>
      <w:r>
        <w:t xml:space="preserve">Gráfico </w:t>
      </w:r>
      <w:r>
        <w:fldChar w:fldCharType="begin"/>
      </w:r>
      <w:r>
        <w:instrText xml:space="preserve"> SEQ Gráfico \* ARABIC </w:instrText>
      </w:r>
      <w:r>
        <w:fldChar w:fldCharType="separate"/>
      </w:r>
      <w:r w:rsidR="00E620DA">
        <w:rPr>
          <w:noProof/>
        </w:rPr>
        <w:t>2</w:t>
      </w:r>
      <w:r>
        <w:fldChar w:fldCharType="end"/>
      </w:r>
      <w:r w:rsidR="00BC414E">
        <w:t xml:space="preserve">: </w:t>
      </w:r>
      <w:r w:rsidRPr="00C42B4F">
        <w:t>Activos del Sistema Nacional de Pensiones y FCL</w:t>
      </w:r>
    </w:p>
    <w:p w14:paraId="34E5CE65" w14:textId="77777777" w:rsidR="00C42B4F" w:rsidRPr="00C42B4F" w:rsidRDefault="00336650" w:rsidP="00C42B4F">
      <w:pPr>
        <w:pStyle w:val="Descripcin"/>
        <w:spacing w:after="0"/>
        <w:jc w:val="center"/>
      </w:pPr>
      <w:r>
        <w:t>Por tipo de fondo c</w:t>
      </w:r>
      <w:r w:rsidR="00C42B4F" w:rsidRPr="00C42B4F">
        <w:t>omo porcentaje de PIB</w:t>
      </w:r>
    </w:p>
    <w:p w14:paraId="6F2BBE39" w14:textId="2D396338" w:rsidR="003C32E5" w:rsidRDefault="00C42B4F" w:rsidP="00C42B4F">
      <w:pPr>
        <w:pStyle w:val="Descripcin"/>
        <w:spacing w:after="0"/>
        <w:jc w:val="center"/>
      </w:pPr>
      <w:r w:rsidRPr="00C42B4F">
        <w:t xml:space="preserve">Billones de colones costarricenses a </w:t>
      </w:r>
      <w:r>
        <w:t>diciembre</w:t>
      </w:r>
      <w:r w:rsidRPr="00C42B4F">
        <w:t xml:space="preserve"> de cada año</w:t>
      </w:r>
    </w:p>
    <w:p w14:paraId="0DA019EA" w14:textId="0D6D536B" w:rsidR="0038366B" w:rsidRDefault="0038366B" w:rsidP="00A8066D">
      <w:pPr>
        <w:spacing w:after="20" w:line="240" w:lineRule="auto"/>
        <w:jc w:val="center"/>
      </w:pPr>
      <w:r>
        <w:rPr>
          <w:noProof/>
        </w:rPr>
        <w:drawing>
          <wp:inline distT="0" distB="0" distL="0" distR="0" wp14:anchorId="3625FA93" wp14:editId="564607E7">
            <wp:extent cx="5612130" cy="2870835"/>
            <wp:effectExtent l="0" t="0" r="7620" b="5715"/>
            <wp:docPr id="3" name="Gráfico 3">
              <a:extLst xmlns:a="http://schemas.openxmlformats.org/drawingml/2006/main">
                <a:ext uri="{FF2B5EF4-FFF2-40B4-BE49-F238E27FC236}">
                  <a16:creationId xmlns:a16="http://schemas.microsoft.com/office/drawing/2014/main" id="{FCF62146-89DB-41DF-8861-47BE06B754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D49141" w14:textId="12D9875E" w:rsidR="00FA6DA6" w:rsidRDefault="00FA6DA6" w:rsidP="00A62AC9">
      <w:pPr>
        <w:pStyle w:val="Descripcin"/>
        <w:spacing w:after="0"/>
      </w:pPr>
      <w:r>
        <w:t xml:space="preserve">* </w:t>
      </w:r>
      <w:r w:rsidR="00A62AC9">
        <w:t xml:space="preserve">Datos a </w:t>
      </w:r>
      <w:r w:rsidR="00CC4DD5">
        <w:t>setiembre</w:t>
      </w:r>
      <w:r w:rsidR="00A62AC9">
        <w:t xml:space="preserve"> 2020, excepto IVM último dato disponible </w:t>
      </w:r>
      <w:r w:rsidR="00CC4DD5">
        <w:t>julio</w:t>
      </w:r>
      <w:r w:rsidR="00A62AC9">
        <w:t xml:space="preserve"> 2020</w:t>
      </w:r>
    </w:p>
    <w:p w14:paraId="51C3A672" w14:textId="7D5FE31E" w:rsidR="00F136AF" w:rsidRPr="00F136AF" w:rsidRDefault="00D65175" w:rsidP="00D65175">
      <w:pPr>
        <w:pStyle w:val="Descripcin"/>
        <w:spacing w:after="0"/>
      </w:pPr>
      <w:r>
        <w:t xml:space="preserve">  </w:t>
      </w:r>
      <w:r w:rsidR="00F136AF">
        <w:t xml:space="preserve">PIB es el </w:t>
      </w:r>
      <w:r w:rsidRPr="00D65175">
        <w:t>Producto Interno Bruto a precios de mercado, nominal</w:t>
      </w:r>
      <w:r>
        <w:t>. Publicado en la página Web del Banco Central</w:t>
      </w:r>
    </w:p>
    <w:p w14:paraId="43D53491" w14:textId="28D61BDB" w:rsidR="00C42B4F" w:rsidRDefault="00D142B9" w:rsidP="00C42B4F">
      <w:pPr>
        <w:pStyle w:val="Descripcin"/>
        <w:spacing w:after="0"/>
      </w:pPr>
      <w:r>
        <w:t xml:space="preserve"> </w:t>
      </w:r>
      <w:r w:rsidR="00A053EB">
        <w:t xml:space="preserve"> </w:t>
      </w:r>
      <w:r w:rsidR="00C42B4F">
        <w:t>Fuente: Elaboración propia</w:t>
      </w:r>
    </w:p>
    <w:p w14:paraId="654E833A" w14:textId="77777777" w:rsidR="00A25946" w:rsidRDefault="00A25946" w:rsidP="007E49A1">
      <w:pPr>
        <w:spacing w:after="0" w:line="240" w:lineRule="auto"/>
        <w:jc w:val="both"/>
      </w:pPr>
    </w:p>
    <w:p w14:paraId="278B05F5" w14:textId="77777777" w:rsidR="00E2531A" w:rsidRPr="003D5F68" w:rsidRDefault="00E2531A" w:rsidP="00E2531A">
      <w:pPr>
        <w:pStyle w:val="Ttulo2"/>
        <w:numPr>
          <w:ilvl w:val="1"/>
          <w:numId w:val="1"/>
        </w:numPr>
      </w:pPr>
      <w:bookmarkStart w:id="15" w:name="_Toc64039566"/>
      <w:r w:rsidRPr="003D5F68">
        <w:t>Inversiones</w:t>
      </w:r>
      <w:bookmarkEnd w:id="15"/>
      <w:r w:rsidRPr="003D5F68">
        <w:t xml:space="preserve"> </w:t>
      </w:r>
    </w:p>
    <w:p w14:paraId="1B7051F6" w14:textId="77777777" w:rsidR="00E2531A" w:rsidRPr="00992437" w:rsidRDefault="00E2531A" w:rsidP="00A8066D">
      <w:pPr>
        <w:spacing w:after="0" w:line="360" w:lineRule="auto"/>
        <w:jc w:val="both"/>
      </w:pPr>
    </w:p>
    <w:p w14:paraId="3F05088F" w14:textId="77777777" w:rsidR="00E2531A" w:rsidRDefault="00E2531A" w:rsidP="00A8066D">
      <w:pPr>
        <w:spacing w:after="0" w:line="360" w:lineRule="auto"/>
        <w:jc w:val="both"/>
      </w:pPr>
      <w:r>
        <w:t>El portafolio de las inversiones (sin incluir carteras de créditos) del SNP y el FCL equivale a ₡14,9 billones. Del total de inversiones hay una concentración de ₡11,6 billones en Sector Público (un 77,9%), de estos 10,5 billones se encuentran invertidos en instrumentos del Ministerio de Hacienda y Banco Central de Costa Rica. El 79% de las inversiones se concentra en colones costarricenses y el restante 21% en dólares. La participación en dólares aumentó en un 1% durante los últimos tres meses.</w:t>
      </w:r>
    </w:p>
    <w:p w14:paraId="3F2626A6" w14:textId="77777777" w:rsidR="00E2531A" w:rsidRDefault="00E2531A" w:rsidP="00A8066D">
      <w:pPr>
        <w:spacing w:after="0" w:line="360" w:lineRule="auto"/>
        <w:jc w:val="both"/>
      </w:pPr>
    </w:p>
    <w:p w14:paraId="35A579D5" w14:textId="3782CF18" w:rsidR="00E2531A" w:rsidRDefault="00E2531A" w:rsidP="00A8066D">
      <w:pPr>
        <w:spacing w:after="0" w:line="360" w:lineRule="auto"/>
        <w:jc w:val="both"/>
      </w:pPr>
      <w:r>
        <w:t xml:space="preserve">El 8,8% del total del portafolio del SNP se invierte en el sector extranjero, lo que significa un aumento de 1,7% con respecto al cierre del trimestre anterior, donde cerca del 94,85% lo explica el ROP. Las inversiones de este tipo se concentran en Exchange </w:t>
      </w:r>
      <w:proofErr w:type="spellStart"/>
      <w:r>
        <w:t>Traded</w:t>
      </w:r>
      <w:proofErr w:type="spellEnd"/>
      <w:r>
        <w:t xml:space="preserve"> </w:t>
      </w:r>
      <w:proofErr w:type="spellStart"/>
      <w:r>
        <w:t>Funds</w:t>
      </w:r>
      <w:proofErr w:type="spellEnd"/>
      <w:r>
        <w:t xml:space="preserve"> (ETF) y participaciones de fondos de nivel I. La presencia de este tipo de inversiones varia de un fondo a otro haciéndolos más a menos susceptibles antes variaciones externas.</w:t>
      </w:r>
    </w:p>
    <w:p w14:paraId="304F8B2F" w14:textId="769B5E24" w:rsidR="007C51ED" w:rsidRDefault="007C51ED" w:rsidP="00E2531A">
      <w:pPr>
        <w:spacing w:after="0" w:line="240" w:lineRule="auto"/>
        <w:jc w:val="both"/>
      </w:pPr>
    </w:p>
    <w:p w14:paraId="3061C1CF" w14:textId="78E67D25" w:rsidR="00E2531A" w:rsidRDefault="00E2531A" w:rsidP="00E2531A">
      <w:pPr>
        <w:pStyle w:val="Descripcin"/>
        <w:spacing w:after="0"/>
        <w:jc w:val="center"/>
      </w:pPr>
      <w:r>
        <w:t xml:space="preserve">Tabla </w:t>
      </w:r>
      <w:r>
        <w:fldChar w:fldCharType="begin"/>
      </w:r>
      <w:r>
        <w:instrText xml:space="preserve"> SEQ Tabla \* ARABIC </w:instrText>
      </w:r>
      <w:r>
        <w:fldChar w:fldCharType="separate"/>
      </w:r>
      <w:r w:rsidR="0031233E">
        <w:rPr>
          <w:noProof/>
        </w:rPr>
        <w:t>6</w:t>
      </w:r>
      <w:r>
        <w:fldChar w:fldCharType="end"/>
      </w:r>
      <w:r>
        <w:t>: Inversiones del Sistema Nacional de Pensiones y FCL</w:t>
      </w:r>
    </w:p>
    <w:p w14:paraId="3154F598" w14:textId="77777777" w:rsidR="00E2531A" w:rsidRDefault="00E2531A" w:rsidP="00E2531A">
      <w:pPr>
        <w:pStyle w:val="Descripcin"/>
        <w:tabs>
          <w:tab w:val="center" w:pos="4419"/>
          <w:tab w:val="left" w:pos="5788"/>
        </w:tabs>
        <w:spacing w:after="0"/>
      </w:pPr>
      <w:r>
        <w:tab/>
        <w:t>Por sector y tipo de fondo</w:t>
      </w:r>
    </w:p>
    <w:p w14:paraId="309B8089" w14:textId="77777777" w:rsidR="00521202" w:rsidRDefault="00521202" w:rsidP="00E2531A">
      <w:pPr>
        <w:pStyle w:val="Descripcin"/>
        <w:tabs>
          <w:tab w:val="center" w:pos="4419"/>
          <w:tab w:val="left" w:pos="5788"/>
        </w:tabs>
        <w:spacing w:after="0"/>
        <w:jc w:val="center"/>
      </w:pPr>
      <w:r>
        <w:t>M</w:t>
      </w:r>
      <w:r w:rsidRPr="00C42B4F">
        <w:t>illones de colones costarricenses</w:t>
      </w:r>
    </w:p>
    <w:p w14:paraId="235EA86E" w14:textId="5A169D40" w:rsidR="00E2531A" w:rsidRDefault="00521202" w:rsidP="00E2531A">
      <w:pPr>
        <w:pStyle w:val="Descripcin"/>
        <w:tabs>
          <w:tab w:val="center" w:pos="4419"/>
          <w:tab w:val="left" w:pos="5788"/>
        </w:tabs>
        <w:spacing w:after="0"/>
        <w:jc w:val="center"/>
      </w:pPr>
      <w:r w:rsidRPr="00C42B4F">
        <w:t xml:space="preserve"> </w:t>
      </w:r>
      <w:r w:rsidR="00E2531A">
        <w:t>Al 30 de setiembre del 2020</w:t>
      </w:r>
    </w:p>
    <w:tbl>
      <w:tblPr>
        <w:tblStyle w:val="Tablaconcuadrcula4-nfasis1"/>
        <w:tblW w:w="10505" w:type="dxa"/>
        <w:jc w:val="center"/>
        <w:tblLook w:val="04E0" w:firstRow="1" w:lastRow="1" w:firstColumn="1" w:lastColumn="0" w:noHBand="0" w:noVBand="1"/>
      </w:tblPr>
      <w:tblGrid>
        <w:gridCol w:w="3411"/>
        <w:gridCol w:w="1074"/>
        <w:gridCol w:w="721"/>
        <w:gridCol w:w="1266"/>
        <w:gridCol w:w="759"/>
        <w:gridCol w:w="1294"/>
        <w:gridCol w:w="741"/>
        <w:gridCol w:w="1229"/>
        <w:gridCol w:w="10"/>
      </w:tblGrid>
      <w:tr w:rsidR="00E2531A" w:rsidRPr="00CF1CB5" w14:paraId="6F81221C" w14:textId="77777777" w:rsidTr="00C50A6E">
        <w:trPr>
          <w:gridAfter w:val="1"/>
          <w:cnfStyle w:val="100000000000" w:firstRow="1" w:lastRow="0" w:firstColumn="0" w:lastColumn="0" w:oddVBand="0" w:evenVBand="0" w:oddHBand="0" w:evenHBand="0" w:firstRowFirstColumn="0" w:firstRowLastColumn="0" w:lastRowFirstColumn="0" w:lastRowLastColumn="0"/>
          <w:wAfter w:w="8"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vAlign w:val="center"/>
            <w:hideMark/>
          </w:tcPr>
          <w:p w14:paraId="01704022" w14:textId="77777777" w:rsidR="00E2531A" w:rsidRPr="00980068" w:rsidRDefault="00E2531A" w:rsidP="00C50A6E">
            <w:pPr>
              <w:rPr>
                <w:rFonts w:eastAsia="Times New Roman" w:cs="Calibri"/>
                <w:lang w:val="es-CR"/>
              </w:rPr>
            </w:pPr>
            <w:r w:rsidRPr="00980068">
              <w:rPr>
                <w:rFonts w:eastAsia="Times New Roman" w:cs="Calibri"/>
                <w:lang w:val="es-CR"/>
              </w:rPr>
              <w:t>Tipo de Fondo</w:t>
            </w:r>
          </w:p>
        </w:tc>
        <w:tc>
          <w:tcPr>
            <w:tcW w:w="0" w:type="auto"/>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hideMark/>
          </w:tcPr>
          <w:p w14:paraId="4A59065B" w14:textId="77777777" w:rsidR="00E2531A" w:rsidRPr="00980068" w:rsidRDefault="00E2531A" w:rsidP="00C50A6E">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980068">
              <w:rPr>
                <w:rFonts w:eastAsia="Times New Roman" w:cs="Calibri"/>
                <w:lang w:val="es-CR"/>
              </w:rPr>
              <w:t>Extranjero</w:t>
            </w:r>
          </w:p>
        </w:tc>
        <w:tc>
          <w:tcPr>
            <w:tcW w:w="2003"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hideMark/>
          </w:tcPr>
          <w:p w14:paraId="5455BF21" w14:textId="77777777" w:rsidR="00E2531A" w:rsidRPr="00980068" w:rsidRDefault="00E2531A" w:rsidP="00C50A6E">
            <w:pPr>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val="0"/>
                <w:lang w:val="es-CR"/>
              </w:rPr>
            </w:pPr>
            <w:r w:rsidRPr="00980068">
              <w:rPr>
                <w:rFonts w:eastAsia="Times New Roman" w:cs="Calibri"/>
                <w:lang w:val="es-CR"/>
              </w:rPr>
              <w:t xml:space="preserve">   Privado</w:t>
            </w:r>
          </w:p>
        </w:tc>
        <w:tc>
          <w:tcPr>
            <w:tcW w:w="2056"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89233C5" w14:textId="77777777" w:rsidR="00E2531A" w:rsidRPr="00980068" w:rsidRDefault="00E2531A" w:rsidP="00C50A6E">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980068">
              <w:rPr>
                <w:rFonts w:eastAsia="Times New Roman" w:cs="Calibri"/>
                <w:lang w:val="es-CR"/>
              </w:rPr>
              <w:t>Público</w:t>
            </w:r>
          </w:p>
        </w:tc>
        <w:tc>
          <w:tcPr>
            <w:tcW w:w="121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hideMark/>
          </w:tcPr>
          <w:p w14:paraId="1BD90428" w14:textId="77777777" w:rsidR="00E2531A" w:rsidRPr="00980068" w:rsidRDefault="00E2531A" w:rsidP="00C50A6E">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980068">
              <w:rPr>
                <w:rFonts w:eastAsia="Times New Roman" w:cs="Calibri"/>
                <w:lang w:val="es-CR"/>
              </w:rPr>
              <w:t>Total</w:t>
            </w:r>
          </w:p>
        </w:tc>
      </w:tr>
      <w:tr w:rsidR="00E2531A" w:rsidRPr="00CF1CB5" w14:paraId="31CEE4DA" w14:textId="77777777" w:rsidTr="00C50A6E">
        <w:trPr>
          <w:gridAfter w:val="1"/>
          <w:cnfStyle w:val="000000100000" w:firstRow="0" w:lastRow="0" w:firstColumn="0" w:lastColumn="0" w:oddVBand="0" w:evenVBand="0" w:oddHBand="1"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tcPr>
          <w:p w14:paraId="48067320" w14:textId="77777777" w:rsidR="00E2531A" w:rsidRPr="00980068" w:rsidRDefault="00E2531A" w:rsidP="00C50A6E">
            <w:pPr>
              <w:rPr>
                <w:rFonts w:eastAsia="Times New Roman" w:cs="Calibri"/>
                <w:color w:val="FFFFFF" w:themeColor="background1"/>
                <w:lang w:val="es-CR"/>
              </w:rPr>
            </w:pP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3A7B5C48" w14:textId="77777777" w:rsidR="00E2531A" w:rsidRPr="00980068" w:rsidRDefault="00E2531A" w:rsidP="00C50A6E">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980068">
              <w:rPr>
                <w:rFonts w:eastAsia="Times New Roman" w:cs="Calibri"/>
                <w:b/>
                <w:bCs/>
                <w:color w:val="FFFFFF" w:themeColor="background1"/>
                <w:lang w:val="es-CR"/>
              </w:rPr>
              <w:t>Monto</w:t>
            </w: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298FFED7" w14:textId="77777777" w:rsidR="00E2531A" w:rsidRPr="00980068" w:rsidRDefault="00E2531A" w:rsidP="00C50A6E">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980068">
              <w:rPr>
                <w:rFonts w:eastAsia="Times New Roman" w:cs="Calibri"/>
                <w:b/>
                <w:bCs/>
                <w:color w:val="FFFFFF" w:themeColor="background1"/>
                <w:lang w:val="es-CR"/>
              </w:rPr>
              <w:t>%</w:t>
            </w:r>
          </w:p>
        </w:tc>
        <w:tc>
          <w:tcPr>
            <w:tcW w:w="125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143038ED" w14:textId="77777777" w:rsidR="00E2531A" w:rsidRPr="00980068" w:rsidRDefault="00E2531A" w:rsidP="00C50A6E">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980068">
              <w:rPr>
                <w:rFonts w:eastAsia="Times New Roman" w:cs="Calibri"/>
                <w:b/>
                <w:bCs/>
                <w:color w:val="FFFFFF" w:themeColor="background1"/>
                <w:lang w:val="es-CR"/>
              </w:rPr>
              <w:t>Monto</w:t>
            </w:r>
          </w:p>
        </w:tc>
        <w:tc>
          <w:tcPr>
            <w:tcW w:w="7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1904A621" w14:textId="77777777" w:rsidR="00E2531A" w:rsidRPr="00980068" w:rsidRDefault="00E2531A" w:rsidP="00C50A6E">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980068">
              <w:rPr>
                <w:rFonts w:eastAsia="Times New Roman" w:cs="Calibri"/>
                <w:b/>
                <w:bCs/>
                <w:color w:val="FFFFFF" w:themeColor="background1"/>
                <w:lang w:val="es-CR"/>
              </w:rPr>
              <w:t>%</w:t>
            </w: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62660525" w14:textId="77777777" w:rsidR="00E2531A" w:rsidRPr="00980068" w:rsidRDefault="00E2531A" w:rsidP="00C50A6E">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980068">
              <w:rPr>
                <w:rFonts w:eastAsia="Times New Roman" w:cs="Calibri"/>
                <w:b/>
                <w:bCs/>
                <w:color w:val="FFFFFF" w:themeColor="background1"/>
                <w:lang w:val="es-CR"/>
              </w:rPr>
              <w:t>Monto</w:t>
            </w: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7EE04F61" w14:textId="77777777" w:rsidR="00E2531A" w:rsidRPr="00980068" w:rsidRDefault="00E2531A" w:rsidP="00C50A6E">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980068">
              <w:rPr>
                <w:rFonts w:eastAsia="Times New Roman" w:cs="Calibri"/>
                <w:b/>
                <w:bCs/>
                <w:color w:val="FFFFFF" w:themeColor="background1"/>
                <w:lang w:val="es-CR"/>
              </w:rPr>
              <w:t>%</w:t>
            </w:r>
          </w:p>
        </w:tc>
        <w:tc>
          <w:tcPr>
            <w:tcW w:w="121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7E522E80" w14:textId="77777777" w:rsidR="00E2531A" w:rsidRPr="00980068" w:rsidRDefault="00E2531A" w:rsidP="00C50A6E">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980068">
              <w:rPr>
                <w:rFonts w:eastAsia="Times New Roman" w:cs="Calibri"/>
                <w:b/>
                <w:bCs/>
                <w:color w:val="FFFFFF" w:themeColor="background1"/>
                <w:lang w:val="es-CR"/>
              </w:rPr>
              <w:t>Monto</w:t>
            </w:r>
          </w:p>
        </w:tc>
      </w:tr>
      <w:tr w:rsidR="00E2531A" w:rsidRPr="00CF1CB5" w14:paraId="26BF5F51"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DB3E2" w:themeColor="text2" w:themeTint="66"/>
            </w:tcBorders>
            <w:noWrap/>
            <w:hideMark/>
          </w:tcPr>
          <w:p w14:paraId="692E5EE0" w14:textId="77777777" w:rsidR="00E2531A" w:rsidRPr="00CF1CB5" w:rsidRDefault="00E2531A" w:rsidP="00C50A6E">
            <w:pPr>
              <w:rPr>
                <w:rFonts w:eastAsia="Times New Roman" w:cs="Calibri"/>
                <w:lang w:val="es-CR"/>
              </w:rPr>
            </w:pPr>
            <w:r w:rsidRPr="00CF1CB5">
              <w:rPr>
                <w:rFonts w:eastAsia="Times New Roman" w:cs="Calibri"/>
                <w:lang w:val="es-CR"/>
              </w:rPr>
              <w:t>Régimen Básico (RIVM)</w:t>
            </w:r>
          </w:p>
        </w:tc>
        <w:tc>
          <w:tcPr>
            <w:tcW w:w="0" w:type="auto"/>
            <w:tcBorders>
              <w:top w:val="single" w:sz="4" w:space="0" w:color="8DB3E2" w:themeColor="text2" w:themeTint="66"/>
            </w:tcBorders>
            <w:noWrap/>
            <w:hideMark/>
          </w:tcPr>
          <w:p w14:paraId="32FAB5DB"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tcBorders>
              <w:top w:val="single" w:sz="4" w:space="0" w:color="8DB3E2" w:themeColor="text2" w:themeTint="66"/>
            </w:tcBorders>
            <w:noWrap/>
            <w:hideMark/>
          </w:tcPr>
          <w:p w14:paraId="571F5D69"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tcBorders>
              <w:top w:val="single" w:sz="4" w:space="0" w:color="8DB3E2" w:themeColor="text2" w:themeTint="66"/>
            </w:tcBorders>
            <w:noWrap/>
            <w:hideMark/>
          </w:tcPr>
          <w:p w14:paraId="694F7097"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112 474 </w:t>
            </w:r>
          </w:p>
        </w:tc>
        <w:tc>
          <w:tcPr>
            <w:tcW w:w="751" w:type="dxa"/>
            <w:tcBorders>
              <w:top w:val="single" w:sz="4" w:space="0" w:color="8DB3E2" w:themeColor="text2" w:themeTint="66"/>
            </w:tcBorders>
            <w:noWrap/>
            <w:hideMark/>
          </w:tcPr>
          <w:p w14:paraId="279F3CD4"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4,</w:t>
            </w:r>
            <w:r>
              <w:rPr>
                <w:rFonts w:eastAsia="Times New Roman" w:cs="Calibri"/>
                <w:lang w:val="es-CR"/>
              </w:rPr>
              <w:t>8</w:t>
            </w:r>
            <w:r w:rsidRPr="00CF1CB5">
              <w:rPr>
                <w:rFonts w:eastAsia="Times New Roman" w:cs="Calibri"/>
                <w:lang w:val="es-CR"/>
              </w:rPr>
              <w:t>%</w:t>
            </w:r>
          </w:p>
        </w:tc>
        <w:tc>
          <w:tcPr>
            <w:tcW w:w="0" w:type="auto"/>
            <w:tcBorders>
              <w:top w:val="single" w:sz="4" w:space="0" w:color="8DB3E2" w:themeColor="text2" w:themeTint="66"/>
            </w:tcBorders>
            <w:noWrap/>
            <w:hideMark/>
          </w:tcPr>
          <w:p w14:paraId="22ED610B" w14:textId="77777777" w:rsidR="00E2531A" w:rsidRPr="00CF1CB5" w:rsidRDefault="00E2531A" w:rsidP="00C50A6E">
            <w:pPr>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2 257 556 </w:t>
            </w:r>
          </w:p>
        </w:tc>
        <w:tc>
          <w:tcPr>
            <w:tcW w:w="0" w:type="auto"/>
            <w:tcBorders>
              <w:top w:val="single" w:sz="4" w:space="0" w:color="8DB3E2" w:themeColor="text2" w:themeTint="66"/>
            </w:tcBorders>
            <w:noWrap/>
            <w:hideMark/>
          </w:tcPr>
          <w:p w14:paraId="07B0962D"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95,</w:t>
            </w:r>
            <w:r>
              <w:rPr>
                <w:rFonts w:eastAsia="Times New Roman" w:cs="Calibri"/>
                <w:lang w:val="es-CR"/>
              </w:rPr>
              <w:t>3</w:t>
            </w:r>
            <w:r w:rsidRPr="00CF1CB5">
              <w:rPr>
                <w:rFonts w:eastAsia="Times New Roman" w:cs="Calibri"/>
                <w:lang w:val="es-CR"/>
              </w:rPr>
              <w:t>%</w:t>
            </w:r>
          </w:p>
        </w:tc>
        <w:tc>
          <w:tcPr>
            <w:tcW w:w="1216" w:type="dxa"/>
            <w:tcBorders>
              <w:top w:val="single" w:sz="4" w:space="0" w:color="8DB3E2" w:themeColor="text2" w:themeTint="66"/>
            </w:tcBorders>
            <w:noWrap/>
            <w:hideMark/>
          </w:tcPr>
          <w:p w14:paraId="1C7DF226"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2 370 030</w:t>
            </w:r>
          </w:p>
        </w:tc>
      </w:tr>
      <w:tr w:rsidR="00E2531A" w:rsidRPr="00CF1CB5" w14:paraId="3D267902" w14:textId="77777777" w:rsidTr="00C50A6E">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0505" w:type="dxa"/>
            <w:gridSpan w:val="9"/>
            <w:noWrap/>
            <w:hideMark/>
          </w:tcPr>
          <w:p w14:paraId="16B87328" w14:textId="77777777" w:rsidR="00E2531A" w:rsidRPr="00CF1CB5" w:rsidRDefault="00E2531A" w:rsidP="00C50A6E">
            <w:pPr>
              <w:rPr>
                <w:rFonts w:eastAsia="Times New Roman" w:cs="Calibri"/>
                <w:lang w:val="es-CR"/>
              </w:rPr>
            </w:pPr>
            <w:r w:rsidRPr="00CF1CB5">
              <w:rPr>
                <w:rFonts w:eastAsia="Times New Roman" w:cs="Calibri"/>
                <w:lang w:val="es-CR"/>
              </w:rPr>
              <w:t>Regímenes Básicos Sustitutos</w:t>
            </w:r>
          </w:p>
        </w:tc>
      </w:tr>
      <w:tr w:rsidR="00E2531A" w:rsidRPr="00CF1CB5" w14:paraId="2B8445F4"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7FD1367" w14:textId="77777777" w:rsidR="00E2531A" w:rsidRPr="00CF1CB5" w:rsidRDefault="00E2531A" w:rsidP="00C50A6E">
            <w:pPr>
              <w:rPr>
                <w:rFonts w:eastAsia="Times New Roman" w:cs="Calibri"/>
                <w:lang w:val="es-CR"/>
              </w:rPr>
            </w:pPr>
            <w:r w:rsidRPr="00CF1CB5">
              <w:rPr>
                <w:rFonts w:eastAsia="Times New Roman" w:cs="Calibri"/>
                <w:lang w:val="es-CR"/>
              </w:rPr>
              <w:t xml:space="preserve">     FCCMN</w:t>
            </w:r>
          </w:p>
        </w:tc>
        <w:tc>
          <w:tcPr>
            <w:tcW w:w="0" w:type="auto"/>
            <w:noWrap/>
            <w:hideMark/>
          </w:tcPr>
          <w:p w14:paraId="12DE0972"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6B1D28A3"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58ACE754"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448 367 </w:t>
            </w:r>
          </w:p>
        </w:tc>
        <w:tc>
          <w:tcPr>
            <w:tcW w:w="751" w:type="dxa"/>
            <w:noWrap/>
            <w:hideMark/>
          </w:tcPr>
          <w:p w14:paraId="7C3373EE"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15,2%</w:t>
            </w:r>
          </w:p>
        </w:tc>
        <w:tc>
          <w:tcPr>
            <w:tcW w:w="0" w:type="auto"/>
            <w:noWrap/>
            <w:hideMark/>
          </w:tcPr>
          <w:p w14:paraId="5CF3594F"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2 500 375 </w:t>
            </w:r>
          </w:p>
        </w:tc>
        <w:tc>
          <w:tcPr>
            <w:tcW w:w="0" w:type="auto"/>
            <w:noWrap/>
            <w:hideMark/>
          </w:tcPr>
          <w:p w14:paraId="7EB6229B"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84,</w:t>
            </w:r>
            <w:r>
              <w:t>8</w:t>
            </w:r>
            <w:r w:rsidRPr="00CF1CB5">
              <w:t>%</w:t>
            </w:r>
          </w:p>
        </w:tc>
        <w:tc>
          <w:tcPr>
            <w:tcW w:w="1216" w:type="dxa"/>
            <w:noWrap/>
            <w:hideMark/>
          </w:tcPr>
          <w:p w14:paraId="2C5A9EA1"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2 948 742 </w:t>
            </w:r>
          </w:p>
        </w:tc>
      </w:tr>
      <w:tr w:rsidR="00E2531A" w:rsidRPr="00CF1CB5" w14:paraId="4F561659" w14:textId="77777777" w:rsidTr="00C50A6E">
        <w:trPr>
          <w:gridAfter w:val="1"/>
          <w:cnfStyle w:val="000000100000" w:firstRow="0" w:lastRow="0" w:firstColumn="0" w:lastColumn="0" w:oddVBand="0" w:evenVBand="0" w:oddHBand="1"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C7C75B7" w14:textId="77777777" w:rsidR="00E2531A" w:rsidRPr="00CF1CB5" w:rsidRDefault="00E2531A" w:rsidP="00C50A6E">
            <w:pPr>
              <w:rPr>
                <w:rFonts w:eastAsia="Times New Roman" w:cs="Calibri"/>
                <w:lang w:val="es-CR"/>
              </w:rPr>
            </w:pPr>
            <w:r w:rsidRPr="00CF1CB5">
              <w:rPr>
                <w:rFonts w:eastAsia="Times New Roman" w:cs="Calibri"/>
                <w:lang w:val="es-CR"/>
              </w:rPr>
              <w:t xml:space="preserve">     FPJ</w:t>
            </w:r>
          </w:p>
        </w:tc>
        <w:tc>
          <w:tcPr>
            <w:tcW w:w="0" w:type="auto"/>
            <w:noWrap/>
            <w:hideMark/>
          </w:tcPr>
          <w:p w14:paraId="1DBC9951"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675275DD"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61809D63"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 xml:space="preserve">115 344 </w:t>
            </w:r>
          </w:p>
        </w:tc>
        <w:tc>
          <w:tcPr>
            <w:tcW w:w="751" w:type="dxa"/>
            <w:noWrap/>
            <w:hideMark/>
          </w:tcPr>
          <w:p w14:paraId="1E22D3B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19,0%</w:t>
            </w:r>
          </w:p>
        </w:tc>
        <w:tc>
          <w:tcPr>
            <w:tcW w:w="0" w:type="auto"/>
            <w:noWrap/>
            <w:hideMark/>
          </w:tcPr>
          <w:p w14:paraId="39207A1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489 989 </w:t>
            </w:r>
          </w:p>
        </w:tc>
        <w:tc>
          <w:tcPr>
            <w:tcW w:w="0" w:type="auto"/>
            <w:noWrap/>
            <w:hideMark/>
          </w:tcPr>
          <w:p w14:paraId="2DF83B5E"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80,9%</w:t>
            </w:r>
          </w:p>
        </w:tc>
        <w:tc>
          <w:tcPr>
            <w:tcW w:w="1216" w:type="dxa"/>
            <w:noWrap/>
            <w:hideMark/>
          </w:tcPr>
          <w:p w14:paraId="270A406B"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605 333 </w:t>
            </w:r>
          </w:p>
        </w:tc>
      </w:tr>
      <w:tr w:rsidR="00E2531A" w:rsidRPr="00CF1CB5" w14:paraId="7F708D19"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34A42721" w14:textId="77777777" w:rsidR="00E2531A" w:rsidRPr="00CF1CB5" w:rsidRDefault="00E2531A" w:rsidP="00C50A6E">
            <w:pPr>
              <w:rPr>
                <w:rFonts w:eastAsia="Times New Roman" w:cs="Calibri"/>
                <w:lang w:val="es-CR"/>
              </w:rPr>
            </w:pPr>
            <w:r w:rsidRPr="00CF1CB5">
              <w:rPr>
                <w:rFonts w:eastAsia="Times New Roman" w:cs="Calibri"/>
                <w:lang w:val="es-CR"/>
              </w:rPr>
              <w:t xml:space="preserve">     FBOMBEROS</w:t>
            </w:r>
          </w:p>
        </w:tc>
        <w:tc>
          <w:tcPr>
            <w:tcW w:w="0" w:type="auto"/>
            <w:noWrap/>
          </w:tcPr>
          <w:p w14:paraId="187DEBD1"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tcPr>
          <w:p w14:paraId="31CC67B3"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tcPr>
          <w:p w14:paraId="09B30F67"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16 169 </w:t>
            </w:r>
          </w:p>
        </w:tc>
        <w:tc>
          <w:tcPr>
            <w:tcW w:w="751" w:type="dxa"/>
            <w:noWrap/>
          </w:tcPr>
          <w:p w14:paraId="35629FEF"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32,5%</w:t>
            </w:r>
          </w:p>
        </w:tc>
        <w:tc>
          <w:tcPr>
            <w:tcW w:w="0" w:type="auto"/>
            <w:noWrap/>
          </w:tcPr>
          <w:p w14:paraId="239E7289"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33 579 </w:t>
            </w:r>
          </w:p>
        </w:tc>
        <w:tc>
          <w:tcPr>
            <w:tcW w:w="0" w:type="auto"/>
            <w:noWrap/>
          </w:tcPr>
          <w:p w14:paraId="109CBC07"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67,5%</w:t>
            </w:r>
          </w:p>
        </w:tc>
        <w:tc>
          <w:tcPr>
            <w:tcW w:w="1216" w:type="dxa"/>
            <w:noWrap/>
          </w:tcPr>
          <w:p w14:paraId="67E60C3E"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49 748 </w:t>
            </w:r>
          </w:p>
        </w:tc>
      </w:tr>
      <w:tr w:rsidR="00E2531A" w:rsidRPr="00CF1CB5" w14:paraId="4513504E" w14:textId="77777777" w:rsidTr="00C50A6E">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0505" w:type="dxa"/>
            <w:gridSpan w:val="9"/>
            <w:noWrap/>
            <w:hideMark/>
          </w:tcPr>
          <w:p w14:paraId="1BE1EB79" w14:textId="77777777" w:rsidR="00E2531A" w:rsidRPr="00CF1CB5" w:rsidRDefault="00E2531A" w:rsidP="00C50A6E">
            <w:pPr>
              <w:rPr>
                <w:rFonts w:eastAsia="Times New Roman" w:cs="Calibri"/>
                <w:lang w:val="es-CR"/>
              </w:rPr>
            </w:pPr>
            <w:r w:rsidRPr="00CF1CB5">
              <w:rPr>
                <w:rFonts w:eastAsia="Times New Roman" w:cs="Calibri"/>
                <w:lang w:val="es-CR"/>
              </w:rPr>
              <w:t>Regímenes Ocupacionales Complementarios</w:t>
            </w:r>
          </w:p>
        </w:tc>
      </w:tr>
      <w:tr w:rsidR="00E2531A" w:rsidRPr="00CF1CB5" w14:paraId="2451619F"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0FCA7E4" w14:textId="77777777" w:rsidR="00E2531A" w:rsidRPr="00CF1CB5" w:rsidRDefault="00E2531A" w:rsidP="00C50A6E">
            <w:pPr>
              <w:rPr>
                <w:rFonts w:eastAsia="Times New Roman" w:cs="Calibri"/>
                <w:lang w:val="es-CR"/>
              </w:rPr>
            </w:pPr>
            <w:r w:rsidRPr="00CF1CB5">
              <w:rPr>
                <w:rFonts w:eastAsia="Times New Roman" w:cs="Calibri"/>
                <w:lang w:val="es-CR"/>
              </w:rPr>
              <w:t xml:space="preserve">     FBNCR</w:t>
            </w:r>
          </w:p>
        </w:tc>
        <w:tc>
          <w:tcPr>
            <w:tcW w:w="0" w:type="auto"/>
            <w:noWrap/>
            <w:hideMark/>
          </w:tcPr>
          <w:p w14:paraId="47C18A5A"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66E58532"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0E33BB97"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27 087 </w:t>
            </w:r>
          </w:p>
        </w:tc>
        <w:tc>
          <w:tcPr>
            <w:tcW w:w="751" w:type="dxa"/>
            <w:noWrap/>
            <w:hideMark/>
          </w:tcPr>
          <w:p w14:paraId="71B03CF6"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15,</w:t>
            </w:r>
            <w:r>
              <w:t>4</w:t>
            </w:r>
            <w:r w:rsidRPr="00CF1CB5">
              <w:t>%</w:t>
            </w:r>
          </w:p>
        </w:tc>
        <w:tc>
          <w:tcPr>
            <w:tcW w:w="0" w:type="auto"/>
            <w:noWrap/>
            <w:hideMark/>
          </w:tcPr>
          <w:p w14:paraId="111F908C"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149 026 </w:t>
            </w:r>
          </w:p>
        </w:tc>
        <w:tc>
          <w:tcPr>
            <w:tcW w:w="0" w:type="auto"/>
            <w:noWrap/>
            <w:hideMark/>
          </w:tcPr>
          <w:p w14:paraId="02F902FC"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84,6%</w:t>
            </w:r>
          </w:p>
        </w:tc>
        <w:tc>
          <w:tcPr>
            <w:tcW w:w="1216" w:type="dxa"/>
            <w:noWrap/>
            <w:hideMark/>
          </w:tcPr>
          <w:p w14:paraId="25F432E6"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176 114 </w:t>
            </w:r>
          </w:p>
        </w:tc>
      </w:tr>
      <w:tr w:rsidR="00E2531A" w:rsidRPr="00CF1CB5" w14:paraId="384E9827" w14:textId="77777777" w:rsidTr="00C50A6E">
        <w:trPr>
          <w:gridAfter w:val="1"/>
          <w:cnfStyle w:val="000000100000" w:firstRow="0" w:lastRow="0" w:firstColumn="0" w:lastColumn="0" w:oddVBand="0" w:evenVBand="0" w:oddHBand="1"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11AE6DA" w14:textId="77777777" w:rsidR="00E2531A" w:rsidRPr="00CF1CB5" w:rsidRDefault="00E2531A" w:rsidP="00C50A6E">
            <w:pPr>
              <w:rPr>
                <w:rFonts w:eastAsia="Times New Roman" w:cs="Calibri"/>
                <w:lang w:val="es-CR"/>
              </w:rPr>
            </w:pPr>
            <w:r w:rsidRPr="00CF1CB5">
              <w:rPr>
                <w:rFonts w:eastAsia="Times New Roman" w:cs="Calibri"/>
                <w:lang w:val="es-CR"/>
              </w:rPr>
              <w:t xml:space="preserve">     FICE</w:t>
            </w:r>
          </w:p>
        </w:tc>
        <w:tc>
          <w:tcPr>
            <w:tcW w:w="0" w:type="auto"/>
            <w:noWrap/>
            <w:hideMark/>
          </w:tcPr>
          <w:p w14:paraId="60172E1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744FC340"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33027679"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41 530 </w:t>
            </w:r>
          </w:p>
        </w:tc>
        <w:tc>
          <w:tcPr>
            <w:tcW w:w="751" w:type="dxa"/>
            <w:noWrap/>
            <w:hideMark/>
          </w:tcPr>
          <w:p w14:paraId="0087BC21"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11,4%</w:t>
            </w:r>
          </w:p>
        </w:tc>
        <w:tc>
          <w:tcPr>
            <w:tcW w:w="0" w:type="auto"/>
            <w:noWrap/>
            <w:hideMark/>
          </w:tcPr>
          <w:p w14:paraId="7248EBFE"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321 808 </w:t>
            </w:r>
          </w:p>
        </w:tc>
        <w:tc>
          <w:tcPr>
            <w:tcW w:w="0" w:type="auto"/>
            <w:noWrap/>
            <w:hideMark/>
          </w:tcPr>
          <w:p w14:paraId="72925D57"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88,</w:t>
            </w:r>
            <w:r>
              <w:t>6</w:t>
            </w:r>
            <w:r w:rsidRPr="00CF1CB5">
              <w:t>%</w:t>
            </w:r>
          </w:p>
        </w:tc>
        <w:tc>
          <w:tcPr>
            <w:tcW w:w="1216" w:type="dxa"/>
            <w:noWrap/>
            <w:hideMark/>
          </w:tcPr>
          <w:p w14:paraId="7413D7E6"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363 338 </w:t>
            </w:r>
          </w:p>
        </w:tc>
      </w:tr>
      <w:tr w:rsidR="00E2531A" w:rsidRPr="00CF1CB5" w14:paraId="16EFE5A3"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A2FE4EA" w14:textId="77777777" w:rsidR="00E2531A" w:rsidRPr="00CF1CB5" w:rsidRDefault="00E2531A" w:rsidP="00C50A6E">
            <w:pPr>
              <w:rPr>
                <w:rFonts w:eastAsia="Times New Roman" w:cs="Calibri"/>
                <w:lang w:val="es-CR"/>
              </w:rPr>
            </w:pPr>
            <w:r w:rsidRPr="00CF1CB5">
              <w:rPr>
                <w:rFonts w:eastAsia="Times New Roman" w:cs="Calibri"/>
                <w:lang w:val="es-CR"/>
              </w:rPr>
              <w:t xml:space="preserve">     FRE</w:t>
            </w:r>
          </w:p>
        </w:tc>
        <w:tc>
          <w:tcPr>
            <w:tcW w:w="0" w:type="auto"/>
            <w:noWrap/>
            <w:hideMark/>
          </w:tcPr>
          <w:p w14:paraId="5A6DA931"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3C00A1E1"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7F4F0FD9"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45 408 </w:t>
            </w:r>
          </w:p>
        </w:tc>
        <w:tc>
          <w:tcPr>
            <w:tcW w:w="751" w:type="dxa"/>
            <w:noWrap/>
            <w:hideMark/>
          </w:tcPr>
          <w:p w14:paraId="171FF33E"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21,9%</w:t>
            </w:r>
          </w:p>
        </w:tc>
        <w:tc>
          <w:tcPr>
            <w:tcW w:w="0" w:type="auto"/>
            <w:noWrap/>
            <w:hideMark/>
          </w:tcPr>
          <w:p w14:paraId="3FC34B4B"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161 714 </w:t>
            </w:r>
          </w:p>
        </w:tc>
        <w:tc>
          <w:tcPr>
            <w:tcW w:w="0" w:type="auto"/>
            <w:noWrap/>
            <w:hideMark/>
          </w:tcPr>
          <w:p w14:paraId="422C57CF"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78,</w:t>
            </w:r>
            <w:r>
              <w:t>1</w:t>
            </w:r>
            <w:r w:rsidRPr="00CF1CB5">
              <w:t>%</w:t>
            </w:r>
          </w:p>
        </w:tc>
        <w:tc>
          <w:tcPr>
            <w:tcW w:w="1216" w:type="dxa"/>
            <w:noWrap/>
            <w:hideMark/>
          </w:tcPr>
          <w:p w14:paraId="3A3178B1"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207 122 </w:t>
            </w:r>
          </w:p>
        </w:tc>
      </w:tr>
      <w:tr w:rsidR="00E2531A" w:rsidRPr="00CF1CB5" w14:paraId="547FD7BC" w14:textId="77777777" w:rsidTr="00C50A6E">
        <w:trPr>
          <w:gridAfter w:val="1"/>
          <w:cnfStyle w:val="000000100000" w:firstRow="0" w:lastRow="0" w:firstColumn="0" w:lastColumn="0" w:oddVBand="0" w:evenVBand="0" w:oddHBand="1"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0C494EB2" w14:textId="77777777" w:rsidR="00E2531A" w:rsidRPr="00CF1CB5" w:rsidRDefault="00E2531A" w:rsidP="00C50A6E">
            <w:pPr>
              <w:rPr>
                <w:rFonts w:eastAsia="Times New Roman" w:cs="Calibri"/>
                <w:lang w:val="es-CR"/>
              </w:rPr>
            </w:pPr>
            <w:r w:rsidRPr="00CF1CB5">
              <w:rPr>
                <w:rFonts w:eastAsia="Times New Roman" w:cs="Calibri"/>
                <w:lang w:val="es-CR"/>
              </w:rPr>
              <w:t xml:space="preserve">     FRECOPE</w:t>
            </w:r>
          </w:p>
        </w:tc>
        <w:tc>
          <w:tcPr>
            <w:tcW w:w="0" w:type="auto"/>
            <w:noWrap/>
          </w:tcPr>
          <w:p w14:paraId="735CCA2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tcPr>
          <w:p w14:paraId="49C3D238"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tcPr>
          <w:p w14:paraId="7864940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pPr>
            <w:r w:rsidRPr="00CF1CB5">
              <w:t xml:space="preserve"> 7 </w:t>
            </w:r>
          </w:p>
        </w:tc>
        <w:tc>
          <w:tcPr>
            <w:tcW w:w="751" w:type="dxa"/>
            <w:noWrap/>
          </w:tcPr>
          <w:p w14:paraId="458F7050"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pPr>
            <w:r w:rsidRPr="00CF1CB5">
              <w:t>31,2%</w:t>
            </w:r>
          </w:p>
        </w:tc>
        <w:tc>
          <w:tcPr>
            <w:tcW w:w="0" w:type="auto"/>
            <w:noWrap/>
          </w:tcPr>
          <w:p w14:paraId="2AD48781"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pPr>
            <w:r w:rsidRPr="00CF1CB5">
              <w:t xml:space="preserve"> 14 </w:t>
            </w:r>
          </w:p>
        </w:tc>
        <w:tc>
          <w:tcPr>
            <w:tcW w:w="0" w:type="auto"/>
            <w:noWrap/>
          </w:tcPr>
          <w:p w14:paraId="365F1C8E"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pPr>
            <w:r w:rsidRPr="00CF1CB5">
              <w:t>68,8%</w:t>
            </w:r>
          </w:p>
        </w:tc>
        <w:tc>
          <w:tcPr>
            <w:tcW w:w="1216" w:type="dxa"/>
            <w:noWrap/>
          </w:tcPr>
          <w:p w14:paraId="79D7525E"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pPr>
            <w:r w:rsidRPr="00CF1CB5">
              <w:t xml:space="preserve"> 21 </w:t>
            </w:r>
          </w:p>
        </w:tc>
      </w:tr>
      <w:tr w:rsidR="00E2531A" w:rsidRPr="00CF1CB5" w14:paraId="336575F3"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7841D3D" w14:textId="77777777" w:rsidR="00E2531A" w:rsidRPr="00CF1CB5" w:rsidRDefault="00E2531A" w:rsidP="00C50A6E">
            <w:pPr>
              <w:rPr>
                <w:rFonts w:eastAsia="Times New Roman" w:cs="Calibri"/>
                <w:lang w:val="es-CR"/>
              </w:rPr>
            </w:pPr>
            <w:r w:rsidRPr="00CF1CB5">
              <w:rPr>
                <w:rFonts w:eastAsia="Times New Roman" w:cs="Calibri"/>
                <w:lang w:val="es-CR"/>
              </w:rPr>
              <w:t xml:space="preserve">     FVENLOT</w:t>
            </w:r>
          </w:p>
        </w:tc>
        <w:tc>
          <w:tcPr>
            <w:tcW w:w="0" w:type="auto"/>
            <w:noWrap/>
            <w:hideMark/>
          </w:tcPr>
          <w:p w14:paraId="3262941D"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0AD8E60B"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3DFDEEBE"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6 754 </w:t>
            </w:r>
          </w:p>
        </w:tc>
        <w:tc>
          <w:tcPr>
            <w:tcW w:w="751" w:type="dxa"/>
            <w:noWrap/>
            <w:hideMark/>
          </w:tcPr>
          <w:p w14:paraId="51BCB215"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26,5%</w:t>
            </w:r>
          </w:p>
        </w:tc>
        <w:tc>
          <w:tcPr>
            <w:tcW w:w="0" w:type="auto"/>
            <w:noWrap/>
            <w:hideMark/>
          </w:tcPr>
          <w:p w14:paraId="4F08BF45"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18 702 </w:t>
            </w:r>
          </w:p>
        </w:tc>
        <w:tc>
          <w:tcPr>
            <w:tcW w:w="0" w:type="auto"/>
            <w:noWrap/>
            <w:hideMark/>
          </w:tcPr>
          <w:p w14:paraId="1D9EACA2"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73,</w:t>
            </w:r>
            <w:r>
              <w:t>5</w:t>
            </w:r>
            <w:r w:rsidRPr="00CF1CB5">
              <w:t>%</w:t>
            </w:r>
          </w:p>
        </w:tc>
        <w:tc>
          <w:tcPr>
            <w:tcW w:w="1216" w:type="dxa"/>
            <w:noWrap/>
            <w:hideMark/>
          </w:tcPr>
          <w:p w14:paraId="6B519246"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25 456 </w:t>
            </w:r>
          </w:p>
        </w:tc>
      </w:tr>
      <w:tr w:rsidR="00E2531A" w:rsidRPr="00CF1CB5" w14:paraId="386C2461" w14:textId="77777777" w:rsidTr="00C50A6E">
        <w:trPr>
          <w:gridAfter w:val="1"/>
          <w:cnfStyle w:val="000000100000" w:firstRow="0" w:lastRow="0" w:firstColumn="0" w:lastColumn="0" w:oddVBand="0" w:evenVBand="0" w:oddHBand="1"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66AC21E" w14:textId="77777777" w:rsidR="00E2531A" w:rsidRPr="00CF1CB5" w:rsidRDefault="00E2531A" w:rsidP="00C50A6E">
            <w:pPr>
              <w:rPr>
                <w:rFonts w:eastAsia="Times New Roman" w:cs="Calibri"/>
                <w:lang w:val="es-CR"/>
              </w:rPr>
            </w:pPr>
            <w:r w:rsidRPr="00CF1CB5">
              <w:rPr>
                <w:rFonts w:eastAsia="Times New Roman" w:cs="Calibri"/>
                <w:lang w:val="es-CR"/>
              </w:rPr>
              <w:t xml:space="preserve">     FBCR</w:t>
            </w:r>
          </w:p>
        </w:tc>
        <w:tc>
          <w:tcPr>
            <w:tcW w:w="0" w:type="auto"/>
            <w:noWrap/>
            <w:hideMark/>
          </w:tcPr>
          <w:p w14:paraId="58A5E6BE"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6F91EBCD"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4C0FFD13"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40 129 </w:t>
            </w:r>
          </w:p>
        </w:tc>
        <w:tc>
          <w:tcPr>
            <w:tcW w:w="751" w:type="dxa"/>
            <w:noWrap/>
            <w:hideMark/>
          </w:tcPr>
          <w:p w14:paraId="1C6CA76F"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32,</w:t>
            </w:r>
            <w:r>
              <w:t>6</w:t>
            </w:r>
            <w:r w:rsidRPr="00CF1CB5">
              <w:t>%</w:t>
            </w:r>
          </w:p>
        </w:tc>
        <w:tc>
          <w:tcPr>
            <w:tcW w:w="0" w:type="auto"/>
            <w:noWrap/>
            <w:hideMark/>
          </w:tcPr>
          <w:p w14:paraId="0F600586"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83 029 </w:t>
            </w:r>
          </w:p>
        </w:tc>
        <w:tc>
          <w:tcPr>
            <w:tcW w:w="0" w:type="auto"/>
            <w:noWrap/>
            <w:hideMark/>
          </w:tcPr>
          <w:p w14:paraId="71C0A1FF"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67,4%</w:t>
            </w:r>
          </w:p>
        </w:tc>
        <w:tc>
          <w:tcPr>
            <w:tcW w:w="1216" w:type="dxa"/>
            <w:noWrap/>
            <w:hideMark/>
          </w:tcPr>
          <w:p w14:paraId="061395F2"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123 158 </w:t>
            </w:r>
          </w:p>
        </w:tc>
      </w:tr>
      <w:tr w:rsidR="00E2531A" w:rsidRPr="00CF1CB5" w14:paraId="643C000D"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7BC714F" w14:textId="77777777" w:rsidR="00E2531A" w:rsidRPr="00CF1CB5" w:rsidRDefault="00E2531A" w:rsidP="00C50A6E">
            <w:pPr>
              <w:rPr>
                <w:rFonts w:eastAsia="Times New Roman" w:cs="Calibri"/>
                <w:lang w:val="es-CR"/>
              </w:rPr>
            </w:pPr>
            <w:r w:rsidRPr="00CF1CB5">
              <w:rPr>
                <w:rFonts w:eastAsia="Times New Roman" w:cs="Calibri"/>
                <w:lang w:val="es-CR"/>
              </w:rPr>
              <w:t xml:space="preserve">     FICT</w:t>
            </w:r>
          </w:p>
        </w:tc>
        <w:tc>
          <w:tcPr>
            <w:tcW w:w="0" w:type="auto"/>
            <w:noWrap/>
            <w:hideMark/>
          </w:tcPr>
          <w:p w14:paraId="0353B5E6"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   </w:t>
            </w:r>
          </w:p>
        </w:tc>
        <w:tc>
          <w:tcPr>
            <w:tcW w:w="0" w:type="auto"/>
            <w:noWrap/>
            <w:hideMark/>
          </w:tcPr>
          <w:p w14:paraId="3D75F5FF"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0,0%</w:t>
            </w:r>
          </w:p>
        </w:tc>
        <w:tc>
          <w:tcPr>
            <w:tcW w:w="1252" w:type="dxa"/>
            <w:noWrap/>
            <w:hideMark/>
          </w:tcPr>
          <w:p w14:paraId="716B0F61"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1 270 </w:t>
            </w:r>
          </w:p>
        </w:tc>
        <w:tc>
          <w:tcPr>
            <w:tcW w:w="751" w:type="dxa"/>
            <w:noWrap/>
            <w:hideMark/>
          </w:tcPr>
          <w:p w14:paraId="3339E19E"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26,9%</w:t>
            </w:r>
          </w:p>
        </w:tc>
        <w:tc>
          <w:tcPr>
            <w:tcW w:w="0" w:type="auto"/>
            <w:noWrap/>
            <w:hideMark/>
          </w:tcPr>
          <w:p w14:paraId="4E913B18"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3 450 </w:t>
            </w:r>
          </w:p>
        </w:tc>
        <w:tc>
          <w:tcPr>
            <w:tcW w:w="0" w:type="auto"/>
            <w:noWrap/>
            <w:hideMark/>
          </w:tcPr>
          <w:p w14:paraId="3494F99C"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73,</w:t>
            </w:r>
            <w:r>
              <w:t>1</w:t>
            </w:r>
            <w:r w:rsidRPr="00CF1CB5">
              <w:t>%</w:t>
            </w:r>
          </w:p>
        </w:tc>
        <w:tc>
          <w:tcPr>
            <w:tcW w:w="1216" w:type="dxa"/>
            <w:noWrap/>
            <w:hideMark/>
          </w:tcPr>
          <w:p w14:paraId="5238B31B"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4 721 </w:t>
            </w:r>
          </w:p>
        </w:tc>
      </w:tr>
      <w:tr w:rsidR="00E2531A" w:rsidRPr="00CF1CB5" w14:paraId="18E550DD" w14:textId="77777777" w:rsidTr="00C50A6E">
        <w:trPr>
          <w:gridAfter w:val="1"/>
          <w:cnfStyle w:val="000000100000" w:firstRow="0" w:lastRow="0" w:firstColumn="0" w:lastColumn="0" w:oddVBand="0" w:evenVBand="0" w:oddHBand="1"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CDAEC7B" w14:textId="77777777" w:rsidR="00E2531A" w:rsidRPr="00CF1CB5" w:rsidRDefault="00E2531A" w:rsidP="00C50A6E">
            <w:pPr>
              <w:rPr>
                <w:rFonts w:eastAsia="Times New Roman" w:cs="Calibri"/>
                <w:lang w:val="es-CR"/>
              </w:rPr>
            </w:pPr>
            <w:r w:rsidRPr="00CF1CB5">
              <w:rPr>
                <w:rFonts w:eastAsia="Times New Roman" w:cs="Calibri"/>
                <w:lang w:val="es-CR"/>
              </w:rPr>
              <w:t>Régimen Obligatorio Complementario</w:t>
            </w:r>
          </w:p>
        </w:tc>
        <w:tc>
          <w:tcPr>
            <w:tcW w:w="0" w:type="auto"/>
            <w:noWrap/>
            <w:hideMark/>
          </w:tcPr>
          <w:p w14:paraId="25AF0AE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1 238 776 </w:t>
            </w:r>
          </w:p>
        </w:tc>
        <w:tc>
          <w:tcPr>
            <w:tcW w:w="0" w:type="auto"/>
            <w:noWrap/>
            <w:hideMark/>
          </w:tcPr>
          <w:p w14:paraId="4741AF5C"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17,6%</w:t>
            </w:r>
          </w:p>
        </w:tc>
        <w:tc>
          <w:tcPr>
            <w:tcW w:w="1252" w:type="dxa"/>
            <w:noWrap/>
            <w:hideMark/>
          </w:tcPr>
          <w:p w14:paraId="3DF130CB"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896 290 </w:t>
            </w:r>
          </w:p>
        </w:tc>
        <w:tc>
          <w:tcPr>
            <w:tcW w:w="751" w:type="dxa"/>
            <w:noWrap/>
            <w:hideMark/>
          </w:tcPr>
          <w:p w14:paraId="68E9A373"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12,</w:t>
            </w:r>
            <w:r>
              <w:t>8</w:t>
            </w:r>
            <w:r w:rsidRPr="00CF1CB5">
              <w:t>%</w:t>
            </w:r>
          </w:p>
        </w:tc>
        <w:tc>
          <w:tcPr>
            <w:tcW w:w="0" w:type="auto"/>
            <w:noWrap/>
            <w:hideMark/>
          </w:tcPr>
          <w:p w14:paraId="66306C7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4 890 359 </w:t>
            </w:r>
          </w:p>
        </w:tc>
        <w:tc>
          <w:tcPr>
            <w:tcW w:w="0" w:type="auto"/>
            <w:noWrap/>
            <w:hideMark/>
          </w:tcPr>
          <w:p w14:paraId="6ABDC41B"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69,6%</w:t>
            </w:r>
          </w:p>
        </w:tc>
        <w:tc>
          <w:tcPr>
            <w:tcW w:w="1216" w:type="dxa"/>
            <w:noWrap/>
            <w:hideMark/>
          </w:tcPr>
          <w:p w14:paraId="0D192677"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7 025 425 </w:t>
            </w:r>
          </w:p>
        </w:tc>
      </w:tr>
      <w:tr w:rsidR="00E2531A" w:rsidRPr="00CF1CB5" w14:paraId="29C4AD58" w14:textId="77777777" w:rsidTr="00C50A6E">
        <w:trPr>
          <w:gridAfter w:val="1"/>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05BF984" w14:textId="77777777" w:rsidR="00E2531A" w:rsidRPr="00CF1CB5" w:rsidRDefault="00E2531A" w:rsidP="00C50A6E">
            <w:pPr>
              <w:rPr>
                <w:rFonts w:eastAsia="Times New Roman" w:cs="Calibri"/>
                <w:lang w:val="es-CR"/>
              </w:rPr>
            </w:pPr>
            <w:r w:rsidRPr="00CF1CB5">
              <w:rPr>
                <w:rFonts w:eastAsia="Times New Roman" w:cs="Calibri"/>
                <w:lang w:val="es-CR"/>
              </w:rPr>
              <w:t>Planes Voluntarios</w:t>
            </w:r>
          </w:p>
        </w:tc>
        <w:tc>
          <w:tcPr>
            <w:tcW w:w="0" w:type="auto"/>
            <w:noWrap/>
            <w:hideMark/>
          </w:tcPr>
          <w:p w14:paraId="537FFE84"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11 753 </w:t>
            </w:r>
          </w:p>
        </w:tc>
        <w:tc>
          <w:tcPr>
            <w:tcW w:w="0" w:type="auto"/>
            <w:noWrap/>
            <w:hideMark/>
          </w:tcPr>
          <w:p w14:paraId="7053E551"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3,</w:t>
            </w:r>
            <w:r>
              <w:t>2</w:t>
            </w:r>
            <w:r w:rsidRPr="00CF1CB5">
              <w:t>%</w:t>
            </w:r>
          </w:p>
        </w:tc>
        <w:tc>
          <w:tcPr>
            <w:tcW w:w="1252" w:type="dxa"/>
            <w:noWrap/>
            <w:hideMark/>
          </w:tcPr>
          <w:p w14:paraId="5D914CAF"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84 813 </w:t>
            </w:r>
          </w:p>
        </w:tc>
        <w:tc>
          <w:tcPr>
            <w:tcW w:w="751" w:type="dxa"/>
            <w:noWrap/>
            <w:hideMark/>
          </w:tcPr>
          <w:p w14:paraId="2A37C3F2"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23,0%</w:t>
            </w:r>
          </w:p>
        </w:tc>
        <w:tc>
          <w:tcPr>
            <w:tcW w:w="0" w:type="auto"/>
            <w:noWrap/>
            <w:hideMark/>
          </w:tcPr>
          <w:p w14:paraId="3864E3BF"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271 868 </w:t>
            </w:r>
          </w:p>
        </w:tc>
        <w:tc>
          <w:tcPr>
            <w:tcW w:w="0" w:type="auto"/>
            <w:noWrap/>
            <w:hideMark/>
          </w:tcPr>
          <w:p w14:paraId="1181DF25"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73,</w:t>
            </w:r>
            <w:r>
              <w:t>8</w:t>
            </w:r>
            <w:r w:rsidRPr="00CF1CB5">
              <w:t>%</w:t>
            </w:r>
          </w:p>
        </w:tc>
        <w:tc>
          <w:tcPr>
            <w:tcW w:w="1216" w:type="dxa"/>
            <w:noWrap/>
            <w:hideMark/>
          </w:tcPr>
          <w:p w14:paraId="3E5A503B" w14:textId="77777777" w:rsidR="00E2531A" w:rsidRPr="00CF1CB5" w:rsidRDefault="00E2531A" w:rsidP="00C50A6E">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CF1CB5">
              <w:t xml:space="preserve"> 368 434 </w:t>
            </w:r>
          </w:p>
        </w:tc>
      </w:tr>
      <w:tr w:rsidR="00E2531A" w:rsidRPr="00CF1CB5" w14:paraId="77296D6B" w14:textId="77777777" w:rsidTr="00C50A6E">
        <w:trPr>
          <w:gridAfter w:val="1"/>
          <w:cnfStyle w:val="000000100000" w:firstRow="0" w:lastRow="0" w:firstColumn="0" w:lastColumn="0" w:oddVBand="0" w:evenVBand="0" w:oddHBand="1"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93ACE80" w14:textId="77777777" w:rsidR="00E2531A" w:rsidRPr="00CF1CB5" w:rsidRDefault="00E2531A" w:rsidP="00C50A6E">
            <w:pPr>
              <w:rPr>
                <w:rFonts w:eastAsia="Times New Roman" w:cs="Calibri"/>
                <w:lang w:val="es-CR"/>
              </w:rPr>
            </w:pPr>
            <w:r w:rsidRPr="00CF1CB5">
              <w:rPr>
                <w:rFonts w:eastAsia="Times New Roman" w:cs="Calibri"/>
                <w:lang w:val="es-CR"/>
              </w:rPr>
              <w:t>Fondo de Capitalización Laboral</w:t>
            </w:r>
          </w:p>
        </w:tc>
        <w:tc>
          <w:tcPr>
            <w:tcW w:w="0" w:type="auto"/>
            <w:noWrap/>
            <w:hideMark/>
          </w:tcPr>
          <w:p w14:paraId="6010F3EB"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55 465 </w:t>
            </w:r>
          </w:p>
        </w:tc>
        <w:tc>
          <w:tcPr>
            <w:tcW w:w="0" w:type="auto"/>
            <w:noWrap/>
            <w:hideMark/>
          </w:tcPr>
          <w:p w14:paraId="056A5C1C"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8,</w:t>
            </w:r>
            <w:r>
              <w:t>7</w:t>
            </w:r>
            <w:r w:rsidRPr="00CF1CB5">
              <w:t>%</w:t>
            </w:r>
          </w:p>
        </w:tc>
        <w:tc>
          <w:tcPr>
            <w:tcW w:w="1252" w:type="dxa"/>
            <w:noWrap/>
            <w:hideMark/>
          </w:tcPr>
          <w:p w14:paraId="5C5C5A90"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153 057 </w:t>
            </w:r>
          </w:p>
        </w:tc>
        <w:tc>
          <w:tcPr>
            <w:tcW w:w="751" w:type="dxa"/>
            <w:noWrap/>
            <w:hideMark/>
          </w:tcPr>
          <w:p w14:paraId="5E0B2F96"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23,9%</w:t>
            </w:r>
          </w:p>
        </w:tc>
        <w:tc>
          <w:tcPr>
            <w:tcW w:w="0" w:type="auto"/>
            <w:noWrap/>
            <w:hideMark/>
          </w:tcPr>
          <w:p w14:paraId="6E2D6F32"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429 948 </w:t>
            </w:r>
          </w:p>
        </w:tc>
        <w:tc>
          <w:tcPr>
            <w:tcW w:w="0" w:type="auto"/>
            <w:noWrap/>
            <w:hideMark/>
          </w:tcPr>
          <w:p w14:paraId="600FCBF8"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67,3%</w:t>
            </w:r>
          </w:p>
        </w:tc>
        <w:tc>
          <w:tcPr>
            <w:tcW w:w="1216" w:type="dxa"/>
            <w:noWrap/>
            <w:hideMark/>
          </w:tcPr>
          <w:p w14:paraId="5910DE35" w14:textId="77777777" w:rsidR="00E2531A" w:rsidRPr="00CF1CB5" w:rsidRDefault="00E2531A" w:rsidP="00C50A6E">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CF1CB5">
              <w:t xml:space="preserve"> 638 470 </w:t>
            </w:r>
          </w:p>
        </w:tc>
      </w:tr>
      <w:tr w:rsidR="00E2531A" w:rsidRPr="00CF1CB5" w14:paraId="6C865705" w14:textId="77777777" w:rsidTr="00C50A6E">
        <w:trPr>
          <w:gridAfter w:val="1"/>
          <w:cnfStyle w:val="010000000000" w:firstRow="0" w:lastRow="1" w:firstColumn="0" w:lastColumn="0" w:oddVBand="0" w:evenVBand="0" w:oddHBand="0" w:evenHBand="0" w:firstRowFirstColumn="0" w:firstRowLastColumn="0" w:lastRowFirstColumn="0" w:lastRowLastColumn="0"/>
          <w:wAfter w:w="15" w:type="dxa"/>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B579DBB" w14:textId="77777777" w:rsidR="00E2531A" w:rsidRPr="00CF1CB5" w:rsidRDefault="00E2531A" w:rsidP="00C50A6E">
            <w:pPr>
              <w:rPr>
                <w:rFonts w:eastAsia="Times New Roman" w:cs="Calibri"/>
                <w:lang w:val="es-CR"/>
              </w:rPr>
            </w:pPr>
            <w:r w:rsidRPr="00CF1CB5">
              <w:rPr>
                <w:rFonts w:eastAsia="Times New Roman" w:cs="Calibri"/>
                <w:lang w:val="es-CR"/>
              </w:rPr>
              <w:t>Total</w:t>
            </w:r>
          </w:p>
        </w:tc>
        <w:tc>
          <w:tcPr>
            <w:tcW w:w="0" w:type="auto"/>
            <w:noWrap/>
            <w:hideMark/>
          </w:tcPr>
          <w:p w14:paraId="3B4ACC27" w14:textId="77777777" w:rsidR="00E2531A" w:rsidRPr="00CF1CB5" w:rsidRDefault="00E2531A" w:rsidP="00C50A6E">
            <w:pPr>
              <w:jc w:val="right"/>
              <w:cnfStyle w:val="010000000000" w:firstRow="0" w:lastRow="1"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1 305 993 </w:t>
            </w:r>
          </w:p>
        </w:tc>
        <w:tc>
          <w:tcPr>
            <w:tcW w:w="0" w:type="auto"/>
            <w:noWrap/>
            <w:hideMark/>
          </w:tcPr>
          <w:p w14:paraId="3F86B701" w14:textId="77777777" w:rsidR="00E2531A" w:rsidRPr="00CF1CB5" w:rsidRDefault="00E2531A" w:rsidP="00C50A6E">
            <w:pPr>
              <w:jc w:val="right"/>
              <w:cnfStyle w:val="010000000000" w:firstRow="0" w:lastRow="1"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8,</w:t>
            </w:r>
            <w:r>
              <w:rPr>
                <w:rFonts w:eastAsia="Times New Roman" w:cs="Calibri"/>
                <w:lang w:val="es-CR"/>
              </w:rPr>
              <w:t>8</w:t>
            </w:r>
            <w:r w:rsidRPr="00CF1CB5">
              <w:rPr>
                <w:rFonts w:eastAsia="Times New Roman" w:cs="Calibri"/>
                <w:lang w:val="es-CR"/>
              </w:rPr>
              <w:t>%</w:t>
            </w:r>
          </w:p>
        </w:tc>
        <w:tc>
          <w:tcPr>
            <w:tcW w:w="1252" w:type="dxa"/>
            <w:noWrap/>
            <w:hideMark/>
          </w:tcPr>
          <w:p w14:paraId="2E277C1A" w14:textId="77777777" w:rsidR="00E2531A" w:rsidRPr="00CF1CB5" w:rsidRDefault="00E2531A" w:rsidP="00C50A6E">
            <w:pPr>
              <w:jc w:val="right"/>
              <w:cnfStyle w:val="010000000000" w:firstRow="0" w:lastRow="1"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1 988 76 </w:t>
            </w:r>
          </w:p>
        </w:tc>
        <w:tc>
          <w:tcPr>
            <w:tcW w:w="751" w:type="dxa"/>
            <w:noWrap/>
            <w:hideMark/>
          </w:tcPr>
          <w:p w14:paraId="3BD0CA03" w14:textId="77777777" w:rsidR="00E2531A" w:rsidRPr="00CF1CB5" w:rsidRDefault="00E2531A" w:rsidP="00C50A6E">
            <w:pPr>
              <w:jc w:val="right"/>
              <w:cnfStyle w:val="010000000000" w:firstRow="0" w:lastRow="1"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13,3%</w:t>
            </w:r>
          </w:p>
        </w:tc>
        <w:tc>
          <w:tcPr>
            <w:tcW w:w="0" w:type="auto"/>
            <w:noWrap/>
            <w:hideMark/>
          </w:tcPr>
          <w:p w14:paraId="53E2A364" w14:textId="77777777" w:rsidR="00E2531A" w:rsidRPr="00CF1CB5" w:rsidRDefault="00E2531A" w:rsidP="00C50A6E">
            <w:pPr>
              <w:jc w:val="right"/>
              <w:cnfStyle w:val="010000000000" w:firstRow="0" w:lastRow="1"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11 611 446 </w:t>
            </w:r>
          </w:p>
        </w:tc>
        <w:tc>
          <w:tcPr>
            <w:tcW w:w="0" w:type="auto"/>
            <w:noWrap/>
            <w:hideMark/>
          </w:tcPr>
          <w:p w14:paraId="38A3060D" w14:textId="77777777" w:rsidR="00E2531A" w:rsidRPr="00CF1CB5" w:rsidRDefault="00E2531A" w:rsidP="00C50A6E">
            <w:pPr>
              <w:jc w:val="right"/>
              <w:cnfStyle w:val="010000000000" w:firstRow="0" w:lastRow="1"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77,9%</w:t>
            </w:r>
          </w:p>
        </w:tc>
        <w:tc>
          <w:tcPr>
            <w:tcW w:w="1216" w:type="dxa"/>
            <w:noWrap/>
            <w:hideMark/>
          </w:tcPr>
          <w:p w14:paraId="612BE894" w14:textId="77777777" w:rsidR="00E2531A" w:rsidRPr="00CF1CB5" w:rsidRDefault="00E2531A" w:rsidP="00C50A6E">
            <w:pPr>
              <w:cnfStyle w:val="010000000000" w:firstRow="0" w:lastRow="1" w:firstColumn="0" w:lastColumn="0" w:oddVBand="0" w:evenVBand="0" w:oddHBand="0" w:evenHBand="0" w:firstRowFirstColumn="0" w:firstRowLastColumn="0" w:lastRowFirstColumn="0" w:lastRowLastColumn="0"/>
              <w:rPr>
                <w:rFonts w:eastAsia="Times New Roman" w:cs="Calibri"/>
                <w:lang w:val="es-CR"/>
              </w:rPr>
            </w:pPr>
            <w:r w:rsidRPr="00CF1CB5">
              <w:rPr>
                <w:rFonts w:eastAsia="Times New Roman" w:cs="Calibri"/>
                <w:lang w:val="es-CR"/>
              </w:rPr>
              <w:t xml:space="preserve"> 14 906 146 </w:t>
            </w:r>
          </w:p>
        </w:tc>
      </w:tr>
    </w:tbl>
    <w:p w14:paraId="1F3F5906" w14:textId="66C70FE7" w:rsidR="00E2531A" w:rsidRDefault="00E2531A" w:rsidP="00A8066D">
      <w:pPr>
        <w:pStyle w:val="Descripcin"/>
        <w:spacing w:after="0"/>
        <w:ind w:left="1276"/>
      </w:pPr>
      <w:r>
        <w:t xml:space="preserve"> Fuente: Elaboración propia</w:t>
      </w:r>
    </w:p>
    <w:p w14:paraId="7DBA0461" w14:textId="39F54617" w:rsidR="00A8066D" w:rsidRDefault="00A8066D">
      <w:r>
        <w:br w:type="page"/>
      </w:r>
    </w:p>
    <w:p w14:paraId="222EE2E3" w14:textId="19063C2D" w:rsidR="00CF15EE" w:rsidRDefault="00AA66AE" w:rsidP="00A8066D">
      <w:pPr>
        <w:pStyle w:val="Ttulo2"/>
        <w:numPr>
          <w:ilvl w:val="1"/>
          <w:numId w:val="1"/>
        </w:numPr>
        <w:spacing w:line="360" w:lineRule="auto"/>
      </w:pPr>
      <w:bookmarkStart w:id="16" w:name="_Toc64039567"/>
      <w:r>
        <w:t>Rentabilidad</w:t>
      </w:r>
      <w:bookmarkEnd w:id="16"/>
      <w:r w:rsidR="0056317E">
        <w:t xml:space="preserve"> </w:t>
      </w:r>
    </w:p>
    <w:p w14:paraId="38E73921" w14:textId="77777777" w:rsidR="008C60E1" w:rsidRPr="00C50A6E" w:rsidRDefault="008C60E1" w:rsidP="00A8066D">
      <w:pPr>
        <w:spacing w:after="0" w:line="360" w:lineRule="auto"/>
        <w:jc w:val="both"/>
        <w:rPr>
          <w:sz w:val="24"/>
          <w:szCs w:val="24"/>
        </w:rPr>
      </w:pPr>
    </w:p>
    <w:p w14:paraId="1987736B" w14:textId="7862FDE0" w:rsidR="00B73B8C" w:rsidRPr="00C50A6E" w:rsidRDefault="00226648" w:rsidP="00A8066D">
      <w:pPr>
        <w:spacing w:after="0" w:line="360" w:lineRule="auto"/>
        <w:jc w:val="both"/>
        <w:rPr>
          <w:sz w:val="24"/>
          <w:szCs w:val="24"/>
        </w:rPr>
      </w:pPr>
      <w:r w:rsidRPr="00C50A6E">
        <w:rPr>
          <w:sz w:val="24"/>
          <w:szCs w:val="24"/>
        </w:rPr>
        <w:t xml:space="preserve">La </w:t>
      </w:r>
      <w:r w:rsidR="00FD4B79" w:rsidRPr="00C50A6E">
        <w:rPr>
          <w:sz w:val="24"/>
          <w:szCs w:val="24"/>
        </w:rPr>
        <w:t>inversión en</w:t>
      </w:r>
      <w:r w:rsidR="009828CA" w:rsidRPr="00C50A6E">
        <w:rPr>
          <w:sz w:val="24"/>
          <w:szCs w:val="24"/>
        </w:rPr>
        <w:t xml:space="preserve"> el</w:t>
      </w:r>
      <w:r w:rsidRPr="00C50A6E">
        <w:rPr>
          <w:sz w:val="24"/>
          <w:szCs w:val="24"/>
        </w:rPr>
        <w:t xml:space="preserve"> extranjero de los</w:t>
      </w:r>
      <w:r w:rsidR="001C5D21" w:rsidRPr="00C50A6E">
        <w:rPr>
          <w:sz w:val="24"/>
          <w:szCs w:val="24"/>
        </w:rPr>
        <w:t xml:space="preserve"> portafolios de pensiones</w:t>
      </w:r>
      <w:r w:rsidR="009828CA" w:rsidRPr="00C50A6E">
        <w:rPr>
          <w:sz w:val="24"/>
          <w:szCs w:val="24"/>
        </w:rPr>
        <w:t xml:space="preserve"> </w:t>
      </w:r>
      <w:r w:rsidR="00CD121D" w:rsidRPr="00C50A6E">
        <w:rPr>
          <w:sz w:val="24"/>
          <w:szCs w:val="24"/>
        </w:rPr>
        <w:t>muestra</w:t>
      </w:r>
      <w:r w:rsidR="00AF784D" w:rsidRPr="00C50A6E">
        <w:rPr>
          <w:sz w:val="24"/>
          <w:szCs w:val="24"/>
        </w:rPr>
        <w:t xml:space="preserve"> </w:t>
      </w:r>
      <w:r w:rsidR="009828CA" w:rsidRPr="00C50A6E">
        <w:rPr>
          <w:sz w:val="24"/>
          <w:szCs w:val="24"/>
        </w:rPr>
        <w:t xml:space="preserve">una recuperación durante </w:t>
      </w:r>
      <w:r w:rsidR="00AF784D" w:rsidRPr="00C50A6E">
        <w:rPr>
          <w:sz w:val="24"/>
          <w:szCs w:val="24"/>
        </w:rPr>
        <w:t>los primeros dos meses del</w:t>
      </w:r>
      <w:r w:rsidR="009828CA" w:rsidRPr="00C50A6E">
        <w:rPr>
          <w:sz w:val="24"/>
          <w:szCs w:val="24"/>
        </w:rPr>
        <w:t xml:space="preserve"> </w:t>
      </w:r>
      <w:r w:rsidR="000466A7" w:rsidRPr="00C50A6E">
        <w:rPr>
          <w:sz w:val="24"/>
          <w:szCs w:val="24"/>
        </w:rPr>
        <w:t xml:space="preserve">tercer </w:t>
      </w:r>
      <w:r w:rsidR="009828CA" w:rsidRPr="00C50A6E">
        <w:rPr>
          <w:sz w:val="24"/>
          <w:szCs w:val="24"/>
        </w:rPr>
        <w:t>trimestre</w:t>
      </w:r>
      <w:r w:rsidR="00EC6EBF" w:rsidRPr="00C50A6E">
        <w:rPr>
          <w:sz w:val="24"/>
          <w:szCs w:val="24"/>
        </w:rPr>
        <w:t xml:space="preserve">, </w:t>
      </w:r>
      <w:r w:rsidR="00AD0B2A" w:rsidRPr="00C50A6E">
        <w:rPr>
          <w:sz w:val="24"/>
          <w:szCs w:val="24"/>
        </w:rPr>
        <w:t xml:space="preserve">sin </w:t>
      </w:r>
      <w:r w:rsidR="000174F3" w:rsidRPr="00C50A6E">
        <w:rPr>
          <w:sz w:val="24"/>
          <w:szCs w:val="24"/>
        </w:rPr>
        <w:t>embargo,</w:t>
      </w:r>
      <w:r w:rsidR="00AD0B2A" w:rsidRPr="00C50A6E">
        <w:rPr>
          <w:sz w:val="24"/>
          <w:szCs w:val="24"/>
        </w:rPr>
        <w:t xml:space="preserve"> durante el </w:t>
      </w:r>
      <w:r w:rsidR="00BF2927" w:rsidRPr="00C50A6E">
        <w:rPr>
          <w:sz w:val="24"/>
          <w:szCs w:val="24"/>
        </w:rPr>
        <w:t xml:space="preserve">mes de </w:t>
      </w:r>
      <w:r w:rsidR="00AD0B2A" w:rsidRPr="00C50A6E">
        <w:rPr>
          <w:sz w:val="24"/>
          <w:szCs w:val="24"/>
        </w:rPr>
        <w:t>setiembre la recuperación se detuvo y los índices presentaron caídas durante las primeras 3 semanas del mes</w:t>
      </w:r>
      <w:r w:rsidR="000174F3" w:rsidRPr="00C50A6E">
        <w:rPr>
          <w:sz w:val="24"/>
          <w:szCs w:val="24"/>
        </w:rPr>
        <w:t>. L</w:t>
      </w:r>
      <w:r w:rsidR="008C60E1" w:rsidRPr="00C50A6E">
        <w:rPr>
          <w:sz w:val="24"/>
          <w:szCs w:val="24"/>
        </w:rPr>
        <w:t>a exposición de cada fondo depende de su propia composición</w:t>
      </w:r>
      <w:r w:rsidR="001D3519" w:rsidRPr="00C50A6E">
        <w:rPr>
          <w:sz w:val="24"/>
          <w:szCs w:val="24"/>
        </w:rPr>
        <w:t xml:space="preserve">, </w:t>
      </w:r>
      <w:r w:rsidR="008C60E1" w:rsidRPr="00C50A6E">
        <w:rPr>
          <w:sz w:val="24"/>
          <w:szCs w:val="24"/>
        </w:rPr>
        <w:t>entre mayor sea el porcentaje de la cartera invertido en valores extranjeros, mayor ha sido la recuperación</w:t>
      </w:r>
      <w:r w:rsidR="00F53A8F" w:rsidRPr="00C50A6E">
        <w:rPr>
          <w:sz w:val="24"/>
          <w:szCs w:val="24"/>
        </w:rPr>
        <w:t xml:space="preserve"> </w:t>
      </w:r>
      <w:r w:rsidR="008C60E1" w:rsidRPr="00C50A6E">
        <w:rPr>
          <w:sz w:val="24"/>
          <w:szCs w:val="24"/>
        </w:rPr>
        <w:t xml:space="preserve">de las pérdidas sufridas </w:t>
      </w:r>
      <w:r w:rsidR="001D3519" w:rsidRPr="00C50A6E">
        <w:rPr>
          <w:sz w:val="24"/>
          <w:szCs w:val="24"/>
        </w:rPr>
        <w:t xml:space="preserve">durante </w:t>
      </w:r>
      <w:r w:rsidR="008C60E1" w:rsidRPr="00C50A6E">
        <w:rPr>
          <w:sz w:val="24"/>
          <w:szCs w:val="24"/>
        </w:rPr>
        <w:t>marzo</w:t>
      </w:r>
      <w:r w:rsidR="00544FFB" w:rsidRPr="00C50A6E">
        <w:rPr>
          <w:sz w:val="24"/>
          <w:szCs w:val="24"/>
        </w:rPr>
        <w:t xml:space="preserve"> (a causa del COVID-19)</w:t>
      </w:r>
      <w:r w:rsidR="00BF2927" w:rsidRPr="00C50A6E">
        <w:rPr>
          <w:sz w:val="24"/>
          <w:szCs w:val="24"/>
        </w:rPr>
        <w:t xml:space="preserve"> </w:t>
      </w:r>
      <w:r w:rsidR="00B7001F" w:rsidRPr="00C50A6E">
        <w:rPr>
          <w:sz w:val="24"/>
          <w:szCs w:val="24"/>
        </w:rPr>
        <w:t xml:space="preserve">pero también ha sido </w:t>
      </w:r>
      <w:r w:rsidR="00BF2927" w:rsidRPr="00C50A6E">
        <w:rPr>
          <w:sz w:val="24"/>
          <w:szCs w:val="24"/>
        </w:rPr>
        <w:t xml:space="preserve">más empinada </w:t>
      </w:r>
      <w:r w:rsidR="00B7001F" w:rsidRPr="00C50A6E">
        <w:rPr>
          <w:sz w:val="24"/>
          <w:szCs w:val="24"/>
        </w:rPr>
        <w:t xml:space="preserve">la </w:t>
      </w:r>
      <w:r w:rsidR="00BF2927" w:rsidRPr="00C50A6E">
        <w:rPr>
          <w:sz w:val="24"/>
          <w:szCs w:val="24"/>
        </w:rPr>
        <w:t xml:space="preserve">caída que se presenta durante el mes de </w:t>
      </w:r>
      <w:r w:rsidR="00C74702" w:rsidRPr="00C50A6E">
        <w:rPr>
          <w:sz w:val="24"/>
          <w:szCs w:val="24"/>
        </w:rPr>
        <w:t>setiembre.</w:t>
      </w:r>
    </w:p>
    <w:p w14:paraId="7C638DD5" w14:textId="77777777" w:rsidR="003E41A4" w:rsidRPr="00C50A6E" w:rsidRDefault="003E41A4" w:rsidP="00A8066D">
      <w:pPr>
        <w:spacing w:after="0" w:line="360" w:lineRule="auto"/>
        <w:jc w:val="both"/>
        <w:rPr>
          <w:sz w:val="24"/>
          <w:szCs w:val="24"/>
        </w:rPr>
      </w:pPr>
    </w:p>
    <w:p w14:paraId="12452CE7" w14:textId="79ED5B0A" w:rsidR="00766731" w:rsidRPr="00C50A6E" w:rsidRDefault="00907B37" w:rsidP="00A8066D">
      <w:pPr>
        <w:spacing w:after="0" w:line="360" w:lineRule="auto"/>
        <w:jc w:val="both"/>
        <w:rPr>
          <w:sz w:val="24"/>
          <w:szCs w:val="24"/>
        </w:rPr>
      </w:pPr>
      <w:r w:rsidRPr="00C50A6E">
        <w:rPr>
          <w:sz w:val="24"/>
          <w:szCs w:val="24"/>
        </w:rPr>
        <w:t>En el mercado local, d</w:t>
      </w:r>
      <w:r w:rsidR="00F0352E" w:rsidRPr="00C50A6E">
        <w:rPr>
          <w:sz w:val="24"/>
          <w:szCs w:val="24"/>
        </w:rPr>
        <w:t>urante</w:t>
      </w:r>
      <w:r w:rsidR="00801BFB" w:rsidRPr="00C50A6E">
        <w:rPr>
          <w:sz w:val="24"/>
          <w:szCs w:val="24"/>
        </w:rPr>
        <w:t xml:space="preserve"> </w:t>
      </w:r>
      <w:r w:rsidR="001A284C" w:rsidRPr="00C50A6E">
        <w:rPr>
          <w:sz w:val="24"/>
          <w:szCs w:val="24"/>
        </w:rPr>
        <w:t>trimestre</w:t>
      </w:r>
      <w:r w:rsidR="00801BFB" w:rsidRPr="00C50A6E">
        <w:rPr>
          <w:sz w:val="24"/>
          <w:szCs w:val="24"/>
        </w:rPr>
        <w:t xml:space="preserve"> </w:t>
      </w:r>
      <w:r w:rsidR="00FC48B6" w:rsidRPr="00C50A6E">
        <w:rPr>
          <w:sz w:val="24"/>
          <w:szCs w:val="24"/>
        </w:rPr>
        <w:t xml:space="preserve">la curva de rendimientos en colones del BCCR </w:t>
      </w:r>
      <w:r w:rsidR="00717D49" w:rsidRPr="00C50A6E">
        <w:rPr>
          <w:sz w:val="24"/>
          <w:szCs w:val="24"/>
        </w:rPr>
        <w:t>pres</w:t>
      </w:r>
      <w:r w:rsidR="001F3FD4" w:rsidRPr="00C50A6E">
        <w:rPr>
          <w:sz w:val="24"/>
          <w:szCs w:val="24"/>
        </w:rPr>
        <w:t>e</w:t>
      </w:r>
      <w:r w:rsidR="00717D49" w:rsidRPr="00C50A6E">
        <w:rPr>
          <w:sz w:val="24"/>
          <w:szCs w:val="24"/>
        </w:rPr>
        <w:t xml:space="preserve">ntó un desplazamiento hacia </w:t>
      </w:r>
      <w:r w:rsidR="001A284C" w:rsidRPr="00C50A6E">
        <w:rPr>
          <w:sz w:val="24"/>
          <w:szCs w:val="24"/>
        </w:rPr>
        <w:t>abajo</w:t>
      </w:r>
      <w:r w:rsidR="00C304B5" w:rsidRPr="00C50A6E">
        <w:rPr>
          <w:sz w:val="24"/>
          <w:szCs w:val="24"/>
        </w:rPr>
        <w:t xml:space="preserve"> en los plazo</w:t>
      </w:r>
      <w:r w:rsidR="00CE05D7" w:rsidRPr="00C50A6E">
        <w:rPr>
          <w:sz w:val="24"/>
          <w:szCs w:val="24"/>
        </w:rPr>
        <w:t>s</w:t>
      </w:r>
      <w:r w:rsidR="00C304B5" w:rsidRPr="00C50A6E">
        <w:rPr>
          <w:sz w:val="24"/>
          <w:szCs w:val="24"/>
        </w:rPr>
        <w:t xml:space="preserve"> inferiores a los 7 años</w:t>
      </w:r>
      <w:r w:rsidR="00717D49" w:rsidRPr="00C50A6E">
        <w:rPr>
          <w:sz w:val="24"/>
          <w:szCs w:val="24"/>
        </w:rPr>
        <w:t xml:space="preserve">, </w:t>
      </w:r>
      <w:r w:rsidR="0068020F" w:rsidRPr="00C50A6E">
        <w:rPr>
          <w:sz w:val="24"/>
          <w:szCs w:val="24"/>
        </w:rPr>
        <w:t xml:space="preserve">afectando </w:t>
      </w:r>
      <w:r w:rsidR="001F3FD4" w:rsidRPr="00C50A6E">
        <w:rPr>
          <w:sz w:val="24"/>
          <w:szCs w:val="24"/>
        </w:rPr>
        <w:t xml:space="preserve">de manera </w:t>
      </w:r>
      <w:r w:rsidR="00C304B5" w:rsidRPr="00C50A6E">
        <w:rPr>
          <w:sz w:val="24"/>
          <w:szCs w:val="24"/>
        </w:rPr>
        <w:t xml:space="preserve">positiva </w:t>
      </w:r>
      <w:r w:rsidR="0068020F" w:rsidRPr="00C50A6E">
        <w:rPr>
          <w:sz w:val="24"/>
          <w:szCs w:val="24"/>
        </w:rPr>
        <w:t xml:space="preserve">el valor de las inversiones en </w:t>
      </w:r>
      <w:r w:rsidR="00A400A0" w:rsidRPr="00C50A6E">
        <w:rPr>
          <w:sz w:val="24"/>
          <w:szCs w:val="24"/>
        </w:rPr>
        <w:t xml:space="preserve">locales </w:t>
      </w:r>
      <w:r w:rsidR="001F3FD4" w:rsidRPr="00C50A6E">
        <w:rPr>
          <w:sz w:val="24"/>
          <w:szCs w:val="24"/>
        </w:rPr>
        <w:t>de los portafolios de pensiones</w:t>
      </w:r>
      <w:r w:rsidR="00A33DEB" w:rsidRPr="00C50A6E">
        <w:rPr>
          <w:sz w:val="24"/>
          <w:szCs w:val="24"/>
        </w:rPr>
        <w:t xml:space="preserve">. </w:t>
      </w:r>
      <w:r w:rsidR="00103286" w:rsidRPr="00C50A6E">
        <w:rPr>
          <w:sz w:val="24"/>
          <w:szCs w:val="24"/>
        </w:rPr>
        <w:t xml:space="preserve">Para los plazos </w:t>
      </w:r>
      <w:r w:rsidR="00964544" w:rsidRPr="00C50A6E">
        <w:rPr>
          <w:sz w:val="24"/>
          <w:szCs w:val="24"/>
        </w:rPr>
        <w:t xml:space="preserve">superiores a los </w:t>
      </w:r>
      <w:r w:rsidR="00103286" w:rsidRPr="00C50A6E">
        <w:rPr>
          <w:sz w:val="24"/>
          <w:szCs w:val="24"/>
        </w:rPr>
        <w:t>7 años</w:t>
      </w:r>
      <w:r w:rsidR="00637EBB" w:rsidRPr="00C50A6E">
        <w:rPr>
          <w:sz w:val="24"/>
          <w:szCs w:val="24"/>
        </w:rPr>
        <w:t xml:space="preserve"> </w:t>
      </w:r>
      <w:r w:rsidR="00E20D21" w:rsidRPr="00C50A6E">
        <w:rPr>
          <w:sz w:val="24"/>
          <w:szCs w:val="24"/>
        </w:rPr>
        <w:t xml:space="preserve">se presenta </w:t>
      </w:r>
      <w:r w:rsidR="00A33DEB" w:rsidRPr="00C50A6E">
        <w:rPr>
          <w:sz w:val="24"/>
          <w:szCs w:val="24"/>
        </w:rPr>
        <w:t xml:space="preserve">un desplazamiento de la curva </w:t>
      </w:r>
      <w:r w:rsidR="004F113A" w:rsidRPr="00C50A6E">
        <w:rPr>
          <w:sz w:val="24"/>
          <w:szCs w:val="24"/>
        </w:rPr>
        <w:t xml:space="preserve">en colones </w:t>
      </w:r>
      <w:r w:rsidR="00801BFB" w:rsidRPr="00C50A6E">
        <w:rPr>
          <w:sz w:val="24"/>
          <w:szCs w:val="24"/>
        </w:rPr>
        <w:t xml:space="preserve">hacia </w:t>
      </w:r>
      <w:r w:rsidR="00AA7138" w:rsidRPr="00C50A6E">
        <w:rPr>
          <w:sz w:val="24"/>
          <w:szCs w:val="24"/>
        </w:rPr>
        <w:t>arriba</w:t>
      </w:r>
      <w:r w:rsidR="00E6455F" w:rsidRPr="00C50A6E">
        <w:rPr>
          <w:sz w:val="24"/>
          <w:szCs w:val="24"/>
        </w:rPr>
        <w:t xml:space="preserve"> provocando un efecto negativo</w:t>
      </w:r>
      <w:r w:rsidR="00964544" w:rsidRPr="00C50A6E">
        <w:rPr>
          <w:sz w:val="24"/>
          <w:szCs w:val="24"/>
        </w:rPr>
        <w:t>. Sin embargo,</w:t>
      </w:r>
      <w:r w:rsidR="00541CE5" w:rsidRPr="00C50A6E">
        <w:rPr>
          <w:sz w:val="24"/>
          <w:szCs w:val="24"/>
        </w:rPr>
        <w:t xml:space="preserve"> </w:t>
      </w:r>
      <w:r w:rsidR="005C0F80" w:rsidRPr="00C50A6E">
        <w:rPr>
          <w:sz w:val="24"/>
          <w:szCs w:val="24"/>
        </w:rPr>
        <w:t>el efecto total del trimestre para la</w:t>
      </w:r>
      <w:r w:rsidR="00541CE5" w:rsidRPr="00C50A6E">
        <w:rPr>
          <w:sz w:val="24"/>
          <w:szCs w:val="24"/>
        </w:rPr>
        <w:t>s</w:t>
      </w:r>
      <w:r w:rsidR="005C0F80" w:rsidRPr="00C50A6E">
        <w:rPr>
          <w:sz w:val="24"/>
          <w:szCs w:val="24"/>
        </w:rPr>
        <w:t xml:space="preserve"> inversi</w:t>
      </w:r>
      <w:r w:rsidR="00541CE5" w:rsidRPr="00C50A6E">
        <w:rPr>
          <w:sz w:val="24"/>
          <w:szCs w:val="24"/>
        </w:rPr>
        <w:t>o</w:t>
      </w:r>
      <w:r w:rsidR="005C0F80" w:rsidRPr="00C50A6E">
        <w:rPr>
          <w:sz w:val="24"/>
          <w:szCs w:val="24"/>
        </w:rPr>
        <w:t>n</w:t>
      </w:r>
      <w:r w:rsidR="00541CE5" w:rsidRPr="00C50A6E">
        <w:rPr>
          <w:sz w:val="24"/>
          <w:szCs w:val="24"/>
        </w:rPr>
        <w:t>es</w:t>
      </w:r>
      <w:r w:rsidR="005C0F80" w:rsidRPr="00C50A6E">
        <w:rPr>
          <w:sz w:val="24"/>
          <w:szCs w:val="24"/>
        </w:rPr>
        <w:t xml:space="preserve"> local</w:t>
      </w:r>
      <w:r w:rsidR="00964544" w:rsidRPr="00C50A6E">
        <w:rPr>
          <w:sz w:val="24"/>
          <w:szCs w:val="24"/>
        </w:rPr>
        <w:t>es</w:t>
      </w:r>
      <w:r w:rsidR="005C0F80" w:rsidRPr="00C50A6E">
        <w:rPr>
          <w:sz w:val="24"/>
          <w:szCs w:val="24"/>
        </w:rPr>
        <w:t xml:space="preserve"> de los portafolios de pensiones </w:t>
      </w:r>
      <w:r w:rsidR="00541CE5" w:rsidRPr="00C50A6E">
        <w:rPr>
          <w:sz w:val="24"/>
          <w:szCs w:val="24"/>
        </w:rPr>
        <w:t xml:space="preserve">depende de la composición </w:t>
      </w:r>
      <w:r w:rsidR="008A4B88" w:rsidRPr="00C50A6E">
        <w:rPr>
          <w:sz w:val="24"/>
          <w:szCs w:val="24"/>
        </w:rPr>
        <w:t xml:space="preserve">por plazo </w:t>
      </w:r>
      <w:r w:rsidR="00541CE5" w:rsidRPr="00C50A6E">
        <w:rPr>
          <w:sz w:val="24"/>
          <w:szCs w:val="24"/>
        </w:rPr>
        <w:t>de los portafolios</w:t>
      </w:r>
      <w:r w:rsidR="005C0F80" w:rsidRPr="00C50A6E">
        <w:rPr>
          <w:sz w:val="24"/>
          <w:szCs w:val="24"/>
        </w:rPr>
        <w:t>.</w:t>
      </w:r>
    </w:p>
    <w:p w14:paraId="02D84B99" w14:textId="77777777" w:rsidR="00780F08" w:rsidRPr="00C50A6E" w:rsidRDefault="00780F08" w:rsidP="00A8066D">
      <w:pPr>
        <w:spacing w:after="0" w:line="360" w:lineRule="auto"/>
        <w:jc w:val="both"/>
        <w:rPr>
          <w:sz w:val="24"/>
          <w:szCs w:val="24"/>
        </w:rPr>
      </w:pPr>
    </w:p>
    <w:p w14:paraId="238DF4CE" w14:textId="6F11262F" w:rsidR="002F6A07" w:rsidRPr="00C50A6E" w:rsidRDefault="00907B37" w:rsidP="00A8066D">
      <w:pPr>
        <w:spacing w:after="0" w:line="360" w:lineRule="auto"/>
        <w:jc w:val="both"/>
        <w:rPr>
          <w:sz w:val="24"/>
          <w:szCs w:val="24"/>
        </w:rPr>
      </w:pPr>
      <w:r w:rsidRPr="00C50A6E">
        <w:rPr>
          <w:sz w:val="24"/>
          <w:szCs w:val="24"/>
        </w:rPr>
        <w:t>Por otro lado,</w:t>
      </w:r>
      <w:r w:rsidR="005B3BA5" w:rsidRPr="00C50A6E">
        <w:rPr>
          <w:sz w:val="24"/>
          <w:szCs w:val="24"/>
        </w:rPr>
        <w:t xml:space="preserve"> </w:t>
      </w:r>
      <w:r w:rsidR="00A27B83" w:rsidRPr="00C50A6E">
        <w:rPr>
          <w:sz w:val="24"/>
          <w:szCs w:val="24"/>
        </w:rPr>
        <w:t>el</w:t>
      </w:r>
      <w:r w:rsidR="00780F08" w:rsidRPr="00C50A6E">
        <w:rPr>
          <w:sz w:val="24"/>
          <w:szCs w:val="24"/>
        </w:rPr>
        <w:t xml:space="preserve"> tipo de </w:t>
      </w:r>
      <w:r w:rsidR="00123F47" w:rsidRPr="00C50A6E">
        <w:rPr>
          <w:sz w:val="24"/>
          <w:szCs w:val="24"/>
        </w:rPr>
        <w:t>cambio</w:t>
      </w:r>
      <w:r w:rsidR="00780F08" w:rsidRPr="00C50A6E">
        <w:rPr>
          <w:sz w:val="24"/>
          <w:szCs w:val="24"/>
        </w:rPr>
        <w:t xml:space="preserve"> mostró fluctuaciones relevantes en este trimestre, oscilando su valor entre un mínimo de </w:t>
      </w:r>
      <w:r w:rsidR="00A827E4" w:rsidRPr="00C50A6E">
        <w:rPr>
          <w:rFonts w:eastAsia="Times New Roman" w:cs="Calibri"/>
          <w:color w:val="000000"/>
          <w:sz w:val="24"/>
          <w:szCs w:val="24"/>
          <w:lang w:val="es-CR"/>
        </w:rPr>
        <w:t>₡</w:t>
      </w:r>
      <w:r w:rsidR="00780F08" w:rsidRPr="00C50A6E">
        <w:rPr>
          <w:sz w:val="24"/>
          <w:szCs w:val="24"/>
        </w:rPr>
        <w:t>5</w:t>
      </w:r>
      <w:r w:rsidR="006E18AE" w:rsidRPr="00C50A6E">
        <w:rPr>
          <w:sz w:val="24"/>
          <w:szCs w:val="24"/>
        </w:rPr>
        <w:t>82,86</w:t>
      </w:r>
      <w:r w:rsidR="00780F08" w:rsidRPr="00C50A6E">
        <w:rPr>
          <w:sz w:val="24"/>
          <w:szCs w:val="24"/>
        </w:rPr>
        <w:t xml:space="preserve"> y un máximo de </w:t>
      </w:r>
      <w:r w:rsidR="00A827E4" w:rsidRPr="00C50A6E">
        <w:rPr>
          <w:rFonts w:eastAsia="Times New Roman" w:cs="Calibri"/>
          <w:color w:val="000000"/>
          <w:sz w:val="24"/>
          <w:szCs w:val="24"/>
          <w:lang w:val="es-CR"/>
        </w:rPr>
        <w:t>₡</w:t>
      </w:r>
      <w:r w:rsidR="006E18AE" w:rsidRPr="00C50A6E">
        <w:rPr>
          <w:sz w:val="24"/>
          <w:szCs w:val="24"/>
        </w:rPr>
        <w:t>606,68</w:t>
      </w:r>
      <w:r w:rsidR="00794D98" w:rsidRPr="00C50A6E">
        <w:rPr>
          <w:sz w:val="24"/>
          <w:szCs w:val="24"/>
        </w:rPr>
        <w:t>. L</w:t>
      </w:r>
      <w:r w:rsidR="00780F08" w:rsidRPr="00C50A6E">
        <w:rPr>
          <w:sz w:val="24"/>
          <w:szCs w:val="24"/>
        </w:rPr>
        <w:t xml:space="preserve">a tasa básica pasiva (TBP), su valor se mantuvo entre </w:t>
      </w:r>
      <w:r w:rsidR="0029732E" w:rsidRPr="00C50A6E">
        <w:rPr>
          <w:sz w:val="24"/>
          <w:szCs w:val="24"/>
        </w:rPr>
        <w:t>3</w:t>
      </w:r>
      <w:r w:rsidR="00780F08" w:rsidRPr="00C50A6E">
        <w:rPr>
          <w:sz w:val="24"/>
          <w:szCs w:val="24"/>
        </w:rPr>
        <w:t>,</w:t>
      </w:r>
      <w:r w:rsidR="0029732E" w:rsidRPr="00C50A6E">
        <w:rPr>
          <w:sz w:val="24"/>
          <w:szCs w:val="24"/>
        </w:rPr>
        <w:t>9</w:t>
      </w:r>
      <w:r w:rsidR="00780F08" w:rsidRPr="00C50A6E">
        <w:rPr>
          <w:sz w:val="24"/>
          <w:szCs w:val="24"/>
        </w:rPr>
        <w:t xml:space="preserve">5% (1° de </w:t>
      </w:r>
      <w:r w:rsidR="0029732E" w:rsidRPr="00C50A6E">
        <w:rPr>
          <w:sz w:val="24"/>
          <w:szCs w:val="24"/>
        </w:rPr>
        <w:t>julio</w:t>
      </w:r>
      <w:r w:rsidR="00780F08" w:rsidRPr="00C50A6E">
        <w:rPr>
          <w:sz w:val="24"/>
          <w:szCs w:val="24"/>
        </w:rPr>
        <w:t>) y 3,</w:t>
      </w:r>
      <w:r w:rsidR="002B6049" w:rsidRPr="00C50A6E">
        <w:rPr>
          <w:sz w:val="24"/>
          <w:szCs w:val="24"/>
        </w:rPr>
        <w:t>4</w:t>
      </w:r>
      <w:r w:rsidR="00780F08" w:rsidRPr="00C50A6E">
        <w:rPr>
          <w:sz w:val="24"/>
          <w:szCs w:val="24"/>
        </w:rPr>
        <w:t>5% (</w:t>
      </w:r>
      <w:r w:rsidR="002B6049" w:rsidRPr="00C50A6E">
        <w:rPr>
          <w:sz w:val="24"/>
          <w:szCs w:val="24"/>
        </w:rPr>
        <w:t>24 de setiembre)</w:t>
      </w:r>
      <w:r w:rsidR="00780F08" w:rsidRPr="00C50A6E">
        <w:rPr>
          <w:sz w:val="24"/>
          <w:szCs w:val="24"/>
        </w:rPr>
        <w:t xml:space="preserve"> cerrando el trimestre </w:t>
      </w:r>
      <w:r w:rsidR="00514E0B" w:rsidRPr="00C50A6E">
        <w:rPr>
          <w:sz w:val="24"/>
          <w:szCs w:val="24"/>
        </w:rPr>
        <w:t>con una tendencia sostenida hacia la baja en</w:t>
      </w:r>
      <w:r w:rsidR="00780F08" w:rsidRPr="00C50A6E">
        <w:rPr>
          <w:sz w:val="24"/>
          <w:szCs w:val="24"/>
        </w:rPr>
        <w:t xml:space="preserve"> 3</w:t>
      </w:r>
      <w:r w:rsidR="00794D98" w:rsidRPr="00C50A6E">
        <w:rPr>
          <w:sz w:val="24"/>
          <w:szCs w:val="24"/>
        </w:rPr>
        <w:t>,</w:t>
      </w:r>
      <w:r w:rsidR="005429FA" w:rsidRPr="00C50A6E">
        <w:rPr>
          <w:sz w:val="24"/>
          <w:szCs w:val="24"/>
        </w:rPr>
        <w:t>45</w:t>
      </w:r>
      <w:r w:rsidR="00780F08" w:rsidRPr="00C50A6E">
        <w:rPr>
          <w:sz w:val="24"/>
          <w:szCs w:val="24"/>
        </w:rPr>
        <w:t>%. La tasa de política monetaria (TPM)</w:t>
      </w:r>
      <w:r w:rsidR="00427F51" w:rsidRPr="00C50A6E">
        <w:rPr>
          <w:sz w:val="24"/>
          <w:szCs w:val="24"/>
        </w:rPr>
        <w:t xml:space="preserve"> se mantuvo sin variaciones durante el trimestre en </w:t>
      </w:r>
      <w:r w:rsidR="00780F08" w:rsidRPr="00C50A6E">
        <w:rPr>
          <w:sz w:val="24"/>
          <w:szCs w:val="24"/>
        </w:rPr>
        <w:t>0,75%</w:t>
      </w:r>
      <w:r w:rsidR="00427F51" w:rsidRPr="00C50A6E">
        <w:rPr>
          <w:sz w:val="24"/>
          <w:szCs w:val="24"/>
        </w:rPr>
        <w:t>.</w:t>
      </w:r>
    </w:p>
    <w:p w14:paraId="7FF2BB27" w14:textId="77777777" w:rsidR="00427F51" w:rsidRPr="00C50A6E" w:rsidRDefault="00427F51" w:rsidP="00A8066D">
      <w:pPr>
        <w:spacing w:after="0" w:line="360" w:lineRule="auto"/>
        <w:jc w:val="both"/>
        <w:rPr>
          <w:sz w:val="24"/>
          <w:szCs w:val="24"/>
        </w:rPr>
      </w:pPr>
    </w:p>
    <w:p w14:paraId="17F538B6" w14:textId="43B774BC" w:rsidR="002F6A07" w:rsidRPr="00C50A6E" w:rsidRDefault="002F6A07" w:rsidP="00A8066D">
      <w:pPr>
        <w:spacing w:after="0" w:line="360" w:lineRule="auto"/>
        <w:jc w:val="both"/>
        <w:rPr>
          <w:sz w:val="24"/>
          <w:szCs w:val="24"/>
        </w:rPr>
      </w:pPr>
      <w:r w:rsidRPr="00C50A6E">
        <w:rPr>
          <w:sz w:val="24"/>
          <w:szCs w:val="24"/>
        </w:rPr>
        <w:t>La combinación de la evolución de los mercados internacionales y del mercado local afect</w:t>
      </w:r>
      <w:r w:rsidR="00196EE3" w:rsidRPr="00C50A6E">
        <w:rPr>
          <w:sz w:val="24"/>
          <w:szCs w:val="24"/>
        </w:rPr>
        <w:t>ó</w:t>
      </w:r>
      <w:r w:rsidRPr="00C50A6E">
        <w:rPr>
          <w:sz w:val="24"/>
          <w:szCs w:val="24"/>
        </w:rPr>
        <w:t xml:space="preserve"> negativa</w:t>
      </w:r>
      <w:r w:rsidR="00196EE3" w:rsidRPr="00C50A6E">
        <w:rPr>
          <w:sz w:val="24"/>
          <w:szCs w:val="24"/>
        </w:rPr>
        <w:t xml:space="preserve"> o positivamente</w:t>
      </w:r>
      <w:r w:rsidRPr="00C50A6E">
        <w:rPr>
          <w:sz w:val="24"/>
          <w:szCs w:val="24"/>
        </w:rPr>
        <w:t xml:space="preserve"> la rentabilidad de los fondos administrados en este </w:t>
      </w:r>
      <w:r w:rsidR="00CE68D2" w:rsidRPr="00C50A6E">
        <w:rPr>
          <w:sz w:val="24"/>
          <w:szCs w:val="24"/>
        </w:rPr>
        <w:t>tercer</w:t>
      </w:r>
      <w:r w:rsidRPr="00C50A6E">
        <w:rPr>
          <w:sz w:val="24"/>
          <w:szCs w:val="24"/>
        </w:rPr>
        <w:t xml:space="preserve"> </w:t>
      </w:r>
      <w:r w:rsidR="00CE68D2" w:rsidRPr="00C50A6E">
        <w:rPr>
          <w:sz w:val="24"/>
          <w:szCs w:val="24"/>
        </w:rPr>
        <w:t>trim</w:t>
      </w:r>
      <w:r w:rsidRPr="00C50A6E">
        <w:rPr>
          <w:sz w:val="24"/>
          <w:szCs w:val="24"/>
        </w:rPr>
        <w:t xml:space="preserve">estre, </w:t>
      </w:r>
      <w:r w:rsidR="00757EBE" w:rsidRPr="00C50A6E">
        <w:rPr>
          <w:sz w:val="24"/>
          <w:szCs w:val="24"/>
        </w:rPr>
        <w:t xml:space="preserve">dependiendo de la </w:t>
      </w:r>
      <w:r w:rsidR="00AF2AAF" w:rsidRPr="00C50A6E">
        <w:rPr>
          <w:sz w:val="24"/>
          <w:szCs w:val="24"/>
        </w:rPr>
        <w:t xml:space="preserve">composición de los portafolios. </w:t>
      </w:r>
    </w:p>
    <w:p w14:paraId="358D6899" w14:textId="77777777" w:rsidR="00C61921" w:rsidRPr="00C50A6E" w:rsidRDefault="00C61921" w:rsidP="00A8066D">
      <w:pPr>
        <w:spacing w:after="0" w:line="360" w:lineRule="auto"/>
        <w:jc w:val="both"/>
        <w:rPr>
          <w:sz w:val="24"/>
          <w:szCs w:val="24"/>
        </w:rPr>
      </w:pPr>
    </w:p>
    <w:p w14:paraId="0CF27E31" w14:textId="560F62AD" w:rsidR="00BB6CB8" w:rsidRPr="00C50A6E" w:rsidRDefault="00BB6CB8" w:rsidP="00A8066D">
      <w:pPr>
        <w:spacing w:after="0" w:line="360" w:lineRule="auto"/>
        <w:jc w:val="both"/>
        <w:rPr>
          <w:sz w:val="24"/>
          <w:szCs w:val="24"/>
        </w:rPr>
      </w:pPr>
      <w:r w:rsidRPr="00C50A6E">
        <w:rPr>
          <w:sz w:val="24"/>
          <w:szCs w:val="24"/>
        </w:rPr>
        <w:t>Ahora bien, los fondos de pensiones son de largo plazo, por lo tanto, para un análisis prudencial debiéramos mirar indicadores de largo plazo porque los de corto plazo suelen ser muy volátiles.</w:t>
      </w:r>
      <w:r w:rsidR="00D142B9" w:rsidRPr="00C50A6E">
        <w:rPr>
          <w:sz w:val="24"/>
          <w:szCs w:val="24"/>
        </w:rPr>
        <w:t xml:space="preserve"> </w:t>
      </w:r>
      <w:r w:rsidRPr="00C50A6E">
        <w:rPr>
          <w:sz w:val="24"/>
          <w:szCs w:val="24"/>
        </w:rPr>
        <w:t>Por ejemplo, cuando observamos la rentabilidad histórica anualizada o la rentabilidad a 10 años</w:t>
      </w:r>
      <w:r w:rsidR="002B77C4" w:rsidRPr="00C50A6E">
        <w:rPr>
          <w:sz w:val="24"/>
          <w:szCs w:val="24"/>
        </w:rPr>
        <w:t xml:space="preserve">, </w:t>
      </w:r>
      <w:r w:rsidRPr="00C50A6E">
        <w:rPr>
          <w:sz w:val="24"/>
          <w:szCs w:val="24"/>
        </w:rPr>
        <w:t>indicadores de más largo plazo del ROP</w:t>
      </w:r>
      <w:r w:rsidR="00557F45" w:rsidRPr="00C50A6E">
        <w:rPr>
          <w:sz w:val="24"/>
          <w:szCs w:val="24"/>
        </w:rPr>
        <w:t>,</w:t>
      </w:r>
      <w:r w:rsidRPr="00C50A6E">
        <w:rPr>
          <w:sz w:val="24"/>
          <w:szCs w:val="24"/>
        </w:rPr>
        <w:t xml:space="preserve"> podemos ver que la tendencia en todas las Operadoras de Pensiones es más estable.</w:t>
      </w:r>
    </w:p>
    <w:p w14:paraId="4DDFD1A7" w14:textId="77777777" w:rsidR="00BB6CB8" w:rsidRPr="00C50A6E" w:rsidRDefault="00BB6CB8" w:rsidP="00A8066D">
      <w:pPr>
        <w:spacing w:after="0" w:line="360" w:lineRule="auto"/>
        <w:jc w:val="both"/>
        <w:rPr>
          <w:sz w:val="24"/>
          <w:szCs w:val="24"/>
        </w:rPr>
      </w:pPr>
    </w:p>
    <w:p w14:paraId="48AFA1D9" w14:textId="760339B2" w:rsidR="00526266" w:rsidRPr="00A8066D" w:rsidRDefault="00526266" w:rsidP="00A8066D">
      <w:pPr>
        <w:pStyle w:val="Descripcin"/>
        <w:spacing w:after="0" w:line="276" w:lineRule="auto"/>
        <w:jc w:val="center"/>
        <w:rPr>
          <w:sz w:val="24"/>
          <w:szCs w:val="24"/>
        </w:rPr>
      </w:pPr>
      <w:r w:rsidRPr="00A8066D">
        <w:rPr>
          <w:sz w:val="24"/>
          <w:szCs w:val="24"/>
        </w:rPr>
        <w:t xml:space="preserve">Gráfico </w:t>
      </w:r>
      <w:r w:rsidRPr="00A8066D">
        <w:rPr>
          <w:sz w:val="24"/>
          <w:szCs w:val="24"/>
        </w:rPr>
        <w:fldChar w:fldCharType="begin"/>
      </w:r>
      <w:r w:rsidRPr="00A8066D">
        <w:rPr>
          <w:sz w:val="24"/>
          <w:szCs w:val="24"/>
        </w:rPr>
        <w:instrText xml:space="preserve"> SEQ Gráfico \* ARABIC </w:instrText>
      </w:r>
      <w:r w:rsidRPr="00A8066D">
        <w:rPr>
          <w:sz w:val="24"/>
          <w:szCs w:val="24"/>
        </w:rPr>
        <w:fldChar w:fldCharType="separate"/>
      </w:r>
      <w:r w:rsidR="00E620DA" w:rsidRPr="00A8066D">
        <w:rPr>
          <w:noProof/>
          <w:sz w:val="24"/>
          <w:szCs w:val="24"/>
        </w:rPr>
        <w:t>3</w:t>
      </w:r>
      <w:r w:rsidRPr="00A8066D">
        <w:rPr>
          <w:sz w:val="24"/>
          <w:szCs w:val="24"/>
        </w:rPr>
        <w:fldChar w:fldCharType="end"/>
      </w:r>
      <w:r w:rsidR="00740F3F" w:rsidRPr="00A8066D">
        <w:rPr>
          <w:sz w:val="24"/>
          <w:szCs w:val="24"/>
        </w:rPr>
        <w:t xml:space="preserve">: </w:t>
      </w:r>
      <w:r w:rsidRPr="00A8066D">
        <w:rPr>
          <w:sz w:val="24"/>
          <w:szCs w:val="24"/>
        </w:rPr>
        <w:t xml:space="preserve">Rentabilidad </w:t>
      </w:r>
    </w:p>
    <w:p w14:paraId="14E0DE12" w14:textId="77777777" w:rsidR="00526266" w:rsidRPr="00A8066D" w:rsidRDefault="00DC1517" w:rsidP="00A8066D">
      <w:pPr>
        <w:pStyle w:val="Descripcin"/>
        <w:spacing w:after="0" w:line="276" w:lineRule="auto"/>
        <w:jc w:val="center"/>
        <w:rPr>
          <w:sz w:val="24"/>
          <w:szCs w:val="24"/>
        </w:rPr>
      </w:pPr>
      <w:r w:rsidRPr="00A8066D">
        <w:rPr>
          <w:sz w:val="24"/>
          <w:szCs w:val="24"/>
        </w:rPr>
        <w:t>Régimen Obligatorio de Pensiones Complementario</w:t>
      </w:r>
    </w:p>
    <w:p w14:paraId="11B42305" w14:textId="37CAC060" w:rsidR="006E17A3" w:rsidRPr="00A8066D" w:rsidRDefault="00DC1517" w:rsidP="00A8066D">
      <w:pPr>
        <w:pStyle w:val="Descripcin"/>
        <w:spacing w:after="0" w:line="276" w:lineRule="auto"/>
        <w:jc w:val="center"/>
        <w:rPr>
          <w:sz w:val="24"/>
          <w:szCs w:val="24"/>
        </w:rPr>
      </w:pPr>
      <w:r w:rsidRPr="00A8066D">
        <w:rPr>
          <w:sz w:val="24"/>
          <w:szCs w:val="24"/>
        </w:rPr>
        <w:t xml:space="preserve">De enero a </w:t>
      </w:r>
      <w:r w:rsidR="00B828DC" w:rsidRPr="00A8066D">
        <w:rPr>
          <w:sz w:val="24"/>
          <w:szCs w:val="24"/>
        </w:rPr>
        <w:t xml:space="preserve">setiembre </w:t>
      </w:r>
      <w:r w:rsidRPr="00A8066D">
        <w:rPr>
          <w:sz w:val="24"/>
          <w:szCs w:val="24"/>
        </w:rPr>
        <w:t>2020</w:t>
      </w:r>
    </w:p>
    <w:p w14:paraId="6EFC66B3" w14:textId="77B1348A" w:rsidR="00FB7DE0" w:rsidRDefault="00F63CCC" w:rsidP="00B828DC">
      <w:pPr>
        <w:spacing w:after="0" w:line="240" w:lineRule="auto"/>
        <w:ind w:left="-567"/>
        <w:jc w:val="center"/>
      </w:pPr>
      <w:r>
        <w:rPr>
          <w:noProof/>
        </w:rPr>
        <w:drawing>
          <wp:inline distT="0" distB="0" distL="0" distR="0" wp14:anchorId="70861E7E" wp14:editId="50D7B9C8">
            <wp:extent cx="7651750" cy="2508771"/>
            <wp:effectExtent l="0" t="0" r="6350" b="6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7">
                      <a:extLst>
                        <a:ext uri="{28A0092B-C50C-407E-A947-70E740481C1C}">
                          <a14:useLocalDpi xmlns:a14="http://schemas.microsoft.com/office/drawing/2010/main" val="0"/>
                        </a:ext>
                      </a:extLst>
                    </a:blip>
                    <a:stretch>
                      <a:fillRect/>
                    </a:stretch>
                  </pic:blipFill>
                  <pic:spPr>
                    <a:xfrm>
                      <a:off x="0" y="0"/>
                      <a:ext cx="7717906" cy="2530462"/>
                    </a:xfrm>
                    <a:prstGeom prst="rect">
                      <a:avLst/>
                    </a:prstGeom>
                  </pic:spPr>
                </pic:pic>
              </a:graphicData>
            </a:graphic>
          </wp:inline>
        </w:drawing>
      </w:r>
    </w:p>
    <w:p w14:paraId="358D4C30" w14:textId="168162B3" w:rsidR="003B662D" w:rsidRPr="003B662D" w:rsidRDefault="002E4F29" w:rsidP="004A6008">
      <w:pPr>
        <w:pStyle w:val="Descripcin"/>
        <w:tabs>
          <w:tab w:val="left" w:pos="2490"/>
        </w:tabs>
        <w:spacing w:after="0"/>
      </w:pPr>
      <w:r>
        <w:t>Fuente: Elaboración propia</w:t>
      </w:r>
    </w:p>
    <w:p w14:paraId="65A899A8" w14:textId="77777777" w:rsidR="004D0DCE" w:rsidRDefault="004D0DCE" w:rsidP="004D0DCE">
      <w:pPr>
        <w:pStyle w:val="Ttulo2"/>
        <w:jc w:val="center"/>
        <w:rPr>
          <w:i/>
          <w:iCs/>
        </w:rPr>
      </w:pPr>
      <w:bookmarkStart w:id="17" w:name="_Toc64039049"/>
      <w:bookmarkStart w:id="18" w:name="_Toc64039568"/>
      <w:r w:rsidRPr="001F521E">
        <w:rPr>
          <w:i/>
          <w:iCs/>
        </w:rPr>
        <w:t>Eurobonos de Costa Rica</w:t>
      </w:r>
      <w:bookmarkEnd w:id="17"/>
      <w:bookmarkEnd w:id="18"/>
    </w:p>
    <w:p w14:paraId="5966293B" w14:textId="1CBD6EF1" w:rsidR="00357176" w:rsidRDefault="00357176">
      <w:r>
        <w:rPr>
          <w:noProof/>
        </w:rPr>
        <mc:AlternateContent>
          <mc:Choice Requires="wps">
            <w:drawing>
              <wp:anchor distT="45720" distB="45720" distL="114300" distR="114300" simplePos="0" relativeHeight="251658243" behindDoc="0" locked="0" layoutInCell="1" allowOverlap="1" wp14:anchorId="6301AE5C" wp14:editId="0E423379">
                <wp:simplePos x="0" y="0"/>
                <wp:positionH relativeFrom="column">
                  <wp:posOffset>-99060</wp:posOffset>
                </wp:positionH>
                <wp:positionV relativeFrom="paragraph">
                  <wp:posOffset>50165</wp:posOffset>
                </wp:positionV>
                <wp:extent cx="7804150" cy="5226050"/>
                <wp:effectExtent l="0" t="0" r="25400"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0" cy="5226050"/>
                        </a:xfrm>
                        <a:prstGeom prst="rect">
                          <a:avLst/>
                        </a:prstGeom>
                        <a:solidFill>
                          <a:schemeClr val="accent1">
                            <a:lumMod val="20000"/>
                            <a:lumOff val="80000"/>
                          </a:schemeClr>
                        </a:solidFill>
                        <a:ln w="9525">
                          <a:solidFill>
                            <a:srgbClr val="000000"/>
                          </a:solidFill>
                          <a:miter lim="800000"/>
                          <a:headEnd/>
                          <a:tailEnd/>
                        </a:ln>
                      </wps:spPr>
                      <wps:txbx>
                        <w:txbxContent>
                          <w:p w14:paraId="21B5AD43" w14:textId="20F5D049" w:rsidR="00C50A6E" w:rsidRDefault="00C50A6E" w:rsidP="00A8066D">
                            <w:pPr>
                              <w:autoSpaceDE w:val="0"/>
                              <w:autoSpaceDN w:val="0"/>
                              <w:adjustRightInd w:val="0"/>
                              <w:spacing w:after="0" w:line="240" w:lineRule="auto"/>
                              <w:jc w:val="both"/>
                              <w:rPr>
                                <w:rFonts w:cstheme="minorHAnsi"/>
                                <w:i/>
                                <w:iCs/>
                                <w:sz w:val="20"/>
                                <w:szCs w:val="20"/>
                              </w:rPr>
                            </w:pPr>
                            <w:r w:rsidRPr="00357176">
                              <w:rPr>
                                <w:rFonts w:cstheme="minorHAnsi"/>
                                <w:i/>
                                <w:iCs/>
                                <w:sz w:val="20"/>
                                <w:szCs w:val="20"/>
                              </w:rPr>
                              <w:t>Producto del COVID-19, durante marzo</w:t>
                            </w:r>
                            <w:r>
                              <w:rPr>
                                <w:rFonts w:cstheme="minorHAnsi"/>
                                <w:i/>
                                <w:iCs/>
                                <w:sz w:val="20"/>
                                <w:szCs w:val="20"/>
                              </w:rPr>
                              <w:t xml:space="preserve"> y</w:t>
                            </w:r>
                            <w:r w:rsidRPr="00357176">
                              <w:rPr>
                                <w:rFonts w:cstheme="minorHAnsi"/>
                                <w:i/>
                                <w:iCs/>
                                <w:sz w:val="20"/>
                                <w:szCs w:val="20"/>
                              </w:rPr>
                              <w:t xml:space="preserve"> abril del año en curso, los bonos de deuda externa costarricense presentaron volatilidad con tendencia a la baja, pero de mayo a setiembre </w:t>
                            </w:r>
                            <w:r>
                              <w:rPr>
                                <w:rFonts w:cstheme="minorHAnsi"/>
                                <w:i/>
                                <w:iCs/>
                                <w:sz w:val="20"/>
                                <w:szCs w:val="20"/>
                              </w:rPr>
                              <w:t xml:space="preserve">se </w:t>
                            </w:r>
                            <w:r w:rsidRPr="00357176">
                              <w:rPr>
                                <w:rFonts w:cstheme="minorHAnsi"/>
                                <w:i/>
                                <w:iCs/>
                                <w:sz w:val="20"/>
                                <w:szCs w:val="20"/>
                              </w:rPr>
                              <w:t xml:space="preserve">han </w:t>
                            </w:r>
                            <w:r>
                              <w:rPr>
                                <w:rFonts w:cstheme="minorHAnsi"/>
                                <w:i/>
                                <w:iCs/>
                                <w:sz w:val="20"/>
                                <w:szCs w:val="20"/>
                              </w:rPr>
                              <w:t xml:space="preserve">recuperado de forma </w:t>
                            </w:r>
                            <w:r w:rsidRPr="00357176">
                              <w:rPr>
                                <w:rFonts w:cstheme="minorHAnsi"/>
                                <w:i/>
                                <w:iCs/>
                                <w:sz w:val="20"/>
                                <w:szCs w:val="20"/>
                              </w:rPr>
                              <w:t>constante. Sin embargo, durante los primeros días de octubre, después de que el presidente Carlos Alvarado anunciara que iba a retirar el proyecto de propuesta para un programa con el FMI y promovería un diálogo nacional antes de presentar un nuevo plan</w:t>
                            </w:r>
                            <w:r>
                              <w:rPr>
                                <w:rFonts w:cstheme="minorHAnsi"/>
                                <w:i/>
                                <w:iCs/>
                                <w:sz w:val="20"/>
                                <w:szCs w:val="20"/>
                              </w:rPr>
                              <w:t>;</w:t>
                            </w:r>
                            <w:r w:rsidRPr="00357176">
                              <w:rPr>
                                <w:rFonts w:cstheme="minorHAnsi"/>
                                <w:i/>
                                <w:iCs/>
                                <w:sz w:val="20"/>
                                <w:szCs w:val="20"/>
                              </w:rPr>
                              <w:t xml:space="preserve"> los bonos de deuda externa presentaron una caída</w:t>
                            </w:r>
                            <w:r>
                              <w:rPr>
                                <w:rFonts w:cstheme="minorHAnsi"/>
                                <w:i/>
                                <w:iCs/>
                                <w:sz w:val="20"/>
                                <w:szCs w:val="20"/>
                              </w:rPr>
                              <w:t xml:space="preserve"> importante</w:t>
                            </w:r>
                            <w:r w:rsidRPr="00357176">
                              <w:rPr>
                                <w:rFonts w:cstheme="minorHAnsi"/>
                                <w:i/>
                                <w:iCs/>
                                <w:sz w:val="20"/>
                                <w:szCs w:val="20"/>
                              </w:rPr>
                              <w:t xml:space="preserve"> en </w:t>
                            </w:r>
                            <w:r>
                              <w:rPr>
                                <w:rFonts w:cstheme="minorHAnsi"/>
                                <w:i/>
                                <w:iCs/>
                                <w:sz w:val="20"/>
                                <w:szCs w:val="20"/>
                              </w:rPr>
                              <w:t xml:space="preserve">el </w:t>
                            </w:r>
                            <w:r w:rsidRPr="00357176">
                              <w:rPr>
                                <w:rFonts w:cstheme="minorHAnsi"/>
                                <w:i/>
                                <w:iCs/>
                                <w:sz w:val="20"/>
                                <w:szCs w:val="20"/>
                              </w:rPr>
                              <w:t xml:space="preserve">precio de entre el 6% y el 17% (a mayor plazo al vencimiento mayor es la caída), </w:t>
                            </w:r>
                            <w:r>
                              <w:rPr>
                                <w:rFonts w:cstheme="minorHAnsi"/>
                                <w:i/>
                                <w:iCs/>
                                <w:sz w:val="20"/>
                                <w:szCs w:val="20"/>
                              </w:rPr>
                              <w:t xml:space="preserve">y aunque </w:t>
                            </w:r>
                            <w:r w:rsidRPr="00357176">
                              <w:rPr>
                                <w:rFonts w:cstheme="minorHAnsi"/>
                                <w:i/>
                                <w:iCs/>
                                <w:sz w:val="20"/>
                                <w:szCs w:val="20"/>
                              </w:rPr>
                              <w:t>durante la siguiente semana se presentó un incremento</w:t>
                            </w:r>
                            <w:r>
                              <w:rPr>
                                <w:rFonts w:cstheme="minorHAnsi"/>
                                <w:i/>
                                <w:iCs/>
                                <w:sz w:val="20"/>
                                <w:szCs w:val="20"/>
                              </w:rPr>
                              <w:t xml:space="preserve"> </w:t>
                            </w:r>
                            <w:r w:rsidRPr="00357176">
                              <w:rPr>
                                <w:rFonts w:cstheme="minorHAnsi"/>
                                <w:i/>
                                <w:iCs/>
                                <w:sz w:val="20"/>
                                <w:szCs w:val="20"/>
                              </w:rPr>
                              <w:t>los últimos tres días del mes de octubre</w:t>
                            </w:r>
                            <w:r>
                              <w:rPr>
                                <w:rFonts w:cstheme="minorHAnsi"/>
                                <w:i/>
                                <w:iCs/>
                                <w:sz w:val="20"/>
                                <w:szCs w:val="20"/>
                              </w:rPr>
                              <w:t xml:space="preserve"> </w:t>
                            </w:r>
                            <w:r w:rsidRPr="00357176">
                              <w:rPr>
                                <w:rFonts w:cstheme="minorHAnsi"/>
                                <w:i/>
                                <w:iCs/>
                                <w:sz w:val="20"/>
                                <w:szCs w:val="20"/>
                              </w:rPr>
                              <w:t>v</w:t>
                            </w:r>
                            <w:r>
                              <w:rPr>
                                <w:rFonts w:cstheme="minorHAnsi"/>
                                <w:i/>
                                <w:iCs/>
                                <w:sz w:val="20"/>
                                <w:szCs w:val="20"/>
                              </w:rPr>
                              <w:t>olvieron</w:t>
                            </w:r>
                            <w:r w:rsidRPr="00357176">
                              <w:rPr>
                                <w:rFonts w:cstheme="minorHAnsi"/>
                                <w:i/>
                                <w:iCs/>
                                <w:sz w:val="20"/>
                                <w:szCs w:val="20"/>
                              </w:rPr>
                              <w:t xml:space="preserve"> a sufrir una caída </w:t>
                            </w:r>
                            <w:r>
                              <w:rPr>
                                <w:rFonts w:cstheme="minorHAnsi"/>
                                <w:i/>
                                <w:iCs/>
                                <w:sz w:val="20"/>
                                <w:szCs w:val="20"/>
                              </w:rPr>
                              <w:t>significativa.</w:t>
                            </w:r>
                          </w:p>
                          <w:p w14:paraId="313BAD67" w14:textId="59782494" w:rsidR="00C50A6E" w:rsidRDefault="00C50A6E" w:rsidP="00A8066D">
                            <w:pPr>
                              <w:autoSpaceDE w:val="0"/>
                              <w:autoSpaceDN w:val="0"/>
                              <w:adjustRightInd w:val="0"/>
                              <w:spacing w:after="0" w:line="240" w:lineRule="auto"/>
                              <w:jc w:val="center"/>
                              <w:rPr>
                                <w:rFonts w:cstheme="minorHAnsi"/>
                                <w:i/>
                                <w:iCs/>
                                <w:sz w:val="20"/>
                                <w:szCs w:val="20"/>
                              </w:rPr>
                            </w:pPr>
                          </w:p>
                          <w:p w14:paraId="6FBC3AB7" w14:textId="5E15FAD8" w:rsidR="00C50A6E" w:rsidRPr="00A713E4" w:rsidRDefault="00C50A6E" w:rsidP="00A8066D">
                            <w:pPr>
                              <w:spacing w:after="0" w:line="240" w:lineRule="auto"/>
                              <w:jc w:val="center"/>
                              <w:rPr>
                                <w:rFonts w:cstheme="minorHAnsi"/>
                                <w:i/>
                                <w:iCs/>
                                <w:color w:val="365F91" w:themeColor="accent1" w:themeShade="BF"/>
                                <w:sz w:val="20"/>
                                <w:szCs w:val="20"/>
                              </w:rPr>
                            </w:pPr>
                            <w:r w:rsidRPr="00096F4F">
                              <w:rPr>
                                <w:rFonts w:cstheme="minorHAnsi"/>
                                <w:i/>
                                <w:iCs/>
                                <w:color w:val="365F91" w:themeColor="accent1" w:themeShade="BF"/>
                                <w:sz w:val="20"/>
                                <w:szCs w:val="20"/>
                              </w:rPr>
                              <w:t xml:space="preserve">Gráfico </w:t>
                            </w:r>
                            <w:r w:rsidRPr="00096F4F">
                              <w:rPr>
                                <w:rFonts w:cstheme="minorHAnsi"/>
                                <w:i/>
                                <w:iCs/>
                                <w:color w:val="365F91" w:themeColor="accent1" w:themeShade="BF"/>
                                <w:sz w:val="20"/>
                                <w:szCs w:val="20"/>
                              </w:rPr>
                              <w:fldChar w:fldCharType="begin"/>
                            </w:r>
                            <w:r w:rsidRPr="00096F4F">
                              <w:rPr>
                                <w:rFonts w:cstheme="minorHAnsi"/>
                                <w:i/>
                                <w:iCs/>
                                <w:color w:val="365F91" w:themeColor="accent1" w:themeShade="BF"/>
                                <w:sz w:val="20"/>
                                <w:szCs w:val="20"/>
                              </w:rPr>
                              <w:instrText xml:space="preserve"> SEQ Gráfico \* ARABIC </w:instrText>
                            </w:r>
                            <w:r w:rsidRPr="00096F4F">
                              <w:rPr>
                                <w:rFonts w:cstheme="minorHAnsi"/>
                                <w:i/>
                                <w:iCs/>
                                <w:color w:val="365F91" w:themeColor="accent1" w:themeShade="BF"/>
                                <w:sz w:val="20"/>
                                <w:szCs w:val="20"/>
                              </w:rPr>
                              <w:fldChar w:fldCharType="separate"/>
                            </w:r>
                            <w:r>
                              <w:rPr>
                                <w:rFonts w:cstheme="minorHAnsi"/>
                                <w:i/>
                                <w:iCs/>
                                <w:noProof/>
                                <w:color w:val="365F91" w:themeColor="accent1" w:themeShade="BF"/>
                                <w:sz w:val="20"/>
                                <w:szCs w:val="20"/>
                              </w:rPr>
                              <w:t>4</w:t>
                            </w:r>
                            <w:r w:rsidRPr="00096F4F">
                              <w:rPr>
                                <w:rFonts w:cstheme="minorHAnsi"/>
                                <w:i/>
                                <w:iCs/>
                                <w:color w:val="365F91" w:themeColor="accent1" w:themeShade="BF"/>
                                <w:sz w:val="20"/>
                                <w:szCs w:val="20"/>
                              </w:rPr>
                              <w:fldChar w:fldCharType="end"/>
                            </w:r>
                            <w:r w:rsidRPr="00096F4F">
                              <w:rPr>
                                <w:rFonts w:cstheme="minorHAnsi"/>
                                <w:i/>
                                <w:iCs/>
                                <w:color w:val="365F91" w:themeColor="accent1" w:themeShade="BF"/>
                                <w:sz w:val="20"/>
                                <w:szCs w:val="20"/>
                              </w:rPr>
                              <w:t xml:space="preserve">: </w:t>
                            </w:r>
                            <w:r w:rsidRPr="00A713E4">
                              <w:rPr>
                                <w:rFonts w:cstheme="minorHAnsi"/>
                                <w:i/>
                                <w:iCs/>
                                <w:color w:val="365F91" w:themeColor="accent1" w:themeShade="BF"/>
                                <w:sz w:val="20"/>
                                <w:szCs w:val="20"/>
                              </w:rPr>
                              <w:t>Evolución del precio (px_last</w:t>
                            </w:r>
                            <w:r>
                              <w:rPr>
                                <w:rFonts w:cstheme="minorHAnsi"/>
                                <w:i/>
                                <w:iCs/>
                                <w:color w:val="365F91" w:themeColor="accent1" w:themeShade="BF"/>
                                <w:sz w:val="20"/>
                                <w:szCs w:val="20"/>
                              </w:rPr>
                              <w:t xml:space="preserve"> de Bloomberg</w:t>
                            </w:r>
                            <w:r w:rsidRPr="00A713E4">
                              <w:rPr>
                                <w:rFonts w:cstheme="minorHAnsi"/>
                                <w:i/>
                                <w:iCs/>
                                <w:color w:val="365F91" w:themeColor="accent1" w:themeShade="BF"/>
                                <w:sz w:val="20"/>
                                <w:szCs w:val="20"/>
                              </w:rPr>
                              <w:t>)</w:t>
                            </w:r>
                          </w:p>
                          <w:p w14:paraId="23256C2D" w14:textId="77777777" w:rsidR="00C50A6E" w:rsidRPr="00A713E4" w:rsidRDefault="00C50A6E" w:rsidP="00A8066D">
                            <w:pPr>
                              <w:spacing w:after="0" w:line="240" w:lineRule="auto"/>
                              <w:jc w:val="center"/>
                              <w:rPr>
                                <w:rFonts w:cstheme="minorHAnsi"/>
                                <w:i/>
                                <w:iCs/>
                                <w:color w:val="365F91" w:themeColor="accent1" w:themeShade="BF"/>
                                <w:sz w:val="20"/>
                                <w:szCs w:val="20"/>
                              </w:rPr>
                            </w:pPr>
                            <w:r w:rsidRPr="00A713E4">
                              <w:rPr>
                                <w:rFonts w:cstheme="minorHAnsi"/>
                                <w:i/>
                                <w:iCs/>
                                <w:color w:val="365F91" w:themeColor="accent1" w:themeShade="BF"/>
                                <w:sz w:val="20"/>
                                <w:szCs w:val="20"/>
                              </w:rPr>
                              <w:t>Deuda externa de Costa Rica</w:t>
                            </w:r>
                          </w:p>
                          <w:p w14:paraId="51C4A713" w14:textId="6DB3D130" w:rsidR="00C50A6E" w:rsidRPr="00A713E4" w:rsidRDefault="00C50A6E" w:rsidP="00A8066D">
                            <w:pPr>
                              <w:spacing w:after="0" w:line="240" w:lineRule="auto"/>
                              <w:jc w:val="center"/>
                              <w:rPr>
                                <w:rFonts w:cstheme="minorHAnsi"/>
                                <w:i/>
                                <w:iCs/>
                                <w:color w:val="365F91" w:themeColor="accent1" w:themeShade="BF"/>
                                <w:sz w:val="20"/>
                                <w:szCs w:val="20"/>
                              </w:rPr>
                            </w:pPr>
                            <w:r w:rsidRPr="00A713E4">
                              <w:rPr>
                                <w:rFonts w:cstheme="minorHAnsi"/>
                                <w:i/>
                                <w:iCs/>
                                <w:color w:val="365F91" w:themeColor="accent1" w:themeShade="BF"/>
                                <w:sz w:val="20"/>
                                <w:szCs w:val="20"/>
                              </w:rPr>
                              <w:t>Durante enero 2019 - octubre 2020</w:t>
                            </w:r>
                          </w:p>
                          <w:p w14:paraId="0C507C4C" w14:textId="32AB09F9" w:rsidR="00C50A6E" w:rsidRDefault="00C50A6E" w:rsidP="00A8066D">
                            <w:pPr>
                              <w:spacing w:after="0" w:line="240" w:lineRule="auto"/>
                              <w:jc w:val="center"/>
                              <w:rPr>
                                <w:noProof/>
                              </w:rPr>
                            </w:pPr>
                            <w:r w:rsidRPr="00BF6D95">
                              <w:rPr>
                                <w:noProof/>
                              </w:rPr>
                              <w:drawing>
                                <wp:inline distT="0" distB="0" distL="0" distR="0" wp14:anchorId="66AA5452" wp14:editId="34BAB80C">
                                  <wp:extent cx="5514975" cy="2834005"/>
                                  <wp:effectExtent l="0" t="0" r="9525" b="44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4975" cy="2834005"/>
                                          </a:xfrm>
                                          <a:prstGeom prst="rect">
                                            <a:avLst/>
                                          </a:prstGeom>
                                          <a:noFill/>
                                          <a:ln>
                                            <a:noFill/>
                                          </a:ln>
                                        </pic:spPr>
                                      </pic:pic>
                                    </a:graphicData>
                                  </a:graphic>
                                </wp:inline>
                              </w:drawing>
                            </w:r>
                          </w:p>
                          <w:p w14:paraId="41848F14" w14:textId="70909334" w:rsidR="00C50A6E" w:rsidRPr="00C27963" w:rsidRDefault="00C50A6E" w:rsidP="00A8066D">
                            <w:pPr>
                              <w:spacing w:after="0" w:line="240" w:lineRule="auto"/>
                              <w:jc w:val="center"/>
                              <w:rPr>
                                <w:rFonts w:cstheme="minorHAnsi"/>
                                <w:i/>
                                <w:iCs/>
                                <w:color w:val="365F91" w:themeColor="accent1" w:themeShade="BF"/>
                                <w:sz w:val="20"/>
                                <w:szCs w:val="20"/>
                              </w:rPr>
                            </w:pPr>
                            <w:r w:rsidRPr="00C27963">
                              <w:rPr>
                                <w:rFonts w:cstheme="minorHAnsi"/>
                                <w:i/>
                                <w:iCs/>
                                <w:color w:val="365F91" w:themeColor="accent1" w:themeShade="BF"/>
                                <w:sz w:val="20"/>
                                <w:szCs w:val="20"/>
                              </w:rPr>
                              <w:t>Fuente: Bloomberg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01AE5C" id="_x0000_t202" coordsize="21600,21600" o:spt="202" path="m,l,21600r21600,l21600,xe">
                <v:stroke joinstyle="miter"/>
                <v:path gradientshapeok="t" o:connecttype="rect"/>
              </v:shapetype>
              <v:shape id="Cuadro de texto 2" o:spid="_x0000_s1027" type="#_x0000_t202" style="position:absolute;margin-left:-7.8pt;margin-top:3.95pt;width:614.5pt;height:411.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" fillcolor="#dbe5f1 [660]">
                <v:textbox>
                  <w:txbxContent>
                    <w:p w14:paraId="21B5AD43" w14:textId="20F5D049" w:rsidR="00C50A6E" w:rsidRDefault="00C50A6E" w:rsidP="00A8066D">
                      <w:pPr>
                        <w:autoSpaceDE w:val="0"/>
                        <w:autoSpaceDN w:val="0"/>
                        <w:adjustRightInd w:val="0"/>
                        <w:spacing w:after="0" w:line="240" w:lineRule="auto"/>
                        <w:jc w:val="both"/>
                        <w:rPr>
                          <w:rFonts w:cstheme="minorHAnsi"/>
                          <w:i/>
                          <w:iCs/>
                          <w:sz w:val="20"/>
                          <w:szCs w:val="20"/>
                        </w:rPr>
                      </w:pPr>
                      <w:r w:rsidRPr="00357176">
                        <w:rPr>
                          <w:rFonts w:cstheme="minorHAnsi"/>
                          <w:i/>
                          <w:iCs/>
                          <w:sz w:val="20"/>
                          <w:szCs w:val="20"/>
                        </w:rPr>
                        <w:t>Producto del COVID-19, durante marzo</w:t>
                      </w:r>
                      <w:r>
                        <w:rPr>
                          <w:rFonts w:cstheme="minorHAnsi"/>
                          <w:i/>
                          <w:iCs/>
                          <w:sz w:val="20"/>
                          <w:szCs w:val="20"/>
                        </w:rPr>
                        <w:t xml:space="preserve"> y</w:t>
                      </w:r>
                      <w:r w:rsidRPr="00357176">
                        <w:rPr>
                          <w:rFonts w:cstheme="minorHAnsi"/>
                          <w:i/>
                          <w:iCs/>
                          <w:sz w:val="20"/>
                          <w:szCs w:val="20"/>
                        </w:rPr>
                        <w:t xml:space="preserve"> abril del año en curso, los bonos de deuda externa costarricense presentaron volatilidad con tendencia a la baja, pero de mayo a setiembre </w:t>
                      </w:r>
                      <w:r>
                        <w:rPr>
                          <w:rFonts w:cstheme="minorHAnsi"/>
                          <w:i/>
                          <w:iCs/>
                          <w:sz w:val="20"/>
                          <w:szCs w:val="20"/>
                        </w:rPr>
                        <w:t xml:space="preserve">se </w:t>
                      </w:r>
                      <w:r w:rsidRPr="00357176">
                        <w:rPr>
                          <w:rFonts w:cstheme="minorHAnsi"/>
                          <w:i/>
                          <w:iCs/>
                          <w:sz w:val="20"/>
                          <w:szCs w:val="20"/>
                        </w:rPr>
                        <w:t xml:space="preserve">han </w:t>
                      </w:r>
                      <w:r>
                        <w:rPr>
                          <w:rFonts w:cstheme="minorHAnsi"/>
                          <w:i/>
                          <w:iCs/>
                          <w:sz w:val="20"/>
                          <w:szCs w:val="20"/>
                        </w:rPr>
                        <w:t xml:space="preserve">recuperado de forma </w:t>
                      </w:r>
                      <w:r w:rsidRPr="00357176">
                        <w:rPr>
                          <w:rFonts w:cstheme="minorHAnsi"/>
                          <w:i/>
                          <w:iCs/>
                          <w:sz w:val="20"/>
                          <w:szCs w:val="20"/>
                        </w:rPr>
                        <w:t>constante. Sin embargo, durante los primeros días de octubre, después de que el presidente Carlos Alvarado anunciara que iba a retirar el proyecto de propuesta para un programa con el FMI y promovería un diálogo nacional antes de presentar un nuevo plan</w:t>
                      </w:r>
                      <w:r>
                        <w:rPr>
                          <w:rFonts w:cstheme="minorHAnsi"/>
                          <w:i/>
                          <w:iCs/>
                          <w:sz w:val="20"/>
                          <w:szCs w:val="20"/>
                        </w:rPr>
                        <w:t>;</w:t>
                      </w:r>
                      <w:r w:rsidRPr="00357176">
                        <w:rPr>
                          <w:rFonts w:cstheme="minorHAnsi"/>
                          <w:i/>
                          <w:iCs/>
                          <w:sz w:val="20"/>
                          <w:szCs w:val="20"/>
                        </w:rPr>
                        <w:t xml:space="preserve"> los bonos de deuda externa presentaron una caída</w:t>
                      </w:r>
                      <w:r>
                        <w:rPr>
                          <w:rFonts w:cstheme="minorHAnsi"/>
                          <w:i/>
                          <w:iCs/>
                          <w:sz w:val="20"/>
                          <w:szCs w:val="20"/>
                        </w:rPr>
                        <w:t xml:space="preserve"> importante</w:t>
                      </w:r>
                      <w:r w:rsidRPr="00357176">
                        <w:rPr>
                          <w:rFonts w:cstheme="minorHAnsi"/>
                          <w:i/>
                          <w:iCs/>
                          <w:sz w:val="20"/>
                          <w:szCs w:val="20"/>
                        </w:rPr>
                        <w:t xml:space="preserve"> en </w:t>
                      </w:r>
                      <w:r>
                        <w:rPr>
                          <w:rFonts w:cstheme="minorHAnsi"/>
                          <w:i/>
                          <w:iCs/>
                          <w:sz w:val="20"/>
                          <w:szCs w:val="20"/>
                        </w:rPr>
                        <w:t xml:space="preserve">el </w:t>
                      </w:r>
                      <w:r w:rsidRPr="00357176">
                        <w:rPr>
                          <w:rFonts w:cstheme="minorHAnsi"/>
                          <w:i/>
                          <w:iCs/>
                          <w:sz w:val="20"/>
                          <w:szCs w:val="20"/>
                        </w:rPr>
                        <w:t xml:space="preserve">precio de entre el 6% y el 17% (a mayor plazo al vencimiento mayor es la caída), </w:t>
                      </w:r>
                      <w:r>
                        <w:rPr>
                          <w:rFonts w:cstheme="minorHAnsi"/>
                          <w:i/>
                          <w:iCs/>
                          <w:sz w:val="20"/>
                          <w:szCs w:val="20"/>
                        </w:rPr>
                        <w:t xml:space="preserve">y aunque </w:t>
                      </w:r>
                      <w:r w:rsidRPr="00357176">
                        <w:rPr>
                          <w:rFonts w:cstheme="minorHAnsi"/>
                          <w:i/>
                          <w:iCs/>
                          <w:sz w:val="20"/>
                          <w:szCs w:val="20"/>
                        </w:rPr>
                        <w:t>durante la siguiente semana se presentó un incremento</w:t>
                      </w:r>
                      <w:r>
                        <w:rPr>
                          <w:rFonts w:cstheme="minorHAnsi"/>
                          <w:i/>
                          <w:iCs/>
                          <w:sz w:val="20"/>
                          <w:szCs w:val="20"/>
                        </w:rPr>
                        <w:t xml:space="preserve"> </w:t>
                      </w:r>
                      <w:r w:rsidRPr="00357176">
                        <w:rPr>
                          <w:rFonts w:cstheme="minorHAnsi"/>
                          <w:i/>
                          <w:iCs/>
                          <w:sz w:val="20"/>
                          <w:szCs w:val="20"/>
                        </w:rPr>
                        <w:t>los últimos tres días del mes de octubre</w:t>
                      </w:r>
                      <w:r>
                        <w:rPr>
                          <w:rFonts w:cstheme="minorHAnsi"/>
                          <w:i/>
                          <w:iCs/>
                          <w:sz w:val="20"/>
                          <w:szCs w:val="20"/>
                        </w:rPr>
                        <w:t xml:space="preserve"> </w:t>
                      </w:r>
                      <w:r w:rsidRPr="00357176">
                        <w:rPr>
                          <w:rFonts w:cstheme="minorHAnsi"/>
                          <w:i/>
                          <w:iCs/>
                          <w:sz w:val="20"/>
                          <w:szCs w:val="20"/>
                        </w:rPr>
                        <w:t>v</w:t>
                      </w:r>
                      <w:r>
                        <w:rPr>
                          <w:rFonts w:cstheme="minorHAnsi"/>
                          <w:i/>
                          <w:iCs/>
                          <w:sz w:val="20"/>
                          <w:szCs w:val="20"/>
                        </w:rPr>
                        <w:t>olvieron</w:t>
                      </w:r>
                      <w:r w:rsidRPr="00357176">
                        <w:rPr>
                          <w:rFonts w:cstheme="minorHAnsi"/>
                          <w:i/>
                          <w:iCs/>
                          <w:sz w:val="20"/>
                          <w:szCs w:val="20"/>
                        </w:rPr>
                        <w:t xml:space="preserve"> a sufrir una caída </w:t>
                      </w:r>
                      <w:r>
                        <w:rPr>
                          <w:rFonts w:cstheme="minorHAnsi"/>
                          <w:i/>
                          <w:iCs/>
                          <w:sz w:val="20"/>
                          <w:szCs w:val="20"/>
                        </w:rPr>
                        <w:t>significativa.</w:t>
                      </w:r>
                    </w:p>
                    <w:p w14:paraId="313BAD67" w14:textId="59782494" w:rsidR="00C50A6E" w:rsidRDefault="00C50A6E" w:rsidP="00A8066D">
                      <w:pPr>
                        <w:autoSpaceDE w:val="0"/>
                        <w:autoSpaceDN w:val="0"/>
                        <w:adjustRightInd w:val="0"/>
                        <w:spacing w:after="0" w:line="240" w:lineRule="auto"/>
                        <w:jc w:val="center"/>
                        <w:rPr>
                          <w:rFonts w:cstheme="minorHAnsi"/>
                          <w:i/>
                          <w:iCs/>
                          <w:sz w:val="20"/>
                          <w:szCs w:val="20"/>
                        </w:rPr>
                      </w:pPr>
                    </w:p>
                    <w:p w14:paraId="6FBC3AB7" w14:textId="5E15FAD8" w:rsidR="00C50A6E" w:rsidRPr="00A713E4" w:rsidRDefault="00C50A6E" w:rsidP="00A8066D">
                      <w:pPr>
                        <w:spacing w:after="0" w:line="240" w:lineRule="auto"/>
                        <w:jc w:val="center"/>
                        <w:rPr>
                          <w:rFonts w:cstheme="minorHAnsi"/>
                          <w:i/>
                          <w:iCs/>
                          <w:color w:val="365F91" w:themeColor="accent1" w:themeShade="BF"/>
                          <w:sz w:val="20"/>
                          <w:szCs w:val="20"/>
                        </w:rPr>
                      </w:pPr>
                      <w:r w:rsidRPr="00096F4F">
                        <w:rPr>
                          <w:rFonts w:cstheme="minorHAnsi"/>
                          <w:i/>
                          <w:iCs/>
                          <w:color w:val="365F91" w:themeColor="accent1" w:themeShade="BF"/>
                          <w:sz w:val="20"/>
                          <w:szCs w:val="20"/>
                        </w:rPr>
                        <w:t xml:space="preserve">Gráfico </w:t>
                      </w:r>
                      <w:r w:rsidRPr="00096F4F">
                        <w:rPr>
                          <w:rFonts w:cstheme="minorHAnsi"/>
                          <w:i/>
                          <w:iCs/>
                          <w:color w:val="365F91" w:themeColor="accent1" w:themeShade="BF"/>
                          <w:sz w:val="20"/>
                          <w:szCs w:val="20"/>
                        </w:rPr>
                        <w:fldChar w:fldCharType="begin"/>
                      </w:r>
                      <w:r w:rsidRPr="00096F4F">
                        <w:rPr>
                          <w:rFonts w:cstheme="minorHAnsi"/>
                          <w:i/>
                          <w:iCs/>
                          <w:color w:val="365F91" w:themeColor="accent1" w:themeShade="BF"/>
                          <w:sz w:val="20"/>
                          <w:szCs w:val="20"/>
                        </w:rPr>
                        <w:instrText xml:space="preserve"> SEQ Gráfico \* ARABIC </w:instrText>
                      </w:r>
                      <w:r w:rsidRPr="00096F4F">
                        <w:rPr>
                          <w:rFonts w:cstheme="minorHAnsi"/>
                          <w:i/>
                          <w:iCs/>
                          <w:color w:val="365F91" w:themeColor="accent1" w:themeShade="BF"/>
                          <w:sz w:val="20"/>
                          <w:szCs w:val="20"/>
                        </w:rPr>
                        <w:fldChar w:fldCharType="separate"/>
                      </w:r>
                      <w:r>
                        <w:rPr>
                          <w:rFonts w:cstheme="minorHAnsi"/>
                          <w:i/>
                          <w:iCs/>
                          <w:noProof/>
                          <w:color w:val="365F91" w:themeColor="accent1" w:themeShade="BF"/>
                          <w:sz w:val="20"/>
                          <w:szCs w:val="20"/>
                        </w:rPr>
                        <w:t>4</w:t>
                      </w:r>
                      <w:r w:rsidRPr="00096F4F">
                        <w:rPr>
                          <w:rFonts w:cstheme="minorHAnsi"/>
                          <w:i/>
                          <w:iCs/>
                          <w:color w:val="365F91" w:themeColor="accent1" w:themeShade="BF"/>
                          <w:sz w:val="20"/>
                          <w:szCs w:val="20"/>
                        </w:rPr>
                        <w:fldChar w:fldCharType="end"/>
                      </w:r>
                      <w:r w:rsidRPr="00096F4F">
                        <w:rPr>
                          <w:rFonts w:cstheme="minorHAnsi"/>
                          <w:i/>
                          <w:iCs/>
                          <w:color w:val="365F91" w:themeColor="accent1" w:themeShade="BF"/>
                          <w:sz w:val="20"/>
                          <w:szCs w:val="20"/>
                        </w:rPr>
                        <w:t xml:space="preserve">: </w:t>
                      </w:r>
                      <w:r w:rsidRPr="00A713E4">
                        <w:rPr>
                          <w:rFonts w:cstheme="minorHAnsi"/>
                          <w:i/>
                          <w:iCs/>
                          <w:color w:val="365F91" w:themeColor="accent1" w:themeShade="BF"/>
                          <w:sz w:val="20"/>
                          <w:szCs w:val="20"/>
                        </w:rPr>
                        <w:t>Evolución del precio (px_last</w:t>
                      </w:r>
                      <w:r>
                        <w:rPr>
                          <w:rFonts w:cstheme="minorHAnsi"/>
                          <w:i/>
                          <w:iCs/>
                          <w:color w:val="365F91" w:themeColor="accent1" w:themeShade="BF"/>
                          <w:sz w:val="20"/>
                          <w:szCs w:val="20"/>
                        </w:rPr>
                        <w:t xml:space="preserve"> de Bloomberg</w:t>
                      </w:r>
                      <w:r w:rsidRPr="00A713E4">
                        <w:rPr>
                          <w:rFonts w:cstheme="minorHAnsi"/>
                          <w:i/>
                          <w:iCs/>
                          <w:color w:val="365F91" w:themeColor="accent1" w:themeShade="BF"/>
                          <w:sz w:val="20"/>
                          <w:szCs w:val="20"/>
                        </w:rPr>
                        <w:t>)</w:t>
                      </w:r>
                    </w:p>
                    <w:p w14:paraId="23256C2D" w14:textId="77777777" w:rsidR="00C50A6E" w:rsidRPr="00A713E4" w:rsidRDefault="00C50A6E" w:rsidP="00A8066D">
                      <w:pPr>
                        <w:spacing w:after="0" w:line="240" w:lineRule="auto"/>
                        <w:jc w:val="center"/>
                        <w:rPr>
                          <w:rFonts w:cstheme="minorHAnsi"/>
                          <w:i/>
                          <w:iCs/>
                          <w:color w:val="365F91" w:themeColor="accent1" w:themeShade="BF"/>
                          <w:sz w:val="20"/>
                          <w:szCs w:val="20"/>
                        </w:rPr>
                      </w:pPr>
                      <w:r w:rsidRPr="00A713E4">
                        <w:rPr>
                          <w:rFonts w:cstheme="minorHAnsi"/>
                          <w:i/>
                          <w:iCs/>
                          <w:color w:val="365F91" w:themeColor="accent1" w:themeShade="BF"/>
                          <w:sz w:val="20"/>
                          <w:szCs w:val="20"/>
                        </w:rPr>
                        <w:t>Deuda externa de Costa Rica</w:t>
                      </w:r>
                    </w:p>
                    <w:p w14:paraId="51C4A713" w14:textId="6DB3D130" w:rsidR="00C50A6E" w:rsidRPr="00A713E4" w:rsidRDefault="00C50A6E" w:rsidP="00A8066D">
                      <w:pPr>
                        <w:spacing w:after="0" w:line="240" w:lineRule="auto"/>
                        <w:jc w:val="center"/>
                        <w:rPr>
                          <w:rFonts w:cstheme="minorHAnsi"/>
                          <w:i/>
                          <w:iCs/>
                          <w:color w:val="365F91" w:themeColor="accent1" w:themeShade="BF"/>
                          <w:sz w:val="20"/>
                          <w:szCs w:val="20"/>
                        </w:rPr>
                      </w:pPr>
                      <w:r w:rsidRPr="00A713E4">
                        <w:rPr>
                          <w:rFonts w:cstheme="minorHAnsi"/>
                          <w:i/>
                          <w:iCs/>
                          <w:color w:val="365F91" w:themeColor="accent1" w:themeShade="BF"/>
                          <w:sz w:val="20"/>
                          <w:szCs w:val="20"/>
                        </w:rPr>
                        <w:t>Durante enero 2019 - octubre 2020</w:t>
                      </w:r>
                    </w:p>
                    <w:p w14:paraId="0C507C4C" w14:textId="32AB09F9" w:rsidR="00C50A6E" w:rsidRDefault="00C50A6E" w:rsidP="00A8066D">
                      <w:pPr>
                        <w:spacing w:after="0" w:line="240" w:lineRule="auto"/>
                        <w:jc w:val="center"/>
                        <w:rPr>
                          <w:noProof/>
                        </w:rPr>
                      </w:pPr>
                      <w:r w:rsidRPr="00BF6D95">
                        <w:rPr>
                          <w:noProof/>
                        </w:rPr>
                        <w:drawing>
                          <wp:inline distT="0" distB="0" distL="0" distR="0" wp14:anchorId="66AA5452" wp14:editId="34BAB80C">
                            <wp:extent cx="5514975" cy="2834005"/>
                            <wp:effectExtent l="0" t="0" r="9525" b="44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4975" cy="2834005"/>
                                    </a:xfrm>
                                    <a:prstGeom prst="rect">
                                      <a:avLst/>
                                    </a:prstGeom>
                                    <a:noFill/>
                                    <a:ln>
                                      <a:noFill/>
                                    </a:ln>
                                  </pic:spPr>
                                </pic:pic>
                              </a:graphicData>
                            </a:graphic>
                          </wp:inline>
                        </w:drawing>
                      </w:r>
                    </w:p>
                    <w:p w14:paraId="41848F14" w14:textId="70909334" w:rsidR="00C50A6E" w:rsidRPr="00C27963" w:rsidRDefault="00C50A6E" w:rsidP="00A8066D">
                      <w:pPr>
                        <w:spacing w:after="0" w:line="240" w:lineRule="auto"/>
                        <w:jc w:val="center"/>
                        <w:rPr>
                          <w:rFonts w:cstheme="minorHAnsi"/>
                          <w:i/>
                          <w:iCs/>
                          <w:color w:val="365F91" w:themeColor="accent1" w:themeShade="BF"/>
                          <w:sz w:val="20"/>
                          <w:szCs w:val="20"/>
                        </w:rPr>
                      </w:pPr>
                      <w:r w:rsidRPr="00C27963">
                        <w:rPr>
                          <w:rFonts w:cstheme="minorHAnsi"/>
                          <w:i/>
                          <w:iCs/>
                          <w:color w:val="365F91" w:themeColor="accent1" w:themeShade="BF"/>
                          <w:sz w:val="20"/>
                          <w:szCs w:val="20"/>
                        </w:rPr>
                        <w:t>Fuente: Bloomberg</w:t>
                      </w:r>
                    </w:p>
                  </w:txbxContent>
                </v:textbox>
                <w10:wrap type="square"/>
              </v:shape>
            </w:pict>
          </mc:Fallback>
        </mc:AlternateContent>
      </w:r>
    </w:p>
    <w:p w14:paraId="65F2C122" w14:textId="77777777" w:rsidR="006C58D3" w:rsidRDefault="006C58D3"/>
    <w:p w14:paraId="5A0599EB" w14:textId="79B86043" w:rsidR="00FE7E85" w:rsidRDefault="00FE7E85">
      <w:r>
        <w:br w:type="page"/>
      </w:r>
    </w:p>
    <w:p w14:paraId="3151D929" w14:textId="77777777" w:rsidR="00357176" w:rsidRDefault="00357176"/>
    <w:p w14:paraId="5432BF21" w14:textId="442126C0" w:rsidR="00242194" w:rsidRDefault="00242194" w:rsidP="00242194">
      <w:pPr>
        <w:pStyle w:val="Descripcin"/>
        <w:spacing w:after="0"/>
        <w:jc w:val="center"/>
      </w:pPr>
      <w:r>
        <w:t xml:space="preserve">Tabla </w:t>
      </w:r>
      <w:r>
        <w:fldChar w:fldCharType="begin"/>
      </w:r>
      <w:r>
        <w:instrText xml:space="preserve"> SEQ Tabla \* ARABIC </w:instrText>
      </w:r>
      <w:r>
        <w:fldChar w:fldCharType="separate"/>
      </w:r>
      <w:r w:rsidR="00C05B2C">
        <w:rPr>
          <w:noProof/>
        </w:rPr>
        <w:t>8</w:t>
      </w:r>
      <w:r>
        <w:fldChar w:fldCharType="end"/>
      </w:r>
      <w:r>
        <w:t>: Criterios juríd</w:t>
      </w:r>
      <w:r w:rsidR="00AD4962">
        <w:t>i</w:t>
      </w:r>
      <w:r>
        <w:t>cos</w:t>
      </w:r>
    </w:p>
    <w:p w14:paraId="39DB2A08" w14:textId="27074F6B" w:rsidR="00242194" w:rsidRDefault="00242194" w:rsidP="00242194">
      <w:pPr>
        <w:pStyle w:val="Descripcin"/>
        <w:spacing w:after="0"/>
        <w:jc w:val="center"/>
      </w:pPr>
      <w:r>
        <w:t>Atendidas durante el</w:t>
      </w:r>
      <w:r w:rsidR="00326F80">
        <w:t xml:space="preserve"> tercer</w:t>
      </w:r>
      <w:r>
        <w:t xml:space="preserve"> trimestre del 2020</w:t>
      </w:r>
    </w:p>
    <w:p w14:paraId="27E854F7" w14:textId="3D795116" w:rsidR="00242194" w:rsidRDefault="00242194" w:rsidP="00242194">
      <w:pPr>
        <w:pStyle w:val="Descripcin"/>
        <w:spacing w:after="0"/>
        <w:jc w:val="center"/>
      </w:pPr>
      <w:r>
        <w:t>por la división jurídica de SUPEN</w:t>
      </w:r>
    </w:p>
    <w:tbl>
      <w:tblPr>
        <w:tblStyle w:val="Tablaconcuadrcula4-nfasis1"/>
        <w:tblW w:w="10343" w:type="dxa"/>
        <w:jc w:val="center"/>
        <w:tblLook w:val="04A0" w:firstRow="1" w:lastRow="0" w:firstColumn="1" w:lastColumn="0" w:noHBand="0" w:noVBand="1"/>
      </w:tblPr>
      <w:tblGrid>
        <w:gridCol w:w="1809"/>
        <w:gridCol w:w="8534"/>
      </w:tblGrid>
      <w:tr w:rsidR="00AA5639" w:rsidRPr="00AA5639" w14:paraId="7CBCE68D" w14:textId="77777777" w:rsidTr="00C659D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9" w:type="dxa"/>
          </w:tcPr>
          <w:p w14:paraId="3D003E3B" w14:textId="77777777" w:rsidR="00AA5639" w:rsidRPr="00AA5639" w:rsidRDefault="00AA5639" w:rsidP="00C50A6E">
            <w:pPr>
              <w:jc w:val="both"/>
              <w:rPr>
                <w:rFonts w:asciiTheme="minorHAnsi" w:hAnsiTheme="minorHAnsi" w:cstheme="minorHAnsi"/>
                <w:lang w:val="es-CR"/>
              </w:rPr>
            </w:pPr>
            <w:r w:rsidRPr="00AA5639">
              <w:rPr>
                <w:rFonts w:asciiTheme="minorHAnsi" w:hAnsiTheme="minorHAnsi" w:cstheme="minorHAnsi"/>
                <w:lang w:val="es-CR"/>
              </w:rPr>
              <w:t>Criterio</w:t>
            </w:r>
          </w:p>
        </w:tc>
        <w:tc>
          <w:tcPr>
            <w:tcW w:w="8534" w:type="dxa"/>
          </w:tcPr>
          <w:p w14:paraId="4D6026CA" w14:textId="77777777" w:rsidR="00AA5639" w:rsidRPr="00AA5639" w:rsidRDefault="00AA5639" w:rsidP="00C50A6E">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AA5639">
              <w:rPr>
                <w:rFonts w:asciiTheme="minorHAnsi" w:hAnsiTheme="minorHAnsi" w:cstheme="minorHAnsi"/>
                <w:lang w:val="es-CR"/>
              </w:rPr>
              <w:t>Temas</w:t>
            </w:r>
          </w:p>
        </w:tc>
      </w:tr>
      <w:tr w:rsidR="00AA5639" w:rsidRPr="00AA5639" w14:paraId="6BA8639C" w14:textId="77777777" w:rsidTr="00C659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9" w:type="dxa"/>
          </w:tcPr>
          <w:p w14:paraId="75E5A0E3" w14:textId="77777777" w:rsidR="00AA5639" w:rsidRPr="00AA5639" w:rsidRDefault="00AA5639" w:rsidP="00C50A6E">
            <w:pPr>
              <w:jc w:val="both"/>
              <w:rPr>
                <w:rFonts w:asciiTheme="minorHAnsi" w:hAnsiTheme="minorHAnsi" w:cstheme="minorHAnsi"/>
                <w:b w:val="0"/>
                <w:bCs w:val="0"/>
                <w:lang w:val="es-CR"/>
              </w:rPr>
            </w:pPr>
            <w:r w:rsidRPr="00AA5639">
              <w:rPr>
                <w:rFonts w:asciiTheme="minorHAnsi" w:hAnsiTheme="minorHAnsi" w:cstheme="minorHAnsi"/>
                <w:b w:val="0"/>
                <w:bCs w:val="0"/>
                <w:lang w:val="es-CR"/>
              </w:rPr>
              <w:t>PJD-17-2020</w:t>
            </w:r>
          </w:p>
        </w:tc>
        <w:tc>
          <w:tcPr>
            <w:tcW w:w="8534" w:type="dxa"/>
          </w:tcPr>
          <w:p w14:paraId="055A1370" w14:textId="39BF33F3" w:rsidR="00AA5639" w:rsidRPr="00AA5639" w:rsidRDefault="00AA5639" w:rsidP="00C50A6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AA5639">
              <w:rPr>
                <w:rFonts w:asciiTheme="minorHAnsi" w:hAnsiTheme="minorHAnsi" w:cstheme="minorHAnsi"/>
                <w:lang w:val="es-CR"/>
              </w:rPr>
              <w:t>Traslado de cotizaciones por mala ubicación de funcionarios J</w:t>
            </w:r>
            <w:r>
              <w:rPr>
                <w:rFonts w:asciiTheme="minorHAnsi" w:hAnsiTheme="minorHAnsi" w:cstheme="minorHAnsi"/>
                <w:lang w:val="es-CR"/>
              </w:rPr>
              <w:t>UPEMA.</w:t>
            </w:r>
          </w:p>
        </w:tc>
      </w:tr>
      <w:tr w:rsidR="00AA5639" w:rsidRPr="00AA5639" w14:paraId="4557DCA3" w14:textId="77777777" w:rsidTr="00C659DC">
        <w:trPr>
          <w:jc w:val="center"/>
        </w:trPr>
        <w:tc>
          <w:tcPr>
            <w:cnfStyle w:val="001000000000" w:firstRow="0" w:lastRow="0" w:firstColumn="1" w:lastColumn="0" w:oddVBand="0" w:evenVBand="0" w:oddHBand="0" w:evenHBand="0" w:firstRowFirstColumn="0" w:firstRowLastColumn="0" w:lastRowFirstColumn="0" w:lastRowLastColumn="0"/>
            <w:tcW w:w="1809" w:type="dxa"/>
          </w:tcPr>
          <w:p w14:paraId="36025328" w14:textId="77777777" w:rsidR="00AA5639" w:rsidRPr="00AA5639" w:rsidRDefault="00AA5639" w:rsidP="00C50A6E">
            <w:pPr>
              <w:jc w:val="both"/>
              <w:rPr>
                <w:rFonts w:asciiTheme="minorHAnsi" w:hAnsiTheme="minorHAnsi" w:cstheme="minorHAnsi"/>
                <w:b w:val="0"/>
                <w:bCs w:val="0"/>
                <w:lang w:val="es-CR"/>
              </w:rPr>
            </w:pPr>
            <w:r w:rsidRPr="00AA5639">
              <w:rPr>
                <w:rFonts w:asciiTheme="minorHAnsi" w:hAnsiTheme="minorHAnsi" w:cstheme="minorHAnsi"/>
                <w:b w:val="0"/>
                <w:bCs w:val="0"/>
                <w:lang w:val="es-CR"/>
              </w:rPr>
              <w:t>PJD-19-2020</w:t>
            </w:r>
          </w:p>
        </w:tc>
        <w:tc>
          <w:tcPr>
            <w:tcW w:w="8534" w:type="dxa"/>
          </w:tcPr>
          <w:p w14:paraId="123CE633" w14:textId="77777777" w:rsidR="00AA5639" w:rsidRPr="00AA5639" w:rsidRDefault="00AA5639" w:rsidP="00C50A6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AA5639">
              <w:rPr>
                <w:rFonts w:asciiTheme="minorHAnsi" w:hAnsiTheme="minorHAnsi" w:cstheme="minorHAnsi"/>
                <w:lang w:val="es-CR"/>
              </w:rPr>
              <w:t>Necesidad de revisar las pensiones por sobrevivencia del Poder Judicial.</w:t>
            </w:r>
          </w:p>
        </w:tc>
      </w:tr>
      <w:tr w:rsidR="00AA5639" w:rsidRPr="00AA5639" w14:paraId="5F255846" w14:textId="77777777" w:rsidTr="00C659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9" w:type="dxa"/>
          </w:tcPr>
          <w:p w14:paraId="56B83633" w14:textId="77777777" w:rsidR="00AA5639" w:rsidRPr="00AA5639" w:rsidRDefault="00AA5639" w:rsidP="00C50A6E">
            <w:pPr>
              <w:jc w:val="both"/>
              <w:rPr>
                <w:rFonts w:asciiTheme="minorHAnsi" w:hAnsiTheme="minorHAnsi" w:cstheme="minorHAnsi"/>
                <w:b w:val="0"/>
                <w:bCs w:val="0"/>
                <w:lang w:val="es-CR"/>
              </w:rPr>
            </w:pPr>
            <w:r w:rsidRPr="00AA5639">
              <w:rPr>
                <w:rFonts w:asciiTheme="minorHAnsi" w:hAnsiTheme="minorHAnsi" w:cstheme="minorHAnsi"/>
                <w:b w:val="0"/>
                <w:bCs w:val="0"/>
                <w:lang w:val="es-CR"/>
              </w:rPr>
              <w:t>PJD-18-2020</w:t>
            </w:r>
          </w:p>
        </w:tc>
        <w:tc>
          <w:tcPr>
            <w:tcW w:w="8534" w:type="dxa"/>
          </w:tcPr>
          <w:p w14:paraId="74042C53" w14:textId="77777777" w:rsidR="00AA5639" w:rsidRPr="00AA5639" w:rsidRDefault="00AA5639" w:rsidP="00C50A6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AA5639">
              <w:rPr>
                <w:rFonts w:asciiTheme="minorHAnsi" w:hAnsiTheme="minorHAnsi" w:cstheme="minorHAnsi"/>
                <w:lang w:val="es-CR"/>
              </w:rPr>
              <w:t>Confidencialidad de la política de inversiones de los supervisados de SUPEN.</w:t>
            </w:r>
          </w:p>
        </w:tc>
      </w:tr>
    </w:tbl>
    <w:p w14:paraId="2F5B7D45" w14:textId="1D4BFF06" w:rsidR="00242194" w:rsidRDefault="00AA5639" w:rsidP="00A8066D">
      <w:pPr>
        <w:pStyle w:val="Descripcin"/>
        <w:spacing w:after="0"/>
        <w:ind w:left="1560"/>
      </w:pPr>
      <w:r>
        <w:t>F</w:t>
      </w:r>
      <w:r w:rsidR="00242194">
        <w:t xml:space="preserve">uente: Elaboración propia </w:t>
      </w:r>
    </w:p>
    <w:p w14:paraId="63E19555" w14:textId="77777777" w:rsidR="00242194" w:rsidRDefault="00242194" w:rsidP="000E7393">
      <w:pPr>
        <w:spacing w:after="0" w:line="240" w:lineRule="auto"/>
      </w:pPr>
    </w:p>
    <w:p w14:paraId="602AD2D7" w14:textId="71A36BC5" w:rsidR="00560BDB" w:rsidRDefault="00560BDB" w:rsidP="00560BDB">
      <w:pPr>
        <w:pStyle w:val="Descripcin"/>
        <w:spacing w:after="0"/>
        <w:jc w:val="center"/>
      </w:pPr>
      <w:r>
        <w:t xml:space="preserve">Tabla </w:t>
      </w:r>
      <w:r>
        <w:fldChar w:fldCharType="begin"/>
      </w:r>
      <w:r>
        <w:instrText xml:space="preserve"> SEQ Tabla \* ARABIC </w:instrText>
      </w:r>
      <w:r>
        <w:fldChar w:fldCharType="separate"/>
      </w:r>
      <w:r w:rsidR="00C05B2C">
        <w:rPr>
          <w:noProof/>
        </w:rPr>
        <w:t>9</w:t>
      </w:r>
      <w:r>
        <w:fldChar w:fldCharType="end"/>
      </w:r>
      <w:r>
        <w:t>: Recursos de amparo</w:t>
      </w:r>
    </w:p>
    <w:p w14:paraId="65E770B3" w14:textId="3841557C" w:rsidR="00560BDB" w:rsidRDefault="00560BDB" w:rsidP="00560BDB">
      <w:pPr>
        <w:pStyle w:val="Descripcin"/>
        <w:spacing w:after="0"/>
        <w:jc w:val="center"/>
      </w:pPr>
      <w:r>
        <w:t>Atendidas durante el</w:t>
      </w:r>
      <w:r w:rsidR="00326F80">
        <w:t xml:space="preserve"> tercer</w:t>
      </w:r>
      <w:r>
        <w:t xml:space="preserve"> trimestre del 2020</w:t>
      </w:r>
    </w:p>
    <w:p w14:paraId="7ADB60C2" w14:textId="4EB045F3" w:rsidR="009A6CE9" w:rsidRDefault="00560BDB" w:rsidP="009A6CE9">
      <w:pPr>
        <w:pStyle w:val="Descripcin"/>
        <w:spacing w:after="0"/>
        <w:jc w:val="center"/>
      </w:pPr>
      <w:r>
        <w:t>por la división jurídica de SUPEN</w:t>
      </w:r>
    </w:p>
    <w:tbl>
      <w:tblPr>
        <w:tblStyle w:val="Tablaconcuadrcula4-nfasis1"/>
        <w:tblW w:w="11335" w:type="dxa"/>
        <w:jc w:val="center"/>
        <w:tblLook w:val="04A0" w:firstRow="1" w:lastRow="0" w:firstColumn="1" w:lastColumn="0" w:noHBand="0" w:noVBand="1"/>
      </w:tblPr>
      <w:tblGrid>
        <w:gridCol w:w="2034"/>
        <w:gridCol w:w="4624"/>
        <w:gridCol w:w="4677"/>
      </w:tblGrid>
      <w:tr w:rsidR="00113867" w:rsidRPr="00113867" w14:paraId="141E342F" w14:textId="77777777" w:rsidTr="00A8066D">
        <w:trPr>
          <w:cnfStyle w:val="100000000000" w:firstRow="1" w:lastRow="0"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2034" w:type="dxa"/>
          </w:tcPr>
          <w:p w14:paraId="34491BD8" w14:textId="77777777" w:rsidR="00113867" w:rsidRPr="00113867" w:rsidRDefault="00113867" w:rsidP="00113867">
            <w:pPr>
              <w:rPr>
                <w:rFonts w:asciiTheme="minorHAnsi" w:hAnsiTheme="minorHAnsi" w:cstheme="minorHAnsi"/>
                <w:lang w:val="es-CR"/>
              </w:rPr>
            </w:pPr>
            <w:r w:rsidRPr="00113867">
              <w:rPr>
                <w:rFonts w:asciiTheme="minorHAnsi" w:hAnsiTheme="minorHAnsi" w:cstheme="minorHAnsi"/>
                <w:lang w:val="es-CR"/>
              </w:rPr>
              <w:t>Expediente</w:t>
            </w:r>
          </w:p>
        </w:tc>
        <w:tc>
          <w:tcPr>
            <w:tcW w:w="4624" w:type="dxa"/>
          </w:tcPr>
          <w:p w14:paraId="73BE050F" w14:textId="77777777" w:rsidR="00113867" w:rsidRPr="00113867" w:rsidRDefault="00113867" w:rsidP="0011386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113867">
              <w:rPr>
                <w:rFonts w:asciiTheme="minorHAnsi" w:hAnsiTheme="minorHAnsi" w:cstheme="minorHAnsi"/>
                <w:lang w:val="es-CR"/>
              </w:rPr>
              <w:t>Resumen del asunto</w:t>
            </w:r>
          </w:p>
        </w:tc>
        <w:tc>
          <w:tcPr>
            <w:tcW w:w="4677" w:type="dxa"/>
          </w:tcPr>
          <w:p w14:paraId="5BD4F740" w14:textId="77777777" w:rsidR="00113867" w:rsidRPr="00113867" w:rsidRDefault="00113867" w:rsidP="0011386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113867">
              <w:rPr>
                <w:rFonts w:asciiTheme="minorHAnsi" w:hAnsiTheme="minorHAnsi" w:cstheme="minorHAnsi"/>
                <w:lang w:val="es-CR"/>
              </w:rPr>
              <w:t>Estado actual</w:t>
            </w:r>
          </w:p>
        </w:tc>
      </w:tr>
      <w:tr w:rsidR="00113867" w:rsidRPr="00113867" w14:paraId="7F71E431" w14:textId="77777777" w:rsidTr="00A8066D">
        <w:trPr>
          <w:cnfStyle w:val="000000100000" w:firstRow="0" w:lastRow="0" w:firstColumn="0" w:lastColumn="0" w:oddVBand="0" w:evenVBand="0" w:oddHBand="1" w:evenHBand="0" w:firstRowFirstColumn="0" w:firstRowLastColumn="0" w:lastRowFirstColumn="0" w:lastRowLastColumn="0"/>
          <w:trHeight w:val="672"/>
          <w:jc w:val="center"/>
        </w:trPr>
        <w:tc>
          <w:tcPr>
            <w:cnfStyle w:val="001000000000" w:firstRow="0" w:lastRow="0" w:firstColumn="1" w:lastColumn="0" w:oddVBand="0" w:evenVBand="0" w:oddHBand="0" w:evenHBand="0" w:firstRowFirstColumn="0" w:firstRowLastColumn="0" w:lastRowFirstColumn="0" w:lastRowLastColumn="0"/>
            <w:tcW w:w="2034" w:type="dxa"/>
          </w:tcPr>
          <w:p w14:paraId="65C4B20F" w14:textId="77777777" w:rsidR="00113867" w:rsidRPr="00113867" w:rsidRDefault="00113867" w:rsidP="00C50A6E">
            <w:pPr>
              <w:jc w:val="both"/>
              <w:rPr>
                <w:rFonts w:asciiTheme="minorHAnsi" w:hAnsiTheme="minorHAnsi" w:cstheme="minorHAnsi"/>
                <w:b w:val="0"/>
                <w:lang w:val="es-CR"/>
              </w:rPr>
            </w:pPr>
            <w:r w:rsidRPr="00113867">
              <w:rPr>
                <w:rFonts w:asciiTheme="minorHAnsi" w:hAnsiTheme="minorHAnsi" w:cstheme="minorHAnsi"/>
                <w:b w:val="0"/>
                <w:lang w:val="es-CR"/>
              </w:rPr>
              <w:t>20-011951-0007-CO</w:t>
            </w:r>
          </w:p>
        </w:tc>
        <w:tc>
          <w:tcPr>
            <w:tcW w:w="4624" w:type="dxa"/>
          </w:tcPr>
          <w:p w14:paraId="45EFD220" w14:textId="77777777" w:rsidR="00113867" w:rsidRPr="00113867" w:rsidRDefault="00113867" w:rsidP="00C50A6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s-CR"/>
              </w:rPr>
            </w:pPr>
            <w:r w:rsidRPr="00113867">
              <w:rPr>
                <w:rFonts w:asciiTheme="minorHAnsi" w:hAnsiTheme="minorHAnsi" w:cstheme="minorHAnsi"/>
                <w:bCs/>
                <w:lang w:val="es-CR"/>
              </w:rPr>
              <w:t>El amparado pretendía que por tener una enfermedad terminal se le entregará la totalidad del saldo de la cuenta individual del ROP.</w:t>
            </w:r>
          </w:p>
        </w:tc>
        <w:tc>
          <w:tcPr>
            <w:tcW w:w="4677" w:type="dxa"/>
          </w:tcPr>
          <w:p w14:paraId="1C5CE5F3" w14:textId="77777777" w:rsidR="00113867" w:rsidRPr="00113867" w:rsidRDefault="00113867" w:rsidP="00C50A6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s-CR"/>
              </w:rPr>
            </w:pPr>
            <w:r w:rsidRPr="00113867">
              <w:rPr>
                <w:rFonts w:asciiTheme="minorHAnsi" w:hAnsiTheme="minorHAnsi" w:cstheme="minorHAnsi"/>
                <w:bCs/>
                <w:lang w:val="es-CR"/>
              </w:rPr>
              <w:t xml:space="preserve">Voto 16108-2020 </w:t>
            </w:r>
          </w:p>
          <w:p w14:paraId="32EE6A54" w14:textId="77777777" w:rsidR="00113867" w:rsidRPr="00113867" w:rsidRDefault="00113867" w:rsidP="00C50A6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lang w:val="es-CR"/>
              </w:rPr>
            </w:pPr>
            <w:r w:rsidRPr="00113867">
              <w:rPr>
                <w:rFonts w:asciiTheme="minorHAnsi" w:hAnsiTheme="minorHAnsi" w:cstheme="minorHAnsi"/>
                <w:bCs/>
                <w:lang w:val="es-CR"/>
              </w:rPr>
              <w:t>Se declaró sin lugar, el amparado no demostró ante la OPC su condición de enfermo temporal.</w:t>
            </w:r>
          </w:p>
        </w:tc>
      </w:tr>
      <w:tr w:rsidR="00113867" w:rsidRPr="00113867" w14:paraId="6C7B1235" w14:textId="77777777" w:rsidTr="00A8066D">
        <w:trPr>
          <w:trHeight w:val="661"/>
          <w:jc w:val="center"/>
        </w:trPr>
        <w:tc>
          <w:tcPr>
            <w:cnfStyle w:val="001000000000" w:firstRow="0" w:lastRow="0" w:firstColumn="1" w:lastColumn="0" w:oddVBand="0" w:evenVBand="0" w:oddHBand="0" w:evenHBand="0" w:firstRowFirstColumn="0" w:firstRowLastColumn="0" w:lastRowFirstColumn="0" w:lastRowLastColumn="0"/>
            <w:tcW w:w="2034" w:type="dxa"/>
          </w:tcPr>
          <w:p w14:paraId="4F4C172C" w14:textId="77777777" w:rsidR="00113867" w:rsidRPr="00113867" w:rsidRDefault="00113867" w:rsidP="00C50A6E">
            <w:pPr>
              <w:jc w:val="both"/>
              <w:rPr>
                <w:rFonts w:asciiTheme="minorHAnsi" w:hAnsiTheme="minorHAnsi" w:cstheme="minorHAnsi"/>
                <w:b w:val="0"/>
                <w:lang w:val="es-CR"/>
              </w:rPr>
            </w:pPr>
            <w:r w:rsidRPr="00113867">
              <w:rPr>
                <w:rFonts w:asciiTheme="minorHAnsi" w:hAnsiTheme="minorHAnsi" w:cstheme="minorHAnsi"/>
                <w:b w:val="0"/>
                <w:lang w:val="es-CR"/>
              </w:rPr>
              <w:t>20-013733-0007-CO</w:t>
            </w:r>
          </w:p>
        </w:tc>
        <w:tc>
          <w:tcPr>
            <w:tcW w:w="4624" w:type="dxa"/>
          </w:tcPr>
          <w:p w14:paraId="3521D810" w14:textId="77777777" w:rsidR="00113867" w:rsidRPr="00113867" w:rsidRDefault="00113867" w:rsidP="00C50A6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val="es-CR"/>
              </w:rPr>
            </w:pPr>
            <w:r w:rsidRPr="00113867">
              <w:rPr>
                <w:rFonts w:asciiTheme="minorHAnsi" w:hAnsiTheme="minorHAnsi" w:cstheme="minorHAnsi"/>
                <w:bCs/>
                <w:lang w:val="es-CR"/>
              </w:rPr>
              <w:t>El amparado pretendía que por tener una enfermedad terminal se le entregará la totalidad del saldo de la cuenta individual del ROP.</w:t>
            </w:r>
          </w:p>
        </w:tc>
        <w:tc>
          <w:tcPr>
            <w:tcW w:w="4677" w:type="dxa"/>
          </w:tcPr>
          <w:p w14:paraId="6E6AB8EC" w14:textId="77777777" w:rsidR="00113867" w:rsidRPr="00113867" w:rsidRDefault="00113867" w:rsidP="00C50A6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val="es-CR"/>
              </w:rPr>
            </w:pPr>
            <w:r w:rsidRPr="00113867">
              <w:rPr>
                <w:rFonts w:asciiTheme="minorHAnsi" w:hAnsiTheme="minorHAnsi" w:cstheme="minorHAnsi"/>
                <w:bCs/>
                <w:lang w:val="es-CR"/>
              </w:rPr>
              <w:t xml:space="preserve">Voto 16706-2020 </w:t>
            </w:r>
          </w:p>
          <w:p w14:paraId="0F453125" w14:textId="77777777" w:rsidR="00113867" w:rsidRPr="00113867" w:rsidRDefault="00113867" w:rsidP="00C50A6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lang w:val="es-CR"/>
              </w:rPr>
            </w:pPr>
            <w:r w:rsidRPr="00113867">
              <w:rPr>
                <w:rFonts w:asciiTheme="minorHAnsi" w:hAnsiTheme="minorHAnsi" w:cstheme="minorHAnsi"/>
                <w:bCs/>
                <w:lang w:val="es-CR"/>
              </w:rPr>
              <w:t>Se declaró sin lugar, el amparado no demostró ante la OPC su condición de enfermo temporal.</w:t>
            </w:r>
          </w:p>
        </w:tc>
      </w:tr>
    </w:tbl>
    <w:p w14:paraId="5198FF01" w14:textId="5C7FABD9" w:rsidR="00560BDB" w:rsidRDefault="00560BDB" w:rsidP="00A8066D">
      <w:pPr>
        <w:pStyle w:val="Descripcin"/>
        <w:spacing w:after="0"/>
        <w:ind w:left="1418"/>
      </w:pPr>
      <w:r>
        <w:t xml:space="preserve">Fuente: Elaboración propia </w:t>
      </w:r>
    </w:p>
    <w:p w14:paraId="28F0811F" w14:textId="77777777" w:rsidR="00774655" w:rsidRPr="00774655" w:rsidRDefault="00774655" w:rsidP="00774655"/>
    <w:p w14:paraId="757B9B68" w14:textId="314D8B67" w:rsidR="006929F8" w:rsidRDefault="006929F8" w:rsidP="00096F4F">
      <w:pPr>
        <w:pStyle w:val="Ttulo1"/>
        <w:numPr>
          <w:ilvl w:val="0"/>
          <w:numId w:val="1"/>
        </w:numPr>
      </w:pPr>
      <w:bookmarkStart w:id="19" w:name="_Toc64039569"/>
      <w:r>
        <w:t>Proyectos de Ley</w:t>
      </w:r>
      <w:bookmarkEnd w:id="19"/>
    </w:p>
    <w:p w14:paraId="2205E104" w14:textId="77777777" w:rsidR="00DB47A4" w:rsidRDefault="00DB47A4" w:rsidP="00A439E3">
      <w:pPr>
        <w:pStyle w:val="Descripcin"/>
        <w:spacing w:after="0"/>
        <w:jc w:val="center"/>
      </w:pPr>
    </w:p>
    <w:p w14:paraId="56961039" w14:textId="3431F392" w:rsidR="00A439E3" w:rsidRDefault="00A439E3" w:rsidP="00A439E3">
      <w:pPr>
        <w:pStyle w:val="Descripcin"/>
        <w:spacing w:after="0"/>
        <w:jc w:val="center"/>
      </w:pPr>
      <w:r>
        <w:t xml:space="preserve">Tabla </w:t>
      </w:r>
      <w:r>
        <w:fldChar w:fldCharType="begin"/>
      </w:r>
      <w:r>
        <w:instrText xml:space="preserve"> SEQ Tabla \* ARABIC </w:instrText>
      </w:r>
      <w:r>
        <w:fldChar w:fldCharType="separate"/>
      </w:r>
      <w:r w:rsidR="00C05B2C">
        <w:rPr>
          <w:noProof/>
        </w:rPr>
        <w:t>10</w:t>
      </w:r>
      <w:r>
        <w:fldChar w:fldCharType="end"/>
      </w:r>
      <w:r>
        <w:t>: Expedientes Legislativos</w:t>
      </w:r>
    </w:p>
    <w:p w14:paraId="55F93645" w14:textId="77777777" w:rsidR="003B0175" w:rsidRDefault="00A439E3" w:rsidP="00A439E3">
      <w:pPr>
        <w:pStyle w:val="Descripcin"/>
        <w:spacing w:after="0"/>
        <w:jc w:val="center"/>
      </w:pPr>
      <w:r>
        <w:t xml:space="preserve">Atendidas </w:t>
      </w:r>
      <w:r w:rsidR="003B0175">
        <w:t xml:space="preserve">por SUPEN </w:t>
      </w:r>
    </w:p>
    <w:p w14:paraId="54A3CD8E" w14:textId="1D7FE8FB" w:rsidR="00A439E3" w:rsidRDefault="00A439E3" w:rsidP="00A439E3">
      <w:pPr>
        <w:pStyle w:val="Descripcin"/>
        <w:spacing w:after="0"/>
        <w:jc w:val="center"/>
      </w:pPr>
      <w:r>
        <w:t xml:space="preserve">durante el </w:t>
      </w:r>
      <w:r w:rsidR="00A11811">
        <w:t>tercer</w:t>
      </w:r>
      <w:r>
        <w:t xml:space="preserve"> trimestre del 2020</w:t>
      </w:r>
    </w:p>
    <w:tbl>
      <w:tblPr>
        <w:tblStyle w:val="Tablaconcuadrcula4-nfasis1"/>
        <w:tblW w:w="5217" w:type="pct"/>
        <w:jc w:val="center"/>
        <w:tblLayout w:type="fixed"/>
        <w:tblLook w:val="04A0" w:firstRow="1" w:lastRow="0" w:firstColumn="1" w:lastColumn="0" w:noHBand="0" w:noVBand="1"/>
      </w:tblPr>
      <w:tblGrid>
        <w:gridCol w:w="3494"/>
        <w:gridCol w:w="6849"/>
        <w:gridCol w:w="1419"/>
        <w:gridCol w:w="2092"/>
      </w:tblGrid>
      <w:tr w:rsidR="00BC4AFF" w:rsidRPr="0016050A" w14:paraId="70C4082A" w14:textId="77777777" w:rsidTr="004D0DCE">
        <w:trPr>
          <w:cnfStyle w:val="100000000000" w:firstRow="1" w:lastRow="0" w:firstColumn="0" w:lastColumn="0" w:oddVBand="0" w:evenVBand="0" w:oddHBand="0" w:evenHBand="0" w:firstRowFirstColumn="0" w:firstRowLastColumn="0" w:lastRowFirstColumn="0" w:lastRowLastColumn="0"/>
          <w:trHeight w:val="345"/>
          <w:tblHeader/>
          <w:jc w:val="center"/>
        </w:trPr>
        <w:tc>
          <w:tcPr>
            <w:cnfStyle w:val="001000000000" w:firstRow="0" w:lastRow="0" w:firstColumn="1" w:lastColumn="0" w:oddVBand="0" w:evenVBand="0" w:oddHBand="0" w:evenHBand="0" w:firstRowFirstColumn="0" w:firstRowLastColumn="0" w:lastRowFirstColumn="0" w:lastRowLastColumn="0"/>
            <w:tcW w:w="1261" w:type="pct"/>
            <w:hideMark/>
          </w:tcPr>
          <w:p w14:paraId="66B53BAE" w14:textId="77777777" w:rsidR="00BC4AFF" w:rsidRPr="0016050A" w:rsidRDefault="00BC4AFF" w:rsidP="0021212F">
            <w:pPr>
              <w:rPr>
                <w:rFonts w:cs="Segoe UI"/>
                <w:lang w:val="es-CR"/>
              </w:rPr>
            </w:pPr>
            <w:r w:rsidRPr="0016050A">
              <w:rPr>
                <w:rFonts w:cs="Segoe UI"/>
                <w:lang w:val="es-CR"/>
              </w:rPr>
              <w:t>Proyecto de ley</w:t>
            </w:r>
          </w:p>
        </w:tc>
        <w:tc>
          <w:tcPr>
            <w:tcW w:w="2472" w:type="pct"/>
            <w:hideMark/>
          </w:tcPr>
          <w:p w14:paraId="51BF5F1F" w14:textId="77777777" w:rsidR="00BC4AFF" w:rsidRPr="0016050A" w:rsidRDefault="00BC4AFF" w:rsidP="0021212F">
            <w:pPr>
              <w:cnfStyle w:val="100000000000" w:firstRow="1" w:lastRow="0" w:firstColumn="0" w:lastColumn="0" w:oddVBand="0" w:evenVBand="0" w:oddHBand="0" w:evenHBand="0" w:firstRowFirstColumn="0" w:firstRowLastColumn="0" w:lastRowFirstColumn="0" w:lastRowLastColumn="0"/>
              <w:rPr>
                <w:rFonts w:cs="Segoe UI"/>
                <w:lang w:val="es-CR"/>
              </w:rPr>
            </w:pPr>
            <w:r w:rsidRPr="0016050A">
              <w:rPr>
                <w:rFonts w:cs="Segoe UI"/>
                <w:lang w:val="es-CR"/>
              </w:rPr>
              <w:t xml:space="preserve">Alcance </w:t>
            </w:r>
          </w:p>
        </w:tc>
        <w:tc>
          <w:tcPr>
            <w:tcW w:w="512" w:type="pct"/>
            <w:hideMark/>
          </w:tcPr>
          <w:p w14:paraId="35B10B18" w14:textId="77777777" w:rsidR="00BC4AFF" w:rsidRPr="0016050A" w:rsidRDefault="00BC4AFF" w:rsidP="0021212F">
            <w:pPr>
              <w:cnfStyle w:val="100000000000" w:firstRow="1" w:lastRow="0" w:firstColumn="0" w:lastColumn="0" w:oddVBand="0" w:evenVBand="0" w:oddHBand="0" w:evenHBand="0" w:firstRowFirstColumn="0" w:firstRowLastColumn="0" w:lastRowFirstColumn="0" w:lastRowLastColumn="0"/>
              <w:rPr>
                <w:rFonts w:cs="Segoe UI"/>
                <w:lang w:val="es-CR"/>
              </w:rPr>
            </w:pPr>
            <w:r w:rsidRPr="0016050A">
              <w:rPr>
                <w:rFonts w:cs="Segoe UI"/>
                <w:lang w:val="es-CR"/>
              </w:rPr>
              <w:t>Estado actual</w:t>
            </w:r>
          </w:p>
        </w:tc>
        <w:tc>
          <w:tcPr>
            <w:tcW w:w="755" w:type="pct"/>
            <w:hideMark/>
          </w:tcPr>
          <w:p w14:paraId="64036199" w14:textId="77777777" w:rsidR="00BC4AFF" w:rsidRPr="0016050A" w:rsidRDefault="00BC4AFF" w:rsidP="0021212F">
            <w:pPr>
              <w:cnfStyle w:val="100000000000" w:firstRow="1" w:lastRow="0" w:firstColumn="0" w:lastColumn="0" w:oddVBand="0" w:evenVBand="0" w:oddHBand="0" w:evenHBand="0" w:firstRowFirstColumn="0" w:firstRowLastColumn="0" w:lastRowFirstColumn="0" w:lastRowLastColumn="0"/>
              <w:rPr>
                <w:rFonts w:cs="Segoe UI"/>
                <w:lang w:val="es-CR"/>
              </w:rPr>
            </w:pPr>
            <w:r w:rsidRPr="0016050A">
              <w:rPr>
                <w:rFonts w:cs="Segoe UI"/>
                <w:lang w:val="es-CR"/>
              </w:rPr>
              <w:t xml:space="preserve"> Atendido mediante</w:t>
            </w:r>
          </w:p>
        </w:tc>
      </w:tr>
      <w:tr w:rsidR="00BC4AFF" w:rsidRPr="0016050A" w14:paraId="29630171" w14:textId="77777777" w:rsidTr="004D0DCE">
        <w:trPr>
          <w:cnfStyle w:val="000000100000" w:firstRow="0" w:lastRow="0" w:firstColumn="0" w:lastColumn="0" w:oddVBand="0" w:evenVBand="0" w:oddHBand="1" w:evenHBand="0" w:firstRowFirstColumn="0" w:firstRowLastColumn="0" w:lastRowFirstColumn="0" w:lastRowLastColumn="0"/>
          <w:trHeight w:val="1270"/>
          <w:jc w:val="center"/>
        </w:trPr>
        <w:tc>
          <w:tcPr>
            <w:cnfStyle w:val="001000000000" w:firstRow="0" w:lastRow="0" w:firstColumn="1" w:lastColumn="0" w:oddVBand="0" w:evenVBand="0" w:oddHBand="0" w:evenHBand="0" w:firstRowFirstColumn="0" w:firstRowLastColumn="0" w:lastRowFirstColumn="0" w:lastRowLastColumn="0"/>
            <w:tcW w:w="1261" w:type="pct"/>
          </w:tcPr>
          <w:p w14:paraId="58B8BE84" w14:textId="0D842B02" w:rsidR="00BC4AFF" w:rsidRDefault="00BC4AFF" w:rsidP="0021212F">
            <w:pPr>
              <w:jc w:val="both"/>
              <w:rPr>
                <w:rFonts w:eastAsia="Times New Roman" w:cs="Calibri"/>
                <w:color w:val="000000"/>
                <w:lang w:val="es-CR"/>
              </w:rPr>
            </w:pPr>
            <w:r w:rsidRPr="00DD170F">
              <w:rPr>
                <w:rFonts w:eastAsia="Times New Roman" w:cs="Calibri"/>
                <w:color w:val="000000"/>
                <w:lang w:val="es-CR"/>
              </w:rPr>
              <w:t xml:space="preserve">22.073 </w:t>
            </w:r>
            <w:proofErr w:type="gramStart"/>
            <w:r w:rsidRPr="00DD170F">
              <w:rPr>
                <w:rFonts w:eastAsia="Times New Roman" w:cs="Calibri"/>
                <w:color w:val="000000"/>
                <w:lang w:val="es-CR"/>
              </w:rPr>
              <w:t>Ley</w:t>
            </w:r>
            <w:proofErr w:type="gramEnd"/>
            <w:r w:rsidRPr="00DD170F">
              <w:rPr>
                <w:rFonts w:eastAsia="Times New Roman" w:cs="Calibri"/>
                <w:color w:val="000000"/>
                <w:lang w:val="es-CR"/>
              </w:rPr>
              <w:t xml:space="preserve"> de traslado de recursos para el fortalecimiento del Seguro de </w:t>
            </w:r>
            <w:r w:rsidR="000A603D">
              <w:rPr>
                <w:rFonts w:eastAsia="Times New Roman" w:cs="Calibri"/>
                <w:color w:val="000000"/>
                <w:lang w:val="es-CR"/>
              </w:rPr>
              <w:t>IVM</w:t>
            </w:r>
            <w:r w:rsidRPr="00DD170F">
              <w:rPr>
                <w:rFonts w:eastAsia="Times New Roman" w:cs="Calibri"/>
                <w:color w:val="000000"/>
                <w:lang w:val="es-CR"/>
              </w:rPr>
              <w:t>.</w:t>
            </w:r>
          </w:p>
        </w:tc>
        <w:tc>
          <w:tcPr>
            <w:tcW w:w="2472" w:type="pct"/>
          </w:tcPr>
          <w:p w14:paraId="4271A46C" w14:textId="25252DBB" w:rsidR="00BC4AFF" w:rsidRDefault="00BC4AFF"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P</w:t>
            </w:r>
            <w:r w:rsidRPr="00DD170F">
              <w:rPr>
                <w:rFonts w:eastAsia="Times New Roman" w:cs="Calibri"/>
                <w:color w:val="000000"/>
                <w:lang w:val="es-CR"/>
              </w:rPr>
              <w:t xml:space="preserve">retende trasladar el 50% del aporte patronal dispuesto en el inciso a) del artículo 5 de la Ley Orgánica del Banco Popular y de Desarrollo Comunal, No. 4351, al </w:t>
            </w:r>
            <w:r w:rsidR="000A603D">
              <w:rPr>
                <w:rFonts w:eastAsia="Times New Roman" w:cs="Calibri"/>
                <w:color w:val="000000"/>
                <w:lang w:val="es-CR"/>
              </w:rPr>
              <w:t>R</w:t>
            </w:r>
            <w:r w:rsidRPr="00DD170F">
              <w:rPr>
                <w:rFonts w:eastAsia="Times New Roman" w:cs="Calibri"/>
                <w:color w:val="000000"/>
                <w:lang w:val="es-CR"/>
              </w:rPr>
              <w:t>IVM</w:t>
            </w:r>
            <w:r w:rsidR="00D77305">
              <w:rPr>
                <w:rFonts w:eastAsia="Times New Roman" w:cs="Calibri"/>
                <w:color w:val="000000"/>
                <w:lang w:val="es-CR"/>
              </w:rPr>
              <w:t>.</w:t>
            </w:r>
          </w:p>
        </w:tc>
        <w:tc>
          <w:tcPr>
            <w:tcW w:w="512" w:type="pct"/>
            <w:noWrap/>
          </w:tcPr>
          <w:p w14:paraId="1CBD8E3D" w14:textId="77777777" w:rsidR="00BC4AFF" w:rsidRPr="00DD170F" w:rsidRDefault="00BC4AFF" w:rsidP="0021212F">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DD170F">
              <w:rPr>
                <w:rFonts w:eastAsia="Times New Roman" w:cs="Calibri"/>
                <w:color w:val="000000"/>
                <w:lang w:val="es-CR"/>
              </w:rPr>
              <w:t>Iniciativa</w:t>
            </w:r>
          </w:p>
        </w:tc>
        <w:tc>
          <w:tcPr>
            <w:tcW w:w="755" w:type="pct"/>
            <w:noWrap/>
          </w:tcPr>
          <w:p w14:paraId="2F068D2F" w14:textId="2D2769A2" w:rsidR="00BC4AFF" w:rsidRPr="00DD170F" w:rsidRDefault="00BC4AFF"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DD170F">
              <w:rPr>
                <w:rFonts w:eastAsia="Times New Roman" w:cs="Calibri"/>
                <w:color w:val="000000"/>
                <w:lang w:val="es-CR"/>
              </w:rPr>
              <w:t>PDC-0130-2020</w:t>
            </w:r>
            <w:r w:rsidR="00D77305">
              <w:rPr>
                <w:rFonts w:eastAsia="Times New Roman" w:cs="Calibri"/>
                <w:color w:val="000000"/>
                <w:lang w:val="es-CR"/>
              </w:rPr>
              <w:t xml:space="preserve"> y </w:t>
            </w:r>
            <w:r w:rsidRPr="00DD170F">
              <w:rPr>
                <w:rFonts w:eastAsia="Times New Roman" w:cs="Calibri"/>
                <w:color w:val="000000"/>
                <w:lang w:val="es-CR"/>
              </w:rPr>
              <w:t>SP-1189-2020</w:t>
            </w:r>
            <w:r>
              <w:rPr>
                <w:rFonts w:eastAsia="Times New Roman" w:cs="Calibri"/>
                <w:color w:val="000000"/>
                <w:lang w:val="es-CR"/>
              </w:rPr>
              <w:t xml:space="preserve"> de 22 de setiembre de 2020</w:t>
            </w:r>
          </w:p>
        </w:tc>
      </w:tr>
      <w:tr w:rsidR="00BC4AFF" w:rsidRPr="0016050A" w14:paraId="0E93D968" w14:textId="77777777" w:rsidTr="004D0DCE">
        <w:trPr>
          <w:trHeight w:val="1270"/>
          <w:jc w:val="center"/>
        </w:trPr>
        <w:tc>
          <w:tcPr>
            <w:cnfStyle w:val="001000000000" w:firstRow="0" w:lastRow="0" w:firstColumn="1" w:lastColumn="0" w:oddVBand="0" w:evenVBand="0" w:oddHBand="0" w:evenHBand="0" w:firstRowFirstColumn="0" w:firstRowLastColumn="0" w:lastRowFirstColumn="0" w:lastRowLastColumn="0"/>
            <w:tcW w:w="1261" w:type="pct"/>
          </w:tcPr>
          <w:p w14:paraId="563B1CD3" w14:textId="77777777" w:rsidR="00BC4AFF" w:rsidRPr="00DD170F" w:rsidRDefault="00BC4AFF" w:rsidP="0021212F">
            <w:pPr>
              <w:jc w:val="both"/>
              <w:rPr>
                <w:rFonts w:eastAsia="Times New Roman" w:cs="Calibri"/>
                <w:color w:val="000000"/>
                <w:lang w:val="es-CR"/>
              </w:rPr>
            </w:pPr>
            <w:r>
              <w:rPr>
                <w:rFonts w:eastAsia="Times New Roman" w:cs="Calibri"/>
                <w:color w:val="000000"/>
                <w:lang w:val="es-CR"/>
              </w:rPr>
              <w:t xml:space="preserve">21.639 </w:t>
            </w:r>
            <w:proofErr w:type="gramStart"/>
            <w:r>
              <w:rPr>
                <w:rFonts w:eastAsia="Times New Roman" w:cs="Calibri"/>
                <w:color w:val="000000"/>
                <w:lang w:val="es-CR"/>
              </w:rPr>
              <w:t>Le</w:t>
            </w:r>
            <w:r w:rsidRPr="00DD170F">
              <w:rPr>
                <w:rFonts w:eastAsia="Times New Roman" w:cs="Calibri"/>
                <w:color w:val="000000"/>
                <w:lang w:val="es-CR"/>
              </w:rPr>
              <w:t>y</w:t>
            </w:r>
            <w:proofErr w:type="gramEnd"/>
            <w:r w:rsidRPr="00DD170F">
              <w:rPr>
                <w:rFonts w:eastAsia="Times New Roman" w:cs="Calibri"/>
                <w:color w:val="000000"/>
                <w:lang w:val="es-CR"/>
              </w:rPr>
              <w:t xml:space="preserve"> de pensión basada en el consumo</w:t>
            </w:r>
          </w:p>
        </w:tc>
        <w:tc>
          <w:tcPr>
            <w:tcW w:w="2472" w:type="pct"/>
          </w:tcPr>
          <w:p w14:paraId="34CD9D26" w14:textId="77777777" w:rsidR="00BC4AFF" w:rsidRPr="00DD170F" w:rsidRDefault="00BC4AFF"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P</w:t>
            </w:r>
            <w:r w:rsidRPr="00DD170F">
              <w:rPr>
                <w:rFonts w:eastAsia="Times New Roman" w:cs="Calibri"/>
                <w:color w:val="000000"/>
                <w:lang w:val="es-CR"/>
              </w:rPr>
              <w:t>ropone destinar una fracción de lo que cada persona paga por concepto del Impuesto al Valor Agregado (3%) al financiamiento de una pensión individual para su vejez.</w:t>
            </w:r>
          </w:p>
          <w:p w14:paraId="4F12941E" w14:textId="77777777" w:rsidR="00BC4AFF" w:rsidRDefault="00BC4AFF"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p>
        </w:tc>
        <w:tc>
          <w:tcPr>
            <w:tcW w:w="512" w:type="pct"/>
            <w:noWrap/>
          </w:tcPr>
          <w:p w14:paraId="16C93085" w14:textId="77777777" w:rsidR="00BC4AFF" w:rsidRPr="00DD170F" w:rsidRDefault="00BC4AFF" w:rsidP="0021212F">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DD170F">
              <w:rPr>
                <w:rFonts w:eastAsia="Times New Roman" w:cs="Calibri"/>
                <w:color w:val="000000"/>
                <w:lang w:val="es-CR"/>
              </w:rPr>
              <w:t>Iniciativa</w:t>
            </w:r>
          </w:p>
        </w:tc>
        <w:tc>
          <w:tcPr>
            <w:tcW w:w="755" w:type="pct"/>
            <w:noWrap/>
          </w:tcPr>
          <w:p w14:paraId="3F572E31" w14:textId="5C0C2A44" w:rsidR="00BC4AFF" w:rsidRPr="00DD170F" w:rsidRDefault="00BC4AFF"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La consulta del proyecto ingresó el día 25 de setiembre de 2020. Se solicitó una prórroga de 10 días a la Asamblea Legislativa para su atención.</w:t>
            </w:r>
          </w:p>
        </w:tc>
      </w:tr>
      <w:tr w:rsidR="00BC4AFF" w:rsidRPr="0016050A" w14:paraId="734749E9" w14:textId="77777777" w:rsidTr="004D0DCE">
        <w:trPr>
          <w:cnfStyle w:val="000000100000" w:firstRow="0" w:lastRow="0" w:firstColumn="0" w:lastColumn="0" w:oddVBand="0" w:evenVBand="0" w:oddHBand="1" w:evenHBand="0" w:firstRowFirstColumn="0" w:firstRowLastColumn="0" w:lastRowFirstColumn="0" w:lastRowLastColumn="0"/>
          <w:trHeight w:val="1270"/>
          <w:jc w:val="center"/>
        </w:trPr>
        <w:tc>
          <w:tcPr>
            <w:cnfStyle w:val="001000000000" w:firstRow="0" w:lastRow="0" w:firstColumn="1" w:lastColumn="0" w:oddVBand="0" w:evenVBand="0" w:oddHBand="0" w:evenHBand="0" w:firstRowFirstColumn="0" w:firstRowLastColumn="0" w:lastRowFirstColumn="0" w:lastRowLastColumn="0"/>
            <w:tcW w:w="1261" w:type="pct"/>
          </w:tcPr>
          <w:p w14:paraId="590828D2" w14:textId="229BC2B0" w:rsidR="00BC4AFF" w:rsidRPr="00DD170F" w:rsidRDefault="00BC4AFF" w:rsidP="0021212F">
            <w:pPr>
              <w:jc w:val="both"/>
              <w:rPr>
                <w:rFonts w:eastAsia="Times New Roman" w:cs="Calibri"/>
                <w:color w:val="000000"/>
              </w:rPr>
            </w:pPr>
            <w:r>
              <w:rPr>
                <w:rFonts w:eastAsia="Times New Roman" w:cs="Calibri"/>
                <w:color w:val="000000"/>
                <w:lang w:val="es-CR"/>
              </w:rPr>
              <w:t>22.031</w:t>
            </w:r>
            <w:r w:rsidR="00AF11C9">
              <w:rPr>
                <w:rFonts w:eastAsia="Times New Roman" w:cs="Calibri"/>
                <w:color w:val="000000"/>
                <w:lang w:val="es-CR"/>
              </w:rPr>
              <w:t xml:space="preserve"> </w:t>
            </w:r>
            <w:proofErr w:type="gramStart"/>
            <w:r w:rsidRPr="00DD170F">
              <w:rPr>
                <w:rFonts w:eastAsia="Times New Roman" w:cs="Calibri"/>
                <w:color w:val="000000"/>
                <w:lang w:val="es-CR"/>
              </w:rPr>
              <w:t>Adición</w:t>
            </w:r>
            <w:proofErr w:type="gramEnd"/>
            <w:r w:rsidRPr="00DD170F">
              <w:rPr>
                <w:rFonts w:eastAsia="Times New Roman" w:cs="Calibri"/>
                <w:color w:val="000000"/>
                <w:lang w:val="es-CR"/>
              </w:rPr>
              <w:t xml:space="preserve"> de un transitorio único al artículo 3° de la Ley Constitutiva de la </w:t>
            </w:r>
            <w:r w:rsidR="00D80F29">
              <w:rPr>
                <w:rFonts w:eastAsia="Times New Roman" w:cs="Calibri"/>
                <w:color w:val="000000"/>
                <w:lang w:val="es-CR"/>
              </w:rPr>
              <w:t>CCSS</w:t>
            </w:r>
            <w:r w:rsidRPr="00DD170F">
              <w:rPr>
                <w:rFonts w:eastAsia="Times New Roman" w:cs="Calibri"/>
                <w:color w:val="000000"/>
                <w:lang w:val="es-CR"/>
              </w:rPr>
              <w:t xml:space="preserve"> y sus reformas (Ley N° 17 del 22 de octubre de 1943)”.</w:t>
            </w:r>
          </w:p>
        </w:tc>
        <w:tc>
          <w:tcPr>
            <w:tcW w:w="2472" w:type="pct"/>
          </w:tcPr>
          <w:p w14:paraId="55915B47" w14:textId="438C4323" w:rsidR="00BC4AFF" w:rsidRPr="00231E7E" w:rsidRDefault="00BC4AFF" w:rsidP="0021212F">
            <w:pPr>
              <w:jc w:val="both"/>
              <w:cnfStyle w:val="000000100000" w:firstRow="0" w:lastRow="0" w:firstColumn="0" w:lastColumn="0" w:oddVBand="0" w:evenVBand="0" w:oddHBand="1" w:evenHBand="0" w:firstRowFirstColumn="0" w:firstRowLastColumn="0" w:lastRowFirstColumn="0" w:lastRowLastColumn="0"/>
              <w:rPr>
                <w:szCs w:val="24"/>
              </w:rPr>
            </w:pPr>
            <w:r>
              <w:rPr>
                <w:rFonts w:eastAsia="Times New Roman" w:cs="Calibri"/>
                <w:color w:val="000000"/>
                <w:lang w:val="es-CR"/>
              </w:rPr>
              <w:t xml:space="preserve">Se adiciona </w:t>
            </w:r>
            <w:r w:rsidRPr="00F01A28">
              <w:rPr>
                <w:szCs w:val="24"/>
              </w:rPr>
              <w:t xml:space="preserve">una disposición transitoria al artículo 3° de la </w:t>
            </w:r>
            <w:r w:rsidRPr="00F01A28">
              <w:rPr>
                <w:i/>
                <w:iCs/>
                <w:szCs w:val="24"/>
              </w:rPr>
              <w:t xml:space="preserve">Ley Constitutiva de la </w:t>
            </w:r>
            <w:r w:rsidR="00F61ECF">
              <w:rPr>
                <w:i/>
                <w:iCs/>
                <w:szCs w:val="24"/>
              </w:rPr>
              <w:t>CCSS</w:t>
            </w:r>
            <w:r w:rsidR="00D142B9">
              <w:rPr>
                <w:i/>
                <w:iCs/>
                <w:szCs w:val="24"/>
              </w:rPr>
              <w:t xml:space="preserve"> </w:t>
            </w:r>
            <w:r w:rsidRPr="00F01A28">
              <w:rPr>
                <w:szCs w:val="24"/>
              </w:rPr>
              <w:t xml:space="preserve">para que, desde el 16 de marzo del 2020 hasta que concluya el Estado de Emergencia Decretado por el Poder Ejecutivo con motivo de la situación sanitaria provocada por el COVID-19, y para efectos de cálculo del monto de la pensión por invalidez, vejez o muerte, se autorice a la </w:t>
            </w:r>
            <w:r w:rsidR="00892660">
              <w:rPr>
                <w:szCs w:val="24"/>
              </w:rPr>
              <w:t xml:space="preserve">CCSS de </w:t>
            </w:r>
            <w:r w:rsidRPr="00F01A28">
              <w:rPr>
                <w:szCs w:val="24"/>
              </w:rPr>
              <w:t>prescindir de las cuotas que hubiesen sido</w:t>
            </w:r>
            <w:r w:rsidR="00D142B9">
              <w:rPr>
                <w:szCs w:val="24"/>
              </w:rPr>
              <w:t xml:space="preserve"> </w:t>
            </w:r>
            <w:r w:rsidRPr="00F01A28">
              <w:rPr>
                <w:szCs w:val="24"/>
              </w:rPr>
              <w:t xml:space="preserve">reportadas durante ese período para cualquier trabajador activo, cuya jornada laboral y salario mensual hayan sido reducidos, de acuerdo con lo dispuesto en la Ley N° 9832 del 23 de marzo del 2020. </w:t>
            </w:r>
          </w:p>
        </w:tc>
        <w:tc>
          <w:tcPr>
            <w:tcW w:w="512" w:type="pct"/>
            <w:noWrap/>
          </w:tcPr>
          <w:p w14:paraId="44678F7B" w14:textId="77777777" w:rsidR="00BC4AFF" w:rsidRPr="00AC373D" w:rsidRDefault="00BC4AFF" w:rsidP="0021212F">
            <w:pP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DD170F">
              <w:rPr>
                <w:rFonts w:eastAsia="Times New Roman" w:cs="Calibri"/>
                <w:color w:val="000000"/>
                <w:lang w:val="es-CR"/>
              </w:rPr>
              <w:t>Iniciativa</w:t>
            </w:r>
          </w:p>
        </w:tc>
        <w:tc>
          <w:tcPr>
            <w:tcW w:w="755" w:type="pct"/>
            <w:noWrap/>
          </w:tcPr>
          <w:p w14:paraId="53F82F9C" w14:textId="77777777" w:rsidR="00BC4AFF" w:rsidRPr="00DD170F" w:rsidRDefault="00BC4AFF"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DD170F">
              <w:rPr>
                <w:rFonts w:eastAsia="Times New Roman" w:cs="Calibri"/>
                <w:color w:val="000000"/>
                <w:lang w:val="es-CR"/>
              </w:rPr>
              <w:t>SP-1065-2020</w:t>
            </w:r>
            <w:r>
              <w:rPr>
                <w:rFonts w:eastAsia="Times New Roman" w:cs="Calibri"/>
                <w:color w:val="000000"/>
                <w:lang w:val="es-CR"/>
              </w:rPr>
              <w:t xml:space="preserve"> del 13 de agosto de 2020.</w:t>
            </w:r>
          </w:p>
        </w:tc>
      </w:tr>
      <w:tr w:rsidR="00BC4AFF" w:rsidRPr="0016050A" w14:paraId="0A110FA9" w14:textId="77777777" w:rsidTr="004D0DCE">
        <w:trPr>
          <w:trHeight w:val="844"/>
          <w:jc w:val="center"/>
        </w:trPr>
        <w:tc>
          <w:tcPr>
            <w:cnfStyle w:val="001000000000" w:firstRow="0" w:lastRow="0" w:firstColumn="1" w:lastColumn="0" w:oddVBand="0" w:evenVBand="0" w:oddHBand="0" w:evenHBand="0" w:firstRowFirstColumn="0" w:firstRowLastColumn="0" w:lastRowFirstColumn="0" w:lastRowLastColumn="0"/>
            <w:tcW w:w="1261" w:type="pct"/>
          </w:tcPr>
          <w:p w14:paraId="10EB7279" w14:textId="77777777" w:rsidR="00BC4AFF" w:rsidRPr="00DD170F" w:rsidRDefault="00BC4AFF" w:rsidP="0021212F">
            <w:pPr>
              <w:jc w:val="both"/>
            </w:pPr>
            <w:r w:rsidRPr="00DD170F">
              <w:t>21345 ley de reforma para la equidad, eficiencia y sostenibilidad de los reg</w:t>
            </w:r>
            <w:r w:rsidRPr="00DD170F">
              <w:rPr>
                <w:rFonts w:hint="eastAsia"/>
              </w:rPr>
              <w:t>í</w:t>
            </w:r>
            <w:r w:rsidRPr="00DD170F">
              <w:t>menes de pensiones</w:t>
            </w:r>
          </w:p>
        </w:tc>
        <w:tc>
          <w:tcPr>
            <w:tcW w:w="2472" w:type="pct"/>
          </w:tcPr>
          <w:p w14:paraId="33934521" w14:textId="77CD096C" w:rsidR="00BC4AFF" w:rsidRDefault="00C67B35"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R</w:t>
            </w:r>
            <w:r w:rsidR="00BC4AFF" w:rsidRPr="00DD170F">
              <w:rPr>
                <w:rFonts w:eastAsia="Times New Roman" w:cs="Calibri"/>
                <w:color w:val="000000"/>
                <w:lang w:val="es-CR"/>
              </w:rPr>
              <w:t>eformar los artículos 4, 6, 8, 11, 28, 29, 31 y 43 de la Ley Creación del Régimen General de Pensiones con Cargo al Presupuesto Nacional, de Otros Regímenes Especiales y Reforma a la Ley N° 7092 del 21 de abril de 1988 y sus reformas, Ley del Impuesto sobre la Renta, N° 7302 de 8 de julio de 1992, para aumentar la edad para pensionarse, a partir de la cobertura de esta ley, de 60 años a 65 años, y eliminar la posibilidad de que los servidores que tengan más de 65 años de edad y que hayan servido y cotizado para el régimen especial al que pertenecen por más de veinte años, puedan optar por la pensión al amparo de esa ley.</w:t>
            </w:r>
          </w:p>
          <w:p w14:paraId="736D055E" w14:textId="77777777" w:rsidR="00C67B35" w:rsidRDefault="00C67B35"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E</w:t>
            </w:r>
            <w:r w:rsidR="00BC4AFF" w:rsidRPr="00DD170F">
              <w:rPr>
                <w:rFonts w:eastAsia="Times New Roman" w:cs="Calibri"/>
                <w:color w:val="000000"/>
                <w:lang w:val="es-CR"/>
              </w:rPr>
              <w:t xml:space="preserve">stablecer como tope al monto de las pensiones reguladas por esa ley, el equivalente a veintitrés veces la línea de pobreza, según el </w:t>
            </w:r>
            <w:r w:rsidR="00D117F7">
              <w:rPr>
                <w:rFonts w:eastAsia="Times New Roman" w:cs="Calibri"/>
                <w:color w:val="000000"/>
                <w:lang w:val="es-CR"/>
              </w:rPr>
              <w:t>INEC</w:t>
            </w:r>
            <w:r w:rsidR="00BC4AFF" w:rsidRPr="00DD170F">
              <w:rPr>
                <w:rFonts w:eastAsia="Times New Roman" w:cs="Calibri"/>
                <w:color w:val="000000"/>
                <w:lang w:val="es-CR"/>
              </w:rPr>
              <w:t xml:space="preserve"> </w:t>
            </w:r>
          </w:p>
          <w:p w14:paraId="450966C7" w14:textId="73FF9BAE" w:rsidR="00187E4F" w:rsidRDefault="00C67B35"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M</w:t>
            </w:r>
            <w:r w:rsidR="00BC4AFF" w:rsidRPr="00DD170F">
              <w:rPr>
                <w:rFonts w:eastAsia="Times New Roman" w:cs="Calibri"/>
                <w:color w:val="000000"/>
                <w:lang w:val="es-CR"/>
              </w:rPr>
              <w:t>odificar la regulación de los derechos de los causahabientes a recibir pensión, aspectos sobre sumas giradas de más al causante</w:t>
            </w:r>
          </w:p>
          <w:p w14:paraId="4A5D7076" w14:textId="79009833" w:rsidR="00187E4F" w:rsidRDefault="00187E4F"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C</w:t>
            </w:r>
            <w:r w:rsidR="00BC4AFF" w:rsidRPr="00DD170F">
              <w:rPr>
                <w:rFonts w:eastAsia="Times New Roman" w:cs="Calibri"/>
                <w:color w:val="000000"/>
                <w:lang w:val="es-CR"/>
              </w:rPr>
              <w:t>ambiar la regulación para que se refiera a regímenes de la ley a “los regímenes contributivos con cargo al Presupuesto Nacional”</w:t>
            </w:r>
          </w:p>
          <w:p w14:paraId="45FEBDB7" w14:textId="18F37E3C" w:rsidR="00BC4AFF" w:rsidRDefault="00187E4F"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E</w:t>
            </w:r>
            <w:r w:rsidR="00BC4AFF" w:rsidRPr="00DD170F">
              <w:rPr>
                <w:rFonts w:eastAsia="Times New Roman" w:cs="Calibri"/>
                <w:color w:val="000000"/>
                <w:lang w:val="es-CR"/>
              </w:rPr>
              <w:t>stablecer que a los cotizantes de los regímenes contributivos con cargo al Presupuesto Nacional se les deduzca una comisión de administración del cinco por mil de sus salarios o pensiones</w:t>
            </w:r>
            <w:r w:rsidR="006F275A">
              <w:rPr>
                <w:rFonts w:eastAsia="Times New Roman" w:cs="Calibri"/>
                <w:color w:val="000000"/>
                <w:lang w:val="es-CR"/>
              </w:rPr>
              <w:t>.</w:t>
            </w:r>
          </w:p>
        </w:tc>
        <w:tc>
          <w:tcPr>
            <w:tcW w:w="512" w:type="pct"/>
            <w:noWrap/>
          </w:tcPr>
          <w:p w14:paraId="58C1002D" w14:textId="3C1A1ECA" w:rsidR="00BC4AFF" w:rsidRPr="00AC373D" w:rsidRDefault="00AC373D" w:rsidP="0021212F">
            <w:pP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Pr>
                <w:rFonts w:eastAsia="Times New Roman" w:cs="Calibri"/>
                <w:color w:val="000000"/>
              </w:rPr>
              <w:t>Iniciativa</w:t>
            </w:r>
          </w:p>
        </w:tc>
        <w:tc>
          <w:tcPr>
            <w:tcW w:w="755" w:type="pct"/>
            <w:noWrap/>
          </w:tcPr>
          <w:p w14:paraId="7F30B15C" w14:textId="77777777" w:rsidR="00BC4AFF" w:rsidRPr="00DD170F" w:rsidRDefault="00BC4AFF"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p>
        </w:tc>
      </w:tr>
    </w:tbl>
    <w:p w14:paraId="4A6C9309" w14:textId="77777777" w:rsidR="00A439E3" w:rsidRDefault="00A439E3" w:rsidP="00A439E3">
      <w:pPr>
        <w:pStyle w:val="Descripcin"/>
        <w:spacing w:after="0"/>
      </w:pPr>
      <w:r>
        <w:t xml:space="preserve">Fuente: Elaboración propia </w:t>
      </w:r>
    </w:p>
    <w:p w14:paraId="42519503" w14:textId="66EEA0D9" w:rsidR="00A439E3" w:rsidRDefault="00F354AD" w:rsidP="00231E7E">
      <w:pPr>
        <w:pStyle w:val="Descripcin"/>
        <w:spacing w:after="0"/>
        <w:jc w:val="both"/>
      </w:pPr>
      <w:r>
        <w:t xml:space="preserve">Nota: se atendieron </w:t>
      </w:r>
      <w:r w:rsidR="008A234A">
        <w:t xml:space="preserve">otros </w:t>
      </w:r>
      <w:r w:rsidR="00980FCC">
        <w:t>E</w:t>
      </w:r>
      <w:r>
        <w:t>xp</w:t>
      </w:r>
      <w:r w:rsidR="00980FCC">
        <w:t xml:space="preserve">edientes Legislativos no relacionados con pensiones: </w:t>
      </w:r>
      <w:r w:rsidR="00231E7E" w:rsidRPr="00231E7E">
        <w:t>22.105 Ley de estimulación financiera para la reactivación económica sostenible</w:t>
      </w:r>
    </w:p>
    <w:p w14:paraId="5275A347" w14:textId="77777777" w:rsidR="004D0DCE" w:rsidRPr="001F521E" w:rsidRDefault="004D0DCE" w:rsidP="004D0DCE">
      <w:pPr>
        <w:pStyle w:val="Ttulo2"/>
        <w:jc w:val="both"/>
        <w:rPr>
          <w:i/>
          <w:iCs/>
          <w:sz w:val="32"/>
          <w:szCs w:val="32"/>
        </w:rPr>
      </w:pPr>
      <w:bookmarkStart w:id="20" w:name="_Toc64039051"/>
      <w:bookmarkStart w:id="21" w:name="_Toc64039570"/>
      <w:r w:rsidRPr="001F521E">
        <w:rPr>
          <w:i/>
          <w:iCs/>
        </w:rPr>
        <w:t>Decreto Legislativo N° 9906</w:t>
      </w:r>
      <w:bookmarkEnd w:id="20"/>
      <w:bookmarkEnd w:id="21"/>
    </w:p>
    <w:p w14:paraId="49A2DD5B" w14:textId="3FF96E70" w:rsidR="004D0DCE" w:rsidRDefault="004D0DCE">
      <w:r>
        <w:rPr>
          <w:noProof/>
        </w:rPr>
        <mc:AlternateContent>
          <mc:Choice Requires="wps">
            <w:drawing>
              <wp:anchor distT="45720" distB="45720" distL="114300" distR="114300" simplePos="0" relativeHeight="251658242" behindDoc="0" locked="0" layoutInCell="1" allowOverlap="1" wp14:anchorId="7F0D22A6" wp14:editId="0F5E9852">
                <wp:simplePos x="0" y="0"/>
                <wp:positionH relativeFrom="column">
                  <wp:posOffset>-334010</wp:posOffset>
                </wp:positionH>
                <wp:positionV relativeFrom="paragraph">
                  <wp:posOffset>322580</wp:posOffset>
                </wp:positionV>
                <wp:extent cx="8731250" cy="4051300"/>
                <wp:effectExtent l="0" t="0" r="12700" b="2540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1250" cy="4051300"/>
                        </a:xfrm>
                        <a:prstGeom prst="rect">
                          <a:avLst/>
                        </a:prstGeom>
                        <a:solidFill>
                          <a:schemeClr val="accent1">
                            <a:lumMod val="20000"/>
                            <a:lumOff val="80000"/>
                          </a:schemeClr>
                        </a:solidFill>
                        <a:ln w="9525" cap="rnd">
                          <a:solidFill>
                            <a:schemeClr val="tx2">
                              <a:lumMod val="75000"/>
                            </a:schemeClr>
                          </a:solidFill>
                          <a:miter lim="800000"/>
                          <a:headEnd/>
                          <a:tailEnd/>
                        </a:ln>
                      </wps:spPr>
                      <wps:txbx>
                        <w:txbxContent>
                          <w:p w14:paraId="3A71B8DF" w14:textId="77777777" w:rsidR="00C50A6E" w:rsidRPr="00357176" w:rsidRDefault="00C50A6E" w:rsidP="001F521E">
                            <w:pPr>
                              <w:spacing w:after="0" w:line="240" w:lineRule="auto"/>
                              <w:jc w:val="both"/>
                              <w:rPr>
                                <w:i/>
                                <w:iCs/>
                                <w:sz w:val="20"/>
                                <w:szCs w:val="20"/>
                              </w:rPr>
                            </w:pPr>
                            <w:r w:rsidRPr="00357176">
                              <w:rPr>
                                <w:i/>
                                <w:iCs/>
                                <w:sz w:val="20"/>
                                <w:szCs w:val="20"/>
                              </w:rPr>
                              <w:t>El 5 de octubre se aprobó el Decreto Legislativo N°9906, la Ley para resguardar el derecho de los trabajadores a retirar los recursos de la pensión complementaria, el cual contempla los siguientes cambios a la LPT:</w:t>
                            </w:r>
                          </w:p>
                          <w:p w14:paraId="37CE1AD4"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lang w:val="es-CR"/>
                              </w:rPr>
                            </w:pPr>
                            <w:r w:rsidRPr="00357176">
                              <w:rPr>
                                <w:rFonts w:eastAsia="Times New Roman"/>
                                <w:i/>
                                <w:iCs/>
                                <w:sz w:val="20"/>
                                <w:szCs w:val="20"/>
                              </w:rPr>
                              <w:t>Se elimina el paseo del FCL, anteriormente entraba al FCL el 3% del salario de aporte patronal y anualmente (en marzo de cada año) se traslada el 50% de este monto al ROP, el proyecto establece que al FCL ingresará el 1,5% del aporte patronal y el restante 1,5% entrará directamente al ROP.</w:t>
                            </w:r>
                          </w:p>
                          <w:p w14:paraId="78E817D2"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 xml:space="preserve">Se define una tasa para el traslado de los recursos cada 18 meses del BPDC al ROP. Sobre los recursos referidos en el inciso a) y b) del artículo 3 de la LPT, el BPDC reconocerá una tasa de interés anual igual a la tasa básica pasiva definida por el BCCR, más ciento sesenta puntos base. </w:t>
                            </w:r>
                          </w:p>
                          <w:p w14:paraId="7AE6C733"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Si no existieren beneficiarios establecidos por el RIVM o por el régimen público sustituto, ni tampoco beneficiarios designados como tales ante la operadora de pensiones, el saldo de la cuenta individual podrá ser reclamado ante la autoridad judicial de trabajo que corresponda, por cualquiera que tenga interés legítimo en ello, según establece el artículo 85 del Código de Trabajo.</w:t>
                            </w:r>
                          </w:p>
                          <w:p w14:paraId="0274EFBC"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Dentro de las modalidades de pensión se incorpora una renta temporal calculada hasta la expectativa de vida condicionada.</w:t>
                            </w:r>
                          </w:p>
                          <w:p w14:paraId="5B1DAAAE"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Se incluye el retiro total para los afiliados y pensionados que enfrenten una enfermedad terminal, debidamente calificada por la CCSS.</w:t>
                            </w:r>
                          </w:p>
                          <w:p w14:paraId="1C29B593"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En el caso de que la pensión mensual, calculada por alguna de las modalidades definidas en el a Ley, con excepción de la renta vitalicia, sea menor a un 20% de la pensión mínima del RIVM, la pensión otorgada por el ROP será ese monto, el cual se seguirá abonando hasta que se agote el saldo acumulado.</w:t>
                            </w:r>
                          </w:p>
                          <w:p w14:paraId="07278326"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Si los recursos del ROP no han sido retirados por los beneficiarios en un plazo de 10 años, contados a partir del fallecimiento del afiliado o pensionado, el derecho sobre tales recursos prescribirá y serán girados por las operadoras de pensiones a favor del RNC administrado por la CCSS.</w:t>
                            </w:r>
                          </w:p>
                          <w:p w14:paraId="11DF0BDE"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Se incorpora el transitorio XIX que establece que los afiliados al ROP que hayan adquirido el derecho a la pensión antes del 1 de enero de 2021, podrá optar por:</w:t>
                            </w:r>
                          </w:p>
                          <w:p w14:paraId="34D70CEE" w14:textId="77777777" w:rsidR="00C50A6E" w:rsidRPr="00357176" w:rsidRDefault="00C50A6E" w:rsidP="001F521E">
                            <w:pPr>
                              <w:pStyle w:val="Prrafodelista"/>
                              <w:numPr>
                                <w:ilvl w:val="1"/>
                                <w:numId w:val="19"/>
                              </w:numPr>
                              <w:spacing w:after="0" w:line="240" w:lineRule="auto"/>
                              <w:ind w:left="1134"/>
                              <w:contextualSpacing w:val="0"/>
                              <w:jc w:val="both"/>
                              <w:rPr>
                                <w:rFonts w:eastAsia="Times New Roman"/>
                                <w:i/>
                                <w:iCs/>
                                <w:sz w:val="20"/>
                                <w:szCs w:val="20"/>
                              </w:rPr>
                            </w:pPr>
                            <w:r w:rsidRPr="00357176">
                              <w:rPr>
                                <w:rFonts w:eastAsia="Times New Roman"/>
                                <w:i/>
                                <w:iCs/>
                                <w:sz w:val="20"/>
                                <w:szCs w:val="20"/>
                              </w:rPr>
                              <w:t>El pago de una mensualidad durante 30 meses, hasta agotar el saldo acumulado.</w:t>
                            </w:r>
                          </w:p>
                          <w:p w14:paraId="3917D2AA" w14:textId="77777777" w:rsidR="00C50A6E" w:rsidRPr="00357176" w:rsidRDefault="00C50A6E" w:rsidP="001F521E">
                            <w:pPr>
                              <w:pStyle w:val="Prrafodelista"/>
                              <w:numPr>
                                <w:ilvl w:val="1"/>
                                <w:numId w:val="19"/>
                              </w:numPr>
                              <w:spacing w:after="0" w:line="240" w:lineRule="auto"/>
                              <w:ind w:left="1134"/>
                              <w:contextualSpacing w:val="0"/>
                              <w:jc w:val="both"/>
                              <w:rPr>
                                <w:rFonts w:eastAsia="Times New Roman"/>
                                <w:i/>
                                <w:iCs/>
                                <w:sz w:val="20"/>
                                <w:szCs w:val="20"/>
                              </w:rPr>
                            </w:pPr>
                            <w:r w:rsidRPr="00357176">
                              <w:rPr>
                                <w:rFonts w:eastAsia="Times New Roman"/>
                                <w:i/>
                                <w:iCs/>
                                <w:sz w:val="20"/>
                                <w:szCs w:val="20"/>
                              </w:rPr>
                              <w:t>Un plan de beneficios de conformidad con el artículo 22 de LPT. En este caso podrán solicitar un retiro acelerado, en el cual se recibirá el 25% del saldo acumulado en cuatro pagos de acuerdo con la periodicidad definida en la Ley, hasta agotar el saldo.</w:t>
                            </w:r>
                          </w:p>
                          <w:p w14:paraId="61F9932E"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Se incorpora el transitorio XX que establece que los afiliados al ROP se pensionen a partir del 1 de enero de 2021 y hasta el 18 de febrero de 2030, podrán retirar los fondos acumulados en sus cuentas individuales en rentas temporales por un plazo equivalente a la cantidad de cuotas aportadas a este régimen. En aquellos casos, en que el monto de la pensión sea menor a un 20% de la pensión mínima del RIVM, la pensión otorgada por el ROP será ese monto, el cual se seguirá abonando hasta que se agote el saldo acumulado, sin importar la cantidad de cuotas aportadas a este régimen.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D22A6" id="_x0000_s1028" type="#_x0000_t202" style="position:absolute;margin-left:-26.3pt;margin-top:25.4pt;width:687.5pt;height:319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" fillcolor="#dbe5f1 [660]" strokecolor="#17365d [2415]">
                <v:stroke endcap="round"/>
                <v:textbox>
                  <w:txbxContent>
                    <w:p w14:paraId="3A71B8DF" w14:textId="77777777" w:rsidR="00C50A6E" w:rsidRPr="00357176" w:rsidRDefault="00C50A6E" w:rsidP="001F521E">
                      <w:pPr>
                        <w:spacing w:after="0" w:line="240" w:lineRule="auto"/>
                        <w:jc w:val="both"/>
                        <w:rPr>
                          <w:i/>
                          <w:iCs/>
                          <w:sz w:val="20"/>
                          <w:szCs w:val="20"/>
                        </w:rPr>
                      </w:pPr>
                      <w:r w:rsidRPr="00357176">
                        <w:rPr>
                          <w:i/>
                          <w:iCs/>
                          <w:sz w:val="20"/>
                          <w:szCs w:val="20"/>
                        </w:rPr>
                        <w:t>El 5 de octubre se aprobó el Decreto Legislativo N°9906, la Ley para resguardar el derecho de los trabajadores a retirar los recursos de la pensión complementaria, el cual contempla los siguientes cambios a la LPT:</w:t>
                      </w:r>
                    </w:p>
                    <w:p w14:paraId="37CE1AD4"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lang w:val="es-CR"/>
                        </w:rPr>
                      </w:pPr>
                      <w:r w:rsidRPr="00357176">
                        <w:rPr>
                          <w:rFonts w:eastAsia="Times New Roman"/>
                          <w:i/>
                          <w:iCs/>
                          <w:sz w:val="20"/>
                          <w:szCs w:val="20"/>
                        </w:rPr>
                        <w:t>Se elimina el paseo del FCL, anteriormente entraba al FCL el 3% del salario de aporte patronal y anualmente (en marzo de cada año) se traslada el 50% de este monto al ROP, el proyecto establece que al FCL ingresará el 1,5% del aporte patronal y el restante 1,5% entrará directamente al ROP.</w:t>
                      </w:r>
                    </w:p>
                    <w:p w14:paraId="78E817D2"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 xml:space="preserve">Se define una tasa para el traslado de los recursos cada 18 meses del BPDC al ROP. Sobre los recursos referidos en el inciso a) y b) del artículo 3 de la LPT, el BPDC reconocerá una tasa de interés anual igual a la tasa básica pasiva definida por el BCCR, más ciento sesenta puntos base. </w:t>
                      </w:r>
                    </w:p>
                    <w:p w14:paraId="7AE6C733"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Si no existieren beneficiarios establecidos por el RIVM o por el régimen público sustituto, ni tampoco beneficiarios designados como tales ante la operadora de pensiones, el saldo de la cuenta individual podrá ser reclamado ante la autoridad judicial de trabajo que corresponda, por cualquiera que tenga interés legítimo en ello, según establece el artículo 85 del Código de Trabajo.</w:t>
                      </w:r>
                    </w:p>
                    <w:p w14:paraId="0274EFBC"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Dentro de las modalidades de pensión se incorpora una renta temporal calculada hasta la expectativa de vida condicionada.</w:t>
                      </w:r>
                    </w:p>
                    <w:p w14:paraId="5B1DAAAE"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Se incluye el retiro total para los afiliados y pensionados que enfrenten una enfermedad terminal, debidamente calificada por la CCSS.</w:t>
                      </w:r>
                    </w:p>
                    <w:p w14:paraId="1C29B593"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En el caso de que la pensión mensual, calculada por alguna de las modalidades definidas en el a Ley, con excepción de la renta vitalicia, sea menor a un 20% de la pensión mínima del RIVM, la pensión otorgada por el ROP será ese monto, el cual se seguirá abonando hasta que se agote el saldo acumulado.</w:t>
                      </w:r>
                    </w:p>
                    <w:p w14:paraId="07278326"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Si los recursos del ROP no han sido retirados por los beneficiarios en un plazo de 10 años, contados a partir del fallecimiento del afiliado o pensionado, el derecho sobre tales recursos prescribirá y serán girados por las operadoras de pensiones a favor del RNC administrado por la CCSS.</w:t>
                      </w:r>
                    </w:p>
                    <w:p w14:paraId="11DF0BDE"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Se incorpora el transitorio XIX que establece que los afiliados al ROP que hayan adquirido el derecho a la pensión antes del 1 de enero de 2021, podrá optar por:</w:t>
                      </w:r>
                    </w:p>
                    <w:p w14:paraId="34D70CEE" w14:textId="77777777" w:rsidR="00C50A6E" w:rsidRPr="00357176" w:rsidRDefault="00C50A6E" w:rsidP="001F521E">
                      <w:pPr>
                        <w:pStyle w:val="Prrafodelista"/>
                        <w:numPr>
                          <w:ilvl w:val="1"/>
                          <w:numId w:val="19"/>
                        </w:numPr>
                        <w:spacing w:after="0" w:line="240" w:lineRule="auto"/>
                        <w:ind w:left="1134"/>
                        <w:contextualSpacing w:val="0"/>
                        <w:jc w:val="both"/>
                        <w:rPr>
                          <w:rFonts w:eastAsia="Times New Roman"/>
                          <w:i/>
                          <w:iCs/>
                          <w:sz w:val="20"/>
                          <w:szCs w:val="20"/>
                        </w:rPr>
                      </w:pPr>
                      <w:r w:rsidRPr="00357176">
                        <w:rPr>
                          <w:rFonts w:eastAsia="Times New Roman"/>
                          <w:i/>
                          <w:iCs/>
                          <w:sz w:val="20"/>
                          <w:szCs w:val="20"/>
                        </w:rPr>
                        <w:t>El pago de una mensualidad durante 30 meses, hasta agotar el saldo acumulado.</w:t>
                      </w:r>
                    </w:p>
                    <w:p w14:paraId="3917D2AA" w14:textId="77777777" w:rsidR="00C50A6E" w:rsidRPr="00357176" w:rsidRDefault="00C50A6E" w:rsidP="001F521E">
                      <w:pPr>
                        <w:pStyle w:val="Prrafodelista"/>
                        <w:numPr>
                          <w:ilvl w:val="1"/>
                          <w:numId w:val="19"/>
                        </w:numPr>
                        <w:spacing w:after="0" w:line="240" w:lineRule="auto"/>
                        <w:ind w:left="1134"/>
                        <w:contextualSpacing w:val="0"/>
                        <w:jc w:val="both"/>
                        <w:rPr>
                          <w:rFonts w:eastAsia="Times New Roman"/>
                          <w:i/>
                          <w:iCs/>
                          <w:sz w:val="20"/>
                          <w:szCs w:val="20"/>
                        </w:rPr>
                      </w:pPr>
                      <w:r w:rsidRPr="00357176">
                        <w:rPr>
                          <w:rFonts w:eastAsia="Times New Roman"/>
                          <w:i/>
                          <w:iCs/>
                          <w:sz w:val="20"/>
                          <w:szCs w:val="20"/>
                        </w:rPr>
                        <w:t>Un plan de beneficios de conformidad con el artículo 22 de LPT. En este caso podrán solicitar un retiro acelerado, en el cual se recibirá el 25% del saldo acumulado en cuatro pagos de acuerdo con la periodicidad definida en la Ley, hasta agotar el saldo.</w:t>
                      </w:r>
                    </w:p>
                    <w:p w14:paraId="61F9932E" w14:textId="77777777" w:rsidR="00C50A6E" w:rsidRPr="00357176" w:rsidRDefault="00C50A6E" w:rsidP="001F521E">
                      <w:pPr>
                        <w:pStyle w:val="Prrafodelista"/>
                        <w:numPr>
                          <w:ilvl w:val="0"/>
                          <w:numId w:val="6"/>
                        </w:numPr>
                        <w:spacing w:after="0" w:line="240" w:lineRule="auto"/>
                        <w:contextualSpacing w:val="0"/>
                        <w:jc w:val="both"/>
                        <w:rPr>
                          <w:rFonts w:eastAsia="Times New Roman"/>
                          <w:i/>
                          <w:iCs/>
                          <w:sz w:val="20"/>
                          <w:szCs w:val="20"/>
                        </w:rPr>
                      </w:pPr>
                      <w:r w:rsidRPr="00357176">
                        <w:rPr>
                          <w:rFonts w:eastAsia="Times New Roman"/>
                          <w:i/>
                          <w:iCs/>
                          <w:sz w:val="20"/>
                          <w:szCs w:val="20"/>
                        </w:rPr>
                        <w:t>Se incorpora el transitorio XX que establece que los afiliados al ROP se pensionen a partir del 1 de enero de 2021 y hasta el 18 de febrero de 2030, podrán retirar los fondos acumulados en sus cuentas individuales en rentas temporales por un plazo equivalente a la cantidad de cuotas aportadas a este régimen. En aquellos casos, en que el monto de la pensión sea menor a un 20% de la pensión mínima del RIVM, la pensión otorgada por el ROP será ese monto, el cual se seguirá abonando hasta que se agote el saldo acumulado, sin importar la cantidad de cuotas aportadas a este régimen.</w:t>
                      </w:r>
                    </w:p>
                  </w:txbxContent>
                </v:textbox>
                <w10:wrap type="square"/>
              </v:shape>
            </w:pict>
          </mc:Fallback>
        </mc:AlternateContent>
      </w:r>
    </w:p>
    <w:p w14:paraId="1E81D525" w14:textId="1B55A721" w:rsidR="000E31A9" w:rsidRDefault="000E31A9">
      <w:pPr>
        <w:rPr>
          <w:rFonts w:asciiTheme="majorHAnsi" w:eastAsiaTheme="majorEastAsia" w:hAnsiTheme="majorHAnsi" w:cstheme="majorBidi"/>
          <w:color w:val="365F91" w:themeColor="accent1" w:themeShade="BF"/>
          <w:sz w:val="32"/>
          <w:szCs w:val="32"/>
        </w:rPr>
      </w:pPr>
      <w:r>
        <w:br w:type="page"/>
      </w:r>
    </w:p>
    <w:p w14:paraId="2060700E" w14:textId="7E51ADB4" w:rsidR="006929F8" w:rsidRDefault="006929F8" w:rsidP="00096F4F">
      <w:pPr>
        <w:pStyle w:val="Ttulo1"/>
        <w:numPr>
          <w:ilvl w:val="0"/>
          <w:numId w:val="1"/>
        </w:numPr>
      </w:pPr>
      <w:bookmarkStart w:id="22" w:name="_Toc64039571"/>
      <w:r>
        <w:t>Acuerdos del Superintendente</w:t>
      </w:r>
      <w:bookmarkEnd w:id="22"/>
    </w:p>
    <w:p w14:paraId="2EB793A4" w14:textId="77777777" w:rsidR="00AD50FA" w:rsidRDefault="00AD50FA" w:rsidP="00DD5D6F">
      <w:pPr>
        <w:tabs>
          <w:tab w:val="left" w:pos="1485"/>
        </w:tabs>
        <w:spacing w:after="0" w:line="240" w:lineRule="auto"/>
      </w:pPr>
    </w:p>
    <w:p w14:paraId="53A7CA27" w14:textId="21E4C7E7" w:rsidR="00AD50FA" w:rsidRPr="004D0DCE" w:rsidRDefault="00AD50FA" w:rsidP="00AD50FA">
      <w:pPr>
        <w:pStyle w:val="Descripcin"/>
        <w:spacing w:after="0"/>
        <w:jc w:val="center"/>
        <w:rPr>
          <w:sz w:val="20"/>
          <w:szCs w:val="20"/>
        </w:rPr>
      </w:pPr>
      <w:r w:rsidRPr="004D0DCE">
        <w:rPr>
          <w:sz w:val="20"/>
          <w:szCs w:val="20"/>
        </w:rPr>
        <w:t xml:space="preserve">Tabla </w:t>
      </w:r>
      <w:r w:rsidRPr="004D0DCE">
        <w:rPr>
          <w:sz w:val="20"/>
          <w:szCs w:val="20"/>
        </w:rPr>
        <w:fldChar w:fldCharType="begin"/>
      </w:r>
      <w:r w:rsidRPr="004D0DCE">
        <w:rPr>
          <w:sz w:val="20"/>
          <w:szCs w:val="20"/>
        </w:rPr>
        <w:instrText xml:space="preserve"> SEQ Tabla \* ARABIC </w:instrText>
      </w:r>
      <w:r w:rsidRPr="004D0DCE">
        <w:rPr>
          <w:sz w:val="20"/>
          <w:szCs w:val="20"/>
        </w:rPr>
        <w:fldChar w:fldCharType="separate"/>
      </w:r>
      <w:r w:rsidR="007332AC" w:rsidRPr="004D0DCE">
        <w:rPr>
          <w:noProof/>
          <w:sz w:val="20"/>
          <w:szCs w:val="20"/>
        </w:rPr>
        <w:t>11</w:t>
      </w:r>
      <w:r w:rsidRPr="004D0DCE">
        <w:rPr>
          <w:sz w:val="20"/>
          <w:szCs w:val="20"/>
        </w:rPr>
        <w:fldChar w:fldCharType="end"/>
      </w:r>
      <w:r w:rsidRPr="004D0DCE">
        <w:rPr>
          <w:sz w:val="20"/>
          <w:szCs w:val="20"/>
        </w:rPr>
        <w:t xml:space="preserve">: Acuerdos de </w:t>
      </w:r>
      <w:r w:rsidR="005F0F5C" w:rsidRPr="004D0DCE">
        <w:rPr>
          <w:sz w:val="20"/>
          <w:szCs w:val="20"/>
        </w:rPr>
        <w:t>Superintendente</w:t>
      </w:r>
    </w:p>
    <w:p w14:paraId="67031042" w14:textId="77777777" w:rsidR="005F0F5C" w:rsidRPr="004D0DCE" w:rsidRDefault="005F0F5C" w:rsidP="00AD50FA">
      <w:pPr>
        <w:pStyle w:val="Descripcin"/>
        <w:spacing w:after="0"/>
        <w:jc w:val="center"/>
        <w:rPr>
          <w:sz w:val="20"/>
          <w:szCs w:val="20"/>
        </w:rPr>
      </w:pPr>
      <w:r w:rsidRPr="004D0DCE">
        <w:rPr>
          <w:sz w:val="20"/>
          <w:szCs w:val="20"/>
        </w:rPr>
        <w:t>Emitidos por SUPEN</w:t>
      </w:r>
    </w:p>
    <w:p w14:paraId="7B93A8DD" w14:textId="035BE15C" w:rsidR="00AD50FA" w:rsidRPr="004D0DCE" w:rsidRDefault="00AD50FA" w:rsidP="00AD50FA">
      <w:pPr>
        <w:pStyle w:val="Descripcin"/>
        <w:spacing w:after="0"/>
        <w:jc w:val="center"/>
        <w:rPr>
          <w:sz w:val="20"/>
          <w:szCs w:val="20"/>
        </w:rPr>
      </w:pPr>
      <w:r w:rsidRPr="004D0DCE">
        <w:rPr>
          <w:sz w:val="20"/>
          <w:szCs w:val="20"/>
        </w:rPr>
        <w:t>durante el</w:t>
      </w:r>
      <w:r w:rsidR="0087113D" w:rsidRPr="004D0DCE">
        <w:rPr>
          <w:sz w:val="20"/>
          <w:szCs w:val="20"/>
        </w:rPr>
        <w:t xml:space="preserve"> tercer</w:t>
      </w:r>
      <w:r w:rsidRPr="004D0DCE">
        <w:rPr>
          <w:sz w:val="20"/>
          <w:szCs w:val="20"/>
        </w:rPr>
        <w:t xml:space="preserve"> trimestre del 2020</w:t>
      </w:r>
    </w:p>
    <w:tbl>
      <w:tblPr>
        <w:tblStyle w:val="Tablaconcuadrcula4-nfasis1"/>
        <w:tblW w:w="12044" w:type="dxa"/>
        <w:jc w:val="center"/>
        <w:tblLayout w:type="fixed"/>
        <w:tblLook w:val="04A0" w:firstRow="1" w:lastRow="0" w:firstColumn="1" w:lastColumn="0" w:noHBand="0" w:noVBand="1"/>
      </w:tblPr>
      <w:tblGrid>
        <w:gridCol w:w="3256"/>
        <w:gridCol w:w="8788"/>
      </w:tblGrid>
      <w:tr w:rsidR="0087113D" w:rsidRPr="00B836A6" w14:paraId="32119ACD" w14:textId="77777777" w:rsidTr="004D0DCE">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3256" w:type="dxa"/>
            <w:noWrap/>
            <w:hideMark/>
          </w:tcPr>
          <w:p w14:paraId="0B7D781F" w14:textId="77777777" w:rsidR="0087113D" w:rsidRPr="00B836A6" w:rsidRDefault="0087113D" w:rsidP="0021212F">
            <w:pPr>
              <w:rPr>
                <w:rFonts w:eastAsia="Times New Roman" w:cs="Calibri"/>
                <w:lang w:val="es-CR"/>
              </w:rPr>
            </w:pPr>
            <w:r w:rsidRPr="00B836A6">
              <w:rPr>
                <w:rFonts w:eastAsia="Times New Roman" w:cs="Calibri"/>
                <w:lang w:val="es-CR"/>
              </w:rPr>
              <w:t>Acuerdo</w:t>
            </w:r>
          </w:p>
        </w:tc>
        <w:tc>
          <w:tcPr>
            <w:tcW w:w="8788" w:type="dxa"/>
            <w:noWrap/>
            <w:hideMark/>
          </w:tcPr>
          <w:p w14:paraId="6775ECFD" w14:textId="77777777" w:rsidR="0087113D" w:rsidRPr="00B836A6" w:rsidRDefault="0087113D" w:rsidP="0021212F">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B836A6">
              <w:rPr>
                <w:rFonts w:eastAsia="Times New Roman" w:cs="Calibri"/>
                <w:lang w:val="es-CR"/>
              </w:rPr>
              <w:t>Alcance</w:t>
            </w:r>
          </w:p>
        </w:tc>
      </w:tr>
      <w:tr w:rsidR="0087113D" w:rsidRPr="00B836A6" w14:paraId="6E2FD38C" w14:textId="77777777" w:rsidTr="004D0DCE">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256" w:type="dxa"/>
          </w:tcPr>
          <w:p w14:paraId="686C6BBC" w14:textId="77777777" w:rsidR="0087113D" w:rsidRPr="00B836A6" w:rsidRDefault="0087113D" w:rsidP="0021212F">
            <w:pPr>
              <w:jc w:val="both"/>
              <w:rPr>
                <w:rFonts w:eastAsia="Times New Roman" w:cs="Calibri"/>
                <w:color w:val="000000"/>
                <w:lang w:val="es-CR"/>
              </w:rPr>
            </w:pPr>
            <w:r w:rsidRPr="00754C40">
              <w:rPr>
                <w:rFonts w:eastAsia="Times New Roman" w:cs="Calibri"/>
                <w:color w:val="000000"/>
                <w:lang w:val="es-CR"/>
              </w:rPr>
              <w:t>SP-A-220</w:t>
            </w:r>
            <w:r>
              <w:rPr>
                <w:rFonts w:eastAsia="Times New Roman" w:cs="Calibri"/>
                <w:color w:val="000000"/>
                <w:lang w:val="es-CR"/>
              </w:rPr>
              <w:t xml:space="preserve"> </w:t>
            </w:r>
            <w:r>
              <w:t>Modificación Acuerdo SP-A-218-2020 del 17 de junio de 2020.</w:t>
            </w:r>
          </w:p>
        </w:tc>
        <w:tc>
          <w:tcPr>
            <w:tcW w:w="8788" w:type="dxa"/>
          </w:tcPr>
          <w:p w14:paraId="226DED28" w14:textId="77777777" w:rsidR="0087113D" w:rsidRPr="00B836A6" w:rsidRDefault="0087113D"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Se corrige fórmula para el cálculo del Valor Actuarial Neto (VANU)</w:t>
            </w:r>
          </w:p>
        </w:tc>
      </w:tr>
      <w:tr w:rsidR="0087113D" w:rsidRPr="00B836A6" w14:paraId="54E6C165" w14:textId="77777777" w:rsidTr="004D0DCE">
        <w:trPr>
          <w:trHeight w:val="797"/>
          <w:jc w:val="center"/>
        </w:trPr>
        <w:tc>
          <w:tcPr>
            <w:cnfStyle w:val="001000000000" w:firstRow="0" w:lastRow="0" w:firstColumn="1" w:lastColumn="0" w:oddVBand="0" w:evenVBand="0" w:oddHBand="0" w:evenHBand="0" w:firstRowFirstColumn="0" w:firstRowLastColumn="0" w:lastRowFirstColumn="0" w:lastRowLastColumn="0"/>
            <w:tcW w:w="3256" w:type="dxa"/>
          </w:tcPr>
          <w:p w14:paraId="3E1492FB" w14:textId="0B6E6A50" w:rsidR="0087113D" w:rsidRPr="00B836A6" w:rsidRDefault="0087113D" w:rsidP="00B967BF">
            <w:pPr>
              <w:rPr>
                <w:rFonts w:eastAsia="Times New Roman" w:cs="Calibri"/>
                <w:color w:val="000000"/>
                <w:lang w:val="es-CR"/>
              </w:rPr>
            </w:pPr>
            <w:r w:rsidRPr="004517B8">
              <w:rPr>
                <w:rFonts w:eastAsia="Times New Roman" w:cs="Calibri"/>
                <w:color w:val="000000"/>
                <w:lang w:val="es-CR"/>
              </w:rPr>
              <w:t>SP-A-221</w:t>
            </w:r>
            <w:r>
              <w:rPr>
                <w:rFonts w:eastAsia="Times New Roman" w:cs="Calibri"/>
                <w:color w:val="000000"/>
                <w:lang w:val="es-CR"/>
              </w:rPr>
              <w:t xml:space="preserve"> Se modifica art</w:t>
            </w:r>
            <w:r w:rsidR="00735FCC">
              <w:rPr>
                <w:rFonts w:eastAsia="Times New Roman" w:cs="Calibri"/>
                <w:color w:val="000000"/>
                <w:lang w:val="es-CR"/>
              </w:rPr>
              <w:t>.</w:t>
            </w:r>
            <w:r>
              <w:rPr>
                <w:rFonts w:eastAsia="Times New Roman" w:cs="Calibri"/>
                <w:color w:val="000000"/>
                <w:lang w:val="es-CR"/>
              </w:rPr>
              <w:t xml:space="preserve"> 2 del acuerdo SP-A-211-2019</w:t>
            </w:r>
          </w:p>
        </w:tc>
        <w:tc>
          <w:tcPr>
            <w:tcW w:w="8788" w:type="dxa"/>
          </w:tcPr>
          <w:p w14:paraId="365779C1" w14:textId="55310E59" w:rsidR="0087113D" w:rsidRPr="00B836A6" w:rsidRDefault="0087113D"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Se modifica el </w:t>
            </w:r>
            <w:r w:rsidRPr="001919A3">
              <w:rPr>
                <w:rFonts w:eastAsia="Times New Roman" w:cs="Calibri"/>
                <w:color w:val="000000"/>
                <w:lang w:val="es-CR"/>
              </w:rPr>
              <w:t>plazo de entrega de la información referente al valor cuota,</w:t>
            </w:r>
            <w:r>
              <w:rPr>
                <w:rFonts w:eastAsia="Times New Roman" w:cs="Calibri"/>
                <w:color w:val="000000"/>
                <w:lang w:val="es-CR"/>
              </w:rPr>
              <w:t xml:space="preserve"> </w:t>
            </w:r>
            <w:r w:rsidRPr="001919A3">
              <w:rPr>
                <w:rFonts w:eastAsia="Times New Roman" w:cs="Calibri"/>
                <w:color w:val="000000"/>
                <w:lang w:val="es-CR"/>
              </w:rPr>
              <w:t>para que se realice con un plazo de hasta las doc</w:t>
            </w:r>
            <w:r w:rsidR="002A076A">
              <w:rPr>
                <w:rFonts w:eastAsia="Times New Roman" w:cs="Calibri"/>
                <w:color w:val="000000"/>
                <w:lang w:val="es-CR"/>
              </w:rPr>
              <w:t>e</w:t>
            </w:r>
            <w:r w:rsidRPr="001919A3">
              <w:rPr>
                <w:rFonts w:eastAsia="Times New Roman" w:cs="Calibri"/>
                <w:color w:val="000000"/>
                <w:lang w:val="es-CR"/>
              </w:rPr>
              <w:t xml:space="preserve"> </w:t>
            </w:r>
            <w:r w:rsidR="002A076A" w:rsidRPr="001919A3">
              <w:rPr>
                <w:rFonts w:eastAsia="Times New Roman" w:cs="Calibri"/>
                <w:color w:val="000000"/>
                <w:lang w:val="es-CR"/>
              </w:rPr>
              <w:t>horas del</w:t>
            </w:r>
            <w:r w:rsidRPr="001919A3">
              <w:rPr>
                <w:rFonts w:eastAsia="Times New Roman" w:cs="Calibri"/>
                <w:color w:val="000000"/>
                <w:lang w:val="es-CR"/>
              </w:rPr>
              <w:t xml:space="preserve"> mediodía</w:t>
            </w:r>
            <w:r>
              <w:rPr>
                <w:rFonts w:eastAsia="Times New Roman" w:cs="Calibri"/>
                <w:color w:val="000000"/>
                <w:lang w:val="es-CR"/>
              </w:rPr>
              <w:t xml:space="preserve"> </w:t>
            </w:r>
            <w:r w:rsidRPr="001919A3">
              <w:rPr>
                <w:rFonts w:eastAsia="Times New Roman" w:cs="Calibri"/>
                <w:color w:val="000000"/>
                <w:lang w:val="es-CR"/>
              </w:rPr>
              <w:t>del día hábil siguiente, por medio del servicio de transferencia de información</w:t>
            </w:r>
            <w:r>
              <w:rPr>
                <w:rFonts w:eastAsia="Times New Roman" w:cs="Calibri"/>
                <w:color w:val="000000"/>
                <w:lang w:val="es-CR"/>
              </w:rPr>
              <w:t xml:space="preserve"> </w:t>
            </w:r>
            <w:r w:rsidRPr="001919A3">
              <w:rPr>
                <w:rFonts w:eastAsia="Times New Roman" w:cs="Calibri"/>
                <w:color w:val="000000"/>
                <w:lang w:val="es-CR"/>
              </w:rPr>
              <w:t>VES</w:t>
            </w:r>
            <w:r>
              <w:rPr>
                <w:rFonts w:eastAsia="Times New Roman" w:cs="Calibri"/>
                <w:color w:val="000000"/>
                <w:lang w:val="es-CR"/>
              </w:rPr>
              <w:t>.</w:t>
            </w:r>
          </w:p>
        </w:tc>
      </w:tr>
      <w:tr w:rsidR="0087113D" w:rsidRPr="00B836A6" w14:paraId="49D2E6CF" w14:textId="77777777" w:rsidTr="004D0DCE">
        <w:trPr>
          <w:cnfStyle w:val="000000100000" w:firstRow="0" w:lastRow="0" w:firstColumn="0" w:lastColumn="0" w:oddVBand="0" w:evenVBand="0" w:oddHBand="1"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3256" w:type="dxa"/>
            <w:noWrap/>
          </w:tcPr>
          <w:p w14:paraId="4074B2D9" w14:textId="441ADF60" w:rsidR="0087113D" w:rsidRPr="00B836A6" w:rsidRDefault="0087113D" w:rsidP="0021212F">
            <w:pPr>
              <w:jc w:val="both"/>
              <w:rPr>
                <w:rFonts w:eastAsia="Times New Roman" w:cs="Calibri"/>
                <w:color w:val="000000"/>
                <w:lang w:val="es-CR"/>
              </w:rPr>
            </w:pPr>
            <w:r w:rsidRPr="007B4BFA">
              <w:rPr>
                <w:rFonts w:eastAsia="Times New Roman" w:cs="Calibri"/>
                <w:color w:val="000000"/>
                <w:lang w:val="es-CR"/>
              </w:rPr>
              <w:t>SP-A-222 Aspectos derivados</w:t>
            </w:r>
            <w:r w:rsidR="00645079">
              <w:rPr>
                <w:rFonts w:eastAsia="Times New Roman" w:cs="Calibri"/>
                <w:color w:val="000000"/>
                <w:lang w:val="es-CR"/>
              </w:rPr>
              <w:t xml:space="preserve"> </w:t>
            </w:r>
            <w:r w:rsidRPr="007B4BFA">
              <w:rPr>
                <w:rFonts w:eastAsia="Times New Roman" w:cs="Calibri"/>
                <w:color w:val="000000"/>
                <w:lang w:val="es-CR"/>
              </w:rPr>
              <w:t>de la suspensión</w:t>
            </w:r>
            <w:r w:rsidR="008D637D">
              <w:rPr>
                <w:rFonts w:eastAsia="Times New Roman" w:cs="Calibri"/>
                <w:color w:val="000000"/>
                <w:lang w:val="es-CR"/>
              </w:rPr>
              <w:t xml:space="preserve"> </w:t>
            </w:r>
            <w:r w:rsidRPr="007B4BFA">
              <w:rPr>
                <w:rFonts w:eastAsia="Times New Roman" w:cs="Calibri"/>
                <w:color w:val="000000"/>
                <w:lang w:val="es-CR"/>
              </w:rPr>
              <w:t>de los traslados</w:t>
            </w:r>
            <w:r w:rsidR="008D637D">
              <w:rPr>
                <w:rFonts w:eastAsia="Times New Roman" w:cs="Calibri"/>
                <w:color w:val="000000"/>
                <w:lang w:val="es-CR"/>
              </w:rPr>
              <w:t xml:space="preserve"> </w:t>
            </w:r>
            <w:r w:rsidRPr="007B4BFA">
              <w:rPr>
                <w:rFonts w:eastAsia="Times New Roman" w:cs="Calibri"/>
                <w:color w:val="000000"/>
                <w:lang w:val="es-CR"/>
              </w:rPr>
              <w:t>de recursos</w:t>
            </w:r>
          </w:p>
        </w:tc>
        <w:tc>
          <w:tcPr>
            <w:tcW w:w="8788" w:type="dxa"/>
          </w:tcPr>
          <w:p w14:paraId="57FE175B" w14:textId="01733876" w:rsidR="0087113D" w:rsidRPr="00B836A6" w:rsidRDefault="0087113D"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Establece obligaciones </w:t>
            </w:r>
            <w:r w:rsidRPr="006362E9">
              <w:rPr>
                <w:rFonts w:eastAsia="Times New Roman" w:cs="Calibri"/>
                <w:color w:val="000000"/>
                <w:lang w:val="es-CR"/>
              </w:rPr>
              <w:t>de información al afiliado, tanto</w:t>
            </w:r>
            <w:r w:rsidR="00D142B9">
              <w:rPr>
                <w:rFonts w:eastAsia="Times New Roman" w:cs="Calibri"/>
                <w:color w:val="000000"/>
                <w:lang w:val="es-CR"/>
              </w:rPr>
              <w:t xml:space="preserve"> </w:t>
            </w:r>
            <w:r w:rsidRPr="006362E9">
              <w:rPr>
                <w:rFonts w:eastAsia="Times New Roman" w:cs="Calibri"/>
                <w:color w:val="000000"/>
                <w:lang w:val="es-CR"/>
              </w:rPr>
              <w:t>por</w:t>
            </w:r>
            <w:r w:rsidR="00D142B9">
              <w:rPr>
                <w:rFonts w:eastAsia="Times New Roman" w:cs="Calibri"/>
                <w:color w:val="000000"/>
                <w:lang w:val="es-CR"/>
              </w:rPr>
              <w:t xml:space="preserve"> </w:t>
            </w:r>
            <w:r w:rsidRPr="006362E9">
              <w:rPr>
                <w:rFonts w:eastAsia="Times New Roman" w:cs="Calibri"/>
                <w:color w:val="000000"/>
                <w:lang w:val="es-CR"/>
              </w:rPr>
              <w:t>parte</w:t>
            </w:r>
            <w:r w:rsidR="00D142B9">
              <w:rPr>
                <w:rFonts w:eastAsia="Times New Roman" w:cs="Calibri"/>
                <w:color w:val="000000"/>
                <w:lang w:val="es-CR"/>
              </w:rPr>
              <w:t xml:space="preserve"> </w:t>
            </w:r>
            <w:r w:rsidRPr="006362E9">
              <w:rPr>
                <w:rFonts w:eastAsia="Times New Roman" w:cs="Calibri"/>
                <w:color w:val="000000"/>
                <w:lang w:val="es-CR"/>
              </w:rPr>
              <w:t>de</w:t>
            </w:r>
            <w:r w:rsidR="00D142B9">
              <w:rPr>
                <w:rFonts w:eastAsia="Times New Roman" w:cs="Calibri"/>
                <w:color w:val="000000"/>
                <w:lang w:val="es-CR"/>
              </w:rPr>
              <w:t xml:space="preserve"> </w:t>
            </w:r>
            <w:r w:rsidRPr="006362E9">
              <w:rPr>
                <w:rFonts w:eastAsia="Times New Roman" w:cs="Calibri"/>
                <w:color w:val="000000"/>
                <w:lang w:val="es-CR"/>
              </w:rPr>
              <w:t>las</w:t>
            </w:r>
            <w:r w:rsidR="00D142B9">
              <w:rPr>
                <w:rFonts w:eastAsia="Times New Roman" w:cs="Calibri"/>
                <w:color w:val="000000"/>
                <w:lang w:val="es-CR"/>
              </w:rPr>
              <w:t xml:space="preserve"> </w:t>
            </w:r>
            <w:r w:rsidRPr="006362E9">
              <w:rPr>
                <w:rFonts w:eastAsia="Times New Roman" w:cs="Calibri"/>
                <w:color w:val="000000"/>
                <w:lang w:val="es-CR"/>
              </w:rPr>
              <w:t>operadoras</w:t>
            </w:r>
            <w:r w:rsidR="00D142B9">
              <w:rPr>
                <w:rFonts w:eastAsia="Times New Roman" w:cs="Calibri"/>
                <w:color w:val="000000"/>
                <w:lang w:val="es-CR"/>
              </w:rPr>
              <w:t xml:space="preserve"> </w:t>
            </w:r>
            <w:r w:rsidRPr="006362E9">
              <w:rPr>
                <w:rFonts w:eastAsia="Times New Roman" w:cs="Calibri"/>
                <w:color w:val="000000"/>
                <w:lang w:val="es-CR"/>
              </w:rPr>
              <w:t>como</w:t>
            </w:r>
            <w:r w:rsidR="00D142B9">
              <w:rPr>
                <w:rFonts w:eastAsia="Times New Roman" w:cs="Calibri"/>
                <w:color w:val="000000"/>
                <w:lang w:val="es-CR"/>
              </w:rPr>
              <w:t xml:space="preserve"> </w:t>
            </w:r>
            <w:r w:rsidRPr="006362E9">
              <w:rPr>
                <w:rFonts w:eastAsia="Times New Roman" w:cs="Calibri"/>
                <w:color w:val="000000"/>
                <w:lang w:val="es-CR"/>
              </w:rPr>
              <w:t>por</w:t>
            </w:r>
            <w:r w:rsidR="00D142B9">
              <w:rPr>
                <w:rFonts w:eastAsia="Times New Roman" w:cs="Calibri"/>
                <w:color w:val="000000"/>
                <w:lang w:val="es-CR"/>
              </w:rPr>
              <w:t xml:space="preserve"> </w:t>
            </w:r>
            <w:r w:rsidRPr="006362E9">
              <w:rPr>
                <w:rFonts w:eastAsia="Times New Roman" w:cs="Calibri"/>
                <w:color w:val="000000"/>
                <w:lang w:val="es-CR"/>
              </w:rPr>
              <w:t>parte</w:t>
            </w:r>
            <w:r w:rsidR="00D142B9">
              <w:rPr>
                <w:rFonts w:eastAsia="Times New Roman" w:cs="Calibri"/>
                <w:color w:val="000000"/>
                <w:lang w:val="es-CR"/>
              </w:rPr>
              <w:t xml:space="preserve"> </w:t>
            </w:r>
            <w:r w:rsidRPr="006362E9">
              <w:rPr>
                <w:rFonts w:eastAsia="Times New Roman" w:cs="Calibri"/>
                <w:color w:val="000000"/>
                <w:lang w:val="es-CR"/>
              </w:rPr>
              <w:t>del</w:t>
            </w:r>
            <w:r w:rsidR="00D142B9">
              <w:rPr>
                <w:rFonts w:eastAsia="Times New Roman" w:cs="Calibri"/>
                <w:color w:val="000000"/>
                <w:lang w:val="es-CR"/>
              </w:rPr>
              <w:t xml:space="preserve"> </w:t>
            </w:r>
            <w:r w:rsidRPr="006362E9">
              <w:rPr>
                <w:rFonts w:eastAsia="Times New Roman" w:cs="Calibri"/>
                <w:color w:val="000000"/>
                <w:lang w:val="es-CR"/>
              </w:rPr>
              <w:t>SICERE,</w:t>
            </w:r>
            <w:r>
              <w:rPr>
                <w:rFonts w:eastAsia="Times New Roman" w:cs="Calibri"/>
                <w:color w:val="000000"/>
                <w:lang w:val="es-CR"/>
              </w:rPr>
              <w:t xml:space="preserve"> </w:t>
            </w:r>
            <w:r w:rsidRPr="006362E9">
              <w:rPr>
                <w:rFonts w:eastAsia="Times New Roman" w:cs="Calibri"/>
                <w:color w:val="000000"/>
                <w:lang w:val="es-CR"/>
              </w:rPr>
              <w:t>cuando</w:t>
            </w:r>
            <w:r w:rsidR="00D142B9">
              <w:rPr>
                <w:rFonts w:eastAsia="Times New Roman" w:cs="Calibri"/>
                <w:color w:val="000000"/>
                <w:lang w:val="es-CR"/>
              </w:rPr>
              <w:t xml:space="preserve"> </w:t>
            </w:r>
            <w:r w:rsidRPr="006362E9">
              <w:rPr>
                <w:rFonts w:eastAsia="Times New Roman" w:cs="Calibri"/>
                <w:color w:val="000000"/>
                <w:lang w:val="es-CR"/>
              </w:rPr>
              <w:t>la</w:t>
            </w:r>
            <w:r w:rsidR="00D142B9">
              <w:rPr>
                <w:rFonts w:eastAsia="Times New Roman" w:cs="Calibri"/>
                <w:color w:val="000000"/>
                <w:lang w:val="es-CR"/>
              </w:rPr>
              <w:t xml:space="preserve"> </w:t>
            </w:r>
            <w:r w:rsidRPr="006362E9">
              <w:rPr>
                <w:rFonts w:eastAsia="Times New Roman" w:cs="Calibri"/>
                <w:color w:val="000000"/>
                <w:lang w:val="es-CR"/>
              </w:rPr>
              <w:t>libre trasferencia</w:t>
            </w:r>
            <w:r w:rsidR="00D142B9">
              <w:rPr>
                <w:rFonts w:eastAsia="Times New Roman" w:cs="Calibri"/>
                <w:color w:val="000000"/>
                <w:lang w:val="es-CR"/>
              </w:rPr>
              <w:t xml:space="preserve"> </w:t>
            </w:r>
            <w:r w:rsidRPr="006362E9">
              <w:rPr>
                <w:rFonts w:eastAsia="Times New Roman" w:cs="Calibri"/>
                <w:color w:val="000000"/>
                <w:lang w:val="es-CR"/>
              </w:rPr>
              <w:t>se</w:t>
            </w:r>
            <w:r w:rsidR="00D142B9">
              <w:rPr>
                <w:rFonts w:eastAsia="Times New Roman" w:cs="Calibri"/>
                <w:color w:val="000000"/>
                <w:lang w:val="es-CR"/>
              </w:rPr>
              <w:t xml:space="preserve"> </w:t>
            </w:r>
            <w:r w:rsidRPr="006362E9">
              <w:rPr>
                <w:rFonts w:eastAsia="Times New Roman" w:cs="Calibri"/>
                <w:color w:val="000000"/>
                <w:lang w:val="es-CR"/>
              </w:rPr>
              <w:t>realice</w:t>
            </w:r>
            <w:r w:rsidR="00D142B9">
              <w:rPr>
                <w:rFonts w:eastAsia="Times New Roman" w:cs="Calibri"/>
                <w:color w:val="000000"/>
                <w:lang w:val="es-CR"/>
              </w:rPr>
              <w:t xml:space="preserve"> </w:t>
            </w:r>
            <w:r w:rsidRPr="006362E9">
              <w:rPr>
                <w:rFonts w:eastAsia="Times New Roman" w:cs="Calibri"/>
                <w:color w:val="000000"/>
                <w:lang w:val="es-CR"/>
              </w:rPr>
              <w:t>a</w:t>
            </w:r>
            <w:r w:rsidR="00D142B9">
              <w:rPr>
                <w:rFonts w:eastAsia="Times New Roman" w:cs="Calibri"/>
                <w:color w:val="000000"/>
                <w:lang w:val="es-CR"/>
              </w:rPr>
              <w:t xml:space="preserve"> </w:t>
            </w:r>
            <w:r w:rsidRPr="006362E9">
              <w:rPr>
                <w:rFonts w:eastAsia="Times New Roman" w:cs="Calibri"/>
                <w:color w:val="000000"/>
                <w:lang w:val="es-CR"/>
              </w:rPr>
              <w:t>través</w:t>
            </w:r>
            <w:r w:rsidR="00D142B9">
              <w:rPr>
                <w:rFonts w:eastAsia="Times New Roman" w:cs="Calibri"/>
                <w:color w:val="000000"/>
                <w:lang w:val="es-CR"/>
              </w:rPr>
              <w:t xml:space="preserve"> </w:t>
            </w:r>
            <w:r w:rsidRPr="006362E9">
              <w:rPr>
                <w:rFonts w:eastAsia="Times New Roman" w:cs="Calibri"/>
                <w:color w:val="000000"/>
                <w:lang w:val="es-CR"/>
              </w:rPr>
              <w:t>de</w:t>
            </w:r>
            <w:r w:rsidR="00D142B9">
              <w:rPr>
                <w:rFonts w:eastAsia="Times New Roman" w:cs="Calibri"/>
                <w:color w:val="000000"/>
                <w:lang w:val="es-CR"/>
              </w:rPr>
              <w:t xml:space="preserve"> </w:t>
            </w:r>
            <w:r w:rsidRPr="006362E9">
              <w:rPr>
                <w:rFonts w:eastAsia="Times New Roman" w:cs="Calibri"/>
                <w:color w:val="000000"/>
                <w:lang w:val="es-CR"/>
              </w:rPr>
              <w:t>las</w:t>
            </w:r>
            <w:r w:rsidR="00D142B9">
              <w:rPr>
                <w:rFonts w:eastAsia="Times New Roman" w:cs="Calibri"/>
                <w:color w:val="000000"/>
                <w:lang w:val="es-CR"/>
              </w:rPr>
              <w:t xml:space="preserve"> </w:t>
            </w:r>
            <w:r w:rsidRPr="006362E9">
              <w:rPr>
                <w:rFonts w:eastAsia="Times New Roman" w:cs="Calibri"/>
                <w:color w:val="000000"/>
                <w:lang w:val="es-CR"/>
              </w:rPr>
              <w:t>primeras</w:t>
            </w:r>
            <w:r w:rsidR="00D142B9">
              <w:rPr>
                <w:rFonts w:eastAsia="Times New Roman" w:cs="Calibri"/>
                <w:color w:val="000000"/>
                <w:lang w:val="es-CR"/>
              </w:rPr>
              <w:t xml:space="preserve"> </w:t>
            </w:r>
            <w:r w:rsidRPr="006362E9">
              <w:rPr>
                <w:rFonts w:eastAsia="Times New Roman" w:cs="Calibri"/>
                <w:color w:val="000000"/>
                <w:lang w:val="es-CR"/>
              </w:rPr>
              <w:t>o</w:t>
            </w:r>
            <w:r w:rsidR="00D142B9">
              <w:rPr>
                <w:rFonts w:eastAsia="Times New Roman" w:cs="Calibri"/>
                <w:color w:val="000000"/>
                <w:lang w:val="es-CR"/>
              </w:rPr>
              <w:t xml:space="preserve"> </w:t>
            </w:r>
            <w:r w:rsidRPr="006362E9">
              <w:rPr>
                <w:rFonts w:eastAsia="Times New Roman" w:cs="Calibri"/>
                <w:color w:val="000000"/>
                <w:lang w:val="es-CR"/>
              </w:rPr>
              <w:t>directamente</w:t>
            </w:r>
            <w:r w:rsidR="00D142B9">
              <w:rPr>
                <w:rFonts w:eastAsia="Times New Roman" w:cs="Calibri"/>
                <w:color w:val="000000"/>
                <w:lang w:val="es-CR"/>
              </w:rPr>
              <w:t xml:space="preserve"> </w:t>
            </w:r>
            <w:r w:rsidRPr="006362E9">
              <w:rPr>
                <w:rFonts w:eastAsia="Times New Roman" w:cs="Calibri"/>
                <w:color w:val="000000"/>
                <w:lang w:val="es-CR"/>
              </w:rPr>
              <w:t>por</w:t>
            </w:r>
            <w:r w:rsidR="00D142B9">
              <w:rPr>
                <w:rFonts w:eastAsia="Times New Roman" w:cs="Calibri"/>
                <w:color w:val="000000"/>
                <w:lang w:val="es-CR"/>
              </w:rPr>
              <w:t xml:space="preserve"> </w:t>
            </w:r>
            <w:r w:rsidRPr="006362E9">
              <w:rPr>
                <w:rFonts w:eastAsia="Times New Roman" w:cs="Calibri"/>
                <w:color w:val="000000"/>
                <w:lang w:val="es-CR"/>
              </w:rPr>
              <w:t>medio</w:t>
            </w:r>
            <w:r w:rsidR="00D142B9">
              <w:rPr>
                <w:rFonts w:eastAsia="Times New Roman" w:cs="Calibri"/>
                <w:color w:val="000000"/>
                <w:lang w:val="es-CR"/>
              </w:rPr>
              <w:t xml:space="preserve"> </w:t>
            </w:r>
            <w:r w:rsidRPr="006362E9">
              <w:rPr>
                <w:rFonts w:eastAsia="Times New Roman" w:cs="Calibri"/>
                <w:color w:val="000000"/>
                <w:lang w:val="es-CR"/>
              </w:rPr>
              <w:t>de</w:t>
            </w:r>
            <w:r w:rsidR="00D142B9">
              <w:rPr>
                <w:rFonts w:eastAsia="Times New Roman" w:cs="Calibri"/>
                <w:color w:val="000000"/>
                <w:lang w:val="es-CR"/>
              </w:rPr>
              <w:t xml:space="preserve"> </w:t>
            </w:r>
            <w:r w:rsidRPr="006362E9">
              <w:rPr>
                <w:rFonts w:eastAsia="Times New Roman" w:cs="Calibri"/>
                <w:color w:val="000000"/>
                <w:lang w:val="es-CR"/>
              </w:rPr>
              <w:t>la plataforma</w:t>
            </w:r>
            <w:r w:rsidR="00D142B9">
              <w:rPr>
                <w:rFonts w:eastAsia="Times New Roman" w:cs="Calibri"/>
                <w:color w:val="000000"/>
                <w:lang w:val="es-CR"/>
              </w:rPr>
              <w:t xml:space="preserve"> </w:t>
            </w:r>
            <w:r w:rsidRPr="006362E9">
              <w:rPr>
                <w:rFonts w:eastAsia="Times New Roman" w:cs="Calibri"/>
                <w:color w:val="000000"/>
                <w:lang w:val="es-CR"/>
              </w:rPr>
              <w:t>tecnológica</w:t>
            </w:r>
            <w:r w:rsidR="00D142B9">
              <w:rPr>
                <w:rFonts w:eastAsia="Times New Roman" w:cs="Calibri"/>
                <w:color w:val="000000"/>
                <w:lang w:val="es-CR"/>
              </w:rPr>
              <w:t xml:space="preserve"> </w:t>
            </w:r>
            <w:r w:rsidRPr="006362E9">
              <w:rPr>
                <w:rFonts w:eastAsia="Times New Roman" w:cs="Calibri"/>
                <w:color w:val="000000"/>
                <w:lang w:val="es-CR"/>
              </w:rPr>
              <w:t>de</w:t>
            </w:r>
            <w:r w:rsidR="00D142B9">
              <w:rPr>
                <w:rFonts w:eastAsia="Times New Roman" w:cs="Calibri"/>
                <w:color w:val="000000"/>
                <w:lang w:val="es-CR"/>
              </w:rPr>
              <w:t xml:space="preserve"> </w:t>
            </w:r>
            <w:r w:rsidRPr="006362E9">
              <w:rPr>
                <w:rFonts w:eastAsia="Times New Roman" w:cs="Calibri"/>
                <w:color w:val="000000"/>
                <w:lang w:val="es-CR"/>
              </w:rPr>
              <w:t>la</w:t>
            </w:r>
            <w:r w:rsidR="00D142B9">
              <w:rPr>
                <w:rFonts w:eastAsia="Times New Roman" w:cs="Calibri"/>
                <w:color w:val="000000"/>
                <w:lang w:val="es-CR"/>
              </w:rPr>
              <w:t xml:space="preserve"> </w:t>
            </w:r>
            <w:r w:rsidRPr="006362E9">
              <w:rPr>
                <w:rFonts w:eastAsia="Times New Roman" w:cs="Calibri"/>
                <w:color w:val="000000"/>
                <w:lang w:val="es-CR"/>
              </w:rPr>
              <w:t>CCSS,</w:t>
            </w:r>
            <w:r w:rsidR="00D142B9">
              <w:rPr>
                <w:rFonts w:eastAsia="Times New Roman" w:cs="Calibri"/>
                <w:color w:val="000000"/>
                <w:lang w:val="es-CR"/>
              </w:rPr>
              <w:t xml:space="preserve"> </w:t>
            </w:r>
            <w:r w:rsidRPr="006362E9">
              <w:rPr>
                <w:rFonts w:eastAsia="Times New Roman" w:cs="Calibri"/>
                <w:color w:val="000000"/>
                <w:lang w:val="es-CR"/>
              </w:rPr>
              <w:t>con</w:t>
            </w:r>
            <w:r w:rsidR="00D142B9">
              <w:rPr>
                <w:rFonts w:eastAsia="Times New Roman" w:cs="Calibri"/>
                <w:color w:val="000000"/>
                <w:lang w:val="es-CR"/>
              </w:rPr>
              <w:t xml:space="preserve"> </w:t>
            </w:r>
            <w:r w:rsidRPr="006362E9">
              <w:rPr>
                <w:rFonts w:eastAsia="Times New Roman" w:cs="Calibri"/>
                <w:color w:val="000000"/>
                <w:lang w:val="es-CR"/>
              </w:rPr>
              <w:t>el</w:t>
            </w:r>
            <w:r w:rsidR="00D142B9">
              <w:rPr>
                <w:rFonts w:eastAsia="Times New Roman" w:cs="Calibri"/>
                <w:color w:val="000000"/>
                <w:lang w:val="es-CR"/>
              </w:rPr>
              <w:t xml:space="preserve"> </w:t>
            </w:r>
            <w:r w:rsidRPr="006362E9">
              <w:rPr>
                <w:rFonts w:eastAsia="Times New Roman" w:cs="Calibri"/>
                <w:color w:val="000000"/>
                <w:lang w:val="es-CR"/>
              </w:rPr>
              <w:t>propósito de</w:t>
            </w:r>
            <w:r w:rsidR="00D142B9">
              <w:rPr>
                <w:rFonts w:eastAsia="Times New Roman" w:cs="Calibri"/>
                <w:color w:val="000000"/>
                <w:lang w:val="es-CR"/>
              </w:rPr>
              <w:t xml:space="preserve"> </w:t>
            </w:r>
            <w:r w:rsidRPr="006362E9">
              <w:rPr>
                <w:rFonts w:eastAsia="Times New Roman" w:cs="Calibri"/>
                <w:color w:val="000000"/>
                <w:lang w:val="es-CR"/>
              </w:rPr>
              <w:t>que</w:t>
            </w:r>
            <w:r w:rsidR="00D142B9">
              <w:rPr>
                <w:rFonts w:eastAsia="Times New Roman" w:cs="Calibri"/>
                <w:color w:val="000000"/>
                <w:lang w:val="es-CR"/>
              </w:rPr>
              <w:t xml:space="preserve"> </w:t>
            </w:r>
            <w:r w:rsidRPr="006362E9">
              <w:rPr>
                <w:rFonts w:eastAsia="Times New Roman" w:cs="Calibri"/>
                <w:color w:val="000000"/>
                <w:lang w:val="es-CR"/>
              </w:rPr>
              <w:t>los</w:t>
            </w:r>
            <w:r w:rsidR="00D142B9">
              <w:rPr>
                <w:rFonts w:eastAsia="Times New Roman" w:cs="Calibri"/>
                <w:color w:val="000000"/>
                <w:lang w:val="es-CR"/>
              </w:rPr>
              <w:t xml:space="preserve"> </w:t>
            </w:r>
            <w:r w:rsidRPr="006362E9">
              <w:rPr>
                <w:rFonts w:eastAsia="Times New Roman" w:cs="Calibri"/>
                <w:color w:val="000000"/>
                <w:lang w:val="es-CR"/>
              </w:rPr>
              <w:t>afiliados,</w:t>
            </w:r>
            <w:r w:rsidR="00D142B9">
              <w:rPr>
                <w:rFonts w:eastAsia="Times New Roman" w:cs="Calibri"/>
                <w:color w:val="000000"/>
                <w:lang w:val="es-CR"/>
              </w:rPr>
              <w:t xml:space="preserve"> </w:t>
            </w:r>
            <w:r w:rsidRPr="006362E9">
              <w:rPr>
                <w:rFonts w:eastAsia="Times New Roman" w:cs="Calibri"/>
                <w:color w:val="000000"/>
                <w:lang w:val="es-CR"/>
              </w:rPr>
              <w:t>cuando realicen el traslado hacia otra operadora, estén informados de que,</w:t>
            </w:r>
            <w:r>
              <w:rPr>
                <w:rFonts w:eastAsia="Times New Roman" w:cs="Calibri"/>
                <w:color w:val="000000"/>
                <w:lang w:val="es-CR"/>
              </w:rPr>
              <w:t xml:space="preserve"> </w:t>
            </w:r>
            <w:r w:rsidRPr="006362E9">
              <w:rPr>
                <w:rFonts w:eastAsia="Times New Roman" w:cs="Calibri"/>
                <w:color w:val="000000"/>
                <w:lang w:val="es-CR"/>
              </w:rPr>
              <w:t>mientras dure la suspensión</w:t>
            </w:r>
            <w:r w:rsidR="00D142B9">
              <w:rPr>
                <w:rFonts w:eastAsia="Times New Roman" w:cs="Calibri"/>
                <w:color w:val="000000"/>
                <w:lang w:val="es-CR"/>
              </w:rPr>
              <w:t xml:space="preserve"> </w:t>
            </w:r>
            <w:r w:rsidRPr="006362E9">
              <w:rPr>
                <w:rFonts w:eastAsia="Times New Roman" w:cs="Calibri"/>
                <w:color w:val="000000"/>
                <w:lang w:val="es-CR"/>
              </w:rPr>
              <w:t>de</w:t>
            </w:r>
            <w:r w:rsidR="00D142B9">
              <w:rPr>
                <w:rFonts w:eastAsia="Times New Roman" w:cs="Calibri"/>
                <w:color w:val="000000"/>
                <w:lang w:val="es-CR"/>
              </w:rPr>
              <w:t xml:space="preserve"> </w:t>
            </w:r>
            <w:r w:rsidRPr="006362E9">
              <w:rPr>
                <w:rFonts w:eastAsia="Times New Roman" w:cs="Calibri"/>
                <w:color w:val="000000"/>
                <w:lang w:val="es-CR"/>
              </w:rPr>
              <w:t>los</w:t>
            </w:r>
            <w:r w:rsidR="00D142B9">
              <w:rPr>
                <w:rFonts w:eastAsia="Times New Roman" w:cs="Calibri"/>
                <w:color w:val="000000"/>
                <w:lang w:val="es-CR"/>
              </w:rPr>
              <w:t xml:space="preserve"> </w:t>
            </w:r>
            <w:r w:rsidRPr="006362E9">
              <w:rPr>
                <w:rFonts w:eastAsia="Times New Roman" w:cs="Calibri"/>
                <w:color w:val="000000"/>
                <w:lang w:val="es-CR"/>
              </w:rPr>
              <w:t>traslados</w:t>
            </w:r>
            <w:r w:rsidR="00D142B9">
              <w:rPr>
                <w:rFonts w:eastAsia="Times New Roman" w:cs="Calibri"/>
                <w:color w:val="000000"/>
                <w:lang w:val="es-CR"/>
              </w:rPr>
              <w:t xml:space="preserve"> </w:t>
            </w:r>
            <w:r w:rsidRPr="006362E9">
              <w:rPr>
                <w:rFonts w:eastAsia="Times New Roman" w:cs="Calibri"/>
                <w:color w:val="000000"/>
                <w:lang w:val="es-CR"/>
              </w:rPr>
              <w:t>de</w:t>
            </w:r>
            <w:r w:rsidR="00D142B9">
              <w:rPr>
                <w:rFonts w:eastAsia="Times New Roman" w:cs="Calibri"/>
                <w:color w:val="000000"/>
                <w:lang w:val="es-CR"/>
              </w:rPr>
              <w:t xml:space="preserve"> </w:t>
            </w:r>
            <w:r w:rsidRPr="006362E9">
              <w:rPr>
                <w:rFonts w:eastAsia="Times New Roman" w:cs="Calibri"/>
                <w:color w:val="000000"/>
                <w:lang w:val="es-CR"/>
              </w:rPr>
              <w:t>recursos,</w:t>
            </w:r>
            <w:r w:rsidR="00D142B9">
              <w:rPr>
                <w:rFonts w:eastAsia="Times New Roman" w:cs="Calibri"/>
                <w:color w:val="000000"/>
                <w:lang w:val="es-CR"/>
              </w:rPr>
              <w:t xml:space="preserve"> </w:t>
            </w:r>
            <w:r w:rsidRPr="006362E9">
              <w:rPr>
                <w:rFonts w:eastAsia="Times New Roman" w:cs="Calibri"/>
                <w:color w:val="000000"/>
                <w:lang w:val="es-CR"/>
              </w:rPr>
              <w:t>mantendrán</w:t>
            </w:r>
            <w:r>
              <w:rPr>
                <w:rFonts w:eastAsia="Times New Roman" w:cs="Calibri"/>
                <w:color w:val="000000"/>
                <w:lang w:val="es-CR"/>
              </w:rPr>
              <w:t xml:space="preserve"> </w:t>
            </w:r>
            <w:r w:rsidRPr="006362E9">
              <w:rPr>
                <w:rFonts w:eastAsia="Times New Roman" w:cs="Calibri"/>
                <w:color w:val="000000"/>
                <w:lang w:val="es-CR"/>
              </w:rPr>
              <w:t>un</w:t>
            </w:r>
            <w:r w:rsidR="00D142B9">
              <w:rPr>
                <w:rFonts w:eastAsia="Times New Roman" w:cs="Calibri"/>
                <w:color w:val="000000"/>
                <w:lang w:val="es-CR"/>
              </w:rPr>
              <w:t xml:space="preserve"> </w:t>
            </w:r>
            <w:r w:rsidRPr="006362E9">
              <w:rPr>
                <w:rFonts w:eastAsia="Times New Roman" w:cs="Calibri"/>
                <w:color w:val="000000"/>
                <w:lang w:val="es-CR"/>
              </w:rPr>
              <w:t>saldo</w:t>
            </w:r>
            <w:r w:rsidR="00D142B9">
              <w:rPr>
                <w:rFonts w:eastAsia="Times New Roman" w:cs="Calibri"/>
                <w:color w:val="000000"/>
                <w:lang w:val="es-CR"/>
              </w:rPr>
              <w:t xml:space="preserve"> </w:t>
            </w:r>
            <w:r w:rsidRPr="006362E9">
              <w:rPr>
                <w:rFonts w:eastAsia="Times New Roman" w:cs="Calibri"/>
                <w:color w:val="000000"/>
                <w:lang w:val="es-CR"/>
              </w:rPr>
              <w:t>en</w:t>
            </w:r>
            <w:r w:rsidR="00D142B9">
              <w:rPr>
                <w:rFonts w:eastAsia="Times New Roman" w:cs="Calibri"/>
                <w:color w:val="000000"/>
                <w:lang w:val="es-CR"/>
              </w:rPr>
              <w:t xml:space="preserve"> </w:t>
            </w:r>
            <w:r w:rsidRPr="006362E9">
              <w:rPr>
                <w:rFonts w:eastAsia="Times New Roman" w:cs="Calibri"/>
                <w:color w:val="000000"/>
                <w:lang w:val="es-CR"/>
              </w:rPr>
              <w:t>la</w:t>
            </w:r>
            <w:r w:rsidR="00D142B9">
              <w:rPr>
                <w:rFonts w:eastAsia="Times New Roman" w:cs="Calibri"/>
                <w:color w:val="000000"/>
                <w:lang w:val="es-CR"/>
              </w:rPr>
              <w:t xml:space="preserve"> </w:t>
            </w:r>
            <w:r w:rsidRPr="006362E9">
              <w:rPr>
                <w:rFonts w:eastAsia="Times New Roman" w:cs="Calibri"/>
                <w:color w:val="000000"/>
                <w:lang w:val="es-CR"/>
              </w:rPr>
              <w:t>cuenta</w:t>
            </w:r>
            <w:r w:rsidR="00D142B9">
              <w:rPr>
                <w:rFonts w:eastAsia="Times New Roman" w:cs="Calibri"/>
                <w:color w:val="000000"/>
                <w:lang w:val="es-CR"/>
              </w:rPr>
              <w:t xml:space="preserve"> </w:t>
            </w:r>
            <w:r w:rsidRPr="006362E9">
              <w:rPr>
                <w:rFonts w:eastAsia="Times New Roman" w:cs="Calibri"/>
                <w:color w:val="000000"/>
                <w:lang w:val="es-CR"/>
              </w:rPr>
              <w:t>del correspondiente fondo</w:t>
            </w:r>
            <w:r>
              <w:rPr>
                <w:rFonts w:eastAsia="Times New Roman" w:cs="Calibri"/>
                <w:color w:val="000000"/>
                <w:lang w:val="es-CR"/>
              </w:rPr>
              <w:t xml:space="preserve"> </w:t>
            </w:r>
            <w:r w:rsidRPr="006362E9">
              <w:rPr>
                <w:rFonts w:eastAsia="Times New Roman" w:cs="Calibri"/>
                <w:color w:val="000000"/>
                <w:lang w:val="es-CR"/>
              </w:rPr>
              <w:t>en la operadora de origen y que, a partir de la concreción del traslado, otro saldo en la operadora de destino, producto del ingreso de los posteriores</w:t>
            </w:r>
            <w:r>
              <w:rPr>
                <w:rFonts w:eastAsia="Times New Roman" w:cs="Calibri"/>
                <w:color w:val="000000"/>
                <w:lang w:val="es-CR"/>
              </w:rPr>
              <w:t xml:space="preserve"> </w:t>
            </w:r>
            <w:r w:rsidRPr="006362E9">
              <w:rPr>
                <w:rFonts w:eastAsia="Times New Roman" w:cs="Calibri"/>
                <w:color w:val="000000"/>
                <w:lang w:val="es-CR"/>
              </w:rPr>
              <w:t>aportes.</w:t>
            </w:r>
          </w:p>
        </w:tc>
      </w:tr>
      <w:tr w:rsidR="0087113D" w:rsidRPr="00B836A6" w14:paraId="611B85E6" w14:textId="77777777" w:rsidTr="004D0DCE">
        <w:trPr>
          <w:trHeight w:val="957"/>
          <w:jc w:val="center"/>
        </w:trPr>
        <w:tc>
          <w:tcPr>
            <w:cnfStyle w:val="001000000000" w:firstRow="0" w:lastRow="0" w:firstColumn="1" w:lastColumn="0" w:oddVBand="0" w:evenVBand="0" w:oddHBand="0" w:evenHBand="0" w:firstRowFirstColumn="0" w:firstRowLastColumn="0" w:lastRowFirstColumn="0" w:lastRowLastColumn="0"/>
            <w:tcW w:w="3256" w:type="dxa"/>
            <w:noWrap/>
          </w:tcPr>
          <w:p w14:paraId="72EEF993" w14:textId="5F31C95C" w:rsidR="00645079" w:rsidRDefault="0087113D" w:rsidP="0021212F">
            <w:pPr>
              <w:jc w:val="both"/>
              <w:rPr>
                <w:rFonts w:eastAsia="Times New Roman" w:cs="Calibri"/>
                <w:b w:val="0"/>
                <w:bCs w:val="0"/>
                <w:color w:val="000000"/>
                <w:lang w:val="es-CR"/>
              </w:rPr>
            </w:pPr>
            <w:r>
              <w:rPr>
                <w:rFonts w:eastAsia="Times New Roman" w:cs="Calibri"/>
                <w:color w:val="000000"/>
                <w:lang w:val="es-CR"/>
              </w:rPr>
              <w:t>SP-A-223</w:t>
            </w:r>
            <w:r w:rsidR="00645079">
              <w:rPr>
                <w:rFonts w:eastAsia="Times New Roman" w:cs="Calibri"/>
                <w:color w:val="000000"/>
                <w:lang w:val="es-CR"/>
              </w:rPr>
              <w:t xml:space="preserve"> </w:t>
            </w:r>
            <w:r w:rsidRPr="00EC5696">
              <w:rPr>
                <w:rFonts w:eastAsia="Times New Roman" w:cs="Calibri"/>
                <w:color w:val="000000"/>
                <w:lang w:val="es-CR"/>
              </w:rPr>
              <w:t xml:space="preserve">Disposiciones </w:t>
            </w:r>
            <w:r w:rsidR="008D637D">
              <w:rPr>
                <w:rFonts w:eastAsia="Times New Roman" w:cs="Calibri"/>
                <w:color w:val="000000"/>
                <w:lang w:val="es-CR"/>
              </w:rPr>
              <w:t>s</w:t>
            </w:r>
            <w:r w:rsidRPr="00EC5696">
              <w:rPr>
                <w:rFonts w:eastAsia="Times New Roman" w:cs="Calibri"/>
                <w:color w:val="000000"/>
                <w:lang w:val="es-CR"/>
              </w:rPr>
              <w:t xml:space="preserve">obre el derecho de libre transferencia de los afiliados entre entidades autorizadas. </w:t>
            </w:r>
          </w:p>
          <w:p w14:paraId="411B2EB4" w14:textId="6EBA0F6F" w:rsidR="0087113D" w:rsidRPr="007B4BFA" w:rsidRDefault="0087113D" w:rsidP="0021212F">
            <w:pPr>
              <w:jc w:val="both"/>
              <w:rPr>
                <w:rFonts w:eastAsia="Times New Roman" w:cs="Calibri"/>
                <w:color w:val="000000"/>
                <w:lang w:val="es-CR"/>
              </w:rPr>
            </w:pPr>
            <w:r w:rsidRPr="00EC5696">
              <w:rPr>
                <w:rFonts w:eastAsia="Times New Roman" w:cs="Calibri"/>
                <w:color w:val="000000"/>
                <w:lang w:val="es-CR"/>
              </w:rPr>
              <w:t>Vigente a partir del 01 de noviembre de 2020</w:t>
            </w:r>
          </w:p>
        </w:tc>
        <w:tc>
          <w:tcPr>
            <w:tcW w:w="8788" w:type="dxa"/>
          </w:tcPr>
          <w:p w14:paraId="4ADB7B71" w14:textId="2FD69932" w:rsidR="0087113D" w:rsidRDefault="0087113D"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Producto de la reforma al artículo 103 y la adición del artículo 103 bis </w:t>
            </w:r>
            <w:r w:rsidRPr="00606493">
              <w:rPr>
                <w:rFonts w:eastAsia="Times New Roman" w:cs="Calibri"/>
                <w:color w:val="000000"/>
                <w:lang w:val="es-CR"/>
              </w:rPr>
              <w:t>del Reglamento</w:t>
            </w:r>
            <w:r w:rsidR="00D142B9">
              <w:rPr>
                <w:rFonts w:eastAsia="Times New Roman" w:cs="Calibri"/>
                <w:color w:val="000000"/>
                <w:lang w:val="es-CR"/>
              </w:rPr>
              <w:t xml:space="preserve"> </w:t>
            </w:r>
            <w:r w:rsidRPr="00606493">
              <w:rPr>
                <w:rFonts w:eastAsia="Times New Roman" w:cs="Calibri"/>
                <w:color w:val="000000"/>
                <w:lang w:val="es-CR"/>
              </w:rPr>
              <w:t>sobre</w:t>
            </w:r>
            <w:r w:rsidR="00D142B9">
              <w:rPr>
                <w:rFonts w:eastAsia="Times New Roman" w:cs="Calibri"/>
                <w:color w:val="000000"/>
                <w:lang w:val="es-CR"/>
              </w:rPr>
              <w:t xml:space="preserve"> </w:t>
            </w:r>
            <w:r w:rsidRPr="00606493">
              <w:rPr>
                <w:rFonts w:eastAsia="Times New Roman" w:cs="Calibri"/>
                <w:color w:val="000000"/>
                <w:lang w:val="es-CR"/>
              </w:rPr>
              <w:t>la</w:t>
            </w:r>
            <w:r w:rsidR="00D142B9">
              <w:rPr>
                <w:rFonts w:eastAsia="Times New Roman" w:cs="Calibri"/>
                <w:color w:val="000000"/>
                <w:lang w:val="es-CR"/>
              </w:rPr>
              <w:t xml:space="preserve"> </w:t>
            </w:r>
            <w:r w:rsidRPr="00606493">
              <w:rPr>
                <w:rFonts w:eastAsia="Times New Roman" w:cs="Calibri"/>
                <w:color w:val="000000"/>
                <w:lang w:val="es-CR"/>
              </w:rPr>
              <w:t>apertura</w:t>
            </w:r>
            <w:r w:rsidR="00D142B9">
              <w:rPr>
                <w:rFonts w:eastAsia="Times New Roman" w:cs="Calibri"/>
                <w:color w:val="000000"/>
                <w:lang w:val="es-CR"/>
              </w:rPr>
              <w:t xml:space="preserve"> </w:t>
            </w:r>
            <w:r w:rsidRPr="00606493">
              <w:rPr>
                <w:rFonts w:eastAsia="Times New Roman" w:cs="Calibri"/>
                <w:color w:val="000000"/>
                <w:lang w:val="es-CR"/>
              </w:rPr>
              <w:t>y</w:t>
            </w:r>
            <w:r w:rsidR="00D142B9">
              <w:rPr>
                <w:rFonts w:eastAsia="Times New Roman" w:cs="Calibri"/>
                <w:color w:val="000000"/>
                <w:lang w:val="es-CR"/>
              </w:rPr>
              <w:t xml:space="preserve"> </w:t>
            </w:r>
            <w:r w:rsidRPr="00606493">
              <w:rPr>
                <w:rFonts w:eastAsia="Times New Roman" w:cs="Calibri"/>
                <w:color w:val="000000"/>
                <w:lang w:val="es-CR"/>
              </w:rPr>
              <w:t>funcionamiento</w:t>
            </w:r>
            <w:r w:rsidR="00D142B9">
              <w:rPr>
                <w:rFonts w:eastAsia="Times New Roman" w:cs="Calibri"/>
                <w:color w:val="000000"/>
                <w:lang w:val="es-CR"/>
              </w:rPr>
              <w:t xml:space="preserve"> </w:t>
            </w:r>
            <w:r w:rsidR="00F06A42">
              <w:rPr>
                <w:rFonts w:eastAsia="Times New Roman" w:cs="Calibri"/>
                <w:color w:val="000000"/>
                <w:lang w:val="es-CR"/>
              </w:rPr>
              <w:t>se</w:t>
            </w:r>
            <w:r>
              <w:rPr>
                <w:rFonts w:eastAsia="Times New Roman" w:cs="Calibri"/>
                <w:color w:val="000000"/>
                <w:lang w:val="es-CR"/>
              </w:rPr>
              <w:t xml:space="preserve"> </w:t>
            </w:r>
            <w:r w:rsidR="009D1423">
              <w:rPr>
                <w:rFonts w:eastAsia="Times New Roman" w:cs="Calibri"/>
                <w:color w:val="000000"/>
                <w:lang w:val="es-CR"/>
              </w:rPr>
              <w:t xml:space="preserve">emite </w:t>
            </w:r>
            <w:r>
              <w:rPr>
                <w:rFonts w:eastAsia="Times New Roman" w:cs="Calibri"/>
                <w:color w:val="000000"/>
                <w:lang w:val="es-CR"/>
              </w:rPr>
              <w:t>acuerdo</w:t>
            </w:r>
            <w:r w:rsidR="00B967BF">
              <w:rPr>
                <w:rFonts w:eastAsia="Times New Roman" w:cs="Calibri"/>
                <w:color w:val="000000"/>
                <w:lang w:val="es-CR"/>
              </w:rPr>
              <w:t>,</w:t>
            </w:r>
            <w:r>
              <w:rPr>
                <w:rFonts w:eastAsia="Times New Roman" w:cs="Calibri"/>
                <w:color w:val="000000"/>
                <w:lang w:val="es-CR"/>
              </w:rPr>
              <w:t xml:space="preserve"> </w:t>
            </w:r>
            <w:r w:rsidR="009D1423">
              <w:rPr>
                <w:rFonts w:eastAsia="Times New Roman" w:cs="Calibri"/>
                <w:color w:val="000000"/>
                <w:lang w:val="es-CR"/>
              </w:rPr>
              <w:t>el cual</w:t>
            </w:r>
            <w:r>
              <w:rPr>
                <w:rFonts w:eastAsia="Times New Roman" w:cs="Calibri"/>
                <w:color w:val="000000"/>
                <w:lang w:val="es-CR"/>
              </w:rPr>
              <w:t xml:space="preserve"> establece </w:t>
            </w:r>
            <w:r w:rsidRPr="00EC5696">
              <w:rPr>
                <w:rFonts w:eastAsia="Times New Roman" w:cs="Calibri"/>
                <w:color w:val="000000"/>
                <w:lang w:val="es-CR"/>
              </w:rPr>
              <w:t>el procedimiento y demás condiciones que se requieran para que el derecho de los</w:t>
            </w:r>
            <w:r w:rsidR="00D142B9">
              <w:rPr>
                <w:rFonts w:eastAsia="Times New Roman" w:cs="Calibri"/>
                <w:color w:val="000000"/>
                <w:lang w:val="es-CR"/>
              </w:rPr>
              <w:t xml:space="preserve"> </w:t>
            </w:r>
            <w:r w:rsidRPr="00EC5696">
              <w:rPr>
                <w:rFonts w:eastAsia="Times New Roman" w:cs="Calibri"/>
                <w:color w:val="000000"/>
                <w:lang w:val="es-CR"/>
              </w:rPr>
              <w:t>afiliados</w:t>
            </w:r>
            <w:r w:rsidR="00D142B9">
              <w:rPr>
                <w:rFonts w:eastAsia="Times New Roman" w:cs="Calibri"/>
                <w:color w:val="000000"/>
                <w:lang w:val="es-CR"/>
              </w:rPr>
              <w:t xml:space="preserve"> </w:t>
            </w:r>
            <w:r w:rsidRPr="00EC5696">
              <w:rPr>
                <w:rFonts w:eastAsia="Times New Roman" w:cs="Calibri"/>
                <w:color w:val="000000"/>
                <w:lang w:val="es-CR"/>
              </w:rPr>
              <w:t>a</w:t>
            </w:r>
            <w:r w:rsidR="00D142B9">
              <w:rPr>
                <w:rFonts w:eastAsia="Times New Roman" w:cs="Calibri"/>
                <w:color w:val="000000"/>
                <w:lang w:val="es-CR"/>
              </w:rPr>
              <w:t xml:space="preserve"> </w:t>
            </w:r>
            <w:r w:rsidRPr="00EC5696">
              <w:rPr>
                <w:rFonts w:eastAsia="Times New Roman" w:cs="Calibri"/>
                <w:color w:val="000000"/>
                <w:lang w:val="es-CR"/>
              </w:rPr>
              <w:t>transferir</w:t>
            </w:r>
            <w:r w:rsidR="00D142B9">
              <w:rPr>
                <w:rFonts w:eastAsia="Times New Roman" w:cs="Calibri"/>
                <w:color w:val="000000"/>
                <w:lang w:val="es-CR"/>
              </w:rPr>
              <w:t xml:space="preserve"> </w:t>
            </w:r>
            <w:r w:rsidRPr="00EC5696">
              <w:rPr>
                <w:rFonts w:eastAsia="Times New Roman" w:cs="Calibri"/>
                <w:color w:val="000000"/>
                <w:lang w:val="es-CR"/>
              </w:rPr>
              <w:t>sus</w:t>
            </w:r>
            <w:r w:rsidR="00D142B9">
              <w:rPr>
                <w:rFonts w:eastAsia="Times New Roman" w:cs="Calibri"/>
                <w:color w:val="000000"/>
                <w:lang w:val="es-CR"/>
              </w:rPr>
              <w:t xml:space="preserve"> </w:t>
            </w:r>
            <w:r w:rsidRPr="00EC5696">
              <w:rPr>
                <w:rFonts w:eastAsia="Times New Roman" w:cs="Calibri"/>
                <w:color w:val="000000"/>
                <w:lang w:val="es-CR"/>
              </w:rPr>
              <w:t>recursos</w:t>
            </w:r>
            <w:r w:rsidR="00D142B9">
              <w:rPr>
                <w:rFonts w:eastAsia="Times New Roman" w:cs="Calibri"/>
                <w:color w:val="000000"/>
                <w:lang w:val="es-CR"/>
              </w:rPr>
              <w:t xml:space="preserve"> </w:t>
            </w:r>
            <w:r w:rsidRPr="00EC5696">
              <w:rPr>
                <w:rFonts w:eastAsia="Times New Roman" w:cs="Calibri"/>
                <w:color w:val="000000"/>
                <w:lang w:val="es-CR"/>
              </w:rPr>
              <w:t>a</w:t>
            </w:r>
            <w:r w:rsidR="00D142B9">
              <w:rPr>
                <w:rFonts w:eastAsia="Times New Roman" w:cs="Calibri"/>
                <w:color w:val="000000"/>
                <w:lang w:val="es-CR"/>
              </w:rPr>
              <w:t xml:space="preserve"> </w:t>
            </w:r>
            <w:r w:rsidRPr="00EC5696">
              <w:rPr>
                <w:rFonts w:eastAsia="Times New Roman" w:cs="Calibri"/>
                <w:color w:val="000000"/>
                <w:lang w:val="es-CR"/>
              </w:rPr>
              <w:t>otra</w:t>
            </w:r>
            <w:r w:rsidR="00D142B9">
              <w:rPr>
                <w:rFonts w:eastAsia="Times New Roman" w:cs="Calibri"/>
                <w:color w:val="000000"/>
                <w:lang w:val="es-CR"/>
              </w:rPr>
              <w:t xml:space="preserve"> </w:t>
            </w:r>
            <w:r w:rsidRPr="00EC5696">
              <w:rPr>
                <w:rFonts w:eastAsia="Times New Roman" w:cs="Calibri"/>
                <w:color w:val="000000"/>
                <w:lang w:val="es-CR"/>
              </w:rPr>
              <w:t>operadora</w:t>
            </w:r>
            <w:r w:rsidR="00D142B9">
              <w:rPr>
                <w:rFonts w:eastAsia="Times New Roman" w:cs="Calibri"/>
                <w:color w:val="000000"/>
                <w:lang w:val="es-CR"/>
              </w:rPr>
              <w:t xml:space="preserve"> </w:t>
            </w:r>
            <w:r w:rsidRPr="00EC5696">
              <w:rPr>
                <w:rFonts w:eastAsia="Times New Roman" w:cs="Calibri"/>
                <w:color w:val="000000"/>
                <w:lang w:val="es-CR"/>
              </w:rPr>
              <w:t>sea</w:t>
            </w:r>
            <w:r w:rsidR="00D142B9">
              <w:rPr>
                <w:rFonts w:eastAsia="Times New Roman" w:cs="Calibri"/>
                <w:color w:val="000000"/>
                <w:lang w:val="es-CR"/>
              </w:rPr>
              <w:t xml:space="preserve"> </w:t>
            </w:r>
            <w:r w:rsidRPr="00EC5696">
              <w:rPr>
                <w:rFonts w:eastAsia="Times New Roman" w:cs="Calibri"/>
                <w:color w:val="000000"/>
                <w:lang w:val="es-CR"/>
              </w:rPr>
              <w:t>ejercido</w:t>
            </w:r>
            <w:r w:rsidR="00D142B9">
              <w:rPr>
                <w:rFonts w:eastAsia="Times New Roman" w:cs="Calibri"/>
                <w:color w:val="000000"/>
                <w:lang w:val="es-CR"/>
              </w:rPr>
              <w:t xml:space="preserve"> </w:t>
            </w:r>
            <w:r w:rsidRPr="00EC5696">
              <w:rPr>
                <w:rFonts w:eastAsia="Times New Roman" w:cs="Calibri"/>
                <w:color w:val="000000"/>
                <w:lang w:val="es-CR"/>
              </w:rPr>
              <w:t>de</w:t>
            </w:r>
            <w:r w:rsidR="00D142B9">
              <w:rPr>
                <w:rFonts w:eastAsia="Times New Roman" w:cs="Calibri"/>
                <w:color w:val="000000"/>
                <w:lang w:val="es-CR"/>
              </w:rPr>
              <w:t xml:space="preserve"> </w:t>
            </w:r>
            <w:r w:rsidRPr="00EC5696">
              <w:rPr>
                <w:rFonts w:eastAsia="Times New Roman" w:cs="Calibri"/>
                <w:color w:val="000000"/>
                <w:lang w:val="es-CR"/>
              </w:rPr>
              <w:t>forma</w:t>
            </w:r>
            <w:r w:rsidR="00D142B9">
              <w:rPr>
                <w:rFonts w:eastAsia="Times New Roman" w:cs="Calibri"/>
                <w:color w:val="000000"/>
                <w:lang w:val="es-CR"/>
              </w:rPr>
              <w:t xml:space="preserve"> </w:t>
            </w:r>
            <w:r w:rsidRPr="00EC5696">
              <w:rPr>
                <w:rFonts w:eastAsia="Times New Roman" w:cs="Calibri"/>
                <w:color w:val="000000"/>
                <w:lang w:val="es-CR"/>
              </w:rPr>
              <w:t>segura, transparente</w:t>
            </w:r>
            <w:r w:rsidR="00D142B9">
              <w:rPr>
                <w:rFonts w:eastAsia="Times New Roman" w:cs="Calibri"/>
                <w:color w:val="000000"/>
                <w:lang w:val="es-CR"/>
              </w:rPr>
              <w:t xml:space="preserve"> </w:t>
            </w:r>
            <w:r w:rsidRPr="00EC5696">
              <w:rPr>
                <w:rFonts w:eastAsia="Times New Roman" w:cs="Calibri"/>
                <w:color w:val="000000"/>
                <w:lang w:val="es-CR"/>
              </w:rPr>
              <w:t>y</w:t>
            </w:r>
            <w:r w:rsidR="00D142B9">
              <w:rPr>
                <w:rFonts w:eastAsia="Times New Roman" w:cs="Calibri"/>
                <w:color w:val="000000"/>
                <w:lang w:val="es-CR"/>
              </w:rPr>
              <w:t xml:space="preserve"> </w:t>
            </w:r>
            <w:r w:rsidRPr="00EC5696">
              <w:rPr>
                <w:rFonts w:eastAsia="Times New Roman" w:cs="Calibri"/>
                <w:color w:val="000000"/>
                <w:lang w:val="es-CR"/>
              </w:rPr>
              <w:t>trazable</w:t>
            </w:r>
            <w:r>
              <w:rPr>
                <w:rFonts w:eastAsia="Times New Roman" w:cs="Calibri"/>
                <w:color w:val="000000"/>
                <w:lang w:val="es-CR"/>
              </w:rPr>
              <w:t>.</w:t>
            </w:r>
          </w:p>
        </w:tc>
      </w:tr>
      <w:tr w:rsidR="0087113D" w:rsidRPr="00B836A6" w14:paraId="33804297" w14:textId="77777777" w:rsidTr="004D0DCE">
        <w:trPr>
          <w:cnfStyle w:val="000000100000" w:firstRow="0" w:lastRow="0" w:firstColumn="0" w:lastColumn="0" w:oddVBand="0" w:evenVBand="0" w:oddHBand="1" w:evenHBand="0" w:firstRowFirstColumn="0" w:firstRowLastColumn="0" w:lastRowFirstColumn="0" w:lastRowLastColumn="0"/>
          <w:trHeight w:val="957"/>
          <w:jc w:val="center"/>
        </w:trPr>
        <w:tc>
          <w:tcPr>
            <w:cnfStyle w:val="001000000000" w:firstRow="0" w:lastRow="0" w:firstColumn="1" w:lastColumn="0" w:oddVBand="0" w:evenVBand="0" w:oddHBand="0" w:evenHBand="0" w:firstRowFirstColumn="0" w:firstRowLastColumn="0" w:lastRowFirstColumn="0" w:lastRowLastColumn="0"/>
            <w:tcW w:w="3256" w:type="dxa"/>
            <w:noWrap/>
          </w:tcPr>
          <w:p w14:paraId="1B0B48F9" w14:textId="45F45692" w:rsidR="0087113D" w:rsidRDefault="0087113D" w:rsidP="0021212F">
            <w:pPr>
              <w:jc w:val="both"/>
              <w:rPr>
                <w:rFonts w:eastAsia="Times New Roman" w:cs="Calibri"/>
                <w:color w:val="000000"/>
                <w:lang w:val="es-CR"/>
              </w:rPr>
            </w:pPr>
            <w:r>
              <w:rPr>
                <w:rFonts w:eastAsia="Times New Roman" w:cs="Calibri"/>
                <w:color w:val="000000"/>
                <w:lang w:val="es-CR"/>
              </w:rPr>
              <w:t>SP-A-224</w:t>
            </w:r>
            <w:r w:rsidR="00645079">
              <w:rPr>
                <w:rFonts w:eastAsia="Times New Roman" w:cs="Calibri"/>
                <w:color w:val="000000"/>
                <w:lang w:val="es-CR"/>
              </w:rPr>
              <w:t xml:space="preserve"> </w:t>
            </w:r>
            <w:r>
              <w:rPr>
                <w:rFonts w:eastAsia="Times New Roman" w:cs="Calibri"/>
                <w:color w:val="000000"/>
                <w:lang w:val="es-CR"/>
              </w:rPr>
              <w:t>Lineamientos para la aplicación diferenciada de la normativa para el cumplimiento de la Ley 8204</w:t>
            </w:r>
          </w:p>
        </w:tc>
        <w:tc>
          <w:tcPr>
            <w:tcW w:w="8788" w:type="dxa"/>
          </w:tcPr>
          <w:p w14:paraId="1AFB3DD8" w14:textId="0CCA1A90" w:rsidR="0087113D" w:rsidRDefault="0087113D"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DD77AA">
              <w:rPr>
                <w:rFonts w:eastAsia="Times New Roman" w:cs="Calibri"/>
                <w:color w:val="000000"/>
                <w:lang w:val="es-CR"/>
              </w:rPr>
              <w:t>Es</w:t>
            </w:r>
            <w:r w:rsidR="00621A99">
              <w:rPr>
                <w:rFonts w:eastAsia="Times New Roman" w:cs="Calibri"/>
                <w:color w:val="000000"/>
                <w:lang w:val="es-CR"/>
              </w:rPr>
              <w:t xml:space="preserve">tablece </w:t>
            </w:r>
            <w:r w:rsidRPr="00DD77AA">
              <w:rPr>
                <w:rFonts w:eastAsia="Times New Roman" w:cs="Calibri"/>
                <w:color w:val="000000"/>
                <w:lang w:val="es-CR"/>
              </w:rPr>
              <w:t xml:space="preserve">los principios </w:t>
            </w:r>
            <w:r w:rsidR="00645079" w:rsidRPr="00DD77AA">
              <w:rPr>
                <w:rFonts w:eastAsia="Times New Roman" w:cs="Calibri"/>
                <w:color w:val="000000"/>
                <w:lang w:val="es-CR"/>
              </w:rPr>
              <w:t>que deberán</w:t>
            </w:r>
            <w:r w:rsidR="00D142B9">
              <w:rPr>
                <w:rFonts w:eastAsia="Times New Roman" w:cs="Calibri"/>
                <w:color w:val="000000"/>
                <w:lang w:val="es-CR"/>
              </w:rPr>
              <w:t xml:space="preserve"> </w:t>
            </w:r>
            <w:r w:rsidRPr="00DD77AA">
              <w:rPr>
                <w:rFonts w:eastAsia="Times New Roman" w:cs="Calibri"/>
                <w:color w:val="000000"/>
                <w:lang w:val="es-CR"/>
              </w:rPr>
              <w:t>observar</w:t>
            </w:r>
            <w:r w:rsidR="00D142B9">
              <w:rPr>
                <w:rFonts w:eastAsia="Times New Roman" w:cs="Calibri"/>
                <w:color w:val="000000"/>
                <w:lang w:val="es-CR"/>
              </w:rPr>
              <w:t xml:space="preserve"> </w:t>
            </w:r>
            <w:r w:rsidRPr="00DD77AA">
              <w:rPr>
                <w:rFonts w:eastAsia="Times New Roman" w:cs="Calibri"/>
                <w:color w:val="000000"/>
                <w:lang w:val="es-CR"/>
              </w:rPr>
              <w:t>las</w:t>
            </w:r>
            <w:r w:rsidR="00D142B9">
              <w:rPr>
                <w:rFonts w:eastAsia="Times New Roman" w:cs="Calibri"/>
                <w:color w:val="000000"/>
                <w:lang w:val="es-CR"/>
              </w:rPr>
              <w:t xml:space="preserve"> </w:t>
            </w:r>
            <w:r w:rsidR="00621A99">
              <w:rPr>
                <w:rFonts w:eastAsia="Times New Roman" w:cs="Calibri"/>
                <w:color w:val="000000"/>
                <w:lang w:val="es-CR"/>
              </w:rPr>
              <w:t>OPC</w:t>
            </w:r>
            <w:r w:rsidR="00D142B9">
              <w:rPr>
                <w:rFonts w:eastAsia="Times New Roman" w:cs="Calibri"/>
                <w:color w:val="000000"/>
                <w:lang w:val="es-CR"/>
              </w:rPr>
              <w:t xml:space="preserve"> </w:t>
            </w:r>
            <w:r w:rsidRPr="00DD77AA">
              <w:rPr>
                <w:rFonts w:eastAsia="Times New Roman" w:cs="Calibri"/>
                <w:color w:val="000000"/>
                <w:lang w:val="es-CR"/>
              </w:rPr>
              <w:t>para</w:t>
            </w:r>
            <w:r w:rsidR="00D142B9">
              <w:rPr>
                <w:rFonts w:eastAsia="Times New Roman" w:cs="Calibri"/>
                <w:color w:val="000000"/>
                <w:lang w:val="es-CR"/>
              </w:rPr>
              <w:t xml:space="preserve"> </w:t>
            </w:r>
            <w:r w:rsidRPr="00DD77AA">
              <w:rPr>
                <w:rFonts w:eastAsia="Times New Roman" w:cs="Calibri"/>
                <w:color w:val="000000"/>
                <w:lang w:val="es-CR"/>
              </w:rPr>
              <w:t>declarar</w:t>
            </w:r>
            <w:r w:rsidR="00D142B9">
              <w:rPr>
                <w:rFonts w:eastAsia="Times New Roman" w:cs="Calibri"/>
                <w:color w:val="000000"/>
                <w:lang w:val="es-CR"/>
              </w:rPr>
              <w:t xml:space="preserve"> </w:t>
            </w:r>
            <w:r w:rsidRPr="00DD77AA">
              <w:rPr>
                <w:rFonts w:eastAsia="Times New Roman" w:cs="Calibri"/>
                <w:color w:val="000000"/>
                <w:lang w:val="es-CR"/>
              </w:rPr>
              <w:t>y</w:t>
            </w:r>
            <w:r w:rsidR="00D142B9">
              <w:rPr>
                <w:rFonts w:eastAsia="Times New Roman" w:cs="Calibri"/>
                <w:color w:val="000000"/>
                <w:lang w:val="es-CR"/>
              </w:rPr>
              <w:t xml:space="preserve"> </w:t>
            </w:r>
            <w:r w:rsidRPr="00DD77AA">
              <w:rPr>
                <w:rFonts w:eastAsia="Times New Roman" w:cs="Calibri"/>
                <w:color w:val="000000"/>
                <w:lang w:val="es-CR"/>
              </w:rPr>
              <w:t>aplicar</w:t>
            </w:r>
            <w:r w:rsidR="00D142B9">
              <w:rPr>
                <w:rFonts w:eastAsia="Times New Roman" w:cs="Calibri"/>
                <w:color w:val="000000"/>
                <w:lang w:val="es-CR"/>
              </w:rPr>
              <w:t xml:space="preserve"> </w:t>
            </w:r>
            <w:r w:rsidRPr="00DD77AA">
              <w:rPr>
                <w:rFonts w:eastAsia="Times New Roman" w:cs="Calibri"/>
                <w:color w:val="000000"/>
                <w:lang w:val="es-CR"/>
              </w:rPr>
              <w:t>las</w:t>
            </w:r>
            <w:r w:rsidR="00D142B9">
              <w:rPr>
                <w:rFonts w:eastAsia="Times New Roman" w:cs="Calibri"/>
                <w:color w:val="000000"/>
                <w:lang w:val="es-CR"/>
              </w:rPr>
              <w:t xml:space="preserve"> </w:t>
            </w:r>
            <w:r w:rsidRPr="00DD77AA">
              <w:rPr>
                <w:rFonts w:eastAsia="Times New Roman" w:cs="Calibri"/>
                <w:color w:val="000000"/>
                <w:lang w:val="es-CR"/>
              </w:rPr>
              <w:t>medidas</w:t>
            </w:r>
            <w:r w:rsidR="00D142B9">
              <w:rPr>
                <w:rFonts w:eastAsia="Times New Roman" w:cs="Calibri"/>
                <w:color w:val="000000"/>
                <w:lang w:val="es-CR"/>
              </w:rPr>
              <w:t xml:space="preserve"> </w:t>
            </w:r>
            <w:r w:rsidRPr="00DD77AA">
              <w:rPr>
                <w:rFonts w:eastAsia="Times New Roman" w:cs="Calibri"/>
                <w:color w:val="000000"/>
                <w:lang w:val="es-CR"/>
              </w:rPr>
              <w:t>de</w:t>
            </w:r>
            <w:r w:rsidR="00D142B9">
              <w:rPr>
                <w:rFonts w:eastAsia="Times New Roman" w:cs="Calibri"/>
                <w:color w:val="000000"/>
                <w:lang w:val="es-CR"/>
              </w:rPr>
              <w:t xml:space="preserve"> </w:t>
            </w:r>
            <w:r w:rsidRPr="00DD77AA">
              <w:rPr>
                <w:rFonts w:eastAsia="Times New Roman" w:cs="Calibri"/>
                <w:color w:val="000000"/>
                <w:lang w:val="es-CR"/>
              </w:rPr>
              <w:t>debida</w:t>
            </w:r>
            <w:r w:rsidR="00D142B9">
              <w:rPr>
                <w:rFonts w:eastAsia="Times New Roman" w:cs="Calibri"/>
                <w:color w:val="000000"/>
                <w:lang w:val="es-CR"/>
              </w:rPr>
              <w:t xml:space="preserve"> </w:t>
            </w:r>
            <w:r w:rsidRPr="00DD77AA">
              <w:rPr>
                <w:rFonts w:eastAsia="Times New Roman" w:cs="Calibri"/>
                <w:color w:val="000000"/>
                <w:lang w:val="es-CR"/>
              </w:rPr>
              <w:t>diligencia del cliente,</w:t>
            </w:r>
            <w:r w:rsidR="00D142B9">
              <w:rPr>
                <w:rFonts w:eastAsia="Times New Roman" w:cs="Calibri"/>
                <w:color w:val="000000"/>
                <w:lang w:val="es-CR"/>
              </w:rPr>
              <w:t xml:space="preserve"> </w:t>
            </w:r>
            <w:r w:rsidRPr="00DD77AA">
              <w:rPr>
                <w:rFonts w:eastAsia="Times New Roman" w:cs="Calibri"/>
                <w:color w:val="000000"/>
                <w:lang w:val="es-CR"/>
              </w:rPr>
              <w:t>en</w:t>
            </w:r>
            <w:r w:rsidR="00D142B9">
              <w:rPr>
                <w:rFonts w:eastAsia="Times New Roman" w:cs="Calibri"/>
                <w:color w:val="000000"/>
                <w:lang w:val="es-CR"/>
              </w:rPr>
              <w:t xml:space="preserve"> </w:t>
            </w:r>
            <w:r w:rsidRPr="00DD77AA">
              <w:rPr>
                <w:rFonts w:eastAsia="Times New Roman" w:cs="Calibri"/>
                <w:color w:val="000000"/>
                <w:lang w:val="es-CR"/>
              </w:rPr>
              <w:t>lo</w:t>
            </w:r>
            <w:r w:rsidR="00D142B9">
              <w:rPr>
                <w:rFonts w:eastAsia="Times New Roman" w:cs="Calibri"/>
                <w:color w:val="000000"/>
                <w:lang w:val="es-CR"/>
              </w:rPr>
              <w:t xml:space="preserve"> </w:t>
            </w:r>
            <w:r w:rsidRPr="00DD77AA">
              <w:rPr>
                <w:rFonts w:eastAsia="Times New Roman" w:cs="Calibri"/>
                <w:color w:val="000000"/>
                <w:lang w:val="es-CR"/>
              </w:rPr>
              <w:t>relativo</w:t>
            </w:r>
            <w:r w:rsidR="00D142B9">
              <w:rPr>
                <w:rFonts w:eastAsia="Times New Roman" w:cs="Calibri"/>
                <w:color w:val="000000"/>
                <w:lang w:val="es-CR"/>
              </w:rPr>
              <w:t xml:space="preserve"> </w:t>
            </w:r>
            <w:r w:rsidRPr="00DD77AA">
              <w:rPr>
                <w:rFonts w:eastAsia="Times New Roman" w:cs="Calibri"/>
                <w:color w:val="000000"/>
                <w:lang w:val="es-CR"/>
              </w:rPr>
              <w:t>a</w:t>
            </w:r>
            <w:r w:rsidR="00D142B9">
              <w:rPr>
                <w:rFonts w:eastAsia="Times New Roman" w:cs="Calibri"/>
                <w:color w:val="000000"/>
                <w:lang w:val="es-CR"/>
              </w:rPr>
              <w:t xml:space="preserve"> </w:t>
            </w:r>
            <w:r w:rsidRPr="00DD77AA">
              <w:rPr>
                <w:rFonts w:eastAsia="Times New Roman" w:cs="Calibri"/>
                <w:color w:val="000000"/>
                <w:lang w:val="es-CR"/>
              </w:rPr>
              <w:t>la</w:t>
            </w:r>
            <w:r w:rsidR="00D142B9">
              <w:rPr>
                <w:rFonts w:eastAsia="Times New Roman" w:cs="Calibri"/>
                <w:color w:val="000000"/>
                <w:lang w:val="es-CR"/>
              </w:rPr>
              <w:t xml:space="preserve"> </w:t>
            </w:r>
            <w:r w:rsidRPr="00DD77AA">
              <w:rPr>
                <w:rFonts w:eastAsia="Times New Roman" w:cs="Calibri"/>
                <w:color w:val="000000"/>
                <w:lang w:val="es-CR"/>
              </w:rPr>
              <w:t>identificación</w:t>
            </w:r>
            <w:r w:rsidR="00D142B9">
              <w:rPr>
                <w:rFonts w:eastAsia="Times New Roman" w:cs="Calibri"/>
                <w:color w:val="000000"/>
                <w:lang w:val="es-CR"/>
              </w:rPr>
              <w:t xml:space="preserve"> </w:t>
            </w:r>
            <w:r w:rsidRPr="00DD77AA">
              <w:rPr>
                <w:rFonts w:eastAsia="Times New Roman" w:cs="Calibri"/>
                <w:color w:val="000000"/>
                <w:lang w:val="es-CR"/>
              </w:rPr>
              <w:t>y</w:t>
            </w:r>
            <w:r w:rsidR="00D142B9">
              <w:rPr>
                <w:rFonts w:eastAsia="Times New Roman" w:cs="Calibri"/>
                <w:color w:val="000000"/>
                <w:lang w:val="es-CR"/>
              </w:rPr>
              <w:t xml:space="preserve"> </w:t>
            </w:r>
            <w:r w:rsidRPr="00DD77AA">
              <w:rPr>
                <w:rFonts w:eastAsia="Times New Roman" w:cs="Calibri"/>
                <w:color w:val="000000"/>
                <w:lang w:val="es-CR"/>
              </w:rPr>
              <w:t>gestión</w:t>
            </w:r>
            <w:r w:rsidR="00D142B9">
              <w:rPr>
                <w:rFonts w:eastAsia="Times New Roman" w:cs="Calibri"/>
                <w:color w:val="000000"/>
                <w:lang w:val="es-CR"/>
              </w:rPr>
              <w:t xml:space="preserve"> </w:t>
            </w:r>
            <w:r w:rsidRPr="00DD77AA">
              <w:rPr>
                <w:rFonts w:eastAsia="Times New Roman" w:cs="Calibri"/>
                <w:color w:val="000000"/>
                <w:lang w:val="es-CR"/>
              </w:rPr>
              <w:t>del</w:t>
            </w:r>
            <w:r w:rsidR="00D142B9">
              <w:rPr>
                <w:rFonts w:eastAsia="Times New Roman" w:cs="Calibri"/>
                <w:color w:val="000000"/>
                <w:lang w:val="es-CR"/>
              </w:rPr>
              <w:t xml:space="preserve"> </w:t>
            </w:r>
            <w:r w:rsidRPr="00DD77AA">
              <w:rPr>
                <w:rFonts w:eastAsia="Times New Roman" w:cs="Calibri"/>
                <w:color w:val="000000"/>
                <w:lang w:val="es-CR"/>
              </w:rPr>
              <w:t>riesgo</w:t>
            </w:r>
            <w:r w:rsidR="00D142B9">
              <w:rPr>
                <w:rFonts w:eastAsia="Times New Roman" w:cs="Calibri"/>
                <w:color w:val="000000"/>
                <w:lang w:val="es-CR"/>
              </w:rPr>
              <w:t xml:space="preserve"> </w:t>
            </w:r>
            <w:r w:rsidRPr="00DD77AA">
              <w:rPr>
                <w:rFonts w:eastAsia="Times New Roman" w:cs="Calibri"/>
                <w:color w:val="000000"/>
                <w:lang w:val="es-CR"/>
              </w:rPr>
              <w:t>de</w:t>
            </w:r>
            <w:r w:rsidR="00D142B9">
              <w:rPr>
                <w:rFonts w:eastAsia="Times New Roman" w:cs="Calibri"/>
                <w:color w:val="000000"/>
                <w:lang w:val="es-CR"/>
              </w:rPr>
              <w:t xml:space="preserve"> </w:t>
            </w:r>
            <w:r w:rsidRPr="00DD77AA">
              <w:rPr>
                <w:rFonts w:eastAsia="Times New Roman" w:cs="Calibri"/>
                <w:color w:val="000000"/>
                <w:lang w:val="es-CR"/>
              </w:rPr>
              <w:t>legitimación</w:t>
            </w:r>
            <w:r w:rsidR="00D142B9">
              <w:rPr>
                <w:rFonts w:eastAsia="Times New Roman" w:cs="Calibri"/>
                <w:color w:val="000000"/>
                <w:lang w:val="es-CR"/>
              </w:rPr>
              <w:t xml:space="preserve"> </w:t>
            </w:r>
            <w:r w:rsidRPr="00DD77AA">
              <w:rPr>
                <w:rFonts w:eastAsia="Times New Roman" w:cs="Calibri"/>
                <w:color w:val="000000"/>
                <w:lang w:val="es-CR"/>
              </w:rPr>
              <w:t>de capitales y financiamiento del terrorismo.</w:t>
            </w:r>
          </w:p>
        </w:tc>
      </w:tr>
      <w:tr w:rsidR="0087113D" w:rsidRPr="00B836A6" w14:paraId="1196E781" w14:textId="77777777" w:rsidTr="004D0DCE">
        <w:trPr>
          <w:trHeight w:val="957"/>
          <w:jc w:val="center"/>
        </w:trPr>
        <w:tc>
          <w:tcPr>
            <w:cnfStyle w:val="001000000000" w:firstRow="0" w:lastRow="0" w:firstColumn="1" w:lastColumn="0" w:oddVBand="0" w:evenVBand="0" w:oddHBand="0" w:evenHBand="0" w:firstRowFirstColumn="0" w:firstRowLastColumn="0" w:lastRowFirstColumn="0" w:lastRowLastColumn="0"/>
            <w:tcW w:w="3256" w:type="dxa"/>
            <w:noWrap/>
          </w:tcPr>
          <w:p w14:paraId="43996702" w14:textId="03F114A0" w:rsidR="004A12C4" w:rsidRPr="004A12C4" w:rsidRDefault="0087113D" w:rsidP="0021212F">
            <w:pPr>
              <w:jc w:val="both"/>
              <w:rPr>
                <w:rFonts w:eastAsia="Times New Roman" w:cs="Calibri"/>
                <w:b w:val="0"/>
                <w:bCs w:val="0"/>
                <w:color w:val="000000"/>
                <w:lang w:val="es-CR"/>
              </w:rPr>
            </w:pPr>
            <w:r>
              <w:rPr>
                <w:rFonts w:eastAsia="Times New Roman" w:cs="Calibri"/>
                <w:color w:val="000000"/>
                <w:lang w:val="es-CR"/>
              </w:rPr>
              <w:t>SP-A-225</w:t>
            </w:r>
            <w:r w:rsidR="00050F7B">
              <w:rPr>
                <w:rFonts w:eastAsia="Times New Roman" w:cs="Calibri"/>
                <w:color w:val="000000"/>
                <w:lang w:val="es-CR"/>
              </w:rPr>
              <w:t xml:space="preserve"> </w:t>
            </w:r>
            <w:r>
              <w:t>Disposiciones para la corrección de errores en la gestión de recursos de las cuentas individuales</w:t>
            </w:r>
          </w:p>
        </w:tc>
        <w:tc>
          <w:tcPr>
            <w:tcW w:w="8788" w:type="dxa"/>
          </w:tcPr>
          <w:p w14:paraId="6F119BE7" w14:textId="097AFBAD" w:rsidR="0087113D" w:rsidRPr="00DD77AA" w:rsidRDefault="0087113D"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6D467C">
              <w:rPr>
                <w:rFonts w:eastAsia="Times New Roman" w:cs="Calibri"/>
                <w:color w:val="000000"/>
                <w:lang w:val="es-CR"/>
              </w:rPr>
              <w:t>Est</w:t>
            </w:r>
            <w:r w:rsidR="009C7717">
              <w:rPr>
                <w:rFonts w:eastAsia="Times New Roman" w:cs="Calibri"/>
                <w:color w:val="000000"/>
                <w:lang w:val="es-CR"/>
              </w:rPr>
              <w:t xml:space="preserve">ablece </w:t>
            </w:r>
            <w:r w:rsidRPr="006D467C">
              <w:rPr>
                <w:rFonts w:eastAsia="Times New Roman" w:cs="Calibri"/>
                <w:color w:val="000000"/>
                <w:lang w:val="es-CR"/>
              </w:rPr>
              <w:t xml:space="preserve">los principios y reglas que deben seguirse para la corrección de los errores en que se incurra con motivo de la gestión de los recursos de las cuentas individuales de los afiliados a </w:t>
            </w:r>
            <w:r w:rsidR="00050F7B" w:rsidRPr="006D467C">
              <w:rPr>
                <w:rFonts w:eastAsia="Times New Roman" w:cs="Calibri"/>
                <w:color w:val="000000"/>
                <w:lang w:val="es-CR"/>
              </w:rPr>
              <w:t>las entidades</w:t>
            </w:r>
            <w:r w:rsidRPr="006D467C">
              <w:rPr>
                <w:rFonts w:eastAsia="Times New Roman" w:cs="Calibri"/>
                <w:color w:val="000000"/>
                <w:lang w:val="es-CR"/>
              </w:rPr>
              <w:t xml:space="preserve"> autorizadas a que se refiere el artículo 2 de </w:t>
            </w:r>
            <w:r w:rsidR="00645079">
              <w:rPr>
                <w:rFonts w:eastAsia="Times New Roman" w:cs="Calibri"/>
                <w:color w:val="000000"/>
                <w:lang w:val="es-CR"/>
              </w:rPr>
              <w:t>la LPT</w:t>
            </w:r>
            <w:r w:rsidRPr="006D467C">
              <w:rPr>
                <w:rFonts w:eastAsia="Times New Roman" w:cs="Calibri"/>
                <w:color w:val="000000"/>
                <w:lang w:val="es-CR"/>
              </w:rPr>
              <w:t>.</w:t>
            </w:r>
          </w:p>
        </w:tc>
      </w:tr>
      <w:tr w:rsidR="0087113D" w:rsidRPr="00B836A6" w14:paraId="4ECA9D28" w14:textId="77777777" w:rsidTr="004D0DCE">
        <w:trPr>
          <w:cnfStyle w:val="000000100000" w:firstRow="0" w:lastRow="0" w:firstColumn="0" w:lastColumn="0" w:oddVBand="0" w:evenVBand="0" w:oddHBand="1" w:evenHBand="0" w:firstRowFirstColumn="0" w:firstRowLastColumn="0" w:lastRowFirstColumn="0" w:lastRowLastColumn="0"/>
          <w:trHeight w:val="957"/>
          <w:jc w:val="center"/>
        </w:trPr>
        <w:tc>
          <w:tcPr>
            <w:cnfStyle w:val="001000000000" w:firstRow="0" w:lastRow="0" w:firstColumn="1" w:lastColumn="0" w:oddVBand="0" w:evenVBand="0" w:oddHBand="0" w:evenHBand="0" w:firstRowFirstColumn="0" w:firstRowLastColumn="0" w:lastRowFirstColumn="0" w:lastRowLastColumn="0"/>
            <w:tcW w:w="3256" w:type="dxa"/>
            <w:noWrap/>
          </w:tcPr>
          <w:p w14:paraId="04919601" w14:textId="35D26A8E" w:rsidR="0087113D" w:rsidRPr="00A12E61" w:rsidRDefault="0087113D" w:rsidP="0021212F">
            <w:pPr>
              <w:jc w:val="both"/>
              <w:rPr>
                <w:rFonts w:eastAsia="Times New Roman" w:cs="Calibri"/>
                <w:color w:val="000000"/>
                <w:lang w:val="es-CR"/>
              </w:rPr>
            </w:pPr>
            <w:r>
              <w:rPr>
                <w:rFonts w:eastAsia="Times New Roman" w:cs="Calibri"/>
                <w:color w:val="000000"/>
                <w:lang w:val="es-CR"/>
              </w:rPr>
              <w:t>SP-A-226</w:t>
            </w:r>
            <w:r w:rsidR="00645079">
              <w:rPr>
                <w:rFonts w:eastAsia="Times New Roman" w:cs="Calibri"/>
                <w:color w:val="000000"/>
                <w:lang w:val="es-CR"/>
              </w:rPr>
              <w:t xml:space="preserve"> </w:t>
            </w:r>
            <w:r w:rsidRPr="00410CBD">
              <w:rPr>
                <w:rFonts w:eastAsia="Times New Roman" w:cs="Calibri"/>
                <w:color w:val="000000"/>
                <w:lang w:val="es-CR"/>
              </w:rPr>
              <w:t>Reforma acuerdo SP-A-048</w:t>
            </w:r>
          </w:p>
          <w:p w14:paraId="5054A4B8" w14:textId="77777777" w:rsidR="0087113D" w:rsidRDefault="0087113D" w:rsidP="0021212F">
            <w:pPr>
              <w:jc w:val="both"/>
              <w:rPr>
                <w:rFonts w:eastAsia="Times New Roman" w:cs="Calibri"/>
                <w:color w:val="000000"/>
                <w:lang w:val="es-CR"/>
              </w:rPr>
            </w:pPr>
            <w:r>
              <w:rPr>
                <w:rFonts w:eastAsia="Times New Roman" w:cs="Calibri"/>
                <w:color w:val="000000"/>
              </w:rPr>
              <w:t>C</w:t>
            </w:r>
            <w:r w:rsidRPr="00EB67C2">
              <w:rPr>
                <w:rFonts w:eastAsia="Times New Roman" w:cs="Calibri"/>
                <w:color w:val="000000"/>
              </w:rPr>
              <w:t xml:space="preserve">omunicación de los perfiles de requisitos y beneficios de los regímenes de pensiones creados por leyes especiales </w:t>
            </w:r>
          </w:p>
        </w:tc>
        <w:tc>
          <w:tcPr>
            <w:tcW w:w="8788" w:type="dxa"/>
          </w:tcPr>
          <w:p w14:paraId="676688B7" w14:textId="4D9D4AE4" w:rsidR="0087113D" w:rsidRDefault="0087113D"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5F71A5">
              <w:rPr>
                <w:rFonts w:eastAsia="Times New Roman" w:cs="Calibri"/>
                <w:color w:val="000000"/>
                <w:lang w:val="es-CR"/>
              </w:rPr>
              <w:t xml:space="preserve">Se dejan sin efecto el párrafo segundo del Artículo 3; el Artículo 4. Disposiciones transitorias; el Artículo 5. Vigencia de estas disposiciones, así como el anexo 4) todos del Acuerdo SP-A-048, Disposiciones acerca de la comunicación de los perfiles de requisitos y beneficios de los regímenes de pensiones creados por leyes especiales y regímenes públicos sustitutos al </w:t>
            </w:r>
            <w:r w:rsidR="00133762">
              <w:rPr>
                <w:rFonts w:eastAsia="Times New Roman" w:cs="Calibri"/>
                <w:color w:val="000000"/>
                <w:lang w:val="es-CR"/>
              </w:rPr>
              <w:t>RIVM</w:t>
            </w:r>
            <w:r w:rsidRPr="005F71A5">
              <w:rPr>
                <w:rFonts w:eastAsia="Times New Roman" w:cs="Calibri"/>
                <w:color w:val="000000"/>
                <w:lang w:val="es-CR"/>
              </w:rPr>
              <w:t>.</w:t>
            </w:r>
          </w:p>
          <w:p w14:paraId="6397BA15" w14:textId="176D9CC6" w:rsidR="0087113D" w:rsidRPr="006D467C" w:rsidRDefault="0087113D"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Lo anterior por cuanto, tales </w:t>
            </w:r>
            <w:r w:rsidRPr="00BE4B64">
              <w:rPr>
                <w:rFonts w:eastAsia="Times New Roman" w:cs="Calibri"/>
                <w:color w:val="000000"/>
                <w:lang w:val="es-CR"/>
              </w:rPr>
              <w:t xml:space="preserve">disposiciones no resultan razonables </w:t>
            </w:r>
            <w:r>
              <w:rPr>
                <w:rFonts w:eastAsia="Times New Roman" w:cs="Calibri"/>
                <w:color w:val="000000"/>
                <w:lang w:val="es-CR"/>
              </w:rPr>
              <w:t xml:space="preserve">y </w:t>
            </w:r>
            <w:r w:rsidRPr="00BE4B64">
              <w:rPr>
                <w:rFonts w:eastAsia="Times New Roman" w:cs="Calibri"/>
                <w:color w:val="000000"/>
                <w:lang w:val="es-CR"/>
              </w:rPr>
              <w:t xml:space="preserve">ya cumplieron su cometido, así como la eliminación de formularios que no solamente no son </w:t>
            </w:r>
            <w:r w:rsidR="00756522" w:rsidRPr="00BE4B64">
              <w:rPr>
                <w:rFonts w:eastAsia="Times New Roman" w:cs="Calibri"/>
                <w:color w:val="000000"/>
                <w:lang w:val="es-CR"/>
              </w:rPr>
              <w:t>necesarios,</w:t>
            </w:r>
            <w:r w:rsidRPr="00BE4B64">
              <w:rPr>
                <w:rFonts w:eastAsia="Times New Roman" w:cs="Calibri"/>
                <w:color w:val="000000"/>
                <w:lang w:val="es-CR"/>
              </w:rPr>
              <w:t xml:space="preserve"> sino que, además, contienen información relativa a los perfiles de requisitos y beneficios que ya no se corresponden con los actualmente vigentes</w:t>
            </w:r>
          </w:p>
        </w:tc>
      </w:tr>
      <w:tr w:rsidR="0087113D" w:rsidRPr="00B836A6" w14:paraId="4EEACF30" w14:textId="77777777" w:rsidTr="004D0DCE">
        <w:trPr>
          <w:trHeight w:val="419"/>
          <w:jc w:val="center"/>
        </w:trPr>
        <w:tc>
          <w:tcPr>
            <w:cnfStyle w:val="001000000000" w:firstRow="0" w:lastRow="0" w:firstColumn="1" w:lastColumn="0" w:oddVBand="0" w:evenVBand="0" w:oddHBand="0" w:evenHBand="0" w:firstRowFirstColumn="0" w:firstRowLastColumn="0" w:lastRowFirstColumn="0" w:lastRowLastColumn="0"/>
            <w:tcW w:w="3256" w:type="dxa"/>
            <w:noWrap/>
          </w:tcPr>
          <w:p w14:paraId="2A30B294" w14:textId="2C0115DF" w:rsidR="0087113D" w:rsidRPr="00645079" w:rsidRDefault="0087113D" w:rsidP="0021212F">
            <w:pPr>
              <w:jc w:val="both"/>
              <w:rPr>
                <w:rFonts w:eastAsia="Times New Roman" w:cs="Calibri"/>
                <w:b w:val="0"/>
                <w:bCs w:val="0"/>
                <w:color w:val="000000"/>
                <w:lang w:val="es-CR"/>
              </w:rPr>
            </w:pPr>
            <w:r>
              <w:rPr>
                <w:rFonts w:eastAsia="Times New Roman" w:cs="Calibri"/>
                <w:color w:val="000000"/>
                <w:lang w:val="es-CR"/>
              </w:rPr>
              <w:t>SP-A-227</w:t>
            </w:r>
            <w:r w:rsidR="00645079">
              <w:rPr>
                <w:rFonts w:eastAsia="Times New Roman" w:cs="Calibri"/>
                <w:b w:val="0"/>
                <w:bCs w:val="0"/>
                <w:color w:val="000000"/>
                <w:lang w:val="es-CR"/>
              </w:rPr>
              <w:t xml:space="preserve"> </w:t>
            </w:r>
            <w:r>
              <w:rPr>
                <w:rFonts w:eastAsia="Times New Roman" w:cs="Calibri"/>
                <w:color w:val="000000"/>
                <w:lang w:val="es-CR"/>
              </w:rPr>
              <w:t xml:space="preserve">Derogatoria de varios acuerdos y oficios </w:t>
            </w:r>
          </w:p>
        </w:tc>
        <w:tc>
          <w:tcPr>
            <w:tcW w:w="8788" w:type="dxa"/>
          </w:tcPr>
          <w:p w14:paraId="07998682" w14:textId="0E1D6792" w:rsidR="0087113D" w:rsidRDefault="0087113D" w:rsidP="0021212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Producto del proceso permanente de revisión de normativa, se determinó que no resultan necesarias, los siguientes documentos:</w:t>
            </w:r>
          </w:p>
          <w:p w14:paraId="27C9D510" w14:textId="68DDD8C6" w:rsidR="0087113D" w:rsidRPr="00A44C79" w:rsidRDefault="0087113D" w:rsidP="00701F57">
            <w:pPr>
              <w:pStyle w:val="Prrafodelista"/>
              <w:numPr>
                <w:ilvl w:val="0"/>
                <w:numId w:val="21"/>
              </w:numPr>
              <w:ind w:left="41" w:hanging="142"/>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A44C79">
              <w:rPr>
                <w:rFonts w:eastAsia="Times New Roman" w:cs="Calibri"/>
                <w:color w:val="000000"/>
                <w:lang w:val="es-CR"/>
              </w:rPr>
              <w:t>Se dejan sin efecto los oficios SP-045-2002de fecha 14 de enero del 2002, Procedimiento para el retiro de los recursos del ROP y FCL por parte de extranjeros y residentes temporales; SP-1303-2002</w:t>
            </w:r>
            <w:r w:rsidR="00133762">
              <w:rPr>
                <w:rFonts w:eastAsia="Times New Roman" w:cs="Calibri"/>
                <w:color w:val="000000"/>
                <w:lang w:val="es-CR"/>
              </w:rPr>
              <w:t xml:space="preserve"> </w:t>
            </w:r>
            <w:r w:rsidRPr="00A44C79">
              <w:rPr>
                <w:rFonts w:eastAsia="Times New Roman" w:cs="Calibri"/>
                <w:color w:val="000000"/>
                <w:lang w:val="es-CR"/>
              </w:rPr>
              <w:t xml:space="preserve">de las trece horas del día veintiséis de agosto del 2002, Tratamiento de los recursos del </w:t>
            </w:r>
            <w:r w:rsidR="00EC60ED">
              <w:rPr>
                <w:rFonts w:eastAsia="Times New Roman" w:cs="Calibri"/>
                <w:color w:val="000000"/>
                <w:lang w:val="es-CR"/>
              </w:rPr>
              <w:t>FCL</w:t>
            </w:r>
            <w:r w:rsidRPr="00A44C79">
              <w:rPr>
                <w:rFonts w:eastAsia="Times New Roman" w:cs="Calibri"/>
                <w:color w:val="000000"/>
                <w:lang w:val="es-CR"/>
              </w:rPr>
              <w:t xml:space="preserve"> ante el fallecimiento del trabajador; SP-969-2003 de fecha 6 de mayo del 2003, Comunicación del procedimiento a seguir para que los causahabientes retiren los recursos del </w:t>
            </w:r>
            <w:r w:rsidR="00EC60ED">
              <w:rPr>
                <w:rFonts w:eastAsia="Times New Roman" w:cs="Calibri"/>
                <w:color w:val="000000"/>
                <w:lang w:val="es-CR"/>
              </w:rPr>
              <w:t>FCL</w:t>
            </w:r>
            <w:r w:rsidRPr="00A44C79">
              <w:rPr>
                <w:rFonts w:eastAsia="Times New Roman" w:cs="Calibri"/>
                <w:color w:val="000000"/>
                <w:lang w:val="es-CR"/>
              </w:rPr>
              <w:t>; SP-792-2003de fecha</w:t>
            </w:r>
            <w:r w:rsidR="00D142B9" w:rsidRPr="00A44C79">
              <w:rPr>
                <w:rFonts w:eastAsia="Times New Roman" w:cs="Calibri"/>
                <w:color w:val="000000"/>
                <w:lang w:val="es-CR"/>
              </w:rPr>
              <w:t xml:space="preserve"> </w:t>
            </w:r>
            <w:r w:rsidRPr="00A44C79">
              <w:rPr>
                <w:rFonts w:eastAsia="Times New Roman" w:cs="Calibri"/>
                <w:color w:val="000000"/>
                <w:lang w:val="es-CR"/>
              </w:rPr>
              <w:t xml:space="preserve">4 de abril del 2003, Entrega de recursos a causahabientes provenientes del </w:t>
            </w:r>
            <w:r w:rsidR="007D617A">
              <w:rPr>
                <w:rFonts w:eastAsia="Times New Roman" w:cs="Calibri"/>
                <w:color w:val="000000"/>
                <w:lang w:val="es-CR"/>
              </w:rPr>
              <w:t>FCL</w:t>
            </w:r>
            <w:r w:rsidRPr="00A44C79">
              <w:rPr>
                <w:rFonts w:eastAsia="Times New Roman" w:cs="Calibri"/>
                <w:color w:val="000000"/>
                <w:lang w:val="es-CR"/>
              </w:rPr>
              <w:t>;</w:t>
            </w:r>
            <w:r w:rsidR="00EC60ED">
              <w:rPr>
                <w:rFonts w:eastAsia="Times New Roman" w:cs="Calibri"/>
                <w:color w:val="000000"/>
                <w:lang w:val="es-CR"/>
              </w:rPr>
              <w:t xml:space="preserve"> </w:t>
            </w:r>
            <w:r w:rsidRPr="00A44C79">
              <w:rPr>
                <w:rFonts w:eastAsia="Times New Roman" w:cs="Calibri"/>
                <w:color w:val="000000"/>
                <w:lang w:val="es-CR"/>
              </w:rPr>
              <w:t>SP-636de las ocho horas</w:t>
            </w:r>
            <w:r w:rsidR="00D142B9" w:rsidRPr="00A44C79">
              <w:rPr>
                <w:rFonts w:eastAsia="Times New Roman" w:cs="Calibri"/>
                <w:color w:val="000000"/>
                <w:lang w:val="es-CR"/>
              </w:rPr>
              <w:t xml:space="preserve"> </w:t>
            </w:r>
            <w:r w:rsidRPr="00A44C79">
              <w:rPr>
                <w:rFonts w:eastAsia="Times New Roman" w:cs="Calibri"/>
                <w:color w:val="000000"/>
                <w:lang w:val="es-CR"/>
              </w:rPr>
              <w:t>del</w:t>
            </w:r>
            <w:r w:rsidR="00D142B9" w:rsidRPr="00A44C79">
              <w:rPr>
                <w:rFonts w:eastAsia="Times New Roman" w:cs="Calibri"/>
                <w:color w:val="000000"/>
                <w:lang w:val="es-CR"/>
              </w:rPr>
              <w:t xml:space="preserve"> </w:t>
            </w:r>
            <w:r w:rsidRPr="00A44C79">
              <w:rPr>
                <w:rFonts w:eastAsia="Times New Roman" w:cs="Calibri"/>
                <w:color w:val="000000"/>
                <w:lang w:val="es-CR"/>
              </w:rPr>
              <w:t>nueve</w:t>
            </w:r>
            <w:r w:rsidR="00D142B9" w:rsidRPr="00A44C79">
              <w:rPr>
                <w:rFonts w:eastAsia="Times New Roman" w:cs="Calibri"/>
                <w:color w:val="000000"/>
                <w:lang w:val="es-CR"/>
              </w:rPr>
              <w:t xml:space="preserve"> </w:t>
            </w:r>
            <w:r w:rsidRPr="00A44C79">
              <w:rPr>
                <w:rFonts w:eastAsia="Times New Roman" w:cs="Calibri"/>
                <w:color w:val="000000"/>
                <w:lang w:val="es-CR"/>
              </w:rPr>
              <w:t>de</w:t>
            </w:r>
            <w:r w:rsidR="00D142B9" w:rsidRPr="00A44C79">
              <w:rPr>
                <w:rFonts w:eastAsia="Times New Roman" w:cs="Calibri"/>
                <w:color w:val="000000"/>
                <w:lang w:val="es-CR"/>
              </w:rPr>
              <w:t xml:space="preserve"> </w:t>
            </w:r>
            <w:r w:rsidRPr="00A44C79">
              <w:rPr>
                <w:rFonts w:eastAsia="Times New Roman" w:cs="Calibri"/>
                <w:color w:val="000000"/>
                <w:lang w:val="es-CR"/>
              </w:rPr>
              <w:t>mayo</w:t>
            </w:r>
            <w:r w:rsidR="00D142B9" w:rsidRPr="00A44C79">
              <w:rPr>
                <w:rFonts w:eastAsia="Times New Roman" w:cs="Calibri"/>
                <w:color w:val="000000"/>
                <w:lang w:val="es-CR"/>
              </w:rPr>
              <w:t xml:space="preserve"> </w:t>
            </w:r>
            <w:r w:rsidRPr="00A44C79">
              <w:rPr>
                <w:rFonts w:eastAsia="Times New Roman" w:cs="Calibri"/>
                <w:color w:val="000000"/>
                <w:lang w:val="es-CR"/>
              </w:rPr>
              <w:t>del</w:t>
            </w:r>
            <w:r w:rsidR="00D142B9" w:rsidRPr="00A44C79">
              <w:rPr>
                <w:rFonts w:eastAsia="Times New Roman" w:cs="Calibri"/>
                <w:color w:val="000000"/>
                <w:lang w:val="es-CR"/>
              </w:rPr>
              <w:t xml:space="preserve"> </w:t>
            </w:r>
            <w:r w:rsidRPr="00A44C79">
              <w:rPr>
                <w:rFonts w:eastAsia="Times New Roman" w:cs="Calibri"/>
                <w:color w:val="000000"/>
                <w:lang w:val="es-CR"/>
              </w:rPr>
              <w:t>dos</w:t>
            </w:r>
            <w:r w:rsidR="00D142B9" w:rsidRPr="00A44C79">
              <w:rPr>
                <w:rFonts w:eastAsia="Times New Roman" w:cs="Calibri"/>
                <w:color w:val="000000"/>
                <w:lang w:val="es-CR"/>
              </w:rPr>
              <w:t xml:space="preserve"> </w:t>
            </w:r>
            <w:r w:rsidRPr="00A44C79">
              <w:rPr>
                <w:rFonts w:eastAsia="Times New Roman" w:cs="Calibri"/>
                <w:color w:val="000000"/>
                <w:lang w:val="es-CR"/>
              </w:rPr>
              <w:t>mil</w:t>
            </w:r>
            <w:r w:rsidR="00D142B9" w:rsidRPr="00A44C79">
              <w:rPr>
                <w:rFonts w:eastAsia="Times New Roman" w:cs="Calibri"/>
                <w:color w:val="000000"/>
                <w:lang w:val="es-CR"/>
              </w:rPr>
              <w:t xml:space="preserve"> </w:t>
            </w:r>
            <w:r w:rsidRPr="00A44C79">
              <w:rPr>
                <w:rFonts w:eastAsia="Times New Roman" w:cs="Calibri"/>
                <w:color w:val="000000"/>
                <w:lang w:val="es-CR"/>
              </w:rPr>
              <w:t>dos, Disposiciones</w:t>
            </w:r>
            <w:r w:rsidR="00D142B9" w:rsidRPr="00A44C79">
              <w:rPr>
                <w:rFonts w:eastAsia="Times New Roman" w:cs="Calibri"/>
                <w:color w:val="000000"/>
                <w:lang w:val="es-CR"/>
              </w:rPr>
              <w:t xml:space="preserve"> </w:t>
            </w:r>
            <w:r w:rsidRPr="00A44C79">
              <w:rPr>
                <w:rFonts w:eastAsia="Times New Roman" w:cs="Calibri"/>
                <w:color w:val="000000"/>
                <w:lang w:val="es-CR"/>
              </w:rPr>
              <w:t>sobre</w:t>
            </w:r>
            <w:r w:rsidR="00D142B9" w:rsidRPr="00A44C79">
              <w:rPr>
                <w:rFonts w:eastAsia="Times New Roman" w:cs="Calibri"/>
                <w:color w:val="000000"/>
                <w:lang w:val="es-CR"/>
              </w:rPr>
              <w:t xml:space="preserve"> </w:t>
            </w:r>
            <w:r w:rsidRPr="00A44C79">
              <w:rPr>
                <w:rFonts w:eastAsia="Times New Roman" w:cs="Calibri"/>
                <w:color w:val="000000"/>
                <w:lang w:val="es-CR"/>
              </w:rPr>
              <w:t>la</w:t>
            </w:r>
            <w:r w:rsidR="00D142B9" w:rsidRPr="00A44C79">
              <w:rPr>
                <w:rFonts w:eastAsia="Times New Roman" w:cs="Calibri"/>
                <w:color w:val="000000"/>
                <w:lang w:val="es-CR"/>
              </w:rPr>
              <w:t xml:space="preserve"> </w:t>
            </w:r>
            <w:r w:rsidRPr="00A44C79">
              <w:rPr>
                <w:rFonts w:eastAsia="Times New Roman" w:cs="Calibri"/>
                <w:color w:val="000000"/>
                <w:lang w:val="es-CR"/>
              </w:rPr>
              <w:t>transferencia</w:t>
            </w:r>
            <w:r w:rsidR="00D142B9" w:rsidRPr="00A44C79">
              <w:rPr>
                <w:rFonts w:eastAsia="Times New Roman" w:cs="Calibri"/>
                <w:color w:val="000000"/>
                <w:lang w:val="es-CR"/>
              </w:rPr>
              <w:t xml:space="preserve"> </w:t>
            </w:r>
            <w:r w:rsidRPr="00A44C79">
              <w:rPr>
                <w:rFonts w:eastAsia="Times New Roman" w:cs="Calibri"/>
                <w:color w:val="000000"/>
                <w:lang w:val="es-CR"/>
              </w:rPr>
              <w:t>de</w:t>
            </w:r>
            <w:r w:rsidR="00D142B9" w:rsidRPr="00A44C79">
              <w:rPr>
                <w:rFonts w:eastAsia="Times New Roman" w:cs="Calibri"/>
                <w:color w:val="000000"/>
                <w:lang w:val="es-CR"/>
              </w:rPr>
              <w:t xml:space="preserve"> </w:t>
            </w:r>
            <w:r w:rsidRPr="00A44C79">
              <w:rPr>
                <w:rFonts w:eastAsia="Times New Roman" w:cs="Calibri"/>
                <w:color w:val="000000"/>
                <w:lang w:val="es-CR"/>
              </w:rPr>
              <w:t>recursos</w:t>
            </w:r>
            <w:r w:rsidR="00D142B9" w:rsidRPr="00A44C79">
              <w:rPr>
                <w:rFonts w:eastAsia="Times New Roman" w:cs="Calibri"/>
                <w:color w:val="000000"/>
                <w:lang w:val="es-CR"/>
              </w:rPr>
              <w:t xml:space="preserve"> </w:t>
            </w:r>
            <w:r w:rsidRPr="00A44C79">
              <w:rPr>
                <w:rFonts w:eastAsia="Times New Roman" w:cs="Calibri"/>
                <w:color w:val="000000"/>
                <w:lang w:val="es-CR"/>
              </w:rPr>
              <w:t>entre fondos</w:t>
            </w:r>
            <w:r w:rsidR="00D142B9" w:rsidRPr="00A44C79">
              <w:rPr>
                <w:rFonts w:eastAsia="Times New Roman" w:cs="Calibri"/>
                <w:color w:val="000000"/>
                <w:lang w:val="es-CR"/>
              </w:rPr>
              <w:t xml:space="preserve"> </w:t>
            </w:r>
            <w:r w:rsidRPr="00A44C79">
              <w:rPr>
                <w:rFonts w:eastAsia="Times New Roman" w:cs="Calibri"/>
                <w:color w:val="000000"/>
                <w:lang w:val="es-CR"/>
              </w:rPr>
              <w:t>del</w:t>
            </w:r>
            <w:r w:rsidR="00D142B9" w:rsidRPr="00A44C79">
              <w:rPr>
                <w:rFonts w:eastAsia="Times New Roman" w:cs="Calibri"/>
                <w:color w:val="000000"/>
                <w:lang w:val="es-CR"/>
              </w:rPr>
              <w:t xml:space="preserve"> </w:t>
            </w:r>
            <w:r w:rsidR="00977002">
              <w:rPr>
                <w:rFonts w:eastAsia="Times New Roman" w:cs="Calibri"/>
                <w:color w:val="000000"/>
                <w:lang w:val="es-CR"/>
              </w:rPr>
              <w:t>ROP</w:t>
            </w:r>
            <w:r w:rsidR="00D142B9" w:rsidRPr="00A44C79">
              <w:rPr>
                <w:rFonts w:eastAsia="Times New Roman" w:cs="Calibri"/>
                <w:color w:val="000000"/>
                <w:lang w:val="es-CR"/>
              </w:rPr>
              <w:t xml:space="preserve"> </w:t>
            </w:r>
            <w:r w:rsidRPr="00A44C79">
              <w:rPr>
                <w:rFonts w:eastAsia="Times New Roman" w:cs="Calibri"/>
                <w:color w:val="000000"/>
                <w:lang w:val="es-CR"/>
              </w:rPr>
              <w:t>y</w:t>
            </w:r>
            <w:r w:rsidR="00D142B9" w:rsidRPr="00A44C79">
              <w:rPr>
                <w:rFonts w:eastAsia="Times New Roman" w:cs="Calibri"/>
                <w:color w:val="000000"/>
                <w:lang w:val="es-CR"/>
              </w:rPr>
              <w:t xml:space="preserve"> </w:t>
            </w:r>
            <w:r w:rsidRPr="00A44C79">
              <w:rPr>
                <w:rFonts w:eastAsia="Times New Roman" w:cs="Calibri"/>
                <w:color w:val="000000"/>
                <w:lang w:val="es-CR"/>
              </w:rPr>
              <w:t>del</w:t>
            </w:r>
            <w:r w:rsidR="00D142B9" w:rsidRPr="00A44C79">
              <w:rPr>
                <w:rFonts w:eastAsia="Times New Roman" w:cs="Calibri"/>
                <w:color w:val="000000"/>
                <w:lang w:val="es-CR"/>
              </w:rPr>
              <w:t xml:space="preserve"> </w:t>
            </w:r>
            <w:r w:rsidR="00977002">
              <w:rPr>
                <w:rFonts w:eastAsia="Times New Roman" w:cs="Calibri"/>
                <w:color w:val="000000"/>
                <w:lang w:val="es-CR"/>
              </w:rPr>
              <w:t xml:space="preserve">FCL </w:t>
            </w:r>
            <w:r w:rsidRPr="00A44C79">
              <w:rPr>
                <w:rFonts w:eastAsia="Times New Roman" w:cs="Calibri"/>
                <w:color w:val="000000"/>
                <w:lang w:val="es-CR"/>
              </w:rPr>
              <w:t>denominados</w:t>
            </w:r>
            <w:r w:rsidR="00D142B9" w:rsidRPr="00A44C79">
              <w:rPr>
                <w:rFonts w:eastAsia="Times New Roman" w:cs="Calibri"/>
                <w:color w:val="000000"/>
                <w:lang w:val="es-CR"/>
              </w:rPr>
              <w:t xml:space="preserve"> </w:t>
            </w:r>
            <w:r w:rsidRPr="00A44C79">
              <w:rPr>
                <w:rFonts w:eastAsia="Times New Roman" w:cs="Calibri"/>
                <w:color w:val="000000"/>
                <w:lang w:val="es-CR"/>
              </w:rPr>
              <w:t>en</w:t>
            </w:r>
            <w:r w:rsidR="00D142B9" w:rsidRPr="00A44C79">
              <w:rPr>
                <w:rFonts w:eastAsia="Times New Roman" w:cs="Calibri"/>
                <w:color w:val="000000"/>
                <w:lang w:val="es-CR"/>
              </w:rPr>
              <w:t xml:space="preserve"> </w:t>
            </w:r>
            <w:r w:rsidRPr="00A44C79">
              <w:rPr>
                <w:rFonts w:eastAsia="Times New Roman" w:cs="Calibri"/>
                <w:color w:val="000000"/>
                <w:lang w:val="es-CR"/>
              </w:rPr>
              <w:t>diferente</w:t>
            </w:r>
            <w:r w:rsidR="00D142B9" w:rsidRPr="00A44C79">
              <w:rPr>
                <w:rFonts w:eastAsia="Times New Roman" w:cs="Calibri"/>
                <w:color w:val="000000"/>
                <w:lang w:val="es-CR"/>
              </w:rPr>
              <w:t xml:space="preserve"> </w:t>
            </w:r>
            <w:r w:rsidRPr="00A44C79">
              <w:rPr>
                <w:rFonts w:eastAsia="Times New Roman" w:cs="Calibri"/>
                <w:color w:val="000000"/>
                <w:lang w:val="es-CR"/>
              </w:rPr>
              <w:t>moneda; y SP-1720de</w:t>
            </w:r>
            <w:r w:rsidR="00D142B9" w:rsidRPr="00A44C79">
              <w:rPr>
                <w:rFonts w:eastAsia="Times New Roman" w:cs="Calibri"/>
                <w:color w:val="000000"/>
                <w:lang w:val="es-CR"/>
              </w:rPr>
              <w:t xml:space="preserve"> </w:t>
            </w:r>
            <w:r w:rsidRPr="00A44C79">
              <w:rPr>
                <w:rFonts w:eastAsia="Times New Roman" w:cs="Calibri"/>
                <w:color w:val="000000"/>
                <w:lang w:val="es-CR"/>
              </w:rPr>
              <w:t>fecha</w:t>
            </w:r>
            <w:r w:rsidR="00D142B9" w:rsidRPr="00A44C79">
              <w:rPr>
                <w:rFonts w:eastAsia="Times New Roman" w:cs="Calibri"/>
                <w:color w:val="000000"/>
                <w:lang w:val="es-CR"/>
              </w:rPr>
              <w:t xml:space="preserve"> </w:t>
            </w:r>
            <w:r w:rsidRPr="00A44C79">
              <w:rPr>
                <w:rFonts w:eastAsia="Times New Roman" w:cs="Calibri"/>
                <w:color w:val="000000"/>
                <w:lang w:val="es-CR"/>
              </w:rPr>
              <w:t>17</w:t>
            </w:r>
            <w:r w:rsidR="00D142B9" w:rsidRPr="00A44C79">
              <w:rPr>
                <w:rFonts w:eastAsia="Times New Roman" w:cs="Calibri"/>
                <w:color w:val="000000"/>
                <w:lang w:val="es-CR"/>
              </w:rPr>
              <w:t xml:space="preserve"> </w:t>
            </w:r>
            <w:r w:rsidRPr="00A44C79">
              <w:rPr>
                <w:rFonts w:eastAsia="Times New Roman" w:cs="Calibri"/>
                <w:color w:val="000000"/>
                <w:lang w:val="es-CR"/>
              </w:rPr>
              <w:t>de</w:t>
            </w:r>
            <w:r w:rsidR="00D142B9" w:rsidRPr="00A44C79">
              <w:rPr>
                <w:rFonts w:eastAsia="Times New Roman" w:cs="Calibri"/>
                <w:color w:val="000000"/>
                <w:lang w:val="es-CR"/>
              </w:rPr>
              <w:t xml:space="preserve"> </w:t>
            </w:r>
            <w:r w:rsidRPr="00A44C79">
              <w:rPr>
                <w:rFonts w:eastAsia="Times New Roman" w:cs="Calibri"/>
                <w:color w:val="000000"/>
                <w:lang w:val="es-CR"/>
              </w:rPr>
              <w:t>octubre</w:t>
            </w:r>
            <w:r w:rsidR="00D142B9" w:rsidRPr="00A44C79">
              <w:rPr>
                <w:rFonts w:eastAsia="Times New Roman" w:cs="Calibri"/>
                <w:color w:val="000000"/>
                <w:lang w:val="es-CR"/>
              </w:rPr>
              <w:t xml:space="preserve"> </w:t>
            </w:r>
            <w:r w:rsidRPr="00A44C79">
              <w:rPr>
                <w:rFonts w:eastAsia="Times New Roman" w:cs="Calibri"/>
                <w:color w:val="000000"/>
                <w:lang w:val="es-CR"/>
              </w:rPr>
              <w:t>del</w:t>
            </w:r>
            <w:r w:rsidR="00D142B9" w:rsidRPr="00A44C79">
              <w:rPr>
                <w:rFonts w:eastAsia="Times New Roman" w:cs="Calibri"/>
                <w:color w:val="000000"/>
                <w:lang w:val="es-CR"/>
              </w:rPr>
              <w:t xml:space="preserve"> </w:t>
            </w:r>
            <w:r w:rsidRPr="00A44C79">
              <w:rPr>
                <w:rFonts w:eastAsia="Times New Roman" w:cs="Calibri"/>
                <w:color w:val="000000"/>
                <w:lang w:val="es-CR"/>
              </w:rPr>
              <w:t>2002,Disposiciones obligatorias sobre el ejercicio del derecho de libre transferencia y el retiro anticipado de los afiliados.</w:t>
            </w:r>
          </w:p>
          <w:p w14:paraId="00581A05" w14:textId="6A715033" w:rsidR="0087113D" w:rsidRPr="00A44C79" w:rsidRDefault="0087113D" w:rsidP="00701F57">
            <w:pPr>
              <w:pStyle w:val="Prrafodelista"/>
              <w:numPr>
                <w:ilvl w:val="0"/>
                <w:numId w:val="21"/>
              </w:numPr>
              <w:ind w:left="41" w:hanging="142"/>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1F57">
              <w:rPr>
                <w:rFonts w:cstheme="minorHAnsi"/>
              </w:rPr>
              <w:t>Asimismo</w:t>
            </w:r>
            <w:r w:rsidRPr="00937927">
              <w:rPr>
                <w:rFonts w:eastAsia="Times New Roman" w:cs="Calibri"/>
                <w:color w:val="000000"/>
                <w:lang w:val="es-CR"/>
              </w:rPr>
              <w:t xml:space="preserve"> se derogan los acuerdos, SP-A-009</w:t>
            </w:r>
            <w:r w:rsidR="00977002">
              <w:rPr>
                <w:rFonts w:eastAsia="Times New Roman" w:cs="Calibri"/>
                <w:color w:val="000000"/>
                <w:lang w:val="es-CR"/>
              </w:rPr>
              <w:t xml:space="preserve"> </w:t>
            </w:r>
            <w:r w:rsidRPr="00937927">
              <w:rPr>
                <w:rFonts w:eastAsia="Times New Roman" w:cs="Calibri"/>
                <w:color w:val="000000"/>
                <w:lang w:val="es-CR"/>
              </w:rPr>
              <w:t xml:space="preserve">del siete de enero de 2003, Disposiciones en torno al traslado de recursos del </w:t>
            </w:r>
            <w:r w:rsidR="00977002">
              <w:rPr>
                <w:rFonts w:eastAsia="Times New Roman" w:cs="Calibri"/>
                <w:color w:val="000000"/>
                <w:lang w:val="es-CR"/>
              </w:rPr>
              <w:t>FCL</w:t>
            </w:r>
            <w:r w:rsidRPr="00937927">
              <w:rPr>
                <w:rFonts w:eastAsia="Times New Roman" w:cs="Calibri"/>
                <w:color w:val="000000"/>
                <w:lang w:val="es-CR"/>
              </w:rPr>
              <w:t>, con ocasión de la libre transferencias entre operadoras de pensiones; SP-A-004 del 11 de noviembre del 2002, Modificaciones del Plan de Cuentas</w:t>
            </w:r>
            <w:r w:rsidR="00D142B9">
              <w:rPr>
                <w:rFonts w:eastAsia="Times New Roman" w:cs="Calibri"/>
                <w:color w:val="000000"/>
                <w:lang w:val="es-CR"/>
              </w:rPr>
              <w:t xml:space="preserve"> </w:t>
            </w:r>
            <w:r w:rsidRPr="00937927">
              <w:rPr>
                <w:rFonts w:eastAsia="Times New Roman" w:cs="Calibri"/>
                <w:color w:val="000000"/>
                <w:lang w:val="es-CR"/>
              </w:rPr>
              <w:t>de</w:t>
            </w:r>
            <w:r w:rsidR="00D142B9">
              <w:rPr>
                <w:rFonts w:eastAsia="Times New Roman" w:cs="Calibri"/>
                <w:color w:val="000000"/>
                <w:lang w:val="es-CR"/>
              </w:rPr>
              <w:t xml:space="preserve"> </w:t>
            </w:r>
            <w:r w:rsidRPr="00937927">
              <w:rPr>
                <w:rFonts w:eastAsia="Times New Roman" w:cs="Calibri"/>
                <w:color w:val="000000"/>
                <w:lang w:val="es-CR"/>
              </w:rPr>
              <w:t>las</w:t>
            </w:r>
            <w:r w:rsidR="00D142B9">
              <w:rPr>
                <w:rFonts w:eastAsia="Times New Roman" w:cs="Calibri"/>
                <w:color w:val="000000"/>
                <w:lang w:val="es-CR"/>
              </w:rPr>
              <w:t xml:space="preserve"> </w:t>
            </w:r>
            <w:r w:rsidRPr="00937927">
              <w:rPr>
                <w:rFonts w:eastAsia="Times New Roman" w:cs="Calibri"/>
                <w:color w:val="000000"/>
                <w:lang w:val="es-CR"/>
              </w:rPr>
              <w:t>Operadoras</w:t>
            </w:r>
            <w:r w:rsidR="00D142B9">
              <w:rPr>
                <w:rFonts w:eastAsia="Times New Roman" w:cs="Calibri"/>
                <w:color w:val="000000"/>
                <w:lang w:val="es-CR"/>
              </w:rPr>
              <w:t xml:space="preserve"> </w:t>
            </w:r>
            <w:r w:rsidRPr="00937927">
              <w:rPr>
                <w:rFonts w:eastAsia="Times New Roman" w:cs="Calibri"/>
                <w:color w:val="000000"/>
                <w:lang w:val="es-CR"/>
              </w:rPr>
              <w:t>de</w:t>
            </w:r>
            <w:r w:rsidR="00D142B9">
              <w:rPr>
                <w:rFonts w:eastAsia="Times New Roman" w:cs="Calibri"/>
                <w:color w:val="000000"/>
                <w:lang w:val="es-CR"/>
              </w:rPr>
              <w:t xml:space="preserve"> </w:t>
            </w:r>
            <w:r w:rsidRPr="00937927">
              <w:rPr>
                <w:rFonts w:eastAsia="Times New Roman" w:cs="Calibri"/>
                <w:color w:val="000000"/>
                <w:lang w:val="es-CR"/>
              </w:rPr>
              <w:t>Pensiones</w:t>
            </w:r>
            <w:r w:rsidR="00D142B9">
              <w:rPr>
                <w:rFonts w:eastAsia="Times New Roman" w:cs="Calibri"/>
                <w:color w:val="000000"/>
                <w:lang w:val="es-CR"/>
              </w:rPr>
              <w:t xml:space="preserve"> </w:t>
            </w:r>
            <w:r w:rsidRPr="00937927">
              <w:rPr>
                <w:rFonts w:eastAsia="Times New Roman" w:cs="Calibri"/>
                <w:color w:val="000000"/>
                <w:lang w:val="es-CR"/>
              </w:rPr>
              <w:t>y</w:t>
            </w:r>
            <w:r w:rsidR="00D142B9">
              <w:rPr>
                <w:rFonts w:eastAsia="Times New Roman" w:cs="Calibri"/>
                <w:color w:val="000000"/>
                <w:lang w:val="es-CR"/>
              </w:rPr>
              <w:t xml:space="preserve"> </w:t>
            </w:r>
            <w:r w:rsidRPr="00937927">
              <w:rPr>
                <w:rFonts w:eastAsia="Times New Roman" w:cs="Calibri"/>
                <w:color w:val="000000"/>
                <w:lang w:val="es-CR"/>
              </w:rPr>
              <w:t>los</w:t>
            </w:r>
            <w:r w:rsidR="00D142B9">
              <w:rPr>
                <w:rFonts w:eastAsia="Times New Roman" w:cs="Calibri"/>
                <w:color w:val="000000"/>
                <w:lang w:val="es-CR"/>
              </w:rPr>
              <w:t xml:space="preserve"> </w:t>
            </w:r>
            <w:r w:rsidRPr="00937927">
              <w:rPr>
                <w:rFonts w:eastAsia="Times New Roman" w:cs="Calibri"/>
                <w:color w:val="000000"/>
                <w:lang w:val="es-CR"/>
              </w:rPr>
              <w:t>fondos</w:t>
            </w:r>
            <w:r w:rsidR="00D142B9">
              <w:rPr>
                <w:rFonts w:eastAsia="Times New Roman" w:cs="Calibri"/>
                <w:color w:val="000000"/>
                <w:lang w:val="es-CR"/>
              </w:rPr>
              <w:t xml:space="preserve"> </w:t>
            </w:r>
            <w:r w:rsidRPr="00937927">
              <w:rPr>
                <w:rFonts w:eastAsia="Times New Roman" w:cs="Calibri"/>
                <w:color w:val="000000"/>
                <w:lang w:val="es-CR"/>
              </w:rPr>
              <w:t>administrados</w:t>
            </w:r>
            <w:r w:rsidR="00D142B9">
              <w:rPr>
                <w:rFonts w:eastAsia="Times New Roman" w:cs="Calibri"/>
                <w:color w:val="000000"/>
                <w:lang w:val="es-CR"/>
              </w:rPr>
              <w:t xml:space="preserve"> </w:t>
            </w:r>
            <w:r w:rsidRPr="00937927">
              <w:rPr>
                <w:rFonts w:eastAsia="Times New Roman" w:cs="Calibri"/>
                <w:color w:val="000000"/>
                <w:lang w:val="es-CR"/>
              </w:rPr>
              <w:t>por</w:t>
            </w:r>
            <w:r w:rsidR="00D142B9">
              <w:rPr>
                <w:rFonts w:eastAsia="Times New Roman" w:cs="Calibri"/>
                <w:color w:val="000000"/>
                <w:lang w:val="es-CR"/>
              </w:rPr>
              <w:t xml:space="preserve"> </w:t>
            </w:r>
            <w:r w:rsidRPr="00937927">
              <w:rPr>
                <w:rFonts w:eastAsia="Times New Roman" w:cs="Calibri"/>
                <w:color w:val="000000"/>
                <w:lang w:val="es-CR"/>
              </w:rPr>
              <w:t>estas</w:t>
            </w:r>
            <w:r w:rsidR="00D142B9">
              <w:rPr>
                <w:rFonts w:eastAsia="Times New Roman" w:cs="Calibri"/>
                <w:color w:val="000000"/>
                <w:lang w:val="es-CR"/>
              </w:rPr>
              <w:t xml:space="preserve"> </w:t>
            </w:r>
            <w:r w:rsidRPr="00937927">
              <w:rPr>
                <w:rFonts w:eastAsia="Times New Roman" w:cs="Calibri"/>
                <w:color w:val="000000"/>
                <w:lang w:val="es-CR"/>
              </w:rPr>
              <w:t>producto</w:t>
            </w:r>
            <w:r w:rsidR="00D142B9">
              <w:rPr>
                <w:rFonts w:eastAsia="Times New Roman" w:cs="Calibri"/>
                <w:color w:val="000000"/>
                <w:lang w:val="es-CR"/>
              </w:rPr>
              <w:t xml:space="preserve"> </w:t>
            </w:r>
            <w:r w:rsidRPr="00937927">
              <w:rPr>
                <w:rFonts w:eastAsia="Times New Roman" w:cs="Calibri"/>
                <w:color w:val="000000"/>
                <w:lang w:val="es-CR"/>
              </w:rPr>
              <w:t>de</w:t>
            </w:r>
            <w:r w:rsidR="00D142B9">
              <w:rPr>
                <w:rFonts w:eastAsia="Times New Roman" w:cs="Calibri"/>
                <w:color w:val="000000"/>
                <w:lang w:val="es-CR"/>
              </w:rPr>
              <w:t xml:space="preserve"> </w:t>
            </w:r>
            <w:r w:rsidRPr="00937927">
              <w:rPr>
                <w:rFonts w:eastAsia="Times New Roman" w:cs="Calibri"/>
                <w:color w:val="000000"/>
                <w:lang w:val="es-CR"/>
              </w:rPr>
              <w:t>la implementación de las Normas Internacionales de Contabilidad (NIC) a partir del primero de enero de 2003; y el acuerdo SP-A-006-2002del 05 de diciembre del 2002, Explicación de la metodología para</w:t>
            </w:r>
            <w:r w:rsidR="00D142B9">
              <w:rPr>
                <w:rFonts w:eastAsia="Times New Roman" w:cs="Calibri"/>
                <w:color w:val="000000"/>
                <w:lang w:val="es-CR"/>
              </w:rPr>
              <w:t xml:space="preserve"> </w:t>
            </w:r>
            <w:r w:rsidRPr="00937927">
              <w:rPr>
                <w:rFonts w:eastAsia="Times New Roman" w:cs="Calibri"/>
                <w:color w:val="000000"/>
                <w:lang w:val="es-CR"/>
              </w:rPr>
              <w:t>el</w:t>
            </w:r>
            <w:r w:rsidR="00D142B9">
              <w:rPr>
                <w:rFonts w:eastAsia="Times New Roman" w:cs="Calibri"/>
                <w:color w:val="000000"/>
                <w:lang w:val="es-CR"/>
              </w:rPr>
              <w:t xml:space="preserve"> </w:t>
            </w:r>
            <w:r w:rsidRPr="00937927">
              <w:rPr>
                <w:rFonts w:eastAsia="Times New Roman" w:cs="Calibri"/>
                <w:color w:val="000000"/>
                <w:lang w:val="es-CR"/>
              </w:rPr>
              <w:t>cálculo</w:t>
            </w:r>
            <w:r w:rsidR="00D142B9">
              <w:rPr>
                <w:rFonts w:eastAsia="Times New Roman" w:cs="Calibri"/>
                <w:color w:val="000000"/>
                <w:lang w:val="es-CR"/>
              </w:rPr>
              <w:t xml:space="preserve"> </w:t>
            </w:r>
            <w:r w:rsidRPr="00937927">
              <w:rPr>
                <w:rFonts w:eastAsia="Times New Roman" w:cs="Calibri"/>
                <w:color w:val="000000"/>
                <w:lang w:val="es-CR"/>
              </w:rPr>
              <w:t>de</w:t>
            </w:r>
            <w:r w:rsidR="00D142B9">
              <w:rPr>
                <w:rFonts w:eastAsia="Times New Roman" w:cs="Calibri"/>
                <w:color w:val="000000"/>
                <w:lang w:val="es-CR"/>
              </w:rPr>
              <w:t xml:space="preserve"> </w:t>
            </w:r>
            <w:r w:rsidRPr="00937927">
              <w:rPr>
                <w:rFonts w:eastAsia="Times New Roman" w:cs="Calibri"/>
                <w:color w:val="000000"/>
                <w:lang w:val="es-CR"/>
              </w:rPr>
              <w:t>la</w:t>
            </w:r>
            <w:r w:rsidR="00D142B9">
              <w:rPr>
                <w:rFonts w:eastAsia="Times New Roman" w:cs="Calibri"/>
                <w:color w:val="000000"/>
                <w:lang w:val="es-CR"/>
              </w:rPr>
              <w:t xml:space="preserve"> </w:t>
            </w:r>
            <w:r w:rsidRPr="00937927">
              <w:rPr>
                <w:rFonts w:eastAsia="Times New Roman" w:cs="Calibri"/>
                <w:color w:val="000000"/>
                <w:lang w:val="es-CR"/>
              </w:rPr>
              <w:t>comisión</w:t>
            </w:r>
            <w:r w:rsidR="00D142B9">
              <w:rPr>
                <w:rFonts w:eastAsia="Times New Roman" w:cs="Calibri"/>
                <w:color w:val="000000"/>
                <w:lang w:val="es-CR"/>
              </w:rPr>
              <w:t xml:space="preserve"> </w:t>
            </w:r>
            <w:r w:rsidRPr="00937927">
              <w:rPr>
                <w:rFonts w:eastAsia="Times New Roman" w:cs="Calibri"/>
                <w:color w:val="000000"/>
                <w:lang w:val="es-CR"/>
              </w:rPr>
              <w:t>de</w:t>
            </w:r>
            <w:r w:rsidR="00D142B9">
              <w:rPr>
                <w:rFonts w:eastAsia="Times New Roman" w:cs="Calibri"/>
                <w:color w:val="000000"/>
                <w:lang w:val="es-CR"/>
              </w:rPr>
              <w:t xml:space="preserve"> </w:t>
            </w:r>
            <w:r w:rsidRPr="00937927">
              <w:rPr>
                <w:rFonts w:eastAsia="Times New Roman" w:cs="Calibri"/>
                <w:color w:val="000000"/>
                <w:lang w:val="es-CR"/>
              </w:rPr>
              <w:t>administración</w:t>
            </w:r>
            <w:r w:rsidR="00D142B9">
              <w:rPr>
                <w:rFonts w:eastAsia="Times New Roman" w:cs="Calibri"/>
                <w:color w:val="000000"/>
                <w:lang w:val="es-CR"/>
              </w:rPr>
              <w:t xml:space="preserve"> </w:t>
            </w:r>
            <w:r w:rsidRPr="00937927">
              <w:rPr>
                <w:rFonts w:eastAsia="Times New Roman" w:cs="Calibri"/>
                <w:color w:val="000000"/>
                <w:lang w:val="es-CR"/>
              </w:rPr>
              <w:t>cobrada</w:t>
            </w:r>
            <w:r w:rsidR="00D142B9">
              <w:rPr>
                <w:rFonts w:eastAsia="Times New Roman" w:cs="Calibri"/>
                <w:color w:val="000000"/>
                <w:lang w:val="es-CR"/>
              </w:rPr>
              <w:t xml:space="preserve"> </w:t>
            </w:r>
            <w:r w:rsidRPr="00937927">
              <w:rPr>
                <w:rFonts w:eastAsia="Times New Roman" w:cs="Calibri"/>
                <w:color w:val="000000"/>
                <w:lang w:val="es-CR"/>
              </w:rPr>
              <w:t>por</w:t>
            </w:r>
            <w:r w:rsidR="00D142B9">
              <w:rPr>
                <w:rFonts w:eastAsia="Times New Roman" w:cs="Calibri"/>
                <w:color w:val="000000"/>
                <w:lang w:val="es-CR"/>
              </w:rPr>
              <w:t xml:space="preserve"> </w:t>
            </w:r>
            <w:r w:rsidRPr="00937927">
              <w:rPr>
                <w:rFonts w:eastAsia="Times New Roman" w:cs="Calibri"/>
                <w:color w:val="000000"/>
                <w:lang w:val="es-CR"/>
              </w:rPr>
              <w:t>las</w:t>
            </w:r>
            <w:r w:rsidR="00D142B9">
              <w:rPr>
                <w:rFonts w:eastAsia="Times New Roman" w:cs="Calibri"/>
                <w:color w:val="000000"/>
                <w:lang w:val="es-CR"/>
              </w:rPr>
              <w:t xml:space="preserve"> </w:t>
            </w:r>
            <w:r w:rsidR="00FE0161">
              <w:rPr>
                <w:rFonts w:eastAsia="Times New Roman" w:cs="Calibri"/>
                <w:color w:val="000000"/>
                <w:lang w:val="es-CR"/>
              </w:rPr>
              <w:t>OPC</w:t>
            </w:r>
            <w:r w:rsidRPr="00937927">
              <w:rPr>
                <w:rFonts w:eastAsia="Times New Roman" w:cs="Calibri"/>
                <w:color w:val="000000"/>
                <w:lang w:val="es-CR"/>
              </w:rPr>
              <w:t>.</w:t>
            </w:r>
          </w:p>
        </w:tc>
      </w:tr>
      <w:tr w:rsidR="0087113D" w:rsidRPr="00B836A6" w14:paraId="5C945CF8" w14:textId="77777777" w:rsidTr="004D0DCE">
        <w:trPr>
          <w:cnfStyle w:val="000000100000" w:firstRow="0" w:lastRow="0" w:firstColumn="0" w:lastColumn="0" w:oddVBand="0" w:evenVBand="0" w:oddHBand="1" w:evenHBand="0" w:firstRowFirstColumn="0" w:firstRowLastColumn="0" w:lastRowFirstColumn="0" w:lastRowLastColumn="0"/>
          <w:trHeight w:val="957"/>
          <w:jc w:val="center"/>
        </w:trPr>
        <w:tc>
          <w:tcPr>
            <w:cnfStyle w:val="001000000000" w:firstRow="0" w:lastRow="0" w:firstColumn="1" w:lastColumn="0" w:oddVBand="0" w:evenVBand="0" w:oddHBand="0" w:evenHBand="0" w:firstRowFirstColumn="0" w:firstRowLastColumn="0" w:lastRowFirstColumn="0" w:lastRowLastColumn="0"/>
            <w:tcW w:w="3256" w:type="dxa"/>
            <w:noWrap/>
          </w:tcPr>
          <w:p w14:paraId="2E5BFC67" w14:textId="717EA884" w:rsidR="0087113D" w:rsidRPr="00A12E61" w:rsidRDefault="0087113D" w:rsidP="0021212F">
            <w:pPr>
              <w:jc w:val="both"/>
              <w:rPr>
                <w:rFonts w:eastAsia="Times New Roman" w:cs="Calibri"/>
                <w:color w:val="000000"/>
                <w:lang w:val="es-CR"/>
              </w:rPr>
            </w:pPr>
            <w:r>
              <w:rPr>
                <w:rFonts w:eastAsia="Times New Roman" w:cs="Calibri"/>
                <w:color w:val="000000"/>
                <w:lang w:val="es-CR"/>
              </w:rPr>
              <w:t>SP-A-228</w:t>
            </w:r>
            <w:r w:rsidR="00A44C79">
              <w:rPr>
                <w:rFonts w:eastAsia="Times New Roman" w:cs="Calibri"/>
                <w:color w:val="000000"/>
                <w:lang w:val="es-CR"/>
              </w:rPr>
              <w:t xml:space="preserve"> </w:t>
            </w:r>
            <w:r w:rsidRPr="00A12E61">
              <w:rPr>
                <w:rFonts w:eastAsia="Times New Roman" w:cs="Calibri"/>
                <w:color w:val="000000"/>
                <w:lang w:val="es-CR"/>
              </w:rPr>
              <w:t>Reforma integral del acuerdo SP-A-133</w:t>
            </w:r>
          </w:p>
          <w:p w14:paraId="19EEC96C" w14:textId="77777777" w:rsidR="0087113D" w:rsidRDefault="0087113D" w:rsidP="0021212F">
            <w:pPr>
              <w:jc w:val="both"/>
              <w:rPr>
                <w:rFonts w:eastAsia="Times New Roman" w:cs="Calibri"/>
                <w:color w:val="000000"/>
                <w:lang w:val="es-CR"/>
              </w:rPr>
            </w:pPr>
          </w:p>
        </w:tc>
        <w:tc>
          <w:tcPr>
            <w:tcW w:w="8788" w:type="dxa"/>
          </w:tcPr>
          <w:p w14:paraId="78B1EB14" w14:textId="2689287E" w:rsidR="0087113D" w:rsidRDefault="0087113D" w:rsidP="0021212F">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Este acuerdo reformó integralmente el acuerdo SP-A-133 relativo a las disposiciones </w:t>
            </w:r>
            <w:r>
              <w:t xml:space="preserve">sobre el servicio de actas electrónicas que deberán llevar los órganos de dirección, comités de riesgo e inversiones de las entidades reguladas, ajustándolo al modelo de supervisión basado en riesgos a efecto de establecer </w:t>
            </w:r>
            <w:r w:rsidRPr="00937927">
              <w:t>esquemas operativamente</w:t>
            </w:r>
            <w:r w:rsidR="00D142B9">
              <w:t xml:space="preserve"> </w:t>
            </w:r>
            <w:r w:rsidRPr="00937927">
              <w:t>menos</w:t>
            </w:r>
            <w:r w:rsidR="00D142B9">
              <w:t xml:space="preserve"> </w:t>
            </w:r>
            <w:r w:rsidRPr="00937927">
              <w:t>intrusivos</w:t>
            </w:r>
            <w:r w:rsidR="00D142B9">
              <w:t xml:space="preserve"> </w:t>
            </w:r>
            <w:r w:rsidRPr="00937927">
              <w:t>que</w:t>
            </w:r>
            <w:r w:rsidR="00D142B9">
              <w:t xml:space="preserve"> </w:t>
            </w:r>
            <w:r w:rsidRPr="00937927">
              <w:t>brinden,</w:t>
            </w:r>
            <w:r w:rsidR="00D142B9">
              <w:t xml:space="preserve"> </w:t>
            </w:r>
            <w:r w:rsidRPr="00937927">
              <w:t>a</w:t>
            </w:r>
            <w:r w:rsidR="00D142B9">
              <w:t xml:space="preserve"> </w:t>
            </w:r>
            <w:r w:rsidRPr="00937927">
              <w:t>un</w:t>
            </w:r>
            <w:r w:rsidR="00D142B9">
              <w:t xml:space="preserve"> </w:t>
            </w:r>
            <w:r w:rsidRPr="00937927">
              <w:t>menor</w:t>
            </w:r>
            <w:r w:rsidR="00D142B9">
              <w:t xml:space="preserve"> </w:t>
            </w:r>
            <w:r w:rsidRPr="00937927">
              <w:t>costo,</w:t>
            </w:r>
            <w:r w:rsidR="00D142B9">
              <w:t xml:space="preserve"> </w:t>
            </w:r>
            <w:r w:rsidRPr="00937927">
              <w:t>un</w:t>
            </w:r>
            <w:r w:rsidR="00D142B9">
              <w:t xml:space="preserve"> </w:t>
            </w:r>
            <w:r w:rsidRPr="00937927">
              <w:t>similar</w:t>
            </w:r>
            <w:r w:rsidR="00D142B9">
              <w:t xml:space="preserve"> </w:t>
            </w:r>
            <w:r w:rsidRPr="00937927">
              <w:t>resultado, estableciendo,</w:t>
            </w:r>
            <w:r w:rsidR="00D142B9">
              <w:t xml:space="preserve"> </w:t>
            </w:r>
            <w:r w:rsidRPr="00937927">
              <w:t>no</w:t>
            </w:r>
            <w:r w:rsidR="00D142B9">
              <w:t xml:space="preserve"> </w:t>
            </w:r>
            <w:r w:rsidRPr="00937927">
              <w:t>un</w:t>
            </w:r>
            <w:r w:rsidR="00D142B9">
              <w:t xml:space="preserve"> </w:t>
            </w:r>
            <w:r w:rsidRPr="00937927">
              <w:t>sistema,</w:t>
            </w:r>
            <w:r w:rsidR="00D142B9">
              <w:t xml:space="preserve"> </w:t>
            </w:r>
            <w:r w:rsidRPr="00937927">
              <w:t>sino</w:t>
            </w:r>
            <w:r w:rsidR="00D142B9">
              <w:t xml:space="preserve"> </w:t>
            </w:r>
            <w:r w:rsidRPr="00937927">
              <w:t>requerimientos</w:t>
            </w:r>
            <w:r w:rsidR="00D142B9">
              <w:t xml:space="preserve"> </w:t>
            </w:r>
            <w:r w:rsidRPr="00937927">
              <w:t>de</w:t>
            </w:r>
            <w:r w:rsidR="00D142B9">
              <w:t xml:space="preserve"> </w:t>
            </w:r>
            <w:r w:rsidRPr="00937927">
              <w:t>seguridad</w:t>
            </w:r>
            <w:r w:rsidR="00D142B9">
              <w:t xml:space="preserve"> </w:t>
            </w:r>
            <w:r w:rsidRPr="00937927">
              <w:t>mínima</w:t>
            </w:r>
            <w:r w:rsidR="00D142B9">
              <w:t xml:space="preserve"> </w:t>
            </w:r>
            <w:r w:rsidRPr="00937927">
              <w:t>para</w:t>
            </w:r>
            <w:r w:rsidR="00D142B9">
              <w:t xml:space="preserve"> </w:t>
            </w:r>
            <w:r w:rsidRPr="00937927">
              <w:t>las</w:t>
            </w:r>
            <w:r w:rsidR="00D142B9">
              <w:t xml:space="preserve"> </w:t>
            </w:r>
            <w:r w:rsidRPr="00937927">
              <w:t>actas,</w:t>
            </w:r>
            <w:r w:rsidR="00D142B9">
              <w:t xml:space="preserve"> </w:t>
            </w:r>
            <w:r w:rsidRPr="00937927">
              <w:t>los documentos que hayan sido conocidos en las distintas sesiones, y del repositorio en donde se</w:t>
            </w:r>
            <w:r w:rsidR="00EC60ED">
              <w:t xml:space="preserve"> </w:t>
            </w:r>
            <w:r w:rsidRPr="00937927">
              <w:t>almacenen para su posterior consulta por parte de la SUPEN.</w:t>
            </w:r>
          </w:p>
        </w:tc>
      </w:tr>
    </w:tbl>
    <w:p w14:paraId="69D0B545" w14:textId="77777777" w:rsidR="00AD50FA" w:rsidRDefault="00AD50FA" w:rsidP="004D0DCE">
      <w:pPr>
        <w:pStyle w:val="Descripcin"/>
        <w:spacing w:after="0"/>
        <w:ind w:left="1134"/>
      </w:pPr>
      <w:r>
        <w:t xml:space="preserve">Fuente: Elaboración propia </w:t>
      </w:r>
    </w:p>
    <w:p w14:paraId="06C71A98" w14:textId="77777777" w:rsidR="00AD50FA" w:rsidRPr="00AD50FA" w:rsidRDefault="00AD50FA"/>
    <w:sectPr w:rsidR="00AD50FA" w:rsidRPr="00AD50FA" w:rsidSect="00A8066D">
      <w:pgSz w:w="15840" w:h="12240" w:orient="landscape"/>
      <w:pgMar w:top="1701" w:right="1276"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1BFA0" w14:textId="77777777" w:rsidR="0089255B" w:rsidRDefault="0089255B" w:rsidP="00700711">
      <w:pPr>
        <w:spacing w:after="0" w:line="240" w:lineRule="auto"/>
      </w:pPr>
      <w:r>
        <w:separator/>
      </w:r>
    </w:p>
  </w:endnote>
  <w:endnote w:type="continuationSeparator" w:id="0">
    <w:p w14:paraId="41CAA022" w14:textId="77777777" w:rsidR="0089255B" w:rsidRDefault="0089255B" w:rsidP="00700711">
      <w:pPr>
        <w:spacing w:after="0" w:line="240" w:lineRule="auto"/>
      </w:pPr>
      <w:r>
        <w:continuationSeparator/>
      </w:r>
    </w:p>
  </w:endnote>
  <w:endnote w:type="continuationNotice" w:id="1">
    <w:p w14:paraId="3C6EBFF2" w14:textId="77777777" w:rsidR="0089255B" w:rsidRDefault="008925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95D14" w14:textId="77777777" w:rsidR="00C50A6E" w:rsidRPr="00BE078A" w:rsidRDefault="00C50A6E" w:rsidP="004D0DCE">
    <w:pPr>
      <w:pStyle w:val="Piedepgina"/>
      <w:pBdr>
        <w:top w:val="single" w:sz="4" w:space="1" w:color="auto"/>
      </w:pBdr>
      <w:tabs>
        <w:tab w:val="clear" w:pos="4252"/>
        <w:tab w:val="clear" w:pos="8504"/>
        <w:tab w:val="center" w:pos="6096"/>
        <w:tab w:val="right" w:pos="12900"/>
      </w:tabs>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0C049119" w14:textId="77777777" w:rsidR="00C50A6E" w:rsidRDefault="00C50A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0BBE3" w14:textId="77777777" w:rsidR="0089255B" w:rsidRDefault="0089255B" w:rsidP="00700711">
      <w:pPr>
        <w:spacing w:after="0" w:line="240" w:lineRule="auto"/>
      </w:pPr>
      <w:r>
        <w:separator/>
      </w:r>
    </w:p>
  </w:footnote>
  <w:footnote w:type="continuationSeparator" w:id="0">
    <w:p w14:paraId="1905D8D0" w14:textId="77777777" w:rsidR="0089255B" w:rsidRDefault="0089255B" w:rsidP="00700711">
      <w:pPr>
        <w:spacing w:after="0" w:line="240" w:lineRule="auto"/>
      </w:pPr>
      <w:r>
        <w:continuationSeparator/>
      </w:r>
    </w:p>
  </w:footnote>
  <w:footnote w:type="continuationNotice" w:id="1">
    <w:p w14:paraId="1C158193" w14:textId="77777777" w:rsidR="0089255B" w:rsidRDefault="008925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E8F53" w14:textId="5C9A3690" w:rsidR="00C50A6E" w:rsidRPr="00A8066D" w:rsidRDefault="00A8066D" w:rsidP="00EC0F17">
    <w:pPr>
      <w:pStyle w:val="Encabezado"/>
      <w:jc w:val="both"/>
      <w:rPr>
        <w:sz w:val="16"/>
        <w:szCs w:val="16"/>
      </w:rPr>
    </w:pPr>
    <w:r w:rsidRPr="00A8066D">
      <w:rPr>
        <w:noProof/>
        <w:sz w:val="16"/>
        <w:szCs w:val="16"/>
        <w:lang w:eastAsia="es-ES"/>
      </w:rPr>
      <w:drawing>
        <wp:anchor distT="0" distB="0" distL="114300" distR="114300" simplePos="0" relativeHeight="251658240" behindDoc="1" locked="0" layoutInCell="1" allowOverlap="1" wp14:anchorId="2315E553" wp14:editId="232C1DB0">
          <wp:simplePos x="0" y="0"/>
          <wp:positionH relativeFrom="margin">
            <wp:align>left</wp:align>
          </wp:positionH>
          <wp:positionV relativeFrom="page">
            <wp:posOffset>184151</wp:posOffset>
          </wp:positionV>
          <wp:extent cx="1390650" cy="643340"/>
          <wp:effectExtent l="0" t="0" r="0" b="4445"/>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643340"/>
                  </a:xfrm>
                  <a:prstGeom prst="rect">
                    <a:avLst/>
                  </a:prstGeom>
                  <a:noFill/>
                </pic:spPr>
              </pic:pic>
            </a:graphicData>
          </a:graphic>
          <wp14:sizeRelH relativeFrom="margin">
            <wp14:pctWidth>0</wp14:pctWidth>
          </wp14:sizeRelH>
          <wp14:sizeRelV relativeFrom="margin">
            <wp14:pctHeight>0</wp14:pctHeight>
          </wp14:sizeRelV>
        </wp:anchor>
      </w:drawing>
    </w:r>
    <w:r w:rsidR="00C50A6E" w:rsidRPr="00A8066D">
      <w:rPr>
        <w:noProof/>
        <w:sz w:val="16"/>
        <w:szCs w:val="16"/>
      </w:rPr>
      <w:drawing>
        <wp:anchor distT="0" distB="0" distL="114300" distR="114300" simplePos="0" relativeHeight="251658241" behindDoc="0" locked="0" layoutInCell="1" allowOverlap="1" wp14:anchorId="650CA359" wp14:editId="7F4B137E">
          <wp:simplePos x="0" y="0"/>
          <wp:positionH relativeFrom="margin">
            <wp:align>right</wp:align>
          </wp:positionH>
          <wp:positionV relativeFrom="paragraph">
            <wp:posOffset>-164694</wp:posOffset>
          </wp:positionV>
          <wp:extent cx="950595" cy="615315"/>
          <wp:effectExtent l="0" t="0" r="1905"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884"/>
    <w:multiLevelType w:val="multilevel"/>
    <w:tmpl w:val="7EB8B94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E743A"/>
    <w:multiLevelType w:val="hybridMultilevel"/>
    <w:tmpl w:val="4D784560"/>
    <w:lvl w:ilvl="0" w:tplc="71B46586">
      <w:start w:val="1"/>
      <w:numFmt w:val="upperRoman"/>
      <w:lvlText w:val="%1."/>
      <w:lvlJc w:val="left"/>
      <w:pPr>
        <w:ind w:left="1003" w:hanging="720"/>
      </w:pPr>
      <w:rPr>
        <w:rFonts w:hint="default"/>
      </w:rPr>
    </w:lvl>
    <w:lvl w:ilvl="1" w:tplc="140A0019">
      <w:start w:val="1"/>
      <w:numFmt w:val="lowerLetter"/>
      <w:lvlText w:val="%2."/>
      <w:lvlJc w:val="left"/>
      <w:pPr>
        <w:ind w:left="2781" w:hanging="360"/>
      </w:pPr>
    </w:lvl>
    <w:lvl w:ilvl="2" w:tplc="140A001B" w:tentative="1">
      <w:start w:val="1"/>
      <w:numFmt w:val="lowerRoman"/>
      <w:lvlText w:val="%3."/>
      <w:lvlJc w:val="right"/>
      <w:pPr>
        <w:ind w:left="3501" w:hanging="180"/>
      </w:pPr>
    </w:lvl>
    <w:lvl w:ilvl="3" w:tplc="140A000F" w:tentative="1">
      <w:start w:val="1"/>
      <w:numFmt w:val="decimal"/>
      <w:lvlText w:val="%4."/>
      <w:lvlJc w:val="left"/>
      <w:pPr>
        <w:ind w:left="4221" w:hanging="360"/>
      </w:pPr>
    </w:lvl>
    <w:lvl w:ilvl="4" w:tplc="140A0019" w:tentative="1">
      <w:start w:val="1"/>
      <w:numFmt w:val="lowerLetter"/>
      <w:lvlText w:val="%5."/>
      <w:lvlJc w:val="left"/>
      <w:pPr>
        <w:ind w:left="4941" w:hanging="360"/>
      </w:pPr>
    </w:lvl>
    <w:lvl w:ilvl="5" w:tplc="140A001B" w:tentative="1">
      <w:start w:val="1"/>
      <w:numFmt w:val="lowerRoman"/>
      <w:lvlText w:val="%6."/>
      <w:lvlJc w:val="right"/>
      <w:pPr>
        <w:ind w:left="5661" w:hanging="180"/>
      </w:pPr>
    </w:lvl>
    <w:lvl w:ilvl="6" w:tplc="140A000F" w:tentative="1">
      <w:start w:val="1"/>
      <w:numFmt w:val="decimal"/>
      <w:lvlText w:val="%7."/>
      <w:lvlJc w:val="left"/>
      <w:pPr>
        <w:ind w:left="6381" w:hanging="360"/>
      </w:pPr>
    </w:lvl>
    <w:lvl w:ilvl="7" w:tplc="140A0019" w:tentative="1">
      <w:start w:val="1"/>
      <w:numFmt w:val="lowerLetter"/>
      <w:lvlText w:val="%8."/>
      <w:lvlJc w:val="left"/>
      <w:pPr>
        <w:ind w:left="7101" w:hanging="360"/>
      </w:pPr>
    </w:lvl>
    <w:lvl w:ilvl="8" w:tplc="140A001B" w:tentative="1">
      <w:start w:val="1"/>
      <w:numFmt w:val="lowerRoman"/>
      <w:lvlText w:val="%9."/>
      <w:lvlJc w:val="right"/>
      <w:pPr>
        <w:ind w:left="7821" w:hanging="180"/>
      </w:pPr>
    </w:lvl>
  </w:abstractNum>
  <w:abstractNum w:abstractNumId="2" w15:restartNumberingAfterBreak="0">
    <w:nsid w:val="0B3648C7"/>
    <w:multiLevelType w:val="hybridMultilevel"/>
    <w:tmpl w:val="320C5EA0"/>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B472CC"/>
    <w:multiLevelType w:val="hybridMultilevel"/>
    <w:tmpl w:val="7B92EF20"/>
    <w:lvl w:ilvl="0" w:tplc="02CE0E14">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31D0426"/>
    <w:multiLevelType w:val="hybridMultilevel"/>
    <w:tmpl w:val="53EACBDE"/>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4B63EB2"/>
    <w:multiLevelType w:val="hybridMultilevel"/>
    <w:tmpl w:val="098486B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76700DD"/>
    <w:multiLevelType w:val="multilevel"/>
    <w:tmpl w:val="41A84FC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F12B61"/>
    <w:multiLevelType w:val="hybridMultilevel"/>
    <w:tmpl w:val="AABA0CE8"/>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8" w15:restartNumberingAfterBreak="0">
    <w:nsid w:val="1FB51635"/>
    <w:multiLevelType w:val="multilevel"/>
    <w:tmpl w:val="41A84FC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D06389"/>
    <w:multiLevelType w:val="hybridMultilevel"/>
    <w:tmpl w:val="6F5A4622"/>
    <w:lvl w:ilvl="0" w:tplc="5822A348">
      <w:numFmt w:val="bullet"/>
      <w:lvlText w:val="•"/>
      <w:lvlJc w:val="left"/>
      <w:pPr>
        <w:ind w:left="1425" w:hanging="705"/>
      </w:pPr>
      <w:rPr>
        <w:rFonts w:ascii="Calibri" w:eastAsiaTheme="minorHAnsi" w:hAnsi="Calibri" w:cstheme="minorBidi"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0" w15:restartNumberingAfterBreak="0">
    <w:nsid w:val="2BFB6A52"/>
    <w:multiLevelType w:val="hybridMultilevel"/>
    <w:tmpl w:val="CEBECF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1A969E6"/>
    <w:multiLevelType w:val="hybridMultilevel"/>
    <w:tmpl w:val="0406CC24"/>
    <w:lvl w:ilvl="0" w:tplc="140A0001">
      <w:start w:val="1"/>
      <w:numFmt w:val="bullet"/>
      <w:lvlText w:val=""/>
      <w:lvlJc w:val="left"/>
      <w:pPr>
        <w:ind w:left="1003" w:hanging="720"/>
      </w:pPr>
      <w:rPr>
        <w:rFonts w:ascii="Symbol" w:hAnsi="Symbol" w:hint="default"/>
      </w:rPr>
    </w:lvl>
    <w:lvl w:ilvl="1" w:tplc="140A0019">
      <w:start w:val="1"/>
      <w:numFmt w:val="lowerLetter"/>
      <w:lvlText w:val="%2."/>
      <w:lvlJc w:val="left"/>
      <w:pPr>
        <w:ind w:left="2781" w:hanging="360"/>
      </w:pPr>
    </w:lvl>
    <w:lvl w:ilvl="2" w:tplc="140A001B" w:tentative="1">
      <w:start w:val="1"/>
      <w:numFmt w:val="lowerRoman"/>
      <w:lvlText w:val="%3."/>
      <w:lvlJc w:val="right"/>
      <w:pPr>
        <w:ind w:left="3501" w:hanging="180"/>
      </w:pPr>
    </w:lvl>
    <w:lvl w:ilvl="3" w:tplc="140A000F" w:tentative="1">
      <w:start w:val="1"/>
      <w:numFmt w:val="decimal"/>
      <w:lvlText w:val="%4."/>
      <w:lvlJc w:val="left"/>
      <w:pPr>
        <w:ind w:left="4221" w:hanging="360"/>
      </w:pPr>
    </w:lvl>
    <w:lvl w:ilvl="4" w:tplc="140A0019" w:tentative="1">
      <w:start w:val="1"/>
      <w:numFmt w:val="lowerLetter"/>
      <w:lvlText w:val="%5."/>
      <w:lvlJc w:val="left"/>
      <w:pPr>
        <w:ind w:left="4941" w:hanging="360"/>
      </w:pPr>
    </w:lvl>
    <w:lvl w:ilvl="5" w:tplc="140A001B" w:tentative="1">
      <w:start w:val="1"/>
      <w:numFmt w:val="lowerRoman"/>
      <w:lvlText w:val="%6."/>
      <w:lvlJc w:val="right"/>
      <w:pPr>
        <w:ind w:left="5661" w:hanging="180"/>
      </w:pPr>
    </w:lvl>
    <w:lvl w:ilvl="6" w:tplc="140A000F" w:tentative="1">
      <w:start w:val="1"/>
      <w:numFmt w:val="decimal"/>
      <w:lvlText w:val="%7."/>
      <w:lvlJc w:val="left"/>
      <w:pPr>
        <w:ind w:left="6381" w:hanging="360"/>
      </w:pPr>
    </w:lvl>
    <w:lvl w:ilvl="7" w:tplc="140A0019" w:tentative="1">
      <w:start w:val="1"/>
      <w:numFmt w:val="lowerLetter"/>
      <w:lvlText w:val="%8."/>
      <w:lvlJc w:val="left"/>
      <w:pPr>
        <w:ind w:left="7101" w:hanging="360"/>
      </w:pPr>
    </w:lvl>
    <w:lvl w:ilvl="8" w:tplc="140A001B" w:tentative="1">
      <w:start w:val="1"/>
      <w:numFmt w:val="lowerRoman"/>
      <w:lvlText w:val="%9."/>
      <w:lvlJc w:val="right"/>
      <w:pPr>
        <w:ind w:left="7821" w:hanging="180"/>
      </w:pPr>
    </w:lvl>
  </w:abstractNum>
  <w:abstractNum w:abstractNumId="12" w15:restartNumberingAfterBreak="0">
    <w:nsid w:val="357C09FF"/>
    <w:multiLevelType w:val="hybridMultilevel"/>
    <w:tmpl w:val="50B22866"/>
    <w:lvl w:ilvl="0" w:tplc="140A000F">
      <w:start w:val="1"/>
      <w:numFmt w:val="decimal"/>
      <w:lvlText w:val="%1."/>
      <w:lvlJc w:val="left"/>
      <w:pPr>
        <w:ind w:left="720" w:hanging="360"/>
      </w:pPr>
    </w:lvl>
    <w:lvl w:ilvl="1" w:tplc="D5A4A848">
      <w:start w:val="1"/>
      <w:numFmt w:val="bullet"/>
      <w:lvlText w:val="­"/>
      <w:lvlJc w:val="left"/>
      <w:pPr>
        <w:ind w:left="1440" w:hanging="360"/>
      </w:pPr>
      <w:rPr>
        <w:rFonts w:ascii="Courier New" w:hAnsi="Courier New" w:hint="default"/>
      </w:r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3" w15:restartNumberingAfterBreak="0">
    <w:nsid w:val="35EB3607"/>
    <w:multiLevelType w:val="hybridMultilevel"/>
    <w:tmpl w:val="DE96C18C"/>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4" w15:restartNumberingAfterBreak="0">
    <w:nsid w:val="3862407F"/>
    <w:multiLevelType w:val="hybridMultilevel"/>
    <w:tmpl w:val="1C9E25A2"/>
    <w:lvl w:ilvl="0" w:tplc="D5A4A848">
      <w:start w:val="1"/>
      <w:numFmt w:val="bullet"/>
      <w:lvlText w:val="­"/>
      <w:lvlJc w:val="left"/>
      <w:pPr>
        <w:ind w:left="720" w:hanging="360"/>
      </w:pPr>
      <w:rPr>
        <w:rFonts w:ascii="Courier New" w:hAnsi="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D912FE3"/>
    <w:multiLevelType w:val="hybridMultilevel"/>
    <w:tmpl w:val="830859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47596452"/>
    <w:multiLevelType w:val="hybridMultilevel"/>
    <w:tmpl w:val="EF94A6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C617452"/>
    <w:multiLevelType w:val="hybridMultilevel"/>
    <w:tmpl w:val="73F86232"/>
    <w:lvl w:ilvl="0" w:tplc="D5A4A848">
      <w:start w:val="1"/>
      <w:numFmt w:val="bullet"/>
      <w:lvlText w:val="­"/>
      <w:lvlJc w:val="left"/>
      <w:pPr>
        <w:ind w:left="720" w:hanging="360"/>
      </w:pPr>
      <w:rPr>
        <w:rFonts w:ascii="Courier New" w:hAnsi="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C6B5F13"/>
    <w:multiLevelType w:val="hybridMultilevel"/>
    <w:tmpl w:val="703666BC"/>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9" w15:restartNumberingAfterBreak="0">
    <w:nsid w:val="5FA16818"/>
    <w:multiLevelType w:val="multilevel"/>
    <w:tmpl w:val="7EB8B94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8637A0F"/>
    <w:multiLevelType w:val="hybridMultilevel"/>
    <w:tmpl w:val="B11E683A"/>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73AC5EAB"/>
    <w:multiLevelType w:val="hybridMultilevel"/>
    <w:tmpl w:val="774656D0"/>
    <w:lvl w:ilvl="0" w:tplc="140A000F">
      <w:start w:val="1"/>
      <w:numFmt w:val="decimal"/>
      <w:lvlText w:val="%1."/>
      <w:lvlJc w:val="left"/>
      <w:pPr>
        <w:ind w:left="720" w:hanging="360"/>
      </w:pPr>
    </w:lvl>
    <w:lvl w:ilvl="1" w:tplc="140A0001">
      <w:start w:val="1"/>
      <w:numFmt w:val="bullet"/>
      <w:lvlText w:val=""/>
      <w:lvlJc w:val="left"/>
      <w:pPr>
        <w:ind w:left="1440" w:hanging="360"/>
      </w:pPr>
      <w:rPr>
        <w:rFonts w:ascii="Symbol" w:hAnsi="Symbol" w:hint="default"/>
      </w:r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num w:numId="1">
    <w:abstractNumId w:val="6"/>
  </w:num>
  <w:num w:numId="2">
    <w:abstractNumId w:val="17"/>
  </w:num>
  <w:num w:numId="3">
    <w:abstractNumId w:val="15"/>
  </w:num>
  <w:num w:numId="4">
    <w:abstractNumId w:val="20"/>
  </w:num>
  <w:num w:numId="5">
    <w:abstractNumId w:val="9"/>
  </w:num>
  <w:num w:numId="6">
    <w:abstractNumId w:val="7"/>
  </w:num>
  <w:num w:numId="7">
    <w:abstractNumId w:val="21"/>
  </w:num>
  <w:num w:numId="8">
    <w:abstractNumId w:val="2"/>
  </w:num>
  <w:num w:numId="9">
    <w:abstractNumId w:val="10"/>
  </w:num>
  <w:num w:numId="10">
    <w:abstractNumId w:val="13"/>
  </w:num>
  <w:num w:numId="11">
    <w:abstractNumId w:val="18"/>
  </w:num>
  <w:num w:numId="12">
    <w:abstractNumId w:val="16"/>
  </w:num>
  <w:num w:numId="13">
    <w:abstractNumId w:val="5"/>
  </w:num>
  <w:num w:numId="14">
    <w:abstractNumId w:val="4"/>
  </w:num>
  <w:num w:numId="15">
    <w:abstractNumId w:val="11"/>
  </w:num>
  <w:num w:numId="16">
    <w:abstractNumId w:val="3"/>
  </w:num>
  <w:num w:numId="17">
    <w:abstractNumId w:val="1"/>
  </w:num>
  <w:num w:numId="18">
    <w:abstractNumId w:val="0"/>
  </w:num>
  <w:num w:numId="19">
    <w:abstractNumId w:val="12"/>
  </w:num>
  <w:num w:numId="20">
    <w:abstractNumId w:val="19"/>
  </w:num>
  <w:num w:numId="21">
    <w:abstractNumId w:val="14"/>
  </w:num>
  <w:num w:numId="2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B8"/>
    <w:rsid w:val="00000C6E"/>
    <w:rsid w:val="000014E8"/>
    <w:rsid w:val="000027C1"/>
    <w:rsid w:val="00006851"/>
    <w:rsid w:val="0000725F"/>
    <w:rsid w:val="00007615"/>
    <w:rsid w:val="000076D9"/>
    <w:rsid w:val="00007C43"/>
    <w:rsid w:val="00010027"/>
    <w:rsid w:val="00012B8D"/>
    <w:rsid w:val="00013812"/>
    <w:rsid w:val="00013FDF"/>
    <w:rsid w:val="00014AA3"/>
    <w:rsid w:val="0001719A"/>
    <w:rsid w:val="000174F3"/>
    <w:rsid w:val="000213A9"/>
    <w:rsid w:val="00021969"/>
    <w:rsid w:val="00022164"/>
    <w:rsid w:val="00023E90"/>
    <w:rsid w:val="000249CC"/>
    <w:rsid w:val="00025EB5"/>
    <w:rsid w:val="000274AC"/>
    <w:rsid w:val="000305CD"/>
    <w:rsid w:val="00034065"/>
    <w:rsid w:val="00036FAC"/>
    <w:rsid w:val="00040FCB"/>
    <w:rsid w:val="00041F73"/>
    <w:rsid w:val="00042EFB"/>
    <w:rsid w:val="0004595A"/>
    <w:rsid w:val="00045B13"/>
    <w:rsid w:val="0004607D"/>
    <w:rsid w:val="000466A7"/>
    <w:rsid w:val="00050388"/>
    <w:rsid w:val="00050943"/>
    <w:rsid w:val="00050F7B"/>
    <w:rsid w:val="00051A66"/>
    <w:rsid w:val="0005363C"/>
    <w:rsid w:val="000559A5"/>
    <w:rsid w:val="00064DC3"/>
    <w:rsid w:val="00065C2A"/>
    <w:rsid w:val="000728C9"/>
    <w:rsid w:val="00077082"/>
    <w:rsid w:val="0007719F"/>
    <w:rsid w:val="00077586"/>
    <w:rsid w:val="00080E72"/>
    <w:rsid w:val="000822BD"/>
    <w:rsid w:val="00082B26"/>
    <w:rsid w:val="00086546"/>
    <w:rsid w:val="00087083"/>
    <w:rsid w:val="00090AA7"/>
    <w:rsid w:val="00092454"/>
    <w:rsid w:val="000938B2"/>
    <w:rsid w:val="00094629"/>
    <w:rsid w:val="000949B3"/>
    <w:rsid w:val="0009547F"/>
    <w:rsid w:val="000963CD"/>
    <w:rsid w:val="00096F4F"/>
    <w:rsid w:val="00097008"/>
    <w:rsid w:val="000A0944"/>
    <w:rsid w:val="000A0AD4"/>
    <w:rsid w:val="000A1835"/>
    <w:rsid w:val="000A35F6"/>
    <w:rsid w:val="000A52E2"/>
    <w:rsid w:val="000A603D"/>
    <w:rsid w:val="000B0279"/>
    <w:rsid w:val="000B02C5"/>
    <w:rsid w:val="000B3887"/>
    <w:rsid w:val="000B62C1"/>
    <w:rsid w:val="000C051C"/>
    <w:rsid w:val="000C2212"/>
    <w:rsid w:val="000C2E69"/>
    <w:rsid w:val="000C37E4"/>
    <w:rsid w:val="000C39CB"/>
    <w:rsid w:val="000C3D87"/>
    <w:rsid w:val="000C4783"/>
    <w:rsid w:val="000C573D"/>
    <w:rsid w:val="000C6C6E"/>
    <w:rsid w:val="000C70AB"/>
    <w:rsid w:val="000D3D97"/>
    <w:rsid w:val="000D5DDF"/>
    <w:rsid w:val="000D6125"/>
    <w:rsid w:val="000D7AD9"/>
    <w:rsid w:val="000D7F7B"/>
    <w:rsid w:val="000E116B"/>
    <w:rsid w:val="000E140E"/>
    <w:rsid w:val="000E31A9"/>
    <w:rsid w:val="000E429B"/>
    <w:rsid w:val="000E5ECF"/>
    <w:rsid w:val="000E7393"/>
    <w:rsid w:val="000E7D3E"/>
    <w:rsid w:val="000F017A"/>
    <w:rsid w:val="000F2223"/>
    <w:rsid w:val="000F2447"/>
    <w:rsid w:val="000F319B"/>
    <w:rsid w:val="000F4C71"/>
    <w:rsid w:val="000F72D7"/>
    <w:rsid w:val="001010FA"/>
    <w:rsid w:val="001019BE"/>
    <w:rsid w:val="00102219"/>
    <w:rsid w:val="00102BE6"/>
    <w:rsid w:val="00103286"/>
    <w:rsid w:val="00110043"/>
    <w:rsid w:val="00111529"/>
    <w:rsid w:val="001118CF"/>
    <w:rsid w:val="0011353F"/>
    <w:rsid w:val="00113867"/>
    <w:rsid w:val="00116424"/>
    <w:rsid w:val="0011720C"/>
    <w:rsid w:val="00120063"/>
    <w:rsid w:val="00120EAA"/>
    <w:rsid w:val="00122172"/>
    <w:rsid w:val="0012306A"/>
    <w:rsid w:val="001238EB"/>
    <w:rsid w:val="00123D35"/>
    <w:rsid w:val="00123F47"/>
    <w:rsid w:val="0012619C"/>
    <w:rsid w:val="001264F8"/>
    <w:rsid w:val="00126582"/>
    <w:rsid w:val="0013276C"/>
    <w:rsid w:val="00132FE1"/>
    <w:rsid w:val="00133762"/>
    <w:rsid w:val="0013643A"/>
    <w:rsid w:val="00141791"/>
    <w:rsid w:val="0014266B"/>
    <w:rsid w:val="00142B33"/>
    <w:rsid w:val="0014333B"/>
    <w:rsid w:val="00144402"/>
    <w:rsid w:val="00144742"/>
    <w:rsid w:val="001453EA"/>
    <w:rsid w:val="00147B66"/>
    <w:rsid w:val="00151702"/>
    <w:rsid w:val="00154284"/>
    <w:rsid w:val="00155A25"/>
    <w:rsid w:val="001577B0"/>
    <w:rsid w:val="00157994"/>
    <w:rsid w:val="001603CE"/>
    <w:rsid w:val="0016176E"/>
    <w:rsid w:val="00161AF0"/>
    <w:rsid w:val="00163ABA"/>
    <w:rsid w:val="00164169"/>
    <w:rsid w:val="001669BF"/>
    <w:rsid w:val="0017053E"/>
    <w:rsid w:val="00170B03"/>
    <w:rsid w:val="00170F63"/>
    <w:rsid w:val="0017221D"/>
    <w:rsid w:val="001742EA"/>
    <w:rsid w:val="00174B1B"/>
    <w:rsid w:val="00177F37"/>
    <w:rsid w:val="001807B6"/>
    <w:rsid w:val="00182060"/>
    <w:rsid w:val="00184F61"/>
    <w:rsid w:val="00185030"/>
    <w:rsid w:val="00185BA0"/>
    <w:rsid w:val="00185D18"/>
    <w:rsid w:val="00187E4F"/>
    <w:rsid w:val="0019075D"/>
    <w:rsid w:val="001908A9"/>
    <w:rsid w:val="00190D69"/>
    <w:rsid w:val="00191527"/>
    <w:rsid w:val="00191B26"/>
    <w:rsid w:val="00191D12"/>
    <w:rsid w:val="00193BD7"/>
    <w:rsid w:val="0019485B"/>
    <w:rsid w:val="00196EE3"/>
    <w:rsid w:val="00196FFE"/>
    <w:rsid w:val="00197E09"/>
    <w:rsid w:val="001A0762"/>
    <w:rsid w:val="001A284C"/>
    <w:rsid w:val="001A60D4"/>
    <w:rsid w:val="001A6A99"/>
    <w:rsid w:val="001A79B5"/>
    <w:rsid w:val="001A7F73"/>
    <w:rsid w:val="001B1D17"/>
    <w:rsid w:val="001B2241"/>
    <w:rsid w:val="001B3226"/>
    <w:rsid w:val="001B6E07"/>
    <w:rsid w:val="001B7047"/>
    <w:rsid w:val="001B71C7"/>
    <w:rsid w:val="001C1519"/>
    <w:rsid w:val="001C2AE7"/>
    <w:rsid w:val="001C332D"/>
    <w:rsid w:val="001C58FF"/>
    <w:rsid w:val="001C5D21"/>
    <w:rsid w:val="001C657A"/>
    <w:rsid w:val="001C6F7B"/>
    <w:rsid w:val="001C7FB6"/>
    <w:rsid w:val="001D3519"/>
    <w:rsid w:val="001D4C00"/>
    <w:rsid w:val="001D570C"/>
    <w:rsid w:val="001D586E"/>
    <w:rsid w:val="001E2DBD"/>
    <w:rsid w:val="001E40B1"/>
    <w:rsid w:val="001E650B"/>
    <w:rsid w:val="001E6FE7"/>
    <w:rsid w:val="001F02B2"/>
    <w:rsid w:val="001F2804"/>
    <w:rsid w:val="001F2C78"/>
    <w:rsid w:val="001F3267"/>
    <w:rsid w:val="001F3FD4"/>
    <w:rsid w:val="001F521E"/>
    <w:rsid w:val="001F6709"/>
    <w:rsid w:val="001F7B97"/>
    <w:rsid w:val="0020008E"/>
    <w:rsid w:val="00200429"/>
    <w:rsid w:val="00201328"/>
    <w:rsid w:val="00202EB9"/>
    <w:rsid w:val="00202F0E"/>
    <w:rsid w:val="00204109"/>
    <w:rsid w:val="00205227"/>
    <w:rsid w:val="0020715C"/>
    <w:rsid w:val="00207201"/>
    <w:rsid w:val="0021212F"/>
    <w:rsid w:val="00213CA5"/>
    <w:rsid w:val="002150FF"/>
    <w:rsid w:val="002156F7"/>
    <w:rsid w:val="00217AE0"/>
    <w:rsid w:val="00223F11"/>
    <w:rsid w:val="002262FF"/>
    <w:rsid w:val="00226648"/>
    <w:rsid w:val="00230360"/>
    <w:rsid w:val="00231C53"/>
    <w:rsid w:val="00231E7E"/>
    <w:rsid w:val="00240D40"/>
    <w:rsid w:val="00241FF7"/>
    <w:rsid w:val="00242012"/>
    <w:rsid w:val="00242194"/>
    <w:rsid w:val="00243925"/>
    <w:rsid w:val="00243E13"/>
    <w:rsid w:val="002462A6"/>
    <w:rsid w:val="00246384"/>
    <w:rsid w:val="00246669"/>
    <w:rsid w:val="002475A8"/>
    <w:rsid w:val="00250CD1"/>
    <w:rsid w:val="002518C9"/>
    <w:rsid w:val="00252A26"/>
    <w:rsid w:val="00252FBB"/>
    <w:rsid w:val="0025604A"/>
    <w:rsid w:val="00256059"/>
    <w:rsid w:val="002560E2"/>
    <w:rsid w:val="00256105"/>
    <w:rsid w:val="00256911"/>
    <w:rsid w:val="00257768"/>
    <w:rsid w:val="002607C1"/>
    <w:rsid w:val="0026217B"/>
    <w:rsid w:val="0026274D"/>
    <w:rsid w:val="00262F0E"/>
    <w:rsid w:val="00263835"/>
    <w:rsid w:val="00265F62"/>
    <w:rsid w:val="00270CC9"/>
    <w:rsid w:val="00270EA2"/>
    <w:rsid w:val="002724DB"/>
    <w:rsid w:val="002735C3"/>
    <w:rsid w:val="00273831"/>
    <w:rsid w:val="00273AD9"/>
    <w:rsid w:val="0027438B"/>
    <w:rsid w:val="00275D8D"/>
    <w:rsid w:val="00281A3E"/>
    <w:rsid w:val="00283B15"/>
    <w:rsid w:val="00283E95"/>
    <w:rsid w:val="00291A63"/>
    <w:rsid w:val="0029213E"/>
    <w:rsid w:val="002926E2"/>
    <w:rsid w:val="002932B7"/>
    <w:rsid w:val="00293FB1"/>
    <w:rsid w:val="00294476"/>
    <w:rsid w:val="00294917"/>
    <w:rsid w:val="00295492"/>
    <w:rsid w:val="00295C0D"/>
    <w:rsid w:val="00295D86"/>
    <w:rsid w:val="00295DFA"/>
    <w:rsid w:val="0029732E"/>
    <w:rsid w:val="002A01D8"/>
    <w:rsid w:val="002A064F"/>
    <w:rsid w:val="002A076A"/>
    <w:rsid w:val="002A0A54"/>
    <w:rsid w:val="002A12BA"/>
    <w:rsid w:val="002A1545"/>
    <w:rsid w:val="002A2D65"/>
    <w:rsid w:val="002A4D42"/>
    <w:rsid w:val="002A5017"/>
    <w:rsid w:val="002A58A8"/>
    <w:rsid w:val="002A7D0C"/>
    <w:rsid w:val="002B0561"/>
    <w:rsid w:val="002B11CB"/>
    <w:rsid w:val="002B1AED"/>
    <w:rsid w:val="002B2FA3"/>
    <w:rsid w:val="002B4B07"/>
    <w:rsid w:val="002B52CD"/>
    <w:rsid w:val="002B5E1A"/>
    <w:rsid w:val="002B602A"/>
    <w:rsid w:val="002B6049"/>
    <w:rsid w:val="002B6731"/>
    <w:rsid w:val="002B6E70"/>
    <w:rsid w:val="002B7125"/>
    <w:rsid w:val="002B77C4"/>
    <w:rsid w:val="002C1A8E"/>
    <w:rsid w:val="002C1AD7"/>
    <w:rsid w:val="002C3725"/>
    <w:rsid w:val="002C38F4"/>
    <w:rsid w:val="002C3C3C"/>
    <w:rsid w:val="002C4FD2"/>
    <w:rsid w:val="002C78A8"/>
    <w:rsid w:val="002D0A41"/>
    <w:rsid w:val="002D1483"/>
    <w:rsid w:val="002D1E02"/>
    <w:rsid w:val="002D4BD4"/>
    <w:rsid w:val="002D7016"/>
    <w:rsid w:val="002D7433"/>
    <w:rsid w:val="002E06A7"/>
    <w:rsid w:val="002E34F0"/>
    <w:rsid w:val="002E4F29"/>
    <w:rsid w:val="002E526F"/>
    <w:rsid w:val="002E66A1"/>
    <w:rsid w:val="002F3869"/>
    <w:rsid w:val="002F4417"/>
    <w:rsid w:val="002F5872"/>
    <w:rsid w:val="002F59B6"/>
    <w:rsid w:val="002F6A07"/>
    <w:rsid w:val="002F79E3"/>
    <w:rsid w:val="002F7D79"/>
    <w:rsid w:val="0030235C"/>
    <w:rsid w:val="00305358"/>
    <w:rsid w:val="00310A2A"/>
    <w:rsid w:val="0031233E"/>
    <w:rsid w:val="00313582"/>
    <w:rsid w:val="00314A47"/>
    <w:rsid w:val="00315548"/>
    <w:rsid w:val="00316282"/>
    <w:rsid w:val="0031719C"/>
    <w:rsid w:val="0031766B"/>
    <w:rsid w:val="00320871"/>
    <w:rsid w:val="00322759"/>
    <w:rsid w:val="0032329D"/>
    <w:rsid w:val="00324A61"/>
    <w:rsid w:val="00325D21"/>
    <w:rsid w:val="0032628D"/>
    <w:rsid w:val="00326ED8"/>
    <w:rsid w:val="00326F80"/>
    <w:rsid w:val="0032728F"/>
    <w:rsid w:val="0033068B"/>
    <w:rsid w:val="00331232"/>
    <w:rsid w:val="00332EFC"/>
    <w:rsid w:val="00332EFF"/>
    <w:rsid w:val="003343F0"/>
    <w:rsid w:val="0033646A"/>
    <w:rsid w:val="00336650"/>
    <w:rsid w:val="00336712"/>
    <w:rsid w:val="00342002"/>
    <w:rsid w:val="00344699"/>
    <w:rsid w:val="00344897"/>
    <w:rsid w:val="003459CF"/>
    <w:rsid w:val="003463F7"/>
    <w:rsid w:val="0034780A"/>
    <w:rsid w:val="00350614"/>
    <w:rsid w:val="00351FA1"/>
    <w:rsid w:val="00352BFF"/>
    <w:rsid w:val="0035475E"/>
    <w:rsid w:val="0035501D"/>
    <w:rsid w:val="00357176"/>
    <w:rsid w:val="003613CB"/>
    <w:rsid w:val="00363BBA"/>
    <w:rsid w:val="00364753"/>
    <w:rsid w:val="00364BA0"/>
    <w:rsid w:val="00366333"/>
    <w:rsid w:val="0036682C"/>
    <w:rsid w:val="00366EC3"/>
    <w:rsid w:val="00370D1C"/>
    <w:rsid w:val="00372B02"/>
    <w:rsid w:val="003735BC"/>
    <w:rsid w:val="003748A0"/>
    <w:rsid w:val="00375127"/>
    <w:rsid w:val="00377633"/>
    <w:rsid w:val="00380C51"/>
    <w:rsid w:val="00382A75"/>
    <w:rsid w:val="0038366B"/>
    <w:rsid w:val="00383C2A"/>
    <w:rsid w:val="0038518F"/>
    <w:rsid w:val="0038532C"/>
    <w:rsid w:val="00385355"/>
    <w:rsid w:val="0038661D"/>
    <w:rsid w:val="003868DF"/>
    <w:rsid w:val="003872B1"/>
    <w:rsid w:val="0039020E"/>
    <w:rsid w:val="00390426"/>
    <w:rsid w:val="00391A6B"/>
    <w:rsid w:val="00394DBE"/>
    <w:rsid w:val="003A3141"/>
    <w:rsid w:val="003A3B07"/>
    <w:rsid w:val="003A50B0"/>
    <w:rsid w:val="003B0175"/>
    <w:rsid w:val="003B1BC8"/>
    <w:rsid w:val="003B2A19"/>
    <w:rsid w:val="003B2D49"/>
    <w:rsid w:val="003B2E47"/>
    <w:rsid w:val="003B5728"/>
    <w:rsid w:val="003B5ED2"/>
    <w:rsid w:val="003B662D"/>
    <w:rsid w:val="003B6881"/>
    <w:rsid w:val="003B7072"/>
    <w:rsid w:val="003B7E22"/>
    <w:rsid w:val="003C0576"/>
    <w:rsid w:val="003C155C"/>
    <w:rsid w:val="003C1E9F"/>
    <w:rsid w:val="003C27E2"/>
    <w:rsid w:val="003C30A0"/>
    <w:rsid w:val="003C30AB"/>
    <w:rsid w:val="003C32E5"/>
    <w:rsid w:val="003C41D8"/>
    <w:rsid w:val="003D2C27"/>
    <w:rsid w:val="003D310E"/>
    <w:rsid w:val="003D57DF"/>
    <w:rsid w:val="003D5F68"/>
    <w:rsid w:val="003E0662"/>
    <w:rsid w:val="003E0F64"/>
    <w:rsid w:val="003E403C"/>
    <w:rsid w:val="003E41A4"/>
    <w:rsid w:val="003E7141"/>
    <w:rsid w:val="003E7728"/>
    <w:rsid w:val="003F028F"/>
    <w:rsid w:val="003F10CD"/>
    <w:rsid w:val="003F35B3"/>
    <w:rsid w:val="003F47FA"/>
    <w:rsid w:val="003F4EEE"/>
    <w:rsid w:val="003F66BE"/>
    <w:rsid w:val="003F7D8B"/>
    <w:rsid w:val="00400B46"/>
    <w:rsid w:val="00400D68"/>
    <w:rsid w:val="00401991"/>
    <w:rsid w:val="00403905"/>
    <w:rsid w:val="00405190"/>
    <w:rsid w:val="004059BF"/>
    <w:rsid w:val="00405E27"/>
    <w:rsid w:val="004075F7"/>
    <w:rsid w:val="004103A9"/>
    <w:rsid w:val="00411229"/>
    <w:rsid w:val="00411523"/>
    <w:rsid w:val="00414F00"/>
    <w:rsid w:val="004174A0"/>
    <w:rsid w:val="00420318"/>
    <w:rsid w:val="00421438"/>
    <w:rsid w:val="00422001"/>
    <w:rsid w:val="00423B6C"/>
    <w:rsid w:val="0042614F"/>
    <w:rsid w:val="00426C9D"/>
    <w:rsid w:val="00427F51"/>
    <w:rsid w:val="004308B6"/>
    <w:rsid w:val="00435186"/>
    <w:rsid w:val="00435F45"/>
    <w:rsid w:val="00437A9E"/>
    <w:rsid w:val="00440C42"/>
    <w:rsid w:val="00442FAC"/>
    <w:rsid w:val="00443515"/>
    <w:rsid w:val="00446C6A"/>
    <w:rsid w:val="0044709F"/>
    <w:rsid w:val="00447BB8"/>
    <w:rsid w:val="0045173C"/>
    <w:rsid w:val="004562F3"/>
    <w:rsid w:val="00456440"/>
    <w:rsid w:val="0045724B"/>
    <w:rsid w:val="004576F1"/>
    <w:rsid w:val="004600B4"/>
    <w:rsid w:val="004603C7"/>
    <w:rsid w:val="00461010"/>
    <w:rsid w:val="00461609"/>
    <w:rsid w:val="004616E7"/>
    <w:rsid w:val="00462D2D"/>
    <w:rsid w:val="004632C4"/>
    <w:rsid w:val="004633C6"/>
    <w:rsid w:val="00464F4C"/>
    <w:rsid w:val="00467280"/>
    <w:rsid w:val="00467EB7"/>
    <w:rsid w:val="00470110"/>
    <w:rsid w:val="00470677"/>
    <w:rsid w:val="004722B6"/>
    <w:rsid w:val="00472D67"/>
    <w:rsid w:val="00474CAF"/>
    <w:rsid w:val="0047684A"/>
    <w:rsid w:val="00480812"/>
    <w:rsid w:val="004825B1"/>
    <w:rsid w:val="00484029"/>
    <w:rsid w:val="0048444A"/>
    <w:rsid w:val="00487549"/>
    <w:rsid w:val="004901F1"/>
    <w:rsid w:val="0049180D"/>
    <w:rsid w:val="0049267B"/>
    <w:rsid w:val="00493FE1"/>
    <w:rsid w:val="004944B8"/>
    <w:rsid w:val="004949D5"/>
    <w:rsid w:val="00497712"/>
    <w:rsid w:val="004A12C4"/>
    <w:rsid w:val="004A160C"/>
    <w:rsid w:val="004A232C"/>
    <w:rsid w:val="004A5E21"/>
    <w:rsid w:val="004A6008"/>
    <w:rsid w:val="004A6855"/>
    <w:rsid w:val="004A721D"/>
    <w:rsid w:val="004A7273"/>
    <w:rsid w:val="004A7D37"/>
    <w:rsid w:val="004B0A90"/>
    <w:rsid w:val="004B13A0"/>
    <w:rsid w:val="004B13E3"/>
    <w:rsid w:val="004B25ED"/>
    <w:rsid w:val="004B4F38"/>
    <w:rsid w:val="004B4F5F"/>
    <w:rsid w:val="004B7F48"/>
    <w:rsid w:val="004C1914"/>
    <w:rsid w:val="004C1E64"/>
    <w:rsid w:val="004C1EA1"/>
    <w:rsid w:val="004C23F0"/>
    <w:rsid w:val="004C45AF"/>
    <w:rsid w:val="004C60A0"/>
    <w:rsid w:val="004D0DCE"/>
    <w:rsid w:val="004D10DD"/>
    <w:rsid w:val="004D2005"/>
    <w:rsid w:val="004D2142"/>
    <w:rsid w:val="004D3EC4"/>
    <w:rsid w:val="004D4000"/>
    <w:rsid w:val="004D6100"/>
    <w:rsid w:val="004D624C"/>
    <w:rsid w:val="004D6CFB"/>
    <w:rsid w:val="004D7951"/>
    <w:rsid w:val="004E01EB"/>
    <w:rsid w:val="004E32B2"/>
    <w:rsid w:val="004E3337"/>
    <w:rsid w:val="004E521B"/>
    <w:rsid w:val="004E530B"/>
    <w:rsid w:val="004E71D1"/>
    <w:rsid w:val="004E724D"/>
    <w:rsid w:val="004E7585"/>
    <w:rsid w:val="004E7D5C"/>
    <w:rsid w:val="004F029B"/>
    <w:rsid w:val="004F113A"/>
    <w:rsid w:val="004F1603"/>
    <w:rsid w:val="004F190B"/>
    <w:rsid w:val="004F2398"/>
    <w:rsid w:val="004F3376"/>
    <w:rsid w:val="004F459D"/>
    <w:rsid w:val="004F4B7C"/>
    <w:rsid w:val="004F4BDF"/>
    <w:rsid w:val="004F538C"/>
    <w:rsid w:val="004F65BD"/>
    <w:rsid w:val="004F6C4A"/>
    <w:rsid w:val="004F71A7"/>
    <w:rsid w:val="0050435A"/>
    <w:rsid w:val="00505522"/>
    <w:rsid w:val="00505D16"/>
    <w:rsid w:val="0050694B"/>
    <w:rsid w:val="00506F49"/>
    <w:rsid w:val="005126D7"/>
    <w:rsid w:val="00512A6F"/>
    <w:rsid w:val="00513DA1"/>
    <w:rsid w:val="005140AC"/>
    <w:rsid w:val="00514E0B"/>
    <w:rsid w:val="005158CE"/>
    <w:rsid w:val="005170D8"/>
    <w:rsid w:val="0051768A"/>
    <w:rsid w:val="0052001A"/>
    <w:rsid w:val="00521202"/>
    <w:rsid w:val="0052133B"/>
    <w:rsid w:val="0052406E"/>
    <w:rsid w:val="00526266"/>
    <w:rsid w:val="0053023A"/>
    <w:rsid w:val="00532C23"/>
    <w:rsid w:val="00535E77"/>
    <w:rsid w:val="00535FAE"/>
    <w:rsid w:val="00536183"/>
    <w:rsid w:val="00536A7C"/>
    <w:rsid w:val="00541CE5"/>
    <w:rsid w:val="005429FA"/>
    <w:rsid w:val="00542ED2"/>
    <w:rsid w:val="00544FFB"/>
    <w:rsid w:val="0054671E"/>
    <w:rsid w:val="00547456"/>
    <w:rsid w:val="00552CB6"/>
    <w:rsid w:val="00553BF4"/>
    <w:rsid w:val="00557F45"/>
    <w:rsid w:val="00560BDB"/>
    <w:rsid w:val="0056317E"/>
    <w:rsid w:val="005648D7"/>
    <w:rsid w:val="00566313"/>
    <w:rsid w:val="005709E2"/>
    <w:rsid w:val="0057152B"/>
    <w:rsid w:val="00571E1B"/>
    <w:rsid w:val="00572867"/>
    <w:rsid w:val="00576F98"/>
    <w:rsid w:val="00577F62"/>
    <w:rsid w:val="00580CE0"/>
    <w:rsid w:val="00580DEF"/>
    <w:rsid w:val="00581E68"/>
    <w:rsid w:val="0058323A"/>
    <w:rsid w:val="00584910"/>
    <w:rsid w:val="00585CF0"/>
    <w:rsid w:val="00585EAA"/>
    <w:rsid w:val="00590338"/>
    <w:rsid w:val="00590670"/>
    <w:rsid w:val="00590AEB"/>
    <w:rsid w:val="005919BA"/>
    <w:rsid w:val="00592873"/>
    <w:rsid w:val="00594F58"/>
    <w:rsid w:val="005A2B54"/>
    <w:rsid w:val="005A4512"/>
    <w:rsid w:val="005A5565"/>
    <w:rsid w:val="005A5AF4"/>
    <w:rsid w:val="005B0712"/>
    <w:rsid w:val="005B17AD"/>
    <w:rsid w:val="005B26C1"/>
    <w:rsid w:val="005B27DE"/>
    <w:rsid w:val="005B286F"/>
    <w:rsid w:val="005B2B01"/>
    <w:rsid w:val="005B2BBE"/>
    <w:rsid w:val="005B322F"/>
    <w:rsid w:val="005B3BA5"/>
    <w:rsid w:val="005B53AB"/>
    <w:rsid w:val="005B6BEA"/>
    <w:rsid w:val="005B7F06"/>
    <w:rsid w:val="005C02DE"/>
    <w:rsid w:val="005C0F80"/>
    <w:rsid w:val="005C12B3"/>
    <w:rsid w:val="005C39E2"/>
    <w:rsid w:val="005C6132"/>
    <w:rsid w:val="005D0281"/>
    <w:rsid w:val="005D0A08"/>
    <w:rsid w:val="005D3A43"/>
    <w:rsid w:val="005D4588"/>
    <w:rsid w:val="005D4BA7"/>
    <w:rsid w:val="005D7B44"/>
    <w:rsid w:val="005E07CB"/>
    <w:rsid w:val="005E0B05"/>
    <w:rsid w:val="005E1425"/>
    <w:rsid w:val="005E1C52"/>
    <w:rsid w:val="005E263F"/>
    <w:rsid w:val="005E2ECB"/>
    <w:rsid w:val="005E5884"/>
    <w:rsid w:val="005F0338"/>
    <w:rsid w:val="005F0F5C"/>
    <w:rsid w:val="005F13B3"/>
    <w:rsid w:val="005F49D3"/>
    <w:rsid w:val="005F5DAD"/>
    <w:rsid w:val="00600150"/>
    <w:rsid w:val="00602575"/>
    <w:rsid w:val="006047F8"/>
    <w:rsid w:val="0060502E"/>
    <w:rsid w:val="00606FC2"/>
    <w:rsid w:val="0060763F"/>
    <w:rsid w:val="00607B97"/>
    <w:rsid w:val="00611B8C"/>
    <w:rsid w:val="00611E75"/>
    <w:rsid w:val="00612166"/>
    <w:rsid w:val="00612296"/>
    <w:rsid w:val="006139B7"/>
    <w:rsid w:val="00614049"/>
    <w:rsid w:val="00616706"/>
    <w:rsid w:val="00616D58"/>
    <w:rsid w:val="00620A81"/>
    <w:rsid w:val="00620D13"/>
    <w:rsid w:val="00621A99"/>
    <w:rsid w:val="00622780"/>
    <w:rsid w:val="00622AFD"/>
    <w:rsid w:val="00622FD1"/>
    <w:rsid w:val="0062312D"/>
    <w:rsid w:val="006238D9"/>
    <w:rsid w:val="00624386"/>
    <w:rsid w:val="00624723"/>
    <w:rsid w:val="00626190"/>
    <w:rsid w:val="00632796"/>
    <w:rsid w:val="0063459A"/>
    <w:rsid w:val="00636ECD"/>
    <w:rsid w:val="00636EEB"/>
    <w:rsid w:val="00637B4B"/>
    <w:rsid w:val="00637EBB"/>
    <w:rsid w:val="00637F57"/>
    <w:rsid w:val="00642CB8"/>
    <w:rsid w:val="00643CA3"/>
    <w:rsid w:val="00643CDB"/>
    <w:rsid w:val="006448BC"/>
    <w:rsid w:val="00644FB7"/>
    <w:rsid w:val="00645079"/>
    <w:rsid w:val="0064522C"/>
    <w:rsid w:val="00651533"/>
    <w:rsid w:val="006556D6"/>
    <w:rsid w:val="0065674E"/>
    <w:rsid w:val="00657BE3"/>
    <w:rsid w:val="0066167D"/>
    <w:rsid w:val="0066192A"/>
    <w:rsid w:val="00661DDD"/>
    <w:rsid w:val="00662B8B"/>
    <w:rsid w:val="006648B8"/>
    <w:rsid w:val="006648C9"/>
    <w:rsid w:val="006658D0"/>
    <w:rsid w:val="00667653"/>
    <w:rsid w:val="0066788C"/>
    <w:rsid w:val="00670E9B"/>
    <w:rsid w:val="0067269D"/>
    <w:rsid w:val="0067301A"/>
    <w:rsid w:val="006735AD"/>
    <w:rsid w:val="006741EB"/>
    <w:rsid w:val="00674F3F"/>
    <w:rsid w:val="006765ED"/>
    <w:rsid w:val="006766BC"/>
    <w:rsid w:val="00677218"/>
    <w:rsid w:val="00677DD8"/>
    <w:rsid w:val="00680185"/>
    <w:rsid w:val="0068020F"/>
    <w:rsid w:val="00680F11"/>
    <w:rsid w:val="00681C9F"/>
    <w:rsid w:val="00682800"/>
    <w:rsid w:val="0068433E"/>
    <w:rsid w:val="00684E15"/>
    <w:rsid w:val="00684E2A"/>
    <w:rsid w:val="00686413"/>
    <w:rsid w:val="006864DE"/>
    <w:rsid w:val="0068680E"/>
    <w:rsid w:val="00686A6C"/>
    <w:rsid w:val="00686DE8"/>
    <w:rsid w:val="00690563"/>
    <w:rsid w:val="00691E9D"/>
    <w:rsid w:val="006929F8"/>
    <w:rsid w:val="0069475C"/>
    <w:rsid w:val="006955BD"/>
    <w:rsid w:val="006969BF"/>
    <w:rsid w:val="00697106"/>
    <w:rsid w:val="0069732D"/>
    <w:rsid w:val="006A5F39"/>
    <w:rsid w:val="006A7EF5"/>
    <w:rsid w:val="006B1606"/>
    <w:rsid w:val="006B1E4D"/>
    <w:rsid w:val="006B2868"/>
    <w:rsid w:val="006B3467"/>
    <w:rsid w:val="006C174B"/>
    <w:rsid w:val="006C58D3"/>
    <w:rsid w:val="006C62D1"/>
    <w:rsid w:val="006C6A28"/>
    <w:rsid w:val="006D250D"/>
    <w:rsid w:val="006D25D8"/>
    <w:rsid w:val="006D36C4"/>
    <w:rsid w:val="006D47B3"/>
    <w:rsid w:val="006D603A"/>
    <w:rsid w:val="006D7611"/>
    <w:rsid w:val="006D764B"/>
    <w:rsid w:val="006D7B3D"/>
    <w:rsid w:val="006E01AD"/>
    <w:rsid w:val="006E17A3"/>
    <w:rsid w:val="006E17CF"/>
    <w:rsid w:val="006E18AE"/>
    <w:rsid w:val="006E2D91"/>
    <w:rsid w:val="006E2E5F"/>
    <w:rsid w:val="006E581B"/>
    <w:rsid w:val="006E5A6D"/>
    <w:rsid w:val="006E6AD3"/>
    <w:rsid w:val="006F0B8B"/>
    <w:rsid w:val="006F0CD3"/>
    <w:rsid w:val="006F10FE"/>
    <w:rsid w:val="006F19F1"/>
    <w:rsid w:val="006F1C70"/>
    <w:rsid w:val="006F22D0"/>
    <w:rsid w:val="006F275A"/>
    <w:rsid w:val="006F2D58"/>
    <w:rsid w:val="006F2FF4"/>
    <w:rsid w:val="006F3C4B"/>
    <w:rsid w:val="006F6A33"/>
    <w:rsid w:val="006F7C96"/>
    <w:rsid w:val="006F7D74"/>
    <w:rsid w:val="00700711"/>
    <w:rsid w:val="00700CF5"/>
    <w:rsid w:val="00701F57"/>
    <w:rsid w:val="00704510"/>
    <w:rsid w:val="00705498"/>
    <w:rsid w:val="00705D5C"/>
    <w:rsid w:val="0070698C"/>
    <w:rsid w:val="007070F0"/>
    <w:rsid w:val="007073AC"/>
    <w:rsid w:val="0071057F"/>
    <w:rsid w:val="00713D37"/>
    <w:rsid w:val="00714BE4"/>
    <w:rsid w:val="00717768"/>
    <w:rsid w:val="00717D49"/>
    <w:rsid w:val="0072107C"/>
    <w:rsid w:val="007215C8"/>
    <w:rsid w:val="00721801"/>
    <w:rsid w:val="0072187A"/>
    <w:rsid w:val="007219CD"/>
    <w:rsid w:val="007219FA"/>
    <w:rsid w:val="0072353C"/>
    <w:rsid w:val="00723D1F"/>
    <w:rsid w:val="00724362"/>
    <w:rsid w:val="00725FE9"/>
    <w:rsid w:val="00726286"/>
    <w:rsid w:val="00730D18"/>
    <w:rsid w:val="00730DE2"/>
    <w:rsid w:val="0073202C"/>
    <w:rsid w:val="00732136"/>
    <w:rsid w:val="007332AC"/>
    <w:rsid w:val="00733C1F"/>
    <w:rsid w:val="00735FCC"/>
    <w:rsid w:val="00736683"/>
    <w:rsid w:val="007376C5"/>
    <w:rsid w:val="00740A5F"/>
    <w:rsid w:val="00740F3F"/>
    <w:rsid w:val="00741055"/>
    <w:rsid w:val="00741714"/>
    <w:rsid w:val="00741B11"/>
    <w:rsid w:val="00742D92"/>
    <w:rsid w:val="007430AE"/>
    <w:rsid w:val="00743BD5"/>
    <w:rsid w:val="0074472B"/>
    <w:rsid w:val="0074601B"/>
    <w:rsid w:val="00746B58"/>
    <w:rsid w:val="00747A1A"/>
    <w:rsid w:val="00750592"/>
    <w:rsid w:val="00754086"/>
    <w:rsid w:val="00756522"/>
    <w:rsid w:val="00757EBE"/>
    <w:rsid w:val="007603C9"/>
    <w:rsid w:val="007612A3"/>
    <w:rsid w:val="00761420"/>
    <w:rsid w:val="00766731"/>
    <w:rsid w:val="00767A3D"/>
    <w:rsid w:val="00767AC8"/>
    <w:rsid w:val="007731EB"/>
    <w:rsid w:val="00773348"/>
    <w:rsid w:val="00774655"/>
    <w:rsid w:val="00775502"/>
    <w:rsid w:val="00775F83"/>
    <w:rsid w:val="007764DB"/>
    <w:rsid w:val="00777763"/>
    <w:rsid w:val="00780DEE"/>
    <w:rsid w:val="00780F08"/>
    <w:rsid w:val="00781BDD"/>
    <w:rsid w:val="007823EA"/>
    <w:rsid w:val="007845DF"/>
    <w:rsid w:val="007867BA"/>
    <w:rsid w:val="00786A8E"/>
    <w:rsid w:val="00790210"/>
    <w:rsid w:val="00790B90"/>
    <w:rsid w:val="00791624"/>
    <w:rsid w:val="00792B2A"/>
    <w:rsid w:val="007939C0"/>
    <w:rsid w:val="00794D98"/>
    <w:rsid w:val="00795132"/>
    <w:rsid w:val="007959EE"/>
    <w:rsid w:val="00795EA3"/>
    <w:rsid w:val="007965CF"/>
    <w:rsid w:val="00796F5A"/>
    <w:rsid w:val="007A1C6F"/>
    <w:rsid w:val="007A20FF"/>
    <w:rsid w:val="007A3787"/>
    <w:rsid w:val="007A4C34"/>
    <w:rsid w:val="007A4DB7"/>
    <w:rsid w:val="007A7154"/>
    <w:rsid w:val="007A719B"/>
    <w:rsid w:val="007B0412"/>
    <w:rsid w:val="007B04C6"/>
    <w:rsid w:val="007B10EA"/>
    <w:rsid w:val="007B11DC"/>
    <w:rsid w:val="007B1509"/>
    <w:rsid w:val="007B1693"/>
    <w:rsid w:val="007B4A4A"/>
    <w:rsid w:val="007B537C"/>
    <w:rsid w:val="007B6DB1"/>
    <w:rsid w:val="007B7265"/>
    <w:rsid w:val="007B7811"/>
    <w:rsid w:val="007B7FFD"/>
    <w:rsid w:val="007C2284"/>
    <w:rsid w:val="007C2374"/>
    <w:rsid w:val="007C3140"/>
    <w:rsid w:val="007C51ED"/>
    <w:rsid w:val="007C6409"/>
    <w:rsid w:val="007C6A23"/>
    <w:rsid w:val="007C7902"/>
    <w:rsid w:val="007D2252"/>
    <w:rsid w:val="007D3BFC"/>
    <w:rsid w:val="007D617A"/>
    <w:rsid w:val="007E170D"/>
    <w:rsid w:val="007E2AA4"/>
    <w:rsid w:val="007E2CA2"/>
    <w:rsid w:val="007E3246"/>
    <w:rsid w:val="007E410E"/>
    <w:rsid w:val="007E49A1"/>
    <w:rsid w:val="007E4C29"/>
    <w:rsid w:val="007E70FB"/>
    <w:rsid w:val="007E72D3"/>
    <w:rsid w:val="007E7562"/>
    <w:rsid w:val="007E7881"/>
    <w:rsid w:val="007F1DEC"/>
    <w:rsid w:val="007F3D6F"/>
    <w:rsid w:val="007F6EAB"/>
    <w:rsid w:val="007F7C64"/>
    <w:rsid w:val="008009C7"/>
    <w:rsid w:val="00801B81"/>
    <w:rsid w:val="00801BFB"/>
    <w:rsid w:val="00802B6A"/>
    <w:rsid w:val="00803E6D"/>
    <w:rsid w:val="0080413B"/>
    <w:rsid w:val="008101E2"/>
    <w:rsid w:val="00811931"/>
    <w:rsid w:val="008120DC"/>
    <w:rsid w:val="00812A82"/>
    <w:rsid w:val="00814294"/>
    <w:rsid w:val="008164C8"/>
    <w:rsid w:val="00817AD1"/>
    <w:rsid w:val="00822F0B"/>
    <w:rsid w:val="00825592"/>
    <w:rsid w:val="00825636"/>
    <w:rsid w:val="00825829"/>
    <w:rsid w:val="00825F1D"/>
    <w:rsid w:val="00827752"/>
    <w:rsid w:val="00827A34"/>
    <w:rsid w:val="008309E8"/>
    <w:rsid w:val="008309EA"/>
    <w:rsid w:val="00831D7E"/>
    <w:rsid w:val="00831FA3"/>
    <w:rsid w:val="00832C53"/>
    <w:rsid w:val="008330EA"/>
    <w:rsid w:val="008338C3"/>
    <w:rsid w:val="008339F4"/>
    <w:rsid w:val="00834D6E"/>
    <w:rsid w:val="008354EC"/>
    <w:rsid w:val="008362CF"/>
    <w:rsid w:val="0084104B"/>
    <w:rsid w:val="008412B2"/>
    <w:rsid w:val="00841412"/>
    <w:rsid w:val="0084208A"/>
    <w:rsid w:val="0084235F"/>
    <w:rsid w:val="00842C96"/>
    <w:rsid w:val="00842D71"/>
    <w:rsid w:val="00843174"/>
    <w:rsid w:val="0084369A"/>
    <w:rsid w:val="0084426E"/>
    <w:rsid w:val="00844D6D"/>
    <w:rsid w:val="00846CB0"/>
    <w:rsid w:val="008470CD"/>
    <w:rsid w:val="00855795"/>
    <w:rsid w:val="008568B4"/>
    <w:rsid w:val="008575BE"/>
    <w:rsid w:val="00862054"/>
    <w:rsid w:val="00864D8A"/>
    <w:rsid w:val="00866C1B"/>
    <w:rsid w:val="0087113D"/>
    <w:rsid w:val="00872E54"/>
    <w:rsid w:val="00874D1E"/>
    <w:rsid w:val="00875D69"/>
    <w:rsid w:val="00876CD1"/>
    <w:rsid w:val="00877622"/>
    <w:rsid w:val="0088082D"/>
    <w:rsid w:val="00881C5D"/>
    <w:rsid w:val="00882B9A"/>
    <w:rsid w:val="00884A25"/>
    <w:rsid w:val="008869E2"/>
    <w:rsid w:val="0089167C"/>
    <w:rsid w:val="0089255B"/>
    <w:rsid w:val="00892660"/>
    <w:rsid w:val="008939F1"/>
    <w:rsid w:val="008944D9"/>
    <w:rsid w:val="00894835"/>
    <w:rsid w:val="008949AC"/>
    <w:rsid w:val="0089566B"/>
    <w:rsid w:val="00895CD8"/>
    <w:rsid w:val="008970C8"/>
    <w:rsid w:val="008A234A"/>
    <w:rsid w:val="008A2BE8"/>
    <w:rsid w:val="008A3CFB"/>
    <w:rsid w:val="008A444F"/>
    <w:rsid w:val="008A4B88"/>
    <w:rsid w:val="008A678D"/>
    <w:rsid w:val="008A7512"/>
    <w:rsid w:val="008A7A72"/>
    <w:rsid w:val="008B06A0"/>
    <w:rsid w:val="008B13C2"/>
    <w:rsid w:val="008B1D07"/>
    <w:rsid w:val="008B2E83"/>
    <w:rsid w:val="008B38FE"/>
    <w:rsid w:val="008B459A"/>
    <w:rsid w:val="008B5C26"/>
    <w:rsid w:val="008B67A0"/>
    <w:rsid w:val="008C0B7D"/>
    <w:rsid w:val="008C15BE"/>
    <w:rsid w:val="008C174A"/>
    <w:rsid w:val="008C60E1"/>
    <w:rsid w:val="008C7C31"/>
    <w:rsid w:val="008D1ECA"/>
    <w:rsid w:val="008D2038"/>
    <w:rsid w:val="008D24A1"/>
    <w:rsid w:val="008D56F0"/>
    <w:rsid w:val="008D637D"/>
    <w:rsid w:val="008D7A13"/>
    <w:rsid w:val="008D7D3F"/>
    <w:rsid w:val="008E0ACC"/>
    <w:rsid w:val="008E227C"/>
    <w:rsid w:val="008E2282"/>
    <w:rsid w:val="008E2F6D"/>
    <w:rsid w:val="008E3B3D"/>
    <w:rsid w:val="008E45B5"/>
    <w:rsid w:val="008E55C2"/>
    <w:rsid w:val="008E5950"/>
    <w:rsid w:val="008E6D5E"/>
    <w:rsid w:val="008F1C9A"/>
    <w:rsid w:val="008F463F"/>
    <w:rsid w:val="008F7156"/>
    <w:rsid w:val="00900173"/>
    <w:rsid w:val="009030CB"/>
    <w:rsid w:val="009036C8"/>
    <w:rsid w:val="0090484E"/>
    <w:rsid w:val="00907606"/>
    <w:rsid w:val="00907B37"/>
    <w:rsid w:val="00910CCE"/>
    <w:rsid w:val="0091263A"/>
    <w:rsid w:val="00912B19"/>
    <w:rsid w:val="00913340"/>
    <w:rsid w:val="009134BB"/>
    <w:rsid w:val="00920283"/>
    <w:rsid w:val="009236A8"/>
    <w:rsid w:val="00924AEC"/>
    <w:rsid w:val="009270D6"/>
    <w:rsid w:val="0092785C"/>
    <w:rsid w:val="00927F96"/>
    <w:rsid w:val="00930CB0"/>
    <w:rsid w:val="00931447"/>
    <w:rsid w:val="0093453D"/>
    <w:rsid w:val="00935322"/>
    <w:rsid w:val="0093752B"/>
    <w:rsid w:val="00940EB8"/>
    <w:rsid w:val="009417A3"/>
    <w:rsid w:val="00941CA7"/>
    <w:rsid w:val="009435AC"/>
    <w:rsid w:val="00945379"/>
    <w:rsid w:val="00954793"/>
    <w:rsid w:val="009556C9"/>
    <w:rsid w:val="009558DC"/>
    <w:rsid w:val="00964245"/>
    <w:rsid w:val="00964544"/>
    <w:rsid w:val="009663EA"/>
    <w:rsid w:val="00970CD3"/>
    <w:rsid w:val="009725DD"/>
    <w:rsid w:val="00973ED9"/>
    <w:rsid w:val="009746F3"/>
    <w:rsid w:val="00974E59"/>
    <w:rsid w:val="00975055"/>
    <w:rsid w:val="009763F2"/>
    <w:rsid w:val="00977002"/>
    <w:rsid w:val="00980068"/>
    <w:rsid w:val="00980FCC"/>
    <w:rsid w:val="0098139F"/>
    <w:rsid w:val="00981C7C"/>
    <w:rsid w:val="009828CA"/>
    <w:rsid w:val="00982A2D"/>
    <w:rsid w:val="00983465"/>
    <w:rsid w:val="009838C8"/>
    <w:rsid w:val="0098391A"/>
    <w:rsid w:val="00983C17"/>
    <w:rsid w:val="009856E4"/>
    <w:rsid w:val="00985F6A"/>
    <w:rsid w:val="009870F8"/>
    <w:rsid w:val="00990959"/>
    <w:rsid w:val="00992437"/>
    <w:rsid w:val="0099372F"/>
    <w:rsid w:val="00993C08"/>
    <w:rsid w:val="009946DE"/>
    <w:rsid w:val="009952B2"/>
    <w:rsid w:val="0099611A"/>
    <w:rsid w:val="009973CA"/>
    <w:rsid w:val="009975CE"/>
    <w:rsid w:val="009A13F0"/>
    <w:rsid w:val="009A4458"/>
    <w:rsid w:val="009A4ABC"/>
    <w:rsid w:val="009A6CE9"/>
    <w:rsid w:val="009B10B2"/>
    <w:rsid w:val="009B4C96"/>
    <w:rsid w:val="009B4CF7"/>
    <w:rsid w:val="009B5DE3"/>
    <w:rsid w:val="009B5E88"/>
    <w:rsid w:val="009B6242"/>
    <w:rsid w:val="009C03BC"/>
    <w:rsid w:val="009C1E75"/>
    <w:rsid w:val="009C282C"/>
    <w:rsid w:val="009C4A22"/>
    <w:rsid w:val="009C4E38"/>
    <w:rsid w:val="009C7177"/>
    <w:rsid w:val="009C7717"/>
    <w:rsid w:val="009D079F"/>
    <w:rsid w:val="009D0FCC"/>
    <w:rsid w:val="009D1423"/>
    <w:rsid w:val="009D4265"/>
    <w:rsid w:val="009D574D"/>
    <w:rsid w:val="009D5FBB"/>
    <w:rsid w:val="009D7617"/>
    <w:rsid w:val="009E056B"/>
    <w:rsid w:val="009E07AA"/>
    <w:rsid w:val="009E0C85"/>
    <w:rsid w:val="009E2143"/>
    <w:rsid w:val="009E3367"/>
    <w:rsid w:val="009E5410"/>
    <w:rsid w:val="009F26A3"/>
    <w:rsid w:val="009F7D5C"/>
    <w:rsid w:val="00A007F1"/>
    <w:rsid w:val="00A01680"/>
    <w:rsid w:val="00A01991"/>
    <w:rsid w:val="00A01A6A"/>
    <w:rsid w:val="00A01AB1"/>
    <w:rsid w:val="00A03B4A"/>
    <w:rsid w:val="00A053EB"/>
    <w:rsid w:val="00A058D6"/>
    <w:rsid w:val="00A0739F"/>
    <w:rsid w:val="00A10739"/>
    <w:rsid w:val="00A11811"/>
    <w:rsid w:val="00A131D6"/>
    <w:rsid w:val="00A13AA1"/>
    <w:rsid w:val="00A14CBF"/>
    <w:rsid w:val="00A16127"/>
    <w:rsid w:val="00A167CA"/>
    <w:rsid w:val="00A231D0"/>
    <w:rsid w:val="00A235D7"/>
    <w:rsid w:val="00A25946"/>
    <w:rsid w:val="00A25DC3"/>
    <w:rsid w:val="00A27B83"/>
    <w:rsid w:val="00A27CC6"/>
    <w:rsid w:val="00A300A0"/>
    <w:rsid w:val="00A300F7"/>
    <w:rsid w:val="00A303EC"/>
    <w:rsid w:val="00A33DEB"/>
    <w:rsid w:val="00A348D4"/>
    <w:rsid w:val="00A34D6C"/>
    <w:rsid w:val="00A35039"/>
    <w:rsid w:val="00A35F86"/>
    <w:rsid w:val="00A400A0"/>
    <w:rsid w:val="00A40A1F"/>
    <w:rsid w:val="00A4178C"/>
    <w:rsid w:val="00A42208"/>
    <w:rsid w:val="00A430D3"/>
    <w:rsid w:val="00A439E3"/>
    <w:rsid w:val="00A43B77"/>
    <w:rsid w:val="00A44C79"/>
    <w:rsid w:val="00A451EE"/>
    <w:rsid w:val="00A45B1A"/>
    <w:rsid w:val="00A4706B"/>
    <w:rsid w:val="00A471C7"/>
    <w:rsid w:val="00A472D7"/>
    <w:rsid w:val="00A52D21"/>
    <w:rsid w:val="00A55D93"/>
    <w:rsid w:val="00A562D0"/>
    <w:rsid w:val="00A5734E"/>
    <w:rsid w:val="00A60091"/>
    <w:rsid w:val="00A61B46"/>
    <w:rsid w:val="00A62AC9"/>
    <w:rsid w:val="00A62F86"/>
    <w:rsid w:val="00A6364F"/>
    <w:rsid w:val="00A63BF6"/>
    <w:rsid w:val="00A66D06"/>
    <w:rsid w:val="00A713E4"/>
    <w:rsid w:val="00A71553"/>
    <w:rsid w:val="00A7338A"/>
    <w:rsid w:val="00A8066D"/>
    <w:rsid w:val="00A824E8"/>
    <w:rsid w:val="00A827E4"/>
    <w:rsid w:val="00A83B68"/>
    <w:rsid w:val="00A8644F"/>
    <w:rsid w:val="00A86EB2"/>
    <w:rsid w:val="00A905A8"/>
    <w:rsid w:val="00A90BEB"/>
    <w:rsid w:val="00A919A6"/>
    <w:rsid w:val="00A9597D"/>
    <w:rsid w:val="00A95C2D"/>
    <w:rsid w:val="00A969FC"/>
    <w:rsid w:val="00A96A95"/>
    <w:rsid w:val="00A96AE7"/>
    <w:rsid w:val="00A970B2"/>
    <w:rsid w:val="00A973F9"/>
    <w:rsid w:val="00AA1973"/>
    <w:rsid w:val="00AA406B"/>
    <w:rsid w:val="00AA4D19"/>
    <w:rsid w:val="00AA5639"/>
    <w:rsid w:val="00AA66AE"/>
    <w:rsid w:val="00AA7138"/>
    <w:rsid w:val="00AA7E66"/>
    <w:rsid w:val="00AB06C0"/>
    <w:rsid w:val="00AB2AFE"/>
    <w:rsid w:val="00AB3BF7"/>
    <w:rsid w:val="00AC0240"/>
    <w:rsid w:val="00AC04A5"/>
    <w:rsid w:val="00AC36B6"/>
    <w:rsid w:val="00AC373D"/>
    <w:rsid w:val="00AC37E8"/>
    <w:rsid w:val="00AC37FD"/>
    <w:rsid w:val="00AC458D"/>
    <w:rsid w:val="00AC4A95"/>
    <w:rsid w:val="00AC7EF2"/>
    <w:rsid w:val="00AD013A"/>
    <w:rsid w:val="00AD0B2A"/>
    <w:rsid w:val="00AD26AA"/>
    <w:rsid w:val="00AD2C20"/>
    <w:rsid w:val="00AD4867"/>
    <w:rsid w:val="00AD4962"/>
    <w:rsid w:val="00AD4BF1"/>
    <w:rsid w:val="00AD50FA"/>
    <w:rsid w:val="00AD5966"/>
    <w:rsid w:val="00AD5AED"/>
    <w:rsid w:val="00AD7321"/>
    <w:rsid w:val="00AE03F5"/>
    <w:rsid w:val="00AE0C13"/>
    <w:rsid w:val="00AE0D78"/>
    <w:rsid w:val="00AE0F78"/>
    <w:rsid w:val="00AE101C"/>
    <w:rsid w:val="00AE2E8F"/>
    <w:rsid w:val="00AE4108"/>
    <w:rsid w:val="00AE417E"/>
    <w:rsid w:val="00AE48A3"/>
    <w:rsid w:val="00AE71AF"/>
    <w:rsid w:val="00AE7641"/>
    <w:rsid w:val="00AE7EA9"/>
    <w:rsid w:val="00AF0186"/>
    <w:rsid w:val="00AF11C9"/>
    <w:rsid w:val="00AF13FB"/>
    <w:rsid w:val="00AF163A"/>
    <w:rsid w:val="00AF2AAF"/>
    <w:rsid w:val="00AF5788"/>
    <w:rsid w:val="00AF6A37"/>
    <w:rsid w:val="00AF784D"/>
    <w:rsid w:val="00B00350"/>
    <w:rsid w:val="00B0042E"/>
    <w:rsid w:val="00B0086C"/>
    <w:rsid w:val="00B00B36"/>
    <w:rsid w:val="00B00C06"/>
    <w:rsid w:val="00B01149"/>
    <w:rsid w:val="00B04E53"/>
    <w:rsid w:val="00B0656F"/>
    <w:rsid w:val="00B12C1B"/>
    <w:rsid w:val="00B1382D"/>
    <w:rsid w:val="00B1514A"/>
    <w:rsid w:val="00B16C1F"/>
    <w:rsid w:val="00B17B45"/>
    <w:rsid w:val="00B207A5"/>
    <w:rsid w:val="00B22AA2"/>
    <w:rsid w:val="00B2337F"/>
    <w:rsid w:val="00B23D86"/>
    <w:rsid w:val="00B2488B"/>
    <w:rsid w:val="00B31035"/>
    <w:rsid w:val="00B31A27"/>
    <w:rsid w:val="00B32B78"/>
    <w:rsid w:val="00B335C3"/>
    <w:rsid w:val="00B344EB"/>
    <w:rsid w:val="00B41A91"/>
    <w:rsid w:val="00B41ABC"/>
    <w:rsid w:val="00B42235"/>
    <w:rsid w:val="00B423A8"/>
    <w:rsid w:val="00B42EAA"/>
    <w:rsid w:val="00B44D8C"/>
    <w:rsid w:val="00B45DD0"/>
    <w:rsid w:val="00B46140"/>
    <w:rsid w:val="00B46BDA"/>
    <w:rsid w:val="00B47986"/>
    <w:rsid w:val="00B47AC6"/>
    <w:rsid w:val="00B51830"/>
    <w:rsid w:val="00B5193A"/>
    <w:rsid w:val="00B520C8"/>
    <w:rsid w:val="00B52C32"/>
    <w:rsid w:val="00B53F55"/>
    <w:rsid w:val="00B54760"/>
    <w:rsid w:val="00B549B3"/>
    <w:rsid w:val="00B54A78"/>
    <w:rsid w:val="00B55729"/>
    <w:rsid w:val="00B55C18"/>
    <w:rsid w:val="00B664C2"/>
    <w:rsid w:val="00B7001F"/>
    <w:rsid w:val="00B700FA"/>
    <w:rsid w:val="00B70133"/>
    <w:rsid w:val="00B704F3"/>
    <w:rsid w:val="00B71473"/>
    <w:rsid w:val="00B72C92"/>
    <w:rsid w:val="00B73B8C"/>
    <w:rsid w:val="00B744FE"/>
    <w:rsid w:val="00B7538D"/>
    <w:rsid w:val="00B7694E"/>
    <w:rsid w:val="00B77B2B"/>
    <w:rsid w:val="00B8150B"/>
    <w:rsid w:val="00B828DC"/>
    <w:rsid w:val="00B83066"/>
    <w:rsid w:val="00B83976"/>
    <w:rsid w:val="00B856EA"/>
    <w:rsid w:val="00B85CA2"/>
    <w:rsid w:val="00B87590"/>
    <w:rsid w:val="00B93D44"/>
    <w:rsid w:val="00B94934"/>
    <w:rsid w:val="00B9565E"/>
    <w:rsid w:val="00B95A87"/>
    <w:rsid w:val="00B967BF"/>
    <w:rsid w:val="00B9703E"/>
    <w:rsid w:val="00B970C8"/>
    <w:rsid w:val="00BA0708"/>
    <w:rsid w:val="00BA2171"/>
    <w:rsid w:val="00BA4798"/>
    <w:rsid w:val="00BA62A7"/>
    <w:rsid w:val="00BA6BC1"/>
    <w:rsid w:val="00BA6D1F"/>
    <w:rsid w:val="00BB2DBD"/>
    <w:rsid w:val="00BB496B"/>
    <w:rsid w:val="00BB4CDC"/>
    <w:rsid w:val="00BB62EA"/>
    <w:rsid w:val="00BB6C10"/>
    <w:rsid w:val="00BB6CB8"/>
    <w:rsid w:val="00BC045D"/>
    <w:rsid w:val="00BC17CE"/>
    <w:rsid w:val="00BC1DF3"/>
    <w:rsid w:val="00BC1E76"/>
    <w:rsid w:val="00BC284D"/>
    <w:rsid w:val="00BC2E26"/>
    <w:rsid w:val="00BC414E"/>
    <w:rsid w:val="00BC4AFF"/>
    <w:rsid w:val="00BC536D"/>
    <w:rsid w:val="00BC589F"/>
    <w:rsid w:val="00BC6D48"/>
    <w:rsid w:val="00BD280A"/>
    <w:rsid w:val="00BD2EC8"/>
    <w:rsid w:val="00BD2FED"/>
    <w:rsid w:val="00BD66FC"/>
    <w:rsid w:val="00BE2D9E"/>
    <w:rsid w:val="00BE4225"/>
    <w:rsid w:val="00BE618C"/>
    <w:rsid w:val="00BE7023"/>
    <w:rsid w:val="00BF2927"/>
    <w:rsid w:val="00BF36A8"/>
    <w:rsid w:val="00BF47CD"/>
    <w:rsid w:val="00BF4B50"/>
    <w:rsid w:val="00BF5615"/>
    <w:rsid w:val="00BF56F8"/>
    <w:rsid w:val="00BF75B8"/>
    <w:rsid w:val="00C01A6B"/>
    <w:rsid w:val="00C02D33"/>
    <w:rsid w:val="00C05B2C"/>
    <w:rsid w:val="00C07413"/>
    <w:rsid w:val="00C07436"/>
    <w:rsid w:val="00C109AB"/>
    <w:rsid w:val="00C13076"/>
    <w:rsid w:val="00C13D0C"/>
    <w:rsid w:val="00C14155"/>
    <w:rsid w:val="00C14B75"/>
    <w:rsid w:val="00C22212"/>
    <w:rsid w:val="00C230D9"/>
    <w:rsid w:val="00C23AF7"/>
    <w:rsid w:val="00C25276"/>
    <w:rsid w:val="00C277E1"/>
    <w:rsid w:val="00C27963"/>
    <w:rsid w:val="00C27A18"/>
    <w:rsid w:val="00C30006"/>
    <w:rsid w:val="00C304B5"/>
    <w:rsid w:val="00C3050B"/>
    <w:rsid w:val="00C328B8"/>
    <w:rsid w:val="00C33987"/>
    <w:rsid w:val="00C345CA"/>
    <w:rsid w:val="00C35167"/>
    <w:rsid w:val="00C35864"/>
    <w:rsid w:val="00C36353"/>
    <w:rsid w:val="00C40EAC"/>
    <w:rsid w:val="00C4140D"/>
    <w:rsid w:val="00C42973"/>
    <w:rsid w:val="00C42B4F"/>
    <w:rsid w:val="00C43F05"/>
    <w:rsid w:val="00C45CC6"/>
    <w:rsid w:val="00C50A6E"/>
    <w:rsid w:val="00C5105C"/>
    <w:rsid w:val="00C53E1E"/>
    <w:rsid w:val="00C549AA"/>
    <w:rsid w:val="00C570BE"/>
    <w:rsid w:val="00C60EBE"/>
    <w:rsid w:val="00C6120A"/>
    <w:rsid w:val="00C61921"/>
    <w:rsid w:val="00C63655"/>
    <w:rsid w:val="00C6444F"/>
    <w:rsid w:val="00C64E27"/>
    <w:rsid w:val="00C659DC"/>
    <w:rsid w:val="00C65BE5"/>
    <w:rsid w:val="00C65CBA"/>
    <w:rsid w:val="00C66CDE"/>
    <w:rsid w:val="00C67B35"/>
    <w:rsid w:val="00C71859"/>
    <w:rsid w:val="00C72096"/>
    <w:rsid w:val="00C72658"/>
    <w:rsid w:val="00C72DB9"/>
    <w:rsid w:val="00C7371E"/>
    <w:rsid w:val="00C73B02"/>
    <w:rsid w:val="00C74688"/>
    <w:rsid w:val="00C74702"/>
    <w:rsid w:val="00C74CA8"/>
    <w:rsid w:val="00C768CA"/>
    <w:rsid w:val="00C773A1"/>
    <w:rsid w:val="00C77CC8"/>
    <w:rsid w:val="00C80881"/>
    <w:rsid w:val="00C83292"/>
    <w:rsid w:val="00C8371F"/>
    <w:rsid w:val="00C83D68"/>
    <w:rsid w:val="00C841D7"/>
    <w:rsid w:val="00C841FD"/>
    <w:rsid w:val="00C8584A"/>
    <w:rsid w:val="00C86F6E"/>
    <w:rsid w:val="00C9285A"/>
    <w:rsid w:val="00C92915"/>
    <w:rsid w:val="00C935B3"/>
    <w:rsid w:val="00CA083C"/>
    <w:rsid w:val="00CA12C4"/>
    <w:rsid w:val="00CA1821"/>
    <w:rsid w:val="00CA2762"/>
    <w:rsid w:val="00CA4224"/>
    <w:rsid w:val="00CA48FB"/>
    <w:rsid w:val="00CA5437"/>
    <w:rsid w:val="00CA7704"/>
    <w:rsid w:val="00CA77B1"/>
    <w:rsid w:val="00CB01A8"/>
    <w:rsid w:val="00CB145F"/>
    <w:rsid w:val="00CB1A2D"/>
    <w:rsid w:val="00CB63A3"/>
    <w:rsid w:val="00CB7BC2"/>
    <w:rsid w:val="00CC21F0"/>
    <w:rsid w:val="00CC30DE"/>
    <w:rsid w:val="00CC31B3"/>
    <w:rsid w:val="00CC4DD5"/>
    <w:rsid w:val="00CD0BA6"/>
    <w:rsid w:val="00CD121D"/>
    <w:rsid w:val="00CD2F5E"/>
    <w:rsid w:val="00CD3445"/>
    <w:rsid w:val="00CD5450"/>
    <w:rsid w:val="00CD5EE2"/>
    <w:rsid w:val="00CD698F"/>
    <w:rsid w:val="00CD69A5"/>
    <w:rsid w:val="00CD75B6"/>
    <w:rsid w:val="00CE05D7"/>
    <w:rsid w:val="00CE09FF"/>
    <w:rsid w:val="00CE1855"/>
    <w:rsid w:val="00CE1CA3"/>
    <w:rsid w:val="00CE68D2"/>
    <w:rsid w:val="00CE6F0D"/>
    <w:rsid w:val="00CF06B6"/>
    <w:rsid w:val="00CF15EE"/>
    <w:rsid w:val="00CF174B"/>
    <w:rsid w:val="00CF1E07"/>
    <w:rsid w:val="00CF2187"/>
    <w:rsid w:val="00CF25F2"/>
    <w:rsid w:val="00CF2C5E"/>
    <w:rsid w:val="00CF2D0B"/>
    <w:rsid w:val="00CF47BC"/>
    <w:rsid w:val="00CF663B"/>
    <w:rsid w:val="00D00810"/>
    <w:rsid w:val="00D01118"/>
    <w:rsid w:val="00D01904"/>
    <w:rsid w:val="00D0231A"/>
    <w:rsid w:val="00D029A6"/>
    <w:rsid w:val="00D039D9"/>
    <w:rsid w:val="00D04C04"/>
    <w:rsid w:val="00D05830"/>
    <w:rsid w:val="00D05C1E"/>
    <w:rsid w:val="00D07B0A"/>
    <w:rsid w:val="00D105D1"/>
    <w:rsid w:val="00D117F7"/>
    <w:rsid w:val="00D1240C"/>
    <w:rsid w:val="00D13344"/>
    <w:rsid w:val="00D13888"/>
    <w:rsid w:val="00D14129"/>
    <w:rsid w:val="00D142B9"/>
    <w:rsid w:val="00D147D3"/>
    <w:rsid w:val="00D16208"/>
    <w:rsid w:val="00D23686"/>
    <w:rsid w:val="00D23751"/>
    <w:rsid w:val="00D23853"/>
    <w:rsid w:val="00D24A8F"/>
    <w:rsid w:val="00D2516D"/>
    <w:rsid w:val="00D26BE6"/>
    <w:rsid w:val="00D3207A"/>
    <w:rsid w:val="00D33326"/>
    <w:rsid w:val="00D33F6A"/>
    <w:rsid w:val="00D355DB"/>
    <w:rsid w:val="00D406E9"/>
    <w:rsid w:val="00D42F3D"/>
    <w:rsid w:val="00D430A6"/>
    <w:rsid w:val="00D434DD"/>
    <w:rsid w:val="00D4467D"/>
    <w:rsid w:val="00D463E6"/>
    <w:rsid w:val="00D4691E"/>
    <w:rsid w:val="00D50BC8"/>
    <w:rsid w:val="00D51DB3"/>
    <w:rsid w:val="00D525CB"/>
    <w:rsid w:val="00D53858"/>
    <w:rsid w:val="00D53A56"/>
    <w:rsid w:val="00D53D6E"/>
    <w:rsid w:val="00D56C10"/>
    <w:rsid w:val="00D60B63"/>
    <w:rsid w:val="00D62D86"/>
    <w:rsid w:val="00D64199"/>
    <w:rsid w:val="00D65025"/>
    <w:rsid w:val="00D65175"/>
    <w:rsid w:val="00D71234"/>
    <w:rsid w:val="00D719C9"/>
    <w:rsid w:val="00D72844"/>
    <w:rsid w:val="00D73EA0"/>
    <w:rsid w:val="00D74EB2"/>
    <w:rsid w:val="00D76AD1"/>
    <w:rsid w:val="00D77305"/>
    <w:rsid w:val="00D77E26"/>
    <w:rsid w:val="00D80F29"/>
    <w:rsid w:val="00D81179"/>
    <w:rsid w:val="00D8140D"/>
    <w:rsid w:val="00D8399A"/>
    <w:rsid w:val="00D83D46"/>
    <w:rsid w:val="00D84C39"/>
    <w:rsid w:val="00D85422"/>
    <w:rsid w:val="00D85D2E"/>
    <w:rsid w:val="00D86851"/>
    <w:rsid w:val="00D87F37"/>
    <w:rsid w:val="00D9095E"/>
    <w:rsid w:val="00D91908"/>
    <w:rsid w:val="00D9230C"/>
    <w:rsid w:val="00D94451"/>
    <w:rsid w:val="00D9603A"/>
    <w:rsid w:val="00D96A88"/>
    <w:rsid w:val="00DA1AF3"/>
    <w:rsid w:val="00DA4C0A"/>
    <w:rsid w:val="00DA5C09"/>
    <w:rsid w:val="00DA626C"/>
    <w:rsid w:val="00DA6631"/>
    <w:rsid w:val="00DA6DB3"/>
    <w:rsid w:val="00DB19F7"/>
    <w:rsid w:val="00DB248B"/>
    <w:rsid w:val="00DB47A4"/>
    <w:rsid w:val="00DB4956"/>
    <w:rsid w:val="00DB49A0"/>
    <w:rsid w:val="00DB5E51"/>
    <w:rsid w:val="00DB604B"/>
    <w:rsid w:val="00DB6FD3"/>
    <w:rsid w:val="00DC1517"/>
    <w:rsid w:val="00DC1B49"/>
    <w:rsid w:val="00DC7174"/>
    <w:rsid w:val="00DD0DDE"/>
    <w:rsid w:val="00DD230B"/>
    <w:rsid w:val="00DD3B6A"/>
    <w:rsid w:val="00DD3BEC"/>
    <w:rsid w:val="00DD461C"/>
    <w:rsid w:val="00DD5416"/>
    <w:rsid w:val="00DD56B1"/>
    <w:rsid w:val="00DD5D6F"/>
    <w:rsid w:val="00DD5EE2"/>
    <w:rsid w:val="00DE54A9"/>
    <w:rsid w:val="00DE620D"/>
    <w:rsid w:val="00DF176A"/>
    <w:rsid w:val="00DF31AA"/>
    <w:rsid w:val="00DF33F2"/>
    <w:rsid w:val="00DF3D39"/>
    <w:rsid w:val="00DF4768"/>
    <w:rsid w:val="00DF4D95"/>
    <w:rsid w:val="00DF5A62"/>
    <w:rsid w:val="00DF72B9"/>
    <w:rsid w:val="00E001B9"/>
    <w:rsid w:val="00E007CA"/>
    <w:rsid w:val="00E00A24"/>
    <w:rsid w:val="00E01CD0"/>
    <w:rsid w:val="00E0214C"/>
    <w:rsid w:val="00E02898"/>
    <w:rsid w:val="00E05283"/>
    <w:rsid w:val="00E0678D"/>
    <w:rsid w:val="00E105F0"/>
    <w:rsid w:val="00E10F04"/>
    <w:rsid w:val="00E12CE5"/>
    <w:rsid w:val="00E145DF"/>
    <w:rsid w:val="00E1582C"/>
    <w:rsid w:val="00E20D21"/>
    <w:rsid w:val="00E215DB"/>
    <w:rsid w:val="00E230F6"/>
    <w:rsid w:val="00E23198"/>
    <w:rsid w:val="00E2531A"/>
    <w:rsid w:val="00E254A5"/>
    <w:rsid w:val="00E26C70"/>
    <w:rsid w:val="00E271DC"/>
    <w:rsid w:val="00E3008F"/>
    <w:rsid w:val="00E30FBC"/>
    <w:rsid w:val="00E31318"/>
    <w:rsid w:val="00E31FDB"/>
    <w:rsid w:val="00E326EE"/>
    <w:rsid w:val="00E329AA"/>
    <w:rsid w:val="00E33794"/>
    <w:rsid w:val="00E34558"/>
    <w:rsid w:val="00E3480B"/>
    <w:rsid w:val="00E349F3"/>
    <w:rsid w:val="00E37374"/>
    <w:rsid w:val="00E374E8"/>
    <w:rsid w:val="00E444DF"/>
    <w:rsid w:val="00E44842"/>
    <w:rsid w:val="00E47D90"/>
    <w:rsid w:val="00E47FB8"/>
    <w:rsid w:val="00E5037E"/>
    <w:rsid w:val="00E51EB8"/>
    <w:rsid w:val="00E5359A"/>
    <w:rsid w:val="00E5557C"/>
    <w:rsid w:val="00E5576F"/>
    <w:rsid w:val="00E56726"/>
    <w:rsid w:val="00E56E1E"/>
    <w:rsid w:val="00E607DD"/>
    <w:rsid w:val="00E61005"/>
    <w:rsid w:val="00E615E5"/>
    <w:rsid w:val="00E620DA"/>
    <w:rsid w:val="00E62DA2"/>
    <w:rsid w:val="00E6455F"/>
    <w:rsid w:val="00E64F48"/>
    <w:rsid w:val="00E64FC7"/>
    <w:rsid w:val="00E716A6"/>
    <w:rsid w:val="00E71E76"/>
    <w:rsid w:val="00E721F2"/>
    <w:rsid w:val="00E725EC"/>
    <w:rsid w:val="00E73700"/>
    <w:rsid w:val="00E75E47"/>
    <w:rsid w:val="00E764E8"/>
    <w:rsid w:val="00E809EF"/>
    <w:rsid w:val="00E80A7D"/>
    <w:rsid w:val="00E81179"/>
    <w:rsid w:val="00E83C01"/>
    <w:rsid w:val="00E85247"/>
    <w:rsid w:val="00E85924"/>
    <w:rsid w:val="00E8627A"/>
    <w:rsid w:val="00E9043A"/>
    <w:rsid w:val="00E91AE3"/>
    <w:rsid w:val="00E9352D"/>
    <w:rsid w:val="00E93B2D"/>
    <w:rsid w:val="00E94B12"/>
    <w:rsid w:val="00E965C4"/>
    <w:rsid w:val="00E96DE3"/>
    <w:rsid w:val="00E9778B"/>
    <w:rsid w:val="00EA0078"/>
    <w:rsid w:val="00EA07ED"/>
    <w:rsid w:val="00EA0EB1"/>
    <w:rsid w:val="00EA1324"/>
    <w:rsid w:val="00EA15A0"/>
    <w:rsid w:val="00EA313A"/>
    <w:rsid w:val="00EA3529"/>
    <w:rsid w:val="00EA38A1"/>
    <w:rsid w:val="00EA5807"/>
    <w:rsid w:val="00EA5E14"/>
    <w:rsid w:val="00EA64DF"/>
    <w:rsid w:val="00EA6690"/>
    <w:rsid w:val="00EA7359"/>
    <w:rsid w:val="00EB254A"/>
    <w:rsid w:val="00EB3AD2"/>
    <w:rsid w:val="00EB49A7"/>
    <w:rsid w:val="00EB5B7E"/>
    <w:rsid w:val="00EB60CF"/>
    <w:rsid w:val="00EB653B"/>
    <w:rsid w:val="00EB6E81"/>
    <w:rsid w:val="00EC0F17"/>
    <w:rsid w:val="00EC1527"/>
    <w:rsid w:val="00EC1914"/>
    <w:rsid w:val="00EC2200"/>
    <w:rsid w:val="00EC2CF9"/>
    <w:rsid w:val="00EC5166"/>
    <w:rsid w:val="00EC60ED"/>
    <w:rsid w:val="00EC6EBF"/>
    <w:rsid w:val="00ED1F78"/>
    <w:rsid w:val="00ED24C5"/>
    <w:rsid w:val="00ED4066"/>
    <w:rsid w:val="00ED4275"/>
    <w:rsid w:val="00ED4F87"/>
    <w:rsid w:val="00ED7578"/>
    <w:rsid w:val="00EE034B"/>
    <w:rsid w:val="00EE198C"/>
    <w:rsid w:val="00EE3FB4"/>
    <w:rsid w:val="00EE5911"/>
    <w:rsid w:val="00EE5FFD"/>
    <w:rsid w:val="00EE69FC"/>
    <w:rsid w:val="00EE6B5B"/>
    <w:rsid w:val="00EF0BE0"/>
    <w:rsid w:val="00EF2784"/>
    <w:rsid w:val="00EF46AA"/>
    <w:rsid w:val="00EF5E48"/>
    <w:rsid w:val="00EF724A"/>
    <w:rsid w:val="00F00A87"/>
    <w:rsid w:val="00F00E25"/>
    <w:rsid w:val="00F01047"/>
    <w:rsid w:val="00F0352E"/>
    <w:rsid w:val="00F04641"/>
    <w:rsid w:val="00F06A42"/>
    <w:rsid w:val="00F06BF0"/>
    <w:rsid w:val="00F117C3"/>
    <w:rsid w:val="00F11962"/>
    <w:rsid w:val="00F121B8"/>
    <w:rsid w:val="00F12A67"/>
    <w:rsid w:val="00F12D02"/>
    <w:rsid w:val="00F136AF"/>
    <w:rsid w:val="00F13F1B"/>
    <w:rsid w:val="00F14C8F"/>
    <w:rsid w:val="00F155D5"/>
    <w:rsid w:val="00F15BC1"/>
    <w:rsid w:val="00F15E0D"/>
    <w:rsid w:val="00F1763A"/>
    <w:rsid w:val="00F17A2C"/>
    <w:rsid w:val="00F17D7F"/>
    <w:rsid w:val="00F20FC1"/>
    <w:rsid w:val="00F21FB8"/>
    <w:rsid w:val="00F252B0"/>
    <w:rsid w:val="00F25792"/>
    <w:rsid w:val="00F27883"/>
    <w:rsid w:val="00F30A6E"/>
    <w:rsid w:val="00F30D84"/>
    <w:rsid w:val="00F30E4C"/>
    <w:rsid w:val="00F3138A"/>
    <w:rsid w:val="00F31D6E"/>
    <w:rsid w:val="00F32163"/>
    <w:rsid w:val="00F32218"/>
    <w:rsid w:val="00F322EE"/>
    <w:rsid w:val="00F3269F"/>
    <w:rsid w:val="00F32E07"/>
    <w:rsid w:val="00F33F64"/>
    <w:rsid w:val="00F34A7B"/>
    <w:rsid w:val="00F354AD"/>
    <w:rsid w:val="00F37BE9"/>
    <w:rsid w:val="00F40472"/>
    <w:rsid w:val="00F40D38"/>
    <w:rsid w:val="00F415F3"/>
    <w:rsid w:val="00F41DEA"/>
    <w:rsid w:val="00F4271C"/>
    <w:rsid w:val="00F42881"/>
    <w:rsid w:val="00F42BF5"/>
    <w:rsid w:val="00F42FAC"/>
    <w:rsid w:val="00F43A14"/>
    <w:rsid w:val="00F43BD2"/>
    <w:rsid w:val="00F4510A"/>
    <w:rsid w:val="00F501CE"/>
    <w:rsid w:val="00F519B4"/>
    <w:rsid w:val="00F51A04"/>
    <w:rsid w:val="00F52CBE"/>
    <w:rsid w:val="00F53A8F"/>
    <w:rsid w:val="00F551E6"/>
    <w:rsid w:val="00F5545D"/>
    <w:rsid w:val="00F55A04"/>
    <w:rsid w:val="00F5725C"/>
    <w:rsid w:val="00F61BD4"/>
    <w:rsid w:val="00F61ECF"/>
    <w:rsid w:val="00F63CCC"/>
    <w:rsid w:val="00F6444F"/>
    <w:rsid w:val="00F662F7"/>
    <w:rsid w:val="00F66381"/>
    <w:rsid w:val="00F67EE2"/>
    <w:rsid w:val="00F67F42"/>
    <w:rsid w:val="00F73CA6"/>
    <w:rsid w:val="00F740BE"/>
    <w:rsid w:val="00F74556"/>
    <w:rsid w:val="00F7603E"/>
    <w:rsid w:val="00F76CC1"/>
    <w:rsid w:val="00F7734F"/>
    <w:rsid w:val="00F801BB"/>
    <w:rsid w:val="00F81C9D"/>
    <w:rsid w:val="00F85B04"/>
    <w:rsid w:val="00F90993"/>
    <w:rsid w:val="00F91585"/>
    <w:rsid w:val="00F91D5A"/>
    <w:rsid w:val="00F94DBB"/>
    <w:rsid w:val="00F94F47"/>
    <w:rsid w:val="00F96BDA"/>
    <w:rsid w:val="00F96FAA"/>
    <w:rsid w:val="00FA0597"/>
    <w:rsid w:val="00FA1E5C"/>
    <w:rsid w:val="00FA264D"/>
    <w:rsid w:val="00FA4510"/>
    <w:rsid w:val="00FA5BE0"/>
    <w:rsid w:val="00FA5CCE"/>
    <w:rsid w:val="00FA65AE"/>
    <w:rsid w:val="00FA6DA6"/>
    <w:rsid w:val="00FB0998"/>
    <w:rsid w:val="00FB177D"/>
    <w:rsid w:val="00FB21D1"/>
    <w:rsid w:val="00FB54CA"/>
    <w:rsid w:val="00FB57CC"/>
    <w:rsid w:val="00FB5EF3"/>
    <w:rsid w:val="00FB604E"/>
    <w:rsid w:val="00FB634D"/>
    <w:rsid w:val="00FB7DE0"/>
    <w:rsid w:val="00FC0A8F"/>
    <w:rsid w:val="00FC2670"/>
    <w:rsid w:val="00FC3387"/>
    <w:rsid w:val="00FC355E"/>
    <w:rsid w:val="00FC4126"/>
    <w:rsid w:val="00FC48B6"/>
    <w:rsid w:val="00FC500F"/>
    <w:rsid w:val="00FC5FE0"/>
    <w:rsid w:val="00FC7E7C"/>
    <w:rsid w:val="00FD0C41"/>
    <w:rsid w:val="00FD170D"/>
    <w:rsid w:val="00FD1756"/>
    <w:rsid w:val="00FD2AF1"/>
    <w:rsid w:val="00FD3996"/>
    <w:rsid w:val="00FD3A3C"/>
    <w:rsid w:val="00FD439D"/>
    <w:rsid w:val="00FD4B79"/>
    <w:rsid w:val="00FD5F3B"/>
    <w:rsid w:val="00FD6EAA"/>
    <w:rsid w:val="00FE0161"/>
    <w:rsid w:val="00FE109F"/>
    <w:rsid w:val="00FE235D"/>
    <w:rsid w:val="00FE4133"/>
    <w:rsid w:val="00FE6569"/>
    <w:rsid w:val="00FE7E85"/>
    <w:rsid w:val="00FF10B2"/>
    <w:rsid w:val="00FF1FD4"/>
    <w:rsid w:val="00FF21BF"/>
    <w:rsid w:val="00FF234D"/>
    <w:rsid w:val="00FF425E"/>
    <w:rsid w:val="00FF52D6"/>
    <w:rsid w:val="00FF751A"/>
    <w:rsid w:val="12AE4DDD"/>
    <w:rsid w:val="1AF4918D"/>
    <w:rsid w:val="20532F7E"/>
    <w:rsid w:val="3F1EB211"/>
    <w:rsid w:val="4558EAEE"/>
    <w:rsid w:val="573A1436"/>
    <w:rsid w:val="5EB2F338"/>
    <w:rsid w:val="60F1669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5236"/>
  <w15:chartTrackingRefBased/>
  <w15:docId w15:val="{CB24A682-E490-485E-9A56-F84B9ED6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394D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9C4A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A451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62278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B67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6731"/>
    <w:rPr>
      <w:lang w:val="es-ES"/>
    </w:rPr>
  </w:style>
  <w:style w:type="paragraph" w:styleId="Piedepgina">
    <w:name w:val="footer"/>
    <w:basedOn w:val="Normal"/>
    <w:link w:val="PiedepginaCar"/>
    <w:uiPriority w:val="99"/>
    <w:unhideWhenUsed/>
    <w:rsid w:val="002B67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6731"/>
    <w:rPr>
      <w:lang w:val="es-ES"/>
    </w:rPr>
  </w:style>
  <w:style w:type="character" w:styleId="Hipervnculo">
    <w:name w:val="Hyperlink"/>
    <w:basedOn w:val="Fuentedeprrafopredeter"/>
    <w:uiPriority w:val="99"/>
    <w:rsid w:val="002B6731"/>
    <w:rPr>
      <w:color w:val="0000FF"/>
      <w:u w:val="single"/>
    </w:rPr>
  </w:style>
  <w:style w:type="paragraph" w:customStyle="1" w:styleId="paragraph">
    <w:name w:val="paragraph"/>
    <w:basedOn w:val="Normal"/>
    <w:rsid w:val="002B6731"/>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2B6731"/>
  </w:style>
  <w:style w:type="character" w:customStyle="1" w:styleId="eop">
    <w:name w:val="eop"/>
    <w:basedOn w:val="Fuentedeprrafopredeter"/>
    <w:rsid w:val="002B6731"/>
  </w:style>
  <w:style w:type="character" w:customStyle="1" w:styleId="Ttulo1Car">
    <w:name w:val="Título 1 Car"/>
    <w:basedOn w:val="Fuentedeprrafopredeter"/>
    <w:link w:val="Ttulo1"/>
    <w:uiPriority w:val="9"/>
    <w:rsid w:val="00394DBE"/>
    <w:rPr>
      <w:rFonts w:asciiTheme="majorHAnsi" w:eastAsiaTheme="majorEastAsia" w:hAnsiTheme="majorHAnsi" w:cstheme="majorBidi"/>
      <w:color w:val="365F91" w:themeColor="accent1" w:themeShade="BF"/>
      <w:sz w:val="32"/>
      <w:szCs w:val="32"/>
      <w:lang w:val="es-ES"/>
    </w:rPr>
  </w:style>
  <w:style w:type="paragraph" w:styleId="TtuloTDC">
    <w:name w:val="TOC Heading"/>
    <w:basedOn w:val="Ttulo1"/>
    <w:next w:val="Normal"/>
    <w:uiPriority w:val="39"/>
    <w:unhideWhenUsed/>
    <w:qFormat/>
    <w:rsid w:val="00F27883"/>
    <w:pPr>
      <w:spacing w:line="259" w:lineRule="auto"/>
      <w:outlineLvl w:val="9"/>
    </w:pPr>
    <w:rPr>
      <w:lang w:val="es-CR" w:eastAsia="es-CR"/>
    </w:rPr>
  </w:style>
  <w:style w:type="paragraph" w:styleId="TDC2">
    <w:name w:val="toc 2"/>
    <w:basedOn w:val="Normal"/>
    <w:next w:val="Normal"/>
    <w:autoRedefine/>
    <w:uiPriority w:val="39"/>
    <w:unhideWhenUsed/>
    <w:rsid w:val="00F27883"/>
    <w:pPr>
      <w:spacing w:after="100" w:line="259" w:lineRule="auto"/>
      <w:ind w:left="220"/>
    </w:pPr>
    <w:rPr>
      <w:rFonts w:eastAsiaTheme="minorEastAsia" w:cs="Times New Roman"/>
      <w:lang w:val="es-CR" w:eastAsia="es-CR"/>
    </w:rPr>
  </w:style>
  <w:style w:type="paragraph" w:styleId="TDC1">
    <w:name w:val="toc 1"/>
    <w:basedOn w:val="Normal"/>
    <w:next w:val="Normal"/>
    <w:autoRedefine/>
    <w:uiPriority w:val="39"/>
    <w:unhideWhenUsed/>
    <w:rsid w:val="00F27883"/>
    <w:pPr>
      <w:spacing w:after="100" w:line="259" w:lineRule="auto"/>
    </w:pPr>
    <w:rPr>
      <w:rFonts w:eastAsiaTheme="minorEastAsia" w:cs="Times New Roman"/>
      <w:lang w:val="es-CR" w:eastAsia="es-CR"/>
    </w:rPr>
  </w:style>
  <w:style w:type="paragraph" w:styleId="TDC3">
    <w:name w:val="toc 3"/>
    <w:basedOn w:val="Normal"/>
    <w:next w:val="Normal"/>
    <w:autoRedefine/>
    <w:uiPriority w:val="39"/>
    <w:unhideWhenUsed/>
    <w:rsid w:val="00F27883"/>
    <w:pPr>
      <w:spacing w:after="100" w:line="259" w:lineRule="auto"/>
      <w:ind w:left="440"/>
    </w:pPr>
    <w:rPr>
      <w:rFonts w:eastAsiaTheme="minorEastAsia" w:cs="Times New Roman"/>
      <w:lang w:val="es-CR" w:eastAsia="es-CR"/>
    </w:rPr>
  </w:style>
  <w:style w:type="paragraph" w:styleId="Textonotapie">
    <w:name w:val="footnote text"/>
    <w:basedOn w:val="Normal"/>
    <w:link w:val="TextonotapieCar"/>
    <w:uiPriority w:val="99"/>
    <w:semiHidden/>
    <w:unhideWhenUsed/>
    <w:rsid w:val="00700711"/>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700711"/>
    <w:rPr>
      <w:rFonts w:ascii="Calibri" w:eastAsia="Calibri" w:hAnsi="Calibri" w:cs="Times New Roman"/>
      <w:sz w:val="20"/>
      <w:szCs w:val="20"/>
      <w:lang w:val="es-ES"/>
    </w:rPr>
  </w:style>
  <w:style w:type="character" w:styleId="Refdenotaalpie">
    <w:name w:val="footnote reference"/>
    <w:uiPriority w:val="99"/>
    <w:semiHidden/>
    <w:unhideWhenUsed/>
    <w:rsid w:val="00700711"/>
    <w:rPr>
      <w:vertAlign w:val="superscript"/>
    </w:rPr>
  </w:style>
  <w:style w:type="table" w:styleId="Tablaconcuadrcula4-nfasis1">
    <w:name w:val="Grid Table 4 Accent 1"/>
    <w:basedOn w:val="Tablanormal"/>
    <w:uiPriority w:val="49"/>
    <w:rsid w:val="00700711"/>
    <w:pPr>
      <w:spacing w:after="0" w:line="240" w:lineRule="auto"/>
    </w:pPr>
    <w:rPr>
      <w:rFonts w:ascii="Calibri" w:eastAsia="Calibri" w:hAnsi="Calibri" w:cs="Times New Roman"/>
      <w:sz w:val="20"/>
      <w:szCs w:val="20"/>
      <w:lang w:eastAsia="es-C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2Car">
    <w:name w:val="Título 2 Car"/>
    <w:basedOn w:val="Fuentedeprrafopredeter"/>
    <w:link w:val="Ttulo2"/>
    <w:uiPriority w:val="9"/>
    <w:rsid w:val="009C4A22"/>
    <w:rPr>
      <w:rFonts w:asciiTheme="majorHAnsi" w:eastAsiaTheme="majorEastAsia" w:hAnsiTheme="majorHAnsi" w:cstheme="majorBidi"/>
      <w:color w:val="365F91" w:themeColor="accent1" w:themeShade="BF"/>
      <w:sz w:val="26"/>
      <w:szCs w:val="26"/>
      <w:lang w:val="es-ES"/>
    </w:rPr>
  </w:style>
  <w:style w:type="paragraph" w:styleId="Prrafodelista">
    <w:name w:val="List Paragraph"/>
    <w:aliases w:val="Informe"/>
    <w:basedOn w:val="Normal"/>
    <w:link w:val="PrrafodelistaCar"/>
    <w:uiPriority w:val="34"/>
    <w:qFormat/>
    <w:rsid w:val="00405190"/>
    <w:pPr>
      <w:ind w:left="720"/>
      <w:contextualSpacing/>
    </w:pPr>
  </w:style>
  <w:style w:type="paragraph" w:styleId="Descripcin">
    <w:name w:val="caption"/>
    <w:basedOn w:val="Normal"/>
    <w:next w:val="Normal"/>
    <w:uiPriority w:val="35"/>
    <w:unhideWhenUsed/>
    <w:qFormat/>
    <w:rsid w:val="00F96FAA"/>
    <w:pPr>
      <w:spacing w:line="240" w:lineRule="auto"/>
    </w:pPr>
    <w:rPr>
      <w:i/>
      <w:iCs/>
      <w:color w:val="1F497D" w:themeColor="text2"/>
      <w:sz w:val="18"/>
      <w:szCs w:val="18"/>
    </w:rPr>
  </w:style>
  <w:style w:type="table" w:styleId="Tablanormal1">
    <w:name w:val="Plain Table 1"/>
    <w:basedOn w:val="Tablanormal"/>
    <w:uiPriority w:val="41"/>
    <w:rsid w:val="00560B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9314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1447"/>
    <w:rPr>
      <w:rFonts w:ascii="Segoe UI" w:hAnsi="Segoe UI" w:cs="Segoe UI"/>
      <w:sz w:val="18"/>
      <w:szCs w:val="18"/>
      <w:lang w:val="es-ES"/>
    </w:rPr>
  </w:style>
  <w:style w:type="table" w:styleId="Tablaconcuadrcula4-nfasis5">
    <w:name w:val="Grid Table 4 Accent 5"/>
    <w:basedOn w:val="Tablanormal"/>
    <w:uiPriority w:val="49"/>
    <w:rsid w:val="00585CF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
    <w:name w:val="Table Grid"/>
    <w:basedOn w:val="Tablanormal"/>
    <w:uiPriority w:val="39"/>
    <w:rsid w:val="00021969"/>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021969"/>
    <w:rPr>
      <w:lang w:val="es-ES"/>
    </w:rPr>
  </w:style>
  <w:style w:type="character" w:customStyle="1" w:styleId="normaltextrun">
    <w:name w:val="normaltextrun"/>
    <w:basedOn w:val="Fuentedeprrafopredeter"/>
    <w:rsid w:val="00021969"/>
  </w:style>
  <w:style w:type="character" w:customStyle="1" w:styleId="Ttulo3Car">
    <w:name w:val="Título 3 Car"/>
    <w:basedOn w:val="Fuentedeprrafopredeter"/>
    <w:link w:val="Ttulo3"/>
    <w:uiPriority w:val="9"/>
    <w:rsid w:val="00A451EE"/>
    <w:rPr>
      <w:rFonts w:asciiTheme="majorHAnsi" w:eastAsiaTheme="majorEastAsia" w:hAnsiTheme="majorHAnsi" w:cstheme="majorBidi"/>
      <w:color w:val="243F60" w:themeColor="accent1" w:themeShade="7F"/>
      <w:sz w:val="24"/>
      <w:szCs w:val="24"/>
      <w:lang w:val="es-ES"/>
    </w:rPr>
  </w:style>
  <w:style w:type="paragraph" w:styleId="Textocomentario">
    <w:name w:val="annotation text"/>
    <w:basedOn w:val="Normal"/>
    <w:link w:val="TextocomentarioCar"/>
    <w:uiPriority w:val="99"/>
    <w:semiHidden/>
    <w:unhideWhenUsed/>
    <w:rsid w:val="005715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7152B"/>
    <w:rPr>
      <w:sz w:val="20"/>
      <w:szCs w:val="20"/>
      <w:lang w:val="es-ES"/>
    </w:rPr>
  </w:style>
  <w:style w:type="character" w:styleId="Refdecomentario">
    <w:name w:val="annotation reference"/>
    <w:basedOn w:val="Fuentedeprrafopredeter"/>
    <w:uiPriority w:val="99"/>
    <w:semiHidden/>
    <w:unhideWhenUsed/>
    <w:rsid w:val="0057152B"/>
    <w:rPr>
      <w:sz w:val="16"/>
      <w:szCs w:val="16"/>
    </w:rPr>
  </w:style>
  <w:style w:type="character" w:customStyle="1" w:styleId="hps">
    <w:name w:val="hps"/>
    <w:basedOn w:val="Fuentedeprrafopredeter"/>
    <w:rsid w:val="008C0B7D"/>
  </w:style>
  <w:style w:type="table" w:styleId="Tablaconcuadrcula5oscura-nfasis1">
    <w:name w:val="Grid Table 5 Dark Accent 1"/>
    <w:basedOn w:val="Tablanormal"/>
    <w:uiPriority w:val="50"/>
    <w:rsid w:val="001D58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E26C7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customStyle="1" w:styleId="Ttulo4Car">
    <w:name w:val="Título 4 Car"/>
    <w:basedOn w:val="Fuentedeprrafopredeter"/>
    <w:link w:val="Ttulo4"/>
    <w:uiPriority w:val="9"/>
    <w:semiHidden/>
    <w:rsid w:val="00622780"/>
    <w:rPr>
      <w:rFonts w:asciiTheme="majorHAnsi" w:eastAsiaTheme="majorEastAsia" w:hAnsiTheme="majorHAnsi" w:cstheme="majorBidi"/>
      <w:i/>
      <w:iCs/>
      <w:color w:val="365F91" w:themeColor="accent1" w:themeShade="BF"/>
      <w:lang w:val="es-ES"/>
    </w:rPr>
  </w:style>
  <w:style w:type="character" w:styleId="Hipervnculovisitado">
    <w:name w:val="FollowedHyperlink"/>
    <w:basedOn w:val="Fuentedeprrafopredeter"/>
    <w:uiPriority w:val="99"/>
    <w:semiHidden/>
    <w:unhideWhenUsed/>
    <w:rsid w:val="007E2AA4"/>
    <w:rPr>
      <w:color w:val="954F72"/>
      <w:u w:val="single"/>
    </w:rPr>
  </w:style>
  <w:style w:type="paragraph" w:customStyle="1" w:styleId="msonormal0">
    <w:name w:val="msonormal"/>
    <w:basedOn w:val="Normal"/>
    <w:rsid w:val="007E2AA4"/>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customStyle="1" w:styleId="xl64">
    <w:name w:val="xl64"/>
    <w:basedOn w:val="Normal"/>
    <w:rsid w:val="007E2A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5">
    <w:name w:val="xl65"/>
    <w:basedOn w:val="Normal"/>
    <w:rsid w:val="007E2AA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6">
    <w:name w:val="xl66"/>
    <w:basedOn w:val="Normal"/>
    <w:rsid w:val="007E2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7">
    <w:name w:val="xl67"/>
    <w:basedOn w:val="Normal"/>
    <w:rsid w:val="007E2AA4"/>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8">
    <w:name w:val="xl68"/>
    <w:basedOn w:val="Normal"/>
    <w:rsid w:val="007E2AA4"/>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9">
    <w:name w:val="xl69"/>
    <w:basedOn w:val="Normal"/>
    <w:rsid w:val="007E2AA4"/>
    <w:pPr>
      <w:pBdr>
        <w:top w:val="single" w:sz="4"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0">
    <w:name w:val="xl70"/>
    <w:basedOn w:val="Normal"/>
    <w:rsid w:val="007E2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1">
    <w:name w:val="xl71"/>
    <w:basedOn w:val="Normal"/>
    <w:rsid w:val="007E2AA4"/>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2">
    <w:name w:val="xl72"/>
    <w:basedOn w:val="Normal"/>
    <w:rsid w:val="007E2AA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3">
    <w:name w:val="xl73"/>
    <w:basedOn w:val="Normal"/>
    <w:rsid w:val="007E2AA4"/>
    <w:pPr>
      <w:pBdr>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4">
    <w:name w:val="xl74"/>
    <w:basedOn w:val="Normal"/>
    <w:rsid w:val="007E2AA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5">
    <w:name w:val="xl75"/>
    <w:basedOn w:val="Normal"/>
    <w:rsid w:val="007E2AA4"/>
    <w:pPr>
      <w:pBdr>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6">
    <w:name w:val="xl76"/>
    <w:basedOn w:val="Normal"/>
    <w:rsid w:val="007E2AA4"/>
    <w:pPr>
      <w:pBdr>
        <w:top w:val="single" w:sz="4" w:space="0" w:color="auto"/>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7">
    <w:name w:val="xl77"/>
    <w:basedOn w:val="Normal"/>
    <w:rsid w:val="007E2AA4"/>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8">
    <w:name w:val="xl78"/>
    <w:basedOn w:val="Normal"/>
    <w:rsid w:val="007E2AA4"/>
    <w:pPr>
      <w:pBdr>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9">
    <w:name w:val="xl79"/>
    <w:basedOn w:val="Normal"/>
    <w:rsid w:val="007E2AA4"/>
    <w:pPr>
      <w:pBdr>
        <w:top w:val="single" w:sz="4" w:space="0" w:color="auto"/>
        <w:left w:val="single" w:sz="4" w:space="0" w:color="auto"/>
        <w:bottom w:val="single" w:sz="8"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0">
    <w:name w:val="xl80"/>
    <w:basedOn w:val="Normal"/>
    <w:rsid w:val="007E2AA4"/>
    <w:pPr>
      <w:pBdr>
        <w:top w:val="single" w:sz="8"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1">
    <w:name w:val="xl81"/>
    <w:basedOn w:val="Normal"/>
    <w:rsid w:val="007E2AA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2">
    <w:name w:val="xl82"/>
    <w:basedOn w:val="Normal"/>
    <w:rsid w:val="007E2AA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3">
    <w:name w:val="xl83"/>
    <w:basedOn w:val="Normal"/>
    <w:rsid w:val="007E2AA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4">
    <w:name w:val="xl84"/>
    <w:basedOn w:val="Normal"/>
    <w:rsid w:val="007E2AA4"/>
    <w:pPr>
      <w:pBdr>
        <w:top w:val="single" w:sz="8"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5">
    <w:name w:val="xl85"/>
    <w:basedOn w:val="Normal"/>
    <w:rsid w:val="007E2AA4"/>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6">
    <w:name w:val="xl86"/>
    <w:basedOn w:val="Normal"/>
    <w:rsid w:val="007E2AA4"/>
    <w:pPr>
      <w:pBdr>
        <w:top w:val="single" w:sz="4" w:space="0" w:color="auto"/>
        <w:left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7">
    <w:name w:val="xl87"/>
    <w:basedOn w:val="Normal"/>
    <w:rsid w:val="007E2AA4"/>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8">
    <w:name w:val="xl88"/>
    <w:basedOn w:val="Normal"/>
    <w:rsid w:val="007E2AA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9">
    <w:name w:val="xl89"/>
    <w:basedOn w:val="Normal"/>
    <w:rsid w:val="007E2AA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0">
    <w:name w:val="xl90"/>
    <w:basedOn w:val="Normal"/>
    <w:rsid w:val="007E2AA4"/>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1">
    <w:name w:val="xl91"/>
    <w:basedOn w:val="Normal"/>
    <w:rsid w:val="007E2AA4"/>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2">
    <w:name w:val="xl92"/>
    <w:basedOn w:val="Normal"/>
    <w:rsid w:val="007E2AA4"/>
    <w:pPr>
      <w:pBdr>
        <w:top w:val="single" w:sz="4" w:space="0" w:color="auto"/>
        <w:left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3">
    <w:name w:val="xl93"/>
    <w:basedOn w:val="Normal"/>
    <w:rsid w:val="007E2AA4"/>
    <w:pPr>
      <w:pBdr>
        <w:top w:val="single" w:sz="4" w:space="0" w:color="auto"/>
        <w:left w:val="single" w:sz="4"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4">
    <w:name w:val="xl94"/>
    <w:basedOn w:val="Normal"/>
    <w:rsid w:val="007E2AA4"/>
    <w:pPr>
      <w:pBdr>
        <w:left w:val="single" w:sz="8" w:space="0" w:color="auto"/>
        <w:bottom w:val="single" w:sz="12"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5">
    <w:name w:val="xl95"/>
    <w:basedOn w:val="Normal"/>
    <w:rsid w:val="007E2AA4"/>
    <w:pPr>
      <w:pBdr>
        <w:bottom w:val="single" w:sz="12"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6">
    <w:name w:val="xl96"/>
    <w:basedOn w:val="Normal"/>
    <w:rsid w:val="007E2AA4"/>
    <w:pPr>
      <w:pBdr>
        <w:bottom w:val="single" w:sz="12"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7">
    <w:name w:val="xl97"/>
    <w:basedOn w:val="Normal"/>
    <w:rsid w:val="007E2AA4"/>
    <w:pPr>
      <w:pBdr>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8">
    <w:name w:val="xl98"/>
    <w:basedOn w:val="Normal"/>
    <w:rsid w:val="007E2AA4"/>
    <w:pPr>
      <w:pBdr>
        <w:left w:val="single" w:sz="12"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9">
    <w:name w:val="xl99"/>
    <w:basedOn w:val="Normal"/>
    <w:rsid w:val="007E2AA4"/>
    <w:pPr>
      <w:pBdr>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0">
    <w:name w:val="xl100"/>
    <w:basedOn w:val="Normal"/>
    <w:rsid w:val="007E2AA4"/>
    <w:pPr>
      <w:pBdr>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1">
    <w:name w:val="xl101"/>
    <w:basedOn w:val="Normal"/>
    <w:rsid w:val="007E2AA4"/>
    <w:pPr>
      <w:pBdr>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2">
    <w:name w:val="xl102"/>
    <w:basedOn w:val="Normal"/>
    <w:rsid w:val="007E2AA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3">
    <w:name w:val="xl103"/>
    <w:basedOn w:val="Normal"/>
    <w:rsid w:val="007E2AA4"/>
    <w:pPr>
      <w:pBdr>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4">
    <w:name w:val="xl104"/>
    <w:basedOn w:val="Normal"/>
    <w:rsid w:val="007E2AA4"/>
    <w:pPr>
      <w:pBdr>
        <w:top w:val="single" w:sz="12" w:space="0" w:color="auto"/>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5">
    <w:name w:val="xl105"/>
    <w:basedOn w:val="Normal"/>
    <w:rsid w:val="007E2AA4"/>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6">
    <w:name w:val="xl106"/>
    <w:basedOn w:val="Normal"/>
    <w:rsid w:val="007E2AA4"/>
    <w:pPr>
      <w:pBdr>
        <w:top w:val="single" w:sz="12" w:space="0" w:color="auto"/>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7">
    <w:name w:val="xl107"/>
    <w:basedOn w:val="Normal"/>
    <w:rsid w:val="007E2AA4"/>
    <w:pPr>
      <w:pBdr>
        <w:bottom w:val="single" w:sz="12"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8">
    <w:name w:val="xl108"/>
    <w:basedOn w:val="Normal"/>
    <w:rsid w:val="007E2AA4"/>
    <w:pPr>
      <w:pBdr>
        <w:bottom w:val="single" w:sz="12"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9">
    <w:name w:val="xl109"/>
    <w:basedOn w:val="Normal"/>
    <w:rsid w:val="007E2AA4"/>
    <w:pPr>
      <w:pBdr>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10">
    <w:name w:val="xl110"/>
    <w:basedOn w:val="Normal"/>
    <w:rsid w:val="007E2AA4"/>
    <w:pPr>
      <w:pBdr>
        <w:left w:val="single" w:sz="8" w:space="0" w:color="auto"/>
        <w:bottom w:val="single" w:sz="12"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1">
    <w:name w:val="xl111"/>
    <w:basedOn w:val="Normal"/>
    <w:rsid w:val="007E2AA4"/>
    <w:pPr>
      <w:pBdr>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2">
    <w:name w:val="xl112"/>
    <w:basedOn w:val="Normal"/>
    <w:rsid w:val="007E2AA4"/>
    <w:pPr>
      <w:pBdr>
        <w:top w:val="single" w:sz="12" w:space="0" w:color="auto"/>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3">
    <w:name w:val="xl113"/>
    <w:basedOn w:val="Normal"/>
    <w:rsid w:val="007E2AA4"/>
    <w:pPr>
      <w:pBdr>
        <w:left w:val="single" w:sz="8" w:space="0" w:color="auto"/>
        <w:bottom w:val="single" w:sz="12"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4">
    <w:name w:val="xl114"/>
    <w:basedOn w:val="Normal"/>
    <w:rsid w:val="007E2AA4"/>
    <w:pPr>
      <w:pBdr>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5">
    <w:name w:val="xl115"/>
    <w:basedOn w:val="Normal"/>
    <w:rsid w:val="007E2AA4"/>
    <w:pPr>
      <w:pBdr>
        <w:top w:val="single" w:sz="12" w:space="0" w:color="auto"/>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6">
    <w:name w:val="xl116"/>
    <w:basedOn w:val="Normal"/>
    <w:rsid w:val="007E2AA4"/>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7">
    <w:name w:val="xl117"/>
    <w:basedOn w:val="Normal"/>
    <w:rsid w:val="007E2AA4"/>
    <w:pPr>
      <w:pBdr>
        <w:top w:val="single" w:sz="12" w:space="0" w:color="auto"/>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8">
    <w:name w:val="xl118"/>
    <w:basedOn w:val="Normal"/>
    <w:rsid w:val="007E2AA4"/>
    <w:pPr>
      <w:pBdr>
        <w:top w:val="single" w:sz="12"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9">
    <w:name w:val="xl119"/>
    <w:basedOn w:val="Normal"/>
    <w:rsid w:val="007E2AA4"/>
    <w:pPr>
      <w:pBdr>
        <w:top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0">
    <w:name w:val="xl120"/>
    <w:basedOn w:val="Normal"/>
    <w:rsid w:val="007E2AA4"/>
    <w:pPr>
      <w:pBdr>
        <w:top w:val="single" w:sz="12" w:space="0" w:color="auto"/>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1">
    <w:name w:val="xl121"/>
    <w:basedOn w:val="Normal"/>
    <w:rsid w:val="007E2AA4"/>
    <w:pPr>
      <w:pBdr>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2">
    <w:name w:val="xl122"/>
    <w:basedOn w:val="Normal"/>
    <w:rsid w:val="007E2AA4"/>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3">
    <w:name w:val="xl123"/>
    <w:basedOn w:val="Normal"/>
    <w:rsid w:val="007E2AA4"/>
    <w:pPr>
      <w:pBdr>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4">
    <w:name w:val="xl124"/>
    <w:basedOn w:val="Normal"/>
    <w:rsid w:val="007E2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s-CR" w:eastAsia="es-CR"/>
    </w:rPr>
  </w:style>
  <w:style w:type="paragraph" w:customStyle="1" w:styleId="Default">
    <w:name w:val="Default"/>
    <w:rsid w:val="0005363C"/>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07726">
      <w:bodyDiv w:val="1"/>
      <w:marLeft w:val="0"/>
      <w:marRight w:val="0"/>
      <w:marTop w:val="0"/>
      <w:marBottom w:val="0"/>
      <w:divBdr>
        <w:top w:val="none" w:sz="0" w:space="0" w:color="auto"/>
        <w:left w:val="none" w:sz="0" w:space="0" w:color="auto"/>
        <w:bottom w:val="none" w:sz="0" w:space="0" w:color="auto"/>
        <w:right w:val="none" w:sz="0" w:space="0" w:color="auto"/>
      </w:divBdr>
      <w:divsChild>
        <w:div w:id="742334244">
          <w:marLeft w:val="0"/>
          <w:marRight w:val="0"/>
          <w:marTop w:val="0"/>
          <w:marBottom w:val="0"/>
          <w:divBdr>
            <w:top w:val="none" w:sz="0" w:space="0" w:color="auto"/>
            <w:left w:val="none" w:sz="0" w:space="0" w:color="auto"/>
            <w:bottom w:val="none" w:sz="0" w:space="0" w:color="auto"/>
            <w:right w:val="none" w:sz="0" w:space="0" w:color="auto"/>
          </w:divBdr>
        </w:div>
      </w:divsChild>
    </w:div>
    <w:div w:id="136267454">
      <w:bodyDiv w:val="1"/>
      <w:marLeft w:val="0"/>
      <w:marRight w:val="0"/>
      <w:marTop w:val="0"/>
      <w:marBottom w:val="0"/>
      <w:divBdr>
        <w:top w:val="none" w:sz="0" w:space="0" w:color="auto"/>
        <w:left w:val="none" w:sz="0" w:space="0" w:color="auto"/>
        <w:bottom w:val="none" w:sz="0" w:space="0" w:color="auto"/>
        <w:right w:val="none" w:sz="0" w:space="0" w:color="auto"/>
      </w:divBdr>
      <w:divsChild>
        <w:div w:id="2118017613">
          <w:marLeft w:val="1138"/>
          <w:marRight w:val="0"/>
          <w:marTop w:val="0"/>
          <w:marBottom w:val="720"/>
          <w:divBdr>
            <w:top w:val="none" w:sz="0" w:space="0" w:color="auto"/>
            <w:left w:val="none" w:sz="0" w:space="0" w:color="auto"/>
            <w:bottom w:val="none" w:sz="0" w:space="0" w:color="auto"/>
            <w:right w:val="none" w:sz="0" w:space="0" w:color="auto"/>
          </w:divBdr>
        </w:div>
        <w:div w:id="875696551">
          <w:marLeft w:val="1138"/>
          <w:marRight w:val="0"/>
          <w:marTop w:val="0"/>
          <w:marBottom w:val="720"/>
          <w:divBdr>
            <w:top w:val="none" w:sz="0" w:space="0" w:color="auto"/>
            <w:left w:val="none" w:sz="0" w:space="0" w:color="auto"/>
            <w:bottom w:val="none" w:sz="0" w:space="0" w:color="auto"/>
            <w:right w:val="none" w:sz="0" w:space="0" w:color="auto"/>
          </w:divBdr>
        </w:div>
        <w:div w:id="86049450">
          <w:marLeft w:val="1138"/>
          <w:marRight w:val="0"/>
          <w:marTop w:val="0"/>
          <w:marBottom w:val="720"/>
          <w:divBdr>
            <w:top w:val="none" w:sz="0" w:space="0" w:color="auto"/>
            <w:left w:val="none" w:sz="0" w:space="0" w:color="auto"/>
            <w:bottom w:val="none" w:sz="0" w:space="0" w:color="auto"/>
            <w:right w:val="none" w:sz="0" w:space="0" w:color="auto"/>
          </w:divBdr>
        </w:div>
        <w:div w:id="1515532391">
          <w:marLeft w:val="1138"/>
          <w:marRight w:val="0"/>
          <w:marTop w:val="0"/>
          <w:marBottom w:val="720"/>
          <w:divBdr>
            <w:top w:val="none" w:sz="0" w:space="0" w:color="auto"/>
            <w:left w:val="none" w:sz="0" w:space="0" w:color="auto"/>
            <w:bottom w:val="none" w:sz="0" w:space="0" w:color="auto"/>
            <w:right w:val="none" w:sz="0" w:space="0" w:color="auto"/>
          </w:divBdr>
        </w:div>
        <w:div w:id="1703480855">
          <w:marLeft w:val="1138"/>
          <w:marRight w:val="0"/>
          <w:marTop w:val="0"/>
          <w:marBottom w:val="720"/>
          <w:divBdr>
            <w:top w:val="none" w:sz="0" w:space="0" w:color="auto"/>
            <w:left w:val="none" w:sz="0" w:space="0" w:color="auto"/>
            <w:bottom w:val="none" w:sz="0" w:space="0" w:color="auto"/>
            <w:right w:val="none" w:sz="0" w:space="0" w:color="auto"/>
          </w:divBdr>
        </w:div>
      </w:divsChild>
    </w:div>
    <w:div w:id="191043176">
      <w:bodyDiv w:val="1"/>
      <w:marLeft w:val="0"/>
      <w:marRight w:val="0"/>
      <w:marTop w:val="0"/>
      <w:marBottom w:val="0"/>
      <w:divBdr>
        <w:top w:val="none" w:sz="0" w:space="0" w:color="auto"/>
        <w:left w:val="none" w:sz="0" w:space="0" w:color="auto"/>
        <w:bottom w:val="none" w:sz="0" w:space="0" w:color="auto"/>
        <w:right w:val="none" w:sz="0" w:space="0" w:color="auto"/>
      </w:divBdr>
      <w:divsChild>
        <w:div w:id="90591348">
          <w:marLeft w:val="547"/>
          <w:marRight w:val="0"/>
          <w:marTop w:val="0"/>
          <w:marBottom w:val="0"/>
          <w:divBdr>
            <w:top w:val="none" w:sz="0" w:space="0" w:color="auto"/>
            <w:left w:val="none" w:sz="0" w:space="0" w:color="auto"/>
            <w:bottom w:val="none" w:sz="0" w:space="0" w:color="auto"/>
            <w:right w:val="none" w:sz="0" w:space="0" w:color="auto"/>
          </w:divBdr>
        </w:div>
      </w:divsChild>
    </w:div>
    <w:div w:id="195899110">
      <w:bodyDiv w:val="1"/>
      <w:marLeft w:val="0"/>
      <w:marRight w:val="0"/>
      <w:marTop w:val="0"/>
      <w:marBottom w:val="0"/>
      <w:divBdr>
        <w:top w:val="none" w:sz="0" w:space="0" w:color="auto"/>
        <w:left w:val="none" w:sz="0" w:space="0" w:color="auto"/>
        <w:bottom w:val="none" w:sz="0" w:space="0" w:color="auto"/>
        <w:right w:val="none" w:sz="0" w:space="0" w:color="auto"/>
      </w:divBdr>
    </w:div>
    <w:div w:id="266617732">
      <w:bodyDiv w:val="1"/>
      <w:marLeft w:val="0"/>
      <w:marRight w:val="0"/>
      <w:marTop w:val="0"/>
      <w:marBottom w:val="0"/>
      <w:divBdr>
        <w:top w:val="none" w:sz="0" w:space="0" w:color="auto"/>
        <w:left w:val="none" w:sz="0" w:space="0" w:color="auto"/>
        <w:bottom w:val="none" w:sz="0" w:space="0" w:color="auto"/>
        <w:right w:val="none" w:sz="0" w:space="0" w:color="auto"/>
      </w:divBdr>
    </w:div>
    <w:div w:id="307243629">
      <w:bodyDiv w:val="1"/>
      <w:marLeft w:val="0"/>
      <w:marRight w:val="0"/>
      <w:marTop w:val="0"/>
      <w:marBottom w:val="0"/>
      <w:divBdr>
        <w:top w:val="none" w:sz="0" w:space="0" w:color="auto"/>
        <w:left w:val="none" w:sz="0" w:space="0" w:color="auto"/>
        <w:bottom w:val="none" w:sz="0" w:space="0" w:color="auto"/>
        <w:right w:val="none" w:sz="0" w:space="0" w:color="auto"/>
      </w:divBdr>
    </w:div>
    <w:div w:id="383985756">
      <w:bodyDiv w:val="1"/>
      <w:marLeft w:val="0"/>
      <w:marRight w:val="0"/>
      <w:marTop w:val="0"/>
      <w:marBottom w:val="0"/>
      <w:divBdr>
        <w:top w:val="none" w:sz="0" w:space="0" w:color="auto"/>
        <w:left w:val="none" w:sz="0" w:space="0" w:color="auto"/>
        <w:bottom w:val="none" w:sz="0" w:space="0" w:color="auto"/>
        <w:right w:val="none" w:sz="0" w:space="0" w:color="auto"/>
      </w:divBdr>
    </w:div>
    <w:div w:id="392049821">
      <w:bodyDiv w:val="1"/>
      <w:marLeft w:val="0"/>
      <w:marRight w:val="0"/>
      <w:marTop w:val="0"/>
      <w:marBottom w:val="0"/>
      <w:divBdr>
        <w:top w:val="none" w:sz="0" w:space="0" w:color="auto"/>
        <w:left w:val="none" w:sz="0" w:space="0" w:color="auto"/>
        <w:bottom w:val="none" w:sz="0" w:space="0" w:color="auto"/>
        <w:right w:val="none" w:sz="0" w:space="0" w:color="auto"/>
      </w:divBdr>
    </w:div>
    <w:div w:id="434135216">
      <w:bodyDiv w:val="1"/>
      <w:marLeft w:val="0"/>
      <w:marRight w:val="0"/>
      <w:marTop w:val="0"/>
      <w:marBottom w:val="0"/>
      <w:divBdr>
        <w:top w:val="none" w:sz="0" w:space="0" w:color="auto"/>
        <w:left w:val="none" w:sz="0" w:space="0" w:color="auto"/>
        <w:bottom w:val="none" w:sz="0" w:space="0" w:color="auto"/>
        <w:right w:val="none" w:sz="0" w:space="0" w:color="auto"/>
      </w:divBdr>
    </w:div>
    <w:div w:id="553203483">
      <w:bodyDiv w:val="1"/>
      <w:marLeft w:val="0"/>
      <w:marRight w:val="0"/>
      <w:marTop w:val="0"/>
      <w:marBottom w:val="0"/>
      <w:divBdr>
        <w:top w:val="none" w:sz="0" w:space="0" w:color="auto"/>
        <w:left w:val="none" w:sz="0" w:space="0" w:color="auto"/>
        <w:bottom w:val="none" w:sz="0" w:space="0" w:color="auto"/>
        <w:right w:val="none" w:sz="0" w:space="0" w:color="auto"/>
      </w:divBdr>
    </w:div>
    <w:div w:id="614603857">
      <w:bodyDiv w:val="1"/>
      <w:marLeft w:val="0"/>
      <w:marRight w:val="0"/>
      <w:marTop w:val="0"/>
      <w:marBottom w:val="0"/>
      <w:divBdr>
        <w:top w:val="none" w:sz="0" w:space="0" w:color="auto"/>
        <w:left w:val="none" w:sz="0" w:space="0" w:color="auto"/>
        <w:bottom w:val="none" w:sz="0" w:space="0" w:color="auto"/>
        <w:right w:val="none" w:sz="0" w:space="0" w:color="auto"/>
      </w:divBdr>
    </w:div>
    <w:div w:id="731389772">
      <w:bodyDiv w:val="1"/>
      <w:marLeft w:val="0"/>
      <w:marRight w:val="0"/>
      <w:marTop w:val="0"/>
      <w:marBottom w:val="0"/>
      <w:divBdr>
        <w:top w:val="none" w:sz="0" w:space="0" w:color="auto"/>
        <w:left w:val="none" w:sz="0" w:space="0" w:color="auto"/>
        <w:bottom w:val="none" w:sz="0" w:space="0" w:color="auto"/>
        <w:right w:val="none" w:sz="0" w:space="0" w:color="auto"/>
      </w:divBdr>
    </w:div>
    <w:div w:id="751588255">
      <w:bodyDiv w:val="1"/>
      <w:marLeft w:val="0"/>
      <w:marRight w:val="0"/>
      <w:marTop w:val="0"/>
      <w:marBottom w:val="0"/>
      <w:divBdr>
        <w:top w:val="none" w:sz="0" w:space="0" w:color="auto"/>
        <w:left w:val="none" w:sz="0" w:space="0" w:color="auto"/>
        <w:bottom w:val="none" w:sz="0" w:space="0" w:color="auto"/>
        <w:right w:val="none" w:sz="0" w:space="0" w:color="auto"/>
      </w:divBdr>
    </w:div>
    <w:div w:id="795412032">
      <w:bodyDiv w:val="1"/>
      <w:marLeft w:val="0"/>
      <w:marRight w:val="0"/>
      <w:marTop w:val="0"/>
      <w:marBottom w:val="0"/>
      <w:divBdr>
        <w:top w:val="none" w:sz="0" w:space="0" w:color="auto"/>
        <w:left w:val="none" w:sz="0" w:space="0" w:color="auto"/>
        <w:bottom w:val="none" w:sz="0" w:space="0" w:color="auto"/>
        <w:right w:val="none" w:sz="0" w:space="0" w:color="auto"/>
      </w:divBdr>
    </w:div>
    <w:div w:id="805202811">
      <w:bodyDiv w:val="1"/>
      <w:marLeft w:val="0"/>
      <w:marRight w:val="0"/>
      <w:marTop w:val="0"/>
      <w:marBottom w:val="0"/>
      <w:divBdr>
        <w:top w:val="none" w:sz="0" w:space="0" w:color="auto"/>
        <w:left w:val="none" w:sz="0" w:space="0" w:color="auto"/>
        <w:bottom w:val="none" w:sz="0" w:space="0" w:color="auto"/>
        <w:right w:val="none" w:sz="0" w:space="0" w:color="auto"/>
      </w:divBdr>
    </w:div>
    <w:div w:id="805968758">
      <w:bodyDiv w:val="1"/>
      <w:marLeft w:val="0"/>
      <w:marRight w:val="0"/>
      <w:marTop w:val="0"/>
      <w:marBottom w:val="0"/>
      <w:divBdr>
        <w:top w:val="none" w:sz="0" w:space="0" w:color="auto"/>
        <w:left w:val="none" w:sz="0" w:space="0" w:color="auto"/>
        <w:bottom w:val="none" w:sz="0" w:space="0" w:color="auto"/>
        <w:right w:val="none" w:sz="0" w:space="0" w:color="auto"/>
      </w:divBdr>
    </w:div>
    <w:div w:id="815728078">
      <w:bodyDiv w:val="1"/>
      <w:marLeft w:val="0"/>
      <w:marRight w:val="0"/>
      <w:marTop w:val="0"/>
      <w:marBottom w:val="0"/>
      <w:divBdr>
        <w:top w:val="none" w:sz="0" w:space="0" w:color="auto"/>
        <w:left w:val="none" w:sz="0" w:space="0" w:color="auto"/>
        <w:bottom w:val="none" w:sz="0" w:space="0" w:color="auto"/>
        <w:right w:val="none" w:sz="0" w:space="0" w:color="auto"/>
      </w:divBdr>
    </w:div>
    <w:div w:id="873611667">
      <w:bodyDiv w:val="1"/>
      <w:marLeft w:val="0"/>
      <w:marRight w:val="0"/>
      <w:marTop w:val="0"/>
      <w:marBottom w:val="0"/>
      <w:divBdr>
        <w:top w:val="none" w:sz="0" w:space="0" w:color="auto"/>
        <w:left w:val="none" w:sz="0" w:space="0" w:color="auto"/>
        <w:bottom w:val="none" w:sz="0" w:space="0" w:color="auto"/>
        <w:right w:val="none" w:sz="0" w:space="0" w:color="auto"/>
      </w:divBdr>
    </w:div>
    <w:div w:id="875704363">
      <w:bodyDiv w:val="1"/>
      <w:marLeft w:val="0"/>
      <w:marRight w:val="0"/>
      <w:marTop w:val="0"/>
      <w:marBottom w:val="0"/>
      <w:divBdr>
        <w:top w:val="none" w:sz="0" w:space="0" w:color="auto"/>
        <w:left w:val="none" w:sz="0" w:space="0" w:color="auto"/>
        <w:bottom w:val="none" w:sz="0" w:space="0" w:color="auto"/>
        <w:right w:val="none" w:sz="0" w:space="0" w:color="auto"/>
      </w:divBdr>
    </w:div>
    <w:div w:id="925725453">
      <w:bodyDiv w:val="1"/>
      <w:marLeft w:val="0"/>
      <w:marRight w:val="0"/>
      <w:marTop w:val="0"/>
      <w:marBottom w:val="0"/>
      <w:divBdr>
        <w:top w:val="none" w:sz="0" w:space="0" w:color="auto"/>
        <w:left w:val="none" w:sz="0" w:space="0" w:color="auto"/>
        <w:bottom w:val="none" w:sz="0" w:space="0" w:color="auto"/>
        <w:right w:val="none" w:sz="0" w:space="0" w:color="auto"/>
      </w:divBdr>
      <w:divsChild>
        <w:div w:id="302196350">
          <w:marLeft w:val="1570"/>
          <w:marRight w:val="0"/>
          <w:marTop w:val="0"/>
          <w:marBottom w:val="120"/>
          <w:divBdr>
            <w:top w:val="none" w:sz="0" w:space="0" w:color="auto"/>
            <w:left w:val="none" w:sz="0" w:space="0" w:color="auto"/>
            <w:bottom w:val="none" w:sz="0" w:space="0" w:color="auto"/>
            <w:right w:val="none" w:sz="0" w:space="0" w:color="auto"/>
          </w:divBdr>
        </w:div>
        <w:div w:id="797721783">
          <w:marLeft w:val="1570"/>
          <w:marRight w:val="0"/>
          <w:marTop w:val="0"/>
          <w:marBottom w:val="120"/>
          <w:divBdr>
            <w:top w:val="none" w:sz="0" w:space="0" w:color="auto"/>
            <w:left w:val="none" w:sz="0" w:space="0" w:color="auto"/>
            <w:bottom w:val="none" w:sz="0" w:space="0" w:color="auto"/>
            <w:right w:val="none" w:sz="0" w:space="0" w:color="auto"/>
          </w:divBdr>
        </w:div>
      </w:divsChild>
    </w:div>
    <w:div w:id="959262861">
      <w:bodyDiv w:val="1"/>
      <w:marLeft w:val="0"/>
      <w:marRight w:val="0"/>
      <w:marTop w:val="0"/>
      <w:marBottom w:val="0"/>
      <w:divBdr>
        <w:top w:val="none" w:sz="0" w:space="0" w:color="auto"/>
        <w:left w:val="none" w:sz="0" w:space="0" w:color="auto"/>
        <w:bottom w:val="none" w:sz="0" w:space="0" w:color="auto"/>
        <w:right w:val="none" w:sz="0" w:space="0" w:color="auto"/>
      </w:divBdr>
    </w:div>
    <w:div w:id="992180815">
      <w:bodyDiv w:val="1"/>
      <w:marLeft w:val="0"/>
      <w:marRight w:val="0"/>
      <w:marTop w:val="0"/>
      <w:marBottom w:val="0"/>
      <w:divBdr>
        <w:top w:val="none" w:sz="0" w:space="0" w:color="auto"/>
        <w:left w:val="none" w:sz="0" w:space="0" w:color="auto"/>
        <w:bottom w:val="none" w:sz="0" w:space="0" w:color="auto"/>
        <w:right w:val="none" w:sz="0" w:space="0" w:color="auto"/>
      </w:divBdr>
      <w:divsChild>
        <w:div w:id="1408527596">
          <w:marLeft w:val="1138"/>
          <w:marRight w:val="0"/>
          <w:marTop w:val="0"/>
          <w:marBottom w:val="600"/>
          <w:divBdr>
            <w:top w:val="none" w:sz="0" w:space="0" w:color="auto"/>
            <w:left w:val="none" w:sz="0" w:space="0" w:color="auto"/>
            <w:bottom w:val="none" w:sz="0" w:space="0" w:color="auto"/>
            <w:right w:val="none" w:sz="0" w:space="0" w:color="auto"/>
          </w:divBdr>
        </w:div>
        <w:div w:id="744256893">
          <w:marLeft w:val="1138"/>
          <w:marRight w:val="0"/>
          <w:marTop w:val="0"/>
          <w:marBottom w:val="600"/>
          <w:divBdr>
            <w:top w:val="none" w:sz="0" w:space="0" w:color="auto"/>
            <w:left w:val="none" w:sz="0" w:space="0" w:color="auto"/>
            <w:bottom w:val="none" w:sz="0" w:space="0" w:color="auto"/>
            <w:right w:val="none" w:sz="0" w:space="0" w:color="auto"/>
          </w:divBdr>
        </w:div>
        <w:div w:id="2072774945">
          <w:marLeft w:val="1138"/>
          <w:marRight w:val="0"/>
          <w:marTop w:val="0"/>
          <w:marBottom w:val="600"/>
          <w:divBdr>
            <w:top w:val="none" w:sz="0" w:space="0" w:color="auto"/>
            <w:left w:val="none" w:sz="0" w:space="0" w:color="auto"/>
            <w:bottom w:val="none" w:sz="0" w:space="0" w:color="auto"/>
            <w:right w:val="none" w:sz="0" w:space="0" w:color="auto"/>
          </w:divBdr>
        </w:div>
        <w:div w:id="1544437759">
          <w:marLeft w:val="1138"/>
          <w:marRight w:val="0"/>
          <w:marTop w:val="0"/>
          <w:marBottom w:val="600"/>
          <w:divBdr>
            <w:top w:val="none" w:sz="0" w:space="0" w:color="auto"/>
            <w:left w:val="none" w:sz="0" w:space="0" w:color="auto"/>
            <w:bottom w:val="none" w:sz="0" w:space="0" w:color="auto"/>
            <w:right w:val="none" w:sz="0" w:space="0" w:color="auto"/>
          </w:divBdr>
        </w:div>
        <w:div w:id="2133672099">
          <w:marLeft w:val="1138"/>
          <w:marRight w:val="0"/>
          <w:marTop w:val="0"/>
          <w:marBottom w:val="600"/>
          <w:divBdr>
            <w:top w:val="none" w:sz="0" w:space="0" w:color="auto"/>
            <w:left w:val="none" w:sz="0" w:space="0" w:color="auto"/>
            <w:bottom w:val="none" w:sz="0" w:space="0" w:color="auto"/>
            <w:right w:val="none" w:sz="0" w:space="0" w:color="auto"/>
          </w:divBdr>
        </w:div>
      </w:divsChild>
    </w:div>
    <w:div w:id="1025398398">
      <w:bodyDiv w:val="1"/>
      <w:marLeft w:val="0"/>
      <w:marRight w:val="0"/>
      <w:marTop w:val="0"/>
      <w:marBottom w:val="0"/>
      <w:divBdr>
        <w:top w:val="none" w:sz="0" w:space="0" w:color="auto"/>
        <w:left w:val="none" w:sz="0" w:space="0" w:color="auto"/>
        <w:bottom w:val="none" w:sz="0" w:space="0" w:color="auto"/>
        <w:right w:val="none" w:sz="0" w:space="0" w:color="auto"/>
      </w:divBdr>
    </w:div>
    <w:div w:id="1103695502">
      <w:bodyDiv w:val="1"/>
      <w:marLeft w:val="0"/>
      <w:marRight w:val="0"/>
      <w:marTop w:val="0"/>
      <w:marBottom w:val="0"/>
      <w:divBdr>
        <w:top w:val="none" w:sz="0" w:space="0" w:color="auto"/>
        <w:left w:val="none" w:sz="0" w:space="0" w:color="auto"/>
        <w:bottom w:val="none" w:sz="0" w:space="0" w:color="auto"/>
        <w:right w:val="none" w:sz="0" w:space="0" w:color="auto"/>
      </w:divBdr>
    </w:div>
    <w:div w:id="1156528250">
      <w:bodyDiv w:val="1"/>
      <w:marLeft w:val="0"/>
      <w:marRight w:val="0"/>
      <w:marTop w:val="0"/>
      <w:marBottom w:val="0"/>
      <w:divBdr>
        <w:top w:val="none" w:sz="0" w:space="0" w:color="auto"/>
        <w:left w:val="none" w:sz="0" w:space="0" w:color="auto"/>
        <w:bottom w:val="none" w:sz="0" w:space="0" w:color="auto"/>
        <w:right w:val="none" w:sz="0" w:space="0" w:color="auto"/>
      </w:divBdr>
    </w:div>
    <w:div w:id="1305700170">
      <w:bodyDiv w:val="1"/>
      <w:marLeft w:val="0"/>
      <w:marRight w:val="0"/>
      <w:marTop w:val="0"/>
      <w:marBottom w:val="0"/>
      <w:divBdr>
        <w:top w:val="none" w:sz="0" w:space="0" w:color="auto"/>
        <w:left w:val="none" w:sz="0" w:space="0" w:color="auto"/>
        <w:bottom w:val="none" w:sz="0" w:space="0" w:color="auto"/>
        <w:right w:val="none" w:sz="0" w:space="0" w:color="auto"/>
      </w:divBdr>
    </w:div>
    <w:div w:id="1314093654">
      <w:bodyDiv w:val="1"/>
      <w:marLeft w:val="0"/>
      <w:marRight w:val="0"/>
      <w:marTop w:val="0"/>
      <w:marBottom w:val="0"/>
      <w:divBdr>
        <w:top w:val="none" w:sz="0" w:space="0" w:color="auto"/>
        <w:left w:val="none" w:sz="0" w:space="0" w:color="auto"/>
        <w:bottom w:val="none" w:sz="0" w:space="0" w:color="auto"/>
        <w:right w:val="none" w:sz="0" w:space="0" w:color="auto"/>
      </w:divBdr>
      <w:divsChild>
        <w:div w:id="99763100">
          <w:marLeft w:val="0"/>
          <w:marRight w:val="0"/>
          <w:marTop w:val="0"/>
          <w:marBottom w:val="0"/>
          <w:divBdr>
            <w:top w:val="none" w:sz="0" w:space="0" w:color="auto"/>
            <w:left w:val="none" w:sz="0" w:space="0" w:color="auto"/>
            <w:bottom w:val="none" w:sz="0" w:space="0" w:color="auto"/>
            <w:right w:val="none" w:sz="0" w:space="0" w:color="auto"/>
          </w:divBdr>
          <w:divsChild>
            <w:div w:id="960959710">
              <w:marLeft w:val="0"/>
              <w:marRight w:val="0"/>
              <w:marTop w:val="0"/>
              <w:marBottom w:val="0"/>
              <w:divBdr>
                <w:top w:val="none" w:sz="0" w:space="0" w:color="auto"/>
                <w:left w:val="none" w:sz="0" w:space="0" w:color="auto"/>
                <w:bottom w:val="none" w:sz="0" w:space="0" w:color="auto"/>
                <w:right w:val="none" w:sz="0" w:space="0" w:color="auto"/>
              </w:divBdr>
              <w:divsChild>
                <w:div w:id="1952475088">
                  <w:marLeft w:val="0"/>
                  <w:marRight w:val="0"/>
                  <w:marTop w:val="0"/>
                  <w:marBottom w:val="0"/>
                  <w:divBdr>
                    <w:top w:val="none" w:sz="0" w:space="0" w:color="auto"/>
                    <w:left w:val="none" w:sz="0" w:space="0" w:color="auto"/>
                    <w:bottom w:val="none" w:sz="0" w:space="0" w:color="auto"/>
                    <w:right w:val="none" w:sz="0" w:space="0" w:color="auto"/>
                  </w:divBdr>
                </w:div>
              </w:divsChild>
            </w:div>
            <w:div w:id="1183057273">
              <w:marLeft w:val="0"/>
              <w:marRight w:val="0"/>
              <w:marTop w:val="0"/>
              <w:marBottom w:val="0"/>
              <w:divBdr>
                <w:top w:val="none" w:sz="0" w:space="0" w:color="auto"/>
                <w:left w:val="none" w:sz="0" w:space="0" w:color="auto"/>
                <w:bottom w:val="none" w:sz="0" w:space="0" w:color="auto"/>
                <w:right w:val="none" w:sz="0" w:space="0" w:color="auto"/>
              </w:divBdr>
            </w:div>
          </w:divsChild>
        </w:div>
        <w:div w:id="1785684617">
          <w:marLeft w:val="0"/>
          <w:marRight w:val="0"/>
          <w:marTop w:val="0"/>
          <w:marBottom w:val="0"/>
          <w:divBdr>
            <w:top w:val="none" w:sz="0" w:space="0" w:color="auto"/>
            <w:left w:val="none" w:sz="0" w:space="0" w:color="auto"/>
            <w:bottom w:val="none" w:sz="0" w:space="0" w:color="auto"/>
            <w:right w:val="none" w:sz="0" w:space="0" w:color="auto"/>
          </w:divBdr>
          <w:divsChild>
            <w:div w:id="1137188936">
              <w:marLeft w:val="0"/>
              <w:marRight w:val="0"/>
              <w:marTop w:val="375"/>
              <w:marBottom w:val="300"/>
              <w:divBdr>
                <w:top w:val="single" w:sz="6" w:space="0" w:color="CCCCCC"/>
                <w:left w:val="single" w:sz="6" w:space="0" w:color="CCCCCC"/>
                <w:bottom w:val="single" w:sz="6" w:space="0" w:color="CCCCCC"/>
                <w:right w:val="single" w:sz="6" w:space="0" w:color="CCCCCC"/>
              </w:divBdr>
            </w:div>
          </w:divsChild>
        </w:div>
      </w:divsChild>
    </w:div>
    <w:div w:id="1405108906">
      <w:bodyDiv w:val="1"/>
      <w:marLeft w:val="0"/>
      <w:marRight w:val="0"/>
      <w:marTop w:val="0"/>
      <w:marBottom w:val="0"/>
      <w:divBdr>
        <w:top w:val="none" w:sz="0" w:space="0" w:color="auto"/>
        <w:left w:val="none" w:sz="0" w:space="0" w:color="auto"/>
        <w:bottom w:val="none" w:sz="0" w:space="0" w:color="auto"/>
        <w:right w:val="none" w:sz="0" w:space="0" w:color="auto"/>
      </w:divBdr>
      <w:divsChild>
        <w:div w:id="1532067139">
          <w:marLeft w:val="1138"/>
          <w:marRight w:val="0"/>
          <w:marTop w:val="0"/>
          <w:marBottom w:val="720"/>
          <w:divBdr>
            <w:top w:val="none" w:sz="0" w:space="0" w:color="auto"/>
            <w:left w:val="none" w:sz="0" w:space="0" w:color="auto"/>
            <w:bottom w:val="none" w:sz="0" w:space="0" w:color="auto"/>
            <w:right w:val="none" w:sz="0" w:space="0" w:color="auto"/>
          </w:divBdr>
        </w:div>
        <w:div w:id="1631551286">
          <w:marLeft w:val="1138"/>
          <w:marRight w:val="0"/>
          <w:marTop w:val="0"/>
          <w:marBottom w:val="720"/>
          <w:divBdr>
            <w:top w:val="none" w:sz="0" w:space="0" w:color="auto"/>
            <w:left w:val="none" w:sz="0" w:space="0" w:color="auto"/>
            <w:bottom w:val="none" w:sz="0" w:space="0" w:color="auto"/>
            <w:right w:val="none" w:sz="0" w:space="0" w:color="auto"/>
          </w:divBdr>
        </w:div>
        <w:div w:id="1328249906">
          <w:marLeft w:val="1138"/>
          <w:marRight w:val="0"/>
          <w:marTop w:val="0"/>
          <w:marBottom w:val="720"/>
          <w:divBdr>
            <w:top w:val="none" w:sz="0" w:space="0" w:color="auto"/>
            <w:left w:val="none" w:sz="0" w:space="0" w:color="auto"/>
            <w:bottom w:val="none" w:sz="0" w:space="0" w:color="auto"/>
            <w:right w:val="none" w:sz="0" w:space="0" w:color="auto"/>
          </w:divBdr>
        </w:div>
        <w:div w:id="1730877303">
          <w:marLeft w:val="1138"/>
          <w:marRight w:val="0"/>
          <w:marTop w:val="0"/>
          <w:marBottom w:val="720"/>
          <w:divBdr>
            <w:top w:val="none" w:sz="0" w:space="0" w:color="auto"/>
            <w:left w:val="none" w:sz="0" w:space="0" w:color="auto"/>
            <w:bottom w:val="none" w:sz="0" w:space="0" w:color="auto"/>
            <w:right w:val="none" w:sz="0" w:space="0" w:color="auto"/>
          </w:divBdr>
        </w:div>
        <w:div w:id="574975222">
          <w:marLeft w:val="1138"/>
          <w:marRight w:val="0"/>
          <w:marTop w:val="0"/>
          <w:marBottom w:val="720"/>
          <w:divBdr>
            <w:top w:val="none" w:sz="0" w:space="0" w:color="auto"/>
            <w:left w:val="none" w:sz="0" w:space="0" w:color="auto"/>
            <w:bottom w:val="none" w:sz="0" w:space="0" w:color="auto"/>
            <w:right w:val="none" w:sz="0" w:space="0" w:color="auto"/>
          </w:divBdr>
        </w:div>
      </w:divsChild>
    </w:div>
    <w:div w:id="1433278850">
      <w:bodyDiv w:val="1"/>
      <w:marLeft w:val="0"/>
      <w:marRight w:val="0"/>
      <w:marTop w:val="0"/>
      <w:marBottom w:val="0"/>
      <w:divBdr>
        <w:top w:val="none" w:sz="0" w:space="0" w:color="auto"/>
        <w:left w:val="none" w:sz="0" w:space="0" w:color="auto"/>
        <w:bottom w:val="none" w:sz="0" w:space="0" w:color="auto"/>
        <w:right w:val="none" w:sz="0" w:space="0" w:color="auto"/>
      </w:divBdr>
    </w:div>
    <w:div w:id="1457138324">
      <w:bodyDiv w:val="1"/>
      <w:marLeft w:val="0"/>
      <w:marRight w:val="0"/>
      <w:marTop w:val="0"/>
      <w:marBottom w:val="0"/>
      <w:divBdr>
        <w:top w:val="none" w:sz="0" w:space="0" w:color="auto"/>
        <w:left w:val="none" w:sz="0" w:space="0" w:color="auto"/>
        <w:bottom w:val="none" w:sz="0" w:space="0" w:color="auto"/>
        <w:right w:val="none" w:sz="0" w:space="0" w:color="auto"/>
      </w:divBdr>
      <w:divsChild>
        <w:div w:id="1418746218">
          <w:marLeft w:val="547"/>
          <w:marRight w:val="0"/>
          <w:marTop w:val="0"/>
          <w:marBottom w:val="0"/>
          <w:divBdr>
            <w:top w:val="none" w:sz="0" w:space="0" w:color="auto"/>
            <w:left w:val="none" w:sz="0" w:space="0" w:color="auto"/>
            <w:bottom w:val="none" w:sz="0" w:space="0" w:color="auto"/>
            <w:right w:val="none" w:sz="0" w:space="0" w:color="auto"/>
          </w:divBdr>
        </w:div>
      </w:divsChild>
    </w:div>
    <w:div w:id="1466006280">
      <w:bodyDiv w:val="1"/>
      <w:marLeft w:val="0"/>
      <w:marRight w:val="0"/>
      <w:marTop w:val="0"/>
      <w:marBottom w:val="0"/>
      <w:divBdr>
        <w:top w:val="none" w:sz="0" w:space="0" w:color="auto"/>
        <w:left w:val="none" w:sz="0" w:space="0" w:color="auto"/>
        <w:bottom w:val="none" w:sz="0" w:space="0" w:color="auto"/>
        <w:right w:val="none" w:sz="0" w:space="0" w:color="auto"/>
      </w:divBdr>
    </w:div>
    <w:div w:id="1482885494">
      <w:bodyDiv w:val="1"/>
      <w:marLeft w:val="0"/>
      <w:marRight w:val="0"/>
      <w:marTop w:val="0"/>
      <w:marBottom w:val="0"/>
      <w:divBdr>
        <w:top w:val="none" w:sz="0" w:space="0" w:color="auto"/>
        <w:left w:val="none" w:sz="0" w:space="0" w:color="auto"/>
        <w:bottom w:val="none" w:sz="0" w:space="0" w:color="auto"/>
        <w:right w:val="none" w:sz="0" w:space="0" w:color="auto"/>
      </w:divBdr>
      <w:divsChild>
        <w:div w:id="657422978">
          <w:marLeft w:val="1138"/>
          <w:marRight w:val="0"/>
          <w:marTop w:val="0"/>
          <w:marBottom w:val="600"/>
          <w:divBdr>
            <w:top w:val="none" w:sz="0" w:space="0" w:color="auto"/>
            <w:left w:val="none" w:sz="0" w:space="0" w:color="auto"/>
            <w:bottom w:val="none" w:sz="0" w:space="0" w:color="auto"/>
            <w:right w:val="none" w:sz="0" w:space="0" w:color="auto"/>
          </w:divBdr>
        </w:div>
        <w:div w:id="1909339521">
          <w:marLeft w:val="1138"/>
          <w:marRight w:val="0"/>
          <w:marTop w:val="0"/>
          <w:marBottom w:val="600"/>
          <w:divBdr>
            <w:top w:val="none" w:sz="0" w:space="0" w:color="auto"/>
            <w:left w:val="none" w:sz="0" w:space="0" w:color="auto"/>
            <w:bottom w:val="none" w:sz="0" w:space="0" w:color="auto"/>
            <w:right w:val="none" w:sz="0" w:space="0" w:color="auto"/>
          </w:divBdr>
        </w:div>
        <w:div w:id="1333950793">
          <w:marLeft w:val="1138"/>
          <w:marRight w:val="0"/>
          <w:marTop w:val="0"/>
          <w:marBottom w:val="600"/>
          <w:divBdr>
            <w:top w:val="none" w:sz="0" w:space="0" w:color="auto"/>
            <w:left w:val="none" w:sz="0" w:space="0" w:color="auto"/>
            <w:bottom w:val="none" w:sz="0" w:space="0" w:color="auto"/>
            <w:right w:val="none" w:sz="0" w:space="0" w:color="auto"/>
          </w:divBdr>
        </w:div>
        <w:div w:id="1068531690">
          <w:marLeft w:val="1138"/>
          <w:marRight w:val="0"/>
          <w:marTop w:val="0"/>
          <w:marBottom w:val="600"/>
          <w:divBdr>
            <w:top w:val="none" w:sz="0" w:space="0" w:color="auto"/>
            <w:left w:val="none" w:sz="0" w:space="0" w:color="auto"/>
            <w:bottom w:val="none" w:sz="0" w:space="0" w:color="auto"/>
            <w:right w:val="none" w:sz="0" w:space="0" w:color="auto"/>
          </w:divBdr>
        </w:div>
        <w:div w:id="1715351267">
          <w:marLeft w:val="1138"/>
          <w:marRight w:val="0"/>
          <w:marTop w:val="0"/>
          <w:marBottom w:val="600"/>
          <w:divBdr>
            <w:top w:val="none" w:sz="0" w:space="0" w:color="auto"/>
            <w:left w:val="none" w:sz="0" w:space="0" w:color="auto"/>
            <w:bottom w:val="none" w:sz="0" w:space="0" w:color="auto"/>
            <w:right w:val="none" w:sz="0" w:space="0" w:color="auto"/>
          </w:divBdr>
        </w:div>
      </w:divsChild>
    </w:div>
    <w:div w:id="1509561571">
      <w:bodyDiv w:val="1"/>
      <w:marLeft w:val="0"/>
      <w:marRight w:val="0"/>
      <w:marTop w:val="0"/>
      <w:marBottom w:val="0"/>
      <w:divBdr>
        <w:top w:val="none" w:sz="0" w:space="0" w:color="auto"/>
        <w:left w:val="none" w:sz="0" w:space="0" w:color="auto"/>
        <w:bottom w:val="none" w:sz="0" w:space="0" w:color="auto"/>
        <w:right w:val="none" w:sz="0" w:space="0" w:color="auto"/>
      </w:divBdr>
    </w:div>
    <w:div w:id="1521822039">
      <w:bodyDiv w:val="1"/>
      <w:marLeft w:val="0"/>
      <w:marRight w:val="0"/>
      <w:marTop w:val="0"/>
      <w:marBottom w:val="0"/>
      <w:divBdr>
        <w:top w:val="none" w:sz="0" w:space="0" w:color="auto"/>
        <w:left w:val="none" w:sz="0" w:space="0" w:color="auto"/>
        <w:bottom w:val="none" w:sz="0" w:space="0" w:color="auto"/>
        <w:right w:val="none" w:sz="0" w:space="0" w:color="auto"/>
      </w:divBdr>
    </w:div>
    <w:div w:id="1639452482">
      <w:bodyDiv w:val="1"/>
      <w:marLeft w:val="0"/>
      <w:marRight w:val="0"/>
      <w:marTop w:val="0"/>
      <w:marBottom w:val="0"/>
      <w:divBdr>
        <w:top w:val="none" w:sz="0" w:space="0" w:color="auto"/>
        <w:left w:val="none" w:sz="0" w:space="0" w:color="auto"/>
        <w:bottom w:val="none" w:sz="0" w:space="0" w:color="auto"/>
        <w:right w:val="none" w:sz="0" w:space="0" w:color="auto"/>
      </w:divBdr>
    </w:div>
    <w:div w:id="1649820150">
      <w:bodyDiv w:val="1"/>
      <w:marLeft w:val="0"/>
      <w:marRight w:val="0"/>
      <w:marTop w:val="0"/>
      <w:marBottom w:val="0"/>
      <w:divBdr>
        <w:top w:val="none" w:sz="0" w:space="0" w:color="auto"/>
        <w:left w:val="none" w:sz="0" w:space="0" w:color="auto"/>
        <w:bottom w:val="none" w:sz="0" w:space="0" w:color="auto"/>
        <w:right w:val="none" w:sz="0" w:space="0" w:color="auto"/>
      </w:divBdr>
    </w:div>
    <w:div w:id="1767115576">
      <w:bodyDiv w:val="1"/>
      <w:marLeft w:val="0"/>
      <w:marRight w:val="0"/>
      <w:marTop w:val="0"/>
      <w:marBottom w:val="0"/>
      <w:divBdr>
        <w:top w:val="none" w:sz="0" w:space="0" w:color="auto"/>
        <w:left w:val="none" w:sz="0" w:space="0" w:color="auto"/>
        <w:bottom w:val="none" w:sz="0" w:space="0" w:color="auto"/>
        <w:right w:val="none" w:sz="0" w:space="0" w:color="auto"/>
      </w:divBdr>
    </w:div>
    <w:div w:id="1784230455">
      <w:bodyDiv w:val="1"/>
      <w:marLeft w:val="0"/>
      <w:marRight w:val="0"/>
      <w:marTop w:val="0"/>
      <w:marBottom w:val="0"/>
      <w:divBdr>
        <w:top w:val="none" w:sz="0" w:space="0" w:color="auto"/>
        <w:left w:val="none" w:sz="0" w:space="0" w:color="auto"/>
        <w:bottom w:val="none" w:sz="0" w:space="0" w:color="auto"/>
        <w:right w:val="none" w:sz="0" w:space="0" w:color="auto"/>
      </w:divBdr>
    </w:div>
    <w:div w:id="1785685973">
      <w:bodyDiv w:val="1"/>
      <w:marLeft w:val="0"/>
      <w:marRight w:val="0"/>
      <w:marTop w:val="0"/>
      <w:marBottom w:val="0"/>
      <w:divBdr>
        <w:top w:val="none" w:sz="0" w:space="0" w:color="auto"/>
        <w:left w:val="none" w:sz="0" w:space="0" w:color="auto"/>
        <w:bottom w:val="none" w:sz="0" w:space="0" w:color="auto"/>
        <w:right w:val="none" w:sz="0" w:space="0" w:color="auto"/>
      </w:divBdr>
    </w:div>
    <w:div w:id="1844204921">
      <w:bodyDiv w:val="1"/>
      <w:marLeft w:val="0"/>
      <w:marRight w:val="0"/>
      <w:marTop w:val="0"/>
      <w:marBottom w:val="0"/>
      <w:divBdr>
        <w:top w:val="none" w:sz="0" w:space="0" w:color="auto"/>
        <w:left w:val="none" w:sz="0" w:space="0" w:color="auto"/>
        <w:bottom w:val="none" w:sz="0" w:space="0" w:color="auto"/>
        <w:right w:val="none" w:sz="0" w:space="0" w:color="auto"/>
      </w:divBdr>
    </w:div>
    <w:div w:id="1900362691">
      <w:bodyDiv w:val="1"/>
      <w:marLeft w:val="0"/>
      <w:marRight w:val="0"/>
      <w:marTop w:val="0"/>
      <w:marBottom w:val="0"/>
      <w:divBdr>
        <w:top w:val="none" w:sz="0" w:space="0" w:color="auto"/>
        <w:left w:val="none" w:sz="0" w:space="0" w:color="auto"/>
        <w:bottom w:val="none" w:sz="0" w:space="0" w:color="auto"/>
        <w:right w:val="none" w:sz="0" w:space="0" w:color="auto"/>
      </w:divBdr>
    </w:div>
    <w:div w:id="1915239028">
      <w:bodyDiv w:val="1"/>
      <w:marLeft w:val="0"/>
      <w:marRight w:val="0"/>
      <w:marTop w:val="0"/>
      <w:marBottom w:val="0"/>
      <w:divBdr>
        <w:top w:val="none" w:sz="0" w:space="0" w:color="auto"/>
        <w:left w:val="none" w:sz="0" w:space="0" w:color="auto"/>
        <w:bottom w:val="none" w:sz="0" w:space="0" w:color="auto"/>
        <w:right w:val="none" w:sz="0" w:space="0" w:color="auto"/>
      </w:divBdr>
    </w:div>
    <w:div w:id="1924753953">
      <w:bodyDiv w:val="1"/>
      <w:marLeft w:val="0"/>
      <w:marRight w:val="0"/>
      <w:marTop w:val="0"/>
      <w:marBottom w:val="0"/>
      <w:divBdr>
        <w:top w:val="none" w:sz="0" w:space="0" w:color="auto"/>
        <w:left w:val="none" w:sz="0" w:space="0" w:color="auto"/>
        <w:bottom w:val="none" w:sz="0" w:space="0" w:color="auto"/>
        <w:right w:val="none" w:sz="0" w:space="0" w:color="auto"/>
      </w:divBdr>
    </w:div>
    <w:div w:id="1972712708">
      <w:bodyDiv w:val="1"/>
      <w:marLeft w:val="0"/>
      <w:marRight w:val="0"/>
      <w:marTop w:val="0"/>
      <w:marBottom w:val="0"/>
      <w:divBdr>
        <w:top w:val="none" w:sz="0" w:space="0" w:color="auto"/>
        <w:left w:val="none" w:sz="0" w:space="0" w:color="auto"/>
        <w:bottom w:val="none" w:sz="0" w:space="0" w:color="auto"/>
        <w:right w:val="none" w:sz="0" w:space="0" w:color="auto"/>
      </w:divBdr>
    </w:div>
    <w:div w:id="2024621449">
      <w:bodyDiv w:val="1"/>
      <w:marLeft w:val="0"/>
      <w:marRight w:val="0"/>
      <w:marTop w:val="0"/>
      <w:marBottom w:val="0"/>
      <w:divBdr>
        <w:top w:val="none" w:sz="0" w:space="0" w:color="auto"/>
        <w:left w:val="none" w:sz="0" w:space="0" w:color="auto"/>
        <w:bottom w:val="none" w:sz="0" w:space="0" w:color="auto"/>
        <w:right w:val="none" w:sz="0" w:space="0" w:color="auto"/>
      </w:divBdr>
    </w:div>
    <w:div w:id="2029065229">
      <w:bodyDiv w:val="1"/>
      <w:marLeft w:val="0"/>
      <w:marRight w:val="0"/>
      <w:marTop w:val="0"/>
      <w:marBottom w:val="0"/>
      <w:divBdr>
        <w:top w:val="none" w:sz="0" w:space="0" w:color="auto"/>
        <w:left w:val="none" w:sz="0" w:space="0" w:color="auto"/>
        <w:bottom w:val="none" w:sz="0" w:space="0" w:color="auto"/>
        <w:right w:val="none" w:sz="0" w:space="0" w:color="auto"/>
      </w:divBdr>
      <w:divsChild>
        <w:div w:id="1100835191">
          <w:marLeft w:val="1138"/>
          <w:marRight w:val="0"/>
          <w:marTop w:val="0"/>
          <w:marBottom w:val="720"/>
          <w:divBdr>
            <w:top w:val="none" w:sz="0" w:space="0" w:color="auto"/>
            <w:left w:val="none" w:sz="0" w:space="0" w:color="auto"/>
            <w:bottom w:val="none" w:sz="0" w:space="0" w:color="auto"/>
            <w:right w:val="none" w:sz="0" w:space="0" w:color="auto"/>
          </w:divBdr>
        </w:div>
        <w:div w:id="1150829421">
          <w:marLeft w:val="1138"/>
          <w:marRight w:val="0"/>
          <w:marTop w:val="0"/>
          <w:marBottom w:val="720"/>
          <w:divBdr>
            <w:top w:val="none" w:sz="0" w:space="0" w:color="auto"/>
            <w:left w:val="none" w:sz="0" w:space="0" w:color="auto"/>
            <w:bottom w:val="none" w:sz="0" w:space="0" w:color="auto"/>
            <w:right w:val="none" w:sz="0" w:space="0" w:color="auto"/>
          </w:divBdr>
        </w:div>
        <w:div w:id="1130980293">
          <w:marLeft w:val="1138"/>
          <w:marRight w:val="0"/>
          <w:marTop w:val="0"/>
          <w:marBottom w:val="720"/>
          <w:divBdr>
            <w:top w:val="none" w:sz="0" w:space="0" w:color="auto"/>
            <w:left w:val="none" w:sz="0" w:space="0" w:color="auto"/>
            <w:bottom w:val="none" w:sz="0" w:space="0" w:color="auto"/>
            <w:right w:val="none" w:sz="0" w:space="0" w:color="auto"/>
          </w:divBdr>
        </w:div>
        <w:div w:id="41832520">
          <w:marLeft w:val="1138"/>
          <w:marRight w:val="0"/>
          <w:marTop w:val="0"/>
          <w:marBottom w:val="7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D:\RESPALDO%20ANA%20YANCI\LibreTransferencia%20reactivaci&#243;n%20setiembre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upen-my.sharepoint.com/personal/cespedesld_supen_fi_cr/Documents/SUPEN/InformeConassifSep2020/CarteraSep20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Sicere!$E$6</c:f>
              <c:strCache>
                <c:ptCount val="1"/>
                <c:pt idx="0">
                  <c:v>I TRIMESTRE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Sicere!$D$7:$D$8</c:f>
              <c:strCache>
                <c:ptCount val="2"/>
                <c:pt idx="0">
                  <c:v>ROP</c:v>
                </c:pt>
                <c:pt idx="1">
                  <c:v>FCL</c:v>
                </c:pt>
              </c:strCache>
            </c:strRef>
          </c:cat>
          <c:val>
            <c:numRef>
              <c:f>Sicere!$E$7:$E$8</c:f>
              <c:numCache>
                <c:formatCode>_-* #,##0_-;\-* #,##0_-;_-* "-"??_-;_-@_-</c:formatCode>
                <c:ptCount val="2"/>
                <c:pt idx="0">
                  <c:v>39506215358</c:v>
                </c:pt>
                <c:pt idx="1">
                  <c:v>92854997459</c:v>
                </c:pt>
              </c:numCache>
            </c:numRef>
          </c:val>
          <c:extLst>
            <c:ext xmlns:c16="http://schemas.microsoft.com/office/drawing/2014/chart" uri="{C3380CC4-5D6E-409C-BE32-E72D297353CC}">
              <c16:uniqueId val="{00000000-2B9B-4C21-9E52-9C0F2D249E22}"/>
            </c:ext>
          </c:extLst>
        </c:ser>
        <c:ser>
          <c:idx val="1"/>
          <c:order val="1"/>
          <c:tx>
            <c:strRef>
              <c:f>Sicere!$F$6</c:f>
              <c:strCache>
                <c:ptCount val="1"/>
                <c:pt idx="0">
                  <c:v>II TRIMESTRE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Sicere!$D$7:$D$8</c:f>
              <c:strCache>
                <c:ptCount val="2"/>
                <c:pt idx="0">
                  <c:v>ROP</c:v>
                </c:pt>
                <c:pt idx="1">
                  <c:v>FCL</c:v>
                </c:pt>
              </c:strCache>
            </c:strRef>
          </c:cat>
          <c:val>
            <c:numRef>
              <c:f>Sicere!$F$7:$F$8</c:f>
              <c:numCache>
                <c:formatCode>_-* #,##0_-;\-* #,##0_-;_-* "-"??_-;_-@_-</c:formatCode>
                <c:ptCount val="2"/>
                <c:pt idx="0">
                  <c:v>35402345978</c:v>
                </c:pt>
                <c:pt idx="1">
                  <c:v>80398149065</c:v>
                </c:pt>
              </c:numCache>
            </c:numRef>
          </c:val>
          <c:extLst>
            <c:ext xmlns:c16="http://schemas.microsoft.com/office/drawing/2014/chart" uri="{C3380CC4-5D6E-409C-BE32-E72D297353CC}">
              <c16:uniqueId val="{00000001-2B9B-4C21-9E52-9C0F2D249E22}"/>
            </c:ext>
          </c:extLst>
        </c:ser>
        <c:ser>
          <c:idx val="2"/>
          <c:order val="2"/>
          <c:tx>
            <c:strRef>
              <c:f>Sicere!$G$6</c:f>
              <c:strCache>
                <c:ptCount val="1"/>
                <c:pt idx="0">
                  <c:v>III TRIMESTRE</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Sicere!$D$7:$D$8</c:f>
              <c:strCache>
                <c:ptCount val="2"/>
                <c:pt idx="0">
                  <c:v>ROP</c:v>
                </c:pt>
                <c:pt idx="1">
                  <c:v>FCL</c:v>
                </c:pt>
              </c:strCache>
            </c:strRef>
          </c:cat>
          <c:val>
            <c:numRef>
              <c:f>Sicere!$G$7:$G$8</c:f>
              <c:numCache>
                <c:formatCode>_-* #,##0_-;\-* #,##0_-;_-* "-"??_-;_-@_-</c:formatCode>
                <c:ptCount val="2"/>
                <c:pt idx="0">
                  <c:v>33553621080</c:v>
                </c:pt>
                <c:pt idx="1">
                  <c:v>77652315026</c:v>
                </c:pt>
              </c:numCache>
            </c:numRef>
          </c:val>
          <c:extLst>
            <c:ext xmlns:c16="http://schemas.microsoft.com/office/drawing/2014/chart" uri="{C3380CC4-5D6E-409C-BE32-E72D297353CC}">
              <c16:uniqueId val="{00000002-2B9B-4C21-9E52-9C0F2D249E22}"/>
            </c:ext>
          </c:extLst>
        </c:ser>
        <c:dLbls>
          <c:showLegendKey val="0"/>
          <c:showVal val="0"/>
          <c:showCatName val="0"/>
          <c:showSerName val="0"/>
          <c:showPercent val="0"/>
          <c:showBubbleSize val="0"/>
        </c:dLbls>
        <c:gapWidth val="150"/>
        <c:axId val="541429887"/>
        <c:axId val="12435391"/>
      </c:barChart>
      <c:catAx>
        <c:axId val="541429887"/>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s-CR"/>
          </a:p>
        </c:txPr>
        <c:crossAx val="12435391"/>
        <c:crosses val="autoZero"/>
        <c:auto val="1"/>
        <c:lblAlgn val="ctr"/>
        <c:lblOffset val="100"/>
        <c:noMultiLvlLbl val="0"/>
      </c:catAx>
      <c:valAx>
        <c:axId val="12435391"/>
        <c:scaling>
          <c:orientation val="minMax"/>
        </c:scaling>
        <c:delete val="0"/>
        <c:axPos val="l"/>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41429887"/>
        <c:crosses val="autoZero"/>
        <c:crossBetween val="between"/>
        <c:dispUnits>
          <c:builtInUnit val="millions"/>
          <c:dispUnitsLbl>
            <c:layout>
              <c:manualLayout>
                <c:xMode val="edge"/>
                <c:yMode val="edge"/>
                <c:x val="2.206703357835646E-2"/>
                <c:y val="0.38072007804824043"/>
              </c:manualLayout>
            </c:layout>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s-CR"/>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sq" cmpd="sng" algn="ctr">
      <a:solidFill>
        <a:schemeClr val="tx1">
          <a:lumMod val="15000"/>
          <a:lumOff val="85000"/>
        </a:schemeClr>
      </a:solidFill>
      <a:miter lim="800000"/>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8370476093747"/>
          <c:y val="4.8661800486618008E-2"/>
          <c:w val="0.74097410430620814"/>
          <c:h val="0.55140995564008377"/>
        </c:manualLayout>
      </c:layout>
      <c:barChart>
        <c:barDir val="col"/>
        <c:grouping val="stacked"/>
        <c:varyColors val="0"/>
        <c:ser>
          <c:idx val="0"/>
          <c:order val="0"/>
          <c:tx>
            <c:strRef>
              <c:f>ActivoxTipoFon!$B$32</c:f>
              <c:strCache>
                <c:ptCount val="1"/>
                <c:pt idx="0">
                  <c:v>Regímenes Básicos Sustitutos</c:v>
                </c:pt>
              </c:strCache>
            </c:strRef>
          </c:tx>
          <c:spPr>
            <a:solidFill>
              <a:schemeClr val="accent1"/>
            </a:solidFill>
            <a:ln>
              <a:noFill/>
            </a:ln>
            <a:effectLst/>
          </c:spPr>
          <c:invertIfNegative val="0"/>
          <c:cat>
            <c:strRef>
              <c:f>ActivoxTipoFon!$A$33:$A$43</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ActivoxTipoFon!$B$33:$B$43</c:f>
              <c:numCache>
                <c:formatCode>_-* #,##0.0_-;\-* #,##0.0_-;_-* "-"??_-;_-@_-</c:formatCode>
                <c:ptCount val="11"/>
                <c:pt idx="0">
                  <c:v>0.88037330314799012</c:v>
                </c:pt>
                <c:pt idx="1">
                  <c:v>1.0429848027931201</c:v>
                </c:pt>
                <c:pt idx="2">
                  <c:v>1.23840305218469</c:v>
                </c:pt>
                <c:pt idx="3">
                  <c:v>1.43910679533172</c:v>
                </c:pt>
                <c:pt idx="4">
                  <c:v>1.6723162251665902</c:v>
                </c:pt>
                <c:pt idx="5">
                  <c:v>2.00195846850034</c:v>
                </c:pt>
                <c:pt idx="6">
                  <c:v>2.3342637255577601</c:v>
                </c:pt>
                <c:pt idx="7">
                  <c:v>2.6547632996576702</c:v>
                </c:pt>
                <c:pt idx="8">
                  <c:v>3.0031769200416898</c:v>
                </c:pt>
                <c:pt idx="9">
                  <c:v>3.6225673215315504</c:v>
                </c:pt>
                <c:pt idx="10">
                  <c:v>3.8487364491214198</c:v>
                </c:pt>
              </c:numCache>
            </c:numRef>
          </c:val>
          <c:extLst>
            <c:ext xmlns:c16="http://schemas.microsoft.com/office/drawing/2014/chart" uri="{C3380CC4-5D6E-409C-BE32-E72D297353CC}">
              <c16:uniqueId val="{00000000-BA33-4783-A505-043CBD382E31}"/>
            </c:ext>
          </c:extLst>
        </c:ser>
        <c:ser>
          <c:idx val="1"/>
          <c:order val="1"/>
          <c:tx>
            <c:strRef>
              <c:f>ActivoxTipoFon!$C$32</c:f>
              <c:strCache>
                <c:ptCount val="1"/>
                <c:pt idx="0">
                  <c:v>Planes Ocupacionales Complementarios</c:v>
                </c:pt>
              </c:strCache>
            </c:strRef>
          </c:tx>
          <c:spPr>
            <a:solidFill>
              <a:schemeClr val="accent2"/>
            </a:solidFill>
            <a:ln>
              <a:noFill/>
            </a:ln>
            <a:effectLst/>
          </c:spPr>
          <c:invertIfNegative val="0"/>
          <c:cat>
            <c:strRef>
              <c:f>ActivoxTipoFon!$A$33:$A$43</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ActivoxTipoFon!$C$33:$C$43</c:f>
              <c:numCache>
                <c:formatCode>_-* #,##0.0_-;\-* #,##0.0_-;_-* "-"??_-;_-@_-</c:formatCode>
                <c:ptCount val="11"/>
                <c:pt idx="0">
                  <c:v>0.44127581254288001</c:v>
                </c:pt>
                <c:pt idx="1">
                  <c:v>0.50070804437267002</c:v>
                </c:pt>
                <c:pt idx="2">
                  <c:v>0.54788500003783003</c:v>
                </c:pt>
                <c:pt idx="3">
                  <c:v>0.62232204967185001</c:v>
                </c:pt>
                <c:pt idx="4">
                  <c:v>0.67686945057893999</c:v>
                </c:pt>
                <c:pt idx="5">
                  <c:v>0.74383261028803993</c:v>
                </c:pt>
                <c:pt idx="6">
                  <c:v>0.78788628585081999</c:v>
                </c:pt>
                <c:pt idx="7">
                  <c:v>0.79824832826771996</c:v>
                </c:pt>
                <c:pt idx="8">
                  <c:v>0.82641658157190989</c:v>
                </c:pt>
                <c:pt idx="9">
                  <c:v>0.90873995754376002</c:v>
                </c:pt>
                <c:pt idx="10">
                  <c:v>0.93154405828289999</c:v>
                </c:pt>
              </c:numCache>
            </c:numRef>
          </c:val>
          <c:extLst>
            <c:ext xmlns:c16="http://schemas.microsoft.com/office/drawing/2014/chart" uri="{C3380CC4-5D6E-409C-BE32-E72D297353CC}">
              <c16:uniqueId val="{00000001-BA33-4783-A505-043CBD382E31}"/>
            </c:ext>
          </c:extLst>
        </c:ser>
        <c:ser>
          <c:idx val="2"/>
          <c:order val="2"/>
          <c:tx>
            <c:strRef>
              <c:f>ActivoxTipoFon!$D$32</c:f>
              <c:strCache>
                <c:ptCount val="1"/>
                <c:pt idx="0">
                  <c:v>Régimen Obligario Complementario</c:v>
                </c:pt>
              </c:strCache>
            </c:strRef>
          </c:tx>
          <c:spPr>
            <a:solidFill>
              <a:schemeClr val="accent3"/>
            </a:solidFill>
            <a:ln>
              <a:noFill/>
            </a:ln>
            <a:effectLst/>
          </c:spPr>
          <c:invertIfNegative val="0"/>
          <c:cat>
            <c:strRef>
              <c:f>ActivoxTipoFon!$A$33:$A$43</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ActivoxTipoFon!$D$33:$D$43</c:f>
              <c:numCache>
                <c:formatCode>_-* #,##0.0_-;\-* #,##0.0_-;_-* "-"??_-;_-@_-</c:formatCode>
                <c:ptCount val="11"/>
                <c:pt idx="0">
                  <c:v>1.4568919565431799</c:v>
                </c:pt>
                <c:pt idx="1">
                  <c:v>1.8055407988371301</c:v>
                </c:pt>
                <c:pt idx="2">
                  <c:v>2.22898511556757</c:v>
                </c:pt>
                <c:pt idx="3">
                  <c:v>2.7433472076480796</c:v>
                </c:pt>
                <c:pt idx="4">
                  <c:v>3.2168575319971304</c:v>
                </c:pt>
                <c:pt idx="5">
                  <c:v>3.87641127595831</c:v>
                </c:pt>
                <c:pt idx="6">
                  <c:v>4.4579054772766105</c:v>
                </c:pt>
                <c:pt idx="7">
                  <c:v>5.0534913627572404</c:v>
                </c:pt>
                <c:pt idx="8">
                  <c:v>5.6668539109234404</c:v>
                </c:pt>
                <c:pt idx="9">
                  <c:v>6.8508475886768601</c:v>
                </c:pt>
                <c:pt idx="10">
                  <c:v>7.4187229202812004</c:v>
                </c:pt>
              </c:numCache>
            </c:numRef>
          </c:val>
          <c:extLst>
            <c:ext xmlns:c16="http://schemas.microsoft.com/office/drawing/2014/chart" uri="{C3380CC4-5D6E-409C-BE32-E72D297353CC}">
              <c16:uniqueId val="{00000002-BA33-4783-A505-043CBD382E31}"/>
            </c:ext>
          </c:extLst>
        </c:ser>
        <c:ser>
          <c:idx val="3"/>
          <c:order val="3"/>
          <c:tx>
            <c:strRef>
              <c:f>ActivoxTipoFon!$E$32</c:f>
              <c:strCache>
                <c:ptCount val="1"/>
                <c:pt idx="0">
                  <c:v>Planes Voluntarios</c:v>
                </c:pt>
              </c:strCache>
            </c:strRef>
          </c:tx>
          <c:spPr>
            <a:solidFill>
              <a:schemeClr val="accent4"/>
            </a:solidFill>
            <a:ln>
              <a:noFill/>
            </a:ln>
            <a:effectLst/>
          </c:spPr>
          <c:invertIfNegative val="0"/>
          <c:cat>
            <c:strRef>
              <c:f>ActivoxTipoFon!$A$33:$A$43</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ActivoxTipoFon!$E$33:$E$43</c:f>
              <c:numCache>
                <c:formatCode>_-* #,##0.0_-;\-* #,##0.0_-;_-* "-"??_-;_-@_-</c:formatCode>
                <c:ptCount val="11"/>
                <c:pt idx="0">
                  <c:v>0.17195749478047295</c:v>
                </c:pt>
                <c:pt idx="1">
                  <c:v>0.17952226052714107</c:v>
                </c:pt>
                <c:pt idx="2">
                  <c:v>0.18462721917343405</c:v>
                </c:pt>
                <c:pt idx="3">
                  <c:v>0.20362797783182987</c:v>
                </c:pt>
                <c:pt idx="4">
                  <c:v>0.21923935125043525</c:v>
                </c:pt>
                <c:pt idx="5">
                  <c:v>0.25086128230229521</c:v>
                </c:pt>
                <c:pt idx="6">
                  <c:v>0.28851913269344537</c:v>
                </c:pt>
                <c:pt idx="7">
                  <c:v>0.31846053929418322</c:v>
                </c:pt>
                <c:pt idx="8">
                  <c:v>0.3419950561601765</c:v>
                </c:pt>
                <c:pt idx="9">
                  <c:v>0.39361887619519653</c:v>
                </c:pt>
                <c:pt idx="10">
                  <c:v>0.41782915954315997</c:v>
                </c:pt>
              </c:numCache>
            </c:numRef>
          </c:val>
          <c:extLst>
            <c:ext xmlns:c16="http://schemas.microsoft.com/office/drawing/2014/chart" uri="{C3380CC4-5D6E-409C-BE32-E72D297353CC}">
              <c16:uniqueId val="{00000003-BA33-4783-A505-043CBD382E31}"/>
            </c:ext>
          </c:extLst>
        </c:ser>
        <c:ser>
          <c:idx val="4"/>
          <c:order val="4"/>
          <c:tx>
            <c:strRef>
              <c:f>ActivoxTipoFon!$F$32</c:f>
              <c:strCache>
                <c:ptCount val="1"/>
                <c:pt idx="0">
                  <c:v>Fondo de Capitalización laboral</c:v>
                </c:pt>
              </c:strCache>
            </c:strRef>
          </c:tx>
          <c:spPr>
            <a:solidFill>
              <a:schemeClr val="accent5"/>
            </a:solidFill>
            <a:ln>
              <a:noFill/>
            </a:ln>
            <a:effectLst/>
          </c:spPr>
          <c:invertIfNegative val="0"/>
          <c:cat>
            <c:strRef>
              <c:f>ActivoxTipoFon!$A$33:$A$43</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ActivoxTipoFon!$F$33:$F$43</c:f>
              <c:numCache>
                <c:formatCode>_-* #,##0.0_-;\-* #,##0.0_-;_-* "-"??_-;_-@_-</c:formatCode>
                <c:ptCount val="11"/>
                <c:pt idx="0">
                  <c:v>0.37758497349278997</c:v>
                </c:pt>
                <c:pt idx="1">
                  <c:v>0.30237424868655</c:v>
                </c:pt>
                <c:pt idx="2">
                  <c:v>0.37924599498111999</c:v>
                </c:pt>
                <c:pt idx="3">
                  <c:v>0.46087351818978001</c:v>
                </c:pt>
                <c:pt idx="4">
                  <c:v>0.5317262203373001</c:v>
                </c:pt>
                <c:pt idx="5">
                  <c:v>0.62663351038924997</c:v>
                </c:pt>
                <c:pt idx="6">
                  <c:v>0.49952520989501004</c:v>
                </c:pt>
                <c:pt idx="7">
                  <c:v>0.56977895297608994</c:v>
                </c:pt>
                <c:pt idx="8">
                  <c:v>0.62508713847675001</c:v>
                </c:pt>
                <c:pt idx="9">
                  <c:v>0.72465513350761002</c:v>
                </c:pt>
                <c:pt idx="10">
                  <c:v>0.66574378941863999</c:v>
                </c:pt>
              </c:numCache>
            </c:numRef>
          </c:val>
          <c:extLst>
            <c:ext xmlns:c16="http://schemas.microsoft.com/office/drawing/2014/chart" uri="{C3380CC4-5D6E-409C-BE32-E72D297353CC}">
              <c16:uniqueId val="{00000004-BA33-4783-A505-043CBD382E31}"/>
            </c:ext>
          </c:extLst>
        </c:ser>
        <c:ser>
          <c:idx val="6"/>
          <c:order val="5"/>
          <c:tx>
            <c:strRef>
              <c:f>ActivoxTipoFon!$G$32</c:f>
              <c:strCache>
                <c:ptCount val="1"/>
                <c:pt idx="0">
                  <c:v>Régimen Básico</c:v>
                </c:pt>
              </c:strCache>
            </c:strRef>
          </c:tx>
          <c:spPr>
            <a:solidFill>
              <a:schemeClr val="accent1">
                <a:lumMod val="60000"/>
              </a:schemeClr>
            </a:solidFill>
            <a:ln>
              <a:noFill/>
            </a:ln>
            <a:effectLst/>
          </c:spPr>
          <c:invertIfNegative val="0"/>
          <c:cat>
            <c:strRef>
              <c:f>ActivoxTipoFon!$A$33:$A$43</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ActivoxTipoFon!$G$33:$G$43</c:f>
              <c:numCache>
                <c:formatCode>_-* #,##0.0_-;\-* #,##0.0_-;_-* "-"??_-;_-@_-</c:formatCode>
                <c:ptCount val="11"/>
                <c:pt idx="0">
                  <c:v>1.4729985092146101</c:v>
                </c:pt>
                <c:pt idx="1">
                  <c:v>1.6342733009999999</c:v>
                </c:pt>
                <c:pt idx="2">
                  <c:v>1.7682857299999999</c:v>
                </c:pt>
                <c:pt idx="3">
                  <c:v>1.8846139</c:v>
                </c:pt>
                <c:pt idx="4">
                  <c:v>1.9898470124800001</c:v>
                </c:pt>
                <c:pt idx="5">
                  <c:v>2.0740344951358001</c:v>
                </c:pt>
                <c:pt idx="6">
                  <c:v>2.2244389324399001</c:v>
                </c:pt>
                <c:pt idx="7">
                  <c:v>2.4159253760000001</c:v>
                </c:pt>
                <c:pt idx="8">
                  <c:v>2.7003552487618099</c:v>
                </c:pt>
                <c:pt idx="9">
                  <c:v>2.9214915709656499</c:v>
                </c:pt>
                <c:pt idx="10">
                  <c:v>3.0682076621427998</c:v>
                </c:pt>
              </c:numCache>
            </c:numRef>
          </c:val>
          <c:extLst>
            <c:ext xmlns:c16="http://schemas.microsoft.com/office/drawing/2014/chart" uri="{C3380CC4-5D6E-409C-BE32-E72D297353CC}">
              <c16:uniqueId val="{00000005-BA33-4783-A505-043CBD382E31}"/>
            </c:ext>
          </c:extLst>
        </c:ser>
        <c:dLbls>
          <c:showLegendKey val="0"/>
          <c:showVal val="0"/>
          <c:showCatName val="0"/>
          <c:showSerName val="0"/>
          <c:showPercent val="0"/>
          <c:showBubbleSize val="0"/>
        </c:dLbls>
        <c:gapWidth val="75"/>
        <c:overlap val="100"/>
        <c:axId val="1185764736"/>
        <c:axId val="1767790496"/>
      </c:barChart>
      <c:lineChart>
        <c:grouping val="stacked"/>
        <c:varyColors val="0"/>
        <c:ser>
          <c:idx val="5"/>
          <c:order val="6"/>
          <c:tx>
            <c:strRef>
              <c:f>ActivoxTipoFon!$K$32</c:f>
              <c:strCache>
                <c:ptCount val="1"/>
                <c:pt idx="0">
                  <c:v>% del PIB</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0"/>
              <c:layout>
                <c:manualLayout>
                  <c:x val="-2.7210880466958721E-2"/>
                  <c:y val="-4.74777448071216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A33-4783-A505-043CBD382E31}"/>
                </c:ext>
              </c:extLst>
            </c:dLbl>
            <c:dLbl>
              <c:idx val="1"/>
              <c:layout>
                <c:manualLayout>
                  <c:x val="-2.9024939164755955E-2"/>
                  <c:y val="-3.9564787339268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A33-4783-A505-043CBD382E31}"/>
                </c:ext>
              </c:extLst>
            </c:dLbl>
            <c:dLbl>
              <c:idx val="2"/>
              <c:layout>
                <c:manualLayout>
                  <c:x val="-3.8095232653742192E-2"/>
                  <c:y val="-4.35212660731948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A33-4783-A505-043CBD382E31}"/>
                </c:ext>
              </c:extLst>
            </c:dLbl>
            <c:dLbl>
              <c:idx val="3"/>
              <c:layout>
                <c:manualLayout>
                  <c:x val="-3.8095232653742254E-2"/>
                  <c:y val="-3.5608308605341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A33-4783-A505-043CBD382E31}"/>
                </c:ext>
              </c:extLst>
            </c:dLbl>
            <c:dLbl>
              <c:idx val="4"/>
              <c:layout>
                <c:manualLayout>
                  <c:x val="-3.0838997862553199E-2"/>
                  <c:y val="-4.35212486737030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A33-4783-A505-043CBD382E31}"/>
                </c:ext>
              </c:extLst>
            </c:dLbl>
            <c:dLbl>
              <c:idx val="5"/>
              <c:layout>
                <c:manualLayout>
                  <c:x val="-3.2653056560350446E-2"/>
                  <c:y val="-4.35212660731948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A33-4783-A505-043CBD382E31}"/>
                </c:ext>
              </c:extLst>
            </c:dLbl>
            <c:dLbl>
              <c:idx val="6"/>
              <c:layout>
                <c:manualLayout>
                  <c:x val="-2.9024939164755955E-2"/>
                  <c:y val="-4.74777448071216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A33-4783-A505-043CBD382E31}"/>
                </c:ext>
              </c:extLst>
            </c:dLbl>
            <c:dLbl>
              <c:idx val="7"/>
              <c:layout>
                <c:manualLayout>
                  <c:x val="-3.7627781252394368E-2"/>
                  <c:y val="-3.86302243075620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A33-4783-A505-043CBD382E31}"/>
                </c:ext>
              </c:extLst>
            </c:dLbl>
            <c:dLbl>
              <c:idx val="8"/>
              <c:layout>
                <c:manualLayout>
                  <c:x val="-3.9441887483005644E-2"/>
                  <c:y val="-3.90973357925481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A33-4783-A505-043CBD382E31}"/>
                </c:ext>
              </c:extLst>
            </c:dLbl>
            <c:dLbl>
              <c:idx val="9"/>
              <c:layout>
                <c:manualLayout>
                  <c:x val="-4.8493709162118565E-2"/>
                  <c:y val="-3.419562601124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A33-4783-A505-043CBD382E31}"/>
                </c:ext>
              </c:extLst>
            </c:dLbl>
            <c:dLbl>
              <c:idx val="10"/>
              <c:layout>
                <c:manualLayout>
                  <c:x val="-3.7178932063227497E-2"/>
                  <c:y val="-2.83109269602746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A33-4783-A505-043CBD382E3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ActivoxTipoFon!$A$33:$A$43</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ActivoxTipoFon!$K$33:$K$43</c:f>
              <c:numCache>
                <c:formatCode>0.0%</c:formatCode>
                <c:ptCount val="11"/>
                <c:pt idx="0">
                  <c:v>0.24499145599009536</c:v>
                </c:pt>
                <c:pt idx="1">
                  <c:v>0.25574243902643268</c:v>
                </c:pt>
                <c:pt idx="2">
                  <c:v>0.27158965671396729</c:v>
                </c:pt>
                <c:pt idx="3">
                  <c:v>0.29580097989038912</c:v>
                </c:pt>
                <c:pt idx="4">
                  <c:v>0.30509756321279607</c:v>
                </c:pt>
                <c:pt idx="5">
                  <c:v>0.3269563739883754</c:v>
                </c:pt>
                <c:pt idx="6">
                  <c:v>0.34019999844597487</c:v>
                </c:pt>
                <c:pt idx="7">
                  <c:v>0.35585854821046636</c:v>
                </c:pt>
                <c:pt idx="8">
                  <c:v>0.37677912323194168</c:v>
                </c:pt>
                <c:pt idx="9">
                  <c:v>0.42489756548833979</c:v>
                </c:pt>
                <c:pt idx="10">
                  <c:v>0.47435859736951153</c:v>
                </c:pt>
              </c:numCache>
            </c:numRef>
          </c:val>
          <c:smooth val="0"/>
          <c:extLst>
            <c:ext xmlns:c16="http://schemas.microsoft.com/office/drawing/2014/chart" uri="{C3380CC4-5D6E-409C-BE32-E72D297353CC}">
              <c16:uniqueId val="{00000011-BA33-4783-A505-043CBD382E31}"/>
            </c:ext>
          </c:extLst>
        </c:ser>
        <c:dLbls>
          <c:showLegendKey val="0"/>
          <c:showVal val="0"/>
          <c:showCatName val="0"/>
          <c:showSerName val="0"/>
          <c:showPercent val="0"/>
          <c:showBubbleSize val="0"/>
        </c:dLbls>
        <c:marker val="1"/>
        <c:smooth val="0"/>
        <c:axId val="1933359712"/>
        <c:axId val="1597076160"/>
      </c:lineChart>
      <c:catAx>
        <c:axId val="11857647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Año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767790496"/>
        <c:crosses val="autoZero"/>
        <c:auto val="1"/>
        <c:lblAlgn val="ctr"/>
        <c:lblOffset val="100"/>
        <c:noMultiLvlLbl val="0"/>
      </c:catAx>
      <c:valAx>
        <c:axId val="176779049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Activo en billones de colones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185764736"/>
        <c:crosses val="autoZero"/>
        <c:crossBetween val="between"/>
      </c:valAx>
      <c:valAx>
        <c:axId val="15970761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33359712"/>
        <c:crosses val="max"/>
        <c:crossBetween val="between"/>
      </c:valAx>
      <c:catAx>
        <c:axId val="1933359712"/>
        <c:scaling>
          <c:orientation val="minMax"/>
        </c:scaling>
        <c:delete val="1"/>
        <c:axPos val="b"/>
        <c:numFmt formatCode="General" sourceLinked="1"/>
        <c:majorTickMark val="out"/>
        <c:minorTickMark val="none"/>
        <c:tickLblPos val="nextTo"/>
        <c:crossAx val="1597076160"/>
        <c:crosses val="autoZero"/>
        <c:auto val="1"/>
        <c:lblAlgn val="ctr"/>
        <c:lblOffset val="100"/>
        <c:noMultiLvlLbl val="0"/>
      </c:catAx>
      <c:spPr>
        <a:noFill/>
        <a:ln>
          <a:noFill/>
        </a:ln>
        <a:effectLst/>
      </c:spPr>
    </c:plotArea>
    <c:legend>
      <c:legendPos val="b"/>
      <c:layout>
        <c:manualLayout>
          <c:xMode val="edge"/>
          <c:yMode val="edge"/>
          <c:x val="7.862044692692742E-2"/>
          <c:y val="0.71513166195471856"/>
          <c:w val="0.83187475395936161"/>
          <c:h val="0.2611294656417206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4117C8289EC6846922D7AD0AE758DB1" ma:contentTypeVersion="15" ma:contentTypeDescription="Crear nuevo documento." ma:contentTypeScope="" ma:versionID="b63f3bcf0276a04e22e39c3f0d1614ce">
  <xsd:schema xmlns:xsd="http://www.w3.org/2001/XMLSchema" xmlns:xs="http://www.w3.org/2001/XMLSchema" xmlns:p="http://schemas.microsoft.com/office/2006/metadata/properties" xmlns:ns3="e142e62d-f4b1-4a71-b622-57f775f2bca3" xmlns:ns4="bd473624-898d-45c1-9f2f-d8e776dc9725" targetNamespace="http://schemas.microsoft.com/office/2006/metadata/properties" ma:root="true" ma:fieldsID="aa729d9a8929a85eaaff3f24f849356d" ns3:_="" ns4:_="">
    <xsd:import namespace="e142e62d-f4b1-4a71-b622-57f775f2bca3"/>
    <xsd:import namespace="bd473624-898d-45c1-9f2f-d8e776dc972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2e62d-f4b1-4a71-b622-57f775f2bca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d473624-898d-45c1-9f2f-d8e776dc972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65F07-94A6-4D63-BEAE-C6F8C3DF1112}">
  <ds:schemaRefs>
    <ds:schemaRef ds:uri="http://schemas.microsoft.com/sharepoint/v3/contenttype/forms"/>
  </ds:schemaRefs>
</ds:datastoreItem>
</file>

<file path=customXml/itemProps2.xml><?xml version="1.0" encoding="utf-8"?>
<ds:datastoreItem xmlns:ds="http://schemas.openxmlformats.org/officeDocument/2006/customXml" ds:itemID="{F85B4269-2719-4891-AB1A-558B33340D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993305-FD24-4F99-8605-167285347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2e62d-f4b1-4a71-b622-57f775f2bca3"/>
    <ds:schemaRef ds:uri="bd473624-898d-45c1-9f2f-d8e776dc9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E70100-5F40-41B5-BA51-F06AB7C1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4986</Words>
  <Characters>27425</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InformeCoyunturaSep2020.docx</vt:lpstr>
    </vt:vector>
  </TitlesOfParts>
  <Company/>
  <LinksUpToDate>false</LinksUpToDate>
  <CharactersWithSpaces>32347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InformeCoyunturaSep2020.docx</dc:title>
  <dc:subject/>
  <dc:creator>CESPEDES LOPEZ DAISY</dc:creator>
  <cp:keywords/>
  <dc:description/>
  <cp:lastModifiedBy>ARIAS GONZALEZ JOSE EZEQUIEL</cp:lastModifiedBy>
  <cp:revision>7</cp:revision>
  <dcterms:created xsi:type="dcterms:W3CDTF">2021-02-12T22:23:00Z</dcterms:created>
  <dcterms:modified xsi:type="dcterms:W3CDTF">2021-02-12T22:25:00Z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0x010100F4117C8289EC6846922D7AD0AE758DB1</vt:lpwstr>
  </property>
</Properties>
</file>