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4FD7" w14:textId="77777777" w:rsidR="00A36F2D" w:rsidRPr="00F81CB3" w:rsidRDefault="00A36F2D" w:rsidP="00A36F2D">
      <w:pPr>
        <w:spacing w:line="240" w:lineRule="auto"/>
        <w:jc w:val="center"/>
        <w:rPr>
          <w:rFonts w:ascii="Segoe UI" w:hAnsi="Segoe UI" w:cs="Segoe UI"/>
          <w:noProof/>
        </w:rPr>
      </w:pPr>
      <w:bookmarkStart w:id="0" w:name="_Hlk8031810"/>
      <w:bookmarkEnd w:id="0"/>
      <w:r w:rsidRPr="00F81CB3">
        <w:rPr>
          <w:rFonts w:ascii="Segoe UI" w:hAnsi="Segoe UI" w:cs="Segoe UI"/>
          <w:noProof/>
          <w:lang w:val="es-CR" w:eastAsia="es-CR"/>
        </w:rPr>
        <mc:AlternateContent>
          <mc:Choice Requires="wps">
            <w:drawing>
              <wp:anchor distT="0" distB="0" distL="457200" distR="118745" simplePos="0" relativeHeight="251659264" behindDoc="0" locked="0" layoutInCell="0" allowOverlap="1" wp14:anchorId="56844C46" wp14:editId="2C6EEC14">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6FCAD4CD"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5352C152"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28CF4294"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3239EECC" w14:textId="5AC1B7A2" w:rsidR="00BB605A" w:rsidRPr="00007611" w:rsidRDefault="00697376" w:rsidP="00A36F2D">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 xml:space="preserve">EXTRACTO DE </w:t>
                            </w:r>
                            <w:r w:rsidR="00BB605A" w:rsidRPr="00007611">
                              <w:rPr>
                                <w:rFonts w:asciiTheme="majorHAnsi" w:eastAsiaTheme="majorEastAsia" w:hAnsiTheme="majorHAnsi" w:cstheme="majorBidi"/>
                                <w:b/>
                                <w:sz w:val="36"/>
                                <w:szCs w:val="40"/>
                              </w:rPr>
                              <w:t>INFORME DE COYUNTURA Y</w:t>
                            </w:r>
                            <w:r w:rsidR="00BB605A">
                              <w:rPr>
                                <w:rFonts w:asciiTheme="majorHAnsi" w:eastAsiaTheme="majorEastAsia" w:hAnsiTheme="majorHAnsi" w:cstheme="majorBidi"/>
                                <w:b/>
                                <w:sz w:val="36"/>
                                <w:szCs w:val="40"/>
                              </w:rPr>
                              <w:t xml:space="preserve"> </w:t>
                            </w:r>
                            <w:r w:rsidR="00BB605A" w:rsidRPr="00007611">
                              <w:rPr>
                                <w:rFonts w:asciiTheme="majorHAnsi" w:eastAsiaTheme="majorEastAsia" w:hAnsiTheme="majorHAnsi" w:cstheme="majorBidi"/>
                                <w:b/>
                                <w:sz w:val="36"/>
                                <w:szCs w:val="40"/>
                              </w:rPr>
                              <w:t>SUPERVISIÓN</w:t>
                            </w:r>
                          </w:p>
                          <w:p w14:paraId="738AE970"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32"/>
                                <w:szCs w:val="40"/>
                              </w:rPr>
                            </w:pPr>
                          </w:p>
                          <w:p w14:paraId="332A6C05" w14:textId="77777777" w:rsidR="00BB605A" w:rsidRPr="00C26828" w:rsidRDefault="00BB605A" w:rsidP="00A36F2D">
                            <w:pPr>
                              <w:pBdr>
                                <w:left w:val="single" w:sz="4" w:space="9" w:color="4F81BD" w:themeColor="accent1"/>
                              </w:pBdr>
                              <w:rPr>
                                <w:rFonts w:asciiTheme="majorHAnsi" w:eastAsiaTheme="majorEastAsia" w:hAnsiTheme="majorHAnsi" w:cstheme="majorBidi"/>
                                <w:sz w:val="32"/>
                                <w:szCs w:val="40"/>
                              </w:rPr>
                            </w:pPr>
                          </w:p>
                          <w:p w14:paraId="7D7EB8E1" w14:textId="77777777" w:rsidR="00BB605A" w:rsidRPr="00AC2538" w:rsidRDefault="00BB605A" w:rsidP="00A36F2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0187915E" w14:textId="77777777" w:rsidR="00BB605A" w:rsidRPr="00AC2538" w:rsidRDefault="00BB605A" w:rsidP="00A36F2D">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Segundo</w:t>
                            </w:r>
                            <w:r w:rsidRPr="00AC2538">
                              <w:rPr>
                                <w:rFonts w:asciiTheme="majorHAnsi" w:eastAsiaTheme="majorEastAsia" w:hAnsiTheme="majorHAnsi" w:cstheme="majorBidi"/>
                                <w:sz w:val="32"/>
                                <w:szCs w:val="40"/>
                              </w:rPr>
                              <w:t xml:space="preserve"> Trimestre</w:t>
                            </w:r>
                          </w:p>
                          <w:p w14:paraId="48E07FEA" w14:textId="77777777" w:rsidR="00BB605A" w:rsidRPr="00AC2538" w:rsidRDefault="00BB605A" w:rsidP="00A36F2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679819C2" w14:textId="77777777" w:rsidR="00BB605A" w:rsidRPr="00AC2538" w:rsidRDefault="00BB605A" w:rsidP="00A36F2D">
                            <w:pPr>
                              <w:pBdr>
                                <w:left w:val="single" w:sz="4" w:space="9" w:color="4F81BD" w:themeColor="accent1"/>
                              </w:pBdr>
                              <w:spacing w:after="0" w:line="240" w:lineRule="auto"/>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44C46" id="Autoforma 14" o:spid="_x0000_s1026" style="position:absolute;left:0;text-align:left;margin-left:112.95pt;margin-top:.4pt;width:378.75pt;height:600.4pt;z-index:251659264;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6FCAD4CD"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5352C152"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28CF4294"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40"/>
                          <w:szCs w:val="40"/>
                        </w:rPr>
                      </w:pPr>
                    </w:p>
                    <w:p w14:paraId="3239EECC" w14:textId="5AC1B7A2" w:rsidR="00BB605A" w:rsidRPr="00007611" w:rsidRDefault="00697376" w:rsidP="00A36F2D">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 xml:space="preserve">EXTRACTO DE </w:t>
                      </w:r>
                      <w:r w:rsidR="00BB605A" w:rsidRPr="00007611">
                        <w:rPr>
                          <w:rFonts w:asciiTheme="majorHAnsi" w:eastAsiaTheme="majorEastAsia" w:hAnsiTheme="majorHAnsi" w:cstheme="majorBidi"/>
                          <w:b/>
                          <w:sz w:val="36"/>
                          <w:szCs w:val="40"/>
                        </w:rPr>
                        <w:t>INFORME DE COYUNTURA Y</w:t>
                      </w:r>
                      <w:r w:rsidR="00BB605A">
                        <w:rPr>
                          <w:rFonts w:asciiTheme="majorHAnsi" w:eastAsiaTheme="majorEastAsia" w:hAnsiTheme="majorHAnsi" w:cstheme="majorBidi"/>
                          <w:b/>
                          <w:sz w:val="36"/>
                          <w:szCs w:val="40"/>
                        </w:rPr>
                        <w:t xml:space="preserve"> </w:t>
                      </w:r>
                      <w:r w:rsidR="00BB605A" w:rsidRPr="00007611">
                        <w:rPr>
                          <w:rFonts w:asciiTheme="majorHAnsi" w:eastAsiaTheme="majorEastAsia" w:hAnsiTheme="majorHAnsi" w:cstheme="majorBidi"/>
                          <w:b/>
                          <w:sz w:val="36"/>
                          <w:szCs w:val="40"/>
                        </w:rPr>
                        <w:t>SUPERVISIÓN</w:t>
                      </w:r>
                    </w:p>
                    <w:p w14:paraId="738AE970" w14:textId="77777777" w:rsidR="00BB605A" w:rsidRPr="00C26828" w:rsidRDefault="00BB605A" w:rsidP="00A36F2D">
                      <w:pPr>
                        <w:pBdr>
                          <w:left w:val="single" w:sz="4" w:space="9" w:color="4F81BD" w:themeColor="accent1"/>
                        </w:pBdr>
                        <w:jc w:val="center"/>
                        <w:rPr>
                          <w:rFonts w:asciiTheme="majorHAnsi" w:eastAsiaTheme="majorEastAsia" w:hAnsiTheme="majorHAnsi" w:cstheme="majorBidi"/>
                          <w:sz w:val="32"/>
                          <w:szCs w:val="40"/>
                        </w:rPr>
                      </w:pPr>
                    </w:p>
                    <w:p w14:paraId="332A6C05" w14:textId="77777777" w:rsidR="00BB605A" w:rsidRPr="00C26828" w:rsidRDefault="00BB605A" w:rsidP="00A36F2D">
                      <w:pPr>
                        <w:pBdr>
                          <w:left w:val="single" w:sz="4" w:space="9" w:color="4F81BD" w:themeColor="accent1"/>
                        </w:pBdr>
                        <w:rPr>
                          <w:rFonts w:asciiTheme="majorHAnsi" w:eastAsiaTheme="majorEastAsia" w:hAnsiTheme="majorHAnsi" w:cstheme="majorBidi"/>
                          <w:sz w:val="32"/>
                          <w:szCs w:val="40"/>
                        </w:rPr>
                      </w:pPr>
                    </w:p>
                    <w:p w14:paraId="7D7EB8E1" w14:textId="77777777" w:rsidR="00BB605A" w:rsidRPr="00AC2538" w:rsidRDefault="00BB605A" w:rsidP="00A36F2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0187915E" w14:textId="77777777" w:rsidR="00BB605A" w:rsidRPr="00AC2538" w:rsidRDefault="00BB605A" w:rsidP="00A36F2D">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Segundo</w:t>
                      </w:r>
                      <w:r w:rsidRPr="00AC2538">
                        <w:rPr>
                          <w:rFonts w:asciiTheme="majorHAnsi" w:eastAsiaTheme="majorEastAsia" w:hAnsiTheme="majorHAnsi" w:cstheme="majorBidi"/>
                          <w:sz w:val="32"/>
                          <w:szCs w:val="40"/>
                        </w:rPr>
                        <w:t xml:space="preserve"> Trimestre</w:t>
                      </w:r>
                    </w:p>
                    <w:p w14:paraId="48E07FEA" w14:textId="77777777" w:rsidR="00BB605A" w:rsidRPr="00AC2538" w:rsidRDefault="00BB605A" w:rsidP="00A36F2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679819C2" w14:textId="77777777" w:rsidR="00BB605A" w:rsidRPr="00AC2538" w:rsidRDefault="00BB605A" w:rsidP="00A36F2D">
                      <w:pPr>
                        <w:pBdr>
                          <w:left w:val="single" w:sz="4" w:space="9" w:color="4F81BD" w:themeColor="accent1"/>
                        </w:pBdr>
                        <w:spacing w:after="0" w:line="240" w:lineRule="auto"/>
                        <w:jc w:val="center"/>
                        <w:rPr>
                          <w:rFonts w:asciiTheme="majorHAnsi" w:eastAsiaTheme="majorEastAsia" w:hAnsiTheme="majorHAnsi" w:cstheme="majorBidi"/>
                          <w:szCs w:val="40"/>
                        </w:rPr>
                      </w:pPr>
                    </w:p>
                  </w:txbxContent>
                </v:textbox>
                <w10:wrap type="square" anchorx="margin"/>
              </v:rect>
            </w:pict>
          </mc:Fallback>
        </mc:AlternateContent>
      </w:r>
    </w:p>
    <w:p w14:paraId="51212668" w14:textId="77777777" w:rsidR="00A36F2D" w:rsidRPr="00F81CB3" w:rsidRDefault="00A36F2D" w:rsidP="00A36F2D">
      <w:pPr>
        <w:spacing w:line="240" w:lineRule="auto"/>
        <w:rPr>
          <w:rFonts w:ascii="Segoe UI" w:hAnsi="Segoe UI" w:cs="Segoe UI"/>
        </w:rPr>
      </w:pPr>
    </w:p>
    <w:p w14:paraId="7FCB3214" w14:textId="77777777" w:rsidR="00A36F2D" w:rsidRPr="00F81CB3" w:rsidRDefault="00A36F2D" w:rsidP="00A36F2D">
      <w:pPr>
        <w:spacing w:line="240" w:lineRule="auto"/>
        <w:rPr>
          <w:rFonts w:ascii="Segoe UI" w:hAnsi="Segoe UI" w:cs="Segoe UI"/>
        </w:rPr>
      </w:pPr>
    </w:p>
    <w:p w14:paraId="314D225A" w14:textId="77777777" w:rsidR="00A36F2D" w:rsidRPr="00F81CB3" w:rsidRDefault="00A36F2D" w:rsidP="00A36F2D">
      <w:pPr>
        <w:spacing w:line="240" w:lineRule="auto"/>
        <w:rPr>
          <w:rFonts w:ascii="Segoe UI" w:hAnsi="Segoe UI" w:cs="Segoe UI"/>
        </w:rPr>
      </w:pPr>
    </w:p>
    <w:p w14:paraId="772B9E8C" w14:textId="77777777" w:rsidR="00A36F2D" w:rsidRPr="00F81CB3" w:rsidRDefault="00A36F2D" w:rsidP="00A36F2D">
      <w:pPr>
        <w:spacing w:line="240" w:lineRule="auto"/>
        <w:rPr>
          <w:rFonts w:ascii="Segoe UI" w:hAnsi="Segoe UI" w:cs="Segoe UI"/>
        </w:rPr>
      </w:pPr>
    </w:p>
    <w:p w14:paraId="5F6E687A" w14:textId="77777777" w:rsidR="00A36F2D" w:rsidRPr="00F81CB3" w:rsidRDefault="00A36F2D" w:rsidP="00A36F2D">
      <w:pPr>
        <w:spacing w:line="240" w:lineRule="auto"/>
        <w:rPr>
          <w:rFonts w:ascii="Segoe UI" w:hAnsi="Segoe UI" w:cs="Segoe UI"/>
        </w:rPr>
      </w:pPr>
    </w:p>
    <w:p w14:paraId="29AB07D5" w14:textId="77777777" w:rsidR="00A36F2D" w:rsidRPr="00F81CB3" w:rsidRDefault="00A36F2D" w:rsidP="00A36F2D">
      <w:pPr>
        <w:spacing w:line="240" w:lineRule="auto"/>
        <w:rPr>
          <w:rFonts w:ascii="Segoe UI" w:hAnsi="Segoe UI" w:cs="Segoe UI"/>
        </w:rPr>
      </w:pPr>
    </w:p>
    <w:p w14:paraId="2158455B" w14:textId="77777777" w:rsidR="00A36F2D" w:rsidRPr="00F81CB3" w:rsidRDefault="00A36F2D" w:rsidP="00A36F2D">
      <w:pPr>
        <w:spacing w:line="240" w:lineRule="auto"/>
        <w:rPr>
          <w:rFonts w:ascii="Segoe UI" w:hAnsi="Segoe UI" w:cs="Segoe UI"/>
        </w:rPr>
      </w:pPr>
    </w:p>
    <w:p w14:paraId="526978C4" w14:textId="77777777" w:rsidR="00A36F2D" w:rsidRPr="00F81CB3" w:rsidRDefault="00A36F2D" w:rsidP="00A36F2D">
      <w:pPr>
        <w:spacing w:line="240" w:lineRule="auto"/>
        <w:rPr>
          <w:rFonts w:ascii="Segoe UI" w:hAnsi="Segoe UI" w:cs="Segoe UI"/>
        </w:rPr>
      </w:pPr>
      <w:r w:rsidRPr="00F81CB3">
        <w:rPr>
          <w:rFonts w:ascii="Segoe UI" w:hAnsi="Segoe UI" w:cs="Segoe UI"/>
          <w:noProof/>
          <w:lang w:eastAsia="es-ES"/>
        </w:rPr>
        <w:drawing>
          <wp:anchor distT="0" distB="0" distL="114300" distR="114300" simplePos="0" relativeHeight="251660288" behindDoc="1" locked="0" layoutInCell="1" allowOverlap="1" wp14:anchorId="36637C28" wp14:editId="219EC98C">
            <wp:simplePos x="0" y="0"/>
            <wp:positionH relativeFrom="page">
              <wp:posOffset>152400</wp:posOffset>
            </wp:positionH>
            <wp:positionV relativeFrom="page">
              <wp:posOffset>2333625</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334AE6B3" w14:textId="77777777" w:rsidR="00A36F2D" w:rsidRPr="00F81CB3" w:rsidRDefault="00A36F2D" w:rsidP="00A36F2D">
      <w:pPr>
        <w:spacing w:line="240" w:lineRule="auto"/>
        <w:rPr>
          <w:rFonts w:ascii="Segoe UI" w:hAnsi="Segoe UI" w:cs="Segoe UI"/>
        </w:rPr>
      </w:pPr>
    </w:p>
    <w:p w14:paraId="5B811F4B" w14:textId="77777777" w:rsidR="00A36F2D" w:rsidRPr="00F81CB3" w:rsidRDefault="00A36F2D" w:rsidP="00A36F2D">
      <w:pPr>
        <w:spacing w:line="240" w:lineRule="auto"/>
        <w:rPr>
          <w:rFonts w:ascii="Segoe UI" w:hAnsi="Segoe UI" w:cs="Segoe UI"/>
        </w:rPr>
      </w:pPr>
      <w:r w:rsidRPr="00F81CB3">
        <w:rPr>
          <w:rFonts w:ascii="Segoe UI" w:hAnsi="Segoe UI" w:cs="Segoe UI"/>
          <w:noProof/>
        </w:rPr>
        <w:drawing>
          <wp:anchor distT="0" distB="0" distL="114300" distR="114300" simplePos="0" relativeHeight="251661312" behindDoc="0" locked="0" layoutInCell="1" allowOverlap="1" wp14:anchorId="63A6D07B" wp14:editId="1198E99C">
            <wp:simplePos x="0" y="0"/>
            <wp:positionH relativeFrom="margin">
              <wp:posOffset>-247650</wp:posOffset>
            </wp:positionH>
            <wp:positionV relativeFrom="paragraph">
              <wp:posOffset>4161790</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p>
    <w:p w14:paraId="5503CA98" w14:textId="77777777" w:rsidR="00A36F2D" w:rsidRPr="00F81CB3" w:rsidRDefault="00A36F2D" w:rsidP="00A36F2D">
      <w:pPr>
        <w:spacing w:line="240" w:lineRule="auto"/>
        <w:rPr>
          <w:rFonts w:ascii="Segoe UI" w:hAnsi="Segoe UI" w:cs="Segoe UI"/>
        </w:rPr>
        <w:sectPr w:rsidR="00A36F2D" w:rsidRPr="00F81CB3" w:rsidSect="00BB605A">
          <w:headerReference w:type="default" r:id="rId12"/>
          <w:footerReference w:type="default" r:id="rId13"/>
          <w:pgSz w:w="12240" w:h="15840"/>
          <w:pgMar w:top="1417" w:right="1701" w:bottom="1417" w:left="1701" w:header="708" w:footer="708" w:gutter="0"/>
          <w:cols w:space="708"/>
          <w:titlePg/>
          <w:docGrid w:linePitch="360"/>
        </w:sectPr>
      </w:pPr>
    </w:p>
    <w:p w14:paraId="0D800E4D" w14:textId="77777777" w:rsidR="00A36F2D" w:rsidRPr="00F81CB3" w:rsidRDefault="00A36F2D" w:rsidP="00A36F2D">
      <w:pPr>
        <w:spacing w:line="240" w:lineRule="auto"/>
        <w:jc w:val="center"/>
        <w:rPr>
          <w:rFonts w:ascii="Segoe UI" w:hAnsi="Segoe UI" w:cs="Segoe UI"/>
        </w:rPr>
      </w:pPr>
    </w:p>
    <w:p w14:paraId="04B154BA" w14:textId="77777777" w:rsidR="00A36F2D" w:rsidRPr="00F81CB3" w:rsidRDefault="00A36F2D" w:rsidP="00A36F2D">
      <w:pPr>
        <w:pStyle w:val="paragraph"/>
        <w:spacing w:after="200"/>
        <w:jc w:val="both"/>
        <w:textAlignment w:val="baseline"/>
        <w:rPr>
          <w:rFonts w:ascii="Segoe UI" w:hAnsi="Segoe UI" w:cs="Segoe UI"/>
          <w:sz w:val="22"/>
          <w:szCs w:val="22"/>
          <w:lang w:val="es-ES"/>
        </w:rPr>
      </w:pPr>
      <w:r w:rsidRPr="00F81CB3">
        <w:rPr>
          <w:rStyle w:val="normaltextrun1"/>
          <w:rFonts w:ascii="Segoe UI" w:hAnsi="Segoe UI" w:cs="Segoe UI"/>
          <w:sz w:val="22"/>
          <w:szCs w:val="22"/>
        </w:rPr>
        <w:t xml:space="preserve">El Informe de Coyuntura y Supervisión del Sistema Nacional de Pensiones, se elabora para atender lo dispuesto en el artículo 38, inciso n) de la Ley N°7523, Régimen Privado de Pensiones Complementarias. 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F81CB3">
          <w:rPr>
            <w:rStyle w:val="normaltextrun1"/>
            <w:rFonts w:ascii="Segoe UI" w:hAnsi="Segoe UI" w:cs="Segoe UI"/>
            <w:color w:val="548DD4"/>
            <w:sz w:val="22"/>
            <w:szCs w:val="22"/>
            <w:u w:val="single"/>
          </w:rPr>
          <w:t>Supen@Supen.fi.cr</w:t>
        </w:r>
      </w:hyperlink>
    </w:p>
    <w:p w14:paraId="220C1241" w14:textId="77777777" w:rsidR="00A36F2D" w:rsidRPr="00F81CB3" w:rsidRDefault="00A36F2D" w:rsidP="00A36F2D">
      <w:pPr>
        <w:pStyle w:val="paragraph"/>
        <w:spacing w:after="200"/>
        <w:textAlignment w:val="baseline"/>
        <w:rPr>
          <w:rFonts w:ascii="Segoe UI" w:hAnsi="Segoe UI" w:cs="Segoe UI"/>
          <w:sz w:val="22"/>
          <w:szCs w:val="22"/>
          <w:lang w:val="es-ES"/>
        </w:rPr>
      </w:pPr>
    </w:p>
    <w:p w14:paraId="4425014F" w14:textId="77777777" w:rsidR="00A36F2D" w:rsidRPr="00F81CB3" w:rsidRDefault="00A36F2D" w:rsidP="00A36F2D">
      <w:pPr>
        <w:spacing w:line="240" w:lineRule="auto"/>
        <w:rPr>
          <w:rFonts w:ascii="Segoe UI" w:hAnsi="Segoe UI" w:cs="Segoe UI"/>
        </w:rPr>
      </w:pPr>
    </w:p>
    <w:p w14:paraId="5AB0084B" w14:textId="77777777" w:rsidR="00A36F2D" w:rsidRPr="00F81CB3" w:rsidRDefault="00A36F2D" w:rsidP="00A36F2D">
      <w:pPr>
        <w:spacing w:line="240" w:lineRule="auto"/>
        <w:rPr>
          <w:rFonts w:ascii="Segoe UI" w:hAnsi="Segoe UI" w:cs="Segoe UI"/>
          <w:b/>
        </w:rPr>
      </w:pPr>
      <w:r w:rsidRPr="00F81CB3">
        <w:rPr>
          <w:rFonts w:ascii="Segoe UI" w:hAnsi="Segoe UI" w:cs="Segoe UI"/>
          <w:b/>
        </w:rPr>
        <w:br w:type="page"/>
      </w:r>
    </w:p>
    <w:p w14:paraId="2E3B01DC" w14:textId="77777777" w:rsidR="00A36F2D" w:rsidRPr="0051672C" w:rsidRDefault="00A36F2D" w:rsidP="00A36F2D">
      <w:pPr>
        <w:spacing w:line="240" w:lineRule="auto"/>
        <w:rPr>
          <w:rStyle w:val="Hipervnculo"/>
          <w:rFonts w:ascii="Segoe UI" w:hAnsi="Segoe UI" w:cs="Segoe UI"/>
          <w:b/>
          <w:noProof/>
          <w:sz w:val="28"/>
        </w:rPr>
      </w:pPr>
      <w:r w:rsidRPr="0051672C">
        <w:rPr>
          <w:rStyle w:val="Hipervnculo"/>
          <w:rFonts w:ascii="Segoe UI" w:hAnsi="Segoe UI" w:cs="Segoe UI"/>
          <w:b/>
          <w:noProof/>
          <w:sz w:val="28"/>
        </w:rPr>
        <w:lastRenderedPageBreak/>
        <w:t>Contenido</w:t>
      </w:r>
    </w:p>
    <w:sdt>
      <w:sdtPr>
        <w:rPr>
          <w:rFonts w:asciiTheme="minorHAnsi" w:eastAsiaTheme="minorHAnsi" w:hAnsiTheme="minorHAnsi" w:cstheme="minorBidi"/>
          <w:b w:val="0"/>
          <w:caps w:val="0"/>
          <w:color w:val="auto"/>
          <w:lang w:val="es-ES" w:eastAsia="en-US"/>
        </w:rPr>
        <w:id w:val="284473598"/>
        <w:docPartObj>
          <w:docPartGallery w:val="Table of Contents"/>
          <w:docPartUnique/>
        </w:docPartObj>
      </w:sdtPr>
      <w:sdtEndPr>
        <w:rPr>
          <w:bCs/>
        </w:rPr>
      </w:sdtEndPr>
      <w:sdtContent>
        <w:p w14:paraId="28C31BE1" w14:textId="77777777" w:rsidR="00A36F2D" w:rsidRPr="00A1226D" w:rsidRDefault="00A36F2D" w:rsidP="00A36F2D">
          <w:pPr>
            <w:pStyle w:val="TtuloTDC"/>
            <w:numPr>
              <w:ilvl w:val="0"/>
              <w:numId w:val="0"/>
            </w:numPr>
          </w:pPr>
        </w:p>
        <w:bookmarkStart w:id="1" w:name="_GoBack"/>
        <w:bookmarkEnd w:id="1"/>
        <w:p w14:paraId="14E3CC6D" w14:textId="036A2E58" w:rsidR="00697376" w:rsidRDefault="00A36F2D">
          <w:pPr>
            <w:pStyle w:val="TDC1"/>
            <w:rPr>
              <w:rFonts w:eastAsiaTheme="minorEastAsia"/>
              <w:sz w:val="22"/>
              <w:szCs w:val="22"/>
              <w:lang w:val="es-CR"/>
            </w:rPr>
          </w:pPr>
          <w:r>
            <w:fldChar w:fldCharType="begin"/>
          </w:r>
          <w:r>
            <w:instrText xml:space="preserve"> TOC \o "1-2" \h \z \u </w:instrText>
          </w:r>
          <w:r>
            <w:fldChar w:fldCharType="separate"/>
          </w:r>
          <w:hyperlink w:anchor="_Toc28867059" w:history="1">
            <w:r w:rsidR="00697376" w:rsidRPr="008D7989">
              <w:rPr>
                <w:rStyle w:val="Hipervnculo"/>
              </w:rPr>
              <w:t>I.</w:t>
            </w:r>
            <w:r w:rsidR="00697376">
              <w:rPr>
                <w:rFonts w:eastAsiaTheme="minorEastAsia"/>
                <w:sz w:val="22"/>
                <w:szCs w:val="22"/>
                <w:lang w:val="es-CR"/>
              </w:rPr>
              <w:tab/>
            </w:r>
            <w:r w:rsidR="00697376" w:rsidRPr="008D7989">
              <w:rPr>
                <w:rStyle w:val="Hipervnculo"/>
              </w:rPr>
              <w:t>Compendio Estadístico</w:t>
            </w:r>
            <w:r w:rsidR="00697376">
              <w:rPr>
                <w:webHidden/>
              </w:rPr>
              <w:tab/>
            </w:r>
            <w:r w:rsidR="00697376">
              <w:rPr>
                <w:webHidden/>
              </w:rPr>
              <w:fldChar w:fldCharType="begin"/>
            </w:r>
            <w:r w:rsidR="00697376">
              <w:rPr>
                <w:webHidden/>
              </w:rPr>
              <w:instrText xml:space="preserve"> PAGEREF _Toc28867059 \h </w:instrText>
            </w:r>
            <w:r w:rsidR="00697376">
              <w:rPr>
                <w:webHidden/>
              </w:rPr>
            </w:r>
            <w:r w:rsidR="00697376">
              <w:rPr>
                <w:webHidden/>
              </w:rPr>
              <w:fldChar w:fldCharType="separate"/>
            </w:r>
            <w:r w:rsidR="00697376">
              <w:rPr>
                <w:webHidden/>
              </w:rPr>
              <w:t>4</w:t>
            </w:r>
            <w:r w:rsidR="00697376">
              <w:rPr>
                <w:webHidden/>
              </w:rPr>
              <w:fldChar w:fldCharType="end"/>
            </w:r>
          </w:hyperlink>
        </w:p>
        <w:p w14:paraId="02262A2C" w14:textId="548A55DB" w:rsidR="00697376" w:rsidRDefault="00697376">
          <w:pPr>
            <w:pStyle w:val="TDC2"/>
            <w:rPr>
              <w:rFonts w:eastAsiaTheme="minorEastAsia"/>
              <w:noProof/>
              <w:lang w:val="es-CR" w:eastAsia="es-CR"/>
            </w:rPr>
          </w:pPr>
          <w:hyperlink w:anchor="_Toc28867060" w:history="1">
            <w:r w:rsidRPr="008D7989">
              <w:rPr>
                <w:rStyle w:val="Hipervnculo"/>
                <w:rFonts w:ascii="Segoe UI" w:hAnsi="Segoe UI" w:cs="Segoe UI"/>
                <w:noProof/>
              </w:rPr>
              <w:t>1.1 Activos Administrados</w:t>
            </w:r>
            <w:r>
              <w:rPr>
                <w:noProof/>
                <w:webHidden/>
              </w:rPr>
              <w:tab/>
            </w:r>
            <w:r>
              <w:rPr>
                <w:noProof/>
                <w:webHidden/>
              </w:rPr>
              <w:fldChar w:fldCharType="begin"/>
            </w:r>
            <w:r>
              <w:rPr>
                <w:noProof/>
                <w:webHidden/>
              </w:rPr>
              <w:instrText xml:space="preserve"> PAGEREF _Toc28867060 \h </w:instrText>
            </w:r>
            <w:r>
              <w:rPr>
                <w:noProof/>
                <w:webHidden/>
              </w:rPr>
            </w:r>
            <w:r>
              <w:rPr>
                <w:noProof/>
                <w:webHidden/>
              </w:rPr>
              <w:fldChar w:fldCharType="separate"/>
            </w:r>
            <w:r>
              <w:rPr>
                <w:noProof/>
                <w:webHidden/>
              </w:rPr>
              <w:t>4</w:t>
            </w:r>
            <w:r>
              <w:rPr>
                <w:noProof/>
                <w:webHidden/>
              </w:rPr>
              <w:fldChar w:fldCharType="end"/>
            </w:r>
          </w:hyperlink>
        </w:p>
        <w:p w14:paraId="0D2C92C9" w14:textId="5B3EE4C4" w:rsidR="00697376" w:rsidRDefault="00697376">
          <w:pPr>
            <w:pStyle w:val="TDC2"/>
            <w:rPr>
              <w:rFonts w:eastAsiaTheme="minorEastAsia"/>
              <w:noProof/>
              <w:lang w:val="es-CR" w:eastAsia="es-CR"/>
            </w:rPr>
          </w:pPr>
          <w:hyperlink w:anchor="_Toc28867061" w:history="1">
            <w:r w:rsidRPr="008D7989">
              <w:rPr>
                <w:rStyle w:val="Hipervnculo"/>
                <w:rFonts w:ascii="Segoe UI" w:hAnsi="Segoe UI" w:cs="Segoe UI"/>
                <w:noProof/>
              </w:rPr>
              <w:t>1.2 Inversiones</w:t>
            </w:r>
            <w:r>
              <w:rPr>
                <w:noProof/>
                <w:webHidden/>
              </w:rPr>
              <w:tab/>
            </w:r>
            <w:r>
              <w:rPr>
                <w:noProof/>
                <w:webHidden/>
              </w:rPr>
              <w:fldChar w:fldCharType="begin"/>
            </w:r>
            <w:r>
              <w:rPr>
                <w:noProof/>
                <w:webHidden/>
              </w:rPr>
              <w:instrText xml:space="preserve"> PAGEREF _Toc28867061 \h </w:instrText>
            </w:r>
            <w:r>
              <w:rPr>
                <w:noProof/>
                <w:webHidden/>
              </w:rPr>
            </w:r>
            <w:r>
              <w:rPr>
                <w:noProof/>
                <w:webHidden/>
              </w:rPr>
              <w:fldChar w:fldCharType="separate"/>
            </w:r>
            <w:r>
              <w:rPr>
                <w:noProof/>
                <w:webHidden/>
              </w:rPr>
              <w:t>6</w:t>
            </w:r>
            <w:r>
              <w:rPr>
                <w:noProof/>
                <w:webHidden/>
              </w:rPr>
              <w:fldChar w:fldCharType="end"/>
            </w:r>
          </w:hyperlink>
        </w:p>
        <w:p w14:paraId="0207D05D" w14:textId="6C54497F" w:rsidR="00697376" w:rsidRDefault="00697376">
          <w:pPr>
            <w:pStyle w:val="TDC2"/>
            <w:rPr>
              <w:rFonts w:eastAsiaTheme="minorEastAsia"/>
              <w:noProof/>
              <w:lang w:val="es-CR" w:eastAsia="es-CR"/>
            </w:rPr>
          </w:pPr>
          <w:hyperlink w:anchor="_Toc28867062" w:history="1">
            <w:r w:rsidRPr="008D7989">
              <w:rPr>
                <w:rStyle w:val="Hipervnculo"/>
                <w:rFonts w:ascii="Segoe UI" w:hAnsi="Segoe UI" w:cs="Segoe UI"/>
                <w:noProof/>
              </w:rPr>
              <w:t>1.3 Gestores de pensiones</w:t>
            </w:r>
            <w:r>
              <w:rPr>
                <w:noProof/>
                <w:webHidden/>
              </w:rPr>
              <w:tab/>
            </w:r>
            <w:r>
              <w:rPr>
                <w:noProof/>
                <w:webHidden/>
              </w:rPr>
              <w:fldChar w:fldCharType="begin"/>
            </w:r>
            <w:r>
              <w:rPr>
                <w:noProof/>
                <w:webHidden/>
              </w:rPr>
              <w:instrText xml:space="preserve"> PAGEREF _Toc28867062 \h </w:instrText>
            </w:r>
            <w:r>
              <w:rPr>
                <w:noProof/>
                <w:webHidden/>
              </w:rPr>
            </w:r>
            <w:r>
              <w:rPr>
                <w:noProof/>
                <w:webHidden/>
              </w:rPr>
              <w:fldChar w:fldCharType="separate"/>
            </w:r>
            <w:r>
              <w:rPr>
                <w:noProof/>
                <w:webHidden/>
              </w:rPr>
              <w:t>12</w:t>
            </w:r>
            <w:r>
              <w:rPr>
                <w:noProof/>
                <w:webHidden/>
              </w:rPr>
              <w:fldChar w:fldCharType="end"/>
            </w:r>
          </w:hyperlink>
        </w:p>
        <w:p w14:paraId="00D131C2" w14:textId="47EA9142" w:rsidR="00697376" w:rsidRDefault="00697376">
          <w:pPr>
            <w:pStyle w:val="TDC2"/>
            <w:rPr>
              <w:rFonts w:eastAsiaTheme="minorEastAsia"/>
              <w:noProof/>
              <w:lang w:val="es-CR" w:eastAsia="es-CR"/>
            </w:rPr>
          </w:pPr>
          <w:hyperlink w:anchor="_Toc28867063" w:history="1">
            <w:r w:rsidRPr="008D7989">
              <w:rPr>
                <w:rStyle w:val="Hipervnculo"/>
                <w:rFonts w:ascii="Segoe UI" w:eastAsia="Times New Roman" w:hAnsi="Segoe UI" w:cs="Segoe UI"/>
                <w:noProof/>
                <w:lang w:eastAsia="es-ES"/>
              </w:rPr>
              <w:t>1.4 Planes de Beneficios</w:t>
            </w:r>
            <w:r>
              <w:rPr>
                <w:noProof/>
                <w:webHidden/>
              </w:rPr>
              <w:tab/>
            </w:r>
            <w:r>
              <w:rPr>
                <w:noProof/>
                <w:webHidden/>
              </w:rPr>
              <w:fldChar w:fldCharType="begin"/>
            </w:r>
            <w:r>
              <w:rPr>
                <w:noProof/>
                <w:webHidden/>
              </w:rPr>
              <w:instrText xml:space="preserve"> PAGEREF _Toc28867063 \h </w:instrText>
            </w:r>
            <w:r>
              <w:rPr>
                <w:noProof/>
                <w:webHidden/>
              </w:rPr>
            </w:r>
            <w:r>
              <w:rPr>
                <w:noProof/>
                <w:webHidden/>
              </w:rPr>
              <w:fldChar w:fldCharType="separate"/>
            </w:r>
            <w:r>
              <w:rPr>
                <w:noProof/>
                <w:webHidden/>
              </w:rPr>
              <w:t>13</w:t>
            </w:r>
            <w:r>
              <w:rPr>
                <w:noProof/>
                <w:webHidden/>
              </w:rPr>
              <w:fldChar w:fldCharType="end"/>
            </w:r>
          </w:hyperlink>
        </w:p>
        <w:p w14:paraId="746E899D" w14:textId="02A70387" w:rsidR="00697376" w:rsidRDefault="00697376">
          <w:pPr>
            <w:pStyle w:val="TDC2"/>
            <w:rPr>
              <w:rFonts w:eastAsiaTheme="minorEastAsia"/>
              <w:noProof/>
              <w:lang w:val="es-CR" w:eastAsia="es-CR"/>
            </w:rPr>
          </w:pPr>
          <w:hyperlink w:anchor="_Toc28867064" w:history="1">
            <w:r w:rsidRPr="008D7989">
              <w:rPr>
                <w:rStyle w:val="Hipervnculo"/>
                <w:rFonts w:ascii="Segoe UI" w:hAnsi="Segoe UI" w:cs="Segoe UI"/>
                <w:noProof/>
              </w:rPr>
              <w:t>1.5 Libre Transferencia</w:t>
            </w:r>
            <w:r>
              <w:rPr>
                <w:noProof/>
                <w:webHidden/>
              </w:rPr>
              <w:tab/>
            </w:r>
            <w:r>
              <w:rPr>
                <w:noProof/>
                <w:webHidden/>
              </w:rPr>
              <w:fldChar w:fldCharType="begin"/>
            </w:r>
            <w:r>
              <w:rPr>
                <w:noProof/>
                <w:webHidden/>
              </w:rPr>
              <w:instrText xml:space="preserve"> PAGEREF _Toc28867064 \h </w:instrText>
            </w:r>
            <w:r>
              <w:rPr>
                <w:noProof/>
                <w:webHidden/>
              </w:rPr>
            </w:r>
            <w:r>
              <w:rPr>
                <w:noProof/>
                <w:webHidden/>
              </w:rPr>
              <w:fldChar w:fldCharType="separate"/>
            </w:r>
            <w:r>
              <w:rPr>
                <w:noProof/>
                <w:webHidden/>
              </w:rPr>
              <w:t>14</w:t>
            </w:r>
            <w:r>
              <w:rPr>
                <w:noProof/>
                <w:webHidden/>
              </w:rPr>
              <w:fldChar w:fldCharType="end"/>
            </w:r>
          </w:hyperlink>
        </w:p>
        <w:p w14:paraId="4FA2476D" w14:textId="345BC9E2" w:rsidR="00697376" w:rsidRDefault="00697376">
          <w:pPr>
            <w:pStyle w:val="TDC2"/>
            <w:rPr>
              <w:rFonts w:eastAsiaTheme="minorEastAsia"/>
              <w:noProof/>
              <w:lang w:val="es-CR" w:eastAsia="es-CR"/>
            </w:rPr>
          </w:pPr>
          <w:hyperlink w:anchor="_Toc28867065" w:history="1">
            <w:r w:rsidRPr="008D7989">
              <w:rPr>
                <w:rStyle w:val="Hipervnculo"/>
                <w:rFonts w:ascii="Segoe UI" w:hAnsi="Segoe UI" w:cs="Segoe UI"/>
                <w:noProof/>
              </w:rPr>
              <w:t>1.6 Retiros por cese de relación laboral</w:t>
            </w:r>
            <w:r>
              <w:rPr>
                <w:noProof/>
                <w:webHidden/>
              </w:rPr>
              <w:tab/>
            </w:r>
            <w:r>
              <w:rPr>
                <w:noProof/>
                <w:webHidden/>
              </w:rPr>
              <w:fldChar w:fldCharType="begin"/>
            </w:r>
            <w:r>
              <w:rPr>
                <w:noProof/>
                <w:webHidden/>
              </w:rPr>
              <w:instrText xml:space="preserve"> PAGEREF _Toc28867065 \h </w:instrText>
            </w:r>
            <w:r>
              <w:rPr>
                <w:noProof/>
                <w:webHidden/>
              </w:rPr>
            </w:r>
            <w:r>
              <w:rPr>
                <w:noProof/>
                <w:webHidden/>
              </w:rPr>
              <w:fldChar w:fldCharType="separate"/>
            </w:r>
            <w:r>
              <w:rPr>
                <w:noProof/>
                <w:webHidden/>
              </w:rPr>
              <w:t>15</w:t>
            </w:r>
            <w:r>
              <w:rPr>
                <w:noProof/>
                <w:webHidden/>
              </w:rPr>
              <w:fldChar w:fldCharType="end"/>
            </w:r>
          </w:hyperlink>
        </w:p>
        <w:p w14:paraId="1F9B04C7" w14:textId="109CF461" w:rsidR="00697376" w:rsidRDefault="00697376">
          <w:pPr>
            <w:pStyle w:val="TDC2"/>
            <w:rPr>
              <w:rFonts w:eastAsiaTheme="minorEastAsia"/>
              <w:noProof/>
              <w:lang w:val="es-CR" w:eastAsia="es-CR"/>
            </w:rPr>
          </w:pPr>
          <w:hyperlink w:anchor="_Toc28867066" w:history="1">
            <w:r w:rsidRPr="008D7989">
              <w:rPr>
                <w:rStyle w:val="Hipervnculo"/>
                <w:rFonts w:ascii="Segoe UI" w:hAnsi="Segoe UI" w:cs="Segoe UI"/>
                <w:noProof/>
              </w:rPr>
              <w:t>1.7 Afiliados fallecidos en ROP</w:t>
            </w:r>
            <w:r>
              <w:rPr>
                <w:noProof/>
                <w:webHidden/>
              </w:rPr>
              <w:tab/>
            </w:r>
            <w:r>
              <w:rPr>
                <w:noProof/>
                <w:webHidden/>
              </w:rPr>
              <w:fldChar w:fldCharType="begin"/>
            </w:r>
            <w:r>
              <w:rPr>
                <w:noProof/>
                <w:webHidden/>
              </w:rPr>
              <w:instrText xml:space="preserve"> PAGEREF _Toc28867066 \h </w:instrText>
            </w:r>
            <w:r>
              <w:rPr>
                <w:noProof/>
                <w:webHidden/>
              </w:rPr>
            </w:r>
            <w:r>
              <w:rPr>
                <w:noProof/>
                <w:webHidden/>
              </w:rPr>
              <w:fldChar w:fldCharType="separate"/>
            </w:r>
            <w:r>
              <w:rPr>
                <w:noProof/>
                <w:webHidden/>
              </w:rPr>
              <w:t>15</w:t>
            </w:r>
            <w:r>
              <w:rPr>
                <w:noProof/>
                <w:webHidden/>
              </w:rPr>
              <w:fldChar w:fldCharType="end"/>
            </w:r>
          </w:hyperlink>
        </w:p>
        <w:p w14:paraId="19131A84" w14:textId="265719C9" w:rsidR="00697376" w:rsidRDefault="00697376">
          <w:pPr>
            <w:pStyle w:val="TDC1"/>
            <w:rPr>
              <w:rFonts w:eastAsiaTheme="minorEastAsia"/>
              <w:sz w:val="22"/>
              <w:szCs w:val="22"/>
              <w:lang w:val="es-CR"/>
            </w:rPr>
          </w:pPr>
          <w:hyperlink w:anchor="_Toc28867067" w:history="1">
            <w:r w:rsidRPr="008D7989">
              <w:rPr>
                <w:rStyle w:val="Hipervnculo"/>
              </w:rPr>
              <w:t>II.</w:t>
            </w:r>
            <w:r>
              <w:rPr>
                <w:rFonts w:eastAsiaTheme="minorEastAsia"/>
                <w:sz w:val="22"/>
                <w:szCs w:val="22"/>
                <w:lang w:val="es-CR"/>
              </w:rPr>
              <w:tab/>
            </w:r>
            <w:r w:rsidRPr="008D7989">
              <w:rPr>
                <w:rStyle w:val="Hipervnculo"/>
              </w:rPr>
              <w:t>Temas de Asesoría Jurídica</w:t>
            </w:r>
            <w:r>
              <w:rPr>
                <w:webHidden/>
              </w:rPr>
              <w:tab/>
            </w:r>
            <w:r>
              <w:rPr>
                <w:webHidden/>
              </w:rPr>
              <w:fldChar w:fldCharType="begin"/>
            </w:r>
            <w:r>
              <w:rPr>
                <w:webHidden/>
              </w:rPr>
              <w:instrText xml:space="preserve"> PAGEREF _Toc28867067 \h </w:instrText>
            </w:r>
            <w:r>
              <w:rPr>
                <w:webHidden/>
              </w:rPr>
            </w:r>
            <w:r>
              <w:rPr>
                <w:webHidden/>
              </w:rPr>
              <w:fldChar w:fldCharType="separate"/>
            </w:r>
            <w:r>
              <w:rPr>
                <w:webHidden/>
              </w:rPr>
              <w:t>17</w:t>
            </w:r>
            <w:r>
              <w:rPr>
                <w:webHidden/>
              </w:rPr>
              <w:fldChar w:fldCharType="end"/>
            </w:r>
          </w:hyperlink>
        </w:p>
        <w:p w14:paraId="0CECF3BA" w14:textId="72BFB9C4" w:rsidR="00697376" w:rsidRDefault="00697376">
          <w:pPr>
            <w:pStyle w:val="TDC2"/>
            <w:rPr>
              <w:rFonts w:eastAsiaTheme="minorEastAsia"/>
              <w:noProof/>
              <w:lang w:val="es-CR" w:eastAsia="es-CR"/>
            </w:rPr>
          </w:pPr>
          <w:hyperlink w:anchor="_Toc28867068" w:history="1">
            <w:r w:rsidRPr="008D7989">
              <w:rPr>
                <w:rStyle w:val="Hipervnculo"/>
                <w:rFonts w:ascii="Segoe UI" w:hAnsi="Segoe UI" w:cs="Segoe UI"/>
                <w:noProof/>
              </w:rPr>
              <w:t>3.1 Consultas y denuncias</w:t>
            </w:r>
            <w:r>
              <w:rPr>
                <w:noProof/>
                <w:webHidden/>
              </w:rPr>
              <w:tab/>
            </w:r>
            <w:r>
              <w:rPr>
                <w:noProof/>
                <w:webHidden/>
              </w:rPr>
              <w:fldChar w:fldCharType="begin"/>
            </w:r>
            <w:r>
              <w:rPr>
                <w:noProof/>
                <w:webHidden/>
              </w:rPr>
              <w:instrText xml:space="preserve"> PAGEREF _Toc28867068 \h </w:instrText>
            </w:r>
            <w:r>
              <w:rPr>
                <w:noProof/>
                <w:webHidden/>
              </w:rPr>
            </w:r>
            <w:r>
              <w:rPr>
                <w:noProof/>
                <w:webHidden/>
              </w:rPr>
              <w:fldChar w:fldCharType="separate"/>
            </w:r>
            <w:r>
              <w:rPr>
                <w:noProof/>
                <w:webHidden/>
              </w:rPr>
              <w:t>17</w:t>
            </w:r>
            <w:r>
              <w:rPr>
                <w:noProof/>
                <w:webHidden/>
              </w:rPr>
              <w:fldChar w:fldCharType="end"/>
            </w:r>
          </w:hyperlink>
        </w:p>
        <w:p w14:paraId="794EDBC4" w14:textId="3799A24E" w:rsidR="00697376" w:rsidRDefault="00697376">
          <w:pPr>
            <w:pStyle w:val="TDC2"/>
            <w:rPr>
              <w:rFonts w:eastAsiaTheme="minorEastAsia"/>
              <w:noProof/>
              <w:lang w:val="es-CR" w:eastAsia="es-CR"/>
            </w:rPr>
          </w:pPr>
          <w:hyperlink w:anchor="_Toc28867069" w:history="1">
            <w:r w:rsidRPr="008D7989">
              <w:rPr>
                <w:rStyle w:val="Hipervnculo"/>
                <w:rFonts w:ascii="Segoe UI" w:hAnsi="Segoe UI" w:cs="Segoe UI"/>
                <w:noProof/>
              </w:rPr>
              <w:t>3.2 Criterios jurídicos</w:t>
            </w:r>
            <w:r>
              <w:rPr>
                <w:noProof/>
                <w:webHidden/>
              </w:rPr>
              <w:tab/>
            </w:r>
            <w:r>
              <w:rPr>
                <w:noProof/>
                <w:webHidden/>
              </w:rPr>
              <w:fldChar w:fldCharType="begin"/>
            </w:r>
            <w:r>
              <w:rPr>
                <w:noProof/>
                <w:webHidden/>
              </w:rPr>
              <w:instrText xml:space="preserve"> PAGEREF _Toc28867069 \h </w:instrText>
            </w:r>
            <w:r>
              <w:rPr>
                <w:noProof/>
                <w:webHidden/>
              </w:rPr>
            </w:r>
            <w:r>
              <w:rPr>
                <w:noProof/>
                <w:webHidden/>
              </w:rPr>
              <w:fldChar w:fldCharType="separate"/>
            </w:r>
            <w:r>
              <w:rPr>
                <w:noProof/>
                <w:webHidden/>
              </w:rPr>
              <w:t>17</w:t>
            </w:r>
            <w:r>
              <w:rPr>
                <w:noProof/>
                <w:webHidden/>
              </w:rPr>
              <w:fldChar w:fldCharType="end"/>
            </w:r>
          </w:hyperlink>
        </w:p>
        <w:p w14:paraId="6151ED0E" w14:textId="7F7272C0" w:rsidR="00697376" w:rsidRDefault="00697376">
          <w:pPr>
            <w:pStyle w:val="TDC2"/>
            <w:rPr>
              <w:rFonts w:eastAsiaTheme="minorEastAsia"/>
              <w:noProof/>
              <w:lang w:val="es-CR" w:eastAsia="es-CR"/>
            </w:rPr>
          </w:pPr>
          <w:hyperlink w:anchor="_Toc28867070" w:history="1">
            <w:r w:rsidRPr="008D7989">
              <w:rPr>
                <w:rStyle w:val="Hipervnculo"/>
                <w:rFonts w:ascii="Segoe UI" w:hAnsi="Segoe UI" w:cs="Segoe UI"/>
                <w:noProof/>
              </w:rPr>
              <w:t>3.3 Proyectos de ley</w:t>
            </w:r>
            <w:r>
              <w:rPr>
                <w:noProof/>
                <w:webHidden/>
              </w:rPr>
              <w:tab/>
            </w:r>
            <w:r>
              <w:rPr>
                <w:noProof/>
                <w:webHidden/>
              </w:rPr>
              <w:fldChar w:fldCharType="begin"/>
            </w:r>
            <w:r>
              <w:rPr>
                <w:noProof/>
                <w:webHidden/>
              </w:rPr>
              <w:instrText xml:space="preserve"> PAGEREF _Toc28867070 \h </w:instrText>
            </w:r>
            <w:r>
              <w:rPr>
                <w:noProof/>
                <w:webHidden/>
              </w:rPr>
            </w:r>
            <w:r>
              <w:rPr>
                <w:noProof/>
                <w:webHidden/>
              </w:rPr>
              <w:fldChar w:fldCharType="separate"/>
            </w:r>
            <w:r>
              <w:rPr>
                <w:noProof/>
                <w:webHidden/>
              </w:rPr>
              <w:t>18</w:t>
            </w:r>
            <w:r>
              <w:rPr>
                <w:noProof/>
                <w:webHidden/>
              </w:rPr>
              <w:fldChar w:fldCharType="end"/>
            </w:r>
          </w:hyperlink>
        </w:p>
        <w:p w14:paraId="1B56AD5D" w14:textId="7E155ED3" w:rsidR="00A36F2D" w:rsidRDefault="00A36F2D" w:rsidP="00A36F2D">
          <w:r>
            <w:rPr>
              <w:rFonts w:eastAsia="Times New Roman"/>
              <w:noProof/>
              <w:sz w:val="24"/>
              <w:szCs w:val="24"/>
              <w:lang w:eastAsia="es-CR"/>
            </w:rPr>
            <w:fldChar w:fldCharType="end"/>
          </w:r>
        </w:p>
      </w:sdtContent>
    </w:sdt>
    <w:p w14:paraId="67458AB8" w14:textId="77777777" w:rsidR="00A36F2D" w:rsidRPr="00F81CB3" w:rsidRDefault="00A36F2D" w:rsidP="00A36F2D">
      <w:pPr>
        <w:spacing w:line="240" w:lineRule="auto"/>
        <w:rPr>
          <w:rStyle w:val="Hipervnculo"/>
          <w:rFonts w:ascii="Segoe UI" w:hAnsi="Segoe UI" w:cs="Segoe UI"/>
          <w:noProof/>
        </w:rPr>
      </w:pPr>
      <w:r w:rsidRPr="00F81CB3">
        <w:rPr>
          <w:rStyle w:val="Hipervnculo"/>
          <w:rFonts w:ascii="Segoe UI" w:hAnsi="Segoe UI" w:cs="Segoe UI"/>
          <w:noProof/>
        </w:rPr>
        <w:br w:type="page"/>
      </w:r>
    </w:p>
    <w:p w14:paraId="71E7AF0D" w14:textId="77777777" w:rsidR="00A36F2D" w:rsidRDefault="00A36F2D" w:rsidP="00A36F2D">
      <w:pPr>
        <w:pStyle w:val="Ttulo1"/>
      </w:pPr>
      <w:bookmarkStart w:id="2" w:name="_Toc9844633"/>
      <w:bookmarkStart w:id="3" w:name="_Toc18330791"/>
      <w:bookmarkStart w:id="4" w:name="_Toc28867059"/>
      <w:r w:rsidRPr="00F81CB3">
        <w:lastRenderedPageBreak/>
        <w:t>Compendio Estadístico</w:t>
      </w:r>
      <w:bookmarkEnd w:id="2"/>
      <w:bookmarkEnd w:id="3"/>
      <w:bookmarkEnd w:id="4"/>
    </w:p>
    <w:p w14:paraId="60336960" w14:textId="77777777" w:rsidR="00A36F2D" w:rsidRPr="00596C07" w:rsidRDefault="00A36F2D" w:rsidP="00A36F2D">
      <w:pPr>
        <w:rPr>
          <w:lang w:eastAsia="es-CR"/>
        </w:rPr>
      </w:pPr>
    </w:p>
    <w:p w14:paraId="2F5E7832" w14:textId="77777777" w:rsidR="00A36F2D" w:rsidRPr="00F81CB3" w:rsidRDefault="00A36F2D" w:rsidP="00A36F2D">
      <w:pPr>
        <w:pStyle w:val="Ttulo2"/>
        <w:spacing w:before="0" w:after="120" w:line="240" w:lineRule="auto"/>
        <w:rPr>
          <w:rFonts w:ascii="Segoe UI" w:hAnsi="Segoe UI" w:cs="Segoe UI"/>
          <w:sz w:val="22"/>
          <w:szCs w:val="22"/>
        </w:rPr>
      </w:pPr>
      <w:bookmarkStart w:id="5" w:name="_Toc28867060"/>
      <w:r w:rsidRPr="00F81CB3">
        <w:rPr>
          <w:rFonts w:ascii="Segoe UI" w:hAnsi="Segoe UI" w:cs="Segoe UI"/>
          <w:sz w:val="22"/>
          <w:szCs w:val="22"/>
        </w:rPr>
        <w:t>1.1 Activos Administrados</w:t>
      </w:r>
      <w:bookmarkEnd w:id="5"/>
    </w:p>
    <w:p w14:paraId="5635D45B" w14:textId="77777777" w:rsidR="00A36F2D" w:rsidRPr="00F81CB3" w:rsidRDefault="00A36F2D" w:rsidP="00A36F2D">
      <w:pPr>
        <w:spacing w:after="120" w:line="240" w:lineRule="auto"/>
        <w:jc w:val="both"/>
        <w:rPr>
          <w:rFonts w:ascii="Segoe UI" w:hAnsi="Segoe UI" w:cs="Segoe UI"/>
          <w:color w:val="FF0000"/>
          <w:lang w:eastAsia="es-CR"/>
        </w:rPr>
      </w:pPr>
      <w:r w:rsidRPr="00F81CB3">
        <w:rPr>
          <w:rFonts w:ascii="Segoe UI" w:hAnsi="Segoe UI" w:cs="Segoe UI"/>
        </w:rPr>
        <w:t>El Sistema Nacional de Pensiones (SNP) y el Fondo de Capitalización Laboral (FCL) administran recursos, a junio de 2019, que totalizan 14 142 millones de colones, esto corresponde al 39,3% del Producto Interno Brut</w:t>
      </w:r>
      <w:r>
        <w:rPr>
          <w:rFonts w:ascii="Segoe UI" w:hAnsi="Segoe UI" w:cs="Segoe UI"/>
        </w:rPr>
        <w:t>o (PIB)</w:t>
      </w:r>
      <w:r w:rsidRPr="00F81CB3">
        <w:rPr>
          <w:rFonts w:ascii="Segoe UI" w:hAnsi="Segoe UI" w:cs="Segoe UI"/>
        </w:rPr>
        <w:t xml:space="preserve">. </w:t>
      </w:r>
      <w:r w:rsidRPr="00F81CB3">
        <w:rPr>
          <w:rFonts w:ascii="Segoe UI" w:hAnsi="Segoe UI" w:cs="Segoe UI"/>
          <w:lang w:eastAsia="es-CR"/>
        </w:rPr>
        <w:t xml:space="preserve">El crecimiento interanual fue del 11,7% para junio del 2019. </w:t>
      </w:r>
      <w:r>
        <w:rPr>
          <w:rFonts w:ascii="Segoe UI" w:hAnsi="Segoe UI" w:cs="Segoe UI"/>
          <w:lang w:eastAsia="es-CR"/>
        </w:rPr>
        <w:t xml:space="preserve">El cuadro 1 muestra, los activos del SNP mediante la clasificación OCDE. </w:t>
      </w:r>
      <w:r w:rsidRPr="00F81CB3">
        <w:rPr>
          <w:rFonts w:ascii="Segoe UI" w:hAnsi="Segoe UI" w:cs="Segoe UI"/>
          <w:lang w:eastAsia="es-CR"/>
        </w:rPr>
        <w:t xml:space="preserve">Los fondos de pensión públicos en especial el Régimen de Invalidez, Vejez y Muerte administrado por la CCSS (RIVM) creció un 4,9% </w:t>
      </w:r>
      <w:r>
        <w:rPr>
          <w:rFonts w:ascii="Segoe UI" w:hAnsi="Segoe UI" w:cs="Segoe UI"/>
          <w:lang w:eastAsia="es-CR"/>
        </w:rPr>
        <w:t>a junio del</w:t>
      </w:r>
      <w:r w:rsidRPr="00F81CB3">
        <w:rPr>
          <w:rFonts w:ascii="Segoe UI" w:hAnsi="Segoe UI" w:cs="Segoe UI"/>
          <w:lang w:eastAsia="es-CR"/>
        </w:rPr>
        <w:t xml:space="preserve"> 2019 mientras que en junio del 2018 creció un 12,8%, estos representan un 7,9% del PIB. Los fondos de pensiones privados muestran una tasa de crecimiento en el 2019 del 13,6%, superior al 11,6% del 2018 y </w:t>
      </w:r>
      <w:r w:rsidRPr="0051259B">
        <w:rPr>
          <w:rFonts w:ascii="Segoe UI" w:hAnsi="Segoe UI" w:cs="Segoe UI"/>
          <w:lang w:eastAsia="es-CR"/>
        </w:rPr>
        <w:t xml:space="preserve">representan un 29,7% del PIB. Dentro de los fondos de pensiones privados se encuentran los planes obligatorios ocupacionales representan el 11,5% del PIB mientras que los Planes Obligatorios personales representan un 17,2% del PIB, en estos se encuentra el Régimen Obligatorio de Pensiones (ROP). Los activos de los planes voluntarios personales representan un 1% del PIB mientras que los del FCL representan un 1,7%. </w:t>
      </w:r>
    </w:p>
    <w:p w14:paraId="6A2077C1" w14:textId="77777777" w:rsidR="00A36F2D" w:rsidRPr="00F81CB3" w:rsidRDefault="00A36F2D" w:rsidP="00A36F2D">
      <w:pPr>
        <w:spacing w:after="0" w:line="240" w:lineRule="auto"/>
        <w:jc w:val="center"/>
        <w:rPr>
          <w:rFonts w:ascii="Segoe UI" w:hAnsi="Segoe UI" w:cs="Segoe UI"/>
          <w:lang w:eastAsia="es-CR"/>
        </w:rPr>
      </w:pPr>
      <w:r w:rsidRPr="00F81CB3">
        <w:rPr>
          <w:rFonts w:ascii="Segoe UI" w:hAnsi="Segoe UI" w:cs="Segoe UI"/>
          <w:lang w:eastAsia="es-CR"/>
        </w:rPr>
        <w:t>Cuadro 1</w:t>
      </w:r>
    </w:p>
    <w:tbl>
      <w:tblPr>
        <w:tblW w:w="0" w:type="auto"/>
        <w:jc w:val="center"/>
        <w:tblLayout w:type="fixed"/>
        <w:tblCellMar>
          <w:left w:w="70" w:type="dxa"/>
          <w:right w:w="70" w:type="dxa"/>
        </w:tblCellMar>
        <w:tblLook w:val="04A0" w:firstRow="1" w:lastRow="0" w:firstColumn="1" w:lastColumn="0" w:noHBand="0" w:noVBand="1"/>
      </w:tblPr>
      <w:tblGrid>
        <w:gridCol w:w="2974"/>
        <w:gridCol w:w="1132"/>
        <w:gridCol w:w="710"/>
        <w:gridCol w:w="711"/>
        <w:gridCol w:w="992"/>
        <w:gridCol w:w="711"/>
        <w:gridCol w:w="708"/>
      </w:tblGrid>
      <w:tr w:rsidR="00A36F2D" w:rsidRPr="00F81CB3" w14:paraId="40B7376E" w14:textId="77777777" w:rsidTr="00BB605A">
        <w:trPr>
          <w:trHeight w:val="60"/>
          <w:jc w:val="center"/>
        </w:trPr>
        <w:tc>
          <w:tcPr>
            <w:tcW w:w="7938" w:type="dxa"/>
            <w:gridSpan w:val="7"/>
            <w:tcBorders>
              <w:top w:val="nil"/>
              <w:left w:val="nil"/>
              <w:bottom w:val="nil"/>
              <w:right w:val="nil"/>
            </w:tcBorders>
            <w:shd w:val="clear" w:color="auto" w:fill="auto"/>
            <w:noWrap/>
            <w:vAlign w:val="bottom"/>
            <w:hideMark/>
          </w:tcPr>
          <w:p w14:paraId="7A9F1900" w14:textId="77777777" w:rsidR="00A36F2D" w:rsidRPr="00F81CB3" w:rsidRDefault="00A36F2D" w:rsidP="00BB605A">
            <w:pPr>
              <w:spacing w:after="0" w:line="240" w:lineRule="auto"/>
              <w:jc w:val="center"/>
              <w:rPr>
                <w:rFonts w:ascii="Calibri" w:eastAsia="Times New Roman" w:hAnsi="Calibri" w:cs="Calibri"/>
                <w:b/>
                <w:bCs/>
                <w:color w:val="000000"/>
                <w:sz w:val="24"/>
                <w:szCs w:val="40"/>
                <w:lang w:eastAsia="es-ES"/>
              </w:rPr>
            </w:pPr>
            <w:r w:rsidRPr="00F81CB3">
              <w:rPr>
                <w:rFonts w:ascii="Calibri" w:eastAsia="Times New Roman" w:hAnsi="Calibri" w:cs="Calibri"/>
                <w:b/>
                <w:bCs/>
                <w:color w:val="000000"/>
                <w:sz w:val="24"/>
                <w:szCs w:val="40"/>
                <w:lang w:eastAsia="es-ES"/>
              </w:rPr>
              <w:t>Sistema Nacional de Pensiones</w:t>
            </w:r>
          </w:p>
          <w:p w14:paraId="448F18CD" w14:textId="77777777" w:rsidR="00A36F2D" w:rsidRPr="00F81CB3" w:rsidRDefault="00A36F2D" w:rsidP="00BB605A">
            <w:pPr>
              <w:spacing w:after="0" w:line="240" w:lineRule="auto"/>
              <w:jc w:val="center"/>
              <w:rPr>
                <w:rFonts w:ascii="Calibri" w:eastAsia="Times New Roman" w:hAnsi="Calibri" w:cs="Calibri"/>
                <w:b/>
                <w:bCs/>
                <w:color w:val="000000"/>
                <w:sz w:val="24"/>
                <w:szCs w:val="40"/>
                <w:lang w:eastAsia="es-ES"/>
              </w:rPr>
            </w:pPr>
            <w:r w:rsidRPr="00F81CB3">
              <w:rPr>
                <w:rFonts w:ascii="Calibri" w:eastAsia="Times New Roman" w:hAnsi="Calibri" w:cs="Calibri"/>
                <w:b/>
                <w:bCs/>
                <w:color w:val="000000"/>
                <w:sz w:val="24"/>
                <w:szCs w:val="40"/>
                <w:lang w:eastAsia="es-ES"/>
              </w:rPr>
              <w:t>Clasificación OCDE</w:t>
            </w:r>
          </w:p>
        </w:tc>
      </w:tr>
      <w:tr w:rsidR="00A36F2D" w:rsidRPr="00F81CB3" w14:paraId="0CA13C12" w14:textId="77777777" w:rsidTr="00BB605A">
        <w:trPr>
          <w:trHeight w:val="300"/>
          <w:jc w:val="center"/>
        </w:trPr>
        <w:tc>
          <w:tcPr>
            <w:tcW w:w="7938" w:type="dxa"/>
            <w:gridSpan w:val="7"/>
            <w:tcBorders>
              <w:top w:val="nil"/>
              <w:left w:val="nil"/>
              <w:bottom w:val="single" w:sz="4" w:space="0" w:color="auto"/>
              <w:right w:val="nil"/>
            </w:tcBorders>
            <w:shd w:val="clear" w:color="auto" w:fill="auto"/>
            <w:noWrap/>
            <w:vAlign w:val="bottom"/>
            <w:hideMark/>
          </w:tcPr>
          <w:p w14:paraId="4FD65153" w14:textId="77777777" w:rsidR="00A36F2D" w:rsidRPr="00F81CB3" w:rsidRDefault="00A36F2D" w:rsidP="00BB605A">
            <w:pPr>
              <w:spacing w:after="0" w:line="240" w:lineRule="auto"/>
              <w:jc w:val="center"/>
              <w:rPr>
                <w:rFonts w:ascii="Calibri" w:eastAsia="Times New Roman" w:hAnsi="Calibri" w:cs="Calibri"/>
                <w:color w:val="000000"/>
                <w:sz w:val="18"/>
                <w:lang w:eastAsia="es-ES"/>
              </w:rPr>
            </w:pPr>
            <w:r w:rsidRPr="00F81CB3">
              <w:rPr>
                <w:rFonts w:ascii="Calibri" w:eastAsia="Times New Roman" w:hAnsi="Calibri" w:cs="Calibri"/>
                <w:color w:val="000000"/>
                <w:sz w:val="18"/>
                <w:lang w:eastAsia="es-ES"/>
              </w:rPr>
              <w:t xml:space="preserve">Datos en millones de colones a junio de cada año, </w:t>
            </w:r>
          </w:p>
          <w:p w14:paraId="6BFAB93D" w14:textId="77777777" w:rsidR="00A36F2D" w:rsidRPr="00F81CB3" w:rsidRDefault="00A36F2D" w:rsidP="00BB605A">
            <w:pPr>
              <w:spacing w:after="0" w:line="240" w:lineRule="auto"/>
              <w:jc w:val="center"/>
              <w:rPr>
                <w:rFonts w:ascii="Calibri" w:eastAsia="Times New Roman" w:hAnsi="Calibri" w:cs="Calibri"/>
                <w:color w:val="000000"/>
                <w:sz w:val="18"/>
                <w:lang w:eastAsia="es-ES"/>
              </w:rPr>
            </w:pPr>
            <w:r w:rsidRPr="00F81CB3">
              <w:rPr>
                <w:rFonts w:ascii="Calibri" w:eastAsia="Times New Roman" w:hAnsi="Calibri" w:cs="Calibri"/>
                <w:color w:val="000000"/>
                <w:sz w:val="18"/>
                <w:lang w:eastAsia="es-ES"/>
              </w:rPr>
              <w:t>Porcentaje PIB y tasa de crecimiento interanual</w:t>
            </w:r>
          </w:p>
        </w:tc>
      </w:tr>
      <w:tr w:rsidR="00A36F2D" w:rsidRPr="00F81CB3" w14:paraId="4D79BD6C" w14:textId="77777777" w:rsidTr="00BB605A">
        <w:trPr>
          <w:trHeight w:val="420"/>
          <w:jc w:val="center"/>
        </w:trPr>
        <w:tc>
          <w:tcPr>
            <w:tcW w:w="2974" w:type="dxa"/>
            <w:tcBorders>
              <w:top w:val="nil"/>
              <w:left w:val="nil"/>
              <w:bottom w:val="nil"/>
              <w:right w:val="nil"/>
            </w:tcBorders>
            <w:shd w:val="clear" w:color="000000" w:fill="FFFFFF"/>
            <w:noWrap/>
            <w:vAlign w:val="bottom"/>
            <w:hideMark/>
          </w:tcPr>
          <w:p w14:paraId="208A2907" w14:textId="77777777" w:rsidR="00A36F2D" w:rsidRPr="00F81CB3" w:rsidRDefault="00A36F2D" w:rsidP="00BB605A">
            <w:pPr>
              <w:spacing w:after="0" w:line="240" w:lineRule="auto"/>
              <w:rPr>
                <w:rFonts w:ascii="Calibri" w:eastAsia="Times New Roman" w:hAnsi="Calibri" w:cs="Calibri"/>
                <w:b/>
                <w:bCs/>
                <w:color w:val="000000"/>
                <w:sz w:val="18"/>
                <w:szCs w:val="32"/>
                <w:lang w:eastAsia="es-ES"/>
              </w:rPr>
            </w:pPr>
            <w:r w:rsidRPr="00F81CB3">
              <w:rPr>
                <w:rFonts w:ascii="Calibri" w:eastAsia="Times New Roman" w:hAnsi="Calibri" w:cs="Calibri"/>
                <w:b/>
                <w:bCs/>
                <w:color w:val="000000"/>
                <w:sz w:val="18"/>
                <w:szCs w:val="32"/>
                <w:lang w:eastAsia="es-ES"/>
              </w:rPr>
              <w:t>Fondos de Pensiones</w:t>
            </w:r>
          </w:p>
        </w:tc>
        <w:tc>
          <w:tcPr>
            <w:tcW w:w="2553" w:type="dxa"/>
            <w:gridSpan w:val="3"/>
            <w:tcBorders>
              <w:top w:val="single" w:sz="4" w:space="0" w:color="auto"/>
              <w:left w:val="nil"/>
              <w:bottom w:val="nil"/>
              <w:right w:val="nil"/>
            </w:tcBorders>
            <w:shd w:val="clear" w:color="auto" w:fill="auto"/>
            <w:noWrap/>
            <w:vAlign w:val="bottom"/>
            <w:hideMark/>
          </w:tcPr>
          <w:p w14:paraId="6F54A4A4" w14:textId="77777777" w:rsidR="00A36F2D" w:rsidRPr="00F81CB3" w:rsidRDefault="00A36F2D" w:rsidP="00BB605A">
            <w:pPr>
              <w:spacing w:after="0" w:line="240" w:lineRule="auto"/>
              <w:jc w:val="center"/>
              <w:rPr>
                <w:rFonts w:ascii="Calibri" w:eastAsia="Times New Roman" w:hAnsi="Calibri" w:cs="Calibri"/>
                <w:b/>
                <w:bCs/>
                <w:color w:val="000000"/>
                <w:sz w:val="18"/>
                <w:szCs w:val="32"/>
                <w:lang w:eastAsia="es-ES"/>
              </w:rPr>
            </w:pPr>
            <w:r w:rsidRPr="00F81CB3">
              <w:rPr>
                <w:rFonts w:ascii="Calibri" w:eastAsia="Times New Roman" w:hAnsi="Calibri" w:cs="Calibri"/>
                <w:b/>
                <w:bCs/>
                <w:color w:val="000000"/>
                <w:sz w:val="18"/>
                <w:szCs w:val="32"/>
                <w:lang w:eastAsia="es-ES"/>
              </w:rPr>
              <w:t>2018</w:t>
            </w:r>
          </w:p>
        </w:tc>
        <w:tc>
          <w:tcPr>
            <w:tcW w:w="2411" w:type="dxa"/>
            <w:gridSpan w:val="3"/>
            <w:tcBorders>
              <w:top w:val="single" w:sz="4" w:space="0" w:color="auto"/>
              <w:left w:val="nil"/>
              <w:bottom w:val="nil"/>
              <w:right w:val="nil"/>
            </w:tcBorders>
            <w:shd w:val="clear" w:color="auto" w:fill="auto"/>
            <w:noWrap/>
            <w:vAlign w:val="bottom"/>
            <w:hideMark/>
          </w:tcPr>
          <w:p w14:paraId="1D3D2323" w14:textId="77777777" w:rsidR="00A36F2D" w:rsidRPr="00F81CB3" w:rsidRDefault="00A36F2D" w:rsidP="00BB605A">
            <w:pPr>
              <w:spacing w:after="0" w:line="240" w:lineRule="auto"/>
              <w:jc w:val="center"/>
              <w:rPr>
                <w:rFonts w:ascii="Calibri" w:eastAsia="Times New Roman" w:hAnsi="Calibri" w:cs="Calibri"/>
                <w:b/>
                <w:bCs/>
                <w:color w:val="000000"/>
                <w:sz w:val="18"/>
                <w:szCs w:val="32"/>
                <w:lang w:eastAsia="es-ES"/>
              </w:rPr>
            </w:pPr>
            <w:r w:rsidRPr="00F81CB3">
              <w:rPr>
                <w:rFonts w:ascii="Calibri" w:eastAsia="Times New Roman" w:hAnsi="Calibri" w:cs="Calibri"/>
                <w:b/>
                <w:bCs/>
                <w:color w:val="000000"/>
                <w:sz w:val="18"/>
                <w:szCs w:val="32"/>
                <w:lang w:eastAsia="es-ES"/>
              </w:rPr>
              <w:t>2019</w:t>
            </w:r>
          </w:p>
        </w:tc>
      </w:tr>
      <w:tr w:rsidR="00A36F2D" w:rsidRPr="00F81CB3" w14:paraId="4E949064" w14:textId="77777777" w:rsidTr="00BB605A">
        <w:trPr>
          <w:trHeight w:val="188"/>
          <w:jc w:val="center"/>
        </w:trPr>
        <w:tc>
          <w:tcPr>
            <w:tcW w:w="2974" w:type="dxa"/>
            <w:tcBorders>
              <w:top w:val="nil"/>
              <w:left w:val="nil"/>
              <w:bottom w:val="nil"/>
              <w:right w:val="nil"/>
            </w:tcBorders>
            <w:shd w:val="clear" w:color="000000" w:fill="FFFFFF"/>
            <w:noWrap/>
            <w:vAlign w:val="bottom"/>
            <w:hideMark/>
          </w:tcPr>
          <w:p w14:paraId="5264AB8E" w14:textId="77777777" w:rsidR="00A36F2D" w:rsidRPr="00F81CB3" w:rsidRDefault="00A36F2D" w:rsidP="00BB605A">
            <w:pPr>
              <w:spacing w:after="0" w:line="240" w:lineRule="auto"/>
              <w:rPr>
                <w:rFonts w:ascii="Calibri" w:eastAsia="Times New Roman" w:hAnsi="Calibri" w:cs="Calibri"/>
                <w:b/>
                <w:bCs/>
                <w:color w:val="000000"/>
                <w:sz w:val="18"/>
                <w:szCs w:val="32"/>
                <w:lang w:eastAsia="es-ES"/>
              </w:rPr>
            </w:pPr>
            <w:r w:rsidRPr="00F81CB3">
              <w:rPr>
                <w:rFonts w:ascii="Calibri" w:eastAsia="Times New Roman" w:hAnsi="Calibri" w:cs="Calibri"/>
                <w:b/>
                <w:bCs/>
                <w:color w:val="000000"/>
                <w:sz w:val="18"/>
                <w:szCs w:val="32"/>
                <w:lang w:eastAsia="es-ES"/>
              </w:rPr>
              <w:t> </w:t>
            </w:r>
          </w:p>
        </w:tc>
        <w:tc>
          <w:tcPr>
            <w:tcW w:w="1132" w:type="dxa"/>
            <w:tcBorders>
              <w:top w:val="nil"/>
              <w:left w:val="nil"/>
              <w:bottom w:val="single" w:sz="8" w:space="0" w:color="auto"/>
              <w:right w:val="nil"/>
            </w:tcBorders>
            <w:shd w:val="clear" w:color="auto" w:fill="auto"/>
            <w:noWrap/>
            <w:vAlign w:val="bottom"/>
            <w:hideMark/>
          </w:tcPr>
          <w:p w14:paraId="7B163FD2"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Monto</w:t>
            </w:r>
          </w:p>
        </w:tc>
        <w:tc>
          <w:tcPr>
            <w:tcW w:w="710" w:type="dxa"/>
            <w:tcBorders>
              <w:top w:val="nil"/>
              <w:left w:val="nil"/>
              <w:bottom w:val="single" w:sz="8" w:space="0" w:color="auto"/>
              <w:right w:val="nil"/>
            </w:tcBorders>
            <w:shd w:val="clear" w:color="auto" w:fill="auto"/>
            <w:noWrap/>
            <w:vAlign w:val="bottom"/>
            <w:hideMark/>
          </w:tcPr>
          <w:p w14:paraId="1F9B684E"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 PIB</w:t>
            </w:r>
          </w:p>
        </w:tc>
        <w:tc>
          <w:tcPr>
            <w:tcW w:w="711" w:type="dxa"/>
            <w:tcBorders>
              <w:top w:val="nil"/>
              <w:left w:val="nil"/>
              <w:bottom w:val="single" w:sz="8" w:space="0" w:color="auto"/>
              <w:right w:val="nil"/>
            </w:tcBorders>
            <w:shd w:val="clear" w:color="auto" w:fill="auto"/>
            <w:noWrap/>
            <w:vAlign w:val="bottom"/>
            <w:hideMark/>
          </w:tcPr>
          <w:p w14:paraId="27FD4C7B"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 crec.</w:t>
            </w:r>
          </w:p>
        </w:tc>
        <w:tc>
          <w:tcPr>
            <w:tcW w:w="992" w:type="dxa"/>
            <w:tcBorders>
              <w:top w:val="nil"/>
              <w:left w:val="nil"/>
              <w:bottom w:val="single" w:sz="8" w:space="0" w:color="auto"/>
              <w:right w:val="nil"/>
            </w:tcBorders>
            <w:shd w:val="clear" w:color="auto" w:fill="auto"/>
            <w:noWrap/>
            <w:vAlign w:val="bottom"/>
            <w:hideMark/>
          </w:tcPr>
          <w:p w14:paraId="3B6BE3D9"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Monto</w:t>
            </w:r>
          </w:p>
        </w:tc>
        <w:tc>
          <w:tcPr>
            <w:tcW w:w="711" w:type="dxa"/>
            <w:tcBorders>
              <w:top w:val="nil"/>
              <w:left w:val="nil"/>
              <w:bottom w:val="single" w:sz="8" w:space="0" w:color="auto"/>
              <w:right w:val="nil"/>
            </w:tcBorders>
            <w:shd w:val="clear" w:color="auto" w:fill="auto"/>
            <w:noWrap/>
            <w:vAlign w:val="bottom"/>
            <w:hideMark/>
          </w:tcPr>
          <w:p w14:paraId="3510DB84"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 PIB</w:t>
            </w:r>
          </w:p>
        </w:tc>
        <w:tc>
          <w:tcPr>
            <w:tcW w:w="708" w:type="dxa"/>
            <w:tcBorders>
              <w:top w:val="nil"/>
              <w:left w:val="nil"/>
              <w:bottom w:val="single" w:sz="8" w:space="0" w:color="auto"/>
              <w:right w:val="nil"/>
            </w:tcBorders>
            <w:shd w:val="clear" w:color="auto" w:fill="auto"/>
            <w:noWrap/>
            <w:vAlign w:val="bottom"/>
            <w:hideMark/>
          </w:tcPr>
          <w:p w14:paraId="62C22F11" w14:textId="77777777" w:rsidR="00A36F2D" w:rsidRPr="00F81CB3" w:rsidRDefault="00A36F2D" w:rsidP="00BB605A">
            <w:pPr>
              <w:spacing w:after="0" w:line="240" w:lineRule="auto"/>
              <w:jc w:val="center"/>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 crec.</w:t>
            </w:r>
          </w:p>
        </w:tc>
      </w:tr>
      <w:tr w:rsidR="00A36F2D" w:rsidRPr="00F81CB3" w14:paraId="5F2250DC" w14:textId="77777777" w:rsidTr="00BB605A">
        <w:trPr>
          <w:trHeight w:val="112"/>
          <w:jc w:val="center"/>
        </w:trPr>
        <w:tc>
          <w:tcPr>
            <w:tcW w:w="2974" w:type="dxa"/>
            <w:tcBorders>
              <w:top w:val="nil"/>
              <w:left w:val="nil"/>
              <w:bottom w:val="nil"/>
              <w:right w:val="nil"/>
            </w:tcBorders>
            <w:shd w:val="clear" w:color="auto" w:fill="auto"/>
            <w:noWrap/>
            <w:vAlign w:val="bottom"/>
            <w:hideMark/>
          </w:tcPr>
          <w:p w14:paraId="347437C7" w14:textId="77777777" w:rsidR="00A36F2D" w:rsidRPr="00F81CB3" w:rsidRDefault="00A36F2D" w:rsidP="00BB605A">
            <w:pPr>
              <w:spacing w:after="0" w:line="240" w:lineRule="auto"/>
              <w:rPr>
                <w:rFonts w:ascii="Calibri" w:eastAsia="Times New Roman" w:hAnsi="Calibri" w:cs="Calibri"/>
                <w:b/>
                <w:bCs/>
                <w:color w:val="000000"/>
                <w:sz w:val="18"/>
                <w:szCs w:val="32"/>
                <w:u w:val="single"/>
                <w:lang w:eastAsia="es-ES"/>
              </w:rPr>
            </w:pPr>
            <w:r w:rsidRPr="00F81CB3">
              <w:rPr>
                <w:rFonts w:ascii="Calibri" w:eastAsia="Times New Roman" w:hAnsi="Calibri" w:cs="Calibri"/>
                <w:b/>
                <w:bCs/>
                <w:color w:val="000000"/>
                <w:sz w:val="18"/>
                <w:szCs w:val="32"/>
                <w:u w:val="single"/>
                <w:lang w:eastAsia="es-ES"/>
              </w:rPr>
              <w:t>1-) Público</w:t>
            </w:r>
          </w:p>
        </w:tc>
        <w:tc>
          <w:tcPr>
            <w:tcW w:w="1132" w:type="dxa"/>
            <w:tcBorders>
              <w:top w:val="nil"/>
              <w:left w:val="nil"/>
              <w:bottom w:val="nil"/>
              <w:right w:val="nil"/>
            </w:tcBorders>
            <w:shd w:val="clear" w:color="auto" w:fill="auto"/>
            <w:noWrap/>
            <w:vAlign w:val="bottom"/>
            <w:hideMark/>
          </w:tcPr>
          <w:p w14:paraId="698C92E6"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2 859 552</w:t>
            </w:r>
          </w:p>
        </w:tc>
        <w:tc>
          <w:tcPr>
            <w:tcW w:w="710" w:type="dxa"/>
            <w:tcBorders>
              <w:top w:val="nil"/>
              <w:left w:val="nil"/>
              <w:bottom w:val="nil"/>
              <w:right w:val="nil"/>
            </w:tcBorders>
            <w:shd w:val="clear" w:color="auto" w:fill="auto"/>
            <w:noWrap/>
            <w:vAlign w:val="bottom"/>
            <w:hideMark/>
          </w:tcPr>
          <w:p w14:paraId="50EC77F1"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8,4%</w:t>
            </w:r>
          </w:p>
        </w:tc>
        <w:tc>
          <w:tcPr>
            <w:tcW w:w="711" w:type="dxa"/>
            <w:tcBorders>
              <w:top w:val="nil"/>
              <w:left w:val="nil"/>
              <w:bottom w:val="nil"/>
              <w:right w:val="nil"/>
            </w:tcBorders>
            <w:shd w:val="clear" w:color="auto" w:fill="auto"/>
            <w:noWrap/>
            <w:vAlign w:val="bottom"/>
            <w:hideMark/>
          </w:tcPr>
          <w:p w14:paraId="1AC23218"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12,4%</w:t>
            </w:r>
          </w:p>
        </w:tc>
        <w:tc>
          <w:tcPr>
            <w:tcW w:w="992" w:type="dxa"/>
            <w:tcBorders>
              <w:top w:val="nil"/>
              <w:left w:val="nil"/>
              <w:bottom w:val="nil"/>
              <w:right w:val="nil"/>
            </w:tcBorders>
            <w:shd w:val="clear" w:color="auto" w:fill="auto"/>
            <w:noWrap/>
            <w:vAlign w:val="bottom"/>
            <w:hideMark/>
          </w:tcPr>
          <w:p w14:paraId="27087885"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2 998 277</w:t>
            </w:r>
          </w:p>
        </w:tc>
        <w:tc>
          <w:tcPr>
            <w:tcW w:w="711" w:type="dxa"/>
            <w:tcBorders>
              <w:top w:val="nil"/>
              <w:left w:val="nil"/>
              <w:bottom w:val="nil"/>
              <w:right w:val="nil"/>
            </w:tcBorders>
            <w:shd w:val="clear" w:color="auto" w:fill="auto"/>
            <w:noWrap/>
            <w:vAlign w:val="bottom"/>
            <w:hideMark/>
          </w:tcPr>
          <w:p w14:paraId="0B0449D5"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8,3%</w:t>
            </w:r>
          </w:p>
        </w:tc>
        <w:tc>
          <w:tcPr>
            <w:tcW w:w="708" w:type="dxa"/>
            <w:tcBorders>
              <w:top w:val="nil"/>
              <w:left w:val="nil"/>
              <w:bottom w:val="nil"/>
              <w:right w:val="nil"/>
            </w:tcBorders>
            <w:shd w:val="clear" w:color="auto" w:fill="auto"/>
            <w:noWrap/>
            <w:vAlign w:val="bottom"/>
            <w:hideMark/>
          </w:tcPr>
          <w:p w14:paraId="3E9116BE"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4,9%</w:t>
            </w:r>
          </w:p>
        </w:tc>
      </w:tr>
      <w:tr w:rsidR="00A36F2D" w:rsidRPr="00F81CB3" w14:paraId="552013EC" w14:textId="77777777" w:rsidTr="00BB605A">
        <w:trPr>
          <w:trHeight w:val="255"/>
          <w:jc w:val="center"/>
        </w:trPr>
        <w:tc>
          <w:tcPr>
            <w:tcW w:w="2974" w:type="dxa"/>
            <w:tcBorders>
              <w:top w:val="nil"/>
              <w:left w:val="nil"/>
              <w:bottom w:val="nil"/>
              <w:right w:val="nil"/>
            </w:tcBorders>
            <w:shd w:val="clear" w:color="000000" w:fill="FFFFFF"/>
            <w:noWrap/>
            <w:vAlign w:val="bottom"/>
            <w:hideMark/>
          </w:tcPr>
          <w:p w14:paraId="4284FFF5" w14:textId="77777777" w:rsidR="00A36F2D" w:rsidRPr="00F81CB3" w:rsidRDefault="00A36F2D" w:rsidP="00BB605A">
            <w:pPr>
              <w:spacing w:after="0" w:line="240" w:lineRule="auto"/>
              <w:rPr>
                <w:rFonts w:ascii="Calibri" w:eastAsia="Times New Roman" w:hAnsi="Calibri" w:cs="Calibri"/>
                <w:bCs/>
                <w:color w:val="000000"/>
                <w:sz w:val="18"/>
                <w:szCs w:val="24"/>
                <w:lang w:eastAsia="es-ES"/>
              </w:rPr>
            </w:pPr>
            <w:r w:rsidRPr="00F81CB3">
              <w:rPr>
                <w:rFonts w:ascii="Calibri" w:eastAsia="Times New Roman" w:hAnsi="Calibri" w:cs="Calibri"/>
                <w:bCs/>
                <w:color w:val="000000"/>
                <w:sz w:val="18"/>
                <w:szCs w:val="24"/>
                <w:lang w:eastAsia="es-ES"/>
              </w:rPr>
              <w:t>No contributivo*</w:t>
            </w:r>
          </w:p>
        </w:tc>
        <w:tc>
          <w:tcPr>
            <w:tcW w:w="1132" w:type="dxa"/>
            <w:tcBorders>
              <w:top w:val="nil"/>
              <w:left w:val="nil"/>
              <w:bottom w:val="nil"/>
              <w:right w:val="nil"/>
            </w:tcBorders>
            <w:shd w:val="clear" w:color="auto" w:fill="auto"/>
            <w:noWrap/>
            <w:vAlign w:val="bottom"/>
            <w:hideMark/>
          </w:tcPr>
          <w:p w14:paraId="035C336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133 455</w:t>
            </w:r>
          </w:p>
        </w:tc>
        <w:tc>
          <w:tcPr>
            <w:tcW w:w="710" w:type="dxa"/>
            <w:tcBorders>
              <w:top w:val="nil"/>
              <w:left w:val="nil"/>
              <w:bottom w:val="nil"/>
              <w:right w:val="nil"/>
            </w:tcBorders>
            <w:shd w:val="clear" w:color="auto" w:fill="auto"/>
            <w:noWrap/>
            <w:vAlign w:val="bottom"/>
            <w:hideMark/>
          </w:tcPr>
          <w:p w14:paraId="032C77E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0,4%</w:t>
            </w:r>
          </w:p>
        </w:tc>
        <w:tc>
          <w:tcPr>
            <w:tcW w:w="711" w:type="dxa"/>
            <w:tcBorders>
              <w:top w:val="nil"/>
              <w:left w:val="nil"/>
              <w:bottom w:val="nil"/>
              <w:right w:val="nil"/>
            </w:tcBorders>
            <w:shd w:val="clear" w:color="auto" w:fill="auto"/>
            <w:noWrap/>
            <w:vAlign w:val="bottom"/>
            <w:hideMark/>
          </w:tcPr>
          <w:p w14:paraId="5C013E1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4,1%</w:t>
            </w:r>
          </w:p>
        </w:tc>
        <w:tc>
          <w:tcPr>
            <w:tcW w:w="992" w:type="dxa"/>
            <w:tcBorders>
              <w:top w:val="nil"/>
              <w:left w:val="nil"/>
              <w:bottom w:val="nil"/>
              <w:right w:val="nil"/>
            </w:tcBorders>
            <w:shd w:val="clear" w:color="auto" w:fill="auto"/>
            <w:noWrap/>
            <w:vAlign w:val="bottom"/>
            <w:hideMark/>
          </w:tcPr>
          <w:p w14:paraId="36B91D9B"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139 255</w:t>
            </w:r>
          </w:p>
        </w:tc>
        <w:tc>
          <w:tcPr>
            <w:tcW w:w="711" w:type="dxa"/>
            <w:tcBorders>
              <w:top w:val="nil"/>
              <w:left w:val="nil"/>
              <w:bottom w:val="nil"/>
              <w:right w:val="nil"/>
            </w:tcBorders>
            <w:shd w:val="clear" w:color="auto" w:fill="auto"/>
            <w:noWrap/>
            <w:vAlign w:val="bottom"/>
            <w:hideMark/>
          </w:tcPr>
          <w:p w14:paraId="76B194D4"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0,4%</w:t>
            </w:r>
          </w:p>
        </w:tc>
        <w:tc>
          <w:tcPr>
            <w:tcW w:w="708" w:type="dxa"/>
            <w:tcBorders>
              <w:top w:val="nil"/>
              <w:left w:val="nil"/>
              <w:bottom w:val="nil"/>
              <w:right w:val="nil"/>
            </w:tcBorders>
            <w:shd w:val="clear" w:color="auto" w:fill="auto"/>
            <w:noWrap/>
            <w:vAlign w:val="bottom"/>
            <w:hideMark/>
          </w:tcPr>
          <w:p w14:paraId="15A77AD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4,3%</w:t>
            </w:r>
          </w:p>
        </w:tc>
      </w:tr>
      <w:tr w:rsidR="00A36F2D" w:rsidRPr="00F81CB3" w14:paraId="35511F8A" w14:textId="77777777" w:rsidTr="00BB605A">
        <w:trPr>
          <w:trHeight w:val="315"/>
          <w:jc w:val="center"/>
        </w:trPr>
        <w:tc>
          <w:tcPr>
            <w:tcW w:w="2974" w:type="dxa"/>
            <w:tcBorders>
              <w:top w:val="nil"/>
              <w:left w:val="nil"/>
              <w:bottom w:val="nil"/>
              <w:right w:val="nil"/>
            </w:tcBorders>
            <w:shd w:val="clear" w:color="000000" w:fill="FFFFFF"/>
            <w:noWrap/>
            <w:vAlign w:val="bottom"/>
            <w:hideMark/>
          </w:tcPr>
          <w:p w14:paraId="4AA916B5" w14:textId="77777777" w:rsidR="00A36F2D" w:rsidRPr="00F81CB3" w:rsidRDefault="00A36F2D" w:rsidP="00BB605A">
            <w:pPr>
              <w:spacing w:after="0" w:line="240" w:lineRule="auto"/>
              <w:rPr>
                <w:rFonts w:ascii="Calibri" w:eastAsia="Times New Roman" w:hAnsi="Calibri" w:cs="Calibri"/>
                <w:bCs/>
                <w:color w:val="000000"/>
                <w:sz w:val="16"/>
                <w:szCs w:val="16"/>
                <w:lang w:eastAsia="es-ES"/>
              </w:rPr>
            </w:pPr>
            <w:r w:rsidRPr="00F81CB3">
              <w:rPr>
                <w:rFonts w:ascii="Calibri" w:eastAsia="Times New Roman" w:hAnsi="Calibri" w:cs="Calibri"/>
                <w:bCs/>
                <w:color w:val="000000"/>
                <w:sz w:val="16"/>
                <w:szCs w:val="16"/>
                <w:lang w:eastAsia="es-ES"/>
              </w:rPr>
              <w:t>Régimen general seguridad Social (IVM)</w:t>
            </w:r>
          </w:p>
        </w:tc>
        <w:tc>
          <w:tcPr>
            <w:tcW w:w="1132" w:type="dxa"/>
            <w:tcBorders>
              <w:top w:val="nil"/>
              <w:left w:val="nil"/>
              <w:bottom w:val="nil"/>
              <w:right w:val="nil"/>
            </w:tcBorders>
            <w:shd w:val="clear" w:color="auto" w:fill="auto"/>
            <w:noWrap/>
            <w:vAlign w:val="bottom"/>
            <w:hideMark/>
          </w:tcPr>
          <w:p w14:paraId="53D8ECA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2 726 097</w:t>
            </w:r>
          </w:p>
        </w:tc>
        <w:tc>
          <w:tcPr>
            <w:tcW w:w="710" w:type="dxa"/>
            <w:tcBorders>
              <w:top w:val="nil"/>
              <w:left w:val="nil"/>
              <w:bottom w:val="nil"/>
              <w:right w:val="nil"/>
            </w:tcBorders>
            <w:shd w:val="clear" w:color="auto" w:fill="auto"/>
            <w:noWrap/>
            <w:vAlign w:val="bottom"/>
            <w:hideMark/>
          </w:tcPr>
          <w:p w14:paraId="43FBA6C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8,0%</w:t>
            </w:r>
          </w:p>
        </w:tc>
        <w:tc>
          <w:tcPr>
            <w:tcW w:w="711" w:type="dxa"/>
            <w:tcBorders>
              <w:top w:val="nil"/>
              <w:left w:val="nil"/>
              <w:bottom w:val="nil"/>
              <w:right w:val="nil"/>
            </w:tcBorders>
            <w:shd w:val="clear" w:color="auto" w:fill="auto"/>
            <w:noWrap/>
            <w:vAlign w:val="bottom"/>
            <w:hideMark/>
          </w:tcPr>
          <w:p w14:paraId="2839C72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12,8%</w:t>
            </w:r>
          </w:p>
        </w:tc>
        <w:tc>
          <w:tcPr>
            <w:tcW w:w="992" w:type="dxa"/>
            <w:tcBorders>
              <w:top w:val="nil"/>
              <w:left w:val="nil"/>
              <w:bottom w:val="nil"/>
              <w:right w:val="nil"/>
            </w:tcBorders>
            <w:shd w:val="clear" w:color="auto" w:fill="auto"/>
            <w:noWrap/>
            <w:vAlign w:val="bottom"/>
            <w:hideMark/>
          </w:tcPr>
          <w:p w14:paraId="4B9B13F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2 859 022</w:t>
            </w:r>
          </w:p>
        </w:tc>
        <w:tc>
          <w:tcPr>
            <w:tcW w:w="711" w:type="dxa"/>
            <w:tcBorders>
              <w:top w:val="nil"/>
              <w:left w:val="nil"/>
              <w:bottom w:val="nil"/>
              <w:right w:val="nil"/>
            </w:tcBorders>
            <w:shd w:val="clear" w:color="auto" w:fill="auto"/>
            <w:noWrap/>
            <w:vAlign w:val="bottom"/>
            <w:hideMark/>
          </w:tcPr>
          <w:p w14:paraId="1759C5E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7,9%</w:t>
            </w:r>
          </w:p>
        </w:tc>
        <w:tc>
          <w:tcPr>
            <w:tcW w:w="708" w:type="dxa"/>
            <w:tcBorders>
              <w:top w:val="nil"/>
              <w:left w:val="nil"/>
              <w:bottom w:val="nil"/>
              <w:right w:val="nil"/>
            </w:tcBorders>
            <w:shd w:val="clear" w:color="auto" w:fill="auto"/>
            <w:noWrap/>
            <w:vAlign w:val="bottom"/>
            <w:hideMark/>
          </w:tcPr>
          <w:p w14:paraId="6A0AA461"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4,9%</w:t>
            </w:r>
          </w:p>
        </w:tc>
      </w:tr>
      <w:tr w:rsidR="00A36F2D" w:rsidRPr="00F81CB3" w14:paraId="7FCA3B20" w14:textId="77777777" w:rsidTr="00BB605A">
        <w:trPr>
          <w:trHeight w:val="166"/>
          <w:jc w:val="center"/>
        </w:trPr>
        <w:tc>
          <w:tcPr>
            <w:tcW w:w="2974" w:type="dxa"/>
            <w:tcBorders>
              <w:top w:val="nil"/>
              <w:left w:val="nil"/>
              <w:bottom w:val="nil"/>
              <w:right w:val="nil"/>
            </w:tcBorders>
            <w:shd w:val="clear" w:color="000000" w:fill="FFFFFF"/>
            <w:noWrap/>
            <w:vAlign w:val="bottom"/>
            <w:hideMark/>
          </w:tcPr>
          <w:p w14:paraId="0433C61B" w14:textId="77777777" w:rsidR="00A36F2D" w:rsidRPr="00F81CB3" w:rsidRDefault="00A36F2D" w:rsidP="00BB605A">
            <w:pPr>
              <w:spacing w:after="0" w:line="240" w:lineRule="auto"/>
              <w:rPr>
                <w:rFonts w:ascii="Calibri" w:eastAsia="Times New Roman" w:hAnsi="Calibri" w:cs="Calibri"/>
                <w:b/>
                <w:bCs/>
                <w:color w:val="000000"/>
                <w:sz w:val="18"/>
                <w:szCs w:val="32"/>
                <w:u w:val="single"/>
                <w:lang w:eastAsia="es-ES"/>
              </w:rPr>
            </w:pPr>
            <w:r w:rsidRPr="00F81CB3">
              <w:rPr>
                <w:rFonts w:ascii="Calibri" w:eastAsia="Times New Roman" w:hAnsi="Calibri" w:cs="Calibri"/>
                <w:b/>
                <w:bCs/>
                <w:color w:val="000000"/>
                <w:sz w:val="18"/>
                <w:szCs w:val="32"/>
                <w:u w:val="single"/>
                <w:lang w:eastAsia="es-ES"/>
              </w:rPr>
              <w:t>2-) Privado</w:t>
            </w:r>
          </w:p>
        </w:tc>
        <w:tc>
          <w:tcPr>
            <w:tcW w:w="1132" w:type="dxa"/>
            <w:tcBorders>
              <w:top w:val="nil"/>
              <w:left w:val="nil"/>
              <w:bottom w:val="nil"/>
              <w:right w:val="nil"/>
            </w:tcBorders>
            <w:shd w:val="clear" w:color="auto" w:fill="auto"/>
            <w:noWrap/>
            <w:vAlign w:val="bottom"/>
            <w:hideMark/>
          </w:tcPr>
          <w:p w14:paraId="5143AC89"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9 411 280</w:t>
            </w:r>
          </w:p>
        </w:tc>
        <w:tc>
          <w:tcPr>
            <w:tcW w:w="710" w:type="dxa"/>
            <w:tcBorders>
              <w:top w:val="nil"/>
              <w:left w:val="nil"/>
              <w:bottom w:val="nil"/>
              <w:right w:val="nil"/>
            </w:tcBorders>
            <w:shd w:val="clear" w:color="auto" w:fill="auto"/>
            <w:noWrap/>
            <w:vAlign w:val="bottom"/>
            <w:hideMark/>
          </w:tcPr>
          <w:p w14:paraId="2C3EDC7C"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27,7%</w:t>
            </w:r>
          </w:p>
        </w:tc>
        <w:tc>
          <w:tcPr>
            <w:tcW w:w="711" w:type="dxa"/>
            <w:tcBorders>
              <w:top w:val="nil"/>
              <w:left w:val="nil"/>
              <w:bottom w:val="nil"/>
              <w:right w:val="nil"/>
            </w:tcBorders>
            <w:shd w:val="clear" w:color="auto" w:fill="auto"/>
            <w:noWrap/>
            <w:vAlign w:val="bottom"/>
            <w:hideMark/>
          </w:tcPr>
          <w:p w14:paraId="029D5D4A"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11,6%</w:t>
            </w:r>
          </w:p>
        </w:tc>
        <w:tc>
          <w:tcPr>
            <w:tcW w:w="992" w:type="dxa"/>
            <w:tcBorders>
              <w:top w:val="nil"/>
              <w:left w:val="nil"/>
              <w:bottom w:val="nil"/>
              <w:right w:val="nil"/>
            </w:tcBorders>
            <w:shd w:val="clear" w:color="auto" w:fill="auto"/>
            <w:noWrap/>
            <w:vAlign w:val="bottom"/>
            <w:hideMark/>
          </w:tcPr>
          <w:p w14:paraId="6A1083FF"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10 688 565</w:t>
            </w:r>
          </w:p>
        </w:tc>
        <w:tc>
          <w:tcPr>
            <w:tcW w:w="711" w:type="dxa"/>
            <w:tcBorders>
              <w:top w:val="nil"/>
              <w:left w:val="nil"/>
              <w:bottom w:val="nil"/>
              <w:right w:val="nil"/>
            </w:tcBorders>
            <w:shd w:val="clear" w:color="auto" w:fill="auto"/>
            <w:noWrap/>
            <w:vAlign w:val="bottom"/>
            <w:hideMark/>
          </w:tcPr>
          <w:p w14:paraId="16A4BC9C"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29,7%</w:t>
            </w:r>
          </w:p>
        </w:tc>
        <w:tc>
          <w:tcPr>
            <w:tcW w:w="708" w:type="dxa"/>
            <w:tcBorders>
              <w:top w:val="nil"/>
              <w:left w:val="nil"/>
              <w:bottom w:val="nil"/>
              <w:right w:val="nil"/>
            </w:tcBorders>
            <w:shd w:val="clear" w:color="auto" w:fill="auto"/>
            <w:noWrap/>
            <w:vAlign w:val="bottom"/>
            <w:hideMark/>
          </w:tcPr>
          <w:p w14:paraId="48E47786" w14:textId="77777777" w:rsidR="00A36F2D" w:rsidRPr="00F81CB3" w:rsidRDefault="00A36F2D" w:rsidP="00BB605A">
            <w:pPr>
              <w:spacing w:after="0" w:line="240" w:lineRule="auto"/>
              <w:jc w:val="right"/>
              <w:rPr>
                <w:rFonts w:ascii="Calibri" w:eastAsia="Times New Roman" w:hAnsi="Calibri" w:cs="Calibri"/>
                <w:b/>
                <w:bCs/>
                <w:color w:val="000000"/>
                <w:sz w:val="18"/>
                <w:u w:val="single"/>
                <w:lang w:eastAsia="es-ES"/>
              </w:rPr>
            </w:pPr>
            <w:r w:rsidRPr="00F81CB3">
              <w:rPr>
                <w:rFonts w:ascii="Calibri" w:eastAsia="Times New Roman" w:hAnsi="Calibri" w:cs="Calibri"/>
                <w:b/>
                <w:bCs/>
                <w:color w:val="000000"/>
                <w:sz w:val="18"/>
                <w:u w:val="single"/>
                <w:lang w:eastAsia="es-ES"/>
              </w:rPr>
              <w:t>13,6%</w:t>
            </w:r>
          </w:p>
        </w:tc>
      </w:tr>
      <w:tr w:rsidR="00A36F2D" w:rsidRPr="00F81CB3" w14:paraId="41CFCBB7"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0C4B269A" w14:textId="77777777" w:rsidR="00A36F2D" w:rsidRPr="00F81CB3" w:rsidRDefault="00A36F2D" w:rsidP="00BB605A">
            <w:pPr>
              <w:spacing w:after="0" w:line="240" w:lineRule="auto"/>
              <w:ind w:firstLineChars="100" w:firstLine="18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 xml:space="preserve">2.1) Planes Obligatorios </w:t>
            </w:r>
          </w:p>
        </w:tc>
        <w:tc>
          <w:tcPr>
            <w:tcW w:w="1132" w:type="dxa"/>
            <w:tcBorders>
              <w:top w:val="nil"/>
              <w:left w:val="nil"/>
              <w:bottom w:val="nil"/>
              <w:right w:val="nil"/>
            </w:tcBorders>
            <w:shd w:val="clear" w:color="auto" w:fill="auto"/>
            <w:noWrap/>
            <w:vAlign w:val="bottom"/>
            <w:hideMark/>
          </w:tcPr>
          <w:p w14:paraId="3A148BAE"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9 081 449</w:t>
            </w:r>
          </w:p>
        </w:tc>
        <w:tc>
          <w:tcPr>
            <w:tcW w:w="710" w:type="dxa"/>
            <w:tcBorders>
              <w:top w:val="nil"/>
              <w:left w:val="nil"/>
              <w:bottom w:val="nil"/>
              <w:right w:val="nil"/>
            </w:tcBorders>
            <w:shd w:val="clear" w:color="auto" w:fill="auto"/>
            <w:noWrap/>
            <w:vAlign w:val="bottom"/>
            <w:hideMark/>
          </w:tcPr>
          <w:p w14:paraId="413F72B8"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26,7%</w:t>
            </w:r>
          </w:p>
        </w:tc>
        <w:tc>
          <w:tcPr>
            <w:tcW w:w="711" w:type="dxa"/>
            <w:tcBorders>
              <w:top w:val="nil"/>
              <w:left w:val="nil"/>
              <w:bottom w:val="nil"/>
              <w:right w:val="nil"/>
            </w:tcBorders>
            <w:shd w:val="clear" w:color="auto" w:fill="auto"/>
            <w:noWrap/>
            <w:vAlign w:val="bottom"/>
            <w:hideMark/>
          </w:tcPr>
          <w:p w14:paraId="3A20D4E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11,8%</w:t>
            </w:r>
          </w:p>
        </w:tc>
        <w:tc>
          <w:tcPr>
            <w:tcW w:w="992" w:type="dxa"/>
            <w:tcBorders>
              <w:top w:val="nil"/>
              <w:left w:val="nil"/>
              <w:bottom w:val="nil"/>
              <w:right w:val="nil"/>
            </w:tcBorders>
            <w:shd w:val="clear" w:color="auto" w:fill="auto"/>
            <w:noWrap/>
            <w:vAlign w:val="bottom"/>
            <w:hideMark/>
          </w:tcPr>
          <w:p w14:paraId="1893CC5A"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10 329 984</w:t>
            </w:r>
          </w:p>
        </w:tc>
        <w:tc>
          <w:tcPr>
            <w:tcW w:w="711" w:type="dxa"/>
            <w:tcBorders>
              <w:top w:val="nil"/>
              <w:left w:val="nil"/>
              <w:bottom w:val="nil"/>
              <w:right w:val="nil"/>
            </w:tcBorders>
            <w:shd w:val="clear" w:color="auto" w:fill="auto"/>
            <w:noWrap/>
            <w:vAlign w:val="bottom"/>
            <w:hideMark/>
          </w:tcPr>
          <w:p w14:paraId="791361E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28,7%</w:t>
            </w:r>
          </w:p>
        </w:tc>
        <w:tc>
          <w:tcPr>
            <w:tcW w:w="708" w:type="dxa"/>
            <w:tcBorders>
              <w:top w:val="nil"/>
              <w:left w:val="nil"/>
              <w:bottom w:val="nil"/>
              <w:right w:val="nil"/>
            </w:tcBorders>
            <w:shd w:val="clear" w:color="auto" w:fill="auto"/>
            <w:noWrap/>
            <w:vAlign w:val="bottom"/>
            <w:hideMark/>
          </w:tcPr>
          <w:p w14:paraId="779FA02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13,7%</w:t>
            </w:r>
          </w:p>
        </w:tc>
      </w:tr>
      <w:tr w:rsidR="00A36F2D" w:rsidRPr="00F81CB3" w14:paraId="3ED984E7"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5BC6F356" w14:textId="77777777" w:rsidR="00A36F2D" w:rsidRPr="00F81CB3" w:rsidRDefault="00A36F2D" w:rsidP="00BB605A">
            <w:pPr>
              <w:spacing w:after="0" w:line="240" w:lineRule="auto"/>
              <w:ind w:firstLineChars="200" w:firstLine="36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2.1.1) Ocupacionales</w:t>
            </w:r>
          </w:p>
        </w:tc>
        <w:tc>
          <w:tcPr>
            <w:tcW w:w="1132" w:type="dxa"/>
            <w:tcBorders>
              <w:top w:val="nil"/>
              <w:left w:val="nil"/>
              <w:bottom w:val="nil"/>
              <w:right w:val="nil"/>
            </w:tcBorders>
            <w:shd w:val="clear" w:color="auto" w:fill="auto"/>
            <w:noWrap/>
            <w:vAlign w:val="bottom"/>
            <w:hideMark/>
          </w:tcPr>
          <w:p w14:paraId="7A720B7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3 707 799</w:t>
            </w:r>
          </w:p>
        </w:tc>
        <w:tc>
          <w:tcPr>
            <w:tcW w:w="710" w:type="dxa"/>
            <w:tcBorders>
              <w:top w:val="nil"/>
              <w:left w:val="nil"/>
              <w:bottom w:val="nil"/>
              <w:right w:val="nil"/>
            </w:tcBorders>
            <w:shd w:val="clear" w:color="auto" w:fill="auto"/>
            <w:noWrap/>
            <w:vAlign w:val="bottom"/>
            <w:hideMark/>
          </w:tcPr>
          <w:p w14:paraId="042FFE8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10,9%</w:t>
            </w:r>
          </w:p>
        </w:tc>
        <w:tc>
          <w:tcPr>
            <w:tcW w:w="711" w:type="dxa"/>
            <w:tcBorders>
              <w:top w:val="nil"/>
              <w:left w:val="nil"/>
              <w:bottom w:val="nil"/>
              <w:right w:val="nil"/>
            </w:tcBorders>
            <w:shd w:val="clear" w:color="auto" w:fill="auto"/>
            <w:noWrap/>
            <w:vAlign w:val="bottom"/>
            <w:hideMark/>
          </w:tcPr>
          <w:p w14:paraId="4043359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11,1%</w:t>
            </w:r>
          </w:p>
        </w:tc>
        <w:tc>
          <w:tcPr>
            <w:tcW w:w="992" w:type="dxa"/>
            <w:tcBorders>
              <w:top w:val="nil"/>
              <w:left w:val="nil"/>
              <w:bottom w:val="nil"/>
              <w:right w:val="nil"/>
            </w:tcBorders>
            <w:shd w:val="clear" w:color="auto" w:fill="auto"/>
            <w:noWrap/>
            <w:vAlign w:val="bottom"/>
            <w:hideMark/>
          </w:tcPr>
          <w:p w14:paraId="6D6C9BF4"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4 135 030</w:t>
            </w:r>
          </w:p>
        </w:tc>
        <w:tc>
          <w:tcPr>
            <w:tcW w:w="711" w:type="dxa"/>
            <w:tcBorders>
              <w:top w:val="nil"/>
              <w:left w:val="nil"/>
              <w:bottom w:val="nil"/>
              <w:right w:val="nil"/>
            </w:tcBorders>
            <w:shd w:val="clear" w:color="auto" w:fill="auto"/>
            <w:noWrap/>
            <w:vAlign w:val="bottom"/>
            <w:hideMark/>
          </w:tcPr>
          <w:p w14:paraId="7AA7CA4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11,5%</w:t>
            </w:r>
          </w:p>
        </w:tc>
        <w:tc>
          <w:tcPr>
            <w:tcW w:w="708" w:type="dxa"/>
            <w:tcBorders>
              <w:top w:val="nil"/>
              <w:left w:val="nil"/>
              <w:bottom w:val="nil"/>
              <w:right w:val="nil"/>
            </w:tcBorders>
            <w:shd w:val="clear" w:color="auto" w:fill="auto"/>
            <w:noWrap/>
            <w:vAlign w:val="bottom"/>
            <w:hideMark/>
          </w:tcPr>
          <w:p w14:paraId="1207587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11,5%</w:t>
            </w:r>
          </w:p>
        </w:tc>
      </w:tr>
      <w:tr w:rsidR="00A36F2D" w:rsidRPr="00F81CB3" w14:paraId="77ACB2EF"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39CC6A2F" w14:textId="77777777" w:rsidR="00A36F2D" w:rsidRPr="00F81CB3" w:rsidRDefault="00A36F2D" w:rsidP="00BB605A">
            <w:pPr>
              <w:spacing w:after="0" w:line="240" w:lineRule="auto"/>
              <w:ind w:firstLineChars="400" w:firstLine="72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Beneficio Definido</w:t>
            </w:r>
          </w:p>
        </w:tc>
        <w:tc>
          <w:tcPr>
            <w:tcW w:w="1132" w:type="dxa"/>
            <w:tcBorders>
              <w:top w:val="nil"/>
              <w:left w:val="nil"/>
              <w:bottom w:val="nil"/>
              <w:right w:val="nil"/>
            </w:tcBorders>
            <w:shd w:val="clear" w:color="auto" w:fill="auto"/>
            <w:noWrap/>
            <w:vAlign w:val="bottom"/>
            <w:hideMark/>
          </w:tcPr>
          <w:p w14:paraId="721265D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3 424 401</w:t>
            </w:r>
          </w:p>
        </w:tc>
        <w:tc>
          <w:tcPr>
            <w:tcW w:w="710" w:type="dxa"/>
            <w:tcBorders>
              <w:top w:val="nil"/>
              <w:left w:val="nil"/>
              <w:bottom w:val="nil"/>
              <w:right w:val="nil"/>
            </w:tcBorders>
            <w:shd w:val="clear" w:color="auto" w:fill="auto"/>
            <w:noWrap/>
            <w:vAlign w:val="bottom"/>
            <w:hideMark/>
          </w:tcPr>
          <w:p w14:paraId="46DAB27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10,1%</w:t>
            </w:r>
          </w:p>
        </w:tc>
        <w:tc>
          <w:tcPr>
            <w:tcW w:w="711" w:type="dxa"/>
            <w:tcBorders>
              <w:top w:val="nil"/>
              <w:left w:val="nil"/>
              <w:bottom w:val="nil"/>
              <w:right w:val="nil"/>
            </w:tcBorders>
            <w:shd w:val="clear" w:color="auto" w:fill="auto"/>
            <w:noWrap/>
            <w:vAlign w:val="bottom"/>
            <w:hideMark/>
          </w:tcPr>
          <w:p w14:paraId="4EFE5221"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12,1%</w:t>
            </w:r>
          </w:p>
        </w:tc>
        <w:tc>
          <w:tcPr>
            <w:tcW w:w="992" w:type="dxa"/>
            <w:tcBorders>
              <w:top w:val="nil"/>
              <w:left w:val="nil"/>
              <w:bottom w:val="nil"/>
              <w:right w:val="nil"/>
            </w:tcBorders>
            <w:shd w:val="clear" w:color="auto" w:fill="auto"/>
            <w:noWrap/>
            <w:vAlign w:val="bottom"/>
            <w:hideMark/>
          </w:tcPr>
          <w:p w14:paraId="0DA1AB5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3 844 542</w:t>
            </w:r>
          </w:p>
        </w:tc>
        <w:tc>
          <w:tcPr>
            <w:tcW w:w="711" w:type="dxa"/>
            <w:tcBorders>
              <w:top w:val="nil"/>
              <w:left w:val="nil"/>
              <w:bottom w:val="nil"/>
              <w:right w:val="nil"/>
            </w:tcBorders>
            <w:shd w:val="clear" w:color="auto" w:fill="auto"/>
            <w:noWrap/>
            <w:vAlign w:val="bottom"/>
            <w:hideMark/>
          </w:tcPr>
          <w:p w14:paraId="0E36B29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10,7%</w:t>
            </w:r>
          </w:p>
        </w:tc>
        <w:tc>
          <w:tcPr>
            <w:tcW w:w="708" w:type="dxa"/>
            <w:tcBorders>
              <w:top w:val="nil"/>
              <w:left w:val="nil"/>
              <w:bottom w:val="nil"/>
              <w:right w:val="nil"/>
            </w:tcBorders>
            <w:shd w:val="clear" w:color="auto" w:fill="auto"/>
            <w:noWrap/>
            <w:vAlign w:val="bottom"/>
            <w:hideMark/>
          </w:tcPr>
          <w:p w14:paraId="636D6AF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12,3%</w:t>
            </w:r>
          </w:p>
        </w:tc>
      </w:tr>
      <w:tr w:rsidR="00A36F2D" w:rsidRPr="00F81CB3" w14:paraId="21D2EFF8"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37595FAE" w14:textId="77777777" w:rsidR="00A36F2D" w:rsidRPr="00F81CB3" w:rsidRDefault="00A36F2D" w:rsidP="00BB605A">
            <w:pPr>
              <w:spacing w:after="0" w:line="240" w:lineRule="auto"/>
              <w:ind w:firstLineChars="600" w:firstLine="108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Básicos</w:t>
            </w:r>
          </w:p>
        </w:tc>
        <w:tc>
          <w:tcPr>
            <w:tcW w:w="1132" w:type="dxa"/>
            <w:tcBorders>
              <w:top w:val="nil"/>
              <w:left w:val="nil"/>
              <w:bottom w:val="nil"/>
              <w:right w:val="nil"/>
            </w:tcBorders>
            <w:shd w:val="clear" w:color="auto" w:fill="auto"/>
            <w:noWrap/>
            <w:vAlign w:val="bottom"/>
            <w:hideMark/>
          </w:tcPr>
          <w:p w14:paraId="7AB85C91"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2 885 299</w:t>
            </w:r>
          </w:p>
        </w:tc>
        <w:tc>
          <w:tcPr>
            <w:tcW w:w="710" w:type="dxa"/>
            <w:tcBorders>
              <w:top w:val="nil"/>
              <w:left w:val="nil"/>
              <w:bottom w:val="nil"/>
              <w:right w:val="nil"/>
            </w:tcBorders>
            <w:shd w:val="clear" w:color="auto" w:fill="auto"/>
            <w:noWrap/>
            <w:vAlign w:val="bottom"/>
            <w:hideMark/>
          </w:tcPr>
          <w:p w14:paraId="0DC4160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8,5%</w:t>
            </w:r>
          </w:p>
        </w:tc>
        <w:tc>
          <w:tcPr>
            <w:tcW w:w="711" w:type="dxa"/>
            <w:tcBorders>
              <w:top w:val="nil"/>
              <w:left w:val="nil"/>
              <w:bottom w:val="nil"/>
              <w:right w:val="nil"/>
            </w:tcBorders>
            <w:shd w:val="clear" w:color="auto" w:fill="auto"/>
            <w:noWrap/>
            <w:vAlign w:val="bottom"/>
            <w:hideMark/>
          </w:tcPr>
          <w:p w14:paraId="368D94A9"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13,6%</w:t>
            </w:r>
          </w:p>
        </w:tc>
        <w:tc>
          <w:tcPr>
            <w:tcW w:w="992" w:type="dxa"/>
            <w:tcBorders>
              <w:top w:val="nil"/>
              <w:left w:val="nil"/>
              <w:bottom w:val="nil"/>
              <w:right w:val="nil"/>
            </w:tcBorders>
            <w:shd w:val="clear" w:color="auto" w:fill="auto"/>
            <w:noWrap/>
            <w:vAlign w:val="bottom"/>
            <w:hideMark/>
          </w:tcPr>
          <w:p w14:paraId="708CDEE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3 277 012</w:t>
            </w:r>
          </w:p>
        </w:tc>
        <w:tc>
          <w:tcPr>
            <w:tcW w:w="711" w:type="dxa"/>
            <w:tcBorders>
              <w:top w:val="nil"/>
              <w:left w:val="nil"/>
              <w:bottom w:val="nil"/>
              <w:right w:val="nil"/>
            </w:tcBorders>
            <w:shd w:val="clear" w:color="auto" w:fill="auto"/>
            <w:noWrap/>
            <w:vAlign w:val="bottom"/>
            <w:hideMark/>
          </w:tcPr>
          <w:p w14:paraId="674F1C2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9,1%</w:t>
            </w:r>
          </w:p>
        </w:tc>
        <w:tc>
          <w:tcPr>
            <w:tcW w:w="708" w:type="dxa"/>
            <w:tcBorders>
              <w:top w:val="nil"/>
              <w:left w:val="nil"/>
              <w:bottom w:val="nil"/>
              <w:right w:val="nil"/>
            </w:tcBorders>
            <w:shd w:val="clear" w:color="auto" w:fill="auto"/>
            <w:noWrap/>
            <w:vAlign w:val="bottom"/>
            <w:hideMark/>
          </w:tcPr>
          <w:p w14:paraId="60F7E9D8"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13,6%</w:t>
            </w:r>
          </w:p>
        </w:tc>
      </w:tr>
      <w:tr w:rsidR="00A36F2D" w:rsidRPr="00F81CB3" w14:paraId="58D8D601"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344CB12C" w14:textId="77777777" w:rsidR="00A36F2D" w:rsidRPr="00F81CB3" w:rsidRDefault="00A36F2D" w:rsidP="00BB605A">
            <w:pPr>
              <w:spacing w:after="0" w:line="240" w:lineRule="auto"/>
              <w:ind w:firstLineChars="600" w:firstLine="108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 xml:space="preserve">Complementarios </w:t>
            </w:r>
          </w:p>
        </w:tc>
        <w:tc>
          <w:tcPr>
            <w:tcW w:w="1132" w:type="dxa"/>
            <w:tcBorders>
              <w:top w:val="nil"/>
              <w:left w:val="nil"/>
              <w:bottom w:val="nil"/>
              <w:right w:val="nil"/>
            </w:tcBorders>
            <w:shd w:val="clear" w:color="auto" w:fill="auto"/>
            <w:noWrap/>
            <w:vAlign w:val="bottom"/>
            <w:hideMark/>
          </w:tcPr>
          <w:p w14:paraId="7D35A1A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539 102</w:t>
            </w:r>
          </w:p>
        </w:tc>
        <w:tc>
          <w:tcPr>
            <w:tcW w:w="710" w:type="dxa"/>
            <w:tcBorders>
              <w:top w:val="nil"/>
              <w:left w:val="nil"/>
              <w:bottom w:val="nil"/>
              <w:right w:val="nil"/>
            </w:tcBorders>
            <w:shd w:val="clear" w:color="auto" w:fill="auto"/>
            <w:noWrap/>
            <w:vAlign w:val="bottom"/>
            <w:hideMark/>
          </w:tcPr>
          <w:p w14:paraId="0D8848A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1,6%</w:t>
            </w:r>
          </w:p>
        </w:tc>
        <w:tc>
          <w:tcPr>
            <w:tcW w:w="711" w:type="dxa"/>
            <w:tcBorders>
              <w:top w:val="nil"/>
              <w:left w:val="nil"/>
              <w:bottom w:val="nil"/>
              <w:right w:val="nil"/>
            </w:tcBorders>
            <w:shd w:val="clear" w:color="auto" w:fill="auto"/>
            <w:noWrap/>
            <w:vAlign w:val="bottom"/>
            <w:hideMark/>
          </w:tcPr>
          <w:p w14:paraId="4057402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4,6%</w:t>
            </w:r>
          </w:p>
        </w:tc>
        <w:tc>
          <w:tcPr>
            <w:tcW w:w="992" w:type="dxa"/>
            <w:tcBorders>
              <w:top w:val="nil"/>
              <w:left w:val="nil"/>
              <w:bottom w:val="nil"/>
              <w:right w:val="nil"/>
            </w:tcBorders>
            <w:shd w:val="clear" w:color="auto" w:fill="auto"/>
            <w:noWrap/>
            <w:vAlign w:val="bottom"/>
            <w:hideMark/>
          </w:tcPr>
          <w:p w14:paraId="6E44CEB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567 530</w:t>
            </w:r>
          </w:p>
        </w:tc>
        <w:tc>
          <w:tcPr>
            <w:tcW w:w="711" w:type="dxa"/>
            <w:tcBorders>
              <w:top w:val="nil"/>
              <w:left w:val="nil"/>
              <w:bottom w:val="nil"/>
              <w:right w:val="nil"/>
            </w:tcBorders>
            <w:shd w:val="clear" w:color="auto" w:fill="auto"/>
            <w:noWrap/>
            <w:vAlign w:val="bottom"/>
            <w:hideMark/>
          </w:tcPr>
          <w:p w14:paraId="60BB254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1,6%</w:t>
            </w:r>
          </w:p>
        </w:tc>
        <w:tc>
          <w:tcPr>
            <w:tcW w:w="708" w:type="dxa"/>
            <w:tcBorders>
              <w:top w:val="nil"/>
              <w:left w:val="nil"/>
              <w:bottom w:val="nil"/>
              <w:right w:val="nil"/>
            </w:tcBorders>
            <w:shd w:val="clear" w:color="auto" w:fill="auto"/>
            <w:noWrap/>
            <w:vAlign w:val="bottom"/>
            <w:hideMark/>
          </w:tcPr>
          <w:p w14:paraId="06933805"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5,3%</w:t>
            </w:r>
          </w:p>
        </w:tc>
      </w:tr>
      <w:tr w:rsidR="00A36F2D" w:rsidRPr="00F81CB3" w14:paraId="17E143AF"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1196DB6D" w14:textId="77777777" w:rsidR="00A36F2D" w:rsidRPr="00F81CB3" w:rsidRDefault="00A36F2D" w:rsidP="00BB605A">
            <w:pPr>
              <w:spacing w:after="0" w:line="240" w:lineRule="auto"/>
              <w:ind w:firstLineChars="400" w:firstLine="72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Contribución Definida</w:t>
            </w:r>
          </w:p>
        </w:tc>
        <w:tc>
          <w:tcPr>
            <w:tcW w:w="1132" w:type="dxa"/>
            <w:tcBorders>
              <w:top w:val="nil"/>
              <w:left w:val="nil"/>
              <w:bottom w:val="nil"/>
              <w:right w:val="nil"/>
            </w:tcBorders>
            <w:shd w:val="clear" w:color="auto" w:fill="auto"/>
            <w:noWrap/>
            <w:vAlign w:val="bottom"/>
            <w:hideMark/>
          </w:tcPr>
          <w:p w14:paraId="636CB02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105 856</w:t>
            </w:r>
          </w:p>
        </w:tc>
        <w:tc>
          <w:tcPr>
            <w:tcW w:w="710" w:type="dxa"/>
            <w:tcBorders>
              <w:top w:val="nil"/>
              <w:left w:val="nil"/>
              <w:bottom w:val="nil"/>
              <w:right w:val="nil"/>
            </w:tcBorders>
            <w:shd w:val="clear" w:color="auto" w:fill="auto"/>
            <w:noWrap/>
            <w:vAlign w:val="bottom"/>
            <w:hideMark/>
          </w:tcPr>
          <w:p w14:paraId="5BAD990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0,3%</w:t>
            </w:r>
          </w:p>
        </w:tc>
        <w:tc>
          <w:tcPr>
            <w:tcW w:w="711" w:type="dxa"/>
            <w:tcBorders>
              <w:top w:val="nil"/>
              <w:left w:val="nil"/>
              <w:bottom w:val="nil"/>
              <w:right w:val="nil"/>
            </w:tcBorders>
            <w:shd w:val="clear" w:color="auto" w:fill="auto"/>
            <w:noWrap/>
            <w:vAlign w:val="bottom"/>
            <w:hideMark/>
          </w:tcPr>
          <w:p w14:paraId="2DD5C1B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-1,9%</w:t>
            </w:r>
          </w:p>
        </w:tc>
        <w:tc>
          <w:tcPr>
            <w:tcW w:w="992" w:type="dxa"/>
            <w:tcBorders>
              <w:top w:val="nil"/>
              <w:left w:val="nil"/>
              <w:bottom w:val="nil"/>
              <w:right w:val="nil"/>
            </w:tcBorders>
            <w:shd w:val="clear" w:color="auto" w:fill="auto"/>
            <w:noWrap/>
            <w:vAlign w:val="bottom"/>
            <w:hideMark/>
          </w:tcPr>
          <w:p w14:paraId="7C749D0E"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111 617</w:t>
            </w:r>
          </w:p>
        </w:tc>
        <w:tc>
          <w:tcPr>
            <w:tcW w:w="711" w:type="dxa"/>
            <w:tcBorders>
              <w:top w:val="nil"/>
              <w:left w:val="nil"/>
              <w:bottom w:val="nil"/>
              <w:right w:val="nil"/>
            </w:tcBorders>
            <w:shd w:val="clear" w:color="auto" w:fill="auto"/>
            <w:noWrap/>
            <w:vAlign w:val="bottom"/>
            <w:hideMark/>
          </w:tcPr>
          <w:p w14:paraId="20BA28A9"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0,3%</w:t>
            </w:r>
          </w:p>
        </w:tc>
        <w:tc>
          <w:tcPr>
            <w:tcW w:w="708" w:type="dxa"/>
            <w:tcBorders>
              <w:top w:val="nil"/>
              <w:left w:val="nil"/>
              <w:bottom w:val="nil"/>
              <w:right w:val="nil"/>
            </w:tcBorders>
            <w:shd w:val="clear" w:color="auto" w:fill="auto"/>
            <w:noWrap/>
            <w:vAlign w:val="bottom"/>
            <w:hideMark/>
          </w:tcPr>
          <w:p w14:paraId="20B6979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5,4%</w:t>
            </w:r>
          </w:p>
        </w:tc>
      </w:tr>
      <w:tr w:rsidR="00A36F2D" w:rsidRPr="00F81CB3" w14:paraId="441CC71E"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37EE5848" w14:textId="77777777" w:rsidR="00A36F2D" w:rsidRPr="00F81CB3" w:rsidRDefault="00A36F2D" w:rsidP="00BB605A">
            <w:pPr>
              <w:spacing w:after="0" w:line="240" w:lineRule="auto"/>
              <w:ind w:firstLineChars="400" w:firstLine="72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Híbrido</w:t>
            </w:r>
          </w:p>
        </w:tc>
        <w:tc>
          <w:tcPr>
            <w:tcW w:w="1132" w:type="dxa"/>
            <w:tcBorders>
              <w:top w:val="nil"/>
              <w:left w:val="nil"/>
              <w:bottom w:val="nil"/>
              <w:right w:val="nil"/>
            </w:tcBorders>
            <w:shd w:val="clear" w:color="auto" w:fill="auto"/>
            <w:noWrap/>
            <w:vAlign w:val="bottom"/>
            <w:hideMark/>
          </w:tcPr>
          <w:p w14:paraId="4DBD957A"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177 542</w:t>
            </w:r>
          </w:p>
        </w:tc>
        <w:tc>
          <w:tcPr>
            <w:tcW w:w="710" w:type="dxa"/>
            <w:tcBorders>
              <w:top w:val="nil"/>
              <w:left w:val="nil"/>
              <w:bottom w:val="nil"/>
              <w:right w:val="nil"/>
            </w:tcBorders>
            <w:shd w:val="clear" w:color="auto" w:fill="auto"/>
            <w:noWrap/>
            <w:vAlign w:val="bottom"/>
            <w:hideMark/>
          </w:tcPr>
          <w:p w14:paraId="7D1C428E"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0,5%</w:t>
            </w:r>
          </w:p>
        </w:tc>
        <w:tc>
          <w:tcPr>
            <w:tcW w:w="711" w:type="dxa"/>
            <w:tcBorders>
              <w:top w:val="nil"/>
              <w:left w:val="nil"/>
              <w:bottom w:val="nil"/>
              <w:right w:val="nil"/>
            </w:tcBorders>
            <w:shd w:val="clear" w:color="auto" w:fill="auto"/>
            <w:noWrap/>
            <w:vAlign w:val="bottom"/>
            <w:hideMark/>
          </w:tcPr>
          <w:p w14:paraId="40324E9A"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1,9%</w:t>
            </w:r>
          </w:p>
        </w:tc>
        <w:tc>
          <w:tcPr>
            <w:tcW w:w="992" w:type="dxa"/>
            <w:tcBorders>
              <w:top w:val="nil"/>
              <w:left w:val="nil"/>
              <w:bottom w:val="nil"/>
              <w:right w:val="nil"/>
            </w:tcBorders>
            <w:shd w:val="clear" w:color="auto" w:fill="auto"/>
            <w:noWrap/>
            <w:vAlign w:val="bottom"/>
            <w:hideMark/>
          </w:tcPr>
          <w:p w14:paraId="64FE3E1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178 871</w:t>
            </w:r>
          </w:p>
        </w:tc>
        <w:tc>
          <w:tcPr>
            <w:tcW w:w="711" w:type="dxa"/>
            <w:tcBorders>
              <w:top w:val="nil"/>
              <w:left w:val="nil"/>
              <w:bottom w:val="nil"/>
              <w:right w:val="nil"/>
            </w:tcBorders>
            <w:shd w:val="clear" w:color="auto" w:fill="auto"/>
            <w:noWrap/>
            <w:vAlign w:val="bottom"/>
            <w:hideMark/>
          </w:tcPr>
          <w:p w14:paraId="08A0D186"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0,5%</w:t>
            </w:r>
          </w:p>
        </w:tc>
        <w:tc>
          <w:tcPr>
            <w:tcW w:w="708" w:type="dxa"/>
            <w:tcBorders>
              <w:top w:val="nil"/>
              <w:left w:val="nil"/>
              <w:bottom w:val="nil"/>
              <w:right w:val="nil"/>
            </w:tcBorders>
            <w:shd w:val="clear" w:color="auto" w:fill="auto"/>
            <w:noWrap/>
            <w:vAlign w:val="bottom"/>
            <w:hideMark/>
          </w:tcPr>
          <w:p w14:paraId="1C92BB01"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0,7%</w:t>
            </w:r>
          </w:p>
        </w:tc>
      </w:tr>
      <w:tr w:rsidR="00A36F2D" w:rsidRPr="00F81CB3" w14:paraId="3900D64A"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1F0F94C1" w14:textId="77777777" w:rsidR="00A36F2D" w:rsidRPr="00F81CB3" w:rsidRDefault="00A36F2D" w:rsidP="00BB605A">
            <w:pPr>
              <w:spacing w:after="0" w:line="240" w:lineRule="auto"/>
              <w:ind w:firstLineChars="200" w:firstLine="36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2.1.2) Personales</w:t>
            </w:r>
          </w:p>
        </w:tc>
        <w:tc>
          <w:tcPr>
            <w:tcW w:w="1132" w:type="dxa"/>
            <w:tcBorders>
              <w:top w:val="nil"/>
              <w:left w:val="nil"/>
              <w:bottom w:val="nil"/>
              <w:right w:val="nil"/>
            </w:tcBorders>
            <w:shd w:val="clear" w:color="auto" w:fill="auto"/>
            <w:noWrap/>
            <w:vAlign w:val="bottom"/>
            <w:hideMark/>
          </w:tcPr>
          <w:p w14:paraId="33CA753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5 373 650</w:t>
            </w:r>
          </w:p>
        </w:tc>
        <w:tc>
          <w:tcPr>
            <w:tcW w:w="710" w:type="dxa"/>
            <w:tcBorders>
              <w:top w:val="nil"/>
              <w:left w:val="nil"/>
              <w:bottom w:val="nil"/>
              <w:right w:val="nil"/>
            </w:tcBorders>
            <w:shd w:val="clear" w:color="auto" w:fill="auto"/>
            <w:noWrap/>
            <w:vAlign w:val="bottom"/>
            <w:hideMark/>
          </w:tcPr>
          <w:p w14:paraId="78FEEB2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15,8%</w:t>
            </w:r>
          </w:p>
        </w:tc>
        <w:tc>
          <w:tcPr>
            <w:tcW w:w="711" w:type="dxa"/>
            <w:tcBorders>
              <w:top w:val="nil"/>
              <w:left w:val="nil"/>
              <w:bottom w:val="nil"/>
              <w:right w:val="nil"/>
            </w:tcBorders>
            <w:shd w:val="clear" w:color="auto" w:fill="auto"/>
            <w:noWrap/>
            <w:vAlign w:val="bottom"/>
            <w:hideMark/>
          </w:tcPr>
          <w:p w14:paraId="668F6DB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12,3%</w:t>
            </w:r>
          </w:p>
        </w:tc>
        <w:tc>
          <w:tcPr>
            <w:tcW w:w="992" w:type="dxa"/>
            <w:tcBorders>
              <w:top w:val="nil"/>
              <w:left w:val="nil"/>
              <w:bottom w:val="nil"/>
              <w:right w:val="nil"/>
            </w:tcBorders>
            <w:shd w:val="clear" w:color="auto" w:fill="auto"/>
            <w:noWrap/>
            <w:vAlign w:val="bottom"/>
            <w:hideMark/>
          </w:tcPr>
          <w:p w14:paraId="2771C534"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6 194 955</w:t>
            </w:r>
          </w:p>
        </w:tc>
        <w:tc>
          <w:tcPr>
            <w:tcW w:w="711" w:type="dxa"/>
            <w:tcBorders>
              <w:top w:val="nil"/>
              <w:left w:val="nil"/>
              <w:bottom w:val="nil"/>
              <w:right w:val="nil"/>
            </w:tcBorders>
            <w:shd w:val="clear" w:color="auto" w:fill="auto"/>
            <w:noWrap/>
            <w:vAlign w:val="bottom"/>
            <w:hideMark/>
          </w:tcPr>
          <w:p w14:paraId="52A711B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17,2%</w:t>
            </w:r>
          </w:p>
        </w:tc>
        <w:tc>
          <w:tcPr>
            <w:tcW w:w="708" w:type="dxa"/>
            <w:tcBorders>
              <w:top w:val="nil"/>
              <w:left w:val="nil"/>
              <w:bottom w:val="nil"/>
              <w:right w:val="nil"/>
            </w:tcBorders>
            <w:shd w:val="clear" w:color="auto" w:fill="auto"/>
            <w:noWrap/>
            <w:vAlign w:val="bottom"/>
            <w:hideMark/>
          </w:tcPr>
          <w:p w14:paraId="6E5E76C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15,3%</w:t>
            </w:r>
          </w:p>
        </w:tc>
      </w:tr>
      <w:tr w:rsidR="00A36F2D" w:rsidRPr="00F81CB3" w14:paraId="78931F64"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7029AEB8" w14:textId="77777777" w:rsidR="00A36F2D" w:rsidRPr="00F81CB3" w:rsidRDefault="00A36F2D" w:rsidP="00BB605A">
            <w:pPr>
              <w:spacing w:after="0" w:line="240" w:lineRule="auto"/>
              <w:ind w:firstLineChars="400" w:firstLine="72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Contribución Definida (ROP)</w:t>
            </w:r>
          </w:p>
        </w:tc>
        <w:tc>
          <w:tcPr>
            <w:tcW w:w="1132" w:type="dxa"/>
            <w:tcBorders>
              <w:top w:val="nil"/>
              <w:left w:val="nil"/>
              <w:bottom w:val="nil"/>
              <w:right w:val="nil"/>
            </w:tcBorders>
            <w:shd w:val="clear" w:color="auto" w:fill="auto"/>
            <w:noWrap/>
            <w:vAlign w:val="bottom"/>
            <w:hideMark/>
          </w:tcPr>
          <w:p w14:paraId="0A20C0E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5 373 650</w:t>
            </w:r>
          </w:p>
        </w:tc>
        <w:tc>
          <w:tcPr>
            <w:tcW w:w="710" w:type="dxa"/>
            <w:tcBorders>
              <w:top w:val="nil"/>
              <w:left w:val="nil"/>
              <w:bottom w:val="nil"/>
              <w:right w:val="nil"/>
            </w:tcBorders>
            <w:shd w:val="clear" w:color="auto" w:fill="auto"/>
            <w:noWrap/>
            <w:vAlign w:val="bottom"/>
            <w:hideMark/>
          </w:tcPr>
          <w:p w14:paraId="25945148"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15,8%</w:t>
            </w:r>
          </w:p>
        </w:tc>
        <w:tc>
          <w:tcPr>
            <w:tcW w:w="711" w:type="dxa"/>
            <w:tcBorders>
              <w:top w:val="nil"/>
              <w:left w:val="nil"/>
              <w:bottom w:val="nil"/>
              <w:right w:val="nil"/>
            </w:tcBorders>
            <w:shd w:val="clear" w:color="auto" w:fill="auto"/>
            <w:noWrap/>
            <w:vAlign w:val="bottom"/>
            <w:hideMark/>
          </w:tcPr>
          <w:p w14:paraId="45FEECF4"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12,3%</w:t>
            </w:r>
          </w:p>
        </w:tc>
        <w:tc>
          <w:tcPr>
            <w:tcW w:w="992" w:type="dxa"/>
            <w:tcBorders>
              <w:top w:val="nil"/>
              <w:left w:val="nil"/>
              <w:bottom w:val="nil"/>
              <w:right w:val="nil"/>
            </w:tcBorders>
            <w:shd w:val="clear" w:color="auto" w:fill="auto"/>
            <w:noWrap/>
            <w:vAlign w:val="bottom"/>
            <w:hideMark/>
          </w:tcPr>
          <w:p w14:paraId="5FD5368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6 194 955</w:t>
            </w:r>
          </w:p>
        </w:tc>
        <w:tc>
          <w:tcPr>
            <w:tcW w:w="711" w:type="dxa"/>
            <w:tcBorders>
              <w:top w:val="nil"/>
              <w:left w:val="nil"/>
              <w:bottom w:val="nil"/>
              <w:right w:val="nil"/>
            </w:tcBorders>
            <w:shd w:val="clear" w:color="auto" w:fill="auto"/>
            <w:noWrap/>
            <w:vAlign w:val="bottom"/>
            <w:hideMark/>
          </w:tcPr>
          <w:p w14:paraId="119932A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17,2%</w:t>
            </w:r>
          </w:p>
        </w:tc>
        <w:tc>
          <w:tcPr>
            <w:tcW w:w="708" w:type="dxa"/>
            <w:tcBorders>
              <w:top w:val="nil"/>
              <w:left w:val="nil"/>
              <w:bottom w:val="nil"/>
              <w:right w:val="nil"/>
            </w:tcBorders>
            <w:shd w:val="clear" w:color="auto" w:fill="auto"/>
            <w:noWrap/>
            <w:vAlign w:val="bottom"/>
            <w:hideMark/>
          </w:tcPr>
          <w:p w14:paraId="3D3A170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15,3%</w:t>
            </w:r>
          </w:p>
        </w:tc>
      </w:tr>
      <w:tr w:rsidR="00A36F2D" w:rsidRPr="00F81CB3" w14:paraId="388F0E2E"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3F283F15" w14:textId="77777777" w:rsidR="00A36F2D" w:rsidRPr="00F81CB3" w:rsidRDefault="00A36F2D" w:rsidP="00BB605A">
            <w:pPr>
              <w:spacing w:after="0" w:line="240" w:lineRule="auto"/>
              <w:ind w:firstLineChars="100" w:firstLine="18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2.2) Planes Voluntarios Personales</w:t>
            </w:r>
          </w:p>
        </w:tc>
        <w:tc>
          <w:tcPr>
            <w:tcW w:w="1132" w:type="dxa"/>
            <w:tcBorders>
              <w:top w:val="nil"/>
              <w:left w:val="nil"/>
              <w:bottom w:val="nil"/>
              <w:right w:val="nil"/>
            </w:tcBorders>
            <w:shd w:val="clear" w:color="auto" w:fill="auto"/>
            <w:noWrap/>
            <w:vAlign w:val="bottom"/>
            <w:hideMark/>
          </w:tcPr>
          <w:p w14:paraId="0608D6E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329 831</w:t>
            </w:r>
          </w:p>
        </w:tc>
        <w:tc>
          <w:tcPr>
            <w:tcW w:w="710" w:type="dxa"/>
            <w:tcBorders>
              <w:top w:val="nil"/>
              <w:left w:val="nil"/>
              <w:bottom w:val="nil"/>
              <w:right w:val="nil"/>
            </w:tcBorders>
            <w:shd w:val="clear" w:color="auto" w:fill="auto"/>
            <w:noWrap/>
            <w:vAlign w:val="bottom"/>
            <w:hideMark/>
          </w:tcPr>
          <w:p w14:paraId="1C2A3B2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w:t>
            </w:r>
          </w:p>
        </w:tc>
        <w:tc>
          <w:tcPr>
            <w:tcW w:w="711" w:type="dxa"/>
            <w:tcBorders>
              <w:top w:val="nil"/>
              <w:left w:val="nil"/>
              <w:bottom w:val="nil"/>
              <w:right w:val="nil"/>
            </w:tcBorders>
            <w:shd w:val="clear" w:color="auto" w:fill="auto"/>
            <w:noWrap/>
            <w:vAlign w:val="bottom"/>
            <w:hideMark/>
          </w:tcPr>
          <w:p w14:paraId="1B2D41E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7,4%</w:t>
            </w:r>
          </w:p>
        </w:tc>
        <w:tc>
          <w:tcPr>
            <w:tcW w:w="992" w:type="dxa"/>
            <w:tcBorders>
              <w:top w:val="nil"/>
              <w:left w:val="nil"/>
              <w:bottom w:val="nil"/>
              <w:right w:val="nil"/>
            </w:tcBorders>
            <w:shd w:val="clear" w:color="auto" w:fill="auto"/>
            <w:noWrap/>
            <w:vAlign w:val="bottom"/>
            <w:hideMark/>
          </w:tcPr>
          <w:p w14:paraId="324728B8"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358 580</w:t>
            </w:r>
          </w:p>
        </w:tc>
        <w:tc>
          <w:tcPr>
            <w:tcW w:w="711" w:type="dxa"/>
            <w:tcBorders>
              <w:top w:val="nil"/>
              <w:left w:val="nil"/>
              <w:bottom w:val="nil"/>
              <w:right w:val="nil"/>
            </w:tcBorders>
            <w:shd w:val="clear" w:color="auto" w:fill="auto"/>
            <w:noWrap/>
            <w:vAlign w:val="bottom"/>
            <w:hideMark/>
          </w:tcPr>
          <w:p w14:paraId="6EF1EBD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w:t>
            </w:r>
          </w:p>
        </w:tc>
        <w:tc>
          <w:tcPr>
            <w:tcW w:w="708" w:type="dxa"/>
            <w:tcBorders>
              <w:top w:val="nil"/>
              <w:left w:val="nil"/>
              <w:bottom w:val="nil"/>
              <w:right w:val="nil"/>
            </w:tcBorders>
            <w:shd w:val="clear" w:color="auto" w:fill="auto"/>
            <w:noWrap/>
            <w:vAlign w:val="bottom"/>
            <w:hideMark/>
          </w:tcPr>
          <w:p w14:paraId="51F17E81"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8,7%</w:t>
            </w:r>
          </w:p>
        </w:tc>
      </w:tr>
      <w:tr w:rsidR="00A36F2D" w:rsidRPr="00F81CB3" w14:paraId="34EC90AC"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631FC317" w14:textId="77777777" w:rsidR="00A36F2D" w:rsidRPr="00F81CB3" w:rsidRDefault="00A36F2D" w:rsidP="00BB605A">
            <w:pPr>
              <w:spacing w:after="0" w:line="240" w:lineRule="auto"/>
              <w:ind w:firstLineChars="400" w:firstLine="72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Contribución Definida</w:t>
            </w:r>
          </w:p>
        </w:tc>
        <w:tc>
          <w:tcPr>
            <w:tcW w:w="1132" w:type="dxa"/>
            <w:tcBorders>
              <w:top w:val="nil"/>
              <w:left w:val="nil"/>
              <w:bottom w:val="nil"/>
              <w:right w:val="nil"/>
            </w:tcBorders>
            <w:shd w:val="clear" w:color="auto" w:fill="auto"/>
            <w:noWrap/>
            <w:vAlign w:val="bottom"/>
            <w:hideMark/>
          </w:tcPr>
          <w:p w14:paraId="548C3507"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329 831</w:t>
            </w:r>
          </w:p>
        </w:tc>
        <w:tc>
          <w:tcPr>
            <w:tcW w:w="710" w:type="dxa"/>
            <w:tcBorders>
              <w:top w:val="nil"/>
              <w:left w:val="nil"/>
              <w:bottom w:val="nil"/>
              <w:right w:val="nil"/>
            </w:tcBorders>
            <w:shd w:val="clear" w:color="auto" w:fill="auto"/>
            <w:noWrap/>
            <w:vAlign w:val="bottom"/>
            <w:hideMark/>
          </w:tcPr>
          <w:p w14:paraId="21DB280F"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w:t>
            </w:r>
          </w:p>
        </w:tc>
        <w:tc>
          <w:tcPr>
            <w:tcW w:w="711" w:type="dxa"/>
            <w:tcBorders>
              <w:top w:val="nil"/>
              <w:left w:val="nil"/>
              <w:bottom w:val="nil"/>
              <w:right w:val="nil"/>
            </w:tcBorders>
            <w:shd w:val="clear" w:color="auto" w:fill="auto"/>
            <w:noWrap/>
            <w:vAlign w:val="bottom"/>
            <w:hideMark/>
          </w:tcPr>
          <w:p w14:paraId="6F9C8B1B"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7,4%</w:t>
            </w:r>
          </w:p>
        </w:tc>
        <w:tc>
          <w:tcPr>
            <w:tcW w:w="992" w:type="dxa"/>
            <w:tcBorders>
              <w:top w:val="nil"/>
              <w:left w:val="nil"/>
              <w:bottom w:val="nil"/>
              <w:right w:val="nil"/>
            </w:tcBorders>
            <w:shd w:val="clear" w:color="auto" w:fill="auto"/>
            <w:noWrap/>
            <w:vAlign w:val="bottom"/>
            <w:hideMark/>
          </w:tcPr>
          <w:p w14:paraId="63918BD5"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358 580</w:t>
            </w:r>
          </w:p>
        </w:tc>
        <w:tc>
          <w:tcPr>
            <w:tcW w:w="711" w:type="dxa"/>
            <w:tcBorders>
              <w:top w:val="nil"/>
              <w:left w:val="nil"/>
              <w:bottom w:val="nil"/>
              <w:right w:val="nil"/>
            </w:tcBorders>
            <w:shd w:val="clear" w:color="auto" w:fill="auto"/>
            <w:noWrap/>
            <w:vAlign w:val="bottom"/>
            <w:hideMark/>
          </w:tcPr>
          <w:p w14:paraId="61AE627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1,0%</w:t>
            </w:r>
          </w:p>
        </w:tc>
        <w:tc>
          <w:tcPr>
            <w:tcW w:w="708" w:type="dxa"/>
            <w:tcBorders>
              <w:top w:val="nil"/>
              <w:left w:val="nil"/>
              <w:bottom w:val="nil"/>
              <w:right w:val="nil"/>
            </w:tcBorders>
            <w:shd w:val="clear" w:color="auto" w:fill="auto"/>
            <w:noWrap/>
            <w:vAlign w:val="bottom"/>
            <w:hideMark/>
          </w:tcPr>
          <w:p w14:paraId="7A0535C4"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8,7%</w:t>
            </w:r>
          </w:p>
        </w:tc>
      </w:tr>
      <w:tr w:rsidR="00A36F2D" w:rsidRPr="00F81CB3" w14:paraId="09369137"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7276E2AF" w14:textId="77777777" w:rsidR="00A36F2D" w:rsidRPr="00F81CB3" w:rsidRDefault="00A36F2D" w:rsidP="00BB605A">
            <w:pPr>
              <w:spacing w:after="0" w:line="240" w:lineRule="auto"/>
              <w:ind w:firstLineChars="500" w:firstLine="90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Colones</w:t>
            </w:r>
          </w:p>
        </w:tc>
        <w:tc>
          <w:tcPr>
            <w:tcW w:w="1132" w:type="dxa"/>
            <w:tcBorders>
              <w:top w:val="nil"/>
              <w:left w:val="nil"/>
              <w:bottom w:val="nil"/>
              <w:right w:val="nil"/>
            </w:tcBorders>
            <w:shd w:val="clear" w:color="auto" w:fill="auto"/>
            <w:noWrap/>
            <w:vAlign w:val="bottom"/>
            <w:hideMark/>
          </w:tcPr>
          <w:p w14:paraId="55E3495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260 792</w:t>
            </w:r>
          </w:p>
        </w:tc>
        <w:tc>
          <w:tcPr>
            <w:tcW w:w="710" w:type="dxa"/>
            <w:tcBorders>
              <w:top w:val="nil"/>
              <w:left w:val="nil"/>
              <w:bottom w:val="nil"/>
              <w:right w:val="nil"/>
            </w:tcBorders>
            <w:shd w:val="clear" w:color="auto" w:fill="auto"/>
            <w:noWrap/>
            <w:vAlign w:val="bottom"/>
            <w:hideMark/>
          </w:tcPr>
          <w:p w14:paraId="0B823CF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0,8%</w:t>
            </w:r>
          </w:p>
        </w:tc>
        <w:tc>
          <w:tcPr>
            <w:tcW w:w="711" w:type="dxa"/>
            <w:tcBorders>
              <w:top w:val="nil"/>
              <w:left w:val="nil"/>
              <w:bottom w:val="nil"/>
              <w:right w:val="nil"/>
            </w:tcBorders>
            <w:shd w:val="clear" w:color="auto" w:fill="auto"/>
            <w:noWrap/>
            <w:vAlign w:val="bottom"/>
            <w:hideMark/>
          </w:tcPr>
          <w:p w14:paraId="1E68C052"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6,9%</w:t>
            </w:r>
          </w:p>
        </w:tc>
        <w:tc>
          <w:tcPr>
            <w:tcW w:w="992" w:type="dxa"/>
            <w:tcBorders>
              <w:top w:val="nil"/>
              <w:left w:val="nil"/>
              <w:bottom w:val="nil"/>
              <w:right w:val="nil"/>
            </w:tcBorders>
            <w:shd w:val="clear" w:color="auto" w:fill="auto"/>
            <w:noWrap/>
            <w:vAlign w:val="bottom"/>
            <w:hideMark/>
          </w:tcPr>
          <w:p w14:paraId="33A6CA4E"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285 451</w:t>
            </w:r>
          </w:p>
        </w:tc>
        <w:tc>
          <w:tcPr>
            <w:tcW w:w="711" w:type="dxa"/>
            <w:tcBorders>
              <w:top w:val="nil"/>
              <w:left w:val="nil"/>
              <w:bottom w:val="nil"/>
              <w:right w:val="nil"/>
            </w:tcBorders>
            <w:shd w:val="clear" w:color="auto" w:fill="auto"/>
            <w:noWrap/>
            <w:vAlign w:val="bottom"/>
            <w:hideMark/>
          </w:tcPr>
          <w:p w14:paraId="20ABD4E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0,8%</w:t>
            </w:r>
          </w:p>
        </w:tc>
        <w:tc>
          <w:tcPr>
            <w:tcW w:w="708" w:type="dxa"/>
            <w:tcBorders>
              <w:top w:val="nil"/>
              <w:left w:val="nil"/>
              <w:bottom w:val="nil"/>
              <w:right w:val="nil"/>
            </w:tcBorders>
            <w:shd w:val="clear" w:color="auto" w:fill="auto"/>
            <w:noWrap/>
            <w:vAlign w:val="bottom"/>
            <w:hideMark/>
          </w:tcPr>
          <w:p w14:paraId="7B12543D"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9,5%</w:t>
            </w:r>
          </w:p>
        </w:tc>
      </w:tr>
      <w:tr w:rsidR="00A36F2D" w:rsidRPr="00F81CB3" w14:paraId="50CC193B" w14:textId="77777777" w:rsidTr="00BB605A">
        <w:trPr>
          <w:trHeight w:val="300"/>
          <w:jc w:val="center"/>
        </w:trPr>
        <w:tc>
          <w:tcPr>
            <w:tcW w:w="2974" w:type="dxa"/>
            <w:tcBorders>
              <w:top w:val="nil"/>
              <w:left w:val="nil"/>
              <w:bottom w:val="nil"/>
              <w:right w:val="nil"/>
            </w:tcBorders>
            <w:shd w:val="clear" w:color="000000" w:fill="FFFFFF"/>
            <w:noWrap/>
            <w:vAlign w:val="bottom"/>
            <w:hideMark/>
          </w:tcPr>
          <w:p w14:paraId="0D6D9192" w14:textId="77777777" w:rsidR="00A36F2D" w:rsidRPr="00F81CB3" w:rsidRDefault="00A36F2D" w:rsidP="00BB605A">
            <w:pPr>
              <w:spacing w:after="0" w:line="240" w:lineRule="auto"/>
              <w:ind w:firstLineChars="500" w:firstLine="900"/>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Dólares</w:t>
            </w:r>
          </w:p>
        </w:tc>
        <w:tc>
          <w:tcPr>
            <w:tcW w:w="1132" w:type="dxa"/>
            <w:tcBorders>
              <w:top w:val="nil"/>
              <w:left w:val="nil"/>
              <w:bottom w:val="nil"/>
              <w:right w:val="nil"/>
            </w:tcBorders>
            <w:shd w:val="clear" w:color="auto" w:fill="auto"/>
            <w:noWrap/>
            <w:vAlign w:val="bottom"/>
            <w:hideMark/>
          </w:tcPr>
          <w:p w14:paraId="3F76566C"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69 040</w:t>
            </w:r>
          </w:p>
        </w:tc>
        <w:tc>
          <w:tcPr>
            <w:tcW w:w="710" w:type="dxa"/>
            <w:tcBorders>
              <w:top w:val="nil"/>
              <w:left w:val="nil"/>
              <w:bottom w:val="nil"/>
              <w:right w:val="nil"/>
            </w:tcBorders>
            <w:shd w:val="clear" w:color="auto" w:fill="auto"/>
            <w:noWrap/>
            <w:vAlign w:val="bottom"/>
            <w:hideMark/>
          </w:tcPr>
          <w:p w14:paraId="39DE328B"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0,2%</w:t>
            </w:r>
          </w:p>
        </w:tc>
        <w:tc>
          <w:tcPr>
            <w:tcW w:w="711" w:type="dxa"/>
            <w:tcBorders>
              <w:top w:val="nil"/>
              <w:left w:val="nil"/>
              <w:bottom w:val="nil"/>
              <w:right w:val="nil"/>
            </w:tcBorders>
            <w:shd w:val="clear" w:color="auto" w:fill="auto"/>
            <w:noWrap/>
            <w:vAlign w:val="bottom"/>
            <w:hideMark/>
          </w:tcPr>
          <w:p w14:paraId="1C45D903"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9,3%</w:t>
            </w:r>
          </w:p>
        </w:tc>
        <w:tc>
          <w:tcPr>
            <w:tcW w:w="992" w:type="dxa"/>
            <w:tcBorders>
              <w:top w:val="nil"/>
              <w:left w:val="nil"/>
              <w:bottom w:val="nil"/>
              <w:right w:val="nil"/>
            </w:tcBorders>
            <w:shd w:val="clear" w:color="auto" w:fill="auto"/>
            <w:noWrap/>
            <w:vAlign w:val="bottom"/>
            <w:hideMark/>
          </w:tcPr>
          <w:p w14:paraId="3EA30BC0"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73 130</w:t>
            </w:r>
          </w:p>
        </w:tc>
        <w:tc>
          <w:tcPr>
            <w:tcW w:w="711" w:type="dxa"/>
            <w:tcBorders>
              <w:top w:val="nil"/>
              <w:left w:val="nil"/>
              <w:bottom w:val="nil"/>
              <w:right w:val="nil"/>
            </w:tcBorders>
            <w:shd w:val="clear" w:color="auto" w:fill="auto"/>
            <w:noWrap/>
            <w:vAlign w:val="bottom"/>
            <w:hideMark/>
          </w:tcPr>
          <w:p w14:paraId="10069F6B"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0,2%</w:t>
            </w:r>
          </w:p>
        </w:tc>
        <w:tc>
          <w:tcPr>
            <w:tcW w:w="708" w:type="dxa"/>
            <w:tcBorders>
              <w:top w:val="nil"/>
              <w:left w:val="nil"/>
              <w:bottom w:val="nil"/>
              <w:right w:val="nil"/>
            </w:tcBorders>
            <w:shd w:val="clear" w:color="auto" w:fill="auto"/>
            <w:noWrap/>
            <w:vAlign w:val="bottom"/>
            <w:hideMark/>
          </w:tcPr>
          <w:p w14:paraId="691E771A" w14:textId="77777777" w:rsidR="00A36F2D" w:rsidRPr="00F81CB3" w:rsidRDefault="00A36F2D" w:rsidP="00BB605A">
            <w:pPr>
              <w:spacing w:after="0" w:line="240" w:lineRule="auto"/>
              <w:jc w:val="right"/>
              <w:rPr>
                <w:rFonts w:ascii="Calibri" w:eastAsia="Times New Roman" w:hAnsi="Calibri" w:cs="Calibri"/>
                <w:bCs/>
                <w:color w:val="000000"/>
                <w:sz w:val="18"/>
                <w:lang w:eastAsia="es-ES"/>
              </w:rPr>
            </w:pPr>
            <w:r w:rsidRPr="00F81CB3">
              <w:rPr>
                <w:rFonts w:ascii="Calibri" w:eastAsia="Times New Roman" w:hAnsi="Calibri" w:cs="Calibri"/>
                <w:bCs/>
                <w:color w:val="000000"/>
                <w:sz w:val="18"/>
                <w:lang w:eastAsia="es-ES"/>
              </w:rPr>
              <w:t>5,9%</w:t>
            </w:r>
          </w:p>
        </w:tc>
      </w:tr>
      <w:tr w:rsidR="00A36F2D" w:rsidRPr="00F81CB3" w14:paraId="0861565C" w14:textId="77777777" w:rsidTr="00BB605A">
        <w:trPr>
          <w:trHeight w:val="242"/>
          <w:jc w:val="center"/>
        </w:trPr>
        <w:tc>
          <w:tcPr>
            <w:tcW w:w="2974" w:type="dxa"/>
            <w:tcBorders>
              <w:top w:val="nil"/>
              <w:left w:val="nil"/>
              <w:bottom w:val="nil"/>
              <w:right w:val="nil"/>
            </w:tcBorders>
            <w:shd w:val="clear" w:color="auto" w:fill="auto"/>
            <w:noWrap/>
            <w:vAlign w:val="bottom"/>
            <w:hideMark/>
          </w:tcPr>
          <w:p w14:paraId="40F0BEC8" w14:textId="77777777" w:rsidR="00A36F2D" w:rsidRPr="00F81CB3" w:rsidRDefault="00A36F2D" w:rsidP="00BB605A">
            <w:pPr>
              <w:spacing w:after="0" w:line="240" w:lineRule="auto"/>
              <w:rPr>
                <w:rFonts w:ascii="Calibri" w:eastAsia="Times New Roman" w:hAnsi="Calibri" w:cs="Calibri"/>
                <w:b/>
                <w:bCs/>
                <w:color w:val="000000"/>
                <w:sz w:val="18"/>
                <w:szCs w:val="32"/>
                <w:u w:val="single"/>
                <w:lang w:eastAsia="es-ES"/>
              </w:rPr>
            </w:pPr>
            <w:proofErr w:type="gramStart"/>
            <w:r w:rsidRPr="00F81CB3">
              <w:rPr>
                <w:rFonts w:ascii="Calibri" w:eastAsia="Times New Roman" w:hAnsi="Calibri" w:cs="Calibri"/>
                <w:b/>
                <w:bCs/>
                <w:color w:val="000000"/>
                <w:sz w:val="18"/>
                <w:szCs w:val="32"/>
                <w:u w:val="single"/>
                <w:lang w:eastAsia="es-ES"/>
              </w:rPr>
              <w:t>Total</w:t>
            </w:r>
            <w:proofErr w:type="gramEnd"/>
            <w:r w:rsidRPr="00F81CB3">
              <w:rPr>
                <w:rFonts w:ascii="Calibri" w:eastAsia="Times New Roman" w:hAnsi="Calibri" w:cs="Calibri"/>
                <w:b/>
                <w:bCs/>
                <w:color w:val="000000"/>
                <w:sz w:val="18"/>
                <w:szCs w:val="32"/>
                <w:u w:val="single"/>
                <w:lang w:eastAsia="es-ES"/>
              </w:rPr>
              <w:t xml:space="preserve"> de Activos Netos SNP</w:t>
            </w:r>
          </w:p>
        </w:tc>
        <w:tc>
          <w:tcPr>
            <w:tcW w:w="1132" w:type="dxa"/>
            <w:tcBorders>
              <w:top w:val="nil"/>
              <w:left w:val="nil"/>
              <w:bottom w:val="nil"/>
              <w:right w:val="nil"/>
            </w:tcBorders>
            <w:shd w:val="clear" w:color="000000" w:fill="FFFFFF"/>
            <w:noWrap/>
            <w:vAlign w:val="bottom"/>
            <w:hideMark/>
          </w:tcPr>
          <w:p w14:paraId="6ED3CA08"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12 137 377</w:t>
            </w:r>
          </w:p>
        </w:tc>
        <w:tc>
          <w:tcPr>
            <w:tcW w:w="710" w:type="dxa"/>
            <w:tcBorders>
              <w:top w:val="nil"/>
              <w:left w:val="nil"/>
              <w:bottom w:val="nil"/>
              <w:right w:val="nil"/>
            </w:tcBorders>
            <w:shd w:val="clear" w:color="000000" w:fill="FFFFFF"/>
            <w:noWrap/>
            <w:vAlign w:val="bottom"/>
            <w:hideMark/>
          </w:tcPr>
          <w:p w14:paraId="4DFA8AC5"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35,7%</w:t>
            </w:r>
          </w:p>
        </w:tc>
        <w:tc>
          <w:tcPr>
            <w:tcW w:w="711" w:type="dxa"/>
            <w:tcBorders>
              <w:top w:val="nil"/>
              <w:left w:val="nil"/>
              <w:bottom w:val="nil"/>
              <w:right w:val="nil"/>
            </w:tcBorders>
            <w:shd w:val="clear" w:color="000000" w:fill="FFFFFF"/>
            <w:noWrap/>
            <w:vAlign w:val="bottom"/>
            <w:hideMark/>
          </w:tcPr>
          <w:p w14:paraId="1FAA76C5"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11,9%</w:t>
            </w:r>
          </w:p>
        </w:tc>
        <w:tc>
          <w:tcPr>
            <w:tcW w:w="992" w:type="dxa"/>
            <w:tcBorders>
              <w:top w:val="nil"/>
              <w:left w:val="nil"/>
              <w:bottom w:val="nil"/>
              <w:right w:val="nil"/>
            </w:tcBorders>
            <w:shd w:val="clear" w:color="000000" w:fill="FFFFFF"/>
            <w:noWrap/>
            <w:vAlign w:val="bottom"/>
            <w:hideMark/>
          </w:tcPr>
          <w:p w14:paraId="699B16D1"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13 547 587</w:t>
            </w:r>
          </w:p>
        </w:tc>
        <w:tc>
          <w:tcPr>
            <w:tcW w:w="711" w:type="dxa"/>
            <w:tcBorders>
              <w:top w:val="nil"/>
              <w:left w:val="nil"/>
              <w:bottom w:val="nil"/>
              <w:right w:val="nil"/>
            </w:tcBorders>
            <w:shd w:val="clear" w:color="000000" w:fill="FFFFFF"/>
            <w:noWrap/>
            <w:vAlign w:val="bottom"/>
            <w:hideMark/>
          </w:tcPr>
          <w:p w14:paraId="7DC7330D"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37,6%</w:t>
            </w:r>
          </w:p>
        </w:tc>
        <w:tc>
          <w:tcPr>
            <w:tcW w:w="708" w:type="dxa"/>
            <w:tcBorders>
              <w:top w:val="nil"/>
              <w:left w:val="nil"/>
              <w:bottom w:val="nil"/>
              <w:right w:val="nil"/>
            </w:tcBorders>
            <w:shd w:val="clear" w:color="000000" w:fill="FFFFFF"/>
            <w:noWrap/>
            <w:vAlign w:val="bottom"/>
            <w:hideMark/>
          </w:tcPr>
          <w:p w14:paraId="5DFE85D6"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11,6%</w:t>
            </w:r>
          </w:p>
        </w:tc>
      </w:tr>
      <w:tr w:rsidR="00A36F2D" w:rsidRPr="00F81CB3" w14:paraId="15F16096" w14:textId="77777777" w:rsidTr="00BB605A">
        <w:trPr>
          <w:trHeight w:val="275"/>
          <w:jc w:val="center"/>
        </w:trPr>
        <w:tc>
          <w:tcPr>
            <w:tcW w:w="2974" w:type="dxa"/>
            <w:tcBorders>
              <w:top w:val="nil"/>
              <w:left w:val="nil"/>
              <w:bottom w:val="nil"/>
              <w:right w:val="nil"/>
            </w:tcBorders>
            <w:shd w:val="clear" w:color="000000" w:fill="FFFFFF"/>
            <w:noWrap/>
            <w:vAlign w:val="bottom"/>
            <w:hideMark/>
          </w:tcPr>
          <w:p w14:paraId="193AC551" w14:textId="77777777" w:rsidR="00A36F2D" w:rsidRPr="00F81CB3" w:rsidRDefault="00A36F2D" w:rsidP="00BB605A">
            <w:pPr>
              <w:spacing w:after="0" w:line="240" w:lineRule="auto"/>
              <w:rPr>
                <w:rFonts w:ascii="Calibri" w:eastAsia="Times New Roman" w:hAnsi="Calibri" w:cs="Calibri"/>
                <w:b/>
                <w:bCs/>
                <w:color w:val="000000"/>
                <w:sz w:val="18"/>
                <w:szCs w:val="32"/>
                <w:u w:val="single"/>
                <w:lang w:eastAsia="es-ES"/>
              </w:rPr>
            </w:pPr>
            <w:r w:rsidRPr="00F81CB3">
              <w:rPr>
                <w:rFonts w:ascii="Calibri" w:eastAsia="Times New Roman" w:hAnsi="Calibri" w:cs="Calibri"/>
                <w:b/>
                <w:bCs/>
                <w:color w:val="000000"/>
                <w:sz w:val="18"/>
                <w:szCs w:val="32"/>
                <w:u w:val="single"/>
                <w:lang w:eastAsia="es-ES"/>
              </w:rPr>
              <w:t>3-) Fondo de Capitalización Laboral</w:t>
            </w:r>
          </w:p>
        </w:tc>
        <w:tc>
          <w:tcPr>
            <w:tcW w:w="1132" w:type="dxa"/>
            <w:tcBorders>
              <w:top w:val="nil"/>
              <w:left w:val="nil"/>
              <w:bottom w:val="nil"/>
              <w:right w:val="nil"/>
            </w:tcBorders>
            <w:shd w:val="clear" w:color="auto" w:fill="auto"/>
            <w:noWrap/>
            <w:vAlign w:val="bottom"/>
            <w:hideMark/>
          </w:tcPr>
          <w:p w14:paraId="7EB0693F"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525 666</w:t>
            </w:r>
          </w:p>
        </w:tc>
        <w:tc>
          <w:tcPr>
            <w:tcW w:w="710" w:type="dxa"/>
            <w:tcBorders>
              <w:top w:val="nil"/>
              <w:left w:val="nil"/>
              <w:bottom w:val="nil"/>
              <w:right w:val="nil"/>
            </w:tcBorders>
            <w:shd w:val="clear" w:color="auto" w:fill="auto"/>
            <w:noWrap/>
            <w:vAlign w:val="bottom"/>
            <w:hideMark/>
          </w:tcPr>
          <w:p w14:paraId="50C29843"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1,5%</w:t>
            </w:r>
          </w:p>
        </w:tc>
        <w:tc>
          <w:tcPr>
            <w:tcW w:w="711" w:type="dxa"/>
            <w:tcBorders>
              <w:top w:val="nil"/>
              <w:left w:val="nil"/>
              <w:bottom w:val="nil"/>
              <w:right w:val="nil"/>
            </w:tcBorders>
            <w:shd w:val="clear" w:color="auto" w:fill="auto"/>
            <w:noWrap/>
            <w:vAlign w:val="bottom"/>
            <w:hideMark/>
          </w:tcPr>
          <w:p w14:paraId="54581E47"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11,4%</w:t>
            </w:r>
          </w:p>
        </w:tc>
        <w:tc>
          <w:tcPr>
            <w:tcW w:w="992" w:type="dxa"/>
            <w:tcBorders>
              <w:top w:val="nil"/>
              <w:left w:val="nil"/>
              <w:bottom w:val="nil"/>
              <w:right w:val="nil"/>
            </w:tcBorders>
            <w:shd w:val="clear" w:color="auto" w:fill="auto"/>
            <w:noWrap/>
            <w:vAlign w:val="bottom"/>
            <w:hideMark/>
          </w:tcPr>
          <w:p w14:paraId="538E5EC3"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595 002</w:t>
            </w:r>
          </w:p>
        </w:tc>
        <w:tc>
          <w:tcPr>
            <w:tcW w:w="711" w:type="dxa"/>
            <w:tcBorders>
              <w:top w:val="nil"/>
              <w:left w:val="nil"/>
              <w:bottom w:val="nil"/>
              <w:right w:val="nil"/>
            </w:tcBorders>
            <w:shd w:val="clear" w:color="auto" w:fill="auto"/>
            <w:noWrap/>
            <w:vAlign w:val="bottom"/>
            <w:hideMark/>
          </w:tcPr>
          <w:p w14:paraId="17D637EF"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1,7%</w:t>
            </w:r>
          </w:p>
        </w:tc>
        <w:tc>
          <w:tcPr>
            <w:tcW w:w="708" w:type="dxa"/>
            <w:tcBorders>
              <w:top w:val="nil"/>
              <w:left w:val="nil"/>
              <w:bottom w:val="nil"/>
              <w:right w:val="nil"/>
            </w:tcBorders>
            <w:shd w:val="clear" w:color="auto" w:fill="auto"/>
            <w:noWrap/>
            <w:vAlign w:val="bottom"/>
            <w:hideMark/>
          </w:tcPr>
          <w:p w14:paraId="102C7E2E"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13,2%</w:t>
            </w:r>
          </w:p>
        </w:tc>
      </w:tr>
      <w:tr w:rsidR="00A36F2D" w:rsidRPr="00F81CB3" w14:paraId="7C9C3A24" w14:textId="77777777" w:rsidTr="00BB605A">
        <w:trPr>
          <w:trHeight w:val="292"/>
          <w:jc w:val="center"/>
        </w:trPr>
        <w:tc>
          <w:tcPr>
            <w:tcW w:w="2974" w:type="dxa"/>
            <w:tcBorders>
              <w:top w:val="nil"/>
              <w:left w:val="nil"/>
              <w:bottom w:val="nil"/>
              <w:right w:val="nil"/>
            </w:tcBorders>
            <w:shd w:val="clear" w:color="auto" w:fill="auto"/>
            <w:noWrap/>
            <w:vAlign w:val="bottom"/>
            <w:hideMark/>
          </w:tcPr>
          <w:p w14:paraId="681324F8" w14:textId="77777777" w:rsidR="00A36F2D" w:rsidRPr="00F81CB3" w:rsidRDefault="00A36F2D" w:rsidP="00BB605A">
            <w:pPr>
              <w:spacing w:after="0" w:line="240" w:lineRule="auto"/>
              <w:rPr>
                <w:rFonts w:ascii="Calibri" w:eastAsia="Times New Roman" w:hAnsi="Calibri" w:cs="Calibri"/>
                <w:b/>
                <w:bCs/>
                <w:color w:val="000000"/>
                <w:sz w:val="18"/>
                <w:szCs w:val="32"/>
                <w:u w:val="single"/>
                <w:lang w:eastAsia="es-ES"/>
              </w:rPr>
            </w:pPr>
            <w:r w:rsidRPr="00F81CB3">
              <w:rPr>
                <w:rFonts w:ascii="Calibri" w:eastAsia="Times New Roman" w:hAnsi="Calibri" w:cs="Calibri"/>
                <w:b/>
                <w:bCs/>
                <w:color w:val="000000"/>
                <w:sz w:val="18"/>
                <w:szCs w:val="32"/>
                <w:u w:val="single"/>
                <w:lang w:eastAsia="es-ES"/>
              </w:rPr>
              <w:t>Total, de Activos SNP y FCL</w:t>
            </w:r>
          </w:p>
        </w:tc>
        <w:tc>
          <w:tcPr>
            <w:tcW w:w="1132" w:type="dxa"/>
            <w:tcBorders>
              <w:top w:val="nil"/>
              <w:left w:val="nil"/>
              <w:bottom w:val="single" w:sz="8" w:space="0" w:color="auto"/>
              <w:right w:val="nil"/>
            </w:tcBorders>
            <w:shd w:val="clear" w:color="000000" w:fill="FFFFFF"/>
            <w:noWrap/>
            <w:vAlign w:val="bottom"/>
            <w:hideMark/>
          </w:tcPr>
          <w:p w14:paraId="417E2D10"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12 663 043</w:t>
            </w:r>
          </w:p>
        </w:tc>
        <w:tc>
          <w:tcPr>
            <w:tcW w:w="710" w:type="dxa"/>
            <w:tcBorders>
              <w:top w:val="nil"/>
              <w:left w:val="nil"/>
              <w:bottom w:val="single" w:sz="8" w:space="0" w:color="auto"/>
              <w:right w:val="nil"/>
            </w:tcBorders>
            <w:shd w:val="clear" w:color="000000" w:fill="FFFFFF"/>
            <w:noWrap/>
            <w:vAlign w:val="bottom"/>
            <w:hideMark/>
          </w:tcPr>
          <w:p w14:paraId="20939907"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37,3%</w:t>
            </w:r>
          </w:p>
        </w:tc>
        <w:tc>
          <w:tcPr>
            <w:tcW w:w="711" w:type="dxa"/>
            <w:tcBorders>
              <w:top w:val="nil"/>
              <w:left w:val="nil"/>
              <w:bottom w:val="single" w:sz="8" w:space="0" w:color="auto"/>
              <w:right w:val="nil"/>
            </w:tcBorders>
            <w:shd w:val="clear" w:color="000000" w:fill="FFFFFF"/>
            <w:noWrap/>
            <w:vAlign w:val="bottom"/>
            <w:hideMark/>
          </w:tcPr>
          <w:p w14:paraId="59626FB1"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11,9%</w:t>
            </w:r>
          </w:p>
        </w:tc>
        <w:tc>
          <w:tcPr>
            <w:tcW w:w="992" w:type="dxa"/>
            <w:tcBorders>
              <w:top w:val="nil"/>
              <w:left w:val="nil"/>
              <w:bottom w:val="single" w:sz="8" w:space="0" w:color="auto"/>
              <w:right w:val="nil"/>
            </w:tcBorders>
            <w:shd w:val="clear" w:color="000000" w:fill="FFFFFF"/>
            <w:noWrap/>
            <w:vAlign w:val="bottom"/>
            <w:hideMark/>
          </w:tcPr>
          <w:p w14:paraId="3063C473"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14 142 589</w:t>
            </w:r>
          </w:p>
        </w:tc>
        <w:tc>
          <w:tcPr>
            <w:tcW w:w="711" w:type="dxa"/>
            <w:tcBorders>
              <w:top w:val="nil"/>
              <w:left w:val="nil"/>
              <w:bottom w:val="single" w:sz="8" w:space="0" w:color="auto"/>
              <w:right w:val="nil"/>
            </w:tcBorders>
            <w:shd w:val="clear" w:color="000000" w:fill="FFFFFF"/>
            <w:noWrap/>
            <w:vAlign w:val="bottom"/>
            <w:hideMark/>
          </w:tcPr>
          <w:p w14:paraId="7E743FDF"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39,3%</w:t>
            </w:r>
          </w:p>
        </w:tc>
        <w:tc>
          <w:tcPr>
            <w:tcW w:w="708" w:type="dxa"/>
            <w:tcBorders>
              <w:top w:val="nil"/>
              <w:left w:val="nil"/>
              <w:bottom w:val="single" w:sz="8" w:space="0" w:color="auto"/>
              <w:right w:val="nil"/>
            </w:tcBorders>
            <w:shd w:val="clear" w:color="000000" w:fill="FFFFFF"/>
            <w:noWrap/>
            <w:vAlign w:val="bottom"/>
            <w:hideMark/>
          </w:tcPr>
          <w:p w14:paraId="4CC354E2" w14:textId="77777777" w:rsidR="00A36F2D" w:rsidRPr="00F81CB3" w:rsidRDefault="00A36F2D" w:rsidP="00BB605A">
            <w:pPr>
              <w:spacing w:after="0" w:line="240" w:lineRule="auto"/>
              <w:jc w:val="right"/>
              <w:rPr>
                <w:rFonts w:ascii="Calibri" w:eastAsia="Times New Roman" w:hAnsi="Calibri" w:cs="Calibri"/>
                <w:b/>
                <w:bCs/>
                <w:color w:val="000000"/>
                <w:sz w:val="18"/>
                <w:lang w:eastAsia="es-ES"/>
              </w:rPr>
            </w:pPr>
            <w:r w:rsidRPr="00F81CB3">
              <w:rPr>
                <w:rFonts w:ascii="Calibri" w:eastAsia="Times New Roman" w:hAnsi="Calibri" w:cs="Calibri"/>
                <w:b/>
                <w:bCs/>
                <w:color w:val="000000"/>
                <w:sz w:val="18"/>
                <w:lang w:eastAsia="es-ES"/>
              </w:rPr>
              <w:t>11,7%</w:t>
            </w:r>
          </w:p>
        </w:tc>
      </w:tr>
      <w:tr w:rsidR="00A36F2D" w:rsidRPr="00F81CB3" w14:paraId="388FEA2F" w14:textId="77777777" w:rsidTr="00BB605A">
        <w:trPr>
          <w:trHeight w:val="300"/>
          <w:jc w:val="center"/>
        </w:trPr>
        <w:tc>
          <w:tcPr>
            <w:tcW w:w="7938" w:type="dxa"/>
            <w:gridSpan w:val="7"/>
            <w:tcBorders>
              <w:top w:val="nil"/>
              <w:left w:val="nil"/>
              <w:bottom w:val="nil"/>
            </w:tcBorders>
            <w:shd w:val="clear" w:color="000000" w:fill="FFFFFF"/>
            <w:noWrap/>
            <w:vAlign w:val="bottom"/>
            <w:hideMark/>
          </w:tcPr>
          <w:p w14:paraId="106F6154" w14:textId="77777777" w:rsidR="00A36F2D" w:rsidRPr="00B40D3B" w:rsidRDefault="00A36F2D" w:rsidP="00BB605A">
            <w:pPr>
              <w:spacing w:after="0" w:line="240" w:lineRule="auto"/>
              <w:rPr>
                <w:rFonts w:ascii="Segoe UI" w:eastAsia="Times New Roman" w:hAnsi="Segoe UI" w:cs="Segoe UI"/>
                <w:iCs/>
                <w:sz w:val="14"/>
                <w:szCs w:val="20"/>
                <w:lang w:eastAsia="es-ES"/>
              </w:rPr>
            </w:pPr>
            <w:r w:rsidRPr="00B40D3B">
              <w:rPr>
                <w:rFonts w:ascii="Segoe UI" w:eastAsia="Times New Roman" w:hAnsi="Segoe UI" w:cs="Segoe UI"/>
                <w:iCs/>
                <w:sz w:val="14"/>
                <w:szCs w:val="20"/>
                <w:lang w:eastAsia="es-ES"/>
              </w:rPr>
              <w:lastRenderedPageBreak/>
              <w:t>*No son Activos, se reporta en monto de beneficio reportado por CCSS RNC y DNP.</w:t>
            </w:r>
          </w:p>
          <w:p w14:paraId="1BF59CDF" w14:textId="77777777" w:rsidR="00A36F2D" w:rsidRPr="00B40D3B" w:rsidRDefault="00A36F2D" w:rsidP="00BB605A">
            <w:pPr>
              <w:spacing w:after="0" w:line="240" w:lineRule="auto"/>
              <w:rPr>
                <w:rFonts w:ascii="Times New Roman" w:eastAsia="Times New Roman" w:hAnsi="Times New Roman" w:cs="Times New Roman"/>
                <w:sz w:val="14"/>
                <w:szCs w:val="20"/>
                <w:lang w:eastAsia="es-ES"/>
              </w:rPr>
            </w:pPr>
          </w:p>
        </w:tc>
      </w:tr>
    </w:tbl>
    <w:p w14:paraId="0417D862"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El </w:t>
      </w:r>
      <w:r>
        <w:rPr>
          <w:rFonts w:ascii="Segoe UI" w:hAnsi="Segoe UI" w:cs="Segoe UI"/>
        </w:rPr>
        <w:t>g</w:t>
      </w:r>
      <w:r w:rsidRPr="00F81CB3">
        <w:rPr>
          <w:rFonts w:ascii="Segoe UI" w:hAnsi="Segoe UI" w:cs="Segoe UI"/>
        </w:rPr>
        <w:t>ráfico</w:t>
      </w:r>
      <w:r>
        <w:rPr>
          <w:rFonts w:ascii="Segoe UI" w:hAnsi="Segoe UI" w:cs="Segoe UI"/>
        </w:rPr>
        <w:t xml:space="preserve"> 1</w:t>
      </w:r>
      <w:r w:rsidRPr="00F81CB3">
        <w:rPr>
          <w:rFonts w:ascii="Segoe UI" w:hAnsi="Segoe UI" w:cs="Segoe UI"/>
        </w:rPr>
        <w:t xml:space="preserve"> muestra la evolución del activo total del 2009 al 2019 como porcentaje del PIB. En los regímenes de pensión obligatorios ocupacionales se encuentra el régimen de capitalización colectiva del Magisterio Nacional, que administra a junio </w:t>
      </w:r>
      <w:r>
        <w:rPr>
          <w:rFonts w:ascii="Segoe UI" w:hAnsi="Segoe UI" w:cs="Segoe UI"/>
        </w:rPr>
        <w:t xml:space="preserve">del </w:t>
      </w:r>
      <w:r w:rsidRPr="00F81CB3">
        <w:rPr>
          <w:rFonts w:ascii="Segoe UI" w:hAnsi="Segoe UI" w:cs="Segoe UI"/>
        </w:rPr>
        <w:t xml:space="preserve">2019 un 19,7% del PIB, por su parte el Fondo del Poder Judicial gestiona </w:t>
      </w:r>
      <w:r>
        <w:rPr>
          <w:rFonts w:ascii="Segoe UI" w:hAnsi="Segoe UI" w:cs="Segoe UI"/>
        </w:rPr>
        <w:t xml:space="preserve">el </w:t>
      </w:r>
      <w:r w:rsidRPr="00F81CB3">
        <w:rPr>
          <w:rFonts w:ascii="Segoe UI" w:hAnsi="Segoe UI" w:cs="Segoe UI"/>
        </w:rPr>
        <w:t>4,1%</w:t>
      </w:r>
      <w:r>
        <w:rPr>
          <w:rFonts w:ascii="Segoe UI" w:hAnsi="Segoe UI" w:cs="Segoe UI"/>
        </w:rPr>
        <w:t xml:space="preserve"> del PIB</w:t>
      </w:r>
      <w:r w:rsidRPr="00F81CB3">
        <w:rPr>
          <w:rFonts w:ascii="Segoe UI" w:hAnsi="Segoe UI" w:cs="Segoe UI"/>
        </w:rPr>
        <w:t xml:space="preserve">, el Régimen Obligatorio de Pensiones (ROP) </w:t>
      </w:r>
      <w:r>
        <w:rPr>
          <w:rFonts w:ascii="Segoe UI" w:hAnsi="Segoe UI" w:cs="Segoe UI"/>
        </w:rPr>
        <w:t xml:space="preserve">que según la clasificación de OCDE es un Ocupacional Personal </w:t>
      </w:r>
      <w:r w:rsidRPr="00F81CB3">
        <w:rPr>
          <w:rFonts w:ascii="Segoe UI" w:hAnsi="Segoe UI" w:cs="Segoe UI"/>
        </w:rPr>
        <w:t>con 17,4%</w:t>
      </w:r>
      <w:r>
        <w:rPr>
          <w:rFonts w:ascii="Segoe UI" w:hAnsi="Segoe UI" w:cs="Segoe UI"/>
        </w:rPr>
        <w:t xml:space="preserve"> del PIB</w:t>
      </w:r>
      <w:r w:rsidRPr="00F81CB3">
        <w:rPr>
          <w:rFonts w:ascii="Segoe UI" w:hAnsi="Segoe UI" w:cs="Segoe UI"/>
        </w:rPr>
        <w:t>.</w:t>
      </w:r>
    </w:p>
    <w:p w14:paraId="21D4C9C5"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Gráfico 1</w:t>
      </w:r>
    </w:p>
    <w:p w14:paraId="7B4D5DCF"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Sistema Nacional de Pensiones</w:t>
      </w:r>
    </w:p>
    <w:p w14:paraId="6214C6D5"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Activos Totales</w:t>
      </w:r>
    </w:p>
    <w:p w14:paraId="521CC44D"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Porcentaje del PIB</w:t>
      </w:r>
    </w:p>
    <w:p w14:paraId="34A39F88" w14:textId="77777777" w:rsidR="00A36F2D" w:rsidRPr="00F81CB3" w:rsidRDefault="00A36F2D" w:rsidP="00A36F2D">
      <w:pPr>
        <w:spacing w:line="240" w:lineRule="auto"/>
        <w:jc w:val="both"/>
        <w:rPr>
          <w:rFonts w:ascii="Segoe UI" w:hAnsi="Segoe UI" w:cs="Segoe UI"/>
        </w:rPr>
      </w:pPr>
      <w:r w:rsidRPr="00F81CB3">
        <w:rPr>
          <w:noProof/>
        </w:rPr>
        <w:drawing>
          <wp:inline distT="0" distB="0" distL="0" distR="0" wp14:anchorId="3246C0DE" wp14:editId="5F61CB28">
            <wp:extent cx="5732338" cy="3943985"/>
            <wp:effectExtent l="0" t="0" r="1905" b="0"/>
            <wp:docPr id="6" name="Gráfico 6">
              <a:extLst xmlns:a="http://schemas.openxmlformats.org/drawingml/2006/main">
                <a:ext uri="{FF2B5EF4-FFF2-40B4-BE49-F238E27FC236}">
                  <a16:creationId xmlns:a16="http://schemas.microsoft.com/office/drawing/2014/main" id="{86828804-E96E-4EEB-9DC1-AE057A6A8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2BEAEB"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En el gráfico</w:t>
      </w:r>
      <w:r>
        <w:rPr>
          <w:rFonts w:ascii="Segoe UI" w:hAnsi="Segoe UI" w:cs="Segoe UI"/>
        </w:rPr>
        <w:t xml:space="preserve"> 2</w:t>
      </w:r>
      <w:r w:rsidRPr="00F81CB3">
        <w:rPr>
          <w:rFonts w:ascii="Segoe UI" w:hAnsi="Segoe UI" w:cs="Segoe UI"/>
        </w:rPr>
        <w:t xml:space="preserve"> observa como el RIVM </w:t>
      </w:r>
      <w:r>
        <w:rPr>
          <w:rFonts w:ascii="Segoe UI" w:hAnsi="Segoe UI" w:cs="Segoe UI"/>
        </w:rPr>
        <w:t>es</w:t>
      </w:r>
      <w:r w:rsidRPr="00F81CB3">
        <w:rPr>
          <w:rFonts w:ascii="Segoe UI" w:hAnsi="Segoe UI" w:cs="Segoe UI"/>
        </w:rPr>
        <w:t xml:space="preserve"> el fondo con </w:t>
      </w:r>
      <w:r>
        <w:rPr>
          <w:rFonts w:ascii="Segoe UI" w:hAnsi="Segoe UI" w:cs="Segoe UI"/>
        </w:rPr>
        <w:t>más</w:t>
      </w:r>
      <w:r w:rsidRPr="00F81CB3">
        <w:rPr>
          <w:rFonts w:ascii="Segoe UI" w:hAnsi="Segoe UI" w:cs="Segoe UI"/>
        </w:rPr>
        <w:t xml:space="preserve"> activos</w:t>
      </w:r>
      <w:r>
        <w:rPr>
          <w:rFonts w:ascii="Segoe UI" w:hAnsi="Segoe UI" w:cs="Segoe UI"/>
        </w:rPr>
        <w:t xml:space="preserve"> administrados</w:t>
      </w:r>
      <w:r w:rsidRPr="00F81CB3">
        <w:rPr>
          <w:rFonts w:ascii="Segoe UI" w:hAnsi="Segoe UI" w:cs="Segoe UI"/>
        </w:rPr>
        <w:t xml:space="preserve">, </w:t>
      </w:r>
      <w:r>
        <w:rPr>
          <w:rFonts w:ascii="Segoe UI" w:hAnsi="Segoe UI" w:cs="Segoe UI"/>
        </w:rPr>
        <w:t xml:space="preserve">cuenta con </w:t>
      </w:r>
      <w:r w:rsidRPr="00F81CB3">
        <w:rPr>
          <w:rFonts w:ascii="Segoe UI" w:hAnsi="Segoe UI" w:cs="Segoe UI"/>
        </w:rPr>
        <w:t>2 859 millones de colones, que representa</w:t>
      </w:r>
      <w:r>
        <w:rPr>
          <w:rFonts w:ascii="Segoe UI" w:hAnsi="Segoe UI" w:cs="Segoe UI"/>
        </w:rPr>
        <w:t>n</w:t>
      </w:r>
      <w:r w:rsidRPr="00F81CB3">
        <w:rPr>
          <w:rFonts w:ascii="Segoe UI" w:hAnsi="Segoe UI" w:cs="Segoe UI"/>
        </w:rPr>
        <w:t xml:space="preserve"> el 21,1% del </w:t>
      </w:r>
      <w:r>
        <w:rPr>
          <w:rFonts w:ascii="Segoe UI" w:hAnsi="Segoe UI" w:cs="Segoe UI"/>
        </w:rPr>
        <w:t>t</w:t>
      </w:r>
      <w:r w:rsidRPr="00F81CB3">
        <w:rPr>
          <w:rFonts w:ascii="Segoe UI" w:hAnsi="Segoe UI" w:cs="Segoe UI"/>
        </w:rPr>
        <w:t xml:space="preserve">otal de </w:t>
      </w:r>
      <w:r>
        <w:rPr>
          <w:rFonts w:ascii="Segoe UI" w:hAnsi="Segoe UI" w:cs="Segoe UI"/>
        </w:rPr>
        <w:t>a</w:t>
      </w:r>
      <w:r w:rsidRPr="00F81CB3">
        <w:rPr>
          <w:rFonts w:ascii="Segoe UI" w:hAnsi="Segoe UI" w:cs="Segoe UI"/>
        </w:rPr>
        <w:t>ctivos del SNP</w:t>
      </w:r>
      <w:r>
        <w:rPr>
          <w:rFonts w:ascii="Segoe UI" w:hAnsi="Segoe UI" w:cs="Segoe UI"/>
        </w:rPr>
        <w:t>, el cual se encuentra dentro de los fondos públicos de seguridad social</w:t>
      </w:r>
      <w:r w:rsidRPr="00F81CB3">
        <w:rPr>
          <w:rFonts w:ascii="Segoe UI" w:hAnsi="Segoe UI" w:cs="Segoe UI"/>
        </w:rPr>
        <w:t>.  El Fondo de Capitalización Colectiva del Magisterio Nacional administra el 18,9%</w:t>
      </w:r>
      <w:r>
        <w:rPr>
          <w:rFonts w:ascii="Segoe UI" w:hAnsi="Segoe UI" w:cs="Segoe UI"/>
        </w:rPr>
        <w:t xml:space="preserve"> que pertenece a la clasificación de obligatorios ocupacionales básicos de beneficio definido</w:t>
      </w:r>
      <w:r w:rsidRPr="00F81CB3">
        <w:rPr>
          <w:rFonts w:ascii="Segoe UI" w:hAnsi="Segoe UI" w:cs="Segoe UI"/>
        </w:rPr>
        <w:t xml:space="preserve"> y Popular Pensiones OPC con una participación de 18,8%</w:t>
      </w:r>
      <w:r>
        <w:rPr>
          <w:rFonts w:ascii="Segoe UI" w:hAnsi="Segoe UI" w:cs="Segoe UI"/>
        </w:rPr>
        <w:t xml:space="preserve"> y que pertenece a la clasificación obligatorios personales de contribución definida</w:t>
      </w:r>
      <w:r w:rsidRPr="00F81CB3">
        <w:rPr>
          <w:rFonts w:ascii="Segoe UI" w:hAnsi="Segoe UI" w:cs="Segoe UI"/>
        </w:rPr>
        <w:t xml:space="preserve">. </w:t>
      </w:r>
    </w:p>
    <w:p w14:paraId="23DFE9ED" w14:textId="77777777" w:rsidR="00A36F2D" w:rsidRDefault="00A36F2D" w:rsidP="00A36F2D">
      <w:pPr>
        <w:rPr>
          <w:rFonts w:ascii="Segoe UI" w:hAnsi="Segoe UI" w:cs="Segoe UI"/>
          <w:bCs/>
        </w:rPr>
      </w:pPr>
      <w:r>
        <w:rPr>
          <w:rFonts w:ascii="Segoe UI" w:hAnsi="Segoe UI" w:cs="Segoe UI"/>
          <w:bCs/>
        </w:rPr>
        <w:br w:type="page"/>
      </w:r>
    </w:p>
    <w:p w14:paraId="601DF78C" w14:textId="77777777" w:rsidR="00A36F2D" w:rsidRPr="00F81CB3" w:rsidRDefault="00A36F2D" w:rsidP="00A36F2D">
      <w:pPr>
        <w:spacing w:after="0" w:line="240" w:lineRule="auto"/>
        <w:jc w:val="center"/>
        <w:rPr>
          <w:rFonts w:ascii="Segoe UI" w:hAnsi="Segoe UI" w:cs="Segoe UI"/>
          <w:bCs/>
        </w:rPr>
      </w:pPr>
      <w:r w:rsidRPr="00F81CB3">
        <w:rPr>
          <w:rFonts w:ascii="Segoe UI" w:hAnsi="Segoe UI" w:cs="Segoe UI"/>
          <w:bCs/>
        </w:rPr>
        <w:lastRenderedPageBreak/>
        <w:t>Gráfico 2</w:t>
      </w:r>
    </w:p>
    <w:p w14:paraId="78AE9684"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bCs/>
        </w:rPr>
        <w:t>Sistema Nacional de Pensiones</w:t>
      </w:r>
    </w:p>
    <w:p w14:paraId="5CD12BEE"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bCs/>
        </w:rPr>
        <w:t>Activos por Entidad</w:t>
      </w:r>
    </w:p>
    <w:p w14:paraId="5F8F2B8A"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bCs/>
        </w:rPr>
        <w:t>como Porcentaje del PIB</w:t>
      </w:r>
    </w:p>
    <w:p w14:paraId="1286446C"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bCs/>
        </w:rPr>
        <w:t>Junio 2019</w:t>
      </w:r>
    </w:p>
    <w:p w14:paraId="43FB9D4E" w14:textId="77777777" w:rsidR="00A36F2D" w:rsidRPr="00F81CB3" w:rsidRDefault="00A36F2D" w:rsidP="00A36F2D">
      <w:pPr>
        <w:spacing w:line="240" w:lineRule="auto"/>
        <w:jc w:val="center"/>
        <w:rPr>
          <w:rFonts w:ascii="Segoe UI" w:hAnsi="Segoe UI" w:cs="Segoe UI"/>
        </w:rPr>
      </w:pPr>
      <w:r w:rsidRPr="00F81CB3">
        <w:rPr>
          <w:noProof/>
        </w:rPr>
        <w:drawing>
          <wp:inline distT="0" distB="0" distL="0" distR="0" wp14:anchorId="45BB9473" wp14:editId="483ACE3A">
            <wp:extent cx="5612130" cy="3611245"/>
            <wp:effectExtent l="0" t="0" r="7620" b="8255"/>
            <wp:docPr id="3" name="Gráfico 3">
              <a:extLst xmlns:a="http://schemas.openxmlformats.org/drawingml/2006/main">
                <a:ext uri="{FF2B5EF4-FFF2-40B4-BE49-F238E27FC236}">
                  <a16:creationId xmlns:a16="http://schemas.microsoft.com/office/drawing/2014/main" id="{9EAA1589-0EE8-4D7E-A8BA-3DDA5AD4F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CE8A69" w14:textId="77777777" w:rsidR="00A36F2D" w:rsidRPr="00F81CB3" w:rsidRDefault="00A36F2D" w:rsidP="00A36F2D">
      <w:pPr>
        <w:pStyle w:val="Ttulo2"/>
        <w:spacing w:before="0" w:after="200" w:line="240" w:lineRule="auto"/>
        <w:rPr>
          <w:rFonts w:ascii="Segoe UI" w:hAnsi="Segoe UI" w:cs="Segoe UI"/>
          <w:sz w:val="22"/>
          <w:szCs w:val="22"/>
        </w:rPr>
      </w:pPr>
      <w:bookmarkStart w:id="6" w:name="_Toc530733757"/>
      <w:bookmarkStart w:id="7" w:name="_Toc28867061"/>
      <w:r w:rsidRPr="00F81CB3">
        <w:rPr>
          <w:rFonts w:ascii="Segoe UI" w:hAnsi="Segoe UI" w:cs="Segoe UI"/>
          <w:sz w:val="22"/>
          <w:szCs w:val="22"/>
        </w:rPr>
        <w:t>1.2 Inversiones</w:t>
      </w:r>
      <w:bookmarkEnd w:id="7"/>
    </w:p>
    <w:bookmarkEnd w:id="6"/>
    <w:p w14:paraId="5CA0A626"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El portafolio de inversiones (sin incluir carteras de créditos) del SNP y FCL equivale a cerca de 13 billones de colones. </w:t>
      </w:r>
    </w:p>
    <w:p w14:paraId="1A12EF00"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Del total de activos hay una concentración de 9,8 billones en el Sector Público, de los cuales 7,9 billones se encuentran invertidos en instrumentos del Ministerio de Hacienda y Banco Central de Costa Rica (BCCR). </w:t>
      </w:r>
    </w:p>
    <w:p w14:paraId="63679BC1"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Respecto de la composición por régimen, del total de la cartera de inversiones, el 39,5% pertenece a regímenes básicos, 46,8% al ROP, 6,5% en los regímenes complementarios especiales, 4,5% al FCL y el 2,7% restante son de los fondos de pensiones voluntarios.</w:t>
      </w:r>
    </w:p>
    <w:p w14:paraId="18CF2344" w14:textId="77777777" w:rsidR="00A36F2D" w:rsidRDefault="00A36F2D" w:rsidP="00A36F2D">
      <w:pPr>
        <w:rPr>
          <w:rFonts w:ascii="Segoe UI" w:hAnsi="Segoe UI" w:cs="Segoe UI"/>
        </w:rPr>
      </w:pPr>
      <w:r>
        <w:rPr>
          <w:rFonts w:ascii="Segoe UI" w:hAnsi="Segoe UI" w:cs="Segoe UI"/>
        </w:rPr>
        <w:br w:type="page"/>
      </w:r>
    </w:p>
    <w:p w14:paraId="5D88AD9C"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lastRenderedPageBreak/>
        <w:t>Cuadro 2</w:t>
      </w:r>
    </w:p>
    <w:p w14:paraId="5F792591"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Inversiones por Régimen de Pensiones</w:t>
      </w:r>
    </w:p>
    <w:p w14:paraId="45A31B18"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millones de colones – junio 2019</w:t>
      </w:r>
    </w:p>
    <w:p w14:paraId="1D534562" w14:textId="77777777" w:rsidR="00A36F2D" w:rsidRPr="00F81CB3" w:rsidRDefault="00A36F2D" w:rsidP="00A36F2D">
      <w:pPr>
        <w:spacing w:after="0" w:line="240" w:lineRule="auto"/>
        <w:jc w:val="center"/>
        <w:rPr>
          <w:rFonts w:ascii="Segoe UI" w:hAnsi="Segoe UI" w:cs="Segoe UI"/>
        </w:rPr>
      </w:pPr>
    </w:p>
    <w:tbl>
      <w:tblPr>
        <w:tblW w:w="5000" w:type="pct"/>
        <w:tblCellMar>
          <w:left w:w="70" w:type="dxa"/>
          <w:right w:w="70" w:type="dxa"/>
        </w:tblCellMar>
        <w:tblLook w:val="04A0" w:firstRow="1" w:lastRow="0" w:firstColumn="1" w:lastColumn="0" w:noHBand="0" w:noVBand="1"/>
      </w:tblPr>
      <w:tblGrid>
        <w:gridCol w:w="3867"/>
        <w:gridCol w:w="1390"/>
        <w:gridCol w:w="988"/>
        <w:gridCol w:w="832"/>
        <w:gridCol w:w="843"/>
        <w:gridCol w:w="918"/>
      </w:tblGrid>
      <w:tr w:rsidR="00A36F2D" w:rsidRPr="00F81CB3" w14:paraId="4A6E8D39" w14:textId="77777777" w:rsidTr="00BB605A">
        <w:trPr>
          <w:trHeight w:val="705"/>
        </w:trPr>
        <w:tc>
          <w:tcPr>
            <w:tcW w:w="1615" w:type="pct"/>
            <w:tcBorders>
              <w:top w:val="single" w:sz="8" w:space="0" w:color="auto"/>
              <w:left w:val="nil"/>
              <w:bottom w:val="single" w:sz="8" w:space="0" w:color="auto"/>
              <w:right w:val="nil"/>
            </w:tcBorders>
            <w:shd w:val="clear" w:color="000000" w:fill="FFFFFF"/>
            <w:vAlign w:val="center"/>
            <w:hideMark/>
          </w:tcPr>
          <w:p w14:paraId="1E997607"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r w:rsidRPr="00F81CB3">
              <w:rPr>
                <w:rFonts w:ascii="Segoe UI" w:eastAsia="Times New Roman" w:hAnsi="Segoe UI" w:cs="Segoe UI"/>
                <w:b/>
                <w:bCs/>
                <w:sz w:val="16"/>
                <w:szCs w:val="24"/>
                <w:lang w:eastAsia="es-ES"/>
              </w:rPr>
              <w:t>Tipo de fondo</w:t>
            </w:r>
          </w:p>
        </w:tc>
        <w:tc>
          <w:tcPr>
            <w:tcW w:w="694" w:type="pct"/>
            <w:tcBorders>
              <w:top w:val="single" w:sz="8" w:space="0" w:color="auto"/>
              <w:left w:val="nil"/>
              <w:bottom w:val="single" w:sz="8" w:space="0" w:color="auto"/>
              <w:right w:val="nil"/>
            </w:tcBorders>
            <w:shd w:val="clear" w:color="000000" w:fill="FFFFFF"/>
            <w:vAlign w:val="center"/>
            <w:hideMark/>
          </w:tcPr>
          <w:p w14:paraId="0051B194"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r w:rsidRPr="00F81CB3">
              <w:rPr>
                <w:rFonts w:ascii="Segoe UI" w:eastAsia="Times New Roman" w:hAnsi="Segoe UI" w:cs="Segoe UI"/>
                <w:b/>
                <w:bCs/>
                <w:sz w:val="16"/>
                <w:szCs w:val="24"/>
                <w:lang w:eastAsia="es-ES"/>
              </w:rPr>
              <w:t>Disponibilidades</w:t>
            </w:r>
          </w:p>
        </w:tc>
        <w:tc>
          <w:tcPr>
            <w:tcW w:w="645" w:type="pct"/>
            <w:tcBorders>
              <w:top w:val="single" w:sz="8" w:space="0" w:color="auto"/>
              <w:left w:val="nil"/>
              <w:bottom w:val="single" w:sz="8" w:space="0" w:color="auto"/>
              <w:right w:val="nil"/>
            </w:tcBorders>
            <w:shd w:val="clear" w:color="000000" w:fill="FFFFFF"/>
            <w:vAlign w:val="center"/>
            <w:hideMark/>
          </w:tcPr>
          <w:p w14:paraId="591635BC"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r w:rsidRPr="00F81CB3">
              <w:rPr>
                <w:rFonts w:ascii="Segoe UI" w:eastAsia="Times New Roman" w:hAnsi="Segoe UI" w:cs="Segoe UI"/>
                <w:b/>
                <w:bCs/>
                <w:sz w:val="16"/>
                <w:szCs w:val="24"/>
                <w:lang w:eastAsia="es-ES"/>
              </w:rPr>
              <w:t>Emisores extranjeros</w:t>
            </w:r>
          </w:p>
        </w:tc>
        <w:tc>
          <w:tcPr>
            <w:tcW w:w="644" w:type="pct"/>
            <w:tcBorders>
              <w:top w:val="single" w:sz="8" w:space="0" w:color="auto"/>
              <w:left w:val="nil"/>
              <w:bottom w:val="single" w:sz="8" w:space="0" w:color="auto"/>
              <w:right w:val="nil"/>
            </w:tcBorders>
            <w:shd w:val="clear" w:color="000000" w:fill="FFFFFF"/>
            <w:vAlign w:val="center"/>
            <w:hideMark/>
          </w:tcPr>
          <w:p w14:paraId="44184544"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r w:rsidRPr="00F81CB3">
              <w:rPr>
                <w:rFonts w:ascii="Segoe UI" w:eastAsia="Times New Roman" w:hAnsi="Segoe UI" w:cs="Segoe UI"/>
                <w:b/>
                <w:bCs/>
                <w:sz w:val="16"/>
                <w:szCs w:val="24"/>
                <w:lang w:eastAsia="es-ES"/>
              </w:rPr>
              <w:t>Sector privado</w:t>
            </w:r>
          </w:p>
        </w:tc>
        <w:tc>
          <w:tcPr>
            <w:tcW w:w="748" w:type="pct"/>
            <w:tcBorders>
              <w:top w:val="single" w:sz="8" w:space="0" w:color="auto"/>
              <w:left w:val="nil"/>
              <w:bottom w:val="single" w:sz="8" w:space="0" w:color="auto"/>
              <w:right w:val="nil"/>
            </w:tcBorders>
            <w:shd w:val="clear" w:color="000000" w:fill="FFFFFF"/>
            <w:vAlign w:val="center"/>
            <w:hideMark/>
          </w:tcPr>
          <w:p w14:paraId="72260D01"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r w:rsidRPr="00F81CB3">
              <w:rPr>
                <w:rFonts w:ascii="Segoe UI" w:eastAsia="Times New Roman" w:hAnsi="Segoe UI" w:cs="Segoe UI"/>
                <w:b/>
                <w:bCs/>
                <w:sz w:val="16"/>
                <w:szCs w:val="24"/>
                <w:lang w:eastAsia="es-ES"/>
              </w:rPr>
              <w:t>Sector Público</w:t>
            </w:r>
          </w:p>
        </w:tc>
        <w:tc>
          <w:tcPr>
            <w:tcW w:w="654" w:type="pct"/>
            <w:tcBorders>
              <w:top w:val="single" w:sz="8" w:space="0" w:color="auto"/>
              <w:left w:val="nil"/>
              <w:bottom w:val="single" w:sz="8" w:space="0" w:color="auto"/>
              <w:right w:val="nil"/>
            </w:tcBorders>
            <w:shd w:val="clear" w:color="000000" w:fill="FFFFFF"/>
            <w:vAlign w:val="center"/>
            <w:hideMark/>
          </w:tcPr>
          <w:p w14:paraId="38CDCE42" w14:textId="77777777" w:rsidR="00A36F2D" w:rsidRPr="00F81CB3" w:rsidRDefault="00A36F2D" w:rsidP="00BB605A">
            <w:pPr>
              <w:spacing w:after="0" w:line="240" w:lineRule="auto"/>
              <w:jc w:val="center"/>
              <w:rPr>
                <w:rFonts w:ascii="Segoe UI" w:eastAsia="Times New Roman" w:hAnsi="Segoe UI" w:cs="Segoe UI"/>
                <w:b/>
                <w:bCs/>
                <w:sz w:val="16"/>
                <w:szCs w:val="24"/>
                <w:lang w:eastAsia="es-ES"/>
              </w:rPr>
            </w:pPr>
            <w:proofErr w:type="gramStart"/>
            <w:r w:rsidRPr="00F81CB3">
              <w:rPr>
                <w:rFonts w:ascii="Segoe UI" w:eastAsia="Times New Roman" w:hAnsi="Segoe UI" w:cs="Segoe UI"/>
                <w:b/>
                <w:bCs/>
                <w:sz w:val="16"/>
                <w:szCs w:val="24"/>
                <w:lang w:eastAsia="es-ES"/>
              </w:rPr>
              <w:t>Total</w:t>
            </w:r>
            <w:proofErr w:type="gramEnd"/>
            <w:r w:rsidRPr="00F81CB3">
              <w:rPr>
                <w:rFonts w:ascii="Segoe UI" w:eastAsia="Times New Roman" w:hAnsi="Segoe UI" w:cs="Segoe UI"/>
                <w:b/>
                <w:bCs/>
                <w:sz w:val="16"/>
                <w:szCs w:val="24"/>
                <w:lang w:eastAsia="es-ES"/>
              </w:rPr>
              <w:t xml:space="preserve"> general</w:t>
            </w:r>
          </w:p>
        </w:tc>
      </w:tr>
      <w:tr w:rsidR="00A36F2D" w:rsidRPr="00F81CB3" w14:paraId="28BC5B52" w14:textId="77777777" w:rsidTr="00BB605A">
        <w:trPr>
          <w:trHeight w:val="300"/>
        </w:trPr>
        <w:tc>
          <w:tcPr>
            <w:tcW w:w="1615" w:type="pct"/>
            <w:tcBorders>
              <w:top w:val="nil"/>
              <w:left w:val="nil"/>
              <w:bottom w:val="nil"/>
              <w:right w:val="nil"/>
            </w:tcBorders>
            <w:shd w:val="clear" w:color="auto" w:fill="auto"/>
            <w:noWrap/>
            <w:vAlign w:val="center"/>
            <w:hideMark/>
          </w:tcPr>
          <w:p w14:paraId="0E2C95FB"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RIVM</w:t>
            </w:r>
          </w:p>
        </w:tc>
        <w:tc>
          <w:tcPr>
            <w:tcW w:w="694" w:type="pct"/>
            <w:tcBorders>
              <w:top w:val="nil"/>
              <w:left w:val="nil"/>
              <w:bottom w:val="nil"/>
              <w:right w:val="nil"/>
            </w:tcBorders>
            <w:shd w:val="clear" w:color="auto" w:fill="auto"/>
            <w:noWrap/>
            <w:vAlign w:val="bottom"/>
            <w:hideMark/>
          </w:tcPr>
          <w:p w14:paraId="5F828297"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5" w:type="pct"/>
            <w:tcBorders>
              <w:top w:val="nil"/>
              <w:left w:val="nil"/>
              <w:bottom w:val="nil"/>
              <w:right w:val="nil"/>
            </w:tcBorders>
            <w:shd w:val="clear" w:color="auto" w:fill="auto"/>
            <w:noWrap/>
            <w:vAlign w:val="bottom"/>
            <w:hideMark/>
          </w:tcPr>
          <w:p w14:paraId="2CD8D4D7"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4" w:type="pct"/>
            <w:tcBorders>
              <w:top w:val="nil"/>
              <w:left w:val="nil"/>
              <w:bottom w:val="nil"/>
              <w:right w:val="nil"/>
            </w:tcBorders>
            <w:shd w:val="clear" w:color="auto" w:fill="auto"/>
            <w:noWrap/>
            <w:vAlign w:val="bottom"/>
            <w:hideMark/>
          </w:tcPr>
          <w:p w14:paraId="156A0AD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116 777</w:t>
            </w:r>
          </w:p>
        </w:tc>
        <w:tc>
          <w:tcPr>
            <w:tcW w:w="748" w:type="pct"/>
            <w:tcBorders>
              <w:top w:val="nil"/>
              <w:left w:val="nil"/>
              <w:bottom w:val="nil"/>
              <w:right w:val="nil"/>
            </w:tcBorders>
            <w:shd w:val="clear" w:color="auto" w:fill="auto"/>
            <w:noWrap/>
            <w:vAlign w:val="bottom"/>
            <w:hideMark/>
          </w:tcPr>
          <w:p w14:paraId="202F49BA"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2 076 224</w:t>
            </w:r>
          </w:p>
        </w:tc>
        <w:tc>
          <w:tcPr>
            <w:tcW w:w="654" w:type="pct"/>
            <w:tcBorders>
              <w:top w:val="nil"/>
              <w:left w:val="nil"/>
              <w:bottom w:val="nil"/>
              <w:right w:val="nil"/>
            </w:tcBorders>
            <w:shd w:val="clear" w:color="auto" w:fill="auto"/>
            <w:noWrap/>
            <w:vAlign w:val="bottom"/>
            <w:hideMark/>
          </w:tcPr>
          <w:p w14:paraId="512C3A1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2 193 001</w:t>
            </w:r>
          </w:p>
        </w:tc>
      </w:tr>
      <w:tr w:rsidR="00A36F2D" w:rsidRPr="00F81CB3" w14:paraId="33FB8C30" w14:textId="77777777" w:rsidTr="00BB605A">
        <w:trPr>
          <w:trHeight w:val="300"/>
        </w:trPr>
        <w:tc>
          <w:tcPr>
            <w:tcW w:w="1615" w:type="pct"/>
            <w:tcBorders>
              <w:top w:val="nil"/>
              <w:left w:val="nil"/>
              <w:bottom w:val="nil"/>
              <w:right w:val="nil"/>
            </w:tcBorders>
            <w:shd w:val="clear" w:color="auto" w:fill="auto"/>
            <w:noWrap/>
            <w:vAlign w:val="center"/>
            <w:hideMark/>
          </w:tcPr>
          <w:p w14:paraId="5D0814A8"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Magisterio Nacional RCC</w:t>
            </w:r>
          </w:p>
        </w:tc>
        <w:tc>
          <w:tcPr>
            <w:tcW w:w="694" w:type="pct"/>
            <w:tcBorders>
              <w:top w:val="nil"/>
              <w:left w:val="nil"/>
              <w:bottom w:val="nil"/>
              <w:right w:val="nil"/>
            </w:tcBorders>
            <w:shd w:val="clear" w:color="auto" w:fill="auto"/>
            <w:noWrap/>
            <w:vAlign w:val="bottom"/>
            <w:hideMark/>
          </w:tcPr>
          <w:p w14:paraId="1A0D4FE5"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4 374</w:t>
            </w:r>
          </w:p>
        </w:tc>
        <w:tc>
          <w:tcPr>
            <w:tcW w:w="645" w:type="pct"/>
            <w:tcBorders>
              <w:top w:val="nil"/>
              <w:left w:val="nil"/>
              <w:bottom w:val="nil"/>
              <w:right w:val="nil"/>
            </w:tcBorders>
            <w:shd w:val="clear" w:color="auto" w:fill="auto"/>
            <w:noWrap/>
            <w:vAlign w:val="bottom"/>
            <w:hideMark/>
          </w:tcPr>
          <w:p w14:paraId="0BBEB606"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4" w:type="pct"/>
            <w:tcBorders>
              <w:top w:val="nil"/>
              <w:left w:val="nil"/>
              <w:bottom w:val="nil"/>
              <w:right w:val="nil"/>
            </w:tcBorders>
            <w:shd w:val="clear" w:color="auto" w:fill="auto"/>
            <w:noWrap/>
            <w:vAlign w:val="bottom"/>
            <w:hideMark/>
          </w:tcPr>
          <w:p w14:paraId="2E59AFA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449 394</w:t>
            </w:r>
          </w:p>
        </w:tc>
        <w:tc>
          <w:tcPr>
            <w:tcW w:w="748" w:type="pct"/>
            <w:tcBorders>
              <w:top w:val="nil"/>
              <w:left w:val="nil"/>
              <w:bottom w:val="nil"/>
              <w:right w:val="nil"/>
            </w:tcBorders>
            <w:shd w:val="clear" w:color="auto" w:fill="auto"/>
            <w:noWrap/>
            <w:vAlign w:val="bottom"/>
            <w:hideMark/>
          </w:tcPr>
          <w:p w14:paraId="41B3E78B"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1 915 828</w:t>
            </w:r>
          </w:p>
        </w:tc>
        <w:tc>
          <w:tcPr>
            <w:tcW w:w="654" w:type="pct"/>
            <w:tcBorders>
              <w:top w:val="nil"/>
              <w:left w:val="nil"/>
              <w:bottom w:val="nil"/>
              <w:right w:val="nil"/>
            </w:tcBorders>
            <w:shd w:val="clear" w:color="auto" w:fill="auto"/>
            <w:noWrap/>
            <w:vAlign w:val="bottom"/>
            <w:hideMark/>
          </w:tcPr>
          <w:p w14:paraId="2DC6857B"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2 369 596</w:t>
            </w:r>
          </w:p>
        </w:tc>
      </w:tr>
      <w:tr w:rsidR="00A36F2D" w:rsidRPr="00F81CB3" w14:paraId="38544CFA" w14:textId="77777777" w:rsidTr="00BB605A">
        <w:trPr>
          <w:trHeight w:val="300"/>
        </w:trPr>
        <w:tc>
          <w:tcPr>
            <w:tcW w:w="1615" w:type="pct"/>
            <w:tcBorders>
              <w:top w:val="nil"/>
              <w:left w:val="nil"/>
              <w:bottom w:val="nil"/>
              <w:right w:val="nil"/>
            </w:tcBorders>
            <w:shd w:val="clear" w:color="auto" w:fill="auto"/>
            <w:noWrap/>
            <w:vAlign w:val="center"/>
            <w:hideMark/>
          </w:tcPr>
          <w:p w14:paraId="543DD25F"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Poder Judicial</w:t>
            </w:r>
          </w:p>
        </w:tc>
        <w:tc>
          <w:tcPr>
            <w:tcW w:w="694" w:type="pct"/>
            <w:tcBorders>
              <w:top w:val="nil"/>
              <w:left w:val="nil"/>
              <w:bottom w:val="nil"/>
              <w:right w:val="nil"/>
            </w:tcBorders>
            <w:shd w:val="clear" w:color="auto" w:fill="auto"/>
            <w:noWrap/>
            <w:vAlign w:val="bottom"/>
            <w:hideMark/>
          </w:tcPr>
          <w:p w14:paraId="62BC648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5" w:type="pct"/>
            <w:tcBorders>
              <w:top w:val="nil"/>
              <w:left w:val="nil"/>
              <w:bottom w:val="nil"/>
              <w:right w:val="nil"/>
            </w:tcBorders>
            <w:shd w:val="clear" w:color="auto" w:fill="auto"/>
            <w:noWrap/>
            <w:vAlign w:val="bottom"/>
            <w:hideMark/>
          </w:tcPr>
          <w:p w14:paraId="706A271F"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4" w:type="pct"/>
            <w:tcBorders>
              <w:top w:val="nil"/>
              <w:left w:val="nil"/>
              <w:bottom w:val="nil"/>
              <w:right w:val="nil"/>
            </w:tcBorders>
            <w:shd w:val="clear" w:color="auto" w:fill="auto"/>
            <w:noWrap/>
            <w:vAlign w:val="bottom"/>
            <w:hideMark/>
          </w:tcPr>
          <w:p w14:paraId="336BCF6B"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65 835</w:t>
            </w:r>
          </w:p>
        </w:tc>
        <w:tc>
          <w:tcPr>
            <w:tcW w:w="748" w:type="pct"/>
            <w:tcBorders>
              <w:top w:val="nil"/>
              <w:left w:val="nil"/>
              <w:bottom w:val="nil"/>
              <w:right w:val="nil"/>
            </w:tcBorders>
            <w:shd w:val="clear" w:color="auto" w:fill="auto"/>
            <w:noWrap/>
            <w:vAlign w:val="bottom"/>
            <w:hideMark/>
          </w:tcPr>
          <w:p w14:paraId="4A00F8CA"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467 250</w:t>
            </w:r>
          </w:p>
        </w:tc>
        <w:tc>
          <w:tcPr>
            <w:tcW w:w="654" w:type="pct"/>
            <w:tcBorders>
              <w:top w:val="nil"/>
              <w:left w:val="nil"/>
              <w:bottom w:val="nil"/>
              <w:right w:val="nil"/>
            </w:tcBorders>
            <w:shd w:val="clear" w:color="auto" w:fill="auto"/>
            <w:noWrap/>
            <w:vAlign w:val="bottom"/>
            <w:hideMark/>
          </w:tcPr>
          <w:p w14:paraId="22552AB6"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533 086</w:t>
            </w:r>
          </w:p>
        </w:tc>
      </w:tr>
      <w:tr w:rsidR="00A36F2D" w:rsidRPr="00F81CB3" w14:paraId="0FB82FEE" w14:textId="77777777" w:rsidTr="00BB605A">
        <w:trPr>
          <w:trHeight w:val="300"/>
        </w:trPr>
        <w:tc>
          <w:tcPr>
            <w:tcW w:w="1615" w:type="pct"/>
            <w:tcBorders>
              <w:top w:val="nil"/>
              <w:left w:val="nil"/>
              <w:bottom w:val="nil"/>
              <w:right w:val="nil"/>
            </w:tcBorders>
            <w:shd w:val="clear" w:color="auto" w:fill="auto"/>
            <w:noWrap/>
            <w:vAlign w:val="center"/>
            <w:hideMark/>
          </w:tcPr>
          <w:p w14:paraId="1519E9E4"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Bomberos</w:t>
            </w:r>
          </w:p>
        </w:tc>
        <w:tc>
          <w:tcPr>
            <w:tcW w:w="694" w:type="pct"/>
            <w:tcBorders>
              <w:top w:val="nil"/>
              <w:left w:val="nil"/>
              <w:bottom w:val="nil"/>
              <w:right w:val="nil"/>
            </w:tcBorders>
            <w:shd w:val="clear" w:color="auto" w:fill="auto"/>
            <w:noWrap/>
            <w:vAlign w:val="bottom"/>
            <w:hideMark/>
          </w:tcPr>
          <w:p w14:paraId="1E2E85DB"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65</w:t>
            </w:r>
          </w:p>
        </w:tc>
        <w:tc>
          <w:tcPr>
            <w:tcW w:w="645" w:type="pct"/>
            <w:tcBorders>
              <w:top w:val="nil"/>
              <w:left w:val="nil"/>
              <w:bottom w:val="nil"/>
              <w:right w:val="nil"/>
            </w:tcBorders>
            <w:shd w:val="clear" w:color="auto" w:fill="auto"/>
            <w:noWrap/>
            <w:vAlign w:val="bottom"/>
            <w:hideMark/>
          </w:tcPr>
          <w:p w14:paraId="79D1D49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4" w:type="pct"/>
            <w:tcBorders>
              <w:top w:val="nil"/>
              <w:left w:val="nil"/>
              <w:bottom w:val="nil"/>
              <w:right w:val="nil"/>
            </w:tcBorders>
            <w:shd w:val="clear" w:color="auto" w:fill="auto"/>
            <w:noWrap/>
            <w:vAlign w:val="bottom"/>
            <w:hideMark/>
          </w:tcPr>
          <w:p w14:paraId="01D64B67"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14 942</w:t>
            </w:r>
          </w:p>
        </w:tc>
        <w:tc>
          <w:tcPr>
            <w:tcW w:w="748" w:type="pct"/>
            <w:tcBorders>
              <w:top w:val="nil"/>
              <w:left w:val="nil"/>
              <w:bottom w:val="nil"/>
              <w:right w:val="nil"/>
            </w:tcBorders>
            <w:shd w:val="clear" w:color="auto" w:fill="auto"/>
            <w:noWrap/>
            <w:vAlign w:val="bottom"/>
            <w:hideMark/>
          </w:tcPr>
          <w:p w14:paraId="15176318"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32 114</w:t>
            </w:r>
          </w:p>
        </w:tc>
        <w:tc>
          <w:tcPr>
            <w:tcW w:w="654" w:type="pct"/>
            <w:tcBorders>
              <w:top w:val="nil"/>
              <w:left w:val="nil"/>
              <w:bottom w:val="nil"/>
              <w:right w:val="nil"/>
            </w:tcBorders>
            <w:shd w:val="clear" w:color="auto" w:fill="auto"/>
            <w:noWrap/>
            <w:vAlign w:val="bottom"/>
            <w:hideMark/>
          </w:tcPr>
          <w:p w14:paraId="3D415DC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47 121</w:t>
            </w:r>
          </w:p>
        </w:tc>
      </w:tr>
      <w:tr w:rsidR="00A36F2D" w:rsidRPr="00F81CB3" w14:paraId="3BC940A4" w14:textId="77777777" w:rsidTr="00BB605A">
        <w:trPr>
          <w:trHeight w:val="300"/>
        </w:trPr>
        <w:tc>
          <w:tcPr>
            <w:tcW w:w="1615" w:type="pct"/>
            <w:tcBorders>
              <w:top w:val="nil"/>
              <w:left w:val="nil"/>
              <w:bottom w:val="nil"/>
              <w:right w:val="nil"/>
            </w:tcBorders>
            <w:shd w:val="clear" w:color="auto" w:fill="auto"/>
            <w:noWrap/>
            <w:vAlign w:val="center"/>
            <w:hideMark/>
          </w:tcPr>
          <w:p w14:paraId="2813889E"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Régimen Obligatorio de Pensiones Complementarias</w:t>
            </w:r>
          </w:p>
        </w:tc>
        <w:tc>
          <w:tcPr>
            <w:tcW w:w="694" w:type="pct"/>
            <w:tcBorders>
              <w:top w:val="nil"/>
              <w:left w:val="nil"/>
              <w:bottom w:val="nil"/>
              <w:right w:val="nil"/>
            </w:tcBorders>
            <w:shd w:val="clear" w:color="auto" w:fill="auto"/>
            <w:noWrap/>
            <w:vAlign w:val="bottom"/>
            <w:hideMark/>
          </w:tcPr>
          <w:p w14:paraId="106CCFFF"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57 528</w:t>
            </w:r>
          </w:p>
        </w:tc>
        <w:tc>
          <w:tcPr>
            <w:tcW w:w="645" w:type="pct"/>
            <w:tcBorders>
              <w:top w:val="nil"/>
              <w:left w:val="nil"/>
              <w:bottom w:val="nil"/>
              <w:right w:val="nil"/>
            </w:tcBorders>
            <w:shd w:val="clear" w:color="auto" w:fill="auto"/>
            <w:noWrap/>
            <w:vAlign w:val="bottom"/>
            <w:hideMark/>
          </w:tcPr>
          <w:p w14:paraId="39741EC3"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780 842</w:t>
            </w:r>
          </w:p>
        </w:tc>
        <w:tc>
          <w:tcPr>
            <w:tcW w:w="644" w:type="pct"/>
            <w:tcBorders>
              <w:top w:val="nil"/>
              <w:left w:val="nil"/>
              <w:bottom w:val="nil"/>
              <w:right w:val="nil"/>
            </w:tcBorders>
            <w:shd w:val="clear" w:color="auto" w:fill="auto"/>
            <w:noWrap/>
            <w:vAlign w:val="bottom"/>
            <w:hideMark/>
          </w:tcPr>
          <w:p w14:paraId="36CCF05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1 149 701</w:t>
            </w:r>
          </w:p>
        </w:tc>
        <w:tc>
          <w:tcPr>
            <w:tcW w:w="748" w:type="pct"/>
            <w:tcBorders>
              <w:top w:val="nil"/>
              <w:left w:val="nil"/>
              <w:bottom w:val="nil"/>
              <w:right w:val="nil"/>
            </w:tcBorders>
            <w:shd w:val="clear" w:color="auto" w:fill="auto"/>
            <w:noWrap/>
            <w:vAlign w:val="bottom"/>
            <w:hideMark/>
          </w:tcPr>
          <w:p w14:paraId="6F2DEB3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4 104 759</w:t>
            </w:r>
          </w:p>
        </w:tc>
        <w:tc>
          <w:tcPr>
            <w:tcW w:w="654" w:type="pct"/>
            <w:tcBorders>
              <w:top w:val="nil"/>
              <w:left w:val="nil"/>
              <w:bottom w:val="nil"/>
              <w:right w:val="nil"/>
            </w:tcBorders>
            <w:shd w:val="clear" w:color="auto" w:fill="auto"/>
            <w:noWrap/>
            <w:vAlign w:val="bottom"/>
            <w:hideMark/>
          </w:tcPr>
          <w:p w14:paraId="4FA659A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6 092 830</w:t>
            </w:r>
          </w:p>
        </w:tc>
      </w:tr>
      <w:tr w:rsidR="00A36F2D" w:rsidRPr="00F81CB3" w14:paraId="06EE365F" w14:textId="77777777" w:rsidTr="00BB605A">
        <w:trPr>
          <w:trHeight w:val="300"/>
        </w:trPr>
        <w:tc>
          <w:tcPr>
            <w:tcW w:w="1615" w:type="pct"/>
            <w:tcBorders>
              <w:top w:val="nil"/>
              <w:left w:val="nil"/>
              <w:bottom w:val="nil"/>
              <w:right w:val="nil"/>
            </w:tcBorders>
            <w:shd w:val="clear" w:color="auto" w:fill="auto"/>
            <w:noWrap/>
            <w:vAlign w:val="center"/>
            <w:hideMark/>
          </w:tcPr>
          <w:p w14:paraId="32C1B489"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Regímenes Especiales y Otros</w:t>
            </w:r>
          </w:p>
        </w:tc>
        <w:tc>
          <w:tcPr>
            <w:tcW w:w="694" w:type="pct"/>
            <w:tcBorders>
              <w:top w:val="nil"/>
              <w:left w:val="nil"/>
              <w:bottom w:val="nil"/>
              <w:right w:val="nil"/>
            </w:tcBorders>
            <w:shd w:val="clear" w:color="auto" w:fill="auto"/>
            <w:noWrap/>
            <w:vAlign w:val="bottom"/>
            <w:hideMark/>
          </w:tcPr>
          <w:p w14:paraId="4C37C742"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10 042</w:t>
            </w:r>
          </w:p>
        </w:tc>
        <w:tc>
          <w:tcPr>
            <w:tcW w:w="645" w:type="pct"/>
            <w:tcBorders>
              <w:top w:val="nil"/>
              <w:left w:val="nil"/>
              <w:bottom w:val="nil"/>
              <w:right w:val="nil"/>
            </w:tcBorders>
            <w:shd w:val="clear" w:color="auto" w:fill="auto"/>
            <w:noWrap/>
            <w:vAlign w:val="bottom"/>
            <w:hideMark/>
          </w:tcPr>
          <w:p w14:paraId="12E4008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0</w:t>
            </w:r>
          </w:p>
        </w:tc>
        <w:tc>
          <w:tcPr>
            <w:tcW w:w="644" w:type="pct"/>
            <w:tcBorders>
              <w:top w:val="nil"/>
              <w:left w:val="nil"/>
              <w:bottom w:val="nil"/>
              <w:right w:val="nil"/>
            </w:tcBorders>
            <w:shd w:val="clear" w:color="auto" w:fill="auto"/>
            <w:noWrap/>
            <w:vAlign w:val="bottom"/>
            <w:hideMark/>
          </w:tcPr>
          <w:p w14:paraId="4FF3F9F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172 658</w:t>
            </w:r>
          </w:p>
        </w:tc>
        <w:tc>
          <w:tcPr>
            <w:tcW w:w="748" w:type="pct"/>
            <w:tcBorders>
              <w:top w:val="nil"/>
              <w:left w:val="nil"/>
              <w:bottom w:val="nil"/>
              <w:right w:val="nil"/>
            </w:tcBorders>
            <w:shd w:val="clear" w:color="auto" w:fill="auto"/>
            <w:noWrap/>
            <w:vAlign w:val="bottom"/>
            <w:hideMark/>
          </w:tcPr>
          <w:p w14:paraId="5DC8DC1B"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660 022</w:t>
            </w:r>
          </w:p>
        </w:tc>
        <w:tc>
          <w:tcPr>
            <w:tcW w:w="654" w:type="pct"/>
            <w:tcBorders>
              <w:top w:val="nil"/>
              <w:left w:val="nil"/>
              <w:bottom w:val="nil"/>
              <w:right w:val="nil"/>
            </w:tcBorders>
            <w:shd w:val="clear" w:color="auto" w:fill="auto"/>
            <w:noWrap/>
            <w:vAlign w:val="bottom"/>
            <w:hideMark/>
          </w:tcPr>
          <w:p w14:paraId="7DB0E92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842 722</w:t>
            </w:r>
          </w:p>
        </w:tc>
      </w:tr>
      <w:tr w:rsidR="00A36F2D" w:rsidRPr="00F81CB3" w14:paraId="170C3915" w14:textId="77777777" w:rsidTr="00BB605A">
        <w:trPr>
          <w:trHeight w:val="300"/>
        </w:trPr>
        <w:tc>
          <w:tcPr>
            <w:tcW w:w="1615" w:type="pct"/>
            <w:tcBorders>
              <w:top w:val="nil"/>
              <w:left w:val="nil"/>
              <w:bottom w:val="nil"/>
              <w:right w:val="nil"/>
            </w:tcBorders>
            <w:shd w:val="clear" w:color="auto" w:fill="auto"/>
            <w:noWrap/>
            <w:vAlign w:val="center"/>
            <w:hideMark/>
          </w:tcPr>
          <w:p w14:paraId="7BA897E0"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Voluntarios</w:t>
            </w:r>
          </w:p>
        </w:tc>
        <w:tc>
          <w:tcPr>
            <w:tcW w:w="694" w:type="pct"/>
            <w:tcBorders>
              <w:top w:val="nil"/>
              <w:left w:val="nil"/>
              <w:bottom w:val="nil"/>
              <w:right w:val="nil"/>
            </w:tcBorders>
            <w:shd w:val="clear" w:color="auto" w:fill="auto"/>
            <w:noWrap/>
            <w:vAlign w:val="bottom"/>
            <w:hideMark/>
          </w:tcPr>
          <w:p w14:paraId="0DD7638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9 677</w:t>
            </w:r>
          </w:p>
        </w:tc>
        <w:tc>
          <w:tcPr>
            <w:tcW w:w="645" w:type="pct"/>
            <w:tcBorders>
              <w:top w:val="nil"/>
              <w:left w:val="nil"/>
              <w:bottom w:val="nil"/>
              <w:right w:val="nil"/>
            </w:tcBorders>
            <w:shd w:val="clear" w:color="auto" w:fill="auto"/>
            <w:noWrap/>
            <w:vAlign w:val="bottom"/>
            <w:hideMark/>
          </w:tcPr>
          <w:p w14:paraId="1B116B3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8 321</w:t>
            </w:r>
          </w:p>
        </w:tc>
        <w:tc>
          <w:tcPr>
            <w:tcW w:w="644" w:type="pct"/>
            <w:tcBorders>
              <w:top w:val="nil"/>
              <w:left w:val="nil"/>
              <w:bottom w:val="nil"/>
              <w:right w:val="nil"/>
            </w:tcBorders>
            <w:shd w:val="clear" w:color="auto" w:fill="auto"/>
            <w:noWrap/>
            <w:vAlign w:val="bottom"/>
            <w:hideMark/>
          </w:tcPr>
          <w:p w14:paraId="064BC40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108 308</w:t>
            </w:r>
          </w:p>
        </w:tc>
        <w:tc>
          <w:tcPr>
            <w:tcW w:w="748" w:type="pct"/>
            <w:tcBorders>
              <w:top w:val="nil"/>
              <w:left w:val="nil"/>
              <w:bottom w:val="nil"/>
              <w:right w:val="nil"/>
            </w:tcBorders>
            <w:shd w:val="clear" w:color="auto" w:fill="auto"/>
            <w:noWrap/>
            <w:vAlign w:val="bottom"/>
            <w:hideMark/>
          </w:tcPr>
          <w:p w14:paraId="23ACE5B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226 108</w:t>
            </w:r>
          </w:p>
        </w:tc>
        <w:tc>
          <w:tcPr>
            <w:tcW w:w="654" w:type="pct"/>
            <w:tcBorders>
              <w:top w:val="nil"/>
              <w:left w:val="nil"/>
              <w:bottom w:val="nil"/>
              <w:right w:val="nil"/>
            </w:tcBorders>
            <w:shd w:val="clear" w:color="auto" w:fill="auto"/>
            <w:noWrap/>
            <w:vAlign w:val="bottom"/>
            <w:hideMark/>
          </w:tcPr>
          <w:p w14:paraId="3AF65449"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352 413</w:t>
            </w:r>
          </w:p>
        </w:tc>
      </w:tr>
      <w:tr w:rsidR="00A36F2D" w:rsidRPr="00F81CB3" w14:paraId="2EBD28CB" w14:textId="77777777" w:rsidTr="00BB605A">
        <w:trPr>
          <w:trHeight w:val="315"/>
        </w:trPr>
        <w:tc>
          <w:tcPr>
            <w:tcW w:w="1615" w:type="pct"/>
            <w:tcBorders>
              <w:top w:val="nil"/>
              <w:left w:val="nil"/>
              <w:bottom w:val="single" w:sz="8" w:space="0" w:color="auto"/>
              <w:right w:val="nil"/>
            </w:tcBorders>
            <w:shd w:val="clear" w:color="auto" w:fill="auto"/>
            <w:noWrap/>
            <w:vAlign w:val="center"/>
            <w:hideMark/>
          </w:tcPr>
          <w:p w14:paraId="4AF695D2" w14:textId="77777777" w:rsidR="00A36F2D" w:rsidRPr="00F81CB3" w:rsidRDefault="00A36F2D" w:rsidP="00BB605A">
            <w:pPr>
              <w:spacing w:after="0" w:line="240" w:lineRule="auto"/>
              <w:rPr>
                <w:rFonts w:ascii="Segoe UI" w:eastAsia="Times New Roman" w:hAnsi="Segoe UI" w:cs="Segoe UI"/>
                <w:b/>
                <w:bCs/>
                <w:color w:val="000000"/>
                <w:sz w:val="16"/>
                <w:lang w:eastAsia="es-ES"/>
              </w:rPr>
            </w:pPr>
            <w:r w:rsidRPr="00F81CB3">
              <w:rPr>
                <w:rFonts w:ascii="Segoe UI" w:eastAsia="Times New Roman" w:hAnsi="Segoe UI" w:cs="Segoe UI"/>
                <w:b/>
                <w:bCs/>
                <w:color w:val="000000"/>
                <w:sz w:val="16"/>
                <w:lang w:eastAsia="es-ES"/>
              </w:rPr>
              <w:t>Sub Total</w:t>
            </w:r>
          </w:p>
        </w:tc>
        <w:tc>
          <w:tcPr>
            <w:tcW w:w="694" w:type="pct"/>
            <w:tcBorders>
              <w:top w:val="nil"/>
              <w:left w:val="nil"/>
              <w:bottom w:val="single" w:sz="8" w:space="0" w:color="auto"/>
              <w:right w:val="nil"/>
            </w:tcBorders>
            <w:shd w:val="clear" w:color="auto" w:fill="auto"/>
            <w:noWrap/>
            <w:vAlign w:val="bottom"/>
            <w:hideMark/>
          </w:tcPr>
          <w:p w14:paraId="70DE8628"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81 686</w:t>
            </w:r>
          </w:p>
        </w:tc>
        <w:tc>
          <w:tcPr>
            <w:tcW w:w="645" w:type="pct"/>
            <w:tcBorders>
              <w:top w:val="nil"/>
              <w:left w:val="nil"/>
              <w:bottom w:val="single" w:sz="8" w:space="0" w:color="auto"/>
              <w:right w:val="nil"/>
            </w:tcBorders>
            <w:shd w:val="clear" w:color="auto" w:fill="auto"/>
            <w:noWrap/>
            <w:vAlign w:val="bottom"/>
            <w:hideMark/>
          </w:tcPr>
          <w:p w14:paraId="23CDA9D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789 163</w:t>
            </w:r>
          </w:p>
        </w:tc>
        <w:tc>
          <w:tcPr>
            <w:tcW w:w="644" w:type="pct"/>
            <w:tcBorders>
              <w:top w:val="nil"/>
              <w:left w:val="nil"/>
              <w:bottom w:val="single" w:sz="8" w:space="0" w:color="auto"/>
              <w:right w:val="nil"/>
            </w:tcBorders>
            <w:shd w:val="clear" w:color="auto" w:fill="auto"/>
            <w:noWrap/>
            <w:vAlign w:val="bottom"/>
            <w:hideMark/>
          </w:tcPr>
          <w:p w14:paraId="23F85F0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2 077 615</w:t>
            </w:r>
          </w:p>
        </w:tc>
        <w:tc>
          <w:tcPr>
            <w:tcW w:w="748" w:type="pct"/>
            <w:tcBorders>
              <w:top w:val="nil"/>
              <w:left w:val="nil"/>
              <w:bottom w:val="single" w:sz="8" w:space="0" w:color="auto"/>
              <w:right w:val="nil"/>
            </w:tcBorders>
            <w:shd w:val="clear" w:color="auto" w:fill="auto"/>
            <w:noWrap/>
            <w:vAlign w:val="bottom"/>
            <w:hideMark/>
          </w:tcPr>
          <w:p w14:paraId="0A61D6C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9 482 306</w:t>
            </w:r>
          </w:p>
        </w:tc>
        <w:tc>
          <w:tcPr>
            <w:tcW w:w="654" w:type="pct"/>
            <w:tcBorders>
              <w:top w:val="nil"/>
              <w:left w:val="nil"/>
              <w:bottom w:val="single" w:sz="8" w:space="0" w:color="auto"/>
              <w:right w:val="nil"/>
            </w:tcBorders>
            <w:shd w:val="clear" w:color="auto" w:fill="auto"/>
            <w:noWrap/>
            <w:vAlign w:val="bottom"/>
            <w:hideMark/>
          </w:tcPr>
          <w:p w14:paraId="6678435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12 430 769</w:t>
            </w:r>
          </w:p>
        </w:tc>
      </w:tr>
      <w:tr w:rsidR="00A36F2D" w:rsidRPr="00F81CB3" w14:paraId="7231DB25" w14:textId="77777777" w:rsidTr="00BB605A">
        <w:trPr>
          <w:trHeight w:val="300"/>
        </w:trPr>
        <w:tc>
          <w:tcPr>
            <w:tcW w:w="1615" w:type="pct"/>
            <w:tcBorders>
              <w:top w:val="nil"/>
              <w:left w:val="nil"/>
              <w:bottom w:val="nil"/>
              <w:right w:val="nil"/>
            </w:tcBorders>
            <w:shd w:val="clear" w:color="auto" w:fill="auto"/>
            <w:noWrap/>
            <w:vAlign w:val="center"/>
            <w:hideMark/>
          </w:tcPr>
          <w:p w14:paraId="29D2BDB4" w14:textId="77777777" w:rsidR="00A36F2D" w:rsidRPr="00F81CB3" w:rsidRDefault="00A36F2D" w:rsidP="00BB605A">
            <w:pPr>
              <w:spacing w:after="0" w:line="240" w:lineRule="auto"/>
              <w:rPr>
                <w:rFonts w:ascii="Segoe UI" w:eastAsia="Times New Roman" w:hAnsi="Segoe UI" w:cs="Segoe UI"/>
                <w:color w:val="000000"/>
                <w:sz w:val="16"/>
                <w:lang w:eastAsia="es-ES"/>
              </w:rPr>
            </w:pPr>
            <w:r w:rsidRPr="00F81CB3">
              <w:rPr>
                <w:rFonts w:ascii="Segoe UI" w:eastAsia="Times New Roman" w:hAnsi="Segoe UI" w:cs="Segoe UI"/>
                <w:color w:val="000000"/>
                <w:sz w:val="16"/>
                <w:lang w:eastAsia="es-ES"/>
              </w:rPr>
              <w:t>Fondos de Capitalización Laboral</w:t>
            </w:r>
          </w:p>
        </w:tc>
        <w:tc>
          <w:tcPr>
            <w:tcW w:w="694" w:type="pct"/>
            <w:tcBorders>
              <w:top w:val="nil"/>
              <w:left w:val="nil"/>
              <w:bottom w:val="nil"/>
              <w:right w:val="nil"/>
            </w:tcBorders>
            <w:shd w:val="clear" w:color="auto" w:fill="auto"/>
            <w:noWrap/>
            <w:vAlign w:val="bottom"/>
            <w:hideMark/>
          </w:tcPr>
          <w:p w14:paraId="14C46096"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26 540</w:t>
            </w:r>
          </w:p>
        </w:tc>
        <w:tc>
          <w:tcPr>
            <w:tcW w:w="645" w:type="pct"/>
            <w:tcBorders>
              <w:top w:val="nil"/>
              <w:left w:val="nil"/>
              <w:bottom w:val="nil"/>
              <w:right w:val="nil"/>
            </w:tcBorders>
            <w:shd w:val="clear" w:color="auto" w:fill="auto"/>
            <w:noWrap/>
            <w:vAlign w:val="bottom"/>
            <w:hideMark/>
          </w:tcPr>
          <w:p w14:paraId="4CBA04D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39 495</w:t>
            </w:r>
          </w:p>
        </w:tc>
        <w:tc>
          <w:tcPr>
            <w:tcW w:w="644" w:type="pct"/>
            <w:tcBorders>
              <w:top w:val="nil"/>
              <w:left w:val="nil"/>
              <w:bottom w:val="nil"/>
              <w:right w:val="nil"/>
            </w:tcBorders>
            <w:shd w:val="clear" w:color="auto" w:fill="auto"/>
            <w:noWrap/>
            <w:vAlign w:val="bottom"/>
            <w:hideMark/>
          </w:tcPr>
          <w:p w14:paraId="1758048C"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173 504</w:t>
            </w:r>
          </w:p>
        </w:tc>
        <w:tc>
          <w:tcPr>
            <w:tcW w:w="748" w:type="pct"/>
            <w:tcBorders>
              <w:top w:val="nil"/>
              <w:left w:val="nil"/>
              <w:bottom w:val="nil"/>
              <w:right w:val="nil"/>
            </w:tcBorders>
            <w:shd w:val="clear" w:color="auto" w:fill="auto"/>
            <w:noWrap/>
            <w:vAlign w:val="bottom"/>
            <w:hideMark/>
          </w:tcPr>
          <w:p w14:paraId="26B325EF"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344 908</w:t>
            </w:r>
          </w:p>
        </w:tc>
        <w:tc>
          <w:tcPr>
            <w:tcW w:w="654" w:type="pct"/>
            <w:tcBorders>
              <w:top w:val="nil"/>
              <w:left w:val="nil"/>
              <w:bottom w:val="nil"/>
              <w:right w:val="nil"/>
            </w:tcBorders>
            <w:shd w:val="clear" w:color="auto" w:fill="auto"/>
            <w:noWrap/>
            <w:vAlign w:val="bottom"/>
            <w:hideMark/>
          </w:tcPr>
          <w:p w14:paraId="41C308B5"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584 446</w:t>
            </w:r>
          </w:p>
        </w:tc>
      </w:tr>
      <w:tr w:rsidR="00A36F2D" w:rsidRPr="00F81CB3" w14:paraId="6C920A82" w14:textId="77777777" w:rsidTr="00BB605A">
        <w:trPr>
          <w:trHeight w:val="315"/>
        </w:trPr>
        <w:tc>
          <w:tcPr>
            <w:tcW w:w="1615" w:type="pct"/>
            <w:tcBorders>
              <w:top w:val="nil"/>
              <w:left w:val="nil"/>
              <w:bottom w:val="single" w:sz="8" w:space="0" w:color="auto"/>
              <w:right w:val="nil"/>
            </w:tcBorders>
            <w:shd w:val="clear" w:color="auto" w:fill="auto"/>
            <w:noWrap/>
            <w:vAlign w:val="center"/>
            <w:hideMark/>
          </w:tcPr>
          <w:p w14:paraId="7DB12102" w14:textId="77777777" w:rsidR="00A36F2D" w:rsidRPr="00F81CB3" w:rsidRDefault="00A36F2D" w:rsidP="00BB605A">
            <w:pPr>
              <w:spacing w:after="0" w:line="240" w:lineRule="auto"/>
              <w:rPr>
                <w:rFonts w:ascii="Segoe UI" w:eastAsia="Times New Roman" w:hAnsi="Segoe UI" w:cs="Segoe UI"/>
                <w:b/>
                <w:bCs/>
                <w:color w:val="000000"/>
                <w:sz w:val="16"/>
                <w:lang w:eastAsia="es-ES"/>
              </w:rPr>
            </w:pPr>
            <w:r w:rsidRPr="00F81CB3">
              <w:rPr>
                <w:rFonts w:ascii="Segoe UI" w:eastAsia="Times New Roman" w:hAnsi="Segoe UI" w:cs="Segoe UI"/>
                <w:b/>
                <w:bCs/>
                <w:color w:val="000000"/>
                <w:sz w:val="16"/>
                <w:lang w:eastAsia="es-ES"/>
              </w:rPr>
              <w:t xml:space="preserve">Total </w:t>
            </w:r>
          </w:p>
        </w:tc>
        <w:tc>
          <w:tcPr>
            <w:tcW w:w="694" w:type="pct"/>
            <w:tcBorders>
              <w:top w:val="nil"/>
              <w:left w:val="nil"/>
              <w:bottom w:val="single" w:sz="8" w:space="0" w:color="auto"/>
              <w:right w:val="nil"/>
            </w:tcBorders>
            <w:shd w:val="clear" w:color="auto" w:fill="auto"/>
            <w:noWrap/>
            <w:vAlign w:val="bottom"/>
            <w:hideMark/>
          </w:tcPr>
          <w:p w14:paraId="0F4C52A0"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108 226</w:t>
            </w:r>
          </w:p>
        </w:tc>
        <w:tc>
          <w:tcPr>
            <w:tcW w:w="645" w:type="pct"/>
            <w:tcBorders>
              <w:top w:val="nil"/>
              <w:left w:val="nil"/>
              <w:bottom w:val="single" w:sz="8" w:space="0" w:color="auto"/>
              <w:right w:val="nil"/>
            </w:tcBorders>
            <w:shd w:val="clear" w:color="auto" w:fill="auto"/>
            <w:noWrap/>
            <w:vAlign w:val="bottom"/>
            <w:hideMark/>
          </w:tcPr>
          <w:p w14:paraId="7E0A7234"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828 658</w:t>
            </w:r>
          </w:p>
        </w:tc>
        <w:tc>
          <w:tcPr>
            <w:tcW w:w="644" w:type="pct"/>
            <w:tcBorders>
              <w:top w:val="nil"/>
              <w:left w:val="nil"/>
              <w:bottom w:val="single" w:sz="8" w:space="0" w:color="auto"/>
              <w:right w:val="nil"/>
            </w:tcBorders>
            <w:shd w:val="clear" w:color="auto" w:fill="auto"/>
            <w:noWrap/>
            <w:vAlign w:val="bottom"/>
            <w:hideMark/>
          </w:tcPr>
          <w:p w14:paraId="71CC29ED"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2 251 119</w:t>
            </w:r>
          </w:p>
        </w:tc>
        <w:tc>
          <w:tcPr>
            <w:tcW w:w="748" w:type="pct"/>
            <w:tcBorders>
              <w:top w:val="nil"/>
              <w:left w:val="nil"/>
              <w:bottom w:val="single" w:sz="8" w:space="0" w:color="auto"/>
              <w:right w:val="nil"/>
            </w:tcBorders>
            <w:shd w:val="clear" w:color="auto" w:fill="auto"/>
            <w:noWrap/>
            <w:vAlign w:val="bottom"/>
            <w:hideMark/>
          </w:tcPr>
          <w:p w14:paraId="40715ECF"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9 827 213</w:t>
            </w:r>
          </w:p>
        </w:tc>
        <w:tc>
          <w:tcPr>
            <w:tcW w:w="654" w:type="pct"/>
            <w:tcBorders>
              <w:top w:val="nil"/>
              <w:left w:val="nil"/>
              <w:bottom w:val="single" w:sz="8" w:space="0" w:color="auto"/>
              <w:right w:val="nil"/>
            </w:tcBorders>
            <w:shd w:val="clear" w:color="auto" w:fill="auto"/>
            <w:noWrap/>
            <w:vAlign w:val="bottom"/>
            <w:hideMark/>
          </w:tcPr>
          <w:p w14:paraId="584F12D3" w14:textId="77777777" w:rsidR="00A36F2D" w:rsidRPr="00F81CB3" w:rsidRDefault="00A36F2D" w:rsidP="00BB605A">
            <w:pPr>
              <w:spacing w:after="0" w:line="240" w:lineRule="auto"/>
              <w:jc w:val="right"/>
              <w:rPr>
                <w:rFonts w:ascii="Segoe UI" w:eastAsia="Times New Roman" w:hAnsi="Segoe UI" w:cs="Segoe UI"/>
                <w:sz w:val="16"/>
                <w:lang w:eastAsia="es-ES"/>
              </w:rPr>
            </w:pPr>
            <w:r w:rsidRPr="00F81CB3">
              <w:rPr>
                <w:rFonts w:ascii="Segoe UI" w:eastAsia="Times New Roman" w:hAnsi="Segoe UI" w:cs="Segoe UI"/>
                <w:sz w:val="16"/>
                <w:lang w:eastAsia="es-ES"/>
              </w:rPr>
              <w:t>13 015 215</w:t>
            </w:r>
          </w:p>
        </w:tc>
      </w:tr>
    </w:tbl>
    <w:p w14:paraId="39A9FF9C" w14:textId="77777777" w:rsidR="00A36F2D" w:rsidRPr="00F81CB3" w:rsidRDefault="00A36F2D" w:rsidP="00A36F2D">
      <w:pPr>
        <w:spacing w:line="240" w:lineRule="auto"/>
        <w:jc w:val="center"/>
        <w:rPr>
          <w:rFonts w:ascii="Segoe UI" w:hAnsi="Segoe UI" w:cs="Segoe UI"/>
        </w:rPr>
      </w:pPr>
    </w:p>
    <w:p w14:paraId="49BFCA2E" w14:textId="77777777" w:rsidR="00A36F2D" w:rsidRPr="00FC7236" w:rsidRDefault="00A36F2D" w:rsidP="00A36F2D">
      <w:pPr>
        <w:spacing w:line="240" w:lineRule="auto"/>
        <w:jc w:val="both"/>
        <w:rPr>
          <w:rFonts w:ascii="Segoe UI" w:hAnsi="Segoe UI" w:cs="Segoe UI"/>
        </w:rPr>
      </w:pPr>
      <w:r w:rsidRPr="00FC7236">
        <w:rPr>
          <w:rFonts w:ascii="Segoe UI" w:hAnsi="Segoe UI" w:cs="Segoe UI"/>
        </w:rPr>
        <w:t>El cuadro 2 muestra las inversiones por régimen de pensiones a junio del 2019. En general se puede apreciar que de los 13 billones invertidos 9,8 billones están invertidos en títulos valores del Sector Público, 2,2 billones de colones en el Sector Privado y 828 mil millones en emisores extranjeros. El RIVM tiene invertido 2 billones en el sector público mientras que el RCCMN tiene 1,9 billones invertido. El Régimen Obligatorio de Pensiones (ROP) tiene 4,1 billones invertido en el sector público costarricense, 1,1 billones en el sector privado y 780 mil millones en emisores extranjeros.</w:t>
      </w:r>
    </w:p>
    <w:p w14:paraId="5DBC1DA0" w14:textId="77777777" w:rsidR="00A36F2D" w:rsidRPr="00F81CB3" w:rsidRDefault="00A36F2D" w:rsidP="00A36F2D">
      <w:pPr>
        <w:spacing w:line="240" w:lineRule="auto"/>
        <w:jc w:val="both"/>
        <w:rPr>
          <w:rFonts w:ascii="Segoe UI" w:hAnsi="Segoe UI" w:cs="Segoe UI"/>
          <w:color w:val="FF0000"/>
          <w:lang w:eastAsia="es-CR"/>
        </w:rPr>
      </w:pPr>
      <w:r w:rsidRPr="00F81CB3">
        <w:rPr>
          <w:rFonts w:ascii="Segoe UI" w:hAnsi="Segoe UI" w:cs="Segoe UI"/>
          <w:lang w:eastAsia="es-CR"/>
        </w:rPr>
        <w:t xml:space="preserve">La presencia de valores extranjeros muestra diferencias entre carteras. A nivel general del ROP, el porcentaje de valores extranjero dentro de las carteras ha aumentado de 3,85% en </w:t>
      </w:r>
      <w:r w:rsidRPr="00262D63">
        <w:rPr>
          <w:rFonts w:ascii="Segoe UI" w:hAnsi="Segoe UI" w:cs="Segoe UI"/>
          <w:lang w:eastAsia="es-CR"/>
        </w:rPr>
        <w:t xml:space="preserve">el 2013 a 13,81% para cerrar el 2018., sin embargo, a junio de 2019 el porcentaje se mantiene cercano al 12,94%. </w:t>
      </w:r>
    </w:p>
    <w:p w14:paraId="14C977F1"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Cuadro 3</w:t>
      </w:r>
    </w:p>
    <w:p w14:paraId="100B12D9"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ROP: Valores Extranjeros</w:t>
      </w:r>
    </w:p>
    <w:p w14:paraId="13DECE73"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Monto y porcentaje del total de la cartera</w:t>
      </w:r>
    </w:p>
    <w:tbl>
      <w:tblPr>
        <w:tblW w:w="0" w:type="auto"/>
        <w:jc w:val="center"/>
        <w:shd w:val="clear" w:color="auto" w:fill="FFFFFF" w:themeFill="background1"/>
        <w:tblCellMar>
          <w:left w:w="70" w:type="dxa"/>
          <w:right w:w="70" w:type="dxa"/>
        </w:tblCellMar>
        <w:tblLook w:val="04A0" w:firstRow="1" w:lastRow="0" w:firstColumn="1" w:lastColumn="0" w:noHBand="0" w:noVBand="1"/>
      </w:tblPr>
      <w:tblGrid>
        <w:gridCol w:w="993"/>
        <w:gridCol w:w="2234"/>
        <w:gridCol w:w="1241"/>
        <w:gridCol w:w="146"/>
      </w:tblGrid>
      <w:tr w:rsidR="00A36F2D" w:rsidRPr="00F81CB3" w14:paraId="64A0CAFB" w14:textId="77777777" w:rsidTr="00BB605A">
        <w:trPr>
          <w:trHeight w:val="300"/>
          <w:jc w:val="center"/>
        </w:trPr>
        <w:tc>
          <w:tcPr>
            <w:tcW w:w="993" w:type="dxa"/>
            <w:tcBorders>
              <w:top w:val="single" w:sz="4" w:space="0" w:color="auto"/>
              <w:bottom w:val="single" w:sz="4" w:space="0" w:color="auto"/>
            </w:tcBorders>
            <w:shd w:val="clear" w:color="auto" w:fill="FFFFFF" w:themeFill="background1"/>
            <w:noWrap/>
            <w:vAlign w:val="bottom"/>
            <w:hideMark/>
          </w:tcPr>
          <w:p w14:paraId="65A2CD6B"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Fecha</w:t>
            </w:r>
          </w:p>
        </w:tc>
        <w:tc>
          <w:tcPr>
            <w:tcW w:w="2234" w:type="dxa"/>
            <w:tcBorders>
              <w:top w:val="single" w:sz="4" w:space="0" w:color="auto"/>
              <w:bottom w:val="single" w:sz="4" w:space="0" w:color="auto"/>
            </w:tcBorders>
            <w:shd w:val="clear" w:color="auto" w:fill="FFFFFF" w:themeFill="background1"/>
            <w:noWrap/>
            <w:vAlign w:val="bottom"/>
          </w:tcPr>
          <w:p w14:paraId="31AF7231"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Monto</w:t>
            </w:r>
          </w:p>
          <w:p w14:paraId="32BC7FFE"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Millones de colones</w:t>
            </w:r>
          </w:p>
        </w:tc>
        <w:tc>
          <w:tcPr>
            <w:tcW w:w="1241" w:type="dxa"/>
            <w:tcBorders>
              <w:top w:val="single" w:sz="4" w:space="0" w:color="auto"/>
              <w:bottom w:val="single" w:sz="4" w:space="0" w:color="auto"/>
            </w:tcBorders>
            <w:shd w:val="clear" w:color="auto" w:fill="FFFFFF" w:themeFill="background1"/>
            <w:noWrap/>
            <w:vAlign w:val="bottom"/>
            <w:hideMark/>
          </w:tcPr>
          <w:p w14:paraId="048703FA"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Porcentaje</w:t>
            </w:r>
          </w:p>
        </w:tc>
        <w:tc>
          <w:tcPr>
            <w:tcW w:w="0" w:type="auto"/>
            <w:shd w:val="clear" w:color="auto" w:fill="FFFFFF" w:themeFill="background1"/>
            <w:noWrap/>
            <w:vAlign w:val="bottom"/>
          </w:tcPr>
          <w:p w14:paraId="4AB032FC"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p>
        </w:tc>
      </w:tr>
      <w:tr w:rsidR="00A36F2D" w:rsidRPr="00F81CB3" w14:paraId="5417CB2B" w14:textId="77777777" w:rsidTr="00BB605A">
        <w:trPr>
          <w:trHeight w:val="300"/>
          <w:jc w:val="center"/>
        </w:trPr>
        <w:tc>
          <w:tcPr>
            <w:tcW w:w="993" w:type="dxa"/>
            <w:tcBorders>
              <w:top w:val="single" w:sz="4" w:space="0" w:color="auto"/>
            </w:tcBorders>
            <w:shd w:val="clear" w:color="auto" w:fill="FFFFFF" w:themeFill="background1"/>
            <w:noWrap/>
            <w:vAlign w:val="bottom"/>
            <w:hideMark/>
          </w:tcPr>
          <w:p w14:paraId="0797EC6F"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2013</w:t>
            </w:r>
          </w:p>
        </w:tc>
        <w:tc>
          <w:tcPr>
            <w:tcW w:w="2234" w:type="dxa"/>
            <w:tcBorders>
              <w:top w:val="single" w:sz="4" w:space="0" w:color="auto"/>
            </w:tcBorders>
            <w:shd w:val="clear" w:color="auto" w:fill="FFFFFF" w:themeFill="background1"/>
            <w:noWrap/>
          </w:tcPr>
          <w:p w14:paraId="6A560B5B"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101 473</w:t>
            </w:r>
          </w:p>
        </w:tc>
        <w:tc>
          <w:tcPr>
            <w:tcW w:w="1241" w:type="dxa"/>
            <w:tcBorders>
              <w:top w:val="single" w:sz="4" w:space="0" w:color="auto"/>
            </w:tcBorders>
            <w:shd w:val="clear" w:color="auto" w:fill="FFFFFF" w:themeFill="background1"/>
            <w:noWrap/>
            <w:vAlign w:val="bottom"/>
            <w:hideMark/>
          </w:tcPr>
          <w:p w14:paraId="01FE8245"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3,85%</w:t>
            </w:r>
          </w:p>
        </w:tc>
        <w:tc>
          <w:tcPr>
            <w:tcW w:w="0" w:type="auto"/>
            <w:shd w:val="clear" w:color="auto" w:fill="FFFFFF" w:themeFill="background1"/>
            <w:noWrap/>
            <w:vAlign w:val="bottom"/>
          </w:tcPr>
          <w:p w14:paraId="1BD84D3D"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34230218" w14:textId="77777777" w:rsidTr="00BB605A">
        <w:trPr>
          <w:trHeight w:val="300"/>
          <w:jc w:val="center"/>
        </w:trPr>
        <w:tc>
          <w:tcPr>
            <w:tcW w:w="993" w:type="dxa"/>
            <w:shd w:val="clear" w:color="auto" w:fill="FFFFFF" w:themeFill="background1"/>
            <w:noWrap/>
            <w:vAlign w:val="bottom"/>
            <w:hideMark/>
          </w:tcPr>
          <w:p w14:paraId="2FDA0F55"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2014</w:t>
            </w:r>
          </w:p>
        </w:tc>
        <w:tc>
          <w:tcPr>
            <w:tcW w:w="2234" w:type="dxa"/>
            <w:shd w:val="clear" w:color="auto" w:fill="FFFFFF" w:themeFill="background1"/>
            <w:noWrap/>
          </w:tcPr>
          <w:p w14:paraId="5B8AFA22"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112 966</w:t>
            </w:r>
          </w:p>
        </w:tc>
        <w:tc>
          <w:tcPr>
            <w:tcW w:w="1241" w:type="dxa"/>
            <w:shd w:val="clear" w:color="auto" w:fill="FFFFFF" w:themeFill="background1"/>
            <w:noWrap/>
            <w:vAlign w:val="bottom"/>
            <w:hideMark/>
          </w:tcPr>
          <w:p w14:paraId="7DAAC469"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3,72%</w:t>
            </w:r>
          </w:p>
        </w:tc>
        <w:tc>
          <w:tcPr>
            <w:tcW w:w="0" w:type="auto"/>
            <w:shd w:val="clear" w:color="auto" w:fill="FFFFFF" w:themeFill="background1"/>
            <w:noWrap/>
            <w:vAlign w:val="bottom"/>
          </w:tcPr>
          <w:p w14:paraId="1B3DFD16"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7692AE19" w14:textId="77777777" w:rsidTr="00BB605A">
        <w:trPr>
          <w:trHeight w:val="300"/>
          <w:jc w:val="center"/>
        </w:trPr>
        <w:tc>
          <w:tcPr>
            <w:tcW w:w="993" w:type="dxa"/>
            <w:shd w:val="clear" w:color="auto" w:fill="FFFFFF" w:themeFill="background1"/>
            <w:noWrap/>
            <w:vAlign w:val="bottom"/>
            <w:hideMark/>
          </w:tcPr>
          <w:p w14:paraId="3E142909"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2015</w:t>
            </w:r>
          </w:p>
        </w:tc>
        <w:tc>
          <w:tcPr>
            <w:tcW w:w="2234" w:type="dxa"/>
            <w:shd w:val="clear" w:color="auto" w:fill="FFFFFF" w:themeFill="background1"/>
            <w:noWrap/>
          </w:tcPr>
          <w:p w14:paraId="267721B4"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233 569</w:t>
            </w:r>
          </w:p>
        </w:tc>
        <w:tc>
          <w:tcPr>
            <w:tcW w:w="1241" w:type="dxa"/>
            <w:shd w:val="clear" w:color="auto" w:fill="FFFFFF" w:themeFill="background1"/>
            <w:noWrap/>
            <w:vAlign w:val="bottom"/>
            <w:hideMark/>
          </w:tcPr>
          <w:p w14:paraId="4354AB4A"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6,41%</w:t>
            </w:r>
          </w:p>
        </w:tc>
        <w:tc>
          <w:tcPr>
            <w:tcW w:w="0" w:type="auto"/>
            <w:shd w:val="clear" w:color="auto" w:fill="FFFFFF" w:themeFill="background1"/>
            <w:noWrap/>
            <w:vAlign w:val="bottom"/>
          </w:tcPr>
          <w:p w14:paraId="223C18DD"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010A2E41" w14:textId="77777777" w:rsidTr="00BB605A">
        <w:trPr>
          <w:trHeight w:val="300"/>
          <w:jc w:val="center"/>
        </w:trPr>
        <w:tc>
          <w:tcPr>
            <w:tcW w:w="993" w:type="dxa"/>
            <w:shd w:val="clear" w:color="auto" w:fill="FFFFFF" w:themeFill="background1"/>
            <w:noWrap/>
            <w:vAlign w:val="bottom"/>
            <w:hideMark/>
          </w:tcPr>
          <w:p w14:paraId="742DF0C9"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2016</w:t>
            </w:r>
          </w:p>
        </w:tc>
        <w:tc>
          <w:tcPr>
            <w:tcW w:w="2234" w:type="dxa"/>
            <w:shd w:val="clear" w:color="auto" w:fill="FFFFFF" w:themeFill="background1"/>
            <w:noWrap/>
          </w:tcPr>
          <w:p w14:paraId="217B4B07"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347 503</w:t>
            </w:r>
          </w:p>
        </w:tc>
        <w:tc>
          <w:tcPr>
            <w:tcW w:w="1241" w:type="dxa"/>
            <w:shd w:val="clear" w:color="auto" w:fill="FFFFFF" w:themeFill="background1"/>
            <w:noWrap/>
            <w:vAlign w:val="bottom"/>
            <w:hideMark/>
          </w:tcPr>
          <w:p w14:paraId="11FA16B3"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8,14%</w:t>
            </w:r>
          </w:p>
        </w:tc>
        <w:tc>
          <w:tcPr>
            <w:tcW w:w="0" w:type="auto"/>
            <w:shd w:val="clear" w:color="auto" w:fill="FFFFFF" w:themeFill="background1"/>
            <w:noWrap/>
            <w:vAlign w:val="bottom"/>
          </w:tcPr>
          <w:p w14:paraId="42458B9F"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34A31471" w14:textId="77777777" w:rsidTr="00BB605A">
        <w:trPr>
          <w:trHeight w:val="300"/>
          <w:jc w:val="center"/>
        </w:trPr>
        <w:tc>
          <w:tcPr>
            <w:tcW w:w="993" w:type="dxa"/>
            <w:shd w:val="clear" w:color="auto" w:fill="FFFFFF" w:themeFill="background1"/>
            <w:noWrap/>
            <w:vAlign w:val="bottom"/>
            <w:hideMark/>
          </w:tcPr>
          <w:p w14:paraId="7E9D1EC5"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2017</w:t>
            </w:r>
          </w:p>
        </w:tc>
        <w:tc>
          <w:tcPr>
            <w:tcW w:w="2234" w:type="dxa"/>
            <w:shd w:val="clear" w:color="auto" w:fill="FFFFFF" w:themeFill="background1"/>
            <w:noWrap/>
          </w:tcPr>
          <w:p w14:paraId="6CB25D62"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479 239</w:t>
            </w:r>
          </w:p>
        </w:tc>
        <w:tc>
          <w:tcPr>
            <w:tcW w:w="1241" w:type="dxa"/>
            <w:shd w:val="clear" w:color="auto" w:fill="FFFFFF" w:themeFill="background1"/>
            <w:noWrap/>
            <w:vAlign w:val="bottom"/>
            <w:hideMark/>
          </w:tcPr>
          <w:p w14:paraId="11B55AB0"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9,79%</w:t>
            </w:r>
          </w:p>
        </w:tc>
        <w:tc>
          <w:tcPr>
            <w:tcW w:w="0" w:type="auto"/>
            <w:shd w:val="clear" w:color="auto" w:fill="FFFFFF" w:themeFill="background1"/>
            <w:noWrap/>
            <w:vAlign w:val="bottom"/>
          </w:tcPr>
          <w:p w14:paraId="7564BC92"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2C1EB127" w14:textId="77777777" w:rsidTr="00BB605A">
        <w:trPr>
          <w:trHeight w:val="300"/>
          <w:jc w:val="center"/>
        </w:trPr>
        <w:tc>
          <w:tcPr>
            <w:tcW w:w="993" w:type="dxa"/>
            <w:shd w:val="clear" w:color="auto" w:fill="FFFFFF" w:themeFill="background1"/>
            <w:noWrap/>
            <w:vAlign w:val="bottom"/>
            <w:hideMark/>
          </w:tcPr>
          <w:p w14:paraId="6F540000"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2018</w:t>
            </w:r>
          </w:p>
        </w:tc>
        <w:tc>
          <w:tcPr>
            <w:tcW w:w="2234" w:type="dxa"/>
            <w:shd w:val="clear" w:color="auto" w:fill="FFFFFF" w:themeFill="background1"/>
            <w:noWrap/>
          </w:tcPr>
          <w:p w14:paraId="0490EEBF"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746 039</w:t>
            </w:r>
          </w:p>
        </w:tc>
        <w:tc>
          <w:tcPr>
            <w:tcW w:w="1241" w:type="dxa"/>
            <w:shd w:val="clear" w:color="auto" w:fill="FFFFFF" w:themeFill="background1"/>
            <w:noWrap/>
            <w:vAlign w:val="bottom"/>
            <w:hideMark/>
          </w:tcPr>
          <w:p w14:paraId="4723DAD8"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13,81%</w:t>
            </w:r>
          </w:p>
        </w:tc>
        <w:tc>
          <w:tcPr>
            <w:tcW w:w="0" w:type="auto"/>
            <w:shd w:val="clear" w:color="auto" w:fill="FFFFFF" w:themeFill="background1"/>
            <w:noWrap/>
            <w:vAlign w:val="bottom"/>
          </w:tcPr>
          <w:p w14:paraId="458F78EB"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r w:rsidR="00A36F2D" w:rsidRPr="00F81CB3" w14:paraId="6D0DF814" w14:textId="77777777" w:rsidTr="00BB605A">
        <w:trPr>
          <w:trHeight w:val="300"/>
          <w:jc w:val="center"/>
        </w:trPr>
        <w:tc>
          <w:tcPr>
            <w:tcW w:w="993" w:type="dxa"/>
            <w:tcBorders>
              <w:bottom w:val="single" w:sz="4" w:space="0" w:color="auto"/>
            </w:tcBorders>
            <w:shd w:val="clear" w:color="auto" w:fill="FFFFFF" w:themeFill="background1"/>
            <w:noWrap/>
            <w:vAlign w:val="bottom"/>
            <w:hideMark/>
          </w:tcPr>
          <w:p w14:paraId="307F0095"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2019*</w:t>
            </w:r>
          </w:p>
        </w:tc>
        <w:tc>
          <w:tcPr>
            <w:tcW w:w="2234" w:type="dxa"/>
            <w:tcBorders>
              <w:bottom w:val="single" w:sz="4" w:space="0" w:color="auto"/>
            </w:tcBorders>
            <w:shd w:val="clear" w:color="auto" w:fill="FFFFFF" w:themeFill="background1"/>
            <w:noWrap/>
          </w:tcPr>
          <w:p w14:paraId="13461EB0" w14:textId="77777777" w:rsidR="00A36F2D" w:rsidRPr="00F81CB3" w:rsidRDefault="00A36F2D" w:rsidP="00BB605A">
            <w:pPr>
              <w:spacing w:after="0" w:line="240" w:lineRule="auto"/>
              <w:jc w:val="center"/>
              <w:rPr>
                <w:rFonts w:ascii="Segoe UI" w:eastAsia="Times New Roman" w:hAnsi="Segoe UI" w:cs="Segoe UI"/>
                <w:bCs/>
                <w:color w:val="000000"/>
                <w:lang w:val="es-CR" w:eastAsia="es-CR"/>
              </w:rPr>
            </w:pPr>
            <w:r w:rsidRPr="00F81CB3">
              <w:rPr>
                <w:rFonts w:ascii="Segoe UI" w:hAnsi="Segoe UI" w:cs="Segoe UI"/>
              </w:rPr>
              <w:t>780 841</w:t>
            </w:r>
          </w:p>
        </w:tc>
        <w:tc>
          <w:tcPr>
            <w:tcW w:w="1241" w:type="dxa"/>
            <w:tcBorders>
              <w:bottom w:val="single" w:sz="4" w:space="0" w:color="auto"/>
            </w:tcBorders>
            <w:shd w:val="clear" w:color="auto" w:fill="FFFFFF" w:themeFill="background1"/>
            <w:noWrap/>
            <w:vAlign w:val="bottom"/>
            <w:hideMark/>
          </w:tcPr>
          <w:p w14:paraId="0413EF27"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r w:rsidRPr="00F81CB3">
              <w:rPr>
                <w:rFonts w:ascii="Segoe UI" w:eastAsia="Times New Roman" w:hAnsi="Segoe UI" w:cs="Segoe UI"/>
                <w:bCs/>
                <w:color w:val="000000"/>
                <w:lang w:val="es-CR" w:eastAsia="es-CR"/>
              </w:rPr>
              <w:t>12,94%</w:t>
            </w:r>
          </w:p>
        </w:tc>
        <w:tc>
          <w:tcPr>
            <w:tcW w:w="0" w:type="auto"/>
            <w:shd w:val="clear" w:color="auto" w:fill="FFFFFF" w:themeFill="background1"/>
            <w:noWrap/>
            <w:vAlign w:val="bottom"/>
          </w:tcPr>
          <w:p w14:paraId="0BCA5AE7" w14:textId="77777777" w:rsidR="00A36F2D" w:rsidRPr="00F81CB3" w:rsidRDefault="00A36F2D" w:rsidP="00BB605A">
            <w:pPr>
              <w:spacing w:after="0" w:line="240" w:lineRule="auto"/>
              <w:jc w:val="right"/>
              <w:rPr>
                <w:rFonts w:ascii="Segoe UI" w:eastAsia="Times New Roman" w:hAnsi="Segoe UI" w:cs="Segoe UI"/>
                <w:bCs/>
                <w:color w:val="000000"/>
                <w:lang w:val="es-CR" w:eastAsia="es-CR"/>
              </w:rPr>
            </w:pPr>
          </w:p>
        </w:tc>
      </w:tr>
    </w:tbl>
    <w:p w14:paraId="4BF2FEE4" w14:textId="77777777" w:rsidR="00A36F2D" w:rsidRPr="00F81CB3" w:rsidRDefault="00A36F2D" w:rsidP="00A36F2D">
      <w:pPr>
        <w:spacing w:after="0" w:line="240" w:lineRule="auto"/>
        <w:ind w:left="1416" w:firstLine="708"/>
        <w:rPr>
          <w:rFonts w:ascii="Segoe UI" w:hAnsi="Segoe UI" w:cs="Segoe UI"/>
          <w:sz w:val="18"/>
          <w:szCs w:val="18"/>
          <w:lang w:eastAsia="es-CR"/>
        </w:rPr>
      </w:pPr>
      <w:r w:rsidRPr="00F81CB3">
        <w:rPr>
          <w:rFonts w:ascii="Segoe UI" w:hAnsi="Segoe UI" w:cs="Segoe UI"/>
          <w:sz w:val="18"/>
          <w:szCs w:val="18"/>
          <w:lang w:eastAsia="es-CR"/>
        </w:rPr>
        <w:t>*A junio 2019</w:t>
      </w:r>
    </w:p>
    <w:p w14:paraId="442952C2" w14:textId="77777777" w:rsidR="00A36F2D" w:rsidRDefault="00A36F2D" w:rsidP="00A36F2D">
      <w:pPr>
        <w:spacing w:line="240" w:lineRule="auto"/>
        <w:jc w:val="both"/>
        <w:rPr>
          <w:rFonts w:ascii="Segoe UI" w:hAnsi="Segoe UI" w:cs="Segoe UI"/>
          <w:lang w:eastAsia="es-CR"/>
        </w:rPr>
      </w:pPr>
    </w:p>
    <w:p w14:paraId="0058C5D4" w14:textId="77777777" w:rsidR="00A36F2D" w:rsidRDefault="00A36F2D" w:rsidP="00A36F2D">
      <w:pPr>
        <w:spacing w:line="240" w:lineRule="auto"/>
        <w:jc w:val="both"/>
        <w:rPr>
          <w:rFonts w:ascii="Segoe UI" w:hAnsi="Segoe UI" w:cs="Segoe UI"/>
          <w:lang w:eastAsia="es-CR"/>
        </w:rPr>
      </w:pPr>
      <w:r>
        <w:rPr>
          <w:rFonts w:ascii="Segoe UI" w:hAnsi="Segoe UI" w:cs="Segoe UI"/>
          <w:lang w:eastAsia="es-CR"/>
        </w:rPr>
        <w:t>El gráfico 3, muestra la evolución de las inversiones en valores extranjeros del ROP por operadora como porcentaje de la cartera total de la misma. El primer hecho que se observa es que Popular Pensiones desde el 2016 ha mantenido cerca de un 20% de su cartera en valores extranjeros. Un aspecto que resalta es el crecimiento desde el 2016 del porcentaje de valores extranjeros de las operadoras de CCSS-OPC y BAC San José Pensiones. Para junio del 2019 CCSS OPC tiene un 22,76% de su cartera invertida en valores extranjeros ligeramente superior a Popular Pensiones que tiene un 22,17%. Las otras operadoras no superan el 6% de inversión en valores extranjeros de su cartera.</w:t>
      </w:r>
    </w:p>
    <w:p w14:paraId="68AA1853" w14:textId="77777777" w:rsidR="00A36F2D" w:rsidRDefault="00A36F2D" w:rsidP="00A36F2D">
      <w:pPr>
        <w:spacing w:after="0" w:line="240" w:lineRule="auto"/>
        <w:jc w:val="center"/>
        <w:rPr>
          <w:rFonts w:ascii="Segoe UI" w:hAnsi="Segoe UI" w:cs="Segoe UI"/>
        </w:rPr>
      </w:pPr>
      <w:r>
        <w:rPr>
          <w:rFonts w:ascii="Segoe UI" w:hAnsi="Segoe UI" w:cs="Segoe UI"/>
        </w:rPr>
        <w:t>Gráfico 3</w:t>
      </w:r>
    </w:p>
    <w:p w14:paraId="60741ED7" w14:textId="77777777" w:rsidR="00A36F2D" w:rsidRPr="00D54B51" w:rsidRDefault="00A36F2D" w:rsidP="00A36F2D">
      <w:pPr>
        <w:spacing w:after="0" w:line="240" w:lineRule="auto"/>
        <w:jc w:val="center"/>
        <w:rPr>
          <w:rFonts w:ascii="Segoe UI" w:hAnsi="Segoe UI" w:cs="Segoe UI"/>
        </w:rPr>
      </w:pPr>
      <w:r w:rsidRPr="00D54B51">
        <w:rPr>
          <w:rFonts w:ascii="Segoe UI" w:hAnsi="Segoe UI" w:cs="Segoe UI"/>
        </w:rPr>
        <w:t>ROP:  Ev</w:t>
      </w:r>
      <w:r>
        <w:rPr>
          <w:rFonts w:ascii="Segoe UI" w:hAnsi="Segoe UI" w:cs="Segoe UI"/>
        </w:rPr>
        <w:t>olu</w:t>
      </w:r>
      <w:r w:rsidRPr="00D54B51">
        <w:rPr>
          <w:rFonts w:ascii="Segoe UI" w:hAnsi="Segoe UI" w:cs="Segoe UI"/>
        </w:rPr>
        <w:t>ción de las Inversiones en Valores Extranjeros</w:t>
      </w:r>
    </w:p>
    <w:p w14:paraId="61CFFB8A" w14:textId="77777777" w:rsidR="00A36F2D" w:rsidRDefault="00A36F2D" w:rsidP="00A36F2D">
      <w:pPr>
        <w:spacing w:after="0" w:line="240" w:lineRule="auto"/>
        <w:jc w:val="center"/>
        <w:rPr>
          <w:rFonts w:ascii="Segoe UI" w:hAnsi="Segoe UI" w:cs="Segoe UI"/>
        </w:rPr>
      </w:pPr>
      <w:r w:rsidRPr="00D54B51">
        <w:rPr>
          <w:rFonts w:ascii="Segoe UI" w:hAnsi="Segoe UI" w:cs="Segoe UI"/>
        </w:rPr>
        <w:t>Como porcentaje del total de Cartera</w:t>
      </w:r>
    </w:p>
    <w:p w14:paraId="02F1CA62" w14:textId="77777777" w:rsidR="00A36F2D" w:rsidRPr="00D54B51" w:rsidRDefault="00A36F2D" w:rsidP="00A36F2D">
      <w:pPr>
        <w:spacing w:after="0" w:line="240" w:lineRule="auto"/>
        <w:jc w:val="center"/>
        <w:rPr>
          <w:rFonts w:ascii="Segoe UI" w:hAnsi="Segoe UI" w:cs="Segoe UI"/>
        </w:rPr>
      </w:pPr>
      <w:r>
        <w:rPr>
          <w:rFonts w:ascii="Segoe UI" w:hAnsi="Segoe UI" w:cs="Segoe UI"/>
        </w:rPr>
        <w:t>A junio de cada año</w:t>
      </w:r>
    </w:p>
    <w:p w14:paraId="10EDBEA3" w14:textId="77777777" w:rsidR="00A36F2D" w:rsidRPr="00F81CB3" w:rsidRDefault="00A36F2D" w:rsidP="00A36F2D">
      <w:pPr>
        <w:spacing w:line="240" w:lineRule="auto"/>
        <w:jc w:val="both"/>
        <w:rPr>
          <w:rFonts w:ascii="Segoe UI" w:hAnsi="Segoe UI" w:cs="Segoe UI"/>
          <w:lang w:eastAsia="es-CR"/>
        </w:rPr>
      </w:pPr>
    </w:p>
    <w:p w14:paraId="0BB72D11" w14:textId="77777777" w:rsidR="00A36F2D" w:rsidRDefault="00A36F2D" w:rsidP="00A36F2D">
      <w:pPr>
        <w:spacing w:line="240" w:lineRule="auto"/>
        <w:jc w:val="both"/>
        <w:rPr>
          <w:rFonts w:ascii="Segoe UI" w:eastAsia="Times New Roman" w:hAnsi="Segoe UI" w:cs="Segoe UI"/>
          <w:lang w:eastAsia="es-CR"/>
        </w:rPr>
      </w:pPr>
      <w:r>
        <w:rPr>
          <w:noProof/>
        </w:rPr>
        <w:drawing>
          <wp:inline distT="0" distB="0" distL="0" distR="0" wp14:anchorId="130667BB" wp14:editId="77C6308B">
            <wp:extent cx="5612130" cy="3669665"/>
            <wp:effectExtent l="0" t="0" r="7620" b="6985"/>
            <wp:docPr id="2" name="Gráfico 2">
              <a:extLst xmlns:a="http://schemas.openxmlformats.org/drawingml/2006/main">
                <a:ext uri="{FF2B5EF4-FFF2-40B4-BE49-F238E27FC236}">
                  <a16:creationId xmlns:a16="http://schemas.microsoft.com/office/drawing/2014/main" id="{63AD5C57-36E6-4E16-B5A4-A00E47A74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4891FC" w14:textId="77777777" w:rsidR="00A36F2D" w:rsidRDefault="00A36F2D" w:rsidP="00A36F2D">
      <w:pPr>
        <w:spacing w:line="240" w:lineRule="auto"/>
        <w:jc w:val="both"/>
        <w:rPr>
          <w:rFonts w:ascii="Segoe UI" w:eastAsia="Times New Roman" w:hAnsi="Segoe UI" w:cs="Segoe UI"/>
          <w:lang w:eastAsia="es-CR"/>
        </w:rPr>
      </w:pPr>
    </w:p>
    <w:p w14:paraId="34153BDA" w14:textId="77777777" w:rsidR="00A36F2D" w:rsidRPr="00F81CB3" w:rsidRDefault="00A36F2D" w:rsidP="00A36F2D">
      <w:pPr>
        <w:spacing w:line="240" w:lineRule="auto"/>
        <w:jc w:val="both"/>
        <w:rPr>
          <w:rFonts w:ascii="Segoe UI" w:eastAsia="Times New Roman" w:hAnsi="Segoe UI" w:cs="Segoe UI"/>
          <w:lang w:eastAsia="es-CR"/>
        </w:rPr>
      </w:pPr>
      <w:r w:rsidRPr="00F81CB3">
        <w:rPr>
          <w:rFonts w:ascii="Segoe UI" w:eastAsia="Times New Roman" w:hAnsi="Segoe UI" w:cs="Segoe UI"/>
          <w:lang w:eastAsia="es-CR"/>
        </w:rPr>
        <w:t>D</w:t>
      </w:r>
      <w:r w:rsidRPr="00F81CB3">
        <w:rPr>
          <w:rFonts w:ascii="Segoe UI" w:hAnsi="Segoe UI" w:cs="Segoe UI"/>
        </w:rPr>
        <w:t xml:space="preserve">e las inversiones en valores extranjeros únicamente el 4,60% se encuentran en instrumentos de renta fija mientras que el restante se encuentra en fondos mutuos, fondos índices o </w:t>
      </w:r>
      <w:proofErr w:type="spellStart"/>
      <w:r w:rsidRPr="00F81CB3">
        <w:rPr>
          <w:rFonts w:ascii="Segoe UI" w:hAnsi="Segoe UI" w:cs="Segoe UI"/>
        </w:rPr>
        <w:t>ETFs</w:t>
      </w:r>
      <w:proofErr w:type="spellEnd"/>
      <w:r w:rsidRPr="00F81CB3">
        <w:rPr>
          <w:rFonts w:ascii="Segoe UI" w:hAnsi="Segoe UI" w:cs="Segoe UI"/>
        </w:rPr>
        <w:t xml:space="preserve"> </w:t>
      </w:r>
      <w:r>
        <w:rPr>
          <w:rFonts w:ascii="Segoe UI" w:hAnsi="Segoe UI" w:cs="Segoe UI"/>
        </w:rPr>
        <w:t xml:space="preserve">y </w:t>
      </w:r>
      <w:r w:rsidRPr="00F81CB3">
        <w:rPr>
          <w:rFonts w:ascii="Segoe UI" w:hAnsi="Segoe UI" w:cs="Segoe UI"/>
        </w:rPr>
        <w:t>que alcanza</w:t>
      </w:r>
      <w:r>
        <w:rPr>
          <w:rFonts w:ascii="Segoe UI" w:hAnsi="Segoe UI" w:cs="Segoe UI"/>
        </w:rPr>
        <w:t>n</w:t>
      </w:r>
      <w:r w:rsidRPr="00F81CB3">
        <w:rPr>
          <w:rFonts w:ascii="Segoe UI" w:hAnsi="Segoe UI" w:cs="Segoe UI"/>
        </w:rPr>
        <w:t xml:space="preserve"> los 744 816 millones de colones.</w:t>
      </w:r>
    </w:p>
    <w:p w14:paraId="2DA5E2BA" w14:textId="77777777" w:rsidR="00A36F2D" w:rsidRPr="00F81CB3" w:rsidRDefault="00A36F2D" w:rsidP="00A36F2D">
      <w:pPr>
        <w:spacing w:line="240" w:lineRule="auto"/>
        <w:jc w:val="both"/>
        <w:rPr>
          <w:rFonts w:ascii="Segoe UI" w:hAnsi="Segoe UI" w:cs="Segoe UI"/>
          <w:lang w:eastAsia="es-CR"/>
        </w:rPr>
      </w:pPr>
      <w:r w:rsidRPr="00F81CB3">
        <w:rPr>
          <w:rFonts w:ascii="Segoe UI" w:hAnsi="Segoe UI" w:cs="Segoe UI"/>
          <w:lang w:eastAsia="es-CR"/>
        </w:rPr>
        <w:t>En las carteras del ROP se ha incrementado la posición en moneda extranjera, aunque solamente en dólares estadounidenses. De representar un 10% en</w:t>
      </w:r>
      <w:r>
        <w:rPr>
          <w:rFonts w:ascii="Segoe UI" w:hAnsi="Segoe UI" w:cs="Segoe UI"/>
          <w:lang w:eastAsia="es-CR"/>
        </w:rPr>
        <w:t>tre</w:t>
      </w:r>
      <w:r w:rsidRPr="00F81CB3">
        <w:rPr>
          <w:rFonts w:ascii="Segoe UI" w:hAnsi="Segoe UI" w:cs="Segoe UI"/>
          <w:lang w:eastAsia="es-CR"/>
        </w:rPr>
        <w:t xml:space="preserve"> el 2013 y 201</w:t>
      </w:r>
      <w:r>
        <w:rPr>
          <w:rFonts w:ascii="Segoe UI" w:hAnsi="Segoe UI" w:cs="Segoe UI"/>
          <w:lang w:eastAsia="es-CR"/>
        </w:rPr>
        <w:t>5</w:t>
      </w:r>
      <w:r w:rsidRPr="00F81CB3">
        <w:rPr>
          <w:rFonts w:ascii="Segoe UI" w:hAnsi="Segoe UI" w:cs="Segoe UI"/>
          <w:lang w:eastAsia="es-CR"/>
        </w:rPr>
        <w:t xml:space="preserve">, </w:t>
      </w:r>
      <w:r>
        <w:rPr>
          <w:rFonts w:ascii="Segoe UI" w:hAnsi="Segoe UI" w:cs="Segoe UI"/>
          <w:lang w:eastAsia="es-CR"/>
        </w:rPr>
        <w:t>a un</w:t>
      </w:r>
      <w:r w:rsidRPr="00F81CB3">
        <w:rPr>
          <w:rFonts w:ascii="Segoe UI" w:hAnsi="Segoe UI" w:cs="Segoe UI"/>
          <w:lang w:eastAsia="es-CR"/>
        </w:rPr>
        <w:t xml:space="preserve"> </w:t>
      </w:r>
      <w:r w:rsidRPr="00F81CB3">
        <w:rPr>
          <w:rFonts w:ascii="Segoe UI" w:hAnsi="Segoe UI" w:cs="Segoe UI"/>
          <w:lang w:eastAsia="es-CR"/>
        </w:rPr>
        <w:lastRenderedPageBreak/>
        <w:t>30</w:t>
      </w:r>
      <w:r>
        <w:rPr>
          <w:rFonts w:ascii="Segoe UI" w:hAnsi="Segoe UI" w:cs="Segoe UI"/>
          <w:lang w:eastAsia="es-CR"/>
        </w:rPr>
        <w:t>,2</w:t>
      </w:r>
      <w:r w:rsidRPr="00F81CB3">
        <w:rPr>
          <w:rFonts w:ascii="Segoe UI" w:hAnsi="Segoe UI" w:cs="Segoe UI"/>
          <w:lang w:eastAsia="es-CR"/>
        </w:rPr>
        <w:t xml:space="preserve">% a </w:t>
      </w:r>
      <w:r>
        <w:rPr>
          <w:rFonts w:ascii="Segoe UI" w:hAnsi="Segoe UI" w:cs="Segoe UI"/>
          <w:lang w:eastAsia="es-CR"/>
        </w:rPr>
        <w:t>junio del</w:t>
      </w:r>
      <w:r w:rsidRPr="00F81CB3">
        <w:rPr>
          <w:rFonts w:ascii="Segoe UI" w:hAnsi="Segoe UI" w:cs="Segoe UI"/>
          <w:lang w:eastAsia="es-CR"/>
        </w:rPr>
        <w:t xml:space="preserve"> 2019. Es importante aclarar que no sólo las inversiones en el exterior son denominadas en dólares, sino también en instrumentos locales, principalmente emitidos por el Ministerio de Hacienda.</w:t>
      </w:r>
    </w:p>
    <w:p w14:paraId="4FF7CCD1"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Gráfico 3</w:t>
      </w:r>
    </w:p>
    <w:p w14:paraId="70794032"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 xml:space="preserve">ROP:  Inversiones </w:t>
      </w:r>
    </w:p>
    <w:p w14:paraId="76A0A8EF" w14:textId="77777777" w:rsidR="00A36F2D" w:rsidRPr="00F81CB3" w:rsidRDefault="00A36F2D" w:rsidP="00A36F2D">
      <w:pPr>
        <w:keepNext/>
        <w:spacing w:after="0" w:line="240" w:lineRule="auto"/>
        <w:jc w:val="center"/>
        <w:rPr>
          <w:rFonts w:ascii="Segoe UI" w:hAnsi="Segoe UI" w:cs="Segoe UI"/>
        </w:rPr>
      </w:pPr>
      <w:r w:rsidRPr="00F81CB3">
        <w:rPr>
          <w:rFonts w:ascii="Segoe UI" w:hAnsi="Segoe UI" w:cs="Segoe UI"/>
        </w:rPr>
        <w:t>Composición por moneda junio 2019</w:t>
      </w:r>
    </w:p>
    <w:p w14:paraId="0C7DD2E3" w14:textId="77777777" w:rsidR="00A36F2D" w:rsidRPr="00F81CB3" w:rsidRDefault="00A36F2D" w:rsidP="00A36F2D">
      <w:pPr>
        <w:spacing w:line="240" w:lineRule="auto"/>
        <w:jc w:val="center"/>
        <w:rPr>
          <w:rFonts w:ascii="Segoe UI" w:eastAsia="Times New Roman" w:hAnsi="Segoe UI" w:cs="Segoe UI"/>
          <w:lang w:eastAsia="es-CR"/>
        </w:rPr>
      </w:pPr>
      <w:r w:rsidRPr="00F81CB3">
        <w:rPr>
          <w:b/>
          <w:noProof/>
        </w:rPr>
        <w:drawing>
          <wp:inline distT="0" distB="0" distL="0" distR="0" wp14:anchorId="09414CDF" wp14:editId="292EAA9B">
            <wp:extent cx="4827905" cy="2609850"/>
            <wp:effectExtent l="0" t="0" r="0" b="0"/>
            <wp:docPr id="7" name="Gráfico 7">
              <a:extLst xmlns:a="http://schemas.openxmlformats.org/drawingml/2006/main">
                <a:ext uri="{FF2B5EF4-FFF2-40B4-BE49-F238E27FC236}">
                  <a16:creationId xmlns:a16="http://schemas.microsoft.com/office/drawing/2014/main" id="{1659C563-9F12-49E1-B4A2-592C1EE70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0FFDE5" w14:textId="77777777" w:rsidR="00A36F2D" w:rsidRPr="00F81CB3" w:rsidRDefault="00A36F2D" w:rsidP="00A36F2D">
      <w:pPr>
        <w:spacing w:line="240" w:lineRule="auto"/>
        <w:jc w:val="both"/>
        <w:rPr>
          <w:rFonts w:ascii="Segoe UI" w:hAnsi="Segoe UI" w:cs="Segoe UI"/>
          <w:lang w:eastAsia="es-CR"/>
        </w:rPr>
      </w:pPr>
      <w:r w:rsidRPr="00F81CB3">
        <w:rPr>
          <w:rFonts w:ascii="Segoe UI" w:hAnsi="Segoe UI" w:cs="Segoe UI"/>
          <w:lang w:eastAsia="es-CR"/>
        </w:rPr>
        <w:t>Desde el 2018, las carteras de los fondos de pensiones han experimentado una disminución por pérdidas no realizadas producto de la valoración, principalmente por aumento interno de las tasas de interés y las variaciones en el tipo de cambio. A junio de 2019 se presentan plusvalías no realizadas por valoración, aunque todavía se observan minusvalías no realizadas en los valores nacionales</w:t>
      </w:r>
      <w:r>
        <w:rPr>
          <w:rFonts w:ascii="Segoe UI" w:hAnsi="Segoe UI" w:cs="Segoe UI"/>
          <w:lang w:eastAsia="es-CR"/>
        </w:rPr>
        <w:t xml:space="preserve"> a junio del 2019</w:t>
      </w:r>
      <w:r w:rsidRPr="00F81CB3">
        <w:rPr>
          <w:rFonts w:ascii="Segoe UI" w:hAnsi="Segoe UI" w:cs="Segoe UI"/>
          <w:lang w:eastAsia="es-CR"/>
        </w:rPr>
        <w:t>.</w:t>
      </w:r>
    </w:p>
    <w:p w14:paraId="4A8C1335" w14:textId="77777777" w:rsidR="00A36F2D" w:rsidRDefault="00A36F2D" w:rsidP="00A36F2D">
      <w:pPr>
        <w:rPr>
          <w:rFonts w:ascii="Segoe UI" w:hAnsi="Segoe UI" w:cs="Segoe UI"/>
        </w:rPr>
      </w:pPr>
      <w:r>
        <w:rPr>
          <w:rFonts w:ascii="Segoe UI" w:hAnsi="Segoe UI" w:cs="Segoe UI"/>
        </w:rPr>
        <w:br w:type="page"/>
      </w:r>
    </w:p>
    <w:p w14:paraId="7AC9A9FF"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lastRenderedPageBreak/>
        <w:t>Cuadro 5</w:t>
      </w:r>
    </w:p>
    <w:p w14:paraId="258BA25C"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ROP: Plusvalías y Minusvalías</w:t>
      </w:r>
    </w:p>
    <w:p w14:paraId="78E06DAC"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 xml:space="preserve">Inversiones valores nacionales y extranjeros </w:t>
      </w:r>
    </w:p>
    <w:p w14:paraId="54DC5FE9" w14:textId="77777777" w:rsidR="00A36F2D" w:rsidRPr="00F81CB3" w:rsidRDefault="00A36F2D" w:rsidP="00A36F2D">
      <w:pPr>
        <w:tabs>
          <w:tab w:val="left" w:pos="2694"/>
        </w:tabs>
        <w:spacing w:after="0" w:line="240" w:lineRule="auto"/>
        <w:jc w:val="center"/>
        <w:rPr>
          <w:rFonts w:ascii="Segoe UI" w:hAnsi="Segoe UI" w:cs="Segoe UI"/>
        </w:rPr>
      </w:pPr>
      <w:r w:rsidRPr="00F81CB3">
        <w:rPr>
          <w:rFonts w:ascii="Segoe UI" w:hAnsi="Segoe UI" w:cs="Segoe UI"/>
        </w:rPr>
        <w:t>Junio 2018 a junio 2019</w:t>
      </w:r>
    </w:p>
    <w:tbl>
      <w:tblPr>
        <w:tblW w:w="5079" w:type="pct"/>
        <w:tblCellMar>
          <w:left w:w="70" w:type="dxa"/>
          <w:right w:w="70" w:type="dxa"/>
        </w:tblCellMar>
        <w:tblLook w:val="04A0" w:firstRow="1" w:lastRow="0" w:firstColumn="1" w:lastColumn="0" w:noHBand="0" w:noVBand="1"/>
      </w:tblPr>
      <w:tblGrid>
        <w:gridCol w:w="1466"/>
        <w:gridCol w:w="1654"/>
        <w:gridCol w:w="1465"/>
        <w:gridCol w:w="1465"/>
        <w:gridCol w:w="1465"/>
        <w:gridCol w:w="1463"/>
      </w:tblGrid>
      <w:tr w:rsidR="00A36F2D" w:rsidRPr="00F81CB3" w14:paraId="30E6BDCB" w14:textId="77777777" w:rsidTr="00BB605A">
        <w:trPr>
          <w:trHeight w:val="406"/>
        </w:trPr>
        <w:tc>
          <w:tcPr>
            <w:tcW w:w="816" w:type="pct"/>
            <w:tcBorders>
              <w:top w:val="single" w:sz="8" w:space="0" w:color="auto"/>
              <w:left w:val="nil"/>
              <w:bottom w:val="single" w:sz="8" w:space="0" w:color="auto"/>
              <w:right w:val="nil"/>
            </w:tcBorders>
            <w:shd w:val="clear" w:color="000000" w:fill="FFFFFF"/>
            <w:vAlign w:val="bottom"/>
            <w:hideMark/>
          </w:tcPr>
          <w:p w14:paraId="25585460" w14:textId="77777777" w:rsidR="00A36F2D" w:rsidRPr="00F81CB3" w:rsidRDefault="00A36F2D" w:rsidP="00BB605A">
            <w:pPr>
              <w:spacing w:after="0" w:line="240" w:lineRule="auto"/>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 </w:t>
            </w:r>
          </w:p>
        </w:tc>
        <w:tc>
          <w:tcPr>
            <w:tcW w:w="921" w:type="pct"/>
            <w:tcBorders>
              <w:top w:val="single" w:sz="8" w:space="0" w:color="auto"/>
              <w:left w:val="nil"/>
              <w:bottom w:val="single" w:sz="8" w:space="0" w:color="auto"/>
              <w:right w:val="nil"/>
            </w:tcBorders>
            <w:shd w:val="clear" w:color="000000" w:fill="FFFFFF"/>
            <w:vAlign w:val="center"/>
            <w:hideMark/>
          </w:tcPr>
          <w:p w14:paraId="48A99B79" w14:textId="77777777" w:rsidR="00A36F2D" w:rsidRPr="00F81CB3" w:rsidRDefault="00A36F2D" w:rsidP="00BB605A">
            <w:pPr>
              <w:spacing w:after="0" w:line="240" w:lineRule="auto"/>
              <w:jc w:val="right"/>
              <w:rPr>
                <w:rFonts w:ascii="Segoe UI" w:eastAsia="Times New Roman" w:hAnsi="Segoe UI" w:cs="Segoe UI"/>
                <w:b/>
                <w:bCs/>
                <w:color w:val="333333"/>
                <w:sz w:val="16"/>
                <w:szCs w:val="16"/>
                <w:lang w:val="es-CR" w:eastAsia="es-CR"/>
              </w:rPr>
            </w:pPr>
            <w:r w:rsidRPr="00F81CB3">
              <w:rPr>
                <w:rFonts w:ascii="Segoe UI" w:eastAsia="Times New Roman" w:hAnsi="Segoe UI" w:cs="Segoe UI"/>
                <w:b/>
                <w:bCs/>
                <w:color w:val="333333"/>
                <w:sz w:val="16"/>
                <w:szCs w:val="16"/>
                <w:lang w:eastAsia="es-CR"/>
              </w:rPr>
              <w:t>Relación plusvalías / Inversiones totales</w:t>
            </w:r>
          </w:p>
        </w:tc>
        <w:tc>
          <w:tcPr>
            <w:tcW w:w="816" w:type="pct"/>
            <w:tcBorders>
              <w:top w:val="single" w:sz="8" w:space="0" w:color="auto"/>
              <w:left w:val="nil"/>
              <w:bottom w:val="single" w:sz="8" w:space="0" w:color="auto"/>
              <w:right w:val="nil"/>
            </w:tcBorders>
            <w:shd w:val="clear" w:color="000000" w:fill="FFFFFF"/>
            <w:vAlign w:val="center"/>
            <w:hideMark/>
          </w:tcPr>
          <w:p w14:paraId="2DBE5E6E" w14:textId="77777777" w:rsidR="00A36F2D" w:rsidRPr="00F81CB3" w:rsidRDefault="00A36F2D" w:rsidP="00BB605A">
            <w:pPr>
              <w:spacing w:after="0" w:line="240" w:lineRule="auto"/>
              <w:jc w:val="right"/>
              <w:rPr>
                <w:rFonts w:ascii="Segoe UI" w:eastAsia="Times New Roman" w:hAnsi="Segoe UI" w:cs="Segoe UI"/>
                <w:b/>
                <w:bCs/>
                <w:color w:val="333333"/>
                <w:sz w:val="16"/>
                <w:szCs w:val="16"/>
                <w:lang w:val="es-CR" w:eastAsia="es-CR"/>
              </w:rPr>
            </w:pPr>
            <w:r w:rsidRPr="00F81CB3">
              <w:rPr>
                <w:rFonts w:ascii="Segoe UI" w:eastAsia="Times New Roman" w:hAnsi="Segoe UI" w:cs="Segoe UI"/>
                <w:b/>
                <w:bCs/>
                <w:color w:val="333333"/>
                <w:sz w:val="16"/>
                <w:szCs w:val="16"/>
                <w:lang w:eastAsia="es-CR"/>
              </w:rPr>
              <w:t>Inversiones</w:t>
            </w:r>
          </w:p>
        </w:tc>
        <w:tc>
          <w:tcPr>
            <w:tcW w:w="816" w:type="pct"/>
            <w:tcBorders>
              <w:top w:val="single" w:sz="8" w:space="0" w:color="auto"/>
              <w:left w:val="nil"/>
              <w:bottom w:val="single" w:sz="8" w:space="0" w:color="auto"/>
              <w:right w:val="nil"/>
            </w:tcBorders>
            <w:shd w:val="clear" w:color="000000" w:fill="FFFFFF"/>
            <w:vAlign w:val="center"/>
            <w:hideMark/>
          </w:tcPr>
          <w:p w14:paraId="7B3963E5" w14:textId="77777777" w:rsidR="00A36F2D" w:rsidRPr="00F81CB3" w:rsidRDefault="00A36F2D" w:rsidP="00BB605A">
            <w:pPr>
              <w:spacing w:after="0" w:line="240" w:lineRule="auto"/>
              <w:jc w:val="right"/>
              <w:rPr>
                <w:rFonts w:ascii="Segoe UI" w:eastAsia="Times New Roman" w:hAnsi="Segoe UI" w:cs="Segoe UI"/>
                <w:b/>
                <w:bCs/>
                <w:color w:val="333333"/>
                <w:sz w:val="16"/>
                <w:szCs w:val="16"/>
                <w:lang w:val="es-CR" w:eastAsia="es-CR"/>
              </w:rPr>
            </w:pPr>
            <w:r w:rsidRPr="00F81CB3">
              <w:rPr>
                <w:rFonts w:ascii="Segoe UI" w:eastAsia="Times New Roman" w:hAnsi="Segoe UI" w:cs="Segoe UI"/>
                <w:b/>
                <w:bCs/>
                <w:color w:val="333333"/>
                <w:sz w:val="16"/>
                <w:szCs w:val="16"/>
                <w:lang w:eastAsia="es-CR"/>
              </w:rPr>
              <w:t>Valores Nacionales</w:t>
            </w:r>
          </w:p>
        </w:tc>
        <w:tc>
          <w:tcPr>
            <w:tcW w:w="816" w:type="pct"/>
            <w:tcBorders>
              <w:top w:val="single" w:sz="8" w:space="0" w:color="auto"/>
              <w:left w:val="nil"/>
              <w:bottom w:val="single" w:sz="8" w:space="0" w:color="auto"/>
              <w:right w:val="nil"/>
            </w:tcBorders>
            <w:shd w:val="clear" w:color="000000" w:fill="FFFFFF"/>
            <w:vAlign w:val="center"/>
            <w:hideMark/>
          </w:tcPr>
          <w:p w14:paraId="63BA4266" w14:textId="77777777" w:rsidR="00A36F2D" w:rsidRPr="00F81CB3" w:rsidRDefault="00A36F2D" w:rsidP="00BB605A">
            <w:pPr>
              <w:spacing w:after="0" w:line="240" w:lineRule="auto"/>
              <w:jc w:val="right"/>
              <w:rPr>
                <w:rFonts w:ascii="Segoe UI" w:eastAsia="Times New Roman" w:hAnsi="Segoe UI" w:cs="Segoe UI"/>
                <w:b/>
                <w:bCs/>
                <w:color w:val="333333"/>
                <w:sz w:val="16"/>
                <w:szCs w:val="16"/>
                <w:lang w:val="es-CR" w:eastAsia="es-CR"/>
              </w:rPr>
            </w:pPr>
            <w:r w:rsidRPr="00F81CB3">
              <w:rPr>
                <w:rFonts w:ascii="Segoe UI" w:eastAsia="Times New Roman" w:hAnsi="Segoe UI" w:cs="Segoe UI"/>
                <w:b/>
                <w:bCs/>
                <w:color w:val="333333"/>
                <w:sz w:val="16"/>
                <w:szCs w:val="16"/>
                <w:lang w:eastAsia="es-CR"/>
              </w:rPr>
              <w:t>Valores Extranjeros</w:t>
            </w:r>
          </w:p>
        </w:tc>
        <w:tc>
          <w:tcPr>
            <w:tcW w:w="815" w:type="pct"/>
            <w:tcBorders>
              <w:top w:val="single" w:sz="8" w:space="0" w:color="auto"/>
              <w:left w:val="nil"/>
              <w:bottom w:val="single" w:sz="8" w:space="0" w:color="auto"/>
              <w:right w:val="nil"/>
            </w:tcBorders>
            <w:shd w:val="clear" w:color="000000" w:fill="FFFFFF"/>
            <w:vAlign w:val="center"/>
            <w:hideMark/>
          </w:tcPr>
          <w:p w14:paraId="7B9226C8" w14:textId="77777777" w:rsidR="00A36F2D" w:rsidRPr="00F81CB3" w:rsidRDefault="00A36F2D" w:rsidP="00BB605A">
            <w:pPr>
              <w:spacing w:after="0" w:line="240" w:lineRule="auto"/>
              <w:jc w:val="right"/>
              <w:rPr>
                <w:rFonts w:ascii="Segoe UI" w:eastAsia="Times New Roman" w:hAnsi="Segoe UI" w:cs="Segoe UI"/>
                <w:b/>
                <w:bCs/>
                <w:color w:val="333333"/>
                <w:sz w:val="16"/>
                <w:szCs w:val="16"/>
                <w:lang w:val="es-CR" w:eastAsia="es-CR"/>
              </w:rPr>
            </w:pPr>
            <w:r w:rsidRPr="00F81CB3">
              <w:rPr>
                <w:rFonts w:ascii="Segoe UI" w:eastAsia="Times New Roman" w:hAnsi="Segoe UI" w:cs="Segoe UI"/>
                <w:b/>
                <w:bCs/>
                <w:color w:val="333333"/>
                <w:sz w:val="16"/>
                <w:szCs w:val="16"/>
                <w:lang w:eastAsia="es-CR"/>
              </w:rPr>
              <w:t>Total</w:t>
            </w:r>
          </w:p>
        </w:tc>
      </w:tr>
      <w:tr w:rsidR="00A36F2D" w:rsidRPr="00F81CB3" w14:paraId="39FD2637" w14:textId="77777777" w:rsidTr="00BB605A">
        <w:trPr>
          <w:trHeight w:val="300"/>
        </w:trPr>
        <w:tc>
          <w:tcPr>
            <w:tcW w:w="816" w:type="pct"/>
            <w:tcBorders>
              <w:top w:val="nil"/>
              <w:left w:val="nil"/>
              <w:bottom w:val="nil"/>
              <w:right w:val="nil"/>
            </w:tcBorders>
            <w:shd w:val="clear" w:color="000000" w:fill="FFFFFF"/>
            <w:vAlign w:val="bottom"/>
          </w:tcPr>
          <w:p w14:paraId="1F0BE765"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30/06/2018</w:t>
            </w:r>
          </w:p>
        </w:tc>
        <w:tc>
          <w:tcPr>
            <w:tcW w:w="921" w:type="pct"/>
            <w:tcBorders>
              <w:top w:val="nil"/>
              <w:left w:val="nil"/>
              <w:bottom w:val="nil"/>
              <w:right w:val="nil"/>
            </w:tcBorders>
            <w:shd w:val="clear" w:color="000000" w:fill="FFFFFF"/>
            <w:vAlign w:val="bottom"/>
          </w:tcPr>
          <w:p w14:paraId="26B8CE95"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-0,29</w:t>
            </w:r>
          </w:p>
        </w:tc>
        <w:tc>
          <w:tcPr>
            <w:tcW w:w="816" w:type="pct"/>
            <w:tcBorders>
              <w:top w:val="nil"/>
              <w:left w:val="nil"/>
              <w:bottom w:val="nil"/>
              <w:right w:val="nil"/>
            </w:tcBorders>
            <w:shd w:val="clear" w:color="000000" w:fill="FFFFFF"/>
            <w:vAlign w:val="bottom"/>
          </w:tcPr>
          <w:p w14:paraId="1AD9E925"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5.241.229</w:t>
            </w:r>
          </w:p>
        </w:tc>
        <w:tc>
          <w:tcPr>
            <w:tcW w:w="816" w:type="pct"/>
            <w:tcBorders>
              <w:top w:val="nil"/>
              <w:left w:val="nil"/>
              <w:bottom w:val="nil"/>
              <w:right w:val="nil"/>
            </w:tcBorders>
            <w:shd w:val="clear" w:color="000000" w:fill="FFFFFF"/>
            <w:vAlign w:val="bottom"/>
          </w:tcPr>
          <w:p w14:paraId="34D20111"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-22.793</w:t>
            </w:r>
          </w:p>
        </w:tc>
        <w:tc>
          <w:tcPr>
            <w:tcW w:w="816" w:type="pct"/>
            <w:tcBorders>
              <w:top w:val="nil"/>
              <w:left w:val="nil"/>
              <w:bottom w:val="nil"/>
              <w:right w:val="nil"/>
            </w:tcBorders>
            <w:shd w:val="clear" w:color="000000" w:fill="FFFFFF"/>
            <w:vAlign w:val="bottom"/>
          </w:tcPr>
          <w:p w14:paraId="777FADBB"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7.651</w:t>
            </w:r>
          </w:p>
        </w:tc>
        <w:tc>
          <w:tcPr>
            <w:tcW w:w="815" w:type="pct"/>
            <w:tcBorders>
              <w:top w:val="nil"/>
              <w:left w:val="nil"/>
              <w:bottom w:val="nil"/>
              <w:right w:val="nil"/>
            </w:tcBorders>
            <w:shd w:val="clear" w:color="000000" w:fill="FFFFFF"/>
            <w:vAlign w:val="bottom"/>
          </w:tcPr>
          <w:p w14:paraId="7838E6DA"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-15.143</w:t>
            </w:r>
          </w:p>
        </w:tc>
      </w:tr>
      <w:tr w:rsidR="00A36F2D" w:rsidRPr="00F81CB3" w14:paraId="34D4309D" w14:textId="77777777" w:rsidTr="00BB605A">
        <w:trPr>
          <w:trHeight w:val="300"/>
        </w:trPr>
        <w:tc>
          <w:tcPr>
            <w:tcW w:w="816" w:type="pct"/>
            <w:tcBorders>
              <w:top w:val="nil"/>
              <w:left w:val="nil"/>
              <w:bottom w:val="nil"/>
              <w:right w:val="nil"/>
            </w:tcBorders>
            <w:shd w:val="clear" w:color="000000" w:fill="FFFFFF"/>
            <w:vAlign w:val="bottom"/>
          </w:tcPr>
          <w:p w14:paraId="3FAFF0E9"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31/07/2018</w:t>
            </w:r>
          </w:p>
        </w:tc>
        <w:tc>
          <w:tcPr>
            <w:tcW w:w="921" w:type="pct"/>
            <w:tcBorders>
              <w:top w:val="nil"/>
              <w:left w:val="nil"/>
              <w:bottom w:val="nil"/>
              <w:right w:val="nil"/>
            </w:tcBorders>
            <w:shd w:val="clear" w:color="000000" w:fill="FFFFFF"/>
            <w:vAlign w:val="bottom"/>
          </w:tcPr>
          <w:p w14:paraId="5BB9E7D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-0,25</w:t>
            </w:r>
          </w:p>
        </w:tc>
        <w:tc>
          <w:tcPr>
            <w:tcW w:w="816" w:type="pct"/>
            <w:tcBorders>
              <w:top w:val="nil"/>
              <w:left w:val="nil"/>
              <w:bottom w:val="nil"/>
              <w:right w:val="nil"/>
            </w:tcBorders>
            <w:shd w:val="clear" w:color="000000" w:fill="FFFFFF"/>
            <w:vAlign w:val="bottom"/>
          </w:tcPr>
          <w:p w14:paraId="05FF4094"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5.352.762</w:t>
            </w:r>
          </w:p>
        </w:tc>
        <w:tc>
          <w:tcPr>
            <w:tcW w:w="816" w:type="pct"/>
            <w:tcBorders>
              <w:top w:val="nil"/>
              <w:left w:val="nil"/>
              <w:bottom w:val="nil"/>
              <w:right w:val="nil"/>
            </w:tcBorders>
            <w:shd w:val="clear" w:color="000000" w:fill="FFFFFF"/>
            <w:vAlign w:val="bottom"/>
          </w:tcPr>
          <w:p w14:paraId="2C5D26B6"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-33.269</w:t>
            </w:r>
          </w:p>
        </w:tc>
        <w:tc>
          <w:tcPr>
            <w:tcW w:w="816" w:type="pct"/>
            <w:tcBorders>
              <w:top w:val="nil"/>
              <w:left w:val="nil"/>
              <w:bottom w:val="nil"/>
              <w:right w:val="nil"/>
            </w:tcBorders>
            <w:shd w:val="clear" w:color="000000" w:fill="FFFFFF"/>
            <w:vAlign w:val="bottom"/>
          </w:tcPr>
          <w:p w14:paraId="0CA2EFC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20.005</w:t>
            </w:r>
          </w:p>
        </w:tc>
        <w:tc>
          <w:tcPr>
            <w:tcW w:w="815" w:type="pct"/>
            <w:tcBorders>
              <w:top w:val="nil"/>
              <w:left w:val="nil"/>
              <w:bottom w:val="nil"/>
              <w:right w:val="nil"/>
            </w:tcBorders>
            <w:shd w:val="clear" w:color="000000" w:fill="FFFFFF"/>
            <w:vAlign w:val="bottom"/>
          </w:tcPr>
          <w:p w14:paraId="61D49E9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-13.264</w:t>
            </w:r>
          </w:p>
        </w:tc>
      </w:tr>
      <w:tr w:rsidR="00A36F2D" w:rsidRPr="00F81CB3" w14:paraId="201E929C" w14:textId="77777777" w:rsidTr="00BB605A">
        <w:trPr>
          <w:trHeight w:val="300"/>
        </w:trPr>
        <w:tc>
          <w:tcPr>
            <w:tcW w:w="816" w:type="pct"/>
            <w:tcBorders>
              <w:top w:val="nil"/>
              <w:left w:val="nil"/>
              <w:bottom w:val="nil"/>
              <w:right w:val="nil"/>
            </w:tcBorders>
            <w:shd w:val="clear" w:color="000000" w:fill="FFFFFF"/>
            <w:vAlign w:val="bottom"/>
          </w:tcPr>
          <w:p w14:paraId="4B59CE40"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31/08/2018</w:t>
            </w:r>
          </w:p>
        </w:tc>
        <w:tc>
          <w:tcPr>
            <w:tcW w:w="921" w:type="pct"/>
            <w:tcBorders>
              <w:top w:val="nil"/>
              <w:left w:val="nil"/>
              <w:bottom w:val="nil"/>
              <w:right w:val="nil"/>
            </w:tcBorders>
            <w:shd w:val="clear" w:color="000000" w:fill="FFFFFF"/>
            <w:vAlign w:val="bottom"/>
          </w:tcPr>
          <w:p w14:paraId="4F4A5793"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-0,40</w:t>
            </w:r>
          </w:p>
        </w:tc>
        <w:tc>
          <w:tcPr>
            <w:tcW w:w="816" w:type="pct"/>
            <w:tcBorders>
              <w:top w:val="nil"/>
              <w:left w:val="nil"/>
              <w:bottom w:val="nil"/>
              <w:right w:val="nil"/>
            </w:tcBorders>
            <w:shd w:val="clear" w:color="000000" w:fill="FFFFFF"/>
            <w:vAlign w:val="bottom"/>
          </w:tcPr>
          <w:p w14:paraId="720E7293"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5.410.070</w:t>
            </w:r>
          </w:p>
        </w:tc>
        <w:tc>
          <w:tcPr>
            <w:tcW w:w="816" w:type="pct"/>
            <w:tcBorders>
              <w:top w:val="nil"/>
              <w:left w:val="nil"/>
              <w:bottom w:val="nil"/>
              <w:right w:val="nil"/>
            </w:tcBorders>
            <w:shd w:val="clear" w:color="000000" w:fill="FFFFFF"/>
            <w:vAlign w:val="bottom"/>
          </w:tcPr>
          <w:p w14:paraId="2F4E58E1"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-46.538</w:t>
            </w:r>
          </w:p>
        </w:tc>
        <w:tc>
          <w:tcPr>
            <w:tcW w:w="816" w:type="pct"/>
            <w:tcBorders>
              <w:top w:val="nil"/>
              <w:left w:val="nil"/>
              <w:bottom w:val="nil"/>
              <w:right w:val="nil"/>
            </w:tcBorders>
            <w:shd w:val="clear" w:color="000000" w:fill="FFFFFF"/>
            <w:vAlign w:val="bottom"/>
          </w:tcPr>
          <w:p w14:paraId="6BB483BB"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24.775</w:t>
            </w:r>
          </w:p>
        </w:tc>
        <w:tc>
          <w:tcPr>
            <w:tcW w:w="815" w:type="pct"/>
            <w:tcBorders>
              <w:top w:val="nil"/>
              <w:left w:val="nil"/>
              <w:bottom w:val="nil"/>
              <w:right w:val="nil"/>
            </w:tcBorders>
            <w:shd w:val="clear" w:color="000000" w:fill="FFFFFF"/>
            <w:vAlign w:val="bottom"/>
          </w:tcPr>
          <w:p w14:paraId="072E8E87"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-21.764</w:t>
            </w:r>
          </w:p>
        </w:tc>
      </w:tr>
      <w:tr w:rsidR="00A36F2D" w:rsidRPr="00F81CB3" w14:paraId="165914DD" w14:textId="77777777" w:rsidTr="00BB605A">
        <w:trPr>
          <w:trHeight w:val="300"/>
        </w:trPr>
        <w:tc>
          <w:tcPr>
            <w:tcW w:w="816" w:type="pct"/>
            <w:tcBorders>
              <w:top w:val="nil"/>
              <w:left w:val="nil"/>
              <w:bottom w:val="nil"/>
              <w:right w:val="nil"/>
            </w:tcBorders>
            <w:shd w:val="clear" w:color="000000" w:fill="FFFFFF"/>
            <w:vAlign w:val="bottom"/>
          </w:tcPr>
          <w:p w14:paraId="4FEB1BAD"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30/09/2018</w:t>
            </w:r>
          </w:p>
        </w:tc>
        <w:tc>
          <w:tcPr>
            <w:tcW w:w="921" w:type="pct"/>
            <w:tcBorders>
              <w:top w:val="nil"/>
              <w:left w:val="nil"/>
              <w:bottom w:val="nil"/>
              <w:right w:val="nil"/>
            </w:tcBorders>
            <w:shd w:val="clear" w:color="000000" w:fill="FFFFFF"/>
            <w:vAlign w:val="bottom"/>
          </w:tcPr>
          <w:p w14:paraId="09918DBF"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-0,65</w:t>
            </w:r>
          </w:p>
        </w:tc>
        <w:tc>
          <w:tcPr>
            <w:tcW w:w="816" w:type="pct"/>
            <w:tcBorders>
              <w:top w:val="nil"/>
              <w:left w:val="nil"/>
              <w:bottom w:val="nil"/>
              <w:right w:val="nil"/>
            </w:tcBorders>
            <w:shd w:val="clear" w:color="000000" w:fill="FFFFFF"/>
            <w:vAlign w:val="bottom"/>
          </w:tcPr>
          <w:p w14:paraId="2FF7A05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5.398.555</w:t>
            </w:r>
          </w:p>
        </w:tc>
        <w:tc>
          <w:tcPr>
            <w:tcW w:w="816" w:type="pct"/>
            <w:tcBorders>
              <w:top w:val="nil"/>
              <w:left w:val="nil"/>
              <w:bottom w:val="nil"/>
              <w:right w:val="nil"/>
            </w:tcBorders>
            <w:shd w:val="clear" w:color="000000" w:fill="FFFFFF"/>
            <w:vAlign w:val="bottom"/>
          </w:tcPr>
          <w:p w14:paraId="49CE2BA7"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-60.829</w:t>
            </w:r>
          </w:p>
        </w:tc>
        <w:tc>
          <w:tcPr>
            <w:tcW w:w="816" w:type="pct"/>
            <w:tcBorders>
              <w:top w:val="nil"/>
              <w:left w:val="nil"/>
              <w:bottom w:val="nil"/>
              <w:right w:val="nil"/>
            </w:tcBorders>
            <w:shd w:val="clear" w:color="000000" w:fill="FFFFFF"/>
            <w:vAlign w:val="bottom"/>
          </w:tcPr>
          <w:p w14:paraId="056D728C"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25.760</w:t>
            </w:r>
          </w:p>
        </w:tc>
        <w:tc>
          <w:tcPr>
            <w:tcW w:w="815" w:type="pct"/>
            <w:tcBorders>
              <w:top w:val="nil"/>
              <w:left w:val="nil"/>
              <w:bottom w:val="nil"/>
              <w:right w:val="nil"/>
            </w:tcBorders>
            <w:shd w:val="clear" w:color="000000" w:fill="FFFFFF"/>
            <w:vAlign w:val="bottom"/>
          </w:tcPr>
          <w:p w14:paraId="52D02645"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-35.069</w:t>
            </w:r>
          </w:p>
        </w:tc>
      </w:tr>
      <w:tr w:rsidR="00A36F2D" w:rsidRPr="00F81CB3" w14:paraId="381947A5" w14:textId="77777777" w:rsidTr="00BB605A">
        <w:trPr>
          <w:trHeight w:val="300"/>
        </w:trPr>
        <w:tc>
          <w:tcPr>
            <w:tcW w:w="816" w:type="pct"/>
            <w:tcBorders>
              <w:top w:val="nil"/>
              <w:left w:val="nil"/>
              <w:bottom w:val="nil"/>
              <w:right w:val="nil"/>
            </w:tcBorders>
            <w:shd w:val="clear" w:color="000000" w:fill="FFFFFF"/>
            <w:vAlign w:val="bottom"/>
          </w:tcPr>
          <w:p w14:paraId="7282160F"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31/10/2018</w:t>
            </w:r>
          </w:p>
        </w:tc>
        <w:tc>
          <w:tcPr>
            <w:tcW w:w="921" w:type="pct"/>
            <w:tcBorders>
              <w:top w:val="nil"/>
              <w:left w:val="nil"/>
              <w:bottom w:val="nil"/>
              <w:right w:val="nil"/>
            </w:tcBorders>
            <w:shd w:val="clear" w:color="000000" w:fill="FFFFFF"/>
            <w:vAlign w:val="bottom"/>
          </w:tcPr>
          <w:p w14:paraId="03952B00"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-1,53</w:t>
            </w:r>
          </w:p>
        </w:tc>
        <w:tc>
          <w:tcPr>
            <w:tcW w:w="816" w:type="pct"/>
            <w:tcBorders>
              <w:top w:val="nil"/>
              <w:left w:val="nil"/>
              <w:bottom w:val="nil"/>
              <w:right w:val="nil"/>
            </w:tcBorders>
            <w:shd w:val="clear" w:color="000000" w:fill="FFFFFF"/>
            <w:vAlign w:val="bottom"/>
          </w:tcPr>
          <w:p w14:paraId="0C9F41B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5.489.066</w:t>
            </w:r>
          </w:p>
        </w:tc>
        <w:tc>
          <w:tcPr>
            <w:tcW w:w="816" w:type="pct"/>
            <w:tcBorders>
              <w:top w:val="nil"/>
              <w:left w:val="nil"/>
              <w:bottom w:val="nil"/>
              <w:right w:val="nil"/>
            </w:tcBorders>
            <w:shd w:val="clear" w:color="000000" w:fill="FFFFFF"/>
            <w:vAlign w:val="bottom"/>
          </w:tcPr>
          <w:p w14:paraId="54A800F6"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-74.605</w:t>
            </w:r>
          </w:p>
        </w:tc>
        <w:tc>
          <w:tcPr>
            <w:tcW w:w="816" w:type="pct"/>
            <w:tcBorders>
              <w:top w:val="nil"/>
              <w:left w:val="nil"/>
              <w:bottom w:val="nil"/>
              <w:right w:val="nil"/>
            </w:tcBorders>
            <w:shd w:val="clear" w:color="000000" w:fill="FFFFFF"/>
            <w:vAlign w:val="bottom"/>
          </w:tcPr>
          <w:p w14:paraId="4C39B927"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-9.302</w:t>
            </w:r>
          </w:p>
        </w:tc>
        <w:tc>
          <w:tcPr>
            <w:tcW w:w="815" w:type="pct"/>
            <w:tcBorders>
              <w:top w:val="nil"/>
              <w:left w:val="nil"/>
              <w:bottom w:val="nil"/>
              <w:right w:val="nil"/>
            </w:tcBorders>
            <w:shd w:val="clear" w:color="000000" w:fill="FFFFFF"/>
            <w:vAlign w:val="bottom"/>
          </w:tcPr>
          <w:p w14:paraId="5D80FA90"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-83.906</w:t>
            </w:r>
          </w:p>
        </w:tc>
      </w:tr>
      <w:tr w:rsidR="00A36F2D" w:rsidRPr="00F81CB3" w14:paraId="6373C5A8" w14:textId="77777777" w:rsidTr="00BB605A">
        <w:trPr>
          <w:trHeight w:val="300"/>
        </w:trPr>
        <w:tc>
          <w:tcPr>
            <w:tcW w:w="816" w:type="pct"/>
            <w:tcBorders>
              <w:top w:val="nil"/>
              <w:left w:val="nil"/>
              <w:bottom w:val="nil"/>
              <w:right w:val="nil"/>
            </w:tcBorders>
            <w:shd w:val="clear" w:color="000000" w:fill="FFFFFF"/>
            <w:vAlign w:val="bottom"/>
          </w:tcPr>
          <w:p w14:paraId="3CDE5CE8"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30/11/2018</w:t>
            </w:r>
          </w:p>
        </w:tc>
        <w:tc>
          <w:tcPr>
            <w:tcW w:w="921" w:type="pct"/>
            <w:tcBorders>
              <w:top w:val="nil"/>
              <w:left w:val="nil"/>
              <w:bottom w:val="nil"/>
              <w:right w:val="nil"/>
            </w:tcBorders>
            <w:shd w:val="clear" w:color="000000" w:fill="FFFFFF"/>
            <w:vAlign w:val="bottom"/>
          </w:tcPr>
          <w:p w14:paraId="399F1390"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-2,24</w:t>
            </w:r>
          </w:p>
        </w:tc>
        <w:tc>
          <w:tcPr>
            <w:tcW w:w="816" w:type="pct"/>
            <w:tcBorders>
              <w:top w:val="nil"/>
              <w:left w:val="nil"/>
              <w:bottom w:val="nil"/>
              <w:right w:val="nil"/>
            </w:tcBorders>
            <w:shd w:val="clear" w:color="000000" w:fill="FFFFFF"/>
            <w:vAlign w:val="bottom"/>
          </w:tcPr>
          <w:p w14:paraId="26BE48A4"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5.430.618</w:t>
            </w:r>
          </w:p>
        </w:tc>
        <w:tc>
          <w:tcPr>
            <w:tcW w:w="816" w:type="pct"/>
            <w:tcBorders>
              <w:top w:val="nil"/>
              <w:left w:val="nil"/>
              <w:bottom w:val="nil"/>
              <w:right w:val="nil"/>
            </w:tcBorders>
            <w:shd w:val="clear" w:color="000000" w:fill="FFFFFF"/>
            <w:vAlign w:val="bottom"/>
          </w:tcPr>
          <w:p w14:paraId="6CF5806F"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-114.201</w:t>
            </w:r>
          </w:p>
        </w:tc>
        <w:tc>
          <w:tcPr>
            <w:tcW w:w="816" w:type="pct"/>
            <w:tcBorders>
              <w:top w:val="nil"/>
              <w:left w:val="nil"/>
              <w:bottom w:val="nil"/>
              <w:right w:val="nil"/>
            </w:tcBorders>
            <w:shd w:val="clear" w:color="000000" w:fill="FFFFFF"/>
            <w:vAlign w:val="bottom"/>
          </w:tcPr>
          <w:p w14:paraId="214D1FC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-7.466</w:t>
            </w:r>
          </w:p>
        </w:tc>
        <w:tc>
          <w:tcPr>
            <w:tcW w:w="815" w:type="pct"/>
            <w:tcBorders>
              <w:top w:val="nil"/>
              <w:left w:val="nil"/>
              <w:bottom w:val="nil"/>
              <w:right w:val="nil"/>
            </w:tcBorders>
            <w:shd w:val="clear" w:color="000000" w:fill="FFFFFF"/>
            <w:vAlign w:val="bottom"/>
          </w:tcPr>
          <w:p w14:paraId="26C80BA7"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-121.667</w:t>
            </w:r>
          </w:p>
        </w:tc>
      </w:tr>
      <w:tr w:rsidR="00A36F2D" w:rsidRPr="00F81CB3" w14:paraId="2F4A969A" w14:textId="77777777" w:rsidTr="00BB605A">
        <w:trPr>
          <w:trHeight w:val="300"/>
        </w:trPr>
        <w:tc>
          <w:tcPr>
            <w:tcW w:w="816" w:type="pct"/>
            <w:tcBorders>
              <w:top w:val="nil"/>
              <w:left w:val="nil"/>
              <w:bottom w:val="nil"/>
              <w:right w:val="nil"/>
            </w:tcBorders>
            <w:shd w:val="clear" w:color="000000" w:fill="FFFFFF"/>
            <w:vAlign w:val="bottom"/>
          </w:tcPr>
          <w:p w14:paraId="6B729C83"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31/12/2018</w:t>
            </w:r>
          </w:p>
        </w:tc>
        <w:tc>
          <w:tcPr>
            <w:tcW w:w="921" w:type="pct"/>
            <w:tcBorders>
              <w:top w:val="nil"/>
              <w:left w:val="nil"/>
              <w:bottom w:val="nil"/>
              <w:right w:val="nil"/>
            </w:tcBorders>
            <w:shd w:val="clear" w:color="000000" w:fill="FFFFFF"/>
            <w:vAlign w:val="bottom"/>
          </w:tcPr>
          <w:p w14:paraId="26EB4FAB"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-3,28</w:t>
            </w:r>
          </w:p>
        </w:tc>
        <w:tc>
          <w:tcPr>
            <w:tcW w:w="816" w:type="pct"/>
            <w:tcBorders>
              <w:top w:val="nil"/>
              <w:left w:val="nil"/>
              <w:bottom w:val="nil"/>
              <w:right w:val="nil"/>
            </w:tcBorders>
            <w:shd w:val="clear" w:color="000000" w:fill="FFFFFF"/>
            <w:vAlign w:val="bottom"/>
          </w:tcPr>
          <w:p w14:paraId="2C5C1330"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5.403.480</w:t>
            </w:r>
          </w:p>
        </w:tc>
        <w:tc>
          <w:tcPr>
            <w:tcW w:w="816" w:type="pct"/>
            <w:tcBorders>
              <w:top w:val="nil"/>
              <w:left w:val="nil"/>
              <w:bottom w:val="nil"/>
              <w:right w:val="nil"/>
            </w:tcBorders>
            <w:shd w:val="clear" w:color="000000" w:fill="FFFFFF"/>
            <w:vAlign w:val="bottom"/>
          </w:tcPr>
          <w:p w14:paraId="6358D786"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-124.445</w:t>
            </w:r>
          </w:p>
        </w:tc>
        <w:tc>
          <w:tcPr>
            <w:tcW w:w="816" w:type="pct"/>
            <w:tcBorders>
              <w:top w:val="nil"/>
              <w:left w:val="nil"/>
              <w:bottom w:val="nil"/>
              <w:right w:val="nil"/>
            </w:tcBorders>
            <w:shd w:val="clear" w:color="000000" w:fill="FFFFFF"/>
            <w:vAlign w:val="bottom"/>
          </w:tcPr>
          <w:p w14:paraId="62512DA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-52.801</w:t>
            </w:r>
          </w:p>
        </w:tc>
        <w:tc>
          <w:tcPr>
            <w:tcW w:w="815" w:type="pct"/>
            <w:tcBorders>
              <w:top w:val="nil"/>
              <w:left w:val="nil"/>
              <w:bottom w:val="nil"/>
              <w:right w:val="nil"/>
            </w:tcBorders>
            <w:shd w:val="clear" w:color="000000" w:fill="FFFFFF"/>
            <w:vAlign w:val="bottom"/>
          </w:tcPr>
          <w:p w14:paraId="5F5086A7"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-177.246</w:t>
            </w:r>
          </w:p>
        </w:tc>
      </w:tr>
      <w:tr w:rsidR="00A36F2D" w:rsidRPr="00F81CB3" w14:paraId="68EB59A7" w14:textId="77777777" w:rsidTr="00BB605A">
        <w:trPr>
          <w:trHeight w:val="300"/>
        </w:trPr>
        <w:tc>
          <w:tcPr>
            <w:tcW w:w="816" w:type="pct"/>
            <w:tcBorders>
              <w:top w:val="nil"/>
              <w:left w:val="nil"/>
              <w:bottom w:val="nil"/>
              <w:right w:val="nil"/>
            </w:tcBorders>
            <w:shd w:val="clear" w:color="000000" w:fill="FFFFFF"/>
            <w:vAlign w:val="bottom"/>
          </w:tcPr>
          <w:p w14:paraId="5B8054EE"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31/01/2019</w:t>
            </w:r>
          </w:p>
        </w:tc>
        <w:tc>
          <w:tcPr>
            <w:tcW w:w="921" w:type="pct"/>
            <w:tcBorders>
              <w:top w:val="nil"/>
              <w:left w:val="nil"/>
              <w:bottom w:val="nil"/>
              <w:right w:val="nil"/>
            </w:tcBorders>
            <w:shd w:val="clear" w:color="000000" w:fill="FFFFFF"/>
            <w:vAlign w:val="bottom"/>
          </w:tcPr>
          <w:p w14:paraId="65471722"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-2,44</w:t>
            </w:r>
          </w:p>
        </w:tc>
        <w:tc>
          <w:tcPr>
            <w:tcW w:w="816" w:type="pct"/>
            <w:tcBorders>
              <w:top w:val="nil"/>
              <w:left w:val="nil"/>
              <w:bottom w:val="nil"/>
              <w:right w:val="nil"/>
            </w:tcBorders>
            <w:shd w:val="clear" w:color="000000" w:fill="FFFFFF"/>
            <w:vAlign w:val="bottom"/>
          </w:tcPr>
          <w:p w14:paraId="734F6A09"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5.480.604</w:t>
            </w:r>
          </w:p>
        </w:tc>
        <w:tc>
          <w:tcPr>
            <w:tcW w:w="816" w:type="pct"/>
            <w:tcBorders>
              <w:top w:val="nil"/>
              <w:left w:val="nil"/>
              <w:bottom w:val="nil"/>
              <w:right w:val="nil"/>
            </w:tcBorders>
            <w:shd w:val="clear" w:color="000000" w:fill="FFFFFF"/>
            <w:vAlign w:val="bottom"/>
          </w:tcPr>
          <w:p w14:paraId="48A3D0AF"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-129.891</w:t>
            </w:r>
          </w:p>
        </w:tc>
        <w:tc>
          <w:tcPr>
            <w:tcW w:w="816" w:type="pct"/>
            <w:tcBorders>
              <w:top w:val="nil"/>
              <w:left w:val="nil"/>
              <w:bottom w:val="nil"/>
              <w:right w:val="nil"/>
            </w:tcBorders>
            <w:shd w:val="clear" w:color="000000" w:fill="FFFFFF"/>
            <w:vAlign w:val="bottom"/>
          </w:tcPr>
          <w:p w14:paraId="4F899553"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-3.781</w:t>
            </w:r>
          </w:p>
        </w:tc>
        <w:tc>
          <w:tcPr>
            <w:tcW w:w="815" w:type="pct"/>
            <w:tcBorders>
              <w:top w:val="nil"/>
              <w:left w:val="nil"/>
              <w:bottom w:val="nil"/>
              <w:right w:val="nil"/>
            </w:tcBorders>
            <w:shd w:val="clear" w:color="000000" w:fill="FFFFFF"/>
            <w:vAlign w:val="bottom"/>
          </w:tcPr>
          <w:p w14:paraId="6C32837E"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-133.673</w:t>
            </w:r>
          </w:p>
        </w:tc>
      </w:tr>
      <w:tr w:rsidR="00A36F2D" w:rsidRPr="00F81CB3" w14:paraId="1212A637" w14:textId="77777777" w:rsidTr="00BB605A">
        <w:trPr>
          <w:trHeight w:val="300"/>
        </w:trPr>
        <w:tc>
          <w:tcPr>
            <w:tcW w:w="816" w:type="pct"/>
            <w:tcBorders>
              <w:top w:val="nil"/>
              <w:left w:val="nil"/>
              <w:bottom w:val="nil"/>
              <w:right w:val="nil"/>
            </w:tcBorders>
            <w:shd w:val="clear" w:color="000000" w:fill="FFFFFF"/>
            <w:vAlign w:val="bottom"/>
          </w:tcPr>
          <w:p w14:paraId="27DB56A1"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28/02/2019</w:t>
            </w:r>
          </w:p>
        </w:tc>
        <w:tc>
          <w:tcPr>
            <w:tcW w:w="921" w:type="pct"/>
            <w:tcBorders>
              <w:top w:val="nil"/>
              <w:left w:val="nil"/>
              <w:bottom w:val="nil"/>
              <w:right w:val="nil"/>
            </w:tcBorders>
            <w:shd w:val="clear" w:color="000000" w:fill="FFFFFF"/>
            <w:vAlign w:val="bottom"/>
          </w:tcPr>
          <w:p w14:paraId="249714BD"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-2,14</w:t>
            </w:r>
          </w:p>
        </w:tc>
        <w:tc>
          <w:tcPr>
            <w:tcW w:w="816" w:type="pct"/>
            <w:tcBorders>
              <w:top w:val="nil"/>
              <w:left w:val="nil"/>
              <w:bottom w:val="nil"/>
              <w:right w:val="nil"/>
            </w:tcBorders>
            <w:shd w:val="clear" w:color="000000" w:fill="FFFFFF"/>
            <w:vAlign w:val="bottom"/>
          </w:tcPr>
          <w:p w14:paraId="53035D9E"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5.513.575</w:t>
            </w:r>
          </w:p>
        </w:tc>
        <w:tc>
          <w:tcPr>
            <w:tcW w:w="816" w:type="pct"/>
            <w:tcBorders>
              <w:top w:val="nil"/>
              <w:left w:val="nil"/>
              <w:bottom w:val="nil"/>
              <w:right w:val="nil"/>
            </w:tcBorders>
            <w:shd w:val="clear" w:color="000000" w:fill="FFFFFF"/>
            <w:vAlign w:val="bottom"/>
          </w:tcPr>
          <w:p w14:paraId="432B50C3"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-136.694</w:t>
            </w:r>
          </w:p>
        </w:tc>
        <w:tc>
          <w:tcPr>
            <w:tcW w:w="816" w:type="pct"/>
            <w:tcBorders>
              <w:top w:val="nil"/>
              <w:left w:val="nil"/>
              <w:bottom w:val="nil"/>
              <w:right w:val="nil"/>
            </w:tcBorders>
            <w:shd w:val="clear" w:color="000000" w:fill="FFFFFF"/>
            <w:vAlign w:val="bottom"/>
          </w:tcPr>
          <w:p w14:paraId="6FC624ED"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18.686</w:t>
            </w:r>
          </w:p>
        </w:tc>
        <w:tc>
          <w:tcPr>
            <w:tcW w:w="815" w:type="pct"/>
            <w:tcBorders>
              <w:top w:val="nil"/>
              <w:left w:val="nil"/>
              <w:bottom w:val="nil"/>
              <w:right w:val="nil"/>
            </w:tcBorders>
            <w:shd w:val="clear" w:color="000000" w:fill="FFFFFF"/>
            <w:vAlign w:val="bottom"/>
          </w:tcPr>
          <w:p w14:paraId="1F837B01" w14:textId="77777777" w:rsidR="00A36F2D" w:rsidRPr="00F81CB3" w:rsidRDefault="00A36F2D" w:rsidP="00BB605A">
            <w:pPr>
              <w:spacing w:after="0" w:line="240" w:lineRule="auto"/>
              <w:jc w:val="right"/>
              <w:rPr>
                <w:rFonts w:ascii="Segoe UI" w:eastAsia="Times New Roman" w:hAnsi="Segoe UI" w:cs="Segoe UI"/>
                <w:color w:val="333333"/>
                <w:sz w:val="18"/>
                <w:szCs w:val="18"/>
                <w:lang w:val="es-CR" w:eastAsia="es-CR"/>
              </w:rPr>
            </w:pPr>
            <w:r w:rsidRPr="00F81CB3">
              <w:rPr>
                <w:rFonts w:ascii="Segoe UI" w:hAnsi="Segoe UI" w:cs="Segoe UI"/>
                <w:color w:val="000000"/>
                <w:sz w:val="18"/>
                <w:szCs w:val="18"/>
              </w:rPr>
              <w:t>-118.008</w:t>
            </w:r>
          </w:p>
        </w:tc>
      </w:tr>
      <w:tr w:rsidR="00A36F2D" w:rsidRPr="00F81CB3" w14:paraId="5ED16144" w14:textId="77777777" w:rsidTr="00BB605A">
        <w:trPr>
          <w:trHeight w:val="300"/>
        </w:trPr>
        <w:tc>
          <w:tcPr>
            <w:tcW w:w="816" w:type="pct"/>
            <w:tcBorders>
              <w:top w:val="nil"/>
              <w:left w:val="nil"/>
              <w:bottom w:val="nil"/>
              <w:right w:val="nil"/>
            </w:tcBorders>
            <w:shd w:val="clear" w:color="000000" w:fill="FFFFFF"/>
            <w:vAlign w:val="bottom"/>
          </w:tcPr>
          <w:p w14:paraId="707F3F14"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31/03/2019</w:t>
            </w:r>
          </w:p>
        </w:tc>
        <w:tc>
          <w:tcPr>
            <w:tcW w:w="921" w:type="pct"/>
            <w:tcBorders>
              <w:top w:val="nil"/>
              <w:left w:val="nil"/>
              <w:bottom w:val="nil"/>
              <w:right w:val="nil"/>
            </w:tcBorders>
            <w:shd w:val="clear" w:color="000000" w:fill="FFFFFF"/>
            <w:vAlign w:val="bottom"/>
          </w:tcPr>
          <w:p w14:paraId="5CA3DDD2"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-2,03</w:t>
            </w:r>
          </w:p>
        </w:tc>
        <w:tc>
          <w:tcPr>
            <w:tcW w:w="816" w:type="pct"/>
            <w:tcBorders>
              <w:top w:val="nil"/>
              <w:left w:val="nil"/>
              <w:bottom w:val="nil"/>
              <w:right w:val="nil"/>
            </w:tcBorders>
            <w:shd w:val="clear" w:color="000000" w:fill="FFFFFF"/>
            <w:vAlign w:val="bottom"/>
          </w:tcPr>
          <w:p w14:paraId="1581AF5D"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5.703.375</w:t>
            </w:r>
          </w:p>
        </w:tc>
        <w:tc>
          <w:tcPr>
            <w:tcW w:w="816" w:type="pct"/>
            <w:tcBorders>
              <w:top w:val="nil"/>
              <w:left w:val="nil"/>
              <w:bottom w:val="nil"/>
              <w:right w:val="nil"/>
            </w:tcBorders>
            <w:shd w:val="clear" w:color="000000" w:fill="FFFFFF"/>
            <w:vAlign w:val="bottom"/>
          </w:tcPr>
          <w:p w14:paraId="2B312FBE"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-141.586</w:t>
            </w:r>
          </w:p>
        </w:tc>
        <w:tc>
          <w:tcPr>
            <w:tcW w:w="816" w:type="pct"/>
            <w:tcBorders>
              <w:top w:val="nil"/>
              <w:left w:val="nil"/>
              <w:bottom w:val="nil"/>
              <w:right w:val="nil"/>
            </w:tcBorders>
            <w:shd w:val="clear" w:color="000000" w:fill="FFFFFF"/>
            <w:vAlign w:val="bottom"/>
          </w:tcPr>
          <w:p w14:paraId="19016544"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25.839</w:t>
            </w:r>
          </w:p>
        </w:tc>
        <w:tc>
          <w:tcPr>
            <w:tcW w:w="815" w:type="pct"/>
            <w:tcBorders>
              <w:top w:val="nil"/>
              <w:left w:val="nil"/>
              <w:bottom w:val="nil"/>
              <w:right w:val="nil"/>
            </w:tcBorders>
            <w:shd w:val="clear" w:color="000000" w:fill="FFFFFF"/>
            <w:vAlign w:val="bottom"/>
          </w:tcPr>
          <w:p w14:paraId="6596A1FD" w14:textId="77777777" w:rsidR="00A36F2D" w:rsidRPr="00F81CB3" w:rsidRDefault="00A36F2D" w:rsidP="00BB605A">
            <w:pPr>
              <w:spacing w:after="0" w:line="240" w:lineRule="auto"/>
              <w:jc w:val="right"/>
              <w:rPr>
                <w:rFonts w:ascii="Segoe UI" w:eastAsia="Times New Roman" w:hAnsi="Segoe UI" w:cs="Segoe UI"/>
                <w:sz w:val="18"/>
                <w:szCs w:val="18"/>
                <w:lang w:val="es-CR" w:eastAsia="es-CR"/>
              </w:rPr>
            </w:pPr>
            <w:r w:rsidRPr="00F81CB3">
              <w:rPr>
                <w:rFonts w:ascii="Segoe UI" w:hAnsi="Segoe UI" w:cs="Segoe UI"/>
                <w:color w:val="000000"/>
                <w:sz w:val="18"/>
                <w:szCs w:val="18"/>
              </w:rPr>
              <w:t>-115.747</w:t>
            </w:r>
          </w:p>
        </w:tc>
      </w:tr>
      <w:tr w:rsidR="00A36F2D" w:rsidRPr="00F81CB3" w14:paraId="14A8E5C9" w14:textId="77777777" w:rsidTr="00BB605A">
        <w:trPr>
          <w:trHeight w:val="300"/>
        </w:trPr>
        <w:tc>
          <w:tcPr>
            <w:tcW w:w="816" w:type="pct"/>
            <w:tcBorders>
              <w:top w:val="nil"/>
              <w:left w:val="nil"/>
              <w:bottom w:val="nil"/>
              <w:right w:val="nil"/>
            </w:tcBorders>
            <w:shd w:val="clear" w:color="000000" w:fill="FFFFFF"/>
            <w:vAlign w:val="bottom"/>
          </w:tcPr>
          <w:p w14:paraId="218D5F4C"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30/04/2019</w:t>
            </w:r>
          </w:p>
        </w:tc>
        <w:tc>
          <w:tcPr>
            <w:tcW w:w="921" w:type="pct"/>
            <w:tcBorders>
              <w:top w:val="nil"/>
              <w:left w:val="nil"/>
              <w:bottom w:val="nil"/>
              <w:right w:val="nil"/>
            </w:tcBorders>
            <w:shd w:val="clear" w:color="000000" w:fill="FFFFFF"/>
            <w:vAlign w:val="bottom"/>
          </w:tcPr>
          <w:p w14:paraId="478DA82C"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-0,30</w:t>
            </w:r>
          </w:p>
        </w:tc>
        <w:tc>
          <w:tcPr>
            <w:tcW w:w="816" w:type="pct"/>
            <w:tcBorders>
              <w:top w:val="nil"/>
              <w:left w:val="nil"/>
              <w:bottom w:val="nil"/>
              <w:right w:val="nil"/>
            </w:tcBorders>
            <w:shd w:val="clear" w:color="000000" w:fill="FFFFFF"/>
            <w:vAlign w:val="bottom"/>
          </w:tcPr>
          <w:p w14:paraId="2079775A"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5.943.217</w:t>
            </w:r>
          </w:p>
        </w:tc>
        <w:tc>
          <w:tcPr>
            <w:tcW w:w="816" w:type="pct"/>
            <w:tcBorders>
              <w:top w:val="nil"/>
              <w:left w:val="nil"/>
              <w:bottom w:val="nil"/>
              <w:right w:val="nil"/>
            </w:tcBorders>
            <w:shd w:val="clear" w:color="000000" w:fill="FFFFFF"/>
            <w:vAlign w:val="bottom"/>
          </w:tcPr>
          <w:p w14:paraId="6EE48997"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-66.405</w:t>
            </w:r>
          </w:p>
        </w:tc>
        <w:tc>
          <w:tcPr>
            <w:tcW w:w="816" w:type="pct"/>
            <w:tcBorders>
              <w:top w:val="nil"/>
              <w:left w:val="nil"/>
              <w:bottom w:val="nil"/>
              <w:right w:val="nil"/>
            </w:tcBorders>
            <w:shd w:val="clear" w:color="000000" w:fill="FFFFFF"/>
            <w:vAlign w:val="bottom"/>
          </w:tcPr>
          <w:p w14:paraId="507F5426"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48.487</w:t>
            </w:r>
          </w:p>
        </w:tc>
        <w:tc>
          <w:tcPr>
            <w:tcW w:w="815" w:type="pct"/>
            <w:tcBorders>
              <w:top w:val="nil"/>
              <w:left w:val="nil"/>
              <w:bottom w:val="nil"/>
              <w:right w:val="nil"/>
            </w:tcBorders>
            <w:shd w:val="clear" w:color="000000" w:fill="FFFFFF"/>
            <w:vAlign w:val="bottom"/>
          </w:tcPr>
          <w:p w14:paraId="3FCC1E08"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-17.919</w:t>
            </w:r>
          </w:p>
        </w:tc>
      </w:tr>
      <w:tr w:rsidR="00A36F2D" w:rsidRPr="00F81CB3" w14:paraId="6B9D2C60" w14:textId="77777777" w:rsidTr="00BB605A">
        <w:trPr>
          <w:trHeight w:val="300"/>
        </w:trPr>
        <w:tc>
          <w:tcPr>
            <w:tcW w:w="816" w:type="pct"/>
            <w:tcBorders>
              <w:top w:val="nil"/>
              <w:left w:val="nil"/>
              <w:bottom w:val="nil"/>
              <w:right w:val="nil"/>
            </w:tcBorders>
            <w:shd w:val="clear" w:color="000000" w:fill="FFFFFF"/>
            <w:vAlign w:val="bottom"/>
          </w:tcPr>
          <w:p w14:paraId="2E84116F"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31/05/2019</w:t>
            </w:r>
          </w:p>
        </w:tc>
        <w:tc>
          <w:tcPr>
            <w:tcW w:w="921" w:type="pct"/>
            <w:tcBorders>
              <w:top w:val="nil"/>
              <w:left w:val="nil"/>
              <w:bottom w:val="nil"/>
              <w:right w:val="nil"/>
            </w:tcBorders>
            <w:shd w:val="clear" w:color="000000" w:fill="FFFFFF"/>
            <w:vAlign w:val="bottom"/>
          </w:tcPr>
          <w:p w14:paraId="1B9D98C2"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-0,37</w:t>
            </w:r>
          </w:p>
        </w:tc>
        <w:tc>
          <w:tcPr>
            <w:tcW w:w="816" w:type="pct"/>
            <w:tcBorders>
              <w:top w:val="nil"/>
              <w:left w:val="nil"/>
              <w:bottom w:val="nil"/>
              <w:right w:val="nil"/>
            </w:tcBorders>
            <w:shd w:val="clear" w:color="000000" w:fill="FFFFFF"/>
            <w:vAlign w:val="bottom"/>
          </w:tcPr>
          <w:p w14:paraId="07F9FE41"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5.941.657</w:t>
            </w:r>
          </w:p>
        </w:tc>
        <w:tc>
          <w:tcPr>
            <w:tcW w:w="816" w:type="pct"/>
            <w:tcBorders>
              <w:top w:val="nil"/>
              <w:left w:val="nil"/>
              <w:bottom w:val="nil"/>
              <w:right w:val="nil"/>
            </w:tcBorders>
            <w:shd w:val="clear" w:color="000000" w:fill="FFFFFF"/>
            <w:vAlign w:val="bottom"/>
          </w:tcPr>
          <w:p w14:paraId="1C9BCACC"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-36.649</w:t>
            </w:r>
          </w:p>
        </w:tc>
        <w:tc>
          <w:tcPr>
            <w:tcW w:w="816" w:type="pct"/>
            <w:tcBorders>
              <w:top w:val="nil"/>
              <w:left w:val="nil"/>
              <w:bottom w:val="nil"/>
              <w:right w:val="nil"/>
            </w:tcBorders>
            <w:shd w:val="clear" w:color="000000" w:fill="FFFFFF"/>
            <w:vAlign w:val="bottom"/>
          </w:tcPr>
          <w:p w14:paraId="1FBFBD04"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14.551</w:t>
            </w:r>
          </w:p>
        </w:tc>
        <w:tc>
          <w:tcPr>
            <w:tcW w:w="815" w:type="pct"/>
            <w:tcBorders>
              <w:top w:val="nil"/>
              <w:left w:val="nil"/>
              <w:bottom w:val="nil"/>
              <w:right w:val="nil"/>
            </w:tcBorders>
            <w:shd w:val="clear" w:color="000000" w:fill="FFFFFF"/>
            <w:vAlign w:val="bottom"/>
          </w:tcPr>
          <w:p w14:paraId="19C3122E"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-22.098</w:t>
            </w:r>
          </w:p>
        </w:tc>
      </w:tr>
      <w:tr w:rsidR="00A36F2D" w:rsidRPr="00F81CB3" w14:paraId="64812EB2" w14:textId="77777777" w:rsidTr="00BB605A">
        <w:trPr>
          <w:trHeight w:val="315"/>
        </w:trPr>
        <w:tc>
          <w:tcPr>
            <w:tcW w:w="816" w:type="pct"/>
            <w:tcBorders>
              <w:top w:val="nil"/>
              <w:left w:val="nil"/>
              <w:bottom w:val="single" w:sz="8" w:space="0" w:color="auto"/>
              <w:right w:val="nil"/>
            </w:tcBorders>
            <w:shd w:val="clear" w:color="000000" w:fill="FFFFFF"/>
            <w:vAlign w:val="bottom"/>
          </w:tcPr>
          <w:p w14:paraId="07BC4B86"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30/06/2019</w:t>
            </w:r>
          </w:p>
        </w:tc>
        <w:tc>
          <w:tcPr>
            <w:tcW w:w="921" w:type="pct"/>
            <w:tcBorders>
              <w:top w:val="nil"/>
              <w:left w:val="nil"/>
              <w:bottom w:val="single" w:sz="8" w:space="0" w:color="auto"/>
              <w:right w:val="nil"/>
            </w:tcBorders>
            <w:shd w:val="clear" w:color="000000" w:fill="FFFFFF"/>
            <w:vAlign w:val="bottom"/>
          </w:tcPr>
          <w:p w14:paraId="5DAA15D7"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0,63</w:t>
            </w:r>
          </w:p>
        </w:tc>
        <w:tc>
          <w:tcPr>
            <w:tcW w:w="816" w:type="pct"/>
            <w:tcBorders>
              <w:top w:val="nil"/>
              <w:left w:val="nil"/>
              <w:bottom w:val="single" w:sz="8" w:space="0" w:color="auto"/>
              <w:right w:val="nil"/>
            </w:tcBorders>
            <w:shd w:val="clear" w:color="000000" w:fill="FFFFFF"/>
            <w:vAlign w:val="bottom"/>
          </w:tcPr>
          <w:p w14:paraId="6114C1DB"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6.018.576</w:t>
            </w:r>
          </w:p>
        </w:tc>
        <w:tc>
          <w:tcPr>
            <w:tcW w:w="816" w:type="pct"/>
            <w:tcBorders>
              <w:top w:val="nil"/>
              <w:left w:val="nil"/>
              <w:bottom w:val="single" w:sz="8" w:space="0" w:color="auto"/>
              <w:right w:val="nil"/>
            </w:tcBorders>
            <w:shd w:val="clear" w:color="000000" w:fill="FFFFFF"/>
            <w:vAlign w:val="bottom"/>
          </w:tcPr>
          <w:p w14:paraId="745DC5D9"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-9.117</w:t>
            </w:r>
          </w:p>
        </w:tc>
        <w:tc>
          <w:tcPr>
            <w:tcW w:w="816" w:type="pct"/>
            <w:tcBorders>
              <w:top w:val="nil"/>
              <w:left w:val="nil"/>
              <w:bottom w:val="single" w:sz="8" w:space="0" w:color="auto"/>
              <w:right w:val="nil"/>
            </w:tcBorders>
            <w:shd w:val="clear" w:color="000000" w:fill="FFFFFF"/>
            <w:vAlign w:val="bottom"/>
          </w:tcPr>
          <w:p w14:paraId="4C7C0720"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47.227</w:t>
            </w:r>
          </w:p>
        </w:tc>
        <w:tc>
          <w:tcPr>
            <w:tcW w:w="815" w:type="pct"/>
            <w:tcBorders>
              <w:top w:val="nil"/>
              <w:left w:val="nil"/>
              <w:bottom w:val="single" w:sz="8" w:space="0" w:color="auto"/>
              <w:right w:val="nil"/>
            </w:tcBorders>
            <w:shd w:val="clear" w:color="000000" w:fill="FFFFFF"/>
            <w:vAlign w:val="bottom"/>
          </w:tcPr>
          <w:p w14:paraId="4D2A22AD" w14:textId="77777777" w:rsidR="00A36F2D" w:rsidRPr="00F81CB3" w:rsidRDefault="00A36F2D" w:rsidP="00BB605A">
            <w:pPr>
              <w:spacing w:after="0" w:line="240" w:lineRule="auto"/>
              <w:jc w:val="right"/>
              <w:rPr>
                <w:rFonts w:ascii="Segoe UI" w:eastAsia="Times New Roman" w:hAnsi="Segoe UI" w:cs="Segoe UI"/>
                <w:bCs/>
                <w:sz w:val="18"/>
                <w:szCs w:val="18"/>
                <w:lang w:val="es-CR" w:eastAsia="es-CR"/>
              </w:rPr>
            </w:pPr>
            <w:r w:rsidRPr="00F81CB3">
              <w:rPr>
                <w:rFonts w:ascii="Segoe UI" w:hAnsi="Segoe UI" w:cs="Segoe UI"/>
                <w:color w:val="000000"/>
                <w:sz w:val="18"/>
                <w:szCs w:val="18"/>
              </w:rPr>
              <w:t>38.110</w:t>
            </w:r>
          </w:p>
        </w:tc>
      </w:tr>
    </w:tbl>
    <w:p w14:paraId="4AE9596D" w14:textId="77777777" w:rsidR="00A36F2D" w:rsidRPr="00F81CB3" w:rsidRDefault="00A36F2D" w:rsidP="00A36F2D">
      <w:pPr>
        <w:spacing w:after="0" w:line="240" w:lineRule="auto"/>
        <w:rPr>
          <w:rFonts w:ascii="Segoe UI" w:eastAsia="Times New Roman" w:hAnsi="Segoe UI" w:cs="Segoe UI"/>
          <w:sz w:val="18"/>
          <w:szCs w:val="18"/>
          <w:lang w:eastAsia="es-CR"/>
        </w:rPr>
      </w:pPr>
      <w:r w:rsidRPr="00F81CB3">
        <w:rPr>
          <w:rFonts w:ascii="Segoe UI" w:hAnsi="Segoe UI" w:cs="Segoe UI"/>
          <w:b/>
          <w:sz w:val="18"/>
          <w:szCs w:val="18"/>
        </w:rPr>
        <w:t>Fuente:</w:t>
      </w:r>
      <w:r w:rsidRPr="00F81CB3">
        <w:rPr>
          <w:rFonts w:ascii="Segoe UI" w:hAnsi="Segoe UI" w:cs="Segoe UI"/>
          <w:sz w:val="18"/>
          <w:szCs w:val="18"/>
        </w:rPr>
        <w:t xml:space="preserve"> Elaboración de SUPEN con datos suministrados por los fondos</w:t>
      </w:r>
    </w:p>
    <w:p w14:paraId="7518809D" w14:textId="77777777" w:rsidR="00A36F2D" w:rsidRPr="00F81CB3" w:rsidRDefault="00A36F2D" w:rsidP="00A36F2D">
      <w:pPr>
        <w:spacing w:line="240" w:lineRule="auto"/>
        <w:jc w:val="both"/>
        <w:rPr>
          <w:rFonts w:ascii="Segoe UI" w:hAnsi="Segoe UI" w:cs="Segoe UI"/>
          <w:lang w:eastAsia="es-CR"/>
        </w:rPr>
      </w:pPr>
    </w:p>
    <w:p w14:paraId="480AF4F4" w14:textId="77777777" w:rsidR="00A36F2D" w:rsidRPr="00F81CB3" w:rsidRDefault="00A36F2D" w:rsidP="00A36F2D">
      <w:pPr>
        <w:spacing w:line="240" w:lineRule="auto"/>
        <w:jc w:val="both"/>
        <w:rPr>
          <w:rFonts w:ascii="Segoe UI" w:hAnsi="Segoe UI" w:cs="Segoe UI"/>
          <w:lang w:eastAsia="es-CR"/>
        </w:rPr>
      </w:pPr>
      <w:r w:rsidRPr="00F81CB3">
        <w:rPr>
          <w:rFonts w:ascii="Segoe UI" w:hAnsi="Segoe UI" w:cs="Segoe UI"/>
          <w:lang w:eastAsia="es-CR"/>
        </w:rPr>
        <w:t xml:space="preserve">A junio de 2019 los fondos ROP </w:t>
      </w:r>
      <w:r>
        <w:rPr>
          <w:rFonts w:ascii="Segoe UI" w:hAnsi="Segoe UI" w:cs="Segoe UI"/>
          <w:lang w:eastAsia="es-CR"/>
        </w:rPr>
        <w:t xml:space="preserve">conjuntamente </w:t>
      </w:r>
      <w:r w:rsidRPr="00F81CB3">
        <w:rPr>
          <w:rFonts w:ascii="Segoe UI" w:hAnsi="Segoe UI" w:cs="Segoe UI"/>
          <w:lang w:eastAsia="es-CR"/>
        </w:rPr>
        <w:t>presentaron plusvalías por valoración</w:t>
      </w:r>
      <w:r>
        <w:rPr>
          <w:rFonts w:ascii="Segoe UI" w:hAnsi="Segoe UI" w:cs="Segoe UI"/>
          <w:lang w:eastAsia="es-CR"/>
        </w:rPr>
        <w:t xml:space="preserve"> de</w:t>
      </w:r>
      <w:r w:rsidRPr="00F81CB3">
        <w:rPr>
          <w:rFonts w:ascii="Segoe UI" w:hAnsi="Segoe UI" w:cs="Segoe UI"/>
          <w:lang w:eastAsia="es-CR"/>
        </w:rPr>
        <w:t xml:space="preserve"> 38 110 millones. Las plusvalías por valores extranjeros fueron de 47 227 millones, mientras que las inversiones en valores nacionales tuvieron minusvalías por 9 117 millones. Las disminuciones en la tasa de interés local han reducido las minusvalías. La mayor pérdida observada con respecto al activo total en los últimos meses se presentó en diciembre 2018 con una minusvalía de 177 246 millones, lo cual representó el 3,28% de las inversiones.  </w:t>
      </w:r>
    </w:p>
    <w:p w14:paraId="67642076" w14:textId="77777777" w:rsidR="00A36F2D" w:rsidRDefault="00A36F2D" w:rsidP="00A36F2D">
      <w:pPr>
        <w:spacing w:line="240" w:lineRule="auto"/>
        <w:jc w:val="both"/>
        <w:rPr>
          <w:rFonts w:ascii="Segoe UI" w:eastAsia="Times New Roman" w:hAnsi="Segoe UI" w:cs="Segoe UI"/>
          <w:lang w:eastAsia="es-CR"/>
        </w:rPr>
      </w:pPr>
      <w:r>
        <w:rPr>
          <w:rFonts w:ascii="Segoe UI" w:eastAsia="Times New Roman" w:hAnsi="Segoe UI" w:cs="Segoe UI"/>
          <w:lang w:eastAsia="es-CR"/>
        </w:rPr>
        <w:t>El cuadro 6 muestra las inversiones en títulos valores emitidos por el sector público de los fondos administrados utilizando la clasificación de la OCDE y como porcentaje del total de la cartera</w:t>
      </w:r>
      <w:r w:rsidRPr="00F81CB3">
        <w:rPr>
          <w:rFonts w:ascii="Segoe UI" w:eastAsia="Times New Roman" w:hAnsi="Segoe UI" w:cs="Segoe UI"/>
          <w:lang w:eastAsia="es-CR"/>
        </w:rPr>
        <w:t>.</w:t>
      </w:r>
      <w:r>
        <w:rPr>
          <w:rFonts w:ascii="Segoe UI" w:eastAsia="Times New Roman" w:hAnsi="Segoe UI" w:cs="Segoe UI"/>
          <w:lang w:eastAsia="es-CR"/>
        </w:rPr>
        <w:t xml:space="preserve"> Se observa que el IVM tiene un 94,68% concentrado en este tipo de emisores, mientras que el Régimen de capitalización colectiva del Magisterio Nacional tiene un 81,00% y el régimen del Poder Judicial mantiene un 87,65%. La mayoría de los fondos superan ligeramente el 60% mientras que destaca la operadora de la CCSS con un 42,98% de los fondos del ROP en valores del sector público.</w:t>
      </w:r>
      <w:r w:rsidRPr="00F81CB3">
        <w:rPr>
          <w:rFonts w:ascii="Segoe UI" w:eastAsia="Times New Roman" w:hAnsi="Segoe UI" w:cs="Segoe UI"/>
          <w:lang w:eastAsia="es-CR"/>
        </w:rPr>
        <w:t xml:space="preserve"> </w:t>
      </w:r>
    </w:p>
    <w:p w14:paraId="073E3752" w14:textId="77777777" w:rsidR="00A36F2D" w:rsidRDefault="00A36F2D" w:rsidP="00A36F2D">
      <w:r>
        <w:br w:type="page"/>
      </w:r>
    </w:p>
    <w:tbl>
      <w:tblPr>
        <w:tblW w:w="3617" w:type="pct"/>
        <w:jc w:val="center"/>
        <w:tblCellMar>
          <w:left w:w="70" w:type="dxa"/>
          <w:right w:w="70" w:type="dxa"/>
        </w:tblCellMar>
        <w:tblLook w:val="04A0" w:firstRow="1" w:lastRow="0" w:firstColumn="1" w:lastColumn="0" w:noHBand="0" w:noVBand="1"/>
      </w:tblPr>
      <w:tblGrid>
        <w:gridCol w:w="4111"/>
        <w:gridCol w:w="1139"/>
        <w:gridCol w:w="1143"/>
      </w:tblGrid>
      <w:tr w:rsidR="00A36F2D" w:rsidRPr="00693B58" w14:paraId="168186AD" w14:textId="77777777" w:rsidTr="00BB605A">
        <w:trPr>
          <w:trHeight w:val="113"/>
          <w:jc w:val="center"/>
        </w:trPr>
        <w:tc>
          <w:tcPr>
            <w:tcW w:w="5000" w:type="pct"/>
            <w:gridSpan w:val="3"/>
            <w:tcBorders>
              <w:top w:val="nil"/>
              <w:left w:val="nil"/>
              <w:bottom w:val="nil"/>
              <w:right w:val="nil"/>
            </w:tcBorders>
            <w:shd w:val="clear" w:color="auto" w:fill="auto"/>
            <w:noWrap/>
            <w:vAlign w:val="bottom"/>
            <w:hideMark/>
          </w:tcPr>
          <w:p w14:paraId="78DD0034" w14:textId="77777777" w:rsidR="00A36F2D" w:rsidRPr="00693B58" w:rsidRDefault="00A36F2D" w:rsidP="00BB605A">
            <w:pPr>
              <w:spacing w:after="0" w:line="240" w:lineRule="auto"/>
              <w:jc w:val="center"/>
              <w:rPr>
                <w:rFonts w:ascii="Calibri" w:eastAsia="Times New Roman" w:hAnsi="Calibri" w:cs="Calibri"/>
                <w:bCs/>
                <w:color w:val="000000"/>
                <w:sz w:val="24"/>
                <w:szCs w:val="24"/>
                <w:lang w:eastAsia="es-ES"/>
              </w:rPr>
            </w:pPr>
            <w:r w:rsidRPr="00693B58">
              <w:rPr>
                <w:rFonts w:ascii="Calibri" w:eastAsia="Times New Roman" w:hAnsi="Calibri" w:cs="Calibri"/>
                <w:bCs/>
                <w:color w:val="000000"/>
                <w:sz w:val="24"/>
                <w:szCs w:val="24"/>
                <w:lang w:eastAsia="es-ES"/>
              </w:rPr>
              <w:lastRenderedPageBreak/>
              <w:t>Cuadro 6</w:t>
            </w:r>
          </w:p>
          <w:p w14:paraId="515DCCAA" w14:textId="77777777" w:rsidR="00A36F2D" w:rsidRPr="00693B58" w:rsidRDefault="00A36F2D" w:rsidP="00BB605A">
            <w:pPr>
              <w:spacing w:after="0" w:line="240" w:lineRule="auto"/>
              <w:jc w:val="center"/>
              <w:rPr>
                <w:rFonts w:ascii="Calibri" w:eastAsia="Times New Roman" w:hAnsi="Calibri" w:cs="Calibri"/>
                <w:b/>
                <w:bCs/>
                <w:color w:val="000000"/>
                <w:sz w:val="18"/>
                <w:szCs w:val="24"/>
                <w:lang w:eastAsia="es-ES"/>
              </w:rPr>
            </w:pPr>
            <w:r w:rsidRPr="00693B58">
              <w:rPr>
                <w:rFonts w:ascii="Calibri" w:eastAsia="Times New Roman" w:hAnsi="Calibri" w:cs="Calibri"/>
                <w:b/>
                <w:bCs/>
                <w:color w:val="000000"/>
                <w:sz w:val="24"/>
                <w:szCs w:val="24"/>
                <w:lang w:eastAsia="es-ES"/>
              </w:rPr>
              <w:t>Inversiones en Sector Público</w:t>
            </w:r>
          </w:p>
        </w:tc>
      </w:tr>
      <w:tr w:rsidR="00A36F2D" w:rsidRPr="00693B58" w14:paraId="7DB78753" w14:textId="77777777" w:rsidTr="00BB605A">
        <w:trPr>
          <w:trHeight w:val="113"/>
          <w:jc w:val="center"/>
        </w:trPr>
        <w:tc>
          <w:tcPr>
            <w:tcW w:w="5000" w:type="pct"/>
            <w:gridSpan w:val="3"/>
            <w:tcBorders>
              <w:top w:val="nil"/>
              <w:left w:val="nil"/>
              <w:bottom w:val="nil"/>
              <w:right w:val="nil"/>
            </w:tcBorders>
            <w:shd w:val="clear" w:color="auto" w:fill="auto"/>
            <w:noWrap/>
            <w:vAlign w:val="bottom"/>
            <w:hideMark/>
          </w:tcPr>
          <w:p w14:paraId="02186A6D" w14:textId="77777777" w:rsidR="00A36F2D" w:rsidRPr="00693B58" w:rsidRDefault="00A36F2D" w:rsidP="00BB605A">
            <w:pPr>
              <w:spacing w:after="0" w:line="240" w:lineRule="auto"/>
              <w:jc w:val="center"/>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Como Porcentaje de la Cartera a Junio</w:t>
            </w:r>
          </w:p>
        </w:tc>
      </w:tr>
      <w:tr w:rsidR="00A36F2D" w:rsidRPr="00693B58" w14:paraId="314ED416" w14:textId="77777777" w:rsidTr="00BB605A">
        <w:trPr>
          <w:trHeight w:val="113"/>
          <w:jc w:val="center"/>
        </w:trPr>
        <w:tc>
          <w:tcPr>
            <w:tcW w:w="3215" w:type="pct"/>
            <w:tcBorders>
              <w:top w:val="nil"/>
              <w:left w:val="nil"/>
              <w:bottom w:val="single" w:sz="8" w:space="0" w:color="auto"/>
              <w:right w:val="nil"/>
            </w:tcBorders>
            <w:shd w:val="clear" w:color="auto" w:fill="auto"/>
            <w:noWrap/>
            <w:vAlign w:val="bottom"/>
            <w:hideMark/>
          </w:tcPr>
          <w:p w14:paraId="04CF700C" w14:textId="77777777" w:rsidR="00A36F2D" w:rsidRPr="00693B58" w:rsidRDefault="00A36F2D" w:rsidP="00BB605A">
            <w:pPr>
              <w:spacing w:after="0" w:line="240" w:lineRule="auto"/>
              <w:jc w:val="center"/>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 </w:t>
            </w:r>
          </w:p>
        </w:tc>
        <w:tc>
          <w:tcPr>
            <w:tcW w:w="891" w:type="pct"/>
            <w:tcBorders>
              <w:top w:val="nil"/>
              <w:left w:val="nil"/>
              <w:bottom w:val="single" w:sz="8" w:space="0" w:color="auto"/>
              <w:right w:val="nil"/>
            </w:tcBorders>
            <w:shd w:val="clear" w:color="auto" w:fill="auto"/>
            <w:noWrap/>
            <w:vAlign w:val="bottom"/>
            <w:hideMark/>
          </w:tcPr>
          <w:p w14:paraId="250A2E57" w14:textId="77777777" w:rsidR="00A36F2D" w:rsidRPr="00693B58" w:rsidRDefault="00A36F2D" w:rsidP="00BB605A">
            <w:pPr>
              <w:spacing w:after="0" w:line="240" w:lineRule="auto"/>
              <w:jc w:val="center"/>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2018</w:t>
            </w:r>
          </w:p>
        </w:tc>
        <w:tc>
          <w:tcPr>
            <w:tcW w:w="894" w:type="pct"/>
            <w:tcBorders>
              <w:top w:val="nil"/>
              <w:left w:val="nil"/>
              <w:bottom w:val="single" w:sz="8" w:space="0" w:color="auto"/>
              <w:right w:val="nil"/>
            </w:tcBorders>
            <w:shd w:val="clear" w:color="auto" w:fill="auto"/>
            <w:noWrap/>
            <w:vAlign w:val="bottom"/>
            <w:hideMark/>
          </w:tcPr>
          <w:p w14:paraId="12A07901" w14:textId="77777777" w:rsidR="00A36F2D" w:rsidRPr="00693B58" w:rsidRDefault="00A36F2D" w:rsidP="00BB605A">
            <w:pPr>
              <w:spacing w:after="0" w:line="240" w:lineRule="auto"/>
              <w:jc w:val="center"/>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2019</w:t>
            </w:r>
          </w:p>
        </w:tc>
      </w:tr>
      <w:tr w:rsidR="00A36F2D" w:rsidRPr="00693B58" w14:paraId="553E910E"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82B16BA" w14:textId="77777777" w:rsidR="00A36F2D" w:rsidRPr="00693B58" w:rsidRDefault="00A36F2D" w:rsidP="00BB605A">
            <w:pPr>
              <w:spacing w:after="0" w:line="240" w:lineRule="auto"/>
              <w:rPr>
                <w:rFonts w:ascii="Calibri" w:eastAsia="Times New Roman" w:hAnsi="Calibri" w:cs="Calibri"/>
                <w:b/>
                <w:bCs/>
                <w:color w:val="000000"/>
                <w:sz w:val="18"/>
                <w:szCs w:val="32"/>
                <w:u w:val="single"/>
                <w:lang w:eastAsia="es-ES"/>
              </w:rPr>
            </w:pPr>
            <w:r w:rsidRPr="00693B58">
              <w:rPr>
                <w:rFonts w:ascii="Calibri" w:eastAsia="Times New Roman" w:hAnsi="Calibri" w:cs="Calibri"/>
                <w:b/>
                <w:bCs/>
                <w:color w:val="000000"/>
                <w:sz w:val="18"/>
                <w:szCs w:val="32"/>
                <w:u w:val="single"/>
                <w:lang w:eastAsia="es-ES"/>
              </w:rPr>
              <w:t>Público</w:t>
            </w:r>
          </w:p>
        </w:tc>
        <w:tc>
          <w:tcPr>
            <w:tcW w:w="891" w:type="pct"/>
            <w:tcBorders>
              <w:top w:val="nil"/>
              <w:left w:val="nil"/>
              <w:bottom w:val="nil"/>
              <w:right w:val="nil"/>
            </w:tcBorders>
            <w:shd w:val="clear" w:color="auto" w:fill="auto"/>
            <w:noWrap/>
            <w:vAlign w:val="bottom"/>
            <w:hideMark/>
          </w:tcPr>
          <w:p w14:paraId="6813A307" w14:textId="77777777" w:rsidR="00A36F2D" w:rsidRPr="00693B58" w:rsidRDefault="00A36F2D" w:rsidP="00BB605A">
            <w:pPr>
              <w:spacing w:after="0" w:line="240" w:lineRule="auto"/>
              <w:jc w:val="right"/>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94,91%</w:t>
            </w:r>
          </w:p>
        </w:tc>
        <w:tc>
          <w:tcPr>
            <w:tcW w:w="894" w:type="pct"/>
            <w:tcBorders>
              <w:top w:val="nil"/>
              <w:left w:val="nil"/>
              <w:bottom w:val="nil"/>
              <w:right w:val="nil"/>
            </w:tcBorders>
            <w:shd w:val="clear" w:color="auto" w:fill="auto"/>
            <w:noWrap/>
            <w:vAlign w:val="bottom"/>
            <w:hideMark/>
          </w:tcPr>
          <w:p w14:paraId="54622BFE" w14:textId="77777777" w:rsidR="00A36F2D" w:rsidRPr="00693B58" w:rsidRDefault="00A36F2D" w:rsidP="00BB605A">
            <w:pPr>
              <w:spacing w:after="0" w:line="240" w:lineRule="auto"/>
              <w:jc w:val="right"/>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94,68%</w:t>
            </w:r>
          </w:p>
        </w:tc>
      </w:tr>
      <w:tr w:rsidR="00A36F2D" w:rsidRPr="00693B58" w14:paraId="0A4617A4"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5C4FA17F"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Seguridad Social</w:t>
            </w:r>
          </w:p>
        </w:tc>
        <w:tc>
          <w:tcPr>
            <w:tcW w:w="891" w:type="pct"/>
            <w:tcBorders>
              <w:top w:val="nil"/>
              <w:left w:val="nil"/>
              <w:bottom w:val="nil"/>
              <w:right w:val="nil"/>
            </w:tcBorders>
            <w:shd w:val="clear" w:color="auto" w:fill="auto"/>
            <w:noWrap/>
            <w:vAlign w:val="bottom"/>
            <w:hideMark/>
          </w:tcPr>
          <w:p w14:paraId="75F3760D"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94,91%</w:t>
            </w:r>
          </w:p>
        </w:tc>
        <w:tc>
          <w:tcPr>
            <w:tcW w:w="894" w:type="pct"/>
            <w:tcBorders>
              <w:top w:val="nil"/>
              <w:left w:val="nil"/>
              <w:bottom w:val="nil"/>
              <w:right w:val="nil"/>
            </w:tcBorders>
            <w:shd w:val="clear" w:color="auto" w:fill="auto"/>
            <w:noWrap/>
            <w:vAlign w:val="bottom"/>
            <w:hideMark/>
          </w:tcPr>
          <w:p w14:paraId="1804C6AA"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94,68%</w:t>
            </w:r>
          </w:p>
        </w:tc>
      </w:tr>
      <w:tr w:rsidR="00A36F2D" w:rsidRPr="00693B58" w14:paraId="1FDD4CF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E05A4AD"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RIVM</w:t>
            </w:r>
          </w:p>
        </w:tc>
        <w:tc>
          <w:tcPr>
            <w:tcW w:w="891" w:type="pct"/>
            <w:tcBorders>
              <w:top w:val="nil"/>
              <w:left w:val="nil"/>
              <w:bottom w:val="nil"/>
              <w:right w:val="nil"/>
            </w:tcBorders>
            <w:shd w:val="clear" w:color="auto" w:fill="auto"/>
            <w:noWrap/>
            <w:vAlign w:val="bottom"/>
            <w:hideMark/>
          </w:tcPr>
          <w:p w14:paraId="798B603A"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94,91%</w:t>
            </w:r>
          </w:p>
        </w:tc>
        <w:tc>
          <w:tcPr>
            <w:tcW w:w="894" w:type="pct"/>
            <w:tcBorders>
              <w:top w:val="nil"/>
              <w:left w:val="nil"/>
              <w:bottom w:val="nil"/>
              <w:right w:val="nil"/>
            </w:tcBorders>
            <w:shd w:val="clear" w:color="auto" w:fill="auto"/>
            <w:noWrap/>
            <w:vAlign w:val="bottom"/>
            <w:hideMark/>
          </w:tcPr>
          <w:p w14:paraId="72F79A09"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94,68%</w:t>
            </w:r>
          </w:p>
        </w:tc>
      </w:tr>
      <w:tr w:rsidR="00A36F2D" w:rsidRPr="00693B58" w14:paraId="38D9BF11"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07DEB01F" w14:textId="77777777" w:rsidR="00A36F2D" w:rsidRPr="00693B58" w:rsidRDefault="00A36F2D" w:rsidP="00BB605A">
            <w:pPr>
              <w:spacing w:after="0" w:line="240" w:lineRule="auto"/>
              <w:rPr>
                <w:rFonts w:ascii="Calibri" w:eastAsia="Times New Roman" w:hAnsi="Calibri" w:cs="Calibri"/>
                <w:b/>
                <w:bCs/>
                <w:color w:val="000000"/>
                <w:sz w:val="18"/>
                <w:szCs w:val="32"/>
                <w:u w:val="single"/>
                <w:lang w:eastAsia="es-ES"/>
              </w:rPr>
            </w:pPr>
            <w:r w:rsidRPr="00693B58">
              <w:rPr>
                <w:rFonts w:ascii="Calibri" w:eastAsia="Times New Roman" w:hAnsi="Calibri" w:cs="Calibri"/>
                <w:b/>
                <w:bCs/>
                <w:color w:val="000000"/>
                <w:sz w:val="18"/>
                <w:szCs w:val="32"/>
                <w:u w:val="single"/>
                <w:lang w:eastAsia="es-ES"/>
              </w:rPr>
              <w:t>Privado</w:t>
            </w:r>
          </w:p>
        </w:tc>
        <w:tc>
          <w:tcPr>
            <w:tcW w:w="891" w:type="pct"/>
            <w:tcBorders>
              <w:top w:val="nil"/>
              <w:left w:val="nil"/>
              <w:bottom w:val="nil"/>
              <w:right w:val="nil"/>
            </w:tcBorders>
            <w:shd w:val="clear" w:color="auto" w:fill="auto"/>
            <w:noWrap/>
            <w:vAlign w:val="bottom"/>
            <w:hideMark/>
          </w:tcPr>
          <w:p w14:paraId="05174991" w14:textId="77777777" w:rsidR="00A36F2D" w:rsidRPr="00693B58" w:rsidRDefault="00A36F2D" w:rsidP="00BB605A">
            <w:pPr>
              <w:spacing w:after="0" w:line="240" w:lineRule="auto"/>
              <w:rPr>
                <w:rFonts w:ascii="Calibri" w:eastAsia="Times New Roman" w:hAnsi="Calibri" w:cs="Calibri"/>
                <w:b/>
                <w:bCs/>
                <w:color w:val="000000"/>
                <w:sz w:val="18"/>
                <w:szCs w:val="32"/>
                <w:u w:val="single"/>
                <w:lang w:eastAsia="es-ES"/>
              </w:rPr>
            </w:pPr>
          </w:p>
        </w:tc>
        <w:tc>
          <w:tcPr>
            <w:tcW w:w="894" w:type="pct"/>
            <w:tcBorders>
              <w:top w:val="nil"/>
              <w:left w:val="nil"/>
              <w:bottom w:val="nil"/>
              <w:right w:val="nil"/>
            </w:tcBorders>
            <w:shd w:val="clear" w:color="auto" w:fill="auto"/>
            <w:noWrap/>
            <w:vAlign w:val="bottom"/>
            <w:hideMark/>
          </w:tcPr>
          <w:p w14:paraId="696DEAE8"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4647F467"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1483C186"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Planes Obligatorios Ocupacionales</w:t>
            </w:r>
          </w:p>
        </w:tc>
        <w:tc>
          <w:tcPr>
            <w:tcW w:w="891" w:type="pct"/>
            <w:tcBorders>
              <w:top w:val="nil"/>
              <w:left w:val="nil"/>
              <w:bottom w:val="nil"/>
              <w:right w:val="nil"/>
            </w:tcBorders>
            <w:shd w:val="clear" w:color="auto" w:fill="auto"/>
            <w:noWrap/>
            <w:vAlign w:val="bottom"/>
            <w:hideMark/>
          </w:tcPr>
          <w:p w14:paraId="1DA3FD0F"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372FF7F3"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07A85A81"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5177E610" w14:textId="77777777" w:rsidR="00A36F2D" w:rsidRPr="00693B58" w:rsidRDefault="00A36F2D" w:rsidP="00BB605A">
            <w:pPr>
              <w:spacing w:after="0" w:line="240" w:lineRule="auto"/>
              <w:ind w:firstLineChars="200" w:firstLine="361"/>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Ocupacionales</w:t>
            </w:r>
          </w:p>
        </w:tc>
        <w:tc>
          <w:tcPr>
            <w:tcW w:w="891" w:type="pct"/>
            <w:tcBorders>
              <w:top w:val="nil"/>
              <w:left w:val="nil"/>
              <w:bottom w:val="nil"/>
              <w:right w:val="nil"/>
            </w:tcBorders>
            <w:shd w:val="clear" w:color="auto" w:fill="auto"/>
            <w:noWrap/>
            <w:vAlign w:val="bottom"/>
            <w:hideMark/>
          </w:tcPr>
          <w:p w14:paraId="7FC1DB0F" w14:textId="77777777" w:rsidR="00A36F2D" w:rsidRPr="00693B58" w:rsidRDefault="00A36F2D" w:rsidP="00BB605A">
            <w:pPr>
              <w:spacing w:after="0" w:line="240" w:lineRule="auto"/>
              <w:ind w:firstLineChars="200" w:firstLine="361"/>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4AFDDA31"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1EBE0093"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60A4AC07"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Beneficio Definido</w:t>
            </w:r>
          </w:p>
        </w:tc>
        <w:tc>
          <w:tcPr>
            <w:tcW w:w="891" w:type="pct"/>
            <w:tcBorders>
              <w:top w:val="nil"/>
              <w:left w:val="nil"/>
              <w:bottom w:val="nil"/>
              <w:right w:val="nil"/>
            </w:tcBorders>
            <w:shd w:val="clear" w:color="auto" w:fill="auto"/>
            <w:noWrap/>
            <w:vAlign w:val="bottom"/>
            <w:hideMark/>
          </w:tcPr>
          <w:p w14:paraId="286865FB"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481D1511"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36C52B1A"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A28C13E"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Básicos</w:t>
            </w:r>
          </w:p>
        </w:tc>
        <w:tc>
          <w:tcPr>
            <w:tcW w:w="891" w:type="pct"/>
            <w:tcBorders>
              <w:top w:val="nil"/>
              <w:left w:val="nil"/>
              <w:bottom w:val="nil"/>
              <w:right w:val="nil"/>
            </w:tcBorders>
            <w:shd w:val="clear" w:color="auto" w:fill="auto"/>
            <w:noWrap/>
            <w:vAlign w:val="bottom"/>
            <w:hideMark/>
          </w:tcPr>
          <w:p w14:paraId="088A706C"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42078D51"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1F0D9E3C"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451353A5"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RCCMN</w:t>
            </w:r>
          </w:p>
        </w:tc>
        <w:tc>
          <w:tcPr>
            <w:tcW w:w="891" w:type="pct"/>
            <w:tcBorders>
              <w:top w:val="nil"/>
              <w:left w:val="nil"/>
              <w:bottom w:val="nil"/>
              <w:right w:val="nil"/>
            </w:tcBorders>
            <w:shd w:val="clear" w:color="auto" w:fill="auto"/>
            <w:noWrap/>
            <w:vAlign w:val="bottom"/>
            <w:hideMark/>
          </w:tcPr>
          <w:p w14:paraId="117CBA8F"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84,34%</w:t>
            </w:r>
          </w:p>
        </w:tc>
        <w:tc>
          <w:tcPr>
            <w:tcW w:w="894" w:type="pct"/>
            <w:tcBorders>
              <w:top w:val="nil"/>
              <w:left w:val="nil"/>
              <w:bottom w:val="nil"/>
              <w:right w:val="nil"/>
            </w:tcBorders>
            <w:shd w:val="clear" w:color="auto" w:fill="auto"/>
            <w:noWrap/>
            <w:vAlign w:val="bottom"/>
            <w:hideMark/>
          </w:tcPr>
          <w:p w14:paraId="790DBCB7"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81,00%</w:t>
            </w:r>
          </w:p>
        </w:tc>
      </w:tr>
      <w:tr w:rsidR="00A36F2D" w:rsidRPr="00693B58" w14:paraId="380625CB"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687C310C"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Fondo Poder Judicial</w:t>
            </w:r>
          </w:p>
        </w:tc>
        <w:tc>
          <w:tcPr>
            <w:tcW w:w="891" w:type="pct"/>
            <w:tcBorders>
              <w:top w:val="nil"/>
              <w:left w:val="nil"/>
              <w:bottom w:val="nil"/>
              <w:right w:val="nil"/>
            </w:tcBorders>
            <w:shd w:val="clear" w:color="auto" w:fill="auto"/>
            <w:noWrap/>
            <w:vAlign w:val="bottom"/>
            <w:hideMark/>
          </w:tcPr>
          <w:p w14:paraId="7F727D9C"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95,05%</w:t>
            </w:r>
          </w:p>
        </w:tc>
        <w:tc>
          <w:tcPr>
            <w:tcW w:w="894" w:type="pct"/>
            <w:tcBorders>
              <w:top w:val="nil"/>
              <w:left w:val="nil"/>
              <w:bottom w:val="nil"/>
              <w:right w:val="nil"/>
            </w:tcBorders>
            <w:shd w:val="clear" w:color="auto" w:fill="auto"/>
            <w:noWrap/>
            <w:vAlign w:val="bottom"/>
            <w:hideMark/>
          </w:tcPr>
          <w:p w14:paraId="6649CB39"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87,65%</w:t>
            </w:r>
          </w:p>
        </w:tc>
      </w:tr>
      <w:tr w:rsidR="00A36F2D" w:rsidRPr="00693B58" w14:paraId="73FDE510"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5EE4BFA6"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Fondo Bomberos</w:t>
            </w:r>
          </w:p>
        </w:tc>
        <w:tc>
          <w:tcPr>
            <w:tcW w:w="891" w:type="pct"/>
            <w:tcBorders>
              <w:top w:val="nil"/>
              <w:left w:val="nil"/>
              <w:bottom w:val="nil"/>
              <w:right w:val="nil"/>
            </w:tcBorders>
            <w:shd w:val="clear" w:color="auto" w:fill="auto"/>
            <w:noWrap/>
            <w:vAlign w:val="bottom"/>
            <w:hideMark/>
          </w:tcPr>
          <w:p w14:paraId="08993A85"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73,01%</w:t>
            </w:r>
          </w:p>
        </w:tc>
        <w:tc>
          <w:tcPr>
            <w:tcW w:w="894" w:type="pct"/>
            <w:tcBorders>
              <w:top w:val="nil"/>
              <w:left w:val="nil"/>
              <w:bottom w:val="nil"/>
              <w:right w:val="nil"/>
            </w:tcBorders>
            <w:shd w:val="clear" w:color="auto" w:fill="auto"/>
            <w:noWrap/>
            <w:vAlign w:val="bottom"/>
            <w:hideMark/>
          </w:tcPr>
          <w:p w14:paraId="7966B36A"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68,25%</w:t>
            </w:r>
          </w:p>
        </w:tc>
      </w:tr>
      <w:tr w:rsidR="00A36F2D" w:rsidRPr="00693B58" w14:paraId="7409C75E"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6E4984E1"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 xml:space="preserve">Complementarios </w:t>
            </w:r>
          </w:p>
        </w:tc>
        <w:tc>
          <w:tcPr>
            <w:tcW w:w="891" w:type="pct"/>
            <w:tcBorders>
              <w:top w:val="nil"/>
              <w:left w:val="nil"/>
              <w:bottom w:val="nil"/>
              <w:right w:val="nil"/>
            </w:tcBorders>
            <w:shd w:val="clear" w:color="auto" w:fill="auto"/>
            <w:noWrap/>
            <w:vAlign w:val="bottom"/>
            <w:hideMark/>
          </w:tcPr>
          <w:p w14:paraId="157BA580"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4388D96B"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7E83C24B"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63257C3"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CCSS-FRE</w:t>
            </w:r>
          </w:p>
        </w:tc>
        <w:tc>
          <w:tcPr>
            <w:tcW w:w="891" w:type="pct"/>
            <w:tcBorders>
              <w:top w:val="nil"/>
              <w:left w:val="nil"/>
              <w:bottom w:val="nil"/>
              <w:right w:val="nil"/>
            </w:tcBorders>
            <w:shd w:val="clear" w:color="auto" w:fill="auto"/>
            <w:noWrap/>
            <w:vAlign w:val="bottom"/>
            <w:hideMark/>
          </w:tcPr>
          <w:p w14:paraId="445D9BFF"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75,54%</w:t>
            </w:r>
          </w:p>
        </w:tc>
        <w:tc>
          <w:tcPr>
            <w:tcW w:w="894" w:type="pct"/>
            <w:tcBorders>
              <w:top w:val="nil"/>
              <w:left w:val="nil"/>
              <w:bottom w:val="nil"/>
              <w:right w:val="nil"/>
            </w:tcBorders>
            <w:shd w:val="clear" w:color="auto" w:fill="auto"/>
            <w:noWrap/>
            <w:vAlign w:val="bottom"/>
            <w:hideMark/>
          </w:tcPr>
          <w:p w14:paraId="56365C67"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76,64%</w:t>
            </w:r>
          </w:p>
        </w:tc>
      </w:tr>
      <w:tr w:rsidR="00A36F2D" w:rsidRPr="00693B58" w14:paraId="625B39C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1FC1A026"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FICE</w:t>
            </w:r>
          </w:p>
        </w:tc>
        <w:tc>
          <w:tcPr>
            <w:tcW w:w="891" w:type="pct"/>
            <w:tcBorders>
              <w:top w:val="nil"/>
              <w:left w:val="nil"/>
              <w:bottom w:val="nil"/>
              <w:right w:val="nil"/>
            </w:tcBorders>
            <w:shd w:val="clear" w:color="auto" w:fill="auto"/>
            <w:noWrap/>
            <w:vAlign w:val="bottom"/>
            <w:hideMark/>
          </w:tcPr>
          <w:p w14:paraId="622990AB"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86,33%</w:t>
            </w:r>
          </w:p>
        </w:tc>
        <w:tc>
          <w:tcPr>
            <w:tcW w:w="894" w:type="pct"/>
            <w:tcBorders>
              <w:top w:val="nil"/>
              <w:left w:val="nil"/>
              <w:bottom w:val="nil"/>
              <w:right w:val="nil"/>
            </w:tcBorders>
            <w:shd w:val="clear" w:color="auto" w:fill="auto"/>
            <w:noWrap/>
            <w:vAlign w:val="bottom"/>
            <w:hideMark/>
          </w:tcPr>
          <w:p w14:paraId="6F9FD92B"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84,30%</w:t>
            </w:r>
          </w:p>
        </w:tc>
      </w:tr>
      <w:tr w:rsidR="00A36F2D" w:rsidRPr="00693B58" w14:paraId="3431F408"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60C4B4E6"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FRECOPE</w:t>
            </w:r>
          </w:p>
        </w:tc>
        <w:tc>
          <w:tcPr>
            <w:tcW w:w="891" w:type="pct"/>
            <w:tcBorders>
              <w:top w:val="nil"/>
              <w:left w:val="nil"/>
              <w:bottom w:val="nil"/>
              <w:right w:val="nil"/>
            </w:tcBorders>
            <w:shd w:val="clear" w:color="auto" w:fill="auto"/>
            <w:noWrap/>
            <w:vAlign w:val="bottom"/>
            <w:hideMark/>
          </w:tcPr>
          <w:p w14:paraId="755CD66F"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61,06%</w:t>
            </w:r>
          </w:p>
        </w:tc>
        <w:tc>
          <w:tcPr>
            <w:tcW w:w="894" w:type="pct"/>
            <w:tcBorders>
              <w:top w:val="nil"/>
              <w:left w:val="nil"/>
              <w:bottom w:val="nil"/>
              <w:right w:val="nil"/>
            </w:tcBorders>
            <w:shd w:val="clear" w:color="auto" w:fill="auto"/>
            <w:noWrap/>
            <w:vAlign w:val="bottom"/>
            <w:hideMark/>
          </w:tcPr>
          <w:p w14:paraId="059B5C56"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64,11%</w:t>
            </w:r>
          </w:p>
        </w:tc>
      </w:tr>
      <w:tr w:rsidR="00A36F2D" w:rsidRPr="00693B58" w14:paraId="3C1E8A8A"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B6BB7DC"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FVENLOT</w:t>
            </w:r>
          </w:p>
        </w:tc>
        <w:tc>
          <w:tcPr>
            <w:tcW w:w="891" w:type="pct"/>
            <w:tcBorders>
              <w:top w:val="nil"/>
              <w:left w:val="nil"/>
              <w:bottom w:val="nil"/>
              <w:right w:val="nil"/>
            </w:tcBorders>
            <w:shd w:val="clear" w:color="auto" w:fill="auto"/>
            <w:noWrap/>
            <w:vAlign w:val="bottom"/>
            <w:hideMark/>
          </w:tcPr>
          <w:p w14:paraId="6E7974C5"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68,61%</w:t>
            </w:r>
          </w:p>
        </w:tc>
        <w:tc>
          <w:tcPr>
            <w:tcW w:w="894" w:type="pct"/>
            <w:tcBorders>
              <w:top w:val="nil"/>
              <w:left w:val="nil"/>
              <w:bottom w:val="nil"/>
              <w:right w:val="nil"/>
            </w:tcBorders>
            <w:shd w:val="clear" w:color="auto" w:fill="auto"/>
            <w:noWrap/>
            <w:vAlign w:val="bottom"/>
            <w:hideMark/>
          </w:tcPr>
          <w:p w14:paraId="4481A187"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63,41%</w:t>
            </w:r>
          </w:p>
        </w:tc>
      </w:tr>
      <w:tr w:rsidR="00A36F2D" w:rsidRPr="00693B58" w14:paraId="55ABC3EA"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AB5A972"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Contribución Definida</w:t>
            </w:r>
          </w:p>
        </w:tc>
        <w:tc>
          <w:tcPr>
            <w:tcW w:w="891" w:type="pct"/>
            <w:tcBorders>
              <w:top w:val="nil"/>
              <w:left w:val="nil"/>
              <w:bottom w:val="nil"/>
              <w:right w:val="nil"/>
            </w:tcBorders>
            <w:shd w:val="clear" w:color="auto" w:fill="auto"/>
            <w:noWrap/>
            <w:vAlign w:val="bottom"/>
            <w:hideMark/>
          </w:tcPr>
          <w:p w14:paraId="26326809"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76CDF137"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195C1EAF"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987C871"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Híbrido</w:t>
            </w:r>
          </w:p>
        </w:tc>
        <w:tc>
          <w:tcPr>
            <w:tcW w:w="891" w:type="pct"/>
            <w:tcBorders>
              <w:top w:val="nil"/>
              <w:left w:val="nil"/>
              <w:bottom w:val="nil"/>
              <w:right w:val="nil"/>
            </w:tcBorders>
            <w:shd w:val="clear" w:color="auto" w:fill="auto"/>
            <w:noWrap/>
            <w:vAlign w:val="bottom"/>
            <w:hideMark/>
          </w:tcPr>
          <w:p w14:paraId="29216820"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01A45BA3"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11026A98"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E11E854" w14:textId="77777777" w:rsidR="00A36F2D" w:rsidRPr="00693B58" w:rsidRDefault="00A36F2D" w:rsidP="00BB605A">
            <w:pPr>
              <w:spacing w:after="0" w:line="240" w:lineRule="auto"/>
              <w:ind w:firstLineChars="600" w:firstLine="108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BNCR</w:t>
            </w:r>
          </w:p>
        </w:tc>
        <w:tc>
          <w:tcPr>
            <w:tcW w:w="891" w:type="pct"/>
            <w:tcBorders>
              <w:top w:val="nil"/>
              <w:left w:val="nil"/>
              <w:bottom w:val="nil"/>
              <w:right w:val="nil"/>
            </w:tcBorders>
            <w:shd w:val="clear" w:color="auto" w:fill="auto"/>
            <w:noWrap/>
            <w:vAlign w:val="bottom"/>
            <w:hideMark/>
          </w:tcPr>
          <w:p w14:paraId="100AD22C"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72,77%</w:t>
            </w:r>
          </w:p>
        </w:tc>
        <w:tc>
          <w:tcPr>
            <w:tcW w:w="894" w:type="pct"/>
            <w:tcBorders>
              <w:top w:val="nil"/>
              <w:left w:val="nil"/>
              <w:bottom w:val="nil"/>
              <w:right w:val="nil"/>
            </w:tcBorders>
            <w:shd w:val="clear" w:color="auto" w:fill="auto"/>
            <w:noWrap/>
            <w:vAlign w:val="bottom"/>
            <w:hideMark/>
          </w:tcPr>
          <w:p w14:paraId="0A2D9038"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83,84%</w:t>
            </w:r>
          </w:p>
        </w:tc>
      </w:tr>
      <w:tr w:rsidR="00A36F2D" w:rsidRPr="00693B58" w14:paraId="038FAFE0"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24C0102E"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Planes Obligatorios Personales</w:t>
            </w:r>
          </w:p>
        </w:tc>
        <w:tc>
          <w:tcPr>
            <w:tcW w:w="891" w:type="pct"/>
            <w:tcBorders>
              <w:top w:val="nil"/>
              <w:left w:val="nil"/>
              <w:bottom w:val="nil"/>
              <w:right w:val="nil"/>
            </w:tcBorders>
            <w:shd w:val="clear" w:color="auto" w:fill="auto"/>
            <w:noWrap/>
            <w:vAlign w:val="bottom"/>
            <w:hideMark/>
          </w:tcPr>
          <w:p w14:paraId="773968B5"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7072EA34"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3D839D96"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A5AD5E7"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Contribución Definida</w:t>
            </w:r>
          </w:p>
        </w:tc>
        <w:tc>
          <w:tcPr>
            <w:tcW w:w="891" w:type="pct"/>
            <w:tcBorders>
              <w:top w:val="nil"/>
              <w:left w:val="nil"/>
              <w:bottom w:val="nil"/>
              <w:right w:val="nil"/>
            </w:tcBorders>
            <w:shd w:val="clear" w:color="auto" w:fill="auto"/>
            <w:noWrap/>
            <w:vAlign w:val="bottom"/>
            <w:hideMark/>
          </w:tcPr>
          <w:p w14:paraId="49CCDB3B"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530337E1"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6368984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D415E14" w14:textId="77777777" w:rsidR="00A36F2D" w:rsidRPr="00693B58" w:rsidRDefault="00A36F2D" w:rsidP="00BB605A">
            <w:pPr>
              <w:spacing w:after="0" w:line="240" w:lineRule="auto"/>
              <w:ind w:firstLineChars="600" w:firstLine="1084"/>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ROP</w:t>
            </w:r>
          </w:p>
        </w:tc>
        <w:tc>
          <w:tcPr>
            <w:tcW w:w="891" w:type="pct"/>
            <w:tcBorders>
              <w:top w:val="nil"/>
              <w:left w:val="nil"/>
              <w:bottom w:val="nil"/>
              <w:right w:val="nil"/>
            </w:tcBorders>
            <w:shd w:val="clear" w:color="auto" w:fill="auto"/>
            <w:noWrap/>
            <w:vAlign w:val="bottom"/>
            <w:hideMark/>
          </w:tcPr>
          <w:p w14:paraId="4FC31642"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68,38%</w:t>
            </w:r>
          </w:p>
        </w:tc>
        <w:tc>
          <w:tcPr>
            <w:tcW w:w="894" w:type="pct"/>
            <w:tcBorders>
              <w:top w:val="nil"/>
              <w:left w:val="nil"/>
              <w:bottom w:val="nil"/>
              <w:right w:val="nil"/>
            </w:tcBorders>
            <w:shd w:val="clear" w:color="auto" w:fill="auto"/>
            <w:noWrap/>
            <w:vAlign w:val="bottom"/>
            <w:hideMark/>
          </w:tcPr>
          <w:p w14:paraId="0A39B886"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68,01%</w:t>
            </w:r>
          </w:p>
        </w:tc>
      </w:tr>
      <w:tr w:rsidR="00A36F2D" w:rsidRPr="00693B58" w14:paraId="0236D19D"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EA71DC8"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BCR-PENSION</w:t>
            </w:r>
          </w:p>
        </w:tc>
        <w:tc>
          <w:tcPr>
            <w:tcW w:w="891" w:type="pct"/>
            <w:tcBorders>
              <w:top w:val="nil"/>
              <w:left w:val="nil"/>
              <w:bottom w:val="nil"/>
              <w:right w:val="nil"/>
            </w:tcBorders>
            <w:shd w:val="clear" w:color="auto" w:fill="auto"/>
            <w:noWrap/>
            <w:vAlign w:val="bottom"/>
            <w:hideMark/>
          </w:tcPr>
          <w:p w14:paraId="2C2E65C3"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71,97%</w:t>
            </w:r>
          </w:p>
        </w:tc>
        <w:tc>
          <w:tcPr>
            <w:tcW w:w="894" w:type="pct"/>
            <w:tcBorders>
              <w:top w:val="nil"/>
              <w:left w:val="nil"/>
              <w:bottom w:val="nil"/>
              <w:right w:val="nil"/>
            </w:tcBorders>
            <w:shd w:val="clear" w:color="auto" w:fill="auto"/>
            <w:noWrap/>
            <w:vAlign w:val="bottom"/>
            <w:hideMark/>
          </w:tcPr>
          <w:p w14:paraId="0B02B718"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68,29%</w:t>
            </w:r>
          </w:p>
        </w:tc>
      </w:tr>
      <w:tr w:rsidR="00A36F2D" w:rsidRPr="00693B58" w14:paraId="4539193E"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0C1428DD"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BN-VITAL</w:t>
            </w:r>
          </w:p>
        </w:tc>
        <w:tc>
          <w:tcPr>
            <w:tcW w:w="891" w:type="pct"/>
            <w:tcBorders>
              <w:top w:val="nil"/>
              <w:left w:val="nil"/>
              <w:bottom w:val="nil"/>
              <w:right w:val="nil"/>
            </w:tcBorders>
            <w:shd w:val="clear" w:color="auto" w:fill="auto"/>
            <w:noWrap/>
            <w:vAlign w:val="bottom"/>
            <w:hideMark/>
          </w:tcPr>
          <w:p w14:paraId="7C705BEF"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70,25%</w:t>
            </w:r>
          </w:p>
        </w:tc>
        <w:tc>
          <w:tcPr>
            <w:tcW w:w="894" w:type="pct"/>
            <w:tcBorders>
              <w:top w:val="nil"/>
              <w:left w:val="nil"/>
              <w:bottom w:val="nil"/>
              <w:right w:val="nil"/>
            </w:tcBorders>
            <w:shd w:val="clear" w:color="auto" w:fill="auto"/>
            <w:noWrap/>
            <w:vAlign w:val="bottom"/>
            <w:hideMark/>
          </w:tcPr>
          <w:p w14:paraId="7D83D2C0"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69,97%</w:t>
            </w:r>
          </w:p>
        </w:tc>
      </w:tr>
      <w:tr w:rsidR="00A36F2D" w:rsidRPr="00693B58" w14:paraId="2B0A22DC"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A8A455A"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CCSS-OPC</w:t>
            </w:r>
          </w:p>
        </w:tc>
        <w:tc>
          <w:tcPr>
            <w:tcW w:w="891" w:type="pct"/>
            <w:tcBorders>
              <w:top w:val="nil"/>
              <w:left w:val="nil"/>
              <w:bottom w:val="nil"/>
              <w:right w:val="nil"/>
            </w:tcBorders>
            <w:shd w:val="clear" w:color="auto" w:fill="auto"/>
            <w:noWrap/>
            <w:vAlign w:val="bottom"/>
            <w:hideMark/>
          </w:tcPr>
          <w:p w14:paraId="659361C3"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54,57%</w:t>
            </w:r>
          </w:p>
        </w:tc>
        <w:tc>
          <w:tcPr>
            <w:tcW w:w="894" w:type="pct"/>
            <w:tcBorders>
              <w:top w:val="nil"/>
              <w:left w:val="nil"/>
              <w:bottom w:val="nil"/>
              <w:right w:val="nil"/>
            </w:tcBorders>
            <w:shd w:val="clear" w:color="auto" w:fill="auto"/>
            <w:noWrap/>
            <w:vAlign w:val="bottom"/>
            <w:hideMark/>
          </w:tcPr>
          <w:p w14:paraId="621A6E66"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42,98%</w:t>
            </w:r>
          </w:p>
        </w:tc>
      </w:tr>
      <w:tr w:rsidR="00A36F2D" w:rsidRPr="00693B58" w14:paraId="4C46A8CE"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EE829AA"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POPULAR</w:t>
            </w:r>
          </w:p>
        </w:tc>
        <w:tc>
          <w:tcPr>
            <w:tcW w:w="891" w:type="pct"/>
            <w:tcBorders>
              <w:top w:val="nil"/>
              <w:left w:val="nil"/>
              <w:bottom w:val="nil"/>
              <w:right w:val="nil"/>
            </w:tcBorders>
            <w:shd w:val="clear" w:color="auto" w:fill="auto"/>
            <w:noWrap/>
            <w:vAlign w:val="bottom"/>
            <w:hideMark/>
          </w:tcPr>
          <w:p w14:paraId="6B932D21"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65,35%</w:t>
            </w:r>
          </w:p>
        </w:tc>
        <w:tc>
          <w:tcPr>
            <w:tcW w:w="894" w:type="pct"/>
            <w:tcBorders>
              <w:top w:val="nil"/>
              <w:left w:val="nil"/>
              <w:bottom w:val="nil"/>
              <w:right w:val="nil"/>
            </w:tcBorders>
            <w:shd w:val="clear" w:color="auto" w:fill="auto"/>
            <w:noWrap/>
            <w:vAlign w:val="bottom"/>
            <w:hideMark/>
          </w:tcPr>
          <w:p w14:paraId="08374B0B"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69,37%</w:t>
            </w:r>
          </w:p>
        </w:tc>
      </w:tr>
      <w:tr w:rsidR="00A36F2D" w:rsidRPr="00693B58" w14:paraId="15E6DEED"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4DC6CF6F"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SJ-PENSIONES</w:t>
            </w:r>
          </w:p>
        </w:tc>
        <w:tc>
          <w:tcPr>
            <w:tcW w:w="891" w:type="pct"/>
            <w:tcBorders>
              <w:top w:val="nil"/>
              <w:left w:val="nil"/>
              <w:bottom w:val="nil"/>
              <w:right w:val="nil"/>
            </w:tcBorders>
            <w:shd w:val="clear" w:color="auto" w:fill="auto"/>
            <w:noWrap/>
            <w:vAlign w:val="bottom"/>
            <w:hideMark/>
          </w:tcPr>
          <w:p w14:paraId="5F10C50A"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72,65%</w:t>
            </w:r>
          </w:p>
        </w:tc>
        <w:tc>
          <w:tcPr>
            <w:tcW w:w="894" w:type="pct"/>
            <w:tcBorders>
              <w:top w:val="nil"/>
              <w:left w:val="nil"/>
              <w:bottom w:val="nil"/>
              <w:right w:val="nil"/>
            </w:tcBorders>
            <w:shd w:val="clear" w:color="auto" w:fill="auto"/>
            <w:noWrap/>
            <w:vAlign w:val="bottom"/>
            <w:hideMark/>
          </w:tcPr>
          <w:p w14:paraId="21640A2B"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64,52%</w:t>
            </w:r>
          </w:p>
        </w:tc>
      </w:tr>
      <w:tr w:rsidR="00A36F2D" w:rsidRPr="00693B58" w14:paraId="5F43709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5502F2A1" w14:textId="77777777" w:rsidR="00A36F2D" w:rsidRPr="00693B58" w:rsidRDefault="00A36F2D" w:rsidP="00BB605A">
            <w:pPr>
              <w:spacing w:after="0" w:line="240" w:lineRule="auto"/>
              <w:ind w:firstLineChars="800" w:firstLine="1440"/>
              <w:rPr>
                <w:rFonts w:ascii="Segoe UI" w:eastAsia="Times New Roman" w:hAnsi="Segoe UI" w:cs="Segoe UI"/>
                <w:sz w:val="18"/>
                <w:szCs w:val="20"/>
                <w:lang w:eastAsia="es-ES"/>
              </w:rPr>
            </w:pPr>
            <w:r w:rsidRPr="00693B58">
              <w:rPr>
                <w:rFonts w:ascii="Segoe UI" w:eastAsia="Times New Roman" w:hAnsi="Segoe UI" w:cs="Segoe UI"/>
                <w:sz w:val="18"/>
                <w:szCs w:val="20"/>
                <w:lang w:eastAsia="es-ES"/>
              </w:rPr>
              <w:t>VIDA PLENA</w:t>
            </w:r>
          </w:p>
        </w:tc>
        <w:tc>
          <w:tcPr>
            <w:tcW w:w="891" w:type="pct"/>
            <w:tcBorders>
              <w:top w:val="nil"/>
              <w:left w:val="nil"/>
              <w:bottom w:val="nil"/>
              <w:right w:val="nil"/>
            </w:tcBorders>
            <w:shd w:val="clear" w:color="auto" w:fill="auto"/>
            <w:noWrap/>
            <w:vAlign w:val="bottom"/>
            <w:hideMark/>
          </w:tcPr>
          <w:p w14:paraId="6D22DDBB"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69,66%</w:t>
            </w:r>
          </w:p>
        </w:tc>
        <w:tc>
          <w:tcPr>
            <w:tcW w:w="894" w:type="pct"/>
            <w:tcBorders>
              <w:top w:val="nil"/>
              <w:left w:val="nil"/>
              <w:bottom w:val="nil"/>
              <w:right w:val="nil"/>
            </w:tcBorders>
            <w:shd w:val="clear" w:color="auto" w:fill="auto"/>
            <w:noWrap/>
            <w:vAlign w:val="bottom"/>
            <w:hideMark/>
          </w:tcPr>
          <w:p w14:paraId="6DA14791"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69,96%</w:t>
            </w:r>
          </w:p>
        </w:tc>
      </w:tr>
      <w:tr w:rsidR="00A36F2D" w:rsidRPr="00693B58" w14:paraId="7ECF85DE"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39437F37"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Planes Voluntarios Personales</w:t>
            </w:r>
          </w:p>
        </w:tc>
        <w:tc>
          <w:tcPr>
            <w:tcW w:w="891" w:type="pct"/>
            <w:tcBorders>
              <w:top w:val="nil"/>
              <w:left w:val="nil"/>
              <w:bottom w:val="nil"/>
              <w:right w:val="nil"/>
            </w:tcBorders>
            <w:shd w:val="clear" w:color="auto" w:fill="auto"/>
            <w:noWrap/>
            <w:vAlign w:val="bottom"/>
            <w:hideMark/>
          </w:tcPr>
          <w:p w14:paraId="6D742E74" w14:textId="77777777" w:rsidR="00A36F2D" w:rsidRPr="00693B58" w:rsidRDefault="00A36F2D" w:rsidP="00BB605A">
            <w:pPr>
              <w:spacing w:after="0" w:line="240" w:lineRule="auto"/>
              <w:ind w:firstLineChars="100" w:firstLine="181"/>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1D27114D"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65554481"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7A4FA01D"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r w:rsidRPr="00693B58">
              <w:rPr>
                <w:rFonts w:ascii="Calibri" w:eastAsia="Times New Roman" w:hAnsi="Calibri" w:cs="Calibri"/>
                <w:b/>
                <w:bCs/>
                <w:color w:val="000000"/>
                <w:sz w:val="18"/>
                <w:lang w:eastAsia="es-ES"/>
              </w:rPr>
              <w:t>Contribución Definida</w:t>
            </w:r>
          </w:p>
        </w:tc>
        <w:tc>
          <w:tcPr>
            <w:tcW w:w="891" w:type="pct"/>
            <w:tcBorders>
              <w:top w:val="nil"/>
              <w:left w:val="nil"/>
              <w:bottom w:val="nil"/>
              <w:right w:val="nil"/>
            </w:tcBorders>
            <w:shd w:val="clear" w:color="auto" w:fill="auto"/>
            <w:noWrap/>
            <w:vAlign w:val="bottom"/>
            <w:hideMark/>
          </w:tcPr>
          <w:p w14:paraId="5BBE6C26" w14:textId="77777777" w:rsidR="00A36F2D" w:rsidRPr="00693B58" w:rsidRDefault="00A36F2D" w:rsidP="00BB605A">
            <w:pPr>
              <w:spacing w:after="0" w:line="240" w:lineRule="auto"/>
              <w:ind w:firstLineChars="400" w:firstLine="723"/>
              <w:rPr>
                <w:rFonts w:ascii="Calibri" w:eastAsia="Times New Roman" w:hAnsi="Calibri" w:cs="Calibri"/>
                <w:b/>
                <w:bCs/>
                <w:color w:val="000000"/>
                <w:sz w:val="18"/>
                <w:lang w:eastAsia="es-ES"/>
              </w:rPr>
            </w:pPr>
          </w:p>
        </w:tc>
        <w:tc>
          <w:tcPr>
            <w:tcW w:w="894" w:type="pct"/>
            <w:tcBorders>
              <w:top w:val="nil"/>
              <w:left w:val="nil"/>
              <w:bottom w:val="nil"/>
              <w:right w:val="nil"/>
            </w:tcBorders>
            <w:shd w:val="clear" w:color="auto" w:fill="auto"/>
            <w:noWrap/>
            <w:vAlign w:val="bottom"/>
            <w:hideMark/>
          </w:tcPr>
          <w:p w14:paraId="3347D223"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r w:rsidR="00A36F2D" w:rsidRPr="00693B58" w14:paraId="3C7F8BA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1332071F" w14:textId="77777777" w:rsidR="00A36F2D" w:rsidRPr="00693B58" w:rsidRDefault="00A36F2D" w:rsidP="00BB605A">
            <w:pPr>
              <w:spacing w:after="0" w:line="240" w:lineRule="auto"/>
              <w:ind w:firstLineChars="500" w:firstLine="90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Colones</w:t>
            </w:r>
          </w:p>
        </w:tc>
        <w:tc>
          <w:tcPr>
            <w:tcW w:w="891" w:type="pct"/>
            <w:tcBorders>
              <w:top w:val="nil"/>
              <w:left w:val="nil"/>
              <w:bottom w:val="nil"/>
              <w:right w:val="nil"/>
            </w:tcBorders>
            <w:shd w:val="clear" w:color="auto" w:fill="auto"/>
            <w:noWrap/>
            <w:vAlign w:val="bottom"/>
            <w:hideMark/>
          </w:tcPr>
          <w:p w14:paraId="0147E637"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64,43%</w:t>
            </w:r>
          </w:p>
        </w:tc>
        <w:tc>
          <w:tcPr>
            <w:tcW w:w="894" w:type="pct"/>
            <w:tcBorders>
              <w:top w:val="nil"/>
              <w:left w:val="nil"/>
              <w:bottom w:val="nil"/>
              <w:right w:val="nil"/>
            </w:tcBorders>
            <w:shd w:val="clear" w:color="auto" w:fill="auto"/>
            <w:noWrap/>
            <w:vAlign w:val="bottom"/>
            <w:hideMark/>
          </w:tcPr>
          <w:p w14:paraId="3E577711"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66,29%</w:t>
            </w:r>
          </w:p>
        </w:tc>
      </w:tr>
      <w:tr w:rsidR="00A36F2D" w:rsidRPr="00693B58" w14:paraId="785B89D2"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041DB873" w14:textId="77777777" w:rsidR="00A36F2D" w:rsidRPr="00693B58" w:rsidRDefault="00A36F2D" w:rsidP="00BB605A">
            <w:pPr>
              <w:spacing w:after="0" w:line="240" w:lineRule="auto"/>
              <w:ind w:firstLineChars="500" w:firstLine="900"/>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Dólares</w:t>
            </w:r>
          </w:p>
        </w:tc>
        <w:tc>
          <w:tcPr>
            <w:tcW w:w="891" w:type="pct"/>
            <w:tcBorders>
              <w:top w:val="nil"/>
              <w:left w:val="nil"/>
              <w:bottom w:val="nil"/>
              <w:right w:val="nil"/>
            </w:tcBorders>
            <w:shd w:val="clear" w:color="auto" w:fill="auto"/>
            <w:noWrap/>
            <w:vAlign w:val="bottom"/>
            <w:hideMark/>
          </w:tcPr>
          <w:p w14:paraId="0339D665"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59,14%</w:t>
            </w:r>
          </w:p>
        </w:tc>
        <w:tc>
          <w:tcPr>
            <w:tcW w:w="894" w:type="pct"/>
            <w:tcBorders>
              <w:top w:val="nil"/>
              <w:left w:val="nil"/>
              <w:bottom w:val="nil"/>
              <w:right w:val="nil"/>
            </w:tcBorders>
            <w:shd w:val="clear" w:color="auto" w:fill="auto"/>
            <w:noWrap/>
            <w:vAlign w:val="bottom"/>
            <w:hideMark/>
          </w:tcPr>
          <w:p w14:paraId="5CE28029"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64,72%</w:t>
            </w:r>
          </w:p>
        </w:tc>
      </w:tr>
      <w:tr w:rsidR="00A36F2D" w:rsidRPr="00693B58" w14:paraId="404B84EF" w14:textId="77777777" w:rsidTr="00BB605A">
        <w:trPr>
          <w:trHeight w:val="113"/>
          <w:jc w:val="center"/>
        </w:trPr>
        <w:tc>
          <w:tcPr>
            <w:tcW w:w="3215" w:type="pct"/>
            <w:tcBorders>
              <w:top w:val="nil"/>
              <w:left w:val="nil"/>
              <w:bottom w:val="single" w:sz="8" w:space="0" w:color="auto"/>
              <w:right w:val="nil"/>
            </w:tcBorders>
            <w:shd w:val="clear" w:color="auto" w:fill="auto"/>
            <w:noWrap/>
            <w:vAlign w:val="bottom"/>
            <w:hideMark/>
          </w:tcPr>
          <w:p w14:paraId="6AC347D4" w14:textId="77777777" w:rsidR="00A36F2D" w:rsidRPr="00693B58" w:rsidRDefault="00A36F2D" w:rsidP="00BB605A">
            <w:pPr>
              <w:spacing w:after="0" w:line="240" w:lineRule="auto"/>
              <w:rPr>
                <w:rFonts w:ascii="Calibri" w:eastAsia="Times New Roman" w:hAnsi="Calibri" w:cs="Calibri"/>
                <w:b/>
                <w:bCs/>
                <w:color w:val="000000"/>
                <w:sz w:val="18"/>
                <w:u w:val="single"/>
                <w:lang w:eastAsia="es-ES"/>
              </w:rPr>
            </w:pPr>
            <w:r w:rsidRPr="00693B58">
              <w:rPr>
                <w:rFonts w:ascii="Calibri" w:eastAsia="Times New Roman" w:hAnsi="Calibri" w:cs="Calibri"/>
                <w:b/>
                <w:bCs/>
                <w:color w:val="000000"/>
                <w:sz w:val="18"/>
                <w:u w:val="single"/>
                <w:lang w:eastAsia="es-ES"/>
              </w:rPr>
              <w:t>FCL (esto no entra en la clasificación)</w:t>
            </w:r>
          </w:p>
        </w:tc>
        <w:tc>
          <w:tcPr>
            <w:tcW w:w="891" w:type="pct"/>
            <w:tcBorders>
              <w:top w:val="nil"/>
              <w:left w:val="nil"/>
              <w:bottom w:val="single" w:sz="8" w:space="0" w:color="auto"/>
              <w:right w:val="nil"/>
            </w:tcBorders>
            <w:shd w:val="clear" w:color="auto" w:fill="auto"/>
            <w:noWrap/>
            <w:vAlign w:val="bottom"/>
            <w:hideMark/>
          </w:tcPr>
          <w:p w14:paraId="60A78AAC"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63,82%</w:t>
            </w:r>
          </w:p>
        </w:tc>
        <w:tc>
          <w:tcPr>
            <w:tcW w:w="894" w:type="pct"/>
            <w:tcBorders>
              <w:top w:val="nil"/>
              <w:left w:val="nil"/>
              <w:bottom w:val="single" w:sz="8" w:space="0" w:color="auto"/>
              <w:right w:val="nil"/>
            </w:tcBorders>
            <w:shd w:val="clear" w:color="auto" w:fill="auto"/>
            <w:noWrap/>
            <w:vAlign w:val="bottom"/>
            <w:hideMark/>
          </w:tcPr>
          <w:p w14:paraId="167FCF97"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r w:rsidRPr="00693B58">
              <w:rPr>
                <w:rFonts w:ascii="Calibri" w:eastAsia="Times New Roman" w:hAnsi="Calibri" w:cs="Calibri"/>
                <w:color w:val="000000"/>
                <w:sz w:val="18"/>
                <w:lang w:eastAsia="es-ES"/>
              </w:rPr>
              <w:t>61,82%</w:t>
            </w:r>
          </w:p>
        </w:tc>
      </w:tr>
      <w:tr w:rsidR="00A36F2D" w:rsidRPr="00693B58" w14:paraId="3A761249" w14:textId="77777777" w:rsidTr="00BB605A">
        <w:trPr>
          <w:trHeight w:val="113"/>
          <w:jc w:val="center"/>
        </w:trPr>
        <w:tc>
          <w:tcPr>
            <w:tcW w:w="3215" w:type="pct"/>
            <w:tcBorders>
              <w:top w:val="nil"/>
              <w:left w:val="nil"/>
              <w:bottom w:val="nil"/>
              <w:right w:val="nil"/>
            </w:tcBorders>
            <w:shd w:val="clear" w:color="auto" w:fill="auto"/>
            <w:noWrap/>
            <w:vAlign w:val="bottom"/>
            <w:hideMark/>
          </w:tcPr>
          <w:p w14:paraId="2C379DB1" w14:textId="77777777" w:rsidR="00A36F2D" w:rsidRPr="00693B58" w:rsidRDefault="00A36F2D" w:rsidP="00BB605A">
            <w:pPr>
              <w:spacing w:after="0" w:line="240" w:lineRule="auto"/>
              <w:jc w:val="right"/>
              <w:rPr>
                <w:rFonts w:ascii="Calibri" w:eastAsia="Times New Roman" w:hAnsi="Calibri" w:cs="Calibri"/>
                <w:color w:val="000000"/>
                <w:sz w:val="18"/>
                <w:lang w:eastAsia="es-ES"/>
              </w:rPr>
            </w:pPr>
          </w:p>
        </w:tc>
        <w:tc>
          <w:tcPr>
            <w:tcW w:w="891" w:type="pct"/>
            <w:tcBorders>
              <w:top w:val="nil"/>
              <w:left w:val="nil"/>
              <w:bottom w:val="nil"/>
              <w:right w:val="nil"/>
            </w:tcBorders>
            <w:shd w:val="clear" w:color="auto" w:fill="auto"/>
            <w:noWrap/>
            <w:vAlign w:val="bottom"/>
            <w:hideMark/>
          </w:tcPr>
          <w:p w14:paraId="6CA9531C"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c>
          <w:tcPr>
            <w:tcW w:w="894" w:type="pct"/>
            <w:tcBorders>
              <w:top w:val="nil"/>
              <w:left w:val="nil"/>
              <w:bottom w:val="nil"/>
              <w:right w:val="nil"/>
            </w:tcBorders>
            <w:shd w:val="clear" w:color="auto" w:fill="auto"/>
            <w:noWrap/>
            <w:vAlign w:val="bottom"/>
            <w:hideMark/>
          </w:tcPr>
          <w:p w14:paraId="36E641C6" w14:textId="77777777" w:rsidR="00A36F2D" w:rsidRPr="00693B58" w:rsidRDefault="00A36F2D" w:rsidP="00BB605A">
            <w:pPr>
              <w:spacing w:after="0" w:line="240" w:lineRule="auto"/>
              <w:rPr>
                <w:rFonts w:ascii="Times New Roman" w:eastAsia="Times New Roman" w:hAnsi="Times New Roman" w:cs="Times New Roman"/>
                <w:sz w:val="18"/>
                <w:szCs w:val="20"/>
                <w:lang w:eastAsia="es-ES"/>
              </w:rPr>
            </w:pPr>
          </w:p>
        </w:tc>
      </w:tr>
    </w:tbl>
    <w:p w14:paraId="5EA84DB0" w14:textId="77777777" w:rsidR="00A36F2D" w:rsidRDefault="00A36F2D" w:rsidP="00A36F2D">
      <w:pPr>
        <w:spacing w:line="240" w:lineRule="auto"/>
        <w:jc w:val="both"/>
        <w:rPr>
          <w:rFonts w:ascii="Segoe UI" w:hAnsi="Segoe UI" w:cs="Segoe UI"/>
          <w:lang w:eastAsia="es-CR"/>
        </w:rPr>
      </w:pPr>
      <w:r>
        <w:rPr>
          <w:rFonts w:ascii="Segoe UI" w:hAnsi="Segoe UI" w:cs="Segoe UI"/>
          <w:lang w:eastAsia="es-CR"/>
        </w:rPr>
        <w:t>El gráfico 4 muestra la composición de las inversiones por sector de inversión para el ROP. Se pueden observar tres aspectos a resaltar. Primero, el crecimiento de las inversiones en emisores extranjeros, mientras en el 2013 representaban un 3,81% en junio del 2019 representan un 12,94%. Segundo, la menor importancia relativa que tiene las inversiones en Ministerio de Hacienda y BCCR, pasaron de un 65,82% en el 2013 a un 57,17% en junio del 2019. Finalmente, el crecimiento de la deuda individual dentro del portafolio que ha pasado de un 13,54% a un 19,05%.</w:t>
      </w:r>
    </w:p>
    <w:p w14:paraId="79B94A9A" w14:textId="77777777" w:rsidR="00A36F2D" w:rsidRDefault="00A36F2D" w:rsidP="00A36F2D">
      <w:pPr>
        <w:rPr>
          <w:rFonts w:ascii="Segoe UI" w:hAnsi="Segoe UI" w:cs="Segoe UI"/>
        </w:rPr>
      </w:pPr>
      <w:r>
        <w:rPr>
          <w:rFonts w:ascii="Segoe UI" w:hAnsi="Segoe UI" w:cs="Segoe UI"/>
        </w:rPr>
        <w:br w:type="page"/>
      </w:r>
    </w:p>
    <w:p w14:paraId="546FE4D7" w14:textId="77777777" w:rsidR="00A36F2D" w:rsidRPr="00F81CB3" w:rsidRDefault="00A36F2D" w:rsidP="00A36F2D">
      <w:pPr>
        <w:keepNext/>
        <w:spacing w:after="0" w:line="240" w:lineRule="auto"/>
        <w:jc w:val="center"/>
        <w:rPr>
          <w:rFonts w:ascii="Segoe UI" w:hAnsi="Segoe UI" w:cs="Segoe UI"/>
        </w:rPr>
      </w:pPr>
      <w:r w:rsidRPr="00F81CB3">
        <w:rPr>
          <w:rFonts w:ascii="Segoe UI" w:hAnsi="Segoe UI" w:cs="Segoe UI"/>
        </w:rPr>
        <w:lastRenderedPageBreak/>
        <w:t>Gráfico 4</w:t>
      </w:r>
    </w:p>
    <w:p w14:paraId="63AADF59" w14:textId="77777777" w:rsidR="00A36F2D" w:rsidRPr="00F81CB3" w:rsidRDefault="00A36F2D" w:rsidP="00A36F2D">
      <w:pPr>
        <w:keepNext/>
        <w:spacing w:after="0" w:line="240" w:lineRule="auto"/>
        <w:jc w:val="center"/>
        <w:rPr>
          <w:rFonts w:ascii="Segoe UI" w:hAnsi="Segoe UI" w:cs="Segoe UI"/>
        </w:rPr>
      </w:pPr>
      <w:r w:rsidRPr="00F81CB3">
        <w:rPr>
          <w:rFonts w:ascii="Segoe UI" w:hAnsi="Segoe UI" w:cs="Segoe UI"/>
        </w:rPr>
        <w:t>ROP:  Composición inversiones por sector</w:t>
      </w:r>
    </w:p>
    <w:p w14:paraId="2D4751F8" w14:textId="77777777" w:rsidR="00A36F2D" w:rsidRPr="00F81CB3" w:rsidRDefault="00A36F2D" w:rsidP="00A36F2D">
      <w:pPr>
        <w:keepNext/>
        <w:spacing w:after="0" w:line="240" w:lineRule="auto"/>
        <w:jc w:val="center"/>
        <w:rPr>
          <w:rFonts w:ascii="Segoe UI" w:hAnsi="Segoe UI" w:cs="Segoe UI"/>
        </w:rPr>
      </w:pPr>
      <w:r w:rsidRPr="00F81CB3">
        <w:rPr>
          <w:rFonts w:ascii="Segoe UI" w:hAnsi="Segoe UI" w:cs="Segoe UI"/>
        </w:rPr>
        <w:t>Junio 2019</w:t>
      </w:r>
    </w:p>
    <w:p w14:paraId="24205B81" w14:textId="77777777" w:rsidR="00A36F2D" w:rsidRPr="00F81CB3" w:rsidRDefault="00A36F2D" w:rsidP="00A36F2D">
      <w:pPr>
        <w:spacing w:line="240" w:lineRule="auto"/>
        <w:jc w:val="center"/>
        <w:rPr>
          <w:rFonts w:ascii="Segoe UI" w:hAnsi="Segoe UI" w:cs="Segoe UI"/>
          <w:lang w:eastAsia="es-CR"/>
        </w:rPr>
      </w:pPr>
    </w:p>
    <w:p w14:paraId="0863377D" w14:textId="77777777" w:rsidR="00A36F2D" w:rsidRDefault="00A36F2D" w:rsidP="00A36F2D">
      <w:pPr>
        <w:spacing w:line="240" w:lineRule="auto"/>
        <w:jc w:val="center"/>
        <w:rPr>
          <w:rFonts w:ascii="Segoe UI" w:hAnsi="Segoe UI" w:cs="Segoe UI"/>
          <w:b/>
        </w:rPr>
      </w:pPr>
      <w:r>
        <w:rPr>
          <w:noProof/>
        </w:rPr>
        <w:drawing>
          <wp:inline distT="0" distB="0" distL="0" distR="0" wp14:anchorId="7E53BA7F" wp14:editId="6D269132">
            <wp:extent cx="5612130" cy="2959735"/>
            <wp:effectExtent l="0" t="0" r="7620" b="12065"/>
            <wp:docPr id="8" name="Gráfico 8">
              <a:extLst xmlns:a="http://schemas.openxmlformats.org/drawingml/2006/main">
                <a:ext uri="{FF2B5EF4-FFF2-40B4-BE49-F238E27FC236}">
                  <a16:creationId xmlns:a16="http://schemas.microsoft.com/office/drawing/2014/main" id="{1631A4AC-8663-4406-9DEA-419FD3D9B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545ECB" w14:textId="77777777" w:rsidR="00A36F2D" w:rsidRPr="00F81CB3" w:rsidRDefault="00A36F2D" w:rsidP="00A36F2D">
      <w:pPr>
        <w:pStyle w:val="Ttulo2"/>
        <w:spacing w:before="0" w:after="200" w:line="240" w:lineRule="auto"/>
        <w:rPr>
          <w:rFonts w:ascii="Segoe UI" w:hAnsi="Segoe UI" w:cs="Segoe UI"/>
          <w:sz w:val="22"/>
          <w:szCs w:val="22"/>
        </w:rPr>
      </w:pPr>
      <w:bookmarkStart w:id="8" w:name="_Toc28867062"/>
      <w:r w:rsidRPr="00F81CB3">
        <w:rPr>
          <w:rFonts w:ascii="Segoe UI" w:hAnsi="Segoe UI" w:cs="Segoe UI"/>
          <w:sz w:val="22"/>
          <w:szCs w:val="22"/>
        </w:rPr>
        <w:t>1.3 Gestores de pensiones</w:t>
      </w:r>
      <w:bookmarkEnd w:id="8"/>
    </w:p>
    <w:p w14:paraId="7CC58E46" w14:textId="77777777" w:rsidR="00A36F2D" w:rsidRPr="00F81CB3" w:rsidRDefault="00A36F2D" w:rsidP="00A36F2D">
      <w:pPr>
        <w:spacing w:line="240" w:lineRule="auto"/>
        <w:jc w:val="both"/>
        <w:rPr>
          <w:rFonts w:ascii="Segoe UI" w:hAnsi="Segoe UI" w:cs="Segoe UI"/>
        </w:rPr>
      </w:pPr>
      <w:r>
        <w:rPr>
          <w:rFonts w:ascii="Segoe UI" w:hAnsi="Segoe UI" w:cs="Segoe UI"/>
        </w:rPr>
        <w:t xml:space="preserve">En el cuadro 7 </w:t>
      </w:r>
      <w:r w:rsidRPr="00F81CB3">
        <w:rPr>
          <w:rFonts w:ascii="Segoe UI" w:hAnsi="Segoe UI" w:cs="Segoe UI"/>
        </w:rPr>
        <w:t>se aprecia que BN-Vital y BCR Pensión son los gestores que presentan el mejor desempeño,</w:t>
      </w:r>
      <w:r>
        <w:rPr>
          <w:rFonts w:ascii="Segoe UI" w:hAnsi="Segoe UI" w:cs="Segoe UI"/>
        </w:rPr>
        <w:t xml:space="preserve"> al</w:t>
      </w:r>
      <w:r w:rsidRPr="00F81CB3">
        <w:rPr>
          <w:rFonts w:ascii="Segoe UI" w:hAnsi="Segoe UI" w:cs="Segoe UI"/>
        </w:rPr>
        <w:t xml:space="preserve"> eval</w:t>
      </w:r>
      <w:r>
        <w:rPr>
          <w:rFonts w:ascii="Segoe UI" w:hAnsi="Segoe UI" w:cs="Segoe UI"/>
        </w:rPr>
        <w:t>u</w:t>
      </w:r>
      <w:r w:rsidRPr="00F81CB3">
        <w:rPr>
          <w:rFonts w:ascii="Segoe UI" w:hAnsi="Segoe UI" w:cs="Segoe UI"/>
        </w:rPr>
        <w:t>a</w:t>
      </w:r>
      <w:r>
        <w:rPr>
          <w:rFonts w:ascii="Segoe UI" w:hAnsi="Segoe UI" w:cs="Segoe UI"/>
        </w:rPr>
        <w:t>r</w:t>
      </w:r>
      <w:r w:rsidRPr="00F81CB3">
        <w:rPr>
          <w:rFonts w:ascii="Segoe UI" w:hAnsi="Segoe UI" w:cs="Segoe UI"/>
        </w:rPr>
        <w:t xml:space="preserve"> la</w:t>
      </w:r>
      <w:r>
        <w:rPr>
          <w:rFonts w:ascii="Segoe UI" w:hAnsi="Segoe UI" w:cs="Segoe UI"/>
        </w:rPr>
        <w:t xml:space="preserve"> </w:t>
      </w:r>
      <w:r w:rsidRPr="00F81CB3">
        <w:rPr>
          <w:rFonts w:ascii="Segoe UI" w:hAnsi="Segoe UI" w:cs="Segoe UI"/>
        </w:rPr>
        <w:t xml:space="preserve">rentabilidad sobre </w:t>
      </w:r>
      <w:r>
        <w:rPr>
          <w:rFonts w:ascii="Segoe UI" w:hAnsi="Segoe UI" w:cs="Segoe UI"/>
        </w:rPr>
        <w:t xml:space="preserve">el </w:t>
      </w:r>
      <w:r w:rsidRPr="00F81CB3">
        <w:rPr>
          <w:rFonts w:ascii="Segoe UI" w:hAnsi="Segoe UI" w:cs="Segoe UI"/>
        </w:rPr>
        <w:t xml:space="preserve">patrimonio. </w:t>
      </w:r>
    </w:p>
    <w:p w14:paraId="41F00F49" w14:textId="77777777" w:rsidR="00A36F2D" w:rsidRPr="009D2502" w:rsidRDefault="00A36F2D" w:rsidP="00A36F2D">
      <w:pPr>
        <w:spacing w:after="0" w:line="240" w:lineRule="auto"/>
        <w:jc w:val="center"/>
        <w:rPr>
          <w:rFonts w:ascii="Segoe UI" w:hAnsi="Segoe UI" w:cs="Segoe UI"/>
        </w:rPr>
      </w:pPr>
      <w:r w:rsidRPr="009D2502">
        <w:rPr>
          <w:rFonts w:ascii="Segoe UI" w:hAnsi="Segoe UI" w:cs="Segoe UI"/>
        </w:rPr>
        <w:t>Cuadro 7</w:t>
      </w:r>
    </w:p>
    <w:p w14:paraId="3187471A" w14:textId="77777777" w:rsidR="00A36F2D" w:rsidRPr="009D2502" w:rsidRDefault="00A36F2D" w:rsidP="00A36F2D">
      <w:pPr>
        <w:spacing w:after="0" w:line="240" w:lineRule="auto"/>
        <w:jc w:val="center"/>
        <w:rPr>
          <w:rFonts w:ascii="Segoe UI" w:hAnsi="Segoe UI" w:cs="Segoe UI"/>
        </w:rPr>
      </w:pPr>
      <w:r w:rsidRPr="009D2502">
        <w:rPr>
          <w:rFonts w:ascii="Segoe UI" w:hAnsi="Segoe UI" w:cs="Segoe UI"/>
        </w:rPr>
        <w:t>Rentabilidad sobre el patrimonio</w:t>
      </w:r>
    </w:p>
    <w:p w14:paraId="2DBF7348" w14:textId="77777777" w:rsidR="00A36F2D" w:rsidRPr="009D2502" w:rsidRDefault="00A36F2D" w:rsidP="00A36F2D">
      <w:pPr>
        <w:spacing w:after="0" w:line="240" w:lineRule="auto"/>
        <w:jc w:val="center"/>
        <w:rPr>
          <w:rFonts w:ascii="Segoe UI" w:hAnsi="Segoe UI" w:cs="Segoe UI"/>
        </w:rPr>
      </w:pPr>
      <w:r w:rsidRPr="009D2502">
        <w:rPr>
          <w:rFonts w:ascii="Segoe UI" w:hAnsi="Segoe UI" w:cs="Segoe UI"/>
        </w:rPr>
        <w:t>Porcentajes a junio de cada año</w:t>
      </w:r>
    </w:p>
    <w:tbl>
      <w:tblPr>
        <w:tblW w:w="5990" w:type="dxa"/>
        <w:jc w:val="center"/>
        <w:tblCellMar>
          <w:left w:w="70" w:type="dxa"/>
          <w:right w:w="70" w:type="dxa"/>
        </w:tblCellMar>
        <w:tblLook w:val="04A0" w:firstRow="1" w:lastRow="0" w:firstColumn="1" w:lastColumn="0" w:noHBand="0" w:noVBand="1"/>
      </w:tblPr>
      <w:tblGrid>
        <w:gridCol w:w="1985"/>
        <w:gridCol w:w="708"/>
        <w:gridCol w:w="709"/>
        <w:gridCol w:w="647"/>
        <w:gridCol w:w="647"/>
        <w:gridCol w:w="647"/>
        <w:gridCol w:w="647"/>
      </w:tblGrid>
      <w:tr w:rsidR="00A36F2D" w:rsidRPr="009D2502" w14:paraId="0327C068" w14:textId="77777777" w:rsidTr="00BB605A">
        <w:trPr>
          <w:trHeight w:val="330"/>
          <w:jc w:val="center"/>
        </w:trPr>
        <w:tc>
          <w:tcPr>
            <w:tcW w:w="1985" w:type="dxa"/>
            <w:tcBorders>
              <w:top w:val="single" w:sz="4" w:space="0" w:color="auto"/>
              <w:left w:val="nil"/>
              <w:bottom w:val="nil"/>
              <w:right w:val="nil"/>
            </w:tcBorders>
            <w:shd w:val="clear" w:color="auto" w:fill="auto"/>
            <w:noWrap/>
            <w:vAlign w:val="center"/>
            <w:hideMark/>
          </w:tcPr>
          <w:p w14:paraId="24B66BE5" w14:textId="77777777" w:rsidR="00A36F2D" w:rsidRPr="009D2502" w:rsidRDefault="00A36F2D" w:rsidP="00BB605A">
            <w:pPr>
              <w:spacing w:after="0" w:line="240" w:lineRule="auto"/>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Operadora de Pensiones</w:t>
            </w:r>
          </w:p>
        </w:tc>
        <w:tc>
          <w:tcPr>
            <w:tcW w:w="708" w:type="dxa"/>
            <w:tcBorders>
              <w:top w:val="single" w:sz="4" w:space="0" w:color="auto"/>
              <w:left w:val="nil"/>
              <w:bottom w:val="nil"/>
              <w:right w:val="nil"/>
            </w:tcBorders>
            <w:shd w:val="clear" w:color="auto" w:fill="auto"/>
            <w:noWrap/>
            <w:vAlign w:val="center"/>
            <w:hideMark/>
          </w:tcPr>
          <w:p w14:paraId="055608C3"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2014</w:t>
            </w:r>
          </w:p>
        </w:tc>
        <w:tc>
          <w:tcPr>
            <w:tcW w:w="709" w:type="dxa"/>
            <w:tcBorders>
              <w:top w:val="single" w:sz="4" w:space="0" w:color="auto"/>
              <w:left w:val="nil"/>
              <w:bottom w:val="nil"/>
              <w:right w:val="nil"/>
            </w:tcBorders>
            <w:shd w:val="clear" w:color="auto" w:fill="auto"/>
            <w:noWrap/>
            <w:vAlign w:val="center"/>
            <w:hideMark/>
          </w:tcPr>
          <w:p w14:paraId="509AC8C7"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2015</w:t>
            </w:r>
          </w:p>
        </w:tc>
        <w:tc>
          <w:tcPr>
            <w:tcW w:w="647" w:type="dxa"/>
            <w:tcBorders>
              <w:top w:val="single" w:sz="4" w:space="0" w:color="auto"/>
              <w:left w:val="nil"/>
              <w:bottom w:val="nil"/>
              <w:right w:val="nil"/>
            </w:tcBorders>
            <w:shd w:val="clear" w:color="auto" w:fill="auto"/>
            <w:noWrap/>
            <w:vAlign w:val="center"/>
            <w:hideMark/>
          </w:tcPr>
          <w:p w14:paraId="5D154D03"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2016</w:t>
            </w:r>
          </w:p>
        </w:tc>
        <w:tc>
          <w:tcPr>
            <w:tcW w:w="647" w:type="dxa"/>
            <w:tcBorders>
              <w:top w:val="single" w:sz="4" w:space="0" w:color="auto"/>
              <w:left w:val="nil"/>
              <w:bottom w:val="nil"/>
              <w:right w:val="nil"/>
            </w:tcBorders>
            <w:shd w:val="clear" w:color="auto" w:fill="auto"/>
            <w:noWrap/>
            <w:vAlign w:val="center"/>
            <w:hideMark/>
          </w:tcPr>
          <w:p w14:paraId="15385A50"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2017</w:t>
            </w:r>
          </w:p>
        </w:tc>
        <w:tc>
          <w:tcPr>
            <w:tcW w:w="647" w:type="dxa"/>
            <w:tcBorders>
              <w:top w:val="single" w:sz="4" w:space="0" w:color="auto"/>
              <w:left w:val="nil"/>
              <w:bottom w:val="nil"/>
              <w:right w:val="nil"/>
            </w:tcBorders>
            <w:shd w:val="clear" w:color="auto" w:fill="auto"/>
            <w:noWrap/>
            <w:vAlign w:val="center"/>
            <w:hideMark/>
          </w:tcPr>
          <w:p w14:paraId="2DED69F5"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2018</w:t>
            </w:r>
          </w:p>
        </w:tc>
        <w:tc>
          <w:tcPr>
            <w:tcW w:w="647" w:type="dxa"/>
            <w:tcBorders>
              <w:top w:val="single" w:sz="4" w:space="0" w:color="auto"/>
              <w:left w:val="nil"/>
              <w:bottom w:val="nil"/>
              <w:right w:val="nil"/>
            </w:tcBorders>
            <w:shd w:val="clear" w:color="auto" w:fill="auto"/>
            <w:noWrap/>
            <w:vAlign w:val="center"/>
            <w:hideMark/>
          </w:tcPr>
          <w:p w14:paraId="0806AD01" w14:textId="77777777" w:rsidR="00A36F2D" w:rsidRPr="009D2502" w:rsidRDefault="00A36F2D" w:rsidP="00BB605A">
            <w:pPr>
              <w:spacing w:after="0" w:line="240" w:lineRule="auto"/>
              <w:jc w:val="right"/>
              <w:rPr>
                <w:rFonts w:ascii="Segoe UI" w:eastAsia="Times New Roman" w:hAnsi="Segoe UI" w:cs="Segoe UI"/>
                <w:b/>
                <w:bCs/>
                <w:color w:val="000000"/>
                <w:lang w:eastAsia="es-ES"/>
              </w:rPr>
            </w:pPr>
            <w:r w:rsidRPr="009D2502">
              <w:rPr>
                <w:rFonts w:ascii="Segoe UI" w:eastAsia="Times New Roman" w:hAnsi="Segoe UI" w:cs="Segoe UI"/>
                <w:b/>
                <w:bCs/>
                <w:color w:val="000000"/>
                <w:lang w:eastAsia="es-ES"/>
              </w:rPr>
              <w:t>2019</w:t>
            </w:r>
          </w:p>
        </w:tc>
      </w:tr>
      <w:tr w:rsidR="00A36F2D" w:rsidRPr="009D2502" w14:paraId="2AF75B53" w14:textId="77777777" w:rsidTr="00BB605A">
        <w:trPr>
          <w:trHeight w:val="330"/>
          <w:jc w:val="center"/>
        </w:trPr>
        <w:tc>
          <w:tcPr>
            <w:tcW w:w="1985" w:type="dxa"/>
            <w:tcBorders>
              <w:top w:val="single" w:sz="4" w:space="0" w:color="auto"/>
              <w:left w:val="nil"/>
              <w:bottom w:val="nil"/>
              <w:right w:val="nil"/>
            </w:tcBorders>
            <w:shd w:val="clear" w:color="auto" w:fill="auto"/>
            <w:noWrap/>
            <w:vAlign w:val="center"/>
            <w:hideMark/>
          </w:tcPr>
          <w:p w14:paraId="270CFC5F"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BN-Vital</w:t>
            </w:r>
          </w:p>
        </w:tc>
        <w:tc>
          <w:tcPr>
            <w:tcW w:w="708" w:type="dxa"/>
            <w:tcBorders>
              <w:top w:val="single" w:sz="4" w:space="0" w:color="auto"/>
              <w:left w:val="nil"/>
              <w:bottom w:val="nil"/>
              <w:right w:val="nil"/>
            </w:tcBorders>
            <w:shd w:val="clear" w:color="auto" w:fill="auto"/>
            <w:noWrap/>
            <w:vAlign w:val="center"/>
            <w:hideMark/>
          </w:tcPr>
          <w:p w14:paraId="383A90E5"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17,0</w:t>
            </w:r>
          </w:p>
        </w:tc>
        <w:tc>
          <w:tcPr>
            <w:tcW w:w="709" w:type="dxa"/>
            <w:tcBorders>
              <w:top w:val="single" w:sz="4" w:space="0" w:color="auto"/>
              <w:left w:val="nil"/>
              <w:bottom w:val="nil"/>
              <w:right w:val="nil"/>
            </w:tcBorders>
            <w:shd w:val="clear" w:color="auto" w:fill="auto"/>
            <w:noWrap/>
            <w:vAlign w:val="center"/>
            <w:hideMark/>
          </w:tcPr>
          <w:p w14:paraId="39D57D81"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19,1</w:t>
            </w:r>
          </w:p>
        </w:tc>
        <w:tc>
          <w:tcPr>
            <w:tcW w:w="647" w:type="dxa"/>
            <w:tcBorders>
              <w:top w:val="single" w:sz="4" w:space="0" w:color="auto"/>
              <w:left w:val="nil"/>
              <w:bottom w:val="nil"/>
              <w:right w:val="nil"/>
            </w:tcBorders>
            <w:shd w:val="clear" w:color="auto" w:fill="auto"/>
            <w:noWrap/>
            <w:vAlign w:val="center"/>
            <w:hideMark/>
          </w:tcPr>
          <w:p w14:paraId="4E3C8F4F"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31,4</w:t>
            </w:r>
          </w:p>
        </w:tc>
        <w:tc>
          <w:tcPr>
            <w:tcW w:w="647" w:type="dxa"/>
            <w:tcBorders>
              <w:top w:val="single" w:sz="4" w:space="0" w:color="auto"/>
              <w:left w:val="nil"/>
              <w:bottom w:val="nil"/>
              <w:right w:val="nil"/>
            </w:tcBorders>
            <w:shd w:val="clear" w:color="auto" w:fill="auto"/>
            <w:noWrap/>
            <w:vAlign w:val="center"/>
            <w:hideMark/>
          </w:tcPr>
          <w:p w14:paraId="0452B48D"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25,1</w:t>
            </w:r>
          </w:p>
        </w:tc>
        <w:tc>
          <w:tcPr>
            <w:tcW w:w="647" w:type="dxa"/>
            <w:tcBorders>
              <w:top w:val="single" w:sz="4" w:space="0" w:color="auto"/>
              <w:left w:val="nil"/>
              <w:bottom w:val="nil"/>
              <w:right w:val="nil"/>
            </w:tcBorders>
            <w:shd w:val="clear" w:color="auto" w:fill="auto"/>
            <w:noWrap/>
            <w:vAlign w:val="center"/>
            <w:hideMark/>
          </w:tcPr>
          <w:p w14:paraId="73E53972"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26,7</w:t>
            </w:r>
          </w:p>
        </w:tc>
        <w:tc>
          <w:tcPr>
            <w:tcW w:w="647" w:type="dxa"/>
            <w:tcBorders>
              <w:top w:val="single" w:sz="4" w:space="0" w:color="auto"/>
              <w:left w:val="nil"/>
              <w:bottom w:val="nil"/>
              <w:right w:val="nil"/>
            </w:tcBorders>
            <w:shd w:val="clear" w:color="auto" w:fill="auto"/>
            <w:noWrap/>
            <w:vAlign w:val="center"/>
            <w:hideMark/>
          </w:tcPr>
          <w:p w14:paraId="3BD9BB68"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34,0</w:t>
            </w:r>
          </w:p>
        </w:tc>
      </w:tr>
      <w:tr w:rsidR="00A36F2D" w:rsidRPr="009D2502" w14:paraId="70CCE976" w14:textId="77777777" w:rsidTr="00BB605A">
        <w:trPr>
          <w:trHeight w:val="330"/>
          <w:jc w:val="center"/>
        </w:trPr>
        <w:tc>
          <w:tcPr>
            <w:tcW w:w="1985" w:type="dxa"/>
            <w:tcBorders>
              <w:top w:val="nil"/>
              <w:left w:val="nil"/>
              <w:bottom w:val="nil"/>
              <w:right w:val="nil"/>
            </w:tcBorders>
            <w:shd w:val="clear" w:color="auto" w:fill="auto"/>
            <w:noWrap/>
            <w:vAlign w:val="center"/>
            <w:hideMark/>
          </w:tcPr>
          <w:p w14:paraId="6E77511F"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Popular Pensiones</w:t>
            </w:r>
          </w:p>
        </w:tc>
        <w:tc>
          <w:tcPr>
            <w:tcW w:w="708" w:type="dxa"/>
            <w:tcBorders>
              <w:top w:val="nil"/>
              <w:left w:val="nil"/>
              <w:bottom w:val="nil"/>
              <w:right w:val="nil"/>
            </w:tcBorders>
            <w:shd w:val="clear" w:color="auto" w:fill="auto"/>
            <w:noWrap/>
            <w:vAlign w:val="center"/>
            <w:hideMark/>
          </w:tcPr>
          <w:p w14:paraId="72700786"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20,5</w:t>
            </w:r>
          </w:p>
        </w:tc>
        <w:tc>
          <w:tcPr>
            <w:tcW w:w="709" w:type="dxa"/>
            <w:tcBorders>
              <w:top w:val="nil"/>
              <w:left w:val="nil"/>
              <w:bottom w:val="nil"/>
              <w:right w:val="nil"/>
            </w:tcBorders>
            <w:shd w:val="clear" w:color="auto" w:fill="auto"/>
            <w:noWrap/>
            <w:vAlign w:val="center"/>
            <w:hideMark/>
          </w:tcPr>
          <w:p w14:paraId="4EDD83DC"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11,5</w:t>
            </w:r>
          </w:p>
        </w:tc>
        <w:tc>
          <w:tcPr>
            <w:tcW w:w="647" w:type="dxa"/>
            <w:tcBorders>
              <w:top w:val="nil"/>
              <w:left w:val="nil"/>
              <w:bottom w:val="nil"/>
              <w:right w:val="nil"/>
            </w:tcBorders>
            <w:shd w:val="clear" w:color="auto" w:fill="auto"/>
            <w:noWrap/>
            <w:vAlign w:val="center"/>
            <w:hideMark/>
          </w:tcPr>
          <w:p w14:paraId="23186338"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22,4</w:t>
            </w:r>
          </w:p>
        </w:tc>
        <w:tc>
          <w:tcPr>
            <w:tcW w:w="647" w:type="dxa"/>
            <w:tcBorders>
              <w:top w:val="nil"/>
              <w:left w:val="nil"/>
              <w:bottom w:val="nil"/>
              <w:right w:val="nil"/>
            </w:tcBorders>
            <w:shd w:val="clear" w:color="auto" w:fill="auto"/>
            <w:noWrap/>
            <w:vAlign w:val="center"/>
            <w:hideMark/>
          </w:tcPr>
          <w:p w14:paraId="79A31C14"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20,7</w:t>
            </w:r>
          </w:p>
        </w:tc>
        <w:tc>
          <w:tcPr>
            <w:tcW w:w="647" w:type="dxa"/>
            <w:tcBorders>
              <w:top w:val="nil"/>
              <w:left w:val="nil"/>
              <w:bottom w:val="nil"/>
              <w:right w:val="nil"/>
            </w:tcBorders>
            <w:shd w:val="clear" w:color="auto" w:fill="auto"/>
            <w:noWrap/>
            <w:vAlign w:val="center"/>
            <w:hideMark/>
          </w:tcPr>
          <w:p w14:paraId="0179291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22,9</w:t>
            </w:r>
          </w:p>
        </w:tc>
        <w:tc>
          <w:tcPr>
            <w:tcW w:w="647" w:type="dxa"/>
            <w:tcBorders>
              <w:top w:val="nil"/>
              <w:left w:val="nil"/>
              <w:bottom w:val="nil"/>
              <w:right w:val="nil"/>
            </w:tcBorders>
            <w:shd w:val="clear" w:color="auto" w:fill="auto"/>
            <w:noWrap/>
            <w:vAlign w:val="center"/>
            <w:hideMark/>
          </w:tcPr>
          <w:p w14:paraId="2029707B"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28,7</w:t>
            </w:r>
          </w:p>
        </w:tc>
      </w:tr>
      <w:tr w:rsidR="00A36F2D" w:rsidRPr="009D2502" w14:paraId="43708A1C" w14:textId="77777777" w:rsidTr="00BB605A">
        <w:trPr>
          <w:trHeight w:val="330"/>
          <w:jc w:val="center"/>
        </w:trPr>
        <w:tc>
          <w:tcPr>
            <w:tcW w:w="1985" w:type="dxa"/>
            <w:tcBorders>
              <w:top w:val="nil"/>
              <w:left w:val="nil"/>
              <w:bottom w:val="nil"/>
              <w:right w:val="nil"/>
            </w:tcBorders>
            <w:shd w:val="clear" w:color="auto" w:fill="auto"/>
            <w:noWrap/>
            <w:vAlign w:val="center"/>
            <w:hideMark/>
          </w:tcPr>
          <w:p w14:paraId="002543DA"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Vida-Plena</w:t>
            </w:r>
          </w:p>
        </w:tc>
        <w:tc>
          <w:tcPr>
            <w:tcW w:w="708" w:type="dxa"/>
            <w:tcBorders>
              <w:top w:val="nil"/>
              <w:left w:val="nil"/>
              <w:bottom w:val="nil"/>
              <w:right w:val="nil"/>
            </w:tcBorders>
            <w:shd w:val="clear" w:color="auto" w:fill="auto"/>
            <w:noWrap/>
            <w:vAlign w:val="center"/>
            <w:hideMark/>
          </w:tcPr>
          <w:p w14:paraId="30A8B45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15,9</w:t>
            </w:r>
          </w:p>
        </w:tc>
        <w:tc>
          <w:tcPr>
            <w:tcW w:w="709" w:type="dxa"/>
            <w:tcBorders>
              <w:top w:val="nil"/>
              <w:left w:val="nil"/>
              <w:bottom w:val="nil"/>
              <w:right w:val="nil"/>
            </w:tcBorders>
            <w:shd w:val="clear" w:color="auto" w:fill="auto"/>
            <w:noWrap/>
            <w:vAlign w:val="center"/>
            <w:hideMark/>
          </w:tcPr>
          <w:p w14:paraId="531A9B7C"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10,4</w:t>
            </w:r>
          </w:p>
        </w:tc>
        <w:tc>
          <w:tcPr>
            <w:tcW w:w="647" w:type="dxa"/>
            <w:tcBorders>
              <w:top w:val="nil"/>
              <w:left w:val="nil"/>
              <w:bottom w:val="nil"/>
              <w:right w:val="nil"/>
            </w:tcBorders>
            <w:shd w:val="clear" w:color="auto" w:fill="auto"/>
            <w:noWrap/>
            <w:vAlign w:val="center"/>
            <w:hideMark/>
          </w:tcPr>
          <w:p w14:paraId="3ECBC947"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18,2</w:t>
            </w:r>
          </w:p>
        </w:tc>
        <w:tc>
          <w:tcPr>
            <w:tcW w:w="647" w:type="dxa"/>
            <w:tcBorders>
              <w:top w:val="nil"/>
              <w:left w:val="nil"/>
              <w:bottom w:val="nil"/>
              <w:right w:val="nil"/>
            </w:tcBorders>
            <w:shd w:val="clear" w:color="auto" w:fill="auto"/>
            <w:noWrap/>
            <w:vAlign w:val="center"/>
            <w:hideMark/>
          </w:tcPr>
          <w:p w14:paraId="2AF56B7B"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9,3</w:t>
            </w:r>
          </w:p>
        </w:tc>
        <w:tc>
          <w:tcPr>
            <w:tcW w:w="647" w:type="dxa"/>
            <w:tcBorders>
              <w:top w:val="nil"/>
              <w:left w:val="nil"/>
              <w:bottom w:val="nil"/>
              <w:right w:val="nil"/>
            </w:tcBorders>
            <w:shd w:val="clear" w:color="auto" w:fill="auto"/>
            <w:noWrap/>
            <w:vAlign w:val="center"/>
            <w:hideMark/>
          </w:tcPr>
          <w:p w14:paraId="24291A7D"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8,2</w:t>
            </w:r>
          </w:p>
        </w:tc>
        <w:tc>
          <w:tcPr>
            <w:tcW w:w="647" w:type="dxa"/>
            <w:tcBorders>
              <w:top w:val="nil"/>
              <w:left w:val="nil"/>
              <w:bottom w:val="nil"/>
              <w:right w:val="nil"/>
            </w:tcBorders>
            <w:shd w:val="clear" w:color="auto" w:fill="auto"/>
            <w:noWrap/>
            <w:vAlign w:val="center"/>
            <w:hideMark/>
          </w:tcPr>
          <w:p w14:paraId="57E9E7DA"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15,0</w:t>
            </w:r>
          </w:p>
        </w:tc>
      </w:tr>
      <w:tr w:rsidR="00A36F2D" w:rsidRPr="009D2502" w14:paraId="5EB233BA" w14:textId="77777777" w:rsidTr="00BB605A">
        <w:trPr>
          <w:trHeight w:val="330"/>
          <w:jc w:val="center"/>
        </w:trPr>
        <w:tc>
          <w:tcPr>
            <w:tcW w:w="1985" w:type="dxa"/>
            <w:tcBorders>
              <w:top w:val="nil"/>
              <w:left w:val="nil"/>
              <w:bottom w:val="nil"/>
              <w:right w:val="nil"/>
            </w:tcBorders>
            <w:shd w:val="clear" w:color="auto" w:fill="auto"/>
            <w:noWrap/>
            <w:vAlign w:val="center"/>
            <w:hideMark/>
          </w:tcPr>
          <w:p w14:paraId="4F6F2DEF"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SJ Pensiones</w:t>
            </w:r>
          </w:p>
        </w:tc>
        <w:tc>
          <w:tcPr>
            <w:tcW w:w="708" w:type="dxa"/>
            <w:tcBorders>
              <w:top w:val="nil"/>
              <w:left w:val="nil"/>
              <w:bottom w:val="nil"/>
              <w:right w:val="nil"/>
            </w:tcBorders>
            <w:shd w:val="clear" w:color="auto" w:fill="auto"/>
            <w:noWrap/>
            <w:vAlign w:val="center"/>
            <w:hideMark/>
          </w:tcPr>
          <w:p w14:paraId="77421AE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24,7</w:t>
            </w:r>
          </w:p>
        </w:tc>
        <w:tc>
          <w:tcPr>
            <w:tcW w:w="709" w:type="dxa"/>
            <w:tcBorders>
              <w:top w:val="nil"/>
              <w:left w:val="nil"/>
              <w:bottom w:val="nil"/>
              <w:right w:val="nil"/>
            </w:tcBorders>
            <w:shd w:val="clear" w:color="auto" w:fill="auto"/>
            <w:noWrap/>
            <w:vAlign w:val="center"/>
            <w:hideMark/>
          </w:tcPr>
          <w:p w14:paraId="3E0E7A57"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16,5</w:t>
            </w:r>
          </w:p>
        </w:tc>
        <w:tc>
          <w:tcPr>
            <w:tcW w:w="647" w:type="dxa"/>
            <w:tcBorders>
              <w:top w:val="nil"/>
              <w:left w:val="nil"/>
              <w:bottom w:val="nil"/>
              <w:right w:val="nil"/>
            </w:tcBorders>
            <w:shd w:val="clear" w:color="auto" w:fill="auto"/>
            <w:noWrap/>
            <w:vAlign w:val="center"/>
            <w:hideMark/>
          </w:tcPr>
          <w:p w14:paraId="4C782975"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24,6</w:t>
            </w:r>
          </w:p>
        </w:tc>
        <w:tc>
          <w:tcPr>
            <w:tcW w:w="647" w:type="dxa"/>
            <w:tcBorders>
              <w:top w:val="nil"/>
              <w:left w:val="nil"/>
              <w:bottom w:val="nil"/>
              <w:right w:val="nil"/>
            </w:tcBorders>
            <w:shd w:val="clear" w:color="auto" w:fill="auto"/>
            <w:noWrap/>
            <w:vAlign w:val="center"/>
            <w:hideMark/>
          </w:tcPr>
          <w:p w14:paraId="38DB3CC7"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20,4</w:t>
            </w:r>
          </w:p>
        </w:tc>
        <w:tc>
          <w:tcPr>
            <w:tcW w:w="647" w:type="dxa"/>
            <w:tcBorders>
              <w:top w:val="nil"/>
              <w:left w:val="nil"/>
              <w:bottom w:val="nil"/>
              <w:right w:val="nil"/>
            </w:tcBorders>
            <w:shd w:val="clear" w:color="auto" w:fill="auto"/>
            <w:noWrap/>
            <w:vAlign w:val="center"/>
            <w:hideMark/>
          </w:tcPr>
          <w:p w14:paraId="4DB77EE0"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13,8</w:t>
            </w:r>
          </w:p>
        </w:tc>
        <w:tc>
          <w:tcPr>
            <w:tcW w:w="647" w:type="dxa"/>
            <w:tcBorders>
              <w:top w:val="nil"/>
              <w:left w:val="nil"/>
              <w:bottom w:val="nil"/>
              <w:right w:val="nil"/>
            </w:tcBorders>
            <w:shd w:val="clear" w:color="auto" w:fill="auto"/>
            <w:noWrap/>
            <w:vAlign w:val="center"/>
            <w:hideMark/>
          </w:tcPr>
          <w:p w14:paraId="138B366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12,6</w:t>
            </w:r>
          </w:p>
        </w:tc>
      </w:tr>
      <w:tr w:rsidR="00A36F2D" w:rsidRPr="009D2502" w14:paraId="1D303BC3" w14:textId="77777777" w:rsidTr="00BB605A">
        <w:trPr>
          <w:trHeight w:val="330"/>
          <w:jc w:val="center"/>
        </w:trPr>
        <w:tc>
          <w:tcPr>
            <w:tcW w:w="1985" w:type="dxa"/>
            <w:tcBorders>
              <w:top w:val="nil"/>
              <w:left w:val="nil"/>
              <w:bottom w:val="nil"/>
              <w:right w:val="nil"/>
            </w:tcBorders>
            <w:shd w:val="clear" w:color="auto" w:fill="auto"/>
            <w:noWrap/>
            <w:vAlign w:val="center"/>
            <w:hideMark/>
          </w:tcPr>
          <w:p w14:paraId="75775683"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BCR Pensión</w:t>
            </w:r>
          </w:p>
        </w:tc>
        <w:tc>
          <w:tcPr>
            <w:tcW w:w="708" w:type="dxa"/>
            <w:tcBorders>
              <w:top w:val="nil"/>
              <w:left w:val="nil"/>
              <w:bottom w:val="nil"/>
              <w:right w:val="nil"/>
            </w:tcBorders>
            <w:shd w:val="clear" w:color="auto" w:fill="auto"/>
            <w:noWrap/>
            <w:vAlign w:val="center"/>
            <w:hideMark/>
          </w:tcPr>
          <w:p w14:paraId="7E3EC7A9"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34,2</w:t>
            </w:r>
          </w:p>
        </w:tc>
        <w:tc>
          <w:tcPr>
            <w:tcW w:w="709" w:type="dxa"/>
            <w:tcBorders>
              <w:top w:val="nil"/>
              <w:left w:val="nil"/>
              <w:bottom w:val="nil"/>
              <w:right w:val="nil"/>
            </w:tcBorders>
            <w:shd w:val="clear" w:color="auto" w:fill="auto"/>
            <w:noWrap/>
            <w:vAlign w:val="center"/>
            <w:hideMark/>
          </w:tcPr>
          <w:p w14:paraId="497EAA2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26,7</w:t>
            </w:r>
          </w:p>
        </w:tc>
        <w:tc>
          <w:tcPr>
            <w:tcW w:w="647" w:type="dxa"/>
            <w:tcBorders>
              <w:top w:val="nil"/>
              <w:left w:val="nil"/>
              <w:bottom w:val="nil"/>
              <w:right w:val="nil"/>
            </w:tcBorders>
            <w:shd w:val="clear" w:color="auto" w:fill="auto"/>
            <w:noWrap/>
            <w:vAlign w:val="center"/>
            <w:hideMark/>
          </w:tcPr>
          <w:p w14:paraId="1B51D16A"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39,0</w:t>
            </w:r>
          </w:p>
        </w:tc>
        <w:tc>
          <w:tcPr>
            <w:tcW w:w="647" w:type="dxa"/>
            <w:tcBorders>
              <w:top w:val="nil"/>
              <w:left w:val="nil"/>
              <w:bottom w:val="nil"/>
              <w:right w:val="nil"/>
            </w:tcBorders>
            <w:shd w:val="clear" w:color="auto" w:fill="auto"/>
            <w:noWrap/>
            <w:vAlign w:val="center"/>
            <w:hideMark/>
          </w:tcPr>
          <w:p w14:paraId="2CDB9B09"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30,0</w:t>
            </w:r>
          </w:p>
        </w:tc>
        <w:tc>
          <w:tcPr>
            <w:tcW w:w="647" w:type="dxa"/>
            <w:tcBorders>
              <w:top w:val="nil"/>
              <w:left w:val="nil"/>
              <w:bottom w:val="nil"/>
              <w:right w:val="nil"/>
            </w:tcBorders>
            <w:shd w:val="clear" w:color="auto" w:fill="auto"/>
            <w:noWrap/>
            <w:vAlign w:val="center"/>
            <w:hideMark/>
          </w:tcPr>
          <w:p w14:paraId="7FD785B4"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28,9</w:t>
            </w:r>
          </w:p>
        </w:tc>
        <w:tc>
          <w:tcPr>
            <w:tcW w:w="647" w:type="dxa"/>
            <w:tcBorders>
              <w:top w:val="nil"/>
              <w:left w:val="nil"/>
              <w:bottom w:val="nil"/>
              <w:right w:val="nil"/>
            </w:tcBorders>
            <w:shd w:val="clear" w:color="auto" w:fill="auto"/>
            <w:noWrap/>
            <w:vAlign w:val="center"/>
            <w:hideMark/>
          </w:tcPr>
          <w:p w14:paraId="0A3137A4"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42,3</w:t>
            </w:r>
          </w:p>
        </w:tc>
      </w:tr>
      <w:tr w:rsidR="00A36F2D" w:rsidRPr="009D2502" w14:paraId="2B82B837" w14:textId="77777777" w:rsidTr="00BB605A">
        <w:trPr>
          <w:trHeight w:val="345"/>
          <w:jc w:val="center"/>
        </w:trPr>
        <w:tc>
          <w:tcPr>
            <w:tcW w:w="1985" w:type="dxa"/>
            <w:tcBorders>
              <w:top w:val="nil"/>
              <w:left w:val="nil"/>
              <w:bottom w:val="single" w:sz="8" w:space="0" w:color="auto"/>
              <w:right w:val="nil"/>
            </w:tcBorders>
            <w:shd w:val="clear" w:color="auto" w:fill="auto"/>
            <w:noWrap/>
            <w:vAlign w:val="center"/>
            <w:hideMark/>
          </w:tcPr>
          <w:p w14:paraId="5E716F9F" w14:textId="77777777" w:rsidR="00A36F2D" w:rsidRPr="009D2502" w:rsidRDefault="00A36F2D" w:rsidP="00BB605A">
            <w:pPr>
              <w:spacing w:after="0" w:line="240" w:lineRule="auto"/>
              <w:rPr>
                <w:rFonts w:ascii="Segoe UI" w:eastAsia="Times New Roman" w:hAnsi="Segoe UI" w:cs="Segoe UI"/>
                <w:color w:val="000000"/>
                <w:lang w:eastAsia="es-ES"/>
              </w:rPr>
            </w:pPr>
            <w:r w:rsidRPr="009D2502">
              <w:rPr>
                <w:rFonts w:ascii="Segoe UI" w:eastAsia="Times New Roman" w:hAnsi="Segoe UI" w:cs="Segoe UI"/>
                <w:color w:val="000000"/>
                <w:lang w:eastAsia="es-ES"/>
              </w:rPr>
              <w:t>CCSS OPC</w:t>
            </w:r>
          </w:p>
        </w:tc>
        <w:tc>
          <w:tcPr>
            <w:tcW w:w="708" w:type="dxa"/>
            <w:tcBorders>
              <w:top w:val="nil"/>
              <w:left w:val="nil"/>
              <w:bottom w:val="single" w:sz="8" w:space="0" w:color="auto"/>
              <w:right w:val="nil"/>
            </w:tcBorders>
            <w:shd w:val="clear" w:color="auto" w:fill="auto"/>
            <w:noWrap/>
            <w:vAlign w:val="center"/>
            <w:hideMark/>
          </w:tcPr>
          <w:p w14:paraId="40D4010D"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10,6</w:t>
            </w:r>
          </w:p>
        </w:tc>
        <w:tc>
          <w:tcPr>
            <w:tcW w:w="709" w:type="dxa"/>
            <w:tcBorders>
              <w:top w:val="nil"/>
              <w:left w:val="nil"/>
              <w:bottom w:val="single" w:sz="8" w:space="0" w:color="auto"/>
              <w:right w:val="nil"/>
            </w:tcBorders>
            <w:shd w:val="clear" w:color="auto" w:fill="auto"/>
            <w:noWrap/>
            <w:vAlign w:val="center"/>
            <w:hideMark/>
          </w:tcPr>
          <w:p w14:paraId="203924D8"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8,1</w:t>
            </w:r>
          </w:p>
        </w:tc>
        <w:tc>
          <w:tcPr>
            <w:tcW w:w="647" w:type="dxa"/>
            <w:tcBorders>
              <w:top w:val="nil"/>
              <w:left w:val="nil"/>
              <w:bottom w:val="single" w:sz="8" w:space="0" w:color="auto"/>
              <w:right w:val="nil"/>
            </w:tcBorders>
            <w:shd w:val="clear" w:color="auto" w:fill="auto"/>
            <w:noWrap/>
            <w:vAlign w:val="center"/>
            <w:hideMark/>
          </w:tcPr>
          <w:p w14:paraId="4B473322"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12,5</w:t>
            </w:r>
          </w:p>
        </w:tc>
        <w:tc>
          <w:tcPr>
            <w:tcW w:w="647" w:type="dxa"/>
            <w:tcBorders>
              <w:top w:val="nil"/>
              <w:left w:val="nil"/>
              <w:bottom w:val="single" w:sz="8" w:space="0" w:color="auto"/>
              <w:right w:val="nil"/>
            </w:tcBorders>
            <w:shd w:val="clear" w:color="auto" w:fill="auto"/>
            <w:noWrap/>
            <w:vAlign w:val="center"/>
            <w:hideMark/>
          </w:tcPr>
          <w:p w14:paraId="05816FD4"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9,2</w:t>
            </w:r>
          </w:p>
        </w:tc>
        <w:tc>
          <w:tcPr>
            <w:tcW w:w="647" w:type="dxa"/>
            <w:tcBorders>
              <w:top w:val="nil"/>
              <w:left w:val="nil"/>
              <w:bottom w:val="single" w:sz="8" w:space="0" w:color="auto"/>
              <w:right w:val="nil"/>
            </w:tcBorders>
            <w:shd w:val="clear" w:color="auto" w:fill="auto"/>
            <w:noWrap/>
            <w:vAlign w:val="center"/>
            <w:hideMark/>
          </w:tcPr>
          <w:p w14:paraId="51ABCEA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8,4</w:t>
            </w:r>
          </w:p>
        </w:tc>
        <w:tc>
          <w:tcPr>
            <w:tcW w:w="647" w:type="dxa"/>
            <w:tcBorders>
              <w:top w:val="nil"/>
              <w:left w:val="nil"/>
              <w:bottom w:val="single" w:sz="8" w:space="0" w:color="auto"/>
              <w:right w:val="nil"/>
            </w:tcBorders>
            <w:shd w:val="clear" w:color="auto" w:fill="auto"/>
            <w:noWrap/>
            <w:vAlign w:val="center"/>
            <w:hideMark/>
          </w:tcPr>
          <w:p w14:paraId="47232D03" w14:textId="77777777" w:rsidR="00A36F2D" w:rsidRPr="009D2502" w:rsidRDefault="00A36F2D" w:rsidP="00BB605A">
            <w:pPr>
              <w:spacing w:after="0" w:line="240" w:lineRule="auto"/>
              <w:jc w:val="right"/>
              <w:rPr>
                <w:rFonts w:ascii="Segoe UI" w:eastAsia="Times New Roman" w:hAnsi="Segoe UI" w:cs="Segoe UI"/>
                <w:color w:val="000000"/>
                <w:lang w:eastAsia="es-ES"/>
              </w:rPr>
            </w:pPr>
            <w:r w:rsidRPr="009D2502">
              <w:rPr>
                <w:rFonts w:ascii="Segoe UI" w:eastAsia="Times New Roman" w:hAnsi="Segoe UI" w:cs="Segoe UI"/>
                <w:color w:val="000000"/>
                <w:lang w:eastAsia="es-ES"/>
              </w:rPr>
              <w:t>10,9</w:t>
            </w:r>
          </w:p>
        </w:tc>
      </w:tr>
    </w:tbl>
    <w:p w14:paraId="50E1CD94" w14:textId="77777777" w:rsidR="00A36F2D" w:rsidRPr="00F81CB3" w:rsidRDefault="00A36F2D" w:rsidP="00A36F2D">
      <w:pPr>
        <w:spacing w:line="240" w:lineRule="auto"/>
        <w:jc w:val="both"/>
        <w:rPr>
          <w:rFonts w:ascii="Segoe UI" w:hAnsi="Segoe UI" w:cs="Segoe UI"/>
        </w:rPr>
      </w:pPr>
    </w:p>
    <w:p w14:paraId="01987811"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En junio del 2016 el ingreso operativo de las operadoras de pensiones fue de 41 888 millones de colones y en junio del 2017 descendió a 39 985 millones, producto de pasar la comisión máxima en el ROP de 0,7% sobre saldo a 0,5%. El ingreso operativo paulatinamente se recupera conforme los activos administrados aumentan. Para junio del 2019 (últimos 12 meses) el ingreso producto de comisiones por administración alcanza los 45 781 millones. </w:t>
      </w:r>
      <w:r w:rsidRPr="00F81CB3">
        <w:rPr>
          <w:rFonts w:ascii="Segoe UI" w:hAnsi="Segoe UI" w:cs="Segoe UI"/>
        </w:rPr>
        <w:lastRenderedPageBreak/>
        <w:t xml:space="preserve">Las seis operadoras presentan utilidades netas por el período comprendido entre junio del 2018 y junio del 2019 de 7 021 millones de colones y un resultado operativo antes de impuestos y distribución de utilidades </w:t>
      </w:r>
      <w:r>
        <w:rPr>
          <w:rFonts w:ascii="Segoe UI" w:hAnsi="Segoe UI" w:cs="Segoe UI"/>
        </w:rPr>
        <w:t xml:space="preserve">es </w:t>
      </w:r>
      <w:r w:rsidRPr="00F81CB3">
        <w:rPr>
          <w:rFonts w:ascii="Segoe UI" w:hAnsi="Segoe UI" w:cs="Segoe UI"/>
        </w:rPr>
        <w:t>de 16 573 millones de colones. El margen bruto de las operadoras se encuentra en un rango entre el 12% y el 35% siendo 26,4% para el 2019.</w:t>
      </w:r>
    </w:p>
    <w:p w14:paraId="5142DAB9"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Cuadro 8</w:t>
      </w:r>
    </w:p>
    <w:p w14:paraId="0CCDCE0B"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 xml:space="preserve">Información financiera de las operadoras de pensiones complementarias </w:t>
      </w:r>
    </w:p>
    <w:p w14:paraId="4E662AFA"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 xml:space="preserve">Millones de colones – A junio de cada año </w:t>
      </w:r>
    </w:p>
    <w:tbl>
      <w:tblPr>
        <w:tblW w:w="3990" w:type="pct"/>
        <w:jc w:val="center"/>
        <w:tblCellMar>
          <w:left w:w="70" w:type="dxa"/>
          <w:right w:w="70" w:type="dxa"/>
        </w:tblCellMar>
        <w:tblLook w:val="04A0" w:firstRow="1" w:lastRow="0" w:firstColumn="1" w:lastColumn="0" w:noHBand="0" w:noVBand="1"/>
      </w:tblPr>
      <w:tblGrid>
        <w:gridCol w:w="648"/>
        <w:gridCol w:w="1332"/>
        <w:gridCol w:w="794"/>
        <w:gridCol w:w="1418"/>
        <w:gridCol w:w="1119"/>
        <w:gridCol w:w="1742"/>
      </w:tblGrid>
      <w:tr w:rsidR="00A36F2D" w:rsidRPr="00F81CB3" w14:paraId="34C84558" w14:textId="77777777" w:rsidTr="00BB605A">
        <w:trPr>
          <w:trHeight w:val="170"/>
          <w:jc w:val="center"/>
        </w:trPr>
        <w:tc>
          <w:tcPr>
            <w:tcW w:w="460" w:type="pct"/>
            <w:vMerge w:val="restart"/>
            <w:tcBorders>
              <w:top w:val="single" w:sz="4" w:space="0" w:color="auto"/>
              <w:left w:val="nil"/>
              <w:bottom w:val="single" w:sz="4" w:space="0" w:color="000000"/>
              <w:right w:val="nil"/>
            </w:tcBorders>
            <w:shd w:val="clear" w:color="auto" w:fill="auto"/>
            <w:noWrap/>
            <w:vAlign w:val="center"/>
            <w:hideMark/>
          </w:tcPr>
          <w:p w14:paraId="408B8E64"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Año</w:t>
            </w:r>
          </w:p>
        </w:tc>
        <w:tc>
          <w:tcPr>
            <w:tcW w:w="2511" w:type="pct"/>
            <w:gridSpan w:val="3"/>
            <w:tcBorders>
              <w:top w:val="single" w:sz="4" w:space="0" w:color="auto"/>
              <w:left w:val="nil"/>
              <w:bottom w:val="single" w:sz="4" w:space="0" w:color="auto"/>
              <w:right w:val="nil"/>
            </w:tcBorders>
            <w:shd w:val="clear" w:color="auto" w:fill="auto"/>
            <w:vAlign w:val="center"/>
            <w:hideMark/>
          </w:tcPr>
          <w:p w14:paraId="44E25670"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Operativo</w:t>
            </w:r>
          </w:p>
        </w:tc>
        <w:tc>
          <w:tcPr>
            <w:tcW w:w="2029" w:type="pct"/>
            <w:gridSpan w:val="2"/>
            <w:tcBorders>
              <w:top w:val="single" w:sz="4" w:space="0" w:color="auto"/>
              <w:left w:val="nil"/>
              <w:bottom w:val="single" w:sz="4" w:space="0" w:color="auto"/>
              <w:right w:val="nil"/>
            </w:tcBorders>
            <w:shd w:val="clear" w:color="auto" w:fill="auto"/>
            <w:vAlign w:val="center"/>
            <w:hideMark/>
          </w:tcPr>
          <w:p w14:paraId="3A1AE4CC"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 xml:space="preserve">Resultado </w:t>
            </w:r>
          </w:p>
        </w:tc>
      </w:tr>
      <w:tr w:rsidR="00A36F2D" w:rsidRPr="00F81CB3" w14:paraId="6F863A0D" w14:textId="77777777" w:rsidTr="00BB605A">
        <w:trPr>
          <w:trHeight w:val="170"/>
          <w:jc w:val="center"/>
        </w:trPr>
        <w:tc>
          <w:tcPr>
            <w:tcW w:w="460" w:type="pct"/>
            <w:vMerge/>
            <w:tcBorders>
              <w:top w:val="single" w:sz="8" w:space="0" w:color="auto"/>
              <w:left w:val="nil"/>
              <w:bottom w:val="single" w:sz="4" w:space="0" w:color="000000"/>
              <w:right w:val="nil"/>
            </w:tcBorders>
            <w:vAlign w:val="center"/>
            <w:hideMark/>
          </w:tcPr>
          <w:p w14:paraId="021915A4" w14:textId="77777777" w:rsidR="00A36F2D" w:rsidRPr="00F81CB3" w:rsidRDefault="00A36F2D" w:rsidP="00BB605A">
            <w:pPr>
              <w:spacing w:after="0" w:line="240" w:lineRule="auto"/>
              <w:rPr>
                <w:rFonts w:ascii="Segoe UI" w:eastAsia="Times New Roman" w:hAnsi="Segoe UI" w:cs="Segoe UI"/>
                <w:b/>
                <w:bCs/>
                <w:color w:val="000000"/>
                <w:lang w:val="es-CR" w:eastAsia="es-CR"/>
              </w:rPr>
            </w:pPr>
          </w:p>
        </w:tc>
        <w:tc>
          <w:tcPr>
            <w:tcW w:w="944" w:type="pct"/>
            <w:tcBorders>
              <w:top w:val="nil"/>
              <w:left w:val="nil"/>
              <w:bottom w:val="single" w:sz="4" w:space="0" w:color="auto"/>
              <w:right w:val="nil"/>
            </w:tcBorders>
            <w:shd w:val="clear" w:color="auto" w:fill="auto"/>
            <w:vAlign w:val="center"/>
            <w:hideMark/>
          </w:tcPr>
          <w:p w14:paraId="175FF1CC"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Ingreso</w:t>
            </w:r>
          </w:p>
        </w:tc>
        <w:tc>
          <w:tcPr>
            <w:tcW w:w="563" w:type="pct"/>
            <w:tcBorders>
              <w:top w:val="nil"/>
              <w:left w:val="nil"/>
              <w:bottom w:val="single" w:sz="4" w:space="0" w:color="auto"/>
              <w:right w:val="nil"/>
            </w:tcBorders>
            <w:shd w:val="clear" w:color="auto" w:fill="auto"/>
            <w:vAlign w:val="center"/>
            <w:hideMark/>
          </w:tcPr>
          <w:p w14:paraId="56CBE1F2"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Gasto</w:t>
            </w:r>
          </w:p>
        </w:tc>
        <w:tc>
          <w:tcPr>
            <w:tcW w:w="1005" w:type="pct"/>
            <w:tcBorders>
              <w:top w:val="nil"/>
              <w:left w:val="nil"/>
              <w:bottom w:val="single" w:sz="4" w:space="0" w:color="auto"/>
              <w:right w:val="nil"/>
            </w:tcBorders>
            <w:shd w:val="clear" w:color="auto" w:fill="auto"/>
            <w:vAlign w:val="center"/>
            <w:hideMark/>
          </w:tcPr>
          <w:p w14:paraId="66A7F2A7"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Resultado</w:t>
            </w:r>
          </w:p>
        </w:tc>
        <w:tc>
          <w:tcPr>
            <w:tcW w:w="793" w:type="pct"/>
            <w:tcBorders>
              <w:top w:val="nil"/>
              <w:left w:val="nil"/>
              <w:bottom w:val="single" w:sz="4" w:space="0" w:color="auto"/>
              <w:right w:val="nil"/>
            </w:tcBorders>
            <w:shd w:val="clear" w:color="auto" w:fill="auto"/>
            <w:vAlign w:val="center"/>
            <w:hideMark/>
          </w:tcPr>
          <w:p w14:paraId="5414E687"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Neto</w:t>
            </w:r>
          </w:p>
        </w:tc>
        <w:tc>
          <w:tcPr>
            <w:tcW w:w="1236" w:type="pct"/>
            <w:tcBorders>
              <w:top w:val="nil"/>
              <w:left w:val="nil"/>
              <w:bottom w:val="single" w:sz="4" w:space="0" w:color="auto"/>
              <w:right w:val="nil"/>
            </w:tcBorders>
            <w:shd w:val="clear" w:color="auto" w:fill="auto"/>
            <w:vAlign w:val="center"/>
            <w:hideMark/>
          </w:tcPr>
          <w:p w14:paraId="40DCBE88" w14:textId="77777777" w:rsidR="00A36F2D" w:rsidRPr="00F81CB3" w:rsidRDefault="00A36F2D" w:rsidP="00BB605A">
            <w:pPr>
              <w:spacing w:after="0" w:line="240" w:lineRule="auto"/>
              <w:jc w:val="center"/>
              <w:rPr>
                <w:rFonts w:ascii="Segoe UI" w:eastAsia="Times New Roman" w:hAnsi="Segoe UI" w:cs="Segoe UI"/>
                <w:b/>
                <w:bCs/>
                <w:color w:val="000000"/>
                <w:lang w:val="es-CR" w:eastAsia="es-CR"/>
              </w:rPr>
            </w:pPr>
            <w:r w:rsidRPr="00F81CB3">
              <w:rPr>
                <w:rFonts w:ascii="Segoe UI" w:eastAsia="Times New Roman" w:hAnsi="Segoe UI" w:cs="Segoe UI"/>
                <w:b/>
                <w:bCs/>
                <w:color w:val="000000"/>
                <w:lang w:val="es-CR" w:eastAsia="es-CR"/>
              </w:rPr>
              <w:t>Antes de impuesto y utilidades</w:t>
            </w:r>
          </w:p>
        </w:tc>
      </w:tr>
      <w:tr w:rsidR="00A36F2D" w:rsidRPr="00F81CB3" w14:paraId="0F81A5D9" w14:textId="77777777" w:rsidTr="00BB605A">
        <w:trPr>
          <w:trHeight w:val="170"/>
          <w:jc w:val="center"/>
        </w:trPr>
        <w:tc>
          <w:tcPr>
            <w:tcW w:w="460" w:type="pct"/>
            <w:tcBorders>
              <w:top w:val="nil"/>
              <w:left w:val="nil"/>
              <w:bottom w:val="nil"/>
              <w:right w:val="nil"/>
            </w:tcBorders>
            <w:shd w:val="clear" w:color="auto" w:fill="auto"/>
            <w:noWrap/>
            <w:vAlign w:val="center"/>
            <w:hideMark/>
          </w:tcPr>
          <w:p w14:paraId="0B6DEBFA"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2015</w:t>
            </w:r>
          </w:p>
        </w:tc>
        <w:tc>
          <w:tcPr>
            <w:tcW w:w="944" w:type="pct"/>
            <w:tcBorders>
              <w:top w:val="nil"/>
              <w:left w:val="nil"/>
              <w:bottom w:val="nil"/>
              <w:right w:val="nil"/>
            </w:tcBorders>
            <w:shd w:val="clear" w:color="auto" w:fill="auto"/>
            <w:noWrap/>
          </w:tcPr>
          <w:p w14:paraId="130294FD"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36 198</w:t>
            </w:r>
          </w:p>
        </w:tc>
        <w:tc>
          <w:tcPr>
            <w:tcW w:w="563" w:type="pct"/>
            <w:tcBorders>
              <w:top w:val="nil"/>
              <w:left w:val="nil"/>
              <w:bottom w:val="nil"/>
              <w:right w:val="nil"/>
            </w:tcBorders>
            <w:shd w:val="clear" w:color="auto" w:fill="auto"/>
            <w:noWrap/>
          </w:tcPr>
          <w:p w14:paraId="651A661B"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29 451</w:t>
            </w:r>
          </w:p>
        </w:tc>
        <w:tc>
          <w:tcPr>
            <w:tcW w:w="1005" w:type="pct"/>
            <w:tcBorders>
              <w:top w:val="nil"/>
              <w:left w:val="nil"/>
              <w:bottom w:val="nil"/>
              <w:right w:val="nil"/>
            </w:tcBorders>
            <w:shd w:val="clear" w:color="auto" w:fill="auto"/>
            <w:noWrap/>
          </w:tcPr>
          <w:p w14:paraId="40CBFC7D"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6 747</w:t>
            </w:r>
          </w:p>
        </w:tc>
        <w:tc>
          <w:tcPr>
            <w:tcW w:w="793" w:type="pct"/>
            <w:tcBorders>
              <w:top w:val="nil"/>
              <w:left w:val="nil"/>
              <w:bottom w:val="nil"/>
              <w:right w:val="nil"/>
            </w:tcBorders>
            <w:shd w:val="clear" w:color="auto" w:fill="auto"/>
            <w:noWrap/>
          </w:tcPr>
          <w:p w14:paraId="6CA229B7"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4 815</w:t>
            </w:r>
          </w:p>
        </w:tc>
        <w:tc>
          <w:tcPr>
            <w:tcW w:w="1236" w:type="pct"/>
            <w:tcBorders>
              <w:top w:val="nil"/>
              <w:left w:val="nil"/>
              <w:bottom w:val="nil"/>
              <w:right w:val="nil"/>
            </w:tcBorders>
            <w:shd w:val="clear" w:color="auto" w:fill="auto"/>
            <w:noWrap/>
          </w:tcPr>
          <w:p w14:paraId="2427374F"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9 661</w:t>
            </w:r>
          </w:p>
        </w:tc>
      </w:tr>
      <w:tr w:rsidR="00A36F2D" w:rsidRPr="00F81CB3" w14:paraId="407C56F1" w14:textId="77777777" w:rsidTr="00BB605A">
        <w:trPr>
          <w:trHeight w:val="170"/>
          <w:jc w:val="center"/>
        </w:trPr>
        <w:tc>
          <w:tcPr>
            <w:tcW w:w="460" w:type="pct"/>
            <w:tcBorders>
              <w:top w:val="nil"/>
              <w:left w:val="nil"/>
              <w:bottom w:val="nil"/>
              <w:right w:val="nil"/>
            </w:tcBorders>
            <w:shd w:val="clear" w:color="auto" w:fill="auto"/>
            <w:noWrap/>
            <w:vAlign w:val="center"/>
            <w:hideMark/>
          </w:tcPr>
          <w:p w14:paraId="7BC428A1"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2016</w:t>
            </w:r>
          </w:p>
        </w:tc>
        <w:tc>
          <w:tcPr>
            <w:tcW w:w="944" w:type="pct"/>
            <w:tcBorders>
              <w:top w:val="nil"/>
              <w:left w:val="nil"/>
              <w:bottom w:val="nil"/>
              <w:right w:val="nil"/>
            </w:tcBorders>
            <w:shd w:val="clear" w:color="auto" w:fill="auto"/>
            <w:noWrap/>
          </w:tcPr>
          <w:p w14:paraId="2F57AE89"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41 888</w:t>
            </w:r>
          </w:p>
        </w:tc>
        <w:tc>
          <w:tcPr>
            <w:tcW w:w="563" w:type="pct"/>
            <w:tcBorders>
              <w:top w:val="nil"/>
              <w:left w:val="nil"/>
              <w:bottom w:val="nil"/>
              <w:right w:val="nil"/>
            </w:tcBorders>
            <w:shd w:val="clear" w:color="auto" w:fill="auto"/>
            <w:noWrap/>
          </w:tcPr>
          <w:p w14:paraId="51CF95F6"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30 699</w:t>
            </w:r>
          </w:p>
        </w:tc>
        <w:tc>
          <w:tcPr>
            <w:tcW w:w="1005" w:type="pct"/>
            <w:tcBorders>
              <w:top w:val="nil"/>
              <w:left w:val="nil"/>
              <w:bottom w:val="nil"/>
              <w:right w:val="nil"/>
            </w:tcBorders>
            <w:shd w:val="clear" w:color="auto" w:fill="auto"/>
            <w:noWrap/>
          </w:tcPr>
          <w:p w14:paraId="23B8D031"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11 190</w:t>
            </w:r>
          </w:p>
        </w:tc>
        <w:tc>
          <w:tcPr>
            <w:tcW w:w="793" w:type="pct"/>
            <w:tcBorders>
              <w:top w:val="nil"/>
              <w:left w:val="nil"/>
              <w:bottom w:val="nil"/>
              <w:right w:val="nil"/>
            </w:tcBorders>
            <w:shd w:val="clear" w:color="auto" w:fill="auto"/>
            <w:noWrap/>
          </w:tcPr>
          <w:p w14:paraId="0417A8C5"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6 336</w:t>
            </w:r>
          </w:p>
        </w:tc>
        <w:tc>
          <w:tcPr>
            <w:tcW w:w="1236" w:type="pct"/>
            <w:tcBorders>
              <w:top w:val="nil"/>
              <w:left w:val="nil"/>
              <w:bottom w:val="nil"/>
              <w:right w:val="nil"/>
            </w:tcBorders>
            <w:shd w:val="clear" w:color="auto" w:fill="auto"/>
            <w:noWrap/>
          </w:tcPr>
          <w:p w14:paraId="1AB22D30"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14 507</w:t>
            </w:r>
          </w:p>
        </w:tc>
      </w:tr>
      <w:tr w:rsidR="00A36F2D" w:rsidRPr="00F81CB3" w14:paraId="3BDDBF12" w14:textId="77777777" w:rsidTr="00BB605A">
        <w:trPr>
          <w:trHeight w:val="170"/>
          <w:jc w:val="center"/>
        </w:trPr>
        <w:tc>
          <w:tcPr>
            <w:tcW w:w="460" w:type="pct"/>
            <w:tcBorders>
              <w:top w:val="nil"/>
              <w:left w:val="nil"/>
              <w:bottom w:val="nil"/>
              <w:right w:val="nil"/>
            </w:tcBorders>
            <w:shd w:val="clear" w:color="auto" w:fill="auto"/>
            <w:noWrap/>
            <w:vAlign w:val="center"/>
            <w:hideMark/>
          </w:tcPr>
          <w:p w14:paraId="7D20207B"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2017</w:t>
            </w:r>
          </w:p>
        </w:tc>
        <w:tc>
          <w:tcPr>
            <w:tcW w:w="944" w:type="pct"/>
            <w:tcBorders>
              <w:top w:val="nil"/>
              <w:left w:val="nil"/>
              <w:bottom w:val="nil"/>
              <w:right w:val="nil"/>
            </w:tcBorders>
            <w:shd w:val="clear" w:color="auto" w:fill="auto"/>
            <w:noWrap/>
          </w:tcPr>
          <w:p w14:paraId="548B1315"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39 985</w:t>
            </w:r>
          </w:p>
        </w:tc>
        <w:tc>
          <w:tcPr>
            <w:tcW w:w="563" w:type="pct"/>
            <w:tcBorders>
              <w:top w:val="nil"/>
              <w:left w:val="nil"/>
              <w:bottom w:val="nil"/>
              <w:right w:val="nil"/>
            </w:tcBorders>
            <w:shd w:val="clear" w:color="auto" w:fill="auto"/>
            <w:noWrap/>
          </w:tcPr>
          <w:p w14:paraId="7667E4F7"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30 266</w:t>
            </w:r>
          </w:p>
        </w:tc>
        <w:tc>
          <w:tcPr>
            <w:tcW w:w="1005" w:type="pct"/>
            <w:tcBorders>
              <w:top w:val="nil"/>
              <w:left w:val="nil"/>
              <w:bottom w:val="nil"/>
              <w:right w:val="nil"/>
            </w:tcBorders>
            <w:shd w:val="clear" w:color="auto" w:fill="auto"/>
            <w:noWrap/>
          </w:tcPr>
          <w:p w14:paraId="0AC7DDDB"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9 719</w:t>
            </w:r>
          </w:p>
        </w:tc>
        <w:tc>
          <w:tcPr>
            <w:tcW w:w="793" w:type="pct"/>
            <w:tcBorders>
              <w:top w:val="nil"/>
              <w:left w:val="nil"/>
              <w:bottom w:val="nil"/>
              <w:right w:val="nil"/>
            </w:tcBorders>
            <w:shd w:val="clear" w:color="auto" w:fill="auto"/>
            <w:noWrap/>
          </w:tcPr>
          <w:p w14:paraId="3096D36E"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5 459</w:t>
            </w:r>
          </w:p>
        </w:tc>
        <w:tc>
          <w:tcPr>
            <w:tcW w:w="1236" w:type="pct"/>
            <w:tcBorders>
              <w:top w:val="nil"/>
              <w:left w:val="nil"/>
              <w:bottom w:val="nil"/>
              <w:right w:val="nil"/>
            </w:tcBorders>
            <w:shd w:val="clear" w:color="auto" w:fill="auto"/>
            <w:noWrap/>
          </w:tcPr>
          <w:p w14:paraId="2539F7A2"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12 456</w:t>
            </w:r>
          </w:p>
        </w:tc>
      </w:tr>
      <w:tr w:rsidR="00A36F2D" w:rsidRPr="00F81CB3" w14:paraId="70A369C7" w14:textId="77777777" w:rsidTr="00BB605A">
        <w:trPr>
          <w:trHeight w:val="170"/>
          <w:jc w:val="center"/>
        </w:trPr>
        <w:tc>
          <w:tcPr>
            <w:tcW w:w="460" w:type="pct"/>
            <w:tcBorders>
              <w:top w:val="nil"/>
              <w:left w:val="nil"/>
              <w:bottom w:val="nil"/>
              <w:right w:val="nil"/>
            </w:tcBorders>
            <w:shd w:val="clear" w:color="auto" w:fill="auto"/>
            <w:noWrap/>
            <w:vAlign w:val="center"/>
            <w:hideMark/>
          </w:tcPr>
          <w:p w14:paraId="44F7D860"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2018</w:t>
            </w:r>
          </w:p>
        </w:tc>
        <w:tc>
          <w:tcPr>
            <w:tcW w:w="944" w:type="pct"/>
            <w:tcBorders>
              <w:top w:val="nil"/>
              <w:left w:val="nil"/>
              <w:bottom w:val="nil"/>
              <w:right w:val="nil"/>
            </w:tcBorders>
            <w:shd w:val="clear" w:color="auto" w:fill="auto"/>
            <w:noWrap/>
          </w:tcPr>
          <w:p w14:paraId="7334B59C"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40 009</w:t>
            </w:r>
          </w:p>
        </w:tc>
        <w:tc>
          <w:tcPr>
            <w:tcW w:w="563" w:type="pct"/>
            <w:tcBorders>
              <w:top w:val="nil"/>
              <w:left w:val="nil"/>
              <w:bottom w:val="nil"/>
              <w:right w:val="nil"/>
            </w:tcBorders>
            <w:shd w:val="clear" w:color="auto" w:fill="auto"/>
            <w:noWrap/>
          </w:tcPr>
          <w:p w14:paraId="4828209A"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30 849</w:t>
            </w:r>
          </w:p>
        </w:tc>
        <w:tc>
          <w:tcPr>
            <w:tcW w:w="1005" w:type="pct"/>
            <w:tcBorders>
              <w:top w:val="nil"/>
              <w:left w:val="nil"/>
              <w:bottom w:val="nil"/>
              <w:right w:val="nil"/>
            </w:tcBorders>
            <w:shd w:val="clear" w:color="auto" w:fill="auto"/>
            <w:noWrap/>
          </w:tcPr>
          <w:p w14:paraId="46778265"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9 160</w:t>
            </w:r>
          </w:p>
        </w:tc>
        <w:tc>
          <w:tcPr>
            <w:tcW w:w="793" w:type="pct"/>
            <w:tcBorders>
              <w:top w:val="nil"/>
              <w:left w:val="nil"/>
              <w:bottom w:val="nil"/>
              <w:right w:val="nil"/>
            </w:tcBorders>
            <w:shd w:val="clear" w:color="auto" w:fill="auto"/>
            <w:noWrap/>
          </w:tcPr>
          <w:p w14:paraId="71D23D59"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5 267</w:t>
            </w:r>
          </w:p>
        </w:tc>
        <w:tc>
          <w:tcPr>
            <w:tcW w:w="1236" w:type="pct"/>
            <w:tcBorders>
              <w:top w:val="nil"/>
              <w:left w:val="nil"/>
              <w:bottom w:val="nil"/>
              <w:right w:val="nil"/>
            </w:tcBorders>
            <w:shd w:val="clear" w:color="auto" w:fill="auto"/>
            <w:noWrap/>
          </w:tcPr>
          <w:p w14:paraId="29886550"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12 279</w:t>
            </w:r>
          </w:p>
        </w:tc>
      </w:tr>
      <w:tr w:rsidR="00A36F2D" w:rsidRPr="00F81CB3" w14:paraId="10737B29" w14:textId="77777777" w:rsidTr="00BB605A">
        <w:trPr>
          <w:trHeight w:val="170"/>
          <w:jc w:val="center"/>
        </w:trPr>
        <w:tc>
          <w:tcPr>
            <w:tcW w:w="460" w:type="pct"/>
            <w:tcBorders>
              <w:top w:val="nil"/>
              <w:left w:val="nil"/>
              <w:bottom w:val="nil"/>
              <w:right w:val="nil"/>
            </w:tcBorders>
            <w:shd w:val="clear" w:color="auto" w:fill="auto"/>
            <w:noWrap/>
            <w:vAlign w:val="center"/>
            <w:hideMark/>
          </w:tcPr>
          <w:p w14:paraId="481DEE94"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2019</w:t>
            </w:r>
          </w:p>
        </w:tc>
        <w:tc>
          <w:tcPr>
            <w:tcW w:w="944" w:type="pct"/>
            <w:tcBorders>
              <w:top w:val="nil"/>
              <w:left w:val="nil"/>
              <w:bottom w:val="nil"/>
              <w:right w:val="nil"/>
            </w:tcBorders>
            <w:shd w:val="clear" w:color="auto" w:fill="auto"/>
            <w:noWrap/>
          </w:tcPr>
          <w:p w14:paraId="3F568433"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45 781</w:t>
            </w:r>
          </w:p>
        </w:tc>
        <w:tc>
          <w:tcPr>
            <w:tcW w:w="563" w:type="pct"/>
            <w:tcBorders>
              <w:top w:val="nil"/>
              <w:left w:val="nil"/>
              <w:bottom w:val="nil"/>
              <w:right w:val="nil"/>
            </w:tcBorders>
            <w:shd w:val="clear" w:color="auto" w:fill="auto"/>
            <w:noWrap/>
          </w:tcPr>
          <w:p w14:paraId="751A6999"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33 296</w:t>
            </w:r>
          </w:p>
        </w:tc>
        <w:tc>
          <w:tcPr>
            <w:tcW w:w="1005" w:type="pct"/>
            <w:tcBorders>
              <w:top w:val="nil"/>
              <w:left w:val="nil"/>
              <w:bottom w:val="nil"/>
              <w:right w:val="nil"/>
            </w:tcBorders>
            <w:shd w:val="clear" w:color="auto" w:fill="auto"/>
            <w:noWrap/>
          </w:tcPr>
          <w:p w14:paraId="115200F4"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12 484</w:t>
            </w:r>
          </w:p>
        </w:tc>
        <w:tc>
          <w:tcPr>
            <w:tcW w:w="793" w:type="pct"/>
            <w:tcBorders>
              <w:top w:val="nil"/>
              <w:left w:val="nil"/>
              <w:bottom w:val="nil"/>
              <w:right w:val="nil"/>
            </w:tcBorders>
            <w:shd w:val="clear" w:color="auto" w:fill="auto"/>
            <w:noWrap/>
          </w:tcPr>
          <w:p w14:paraId="11FB598D"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7 021</w:t>
            </w:r>
          </w:p>
        </w:tc>
        <w:tc>
          <w:tcPr>
            <w:tcW w:w="1236" w:type="pct"/>
            <w:tcBorders>
              <w:top w:val="nil"/>
              <w:left w:val="nil"/>
              <w:bottom w:val="nil"/>
              <w:right w:val="nil"/>
            </w:tcBorders>
            <w:shd w:val="clear" w:color="auto" w:fill="auto"/>
            <w:noWrap/>
          </w:tcPr>
          <w:p w14:paraId="72A71F95"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r w:rsidRPr="00F81CB3">
              <w:rPr>
                <w:rFonts w:ascii="Segoe UI" w:hAnsi="Segoe UI" w:cs="Segoe UI"/>
              </w:rPr>
              <w:t>16 573</w:t>
            </w:r>
          </w:p>
        </w:tc>
      </w:tr>
      <w:tr w:rsidR="00A36F2D" w:rsidRPr="00F81CB3" w14:paraId="62AD9772" w14:textId="77777777" w:rsidTr="00BB605A">
        <w:trPr>
          <w:trHeight w:val="170"/>
          <w:jc w:val="center"/>
        </w:trPr>
        <w:tc>
          <w:tcPr>
            <w:tcW w:w="460" w:type="pct"/>
            <w:tcBorders>
              <w:top w:val="nil"/>
              <w:left w:val="nil"/>
              <w:bottom w:val="single" w:sz="4" w:space="0" w:color="auto"/>
              <w:right w:val="nil"/>
            </w:tcBorders>
            <w:shd w:val="clear" w:color="auto" w:fill="auto"/>
            <w:noWrap/>
            <w:vAlign w:val="center"/>
          </w:tcPr>
          <w:p w14:paraId="39489A41" w14:textId="77777777" w:rsidR="00A36F2D" w:rsidRPr="00F81CB3" w:rsidRDefault="00A36F2D" w:rsidP="00BB605A">
            <w:pPr>
              <w:spacing w:after="0" w:line="240" w:lineRule="auto"/>
              <w:jc w:val="center"/>
              <w:rPr>
                <w:rFonts w:ascii="Segoe UI" w:eastAsia="Times New Roman" w:hAnsi="Segoe UI" w:cs="Segoe UI"/>
                <w:color w:val="000000"/>
                <w:lang w:val="es-CR" w:eastAsia="es-CR"/>
              </w:rPr>
            </w:pPr>
          </w:p>
        </w:tc>
        <w:tc>
          <w:tcPr>
            <w:tcW w:w="944" w:type="pct"/>
            <w:tcBorders>
              <w:top w:val="nil"/>
              <w:left w:val="nil"/>
              <w:bottom w:val="single" w:sz="4" w:space="0" w:color="auto"/>
              <w:right w:val="nil"/>
            </w:tcBorders>
            <w:shd w:val="clear" w:color="auto" w:fill="auto"/>
            <w:noWrap/>
          </w:tcPr>
          <w:p w14:paraId="31527898" w14:textId="77777777" w:rsidR="00A36F2D" w:rsidRPr="00F81CB3" w:rsidRDefault="00A36F2D" w:rsidP="00BB605A">
            <w:pPr>
              <w:spacing w:after="0" w:line="240" w:lineRule="auto"/>
              <w:jc w:val="center"/>
              <w:rPr>
                <w:rFonts w:ascii="Segoe UI" w:hAnsi="Segoe UI" w:cs="Segoe UI"/>
              </w:rPr>
            </w:pPr>
          </w:p>
        </w:tc>
        <w:tc>
          <w:tcPr>
            <w:tcW w:w="563" w:type="pct"/>
            <w:tcBorders>
              <w:top w:val="nil"/>
              <w:left w:val="nil"/>
              <w:bottom w:val="single" w:sz="4" w:space="0" w:color="auto"/>
              <w:right w:val="nil"/>
            </w:tcBorders>
            <w:shd w:val="clear" w:color="auto" w:fill="auto"/>
            <w:noWrap/>
          </w:tcPr>
          <w:p w14:paraId="43E935E9" w14:textId="77777777" w:rsidR="00A36F2D" w:rsidRPr="00F81CB3" w:rsidRDefault="00A36F2D" w:rsidP="00BB605A">
            <w:pPr>
              <w:spacing w:after="0" w:line="240" w:lineRule="auto"/>
              <w:jc w:val="center"/>
              <w:rPr>
                <w:rFonts w:ascii="Segoe UI" w:hAnsi="Segoe UI" w:cs="Segoe UI"/>
              </w:rPr>
            </w:pPr>
          </w:p>
        </w:tc>
        <w:tc>
          <w:tcPr>
            <w:tcW w:w="1005" w:type="pct"/>
            <w:tcBorders>
              <w:top w:val="nil"/>
              <w:left w:val="nil"/>
              <w:bottom w:val="single" w:sz="4" w:space="0" w:color="auto"/>
              <w:right w:val="nil"/>
            </w:tcBorders>
            <w:shd w:val="clear" w:color="auto" w:fill="auto"/>
            <w:noWrap/>
          </w:tcPr>
          <w:p w14:paraId="64C60B8D" w14:textId="77777777" w:rsidR="00A36F2D" w:rsidRPr="00F81CB3" w:rsidRDefault="00A36F2D" w:rsidP="00BB605A">
            <w:pPr>
              <w:spacing w:after="0" w:line="240" w:lineRule="auto"/>
              <w:jc w:val="center"/>
              <w:rPr>
                <w:rFonts w:ascii="Segoe UI" w:hAnsi="Segoe UI" w:cs="Segoe UI"/>
              </w:rPr>
            </w:pPr>
          </w:p>
        </w:tc>
        <w:tc>
          <w:tcPr>
            <w:tcW w:w="793" w:type="pct"/>
            <w:tcBorders>
              <w:top w:val="nil"/>
              <w:left w:val="nil"/>
              <w:bottom w:val="single" w:sz="4" w:space="0" w:color="auto"/>
              <w:right w:val="nil"/>
            </w:tcBorders>
            <w:shd w:val="clear" w:color="auto" w:fill="auto"/>
            <w:noWrap/>
          </w:tcPr>
          <w:p w14:paraId="1CB60D3F" w14:textId="77777777" w:rsidR="00A36F2D" w:rsidRPr="00F81CB3" w:rsidRDefault="00A36F2D" w:rsidP="00BB605A">
            <w:pPr>
              <w:spacing w:after="0" w:line="240" w:lineRule="auto"/>
              <w:jc w:val="center"/>
              <w:rPr>
                <w:rFonts w:ascii="Segoe UI" w:hAnsi="Segoe UI" w:cs="Segoe UI"/>
              </w:rPr>
            </w:pPr>
          </w:p>
        </w:tc>
        <w:tc>
          <w:tcPr>
            <w:tcW w:w="1236" w:type="pct"/>
            <w:tcBorders>
              <w:top w:val="nil"/>
              <w:left w:val="nil"/>
              <w:bottom w:val="single" w:sz="4" w:space="0" w:color="auto"/>
              <w:right w:val="nil"/>
            </w:tcBorders>
            <w:shd w:val="clear" w:color="auto" w:fill="auto"/>
            <w:noWrap/>
          </w:tcPr>
          <w:p w14:paraId="0F26E861" w14:textId="77777777" w:rsidR="00A36F2D" w:rsidRPr="00F81CB3" w:rsidRDefault="00A36F2D" w:rsidP="00BB605A">
            <w:pPr>
              <w:spacing w:after="0" w:line="240" w:lineRule="auto"/>
              <w:jc w:val="center"/>
              <w:rPr>
                <w:rFonts w:ascii="Segoe UI" w:hAnsi="Segoe UI" w:cs="Segoe UI"/>
              </w:rPr>
            </w:pPr>
          </w:p>
        </w:tc>
      </w:tr>
    </w:tbl>
    <w:p w14:paraId="3897D1D2" w14:textId="77777777" w:rsidR="00A36F2D" w:rsidRPr="00F81CB3" w:rsidRDefault="00A36F2D" w:rsidP="00A36F2D">
      <w:pPr>
        <w:spacing w:line="240" w:lineRule="auto"/>
        <w:ind w:left="851" w:right="900"/>
        <w:jc w:val="both"/>
        <w:rPr>
          <w:rFonts w:ascii="Segoe UI" w:hAnsi="Segoe UI" w:cs="Segoe UI"/>
          <w:sz w:val="18"/>
          <w:szCs w:val="18"/>
        </w:rPr>
      </w:pPr>
      <w:r w:rsidRPr="00F81CB3">
        <w:rPr>
          <w:rFonts w:ascii="Segoe UI" w:hAnsi="Segoe UI" w:cs="Segoe UI"/>
          <w:b/>
          <w:sz w:val="18"/>
          <w:szCs w:val="18"/>
        </w:rPr>
        <w:t xml:space="preserve">Nota: </w:t>
      </w:r>
      <w:r w:rsidRPr="00F81CB3">
        <w:rPr>
          <w:rFonts w:ascii="Segoe UI" w:hAnsi="Segoe UI" w:cs="Segoe UI"/>
          <w:sz w:val="18"/>
          <w:szCs w:val="18"/>
        </w:rPr>
        <w:t>Debido a la obligación que tienen algunas entidades de repartir utilidades entre sus afiliados la comparación se realiza utilizando el “Resultado antes de participación de utilidades e impuestos”, los cuales, además de incluir los resultados operacionales, también incluyen los resultados financieros, es decir los rendimientos de sus inversiones propias y capital mínimo de funcionamiento.</w:t>
      </w:r>
    </w:p>
    <w:p w14:paraId="33594439" w14:textId="77777777" w:rsidR="00A36F2D" w:rsidRPr="00F81CB3" w:rsidRDefault="00A36F2D" w:rsidP="00A36F2D">
      <w:pPr>
        <w:pStyle w:val="Ttulo2"/>
        <w:spacing w:before="0" w:after="200" w:line="240" w:lineRule="auto"/>
        <w:rPr>
          <w:rFonts w:ascii="Segoe UI" w:hAnsi="Segoe UI" w:cs="Segoe UI"/>
          <w:sz w:val="22"/>
          <w:szCs w:val="22"/>
        </w:rPr>
      </w:pPr>
      <w:bookmarkStart w:id="9" w:name="_Toc28867063"/>
      <w:r w:rsidRPr="00F81CB3">
        <w:rPr>
          <w:rFonts w:ascii="Segoe UI" w:eastAsia="Times New Roman" w:hAnsi="Segoe UI" w:cs="Segoe UI"/>
          <w:sz w:val="22"/>
          <w:szCs w:val="22"/>
          <w:lang w:eastAsia="es-ES"/>
        </w:rPr>
        <w:t>1.4 Planes de Beneficios</w:t>
      </w:r>
      <w:bookmarkEnd w:id="9"/>
    </w:p>
    <w:p w14:paraId="029B1DDF"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Los afiliados que hicieron retiro total del ROP, para el período comprendido entre enero y junio de 2019, fueron 7 713.  En promedio, cada pensionado retiró 7,3 millones de colones. </w:t>
      </w:r>
    </w:p>
    <w:p w14:paraId="13D59B5A"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Por otro lado, al cierre del trimestre 4 297 afiliados tienen un retiro programado que otorga en promedio una pensión adicional a la del régimen básico de 73 000 colones</w:t>
      </w:r>
      <w:r>
        <w:rPr>
          <w:rFonts w:ascii="Segoe UI" w:hAnsi="Segoe UI" w:cs="Segoe UI"/>
        </w:rPr>
        <w:t xml:space="preserve"> mensuales</w:t>
      </w:r>
      <w:r w:rsidRPr="00F81CB3">
        <w:rPr>
          <w:rFonts w:ascii="Segoe UI" w:hAnsi="Segoe UI" w:cs="Segoe UI"/>
        </w:rPr>
        <w:t xml:space="preserve">. </w:t>
      </w:r>
      <w:r>
        <w:rPr>
          <w:rFonts w:ascii="Segoe UI" w:hAnsi="Segoe UI" w:cs="Segoe UI"/>
        </w:rPr>
        <w:t xml:space="preserve"> De igual forma, 2 567 personas optaron por una renta permanente que otorga en promedio 67 mil colones mensuales.</w:t>
      </w:r>
    </w:p>
    <w:p w14:paraId="04B58D0A" w14:textId="77777777" w:rsidR="00A36F2D" w:rsidRDefault="00A36F2D" w:rsidP="00A36F2D">
      <w:pPr>
        <w:rPr>
          <w:rFonts w:ascii="Segoe UI" w:hAnsi="Segoe UI" w:cs="Segoe UI"/>
        </w:rPr>
      </w:pPr>
      <w:r>
        <w:rPr>
          <w:rFonts w:ascii="Segoe UI" w:hAnsi="Segoe UI" w:cs="Segoe UI"/>
        </w:rPr>
        <w:br w:type="page"/>
      </w:r>
    </w:p>
    <w:p w14:paraId="43F06BBC"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lastRenderedPageBreak/>
        <w:t>Cuadro 9</w:t>
      </w:r>
    </w:p>
    <w:p w14:paraId="7961E07D"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 xml:space="preserve">ROP: </w:t>
      </w:r>
      <w:r w:rsidRPr="00F81CB3">
        <w:rPr>
          <w:rFonts w:ascii="Segoe UI" w:eastAsia="Times New Roman" w:hAnsi="Segoe UI" w:cs="Segoe UI"/>
          <w:bCs/>
          <w:color w:val="000000"/>
          <w:lang w:eastAsia="es-ES"/>
        </w:rPr>
        <w:t>Planes de Beneficios- Retiro Total</w:t>
      </w:r>
      <w:r w:rsidRPr="00F81CB3">
        <w:rPr>
          <w:rFonts w:ascii="Segoe UI" w:eastAsia="Times New Roman" w:hAnsi="Segoe UI" w:cs="Segoe UI"/>
          <w:b/>
          <w:bCs/>
          <w:color w:val="000000"/>
          <w:lang w:eastAsia="es-ES"/>
        </w:rPr>
        <w:t xml:space="preserve"> </w:t>
      </w:r>
    </w:p>
    <w:p w14:paraId="3AEE0968"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millones de colones costarricenses</w:t>
      </w:r>
    </w:p>
    <w:tbl>
      <w:tblPr>
        <w:tblW w:w="3866" w:type="pct"/>
        <w:jc w:val="center"/>
        <w:tblCellMar>
          <w:left w:w="70" w:type="dxa"/>
          <w:right w:w="70" w:type="dxa"/>
        </w:tblCellMar>
        <w:tblLook w:val="04A0" w:firstRow="1" w:lastRow="0" w:firstColumn="1" w:lastColumn="0" w:noHBand="0" w:noVBand="1"/>
      </w:tblPr>
      <w:tblGrid>
        <w:gridCol w:w="747"/>
        <w:gridCol w:w="1068"/>
        <w:gridCol w:w="1153"/>
        <w:gridCol w:w="1068"/>
        <w:gridCol w:w="1153"/>
        <w:gridCol w:w="1068"/>
        <w:gridCol w:w="1153"/>
      </w:tblGrid>
      <w:tr w:rsidR="00A36F2D" w:rsidRPr="00F81CB3" w14:paraId="6377A0B6" w14:textId="77777777" w:rsidTr="00BB605A">
        <w:trPr>
          <w:trHeight w:val="170"/>
          <w:jc w:val="center"/>
        </w:trPr>
        <w:tc>
          <w:tcPr>
            <w:tcW w:w="5000" w:type="pct"/>
            <w:gridSpan w:val="7"/>
            <w:tcBorders>
              <w:top w:val="single" w:sz="4" w:space="0" w:color="auto"/>
              <w:left w:val="nil"/>
              <w:bottom w:val="nil"/>
              <w:right w:val="nil"/>
            </w:tcBorders>
            <w:shd w:val="clear" w:color="auto" w:fill="auto"/>
            <w:noWrap/>
            <w:vAlign w:val="bottom"/>
            <w:hideMark/>
          </w:tcPr>
          <w:p w14:paraId="58EBA722"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eastAsia="es-ES"/>
              </w:rPr>
              <w:t>ROP: Planes de Beneficios, 2011 al 2019</w:t>
            </w:r>
          </w:p>
        </w:tc>
      </w:tr>
      <w:tr w:rsidR="00A36F2D" w:rsidRPr="00F81CB3" w14:paraId="5D9CBFF8"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7F5D4C64"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p>
        </w:tc>
        <w:tc>
          <w:tcPr>
            <w:tcW w:w="1395" w:type="pct"/>
            <w:gridSpan w:val="2"/>
            <w:tcBorders>
              <w:top w:val="nil"/>
              <w:left w:val="nil"/>
              <w:bottom w:val="nil"/>
              <w:right w:val="single" w:sz="4" w:space="0" w:color="auto"/>
            </w:tcBorders>
            <w:shd w:val="clear" w:color="auto" w:fill="auto"/>
            <w:noWrap/>
            <w:vAlign w:val="bottom"/>
            <w:hideMark/>
          </w:tcPr>
          <w:p w14:paraId="39489635"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Retiro total</w:t>
            </w:r>
          </w:p>
        </w:tc>
        <w:tc>
          <w:tcPr>
            <w:tcW w:w="1555" w:type="pct"/>
            <w:gridSpan w:val="2"/>
            <w:tcBorders>
              <w:top w:val="nil"/>
              <w:left w:val="single" w:sz="4" w:space="0" w:color="auto"/>
              <w:bottom w:val="nil"/>
              <w:right w:val="single" w:sz="4" w:space="0" w:color="auto"/>
            </w:tcBorders>
            <w:shd w:val="clear" w:color="auto" w:fill="auto"/>
            <w:noWrap/>
            <w:vAlign w:val="bottom"/>
            <w:hideMark/>
          </w:tcPr>
          <w:p w14:paraId="30B74F17"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Retiro programado</w:t>
            </w:r>
          </w:p>
        </w:tc>
        <w:tc>
          <w:tcPr>
            <w:tcW w:w="1503" w:type="pct"/>
            <w:gridSpan w:val="2"/>
            <w:tcBorders>
              <w:top w:val="nil"/>
              <w:left w:val="single" w:sz="4" w:space="0" w:color="auto"/>
              <w:bottom w:val="nil"/>
              <w:right w:val="nil"/>
            </w:tcBorders>
            <w:shd w:val="clear" w:color="auto" w:fill="auto"/>
            <w:noWrap/>
            <w:vAlign w:val="bottom"/>
            <w:hideMark/>
          </w:tcPr>
          <w:p w14:paraId="0361E50C"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Renta permanente</w:t>
            </w:r>
          </w:p>
        </w:tc>
      </w:tr>
      <w:tr w:rsidR="00A36F2D" w:rsidRPr="00F81CB3" w14:paraId="23CA2E60"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617D794A"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p>
        </w:tc>
        <w:tc>
          <w:tcPr>
            <w:tcW w:w="782" w:type="pct"/>
            <w:tcBorders>
              <w:top w:val="nil"/>
              <w:left w:val="nil"/>
              <w:bottom w:val="nil"/>
              <w:right w:val="nil"/>
            </w:tcBorders>
            <w:shd w:val="clear" w:color="auto" w:fill="auto"/>
            <w:vAlign w:val="center"/>
            <w:hideMark/>
          </w:tcPr>
          <w:p w14:paraId="25A2F0D0"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Cantidad</w:t>
            </w:r>
          </w:p>
        </w:tc>
        <w:tc>
          <w:tcPr>
            <w:tcW w:w="614" w:type="pct"/>
            <w:tcBorders>
              <w:top w:val="nil"/>
              <w:left w:val="nil"/>
              <w:bottom w:val="nil"/>
              <w:right w:val="single" w:sz="4" w:space="0" w:color="auto"/>
            </w:tcBorders>
            <w:shd w:val="clear" w:color="auto" w:fill="auto"/>
            <w:vAlign w:val="center"/>
            <w:hideMark/>
          </w:tcPr>
          <w:p w14:paraId="76FD28BC"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Monto promedio</w:t>
            </w:r>
          </w:p>
        </w:tc>
        <w:tc>
          <w:tcPr>
            <w:tcW w:w="925" w:type="pct"/>
            <w:tcBorders>
              <w:top w:val="nil"/>
              <w:left w:val="single" w:sz="4" w:space="0" w:color="auto"/>
              <w:bottom w:val="nil"/>
              <w:right w:val="nil"/>
            </w:tcBorders>
            <w:shd w:val="clear" w:color="auto" w:fill="auto"/>
            <w:vAlign w:val="center"/>
            <w:hideMark/>
          </w:tcPr>
          <w:p w14:paraId="6910B7F2"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Cantidad</w:t>
            </w:r>
          </w:p>
        </w:tc>
        <w:tc>
          <w:tcPr>
            <w:tcW w:w="630" w:type="pct"/>
            <w:tcBorders>
              <w:top w:val="nil"/>
              <w:left w:val="nil"/>
              <w:bottom w:val="nil"/>
              <w:right w:val="single" w:sz="4" w:space="0" w:color="auto"/>
            </w:tcBorders>
            <w:shd w:val="clear" w:color="auto" w:fill="auto"/>
            <w:vAlign w:val="center"/>
            <w:hideMark/>
          </w:tcPr>
          <w:p w14:paraId="416D9E4C"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Monto promedio</w:t>
            </w:r>
          </w:p>
        </w:tc>
        <w:tc>
          <w:tcPr>
            <w:tcW w:w="792" w:type="pct"/>
            <w:tcBorders>
              <w:top w:val="nil"/>
              <w:left w:val="single" w:sz="4" w:space="0" w:color="auto"/>
              <w:bottom w:val="nil"/>
              <w:right w:val="nil"/>
            </w:tcBorders>
            <w:shd w:val="clear" w:color="auto" w:fill="auto"/>
            <w:vAlign w:val="center"/>
            <w:hideMark/>
          </w:tcPr>
          <w:p w14:paraId="255EAC38"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Cantidad</w:t>
            </w:r>
          </w:p>
        </w:tc>
        <w:tc>
          <w:tcPr>
            <w:tcW w:w="711" w:type="pct"/>
            <w:tcBorders>
              <w:top w:val="nil"/>
              <w:left w:val="nil"/>
              <w:bottom w:val="nil"/>
              <w:right w:val="nil"/>
            </w:tcBorders>
            <w:shd w:val="clear" w:color="auto" w:fill="auto"/>
            <w:vAlign w:val="center"/>
            <w:hideMark/>
          </w:tcPr>
          <w:p w14:paraId="3C019552" w14:textId="77777777" w:rsidR="00A36F2D" w:rsidRPr="00F81CB3" w:rsidRDefault="00A36F2D" w:rsidP="00BB605A">
            <w:pPr>
              <w:spacing w:after="0" w:line="240" w:lineRule="auto"/>
              <w:jc w:val="center"/>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Monto promedio</w:t>
            </w:r>
          </w:p>
        </w:tc>
      </w:tr>
      <w:tr w:rsidR="00A36F2D" w:rsidRPr="00F81CB3" w14:paraId="315A2BB9" w14:textId="77777777" w:rsidTr="00BB605A">
        <w:trPr>
          <w:trHeight w:val="170"/>
          <w:jc w:val="center"/>
        </w:trPr>
        <w:tc>
          <w:tcPr>
            <w:tcW w:w="547" w:type="pct"/>
            <w:tcBorders>
              <w:top w:val="single" w:sz="4" w:space="0" w:color="auto"/>
              <w:left w:val="nil"/>
              <w:bottom w:val="nil"/>
              <w:right w:val="nil"/>
            </w:tcBorders>
            <w:shd w:val="clear" w:color="auto" w:fill="auto"/>
            <w:noWrap/>
            <w:vAlign w:val="bottom"/>
            <w:hideMark/>
          </w:tcPr>
          <w:p w14:paraId="1E61EC93"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2011</w:t>
            </w:r>
          </w:p>
        </w:tc>
        <w:tc>
          <w:tcPr>
            <w:tcW w:w="782" w:type="pct"/>
            <w:tcBorders>
              <w:top w:val="single" w:sz="4" w:space="0" w:color="auto"/>
              <w:left w:val="nil"/>
              <w:bottom w:val="nil"/>
              <w:right w:val="nil"/>
            </w:tcBorders>
            <w:shd w:val="clear" w:color="auto" w:fill="auto"/>
            <w:noWrap/>
            <w:vAlign w:val="bottom"/>
            <w:hideMark/>
          </w:tcPr>
          <w:p w14:paraId="2DBD72C2"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8 319</w:t>
            </w:r>
          </w:p>
        </w:tc>
        <w:tc>
          <w:tcPr>
            <w:tcW w:w="614" w:type="pct"/>
            <w:tcBorders>
              <w:top w:val="single" w:sz="4" w:space="0" w:color="auto"/>
              <w:left w:val="nil"/>
              <w:bottom w:val="nil"/>
              <w:right w:val="single" w:sz="4" w:space="0" w:color="auto"/>
            </w:tcBorders>
            <w:shd w:val="clear" w:color="auto" w:fill="auto"/>
            <w:noWrap/>
            <w:vAlign w:val="bottom"/>
            <w:hideMark/>
          </w:tcPr>
          <w:p w14:paraId="57E84E86"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2 185</w:t>
            </w:r>
          </w:p>
        </w:tc>
        <w:tc>
          <w:tcPr>
            <w:tcW w:w="925" w:type="pct"/>
            <w:tcBorders>
              <w:top w:val="single" w:sz="4" w:space="0" w:color="auto"/>
              <w:left w:val="single" w:sz="4" w:space="0" w:color="auto"/>
              <w:bottom w:val="nil"/>
              <w:right w:val="nil"/>
            </w:tcBorders>
            <w:shd w:val="clear" w:color="auto" w:fill="auto"/>
            <w:noWrap/>
            <w:vAlign w:val="bottom"/>
            <w:hideMark/>
          </w:tcPr>
          <w:p w14:paraId="0619408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8</w:t>
            </w:r>
          </w:p>
        </w:tc>
        <w:tc>
          <w:tcPr>
            <w:tcW w:w="630" w:type="pct"/>
            <w:tcBorders>
              <w:top w:val="single" w:sz="4" w:space="0" w:color="auto"/>
              <w:left w:val="nil"/>
              <w:bottom w:val="nil"/>
              <w:right w:val="single" w:sz="4" w:space="0" w:color="auto"/>
            </w:tcBorders>
            <w:shd w:val="clear" w:color="auto" w:fill="auto"/>
            <w:noWrap/>
            <w:vAlign w:val="bottom"/>
            <w:hideMark/>
          </w:tcPr>
          <w:p w14:paraId="11CE1AD8"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21</w:t>
            </w:r>
          </w:p>
        </w:tc>
        <w:tc>
          <w:tcPr>
            <w:tcW w:w="792" w:type="pct"/>
            <w:tcBorders>
              <w:top w:val="single" w:sz="4" w:space="0" w:color="auto"/>
              <w:left w:val="single" w:sz="4" w:space="0" w:color="auto"/>
              <w:bottom w:val="nil"/>
              <w:right w:val="nil"/>
            </w:tcBorders>
            <w:shd w:val="clear" w:color="auto" w:fill="auto"/>
            <w:noWrap/>
            <w:vAlign w:val="bottom"/>
            <w:hideMark/>
          </w:tcPr>
          <w:p w14:paraId="2AE89E19"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4</w:t>
            </w:r>
          </w:p>
        </w:tc>
        <w:tc>
          <w:tcPr>
            <w:tcW w:w="711" w:type="pct"/>
            <w:tcBorders>
              <w:top w:val="single" w:sz="4" w:space="0" w:color="auto"/>
              <w:left w:val="nil"/>
              <w:bottom w:val="nil"/>
              <w:right w:val="nil"/>
            </w:tcBorders>
            <w:shd w:val="clear" w:color="auto" w:fill="auto"/>
            <w:noWrap/>
            <w:vAlign w:val="bottom"/>
            <w:hideMark/>
          </w:tcPr>
          <w:p w14:paraId="3905DF74"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206</w:t>
            </w:r>
          </w:p>
        </w:tc>
      </w:tr>
      <w:tr w:rsidR="00A36F2D" w:rsidRPr="00F81CB3" w14:paraId="6036E020"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6B4C3617"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2012</w:t>
            </w:r>
          </w:p>
        </w:tc>
        <w:tc>
          <w:tcPr>
            <w:tcW w:w="782" w:type="pct"/>
            <w:tcBorders>
              <w:top w:val="nil"/>
              <w:left w:val="nil"/>
              <w:bottom w:val="nil"/>
              <w:right w:val="nil"/>
            </w:tcBorders>
            <w:shd w:val="clear" w:color="auto" w:fill="auto"/>
            <w:noWrap/>
            <w:vAlign w:val="bottom"/>
            <w:hideMark/>
          </w:tcPr>
          <w:p w14:paraId="65C4010C"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10 282</w:t>
            </w:r>
          </w:p>
        </w:tc>
        <w:tc>
          <w:tcPr>
            <w:tcW w:w="614" w:type="pct"/>
            <w:tcBorders>
              <w:top w:val="nil"/>
              <w:left w:val="nil"/>
              <w:bottom w:val="nil"/>
              <w:right w:val="single" w:sz="4" w:space="0" w:color="auto"/>
            </w:tcBorders>
            <w:shd w:val="clear" w:color="auto" w:fill="auto"/>
            <w:noWrap/>
            <w:vAlign w:val="bottom"/>
            <w:hideMark/>
          </w:tcPr>
          <w:p w14:paraId="2B690A65"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2 838</w:t>
            </w:r>
          </w:p>
        </w:tc>
        <w:tc>
          <w:tcPr>
            <w:tcW w:w="925" w:type="pct"/>
            <w:tcBorders>
              <w:top w:val="nil"/>
              <w:left w:val="single" w:sz="4" w:space="0" w:color="auto"/>
              <w:bottom w:val="nil"/>
              <w:right w:val="nil"/>
            </w:tcBorders>
            <w:shd w:val="clear" w:color="auto" w:fill="auto"/>
            <w:noWrap/>
            <w:vAlign w:val="bottom"/>
            <w:hideMark/>
          </w:tcPr>
          <w:p w14:paraId="77C080C8"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24</w:t>
            </w:r>
          </w:p>
        </w:tc>
        <w:tc>
          <w:tcPr>
            <w:tcW w:w="630" w:type="pct"/>
            <w:tcBorders>
              <w:top w:val="nil"/>
              <w:left w:val="nil"/>
              <w:bottom w:val="nil"/>
              <w:right w:val="single" w:sz="4" w:space="0" w:color="auto"/>
            </w:tcBorders>
            <w:shd w:val="clear" w:color="auto" w:fill="auto"/>
            <w:noWrap/>
            <w:vAlign w:val="bottom"/>
            <w:hideMark/>
          </w:tcPr>
          <w:p w14:paraId="2F196C6C"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41</w:t>
            </w:r>
          </w:p>
        </w:tc>
        <w:tc>
          <w:tcPr>
            <w:tcW w:w="792" w:type="pct"/>
            <w:tcBorders>
              <w:top w:val="nil"/>
              <w:left w:val="single" w:sz="4" w:space="0" w:color="auto"/>
              <w:bottom w:val="nil"/>
              <w:right w:val="nil"/>
            </w:tcBorders>
            <w:shd w:val="clear" w:color="auto" w:fill="auto"/>
            <w:noWrap/>
            <w:vAlign w:val="bottom"/>
            <w:hideMark/>
          </w:tcPr>
          <w:p w14:paraId="7D613722"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9</w:t>
            </w:r>
          </w:p>
        </w:tc>
        <w:tc>
          <w:tcPr>
            <w:tcW w:w="711" w:type="pct"/>
            <w:tcBorders>
              <w:top w:val="nil"/>
              <w:left w:val="nil"/>
              <w:bottom w:val="nil"/>
              <w:right w:val="nil"/>
            </w:tcBorders>
            <w:shd w:val="clear" w:color="auto" w:fill="auto"/>
            <w:noWrap/>
            <w:vAlign w:val="bottom"/>
            <w:hideMark/>
          </w:tcPr>
          <w:p w14:paraId="158D13A2"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95</w:t>
            </w:r>
          </w:p>
        </w:tc>
      </w:tr>
      <w:tr w:rsidR="00A36F2D" w:rsidRPr="00F81CB3" w14:paraId="3B12FD7D"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34412742"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2013</w:t>
            </w:r>
          </w:p>
        </w:tc>
        <w:tc>
          <w:tcPr>
            <w:tcW w:w="782" w:type="pct"/>
            <w:tcBorders>
              <w:top w:val="nil"/>
              <w:left w:val="nil"/>
              <w:bottom w:val="nil"/>
              <w:right w:val="nil"/>
            </w:tcBorders>
            <w:shd w:val="clear" w:color="auto" w:fill="auto"/>
            <w:noWrap/>
            <w:vAlign w:val="bottom"/>
            <w:hideMark/>
          </w:tcPr>
          <w:p w14:paraId="428BDD94"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10 871</w:t>
            </w:r>
          </w:p>
        </w:tc>
        <w:tc>
          <w:tcPr>
            <w:tcW w:w="614" w:type="pct"/>
            <w:tcBorders>
              <w:top w:val="nil"/>
              <w:left w:val="nil"/>
              <w:bottom w:val="nil"/>
              <w:right w:val="single" w:sz="4" w:space="0" w:color="auto"/>
            </w:tcBorders>
            <w:shd w:val="clear" w:color="auto" w:fill="auto"/>
            <w:noWrap/>
            <w:vAlign w:val="bottom"/>
            <w:hideMark/>
          </w:tcPr>
          <w:p w14:paraId="0AC03F00"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3 381</w:t>
            </w:r>
          </w:p>
        </w:tc>
        <w:tc>
          <w:tcPr>
            <w:tcW w:w="925" w:type="pct"/>
            <w:tcBorders>
              <w:top w:val="nil"/>
              <w:left w:val="single" w:sz="4" w:space="0" w:color="auto"/>
              <w:bottom w:val="nil"/>
              <w:right w:val="nil"/>
            </w:tcBorders>
            <w:shd w:val="clear" w:color="auto" w:fill="auto"/>
            <w:noWrap/>
            <w:vAlign w:val="bottom"/>
            <w:hideMark/>
          </w:tcPr>
          <w:p w14:paraId="0C3D9A60"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66</w:t>
            </w:r>
          </w:p>
        </w:tc>
        <w:tc>
          <w:tcPr>
            <w:tcW w:w="630" w:type="pct"/>
            <w:tcBorders>
              <w:top w:val="nil"/>
              <w:left w:val="nil"/>
              <w:bottom w:val="nil"/>
              <w:right w:val="single" w:sz="4" w:space="0" w:color="auto"/>
            </w:tcBorders>
            <w:shd w:val="clear" w:color="auto" w:fill="auto"/>
            <w:noWrap/>
            <w:vAlign w:val="bottom"/>
            <w:hideMark/>
          </w:tcPr>
          <w:p w14:paraId="32581145"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58</w:t>
            </w:r>
          </w:p>
        </w:tc>
        <w:tc>
          <w:tcPr>
            <w:tcW w:w="792" w:type="pct"/>
            <w:tcBorders>
              <w:top w:val="nil"/>
              <w:left w:val="single" w:sz="4" w:space="0" w:color="auto"/>
              <w:bottom w:val="nil"/>
              <w:right w:val="nil"/>
            </w:tcBorders>
            <w:shd w:val="clear" w:color="auto" w:fill="auto"/>
            <w:noWrap/>
            <w:vAlign w:val="bottom"/>
            <w:hideMark/>
          </w:tcPr>
          <w:p w14:paraId="779B46F9"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79</w:t>
            </w:r>
          </w:p>
        </w:tc>
        <w:tc>
          <w:tcPr>
            <w:tcW w:w="711" w:type="pct"/>
            <w:tcBorders>
              <w:top w:val="nil"/>
              <w:left w:val="nil"/>
              <w:bottom w:val="nil"/>
              <w:right w:val="nil"/>
            </w:tcBorders>
            <w:shd w:val="clear" w:color="auto" w:fill="auto"/>
            <w:noWrap/>
            <w:vAlign w:val="bottom"/>
            <w:hideMark/>
          </w:tcPr>
          <w:p w14:paraId="1AFEC688"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144</w:t>
            </w:r>
          </w:p>
        </w:tc>
      </w:tr>
      <w:tr w:rsidR="00A36F2D" w:rsidRPr="00F81CB3" w14:paraId="23E282FC"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62937315"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2014</w:t>
            </w:r>
          </w:p>
        </w:tc>
        <w:tc>
          <w:tcPr>
            <w:tcW w:w="782" w:type="pct"/>
            <w:tcBorders>
              <w:top w:val="nil"/>
              <w:left w:val="nil"/>
              <w:bottom w:val="nil"/>
              <w:right w:val="nil"/>
            </w:tcBorders>
            <w:shd w:val="clear" w:color="auto" w:fill="auto"/>
            <w:noWrap/>
            <w:vAlign w:val="bottom"/>
            <w:hideMark/>
          </w:tcPr>
          <w:p w14:paraId="4DB2E231"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10 802</w:t>
            </w:r>
          </w:p>
        </w:tc>
        <w:tc>
          <w:tcPr>
            <w:tcW w:w="614" w:type="pct"/>
            <w:tcBorders>
              <w:top w:val="nil"/>
              <w:left w:val="nil"/>
              <w:bottom w:val="nil"/>
              <w:right w:val="single" w:sz="4" w:space="0" w:color="auto"/>
            </w:tcBorders>
            <w:shd w:val="clear" w:color="auto" w:fill="auto"/>
            <w:noWrap/>
            <w:vAlign w:val="bottom"/>
            <w:hideMark/>
          </w:tcPr>
          <w:p w14:paraId="629C4B6A"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4 100</w:t>
            </w:r>
          </w:p>
        </w:tc>
        <w:tc>
          <w:tcPr>
            <w:tcW w:w="925" w:type="pct"/>
            <w:tcBorders>
              <w:top w:val="nil"/>
              <w:left w:val="single" w:sz="4" w:space="0" w:color="auto"/>
              <w:bottom w:val="nil"/>
              <w:right w:val="nil"/>
            </w:tcBorders>
            <w:shd w:val="clear" w:color="auto" w:fill="auto"/>
            <w:noWrap/>
            <w:vAlign w:val="bottom"/>
            <w:hideMark/>
          </w:tcPr>
          <w:p w14:paraId="210604A4"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231</w:t>
            </w:r>
          </w:p>
        </w:tc>
        <w:tc>
          <w:tcPr>
            <w:tcW w:w="630" w:type="pct"/>
            <w:tcBorders>
              <w:top w:val="nil"/>
              <w:left w:val="nil"/>
              <w:bottom w:val="nil"/>
              <w:right w:val="single" w:sz="4" w:space="0" w:color="auto"/>
            </w:tcBorders>
            <w:shd w:val="clear" w:color="auto" w:fill="auto"/>
            <w:noWrap/>
            <w:vAlign w:val="bottom"/>
            <w:hideMark/>
          </w:tcPr>
          <w:p w14:paraId="7EECC6F7"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76</w:t>
            </w:r>
          </w:p>
        </w:tc>
        <w:tc>
          <w:tcPr>
            <w:tcW w:w="792" w:type="pct"/>
            <w:tcBorders>
              <w:top w:val="nil"/>
              <w:left w:val="single" w:sz="4" w:space="0" w:color="auto"/>
              <w:bottom w:val="nil"/>
              <w:right w:val="nil"/>
            </w:tcBorders>
            <w:shd w:val="clear" w:color="auto" w:fill="auto"/>
            <w:noWrap/>
            <w:vAlign w:val="bottom"/>
            <w:hideMark/>
          </w:tcPr>
          <w:p w14:paraId="5C99E532"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127</w:t>
            </w:r>
          </w:p>
        </w:tc>
        <w:tc>
          <w:tcPr>
            <w:tcW w:w="711" w:type="pct"/>
            <w:tcBorders>
              <w:top w:val="nil"/>
              <w:left w:val="nil"/>
              <w:bottom w:val="nil"/>
              <w:right w:val="nil"/>
            </w:tcBorders>
            <w:shd w:val="clear" w:color="auto" w:fill="auto"/>
            <w:noWrap/>
            <w:vAlign w:val="bottom"/>
            <w:hideMark/>
          </w:tcPr>
          <w:p w14:paraId="16FA858F"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80</w:t>
            </w:r>
          </w:p>
        </w:tc>
      </w:tr>
      <w:tr w:rsidR="00A36F2D" w:rsidRPr="00F81CB3" w14:paraId="015E7E31"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43C7D4B0"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2015</w:t>
            </w:r>
          </w:p>
        </w:tc>
        <w:tc>
          <w:tcPr>
            <w:tcW w:w="782" w:type="pct"/>
            <w:tcBorders>
              <w:top w:val="nil"/>
              <w:left w:val="nil"/>
              <w:bottom w:val="nil"/>
              <w:right w:val="nil"/>
            </w:tcBorders>
            <w:shd w:val="clear" w:color="auto" w:fill="auto"/>
            <w:noWrap/>
            <w:vAlign w:val="bottom"/>
            <w:hideMark/>
          </w:tcPr>
          <w:p w14:paraId="6437474A"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11 993</w:t>
            </w:r>
          </w:p>
        </w:tc>
        <w:tc>
          <w:tcPr>
            <w:tcW w:w="614" w:type="pct"/>
            <w:tcBorders>
              <w:top w:val="nil"/>
              <w:left w:val="nil"/>
              <w:bottom w:val="nil"/>
              <w:right w:val="single" w:sz="4" w:space="0" w:color="auto"/>
            </w:tcBorders>
            <w:shd w:val="clear" w:color="auto" w:fill="auto"/>
            <w:noWrap/>
            <w:vAlign w:val="bottom"/>
            <w:hideMark/>
          </w:tcPr>
          <w:p w14:paraId="37B6DC8B"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4 564</w:t>
            </w:r>
          </w:p>
        </w:tc>
        <w:tc>
          <w:tcPr>
            <w:tcW w:w="925" w:type="pct"/>
            <w:tcBorders>
              <w:top w:val="nil"/>
              <w:left w:val="single" w:sz="4" w:space="0" w:color="auto"/>
              <w:bottom w:val="nil"/>
              <w:right w:val="nil"/>
            </w:tcBorders>
            <w:shd w:val="clear" w:color="auto" w:fill="auto"/>
            <w:noWrap/>
            <w:vAlign w:val="bottom"/>
            <w:hideMark/>
          </w:tcPr>
          <w:p w14:paraId="7D37813B"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390</w:t>
            </w:r>
          </w:p>
        </w:tc>
        <w:tc>
          <w:tcPr>
            <w:tcW w:w="630" w:type="pct"/>
            <w:tcBorders>
              <w:top w:val="nil"/>
              <w:left w:val="nil"/>
              <w:bottom w:val="nil"/>
              <w:right w:val="single" w:sz="4" w:space="0" w:color="auto"/>
            </w:tcBorders>
            <w:shd w:val="clear" w:color="auto" w:fill="auto"/>
            <w:noWrap/>
            <w:vAlign w:val="bottom"/>
            <w:hideMark/>
          </w:tcPr>
          <w:p w14:paraId="5565B23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80</w:t>
            </w:r>
          </w:p>
        </w:tc>
        <w:tc>
          <w:tcPr>
            <w:tcW w:w="792" w:type="pct"/>
            <w:tcBorders>
              <w:top w:val="nil"/>
              <w:left w:val="single" w:sz="4" w:space="0" w:color="auto"/>
              <w:bottom w:val="nil"/>
              <w:right w:val="nil"/>
            </w:tcBorders>
            <w:shd w:val="clear" w:color="auto" w:fill="auto"/>
            <w:noWrap/>
            <w:vAlign w:val="bottom"/>
            <w:hideMark/>
          </w:tcPr>
          <w:p w14:paraId="3973A71A"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333</w:t>
            </w:r>
          </w:p>
        </w:tc>
        <w:tc>
          <w:tcPr>
            <w:tcW w:w="711" w:type="pct"/>
            <w:tcBorders>
              <w:top w:val="nil"/>
              <w:left w:val="nil"/>
              <w:bottom w:val="nil"/>
              <w:right w:val="nil"/>
            </w:tcBorders>
            <w:shd w:val="clear" w:color="auto" w:fill="auto"/>
            <w:noWrap/>
            <w:vAlign w:val="bottom"/>
            <w:hideMark/>
          </w:tcPr>
          <w:p w14:paraId="24DE5B3A"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102</w:t>
            </w:r>
          </w:p>
        </w:tc>
      </w:tr>
      <w:tr w:rsidR="00A36F2D" w:rsidRPr="00F81CB3" w14:paraId="0523B94C"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211BC12B"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2016</w:t>
            </w:r>
          </w:p>
        </w:tc>
        <w:tc>
          <w:tcPr>
            <w:tcW w:w="782" w:type="pct"/>
            <w:tcBorders>
              <w:top w:val="nil"/>
              <w:left w:val="nil"/>
              <w:bottom w:val="nil"/>
              <w:right w:val="nil"/>
            </w:tcBorders>
            <w:shd w:val="clear" w:color="auto" w:fill="auto"/>
            <w:noWrap/>
            <w:vAlign w:val="bottom"/>
            <w:hideMark/>
          </w:tcPr>
          <w:p w14:paraId="40CE5E45"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12 756</w:t>
            </w:r>
          </w:p>
        </w:tc>
        <w:tc>
          <w:tcPr>
            <w:tcW w:w="614" w:type="pct"/>
            <w:tcBorders>
              <w:top w:val="nil"/>
              <w:left w:val="nil"/>
              <w:bottom w:val="nil"/>
              <w:right w:val="single" w:sz="4" w:space="0" w:color="auto"/>
            </w:tcBorders>
            <w:shd w:val="clear" w:color="auto" w:fill="auto"/>
            <w:noWrap/>
            <w:vAlign w:val="bottom"/>
            <w:hideMark/>
          </w:tcPr>
          <w:p w14:paraId="480365A1"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5 349</w:t>
            </w:r>
          </w:p>
        </w:tc>
        <w:tc>
          <w:tcPr>
            <w:tcW w:w="925" w:type="pct"/>
            <w:tcBorders>
              <w:top w:val="nil"/>
              <w:left w:val="single" w:sz="4" w:space="0" w:color="auto"/>
              <w:bottom w:val="nil"/>
              <w:right w:val="nil"/>
            </w:tcBorders>
            <w:shd w:val="clear" w:color="auto" w:fill="auto"/>
            <w:noWrap/>
            <w:vAlign w:val="bottom"/>
            <w:hideMark/>
          </w:tcPr>
          <w:p w14:paraId="455EAA81"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567</w:t>
            </w:r>
          </w:p>
        </w:tc>
        <w:tc>
          <w:tcPr>
            <w:tcW w:w="630" w:type="pct"/>
            <w:tcBorders>
              <w:top w:val="nil"/>
              <w:left w:val="nil"/>
              <w:bottom w:val="nil"/>
              <w:right w:val="single" w:sz="4" w:space="0" w:color="auto"/>
            </w:tcBorders>
            <w:shd w:val="clear" w:color="auto" w:fill="auto"/>
            <w:noWrap/>
            <w:vAlign w:val="bottom"/>
            <w:hideMark/>
          </w:tcPr>
          <w:p w14:paraId="5BBFE89C"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77</w:t>
            </w:r>
          </w:p>
        </w:tc>
        <w:tc>
          <w:tcPr>
            <w:tcW w:w="792" w:type="pct"/>
            <w:tcBorders>
              <w:top w:val="nil"/>
              <w:left w:val="single" w:sz="4" w:space="0" w:color="auto"/>
              <w:bottom w:val="nil"/>
              <w:right w:val="nil"/>
            </w:tcBorders>
            <w:shd w:val="clear" w:color="auto" w:fill="auto"/>
            <w:noWrap/>
            <w:vAlign w:val="bottom"/>
            <w:hideMark/>
          </w:tcPr>
          <w:p w14:paraId="6C4B8907"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984</w:t>
            </w:r>
          </w:p>
        </w:tc>
        <w:tc>
          <w:tcPr>
            <w:tcW w:w="711" w:type="pct"/>
            <w:tcBorders>
              <w:top w:val="nil"/>
              <w:left w:val="nil"/>
              <w:bottom w:val="nil"/>
              <w:right w:val="nil"/>
            </w:tcBorders>
            <w:shd w:val="clear" w:color="auto" w:fill="auto"/>
            <w:noWrap/>
            <w:vAlign w:val="bottom"/>
            <w:hideMark/>
          </w:tcPr>
          <w:p w14:paraId="28D4C203"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93</w:t>
            </w:r>
          </w:p>
        </w:tc>
      </w:tr>
      <w:tr w:rsidR="00A36F2D" w:rsidRPr="00F81CB3" w14:paraId="0F57FFA4"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468841AC"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2017</w:t>
            </w:r>
          </w:p>
        </w:tc>
        <w:tc>
          <w:tcPr>
            <w:tcW w:w="782" w:type="pct"/>
            <w:tcBorders>
              <w:top w:val="nil"/>
              <w:left w:val="nil"/>
              <w:bottom w:val="nil"/>
              <w:right w:val="nil"/>
            </w:tcBorders>
            <w:shd w:val="clear" w:color="auto" w:fill="auto"/>
            <w:noWrap/>
            <w:vAlign w:val="bottom"/>
            <w:hideMark/>
          </w:tcPr>
          <w:p w14:paraId="744C2BA3"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13 440</w:t>
            </w:r>
          </w:p>
        </w:tc>
        <w:tc>
          <w:tcPr>
            <w:tcW w:w="614" w:type="pct"/>
            <w:tcBorders>
              <w:top w:val="nil"/>
              <w:left w:val="nil"/>
              <w:bottom w:val="nil"/>
              <w:right w:val="single" w:sz="4" w:space="0" w:color="auto"/>
            </w:tcBorders>
            <w:shd w:val="clear" w:color="auto" w:fill="auto"/>
            <w:noWrap/>
            <w:vAlign w:val="bottom"/>
            <w:hideMark/>
          </w:tcPr>
          <w:p w14:paraId="29330959"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6 023</w:t>
            </w:r>
          </w:p>
        </w:tc>
        <w:tc>
          <w:tcPr>
            <w:tcW w:w="925" w:type="pct"/>
            <w:tcBorders>
              <w:top w:val="nil"/>
              <w:left w:val="single" w:sz="4" w:space="0" w:color="auto"/>
              <w:bottom w:val="nil"/>
              <w:right w:val="nil"/>
            </w:tcBorders>
            <w:shd w:val="clear" w:color="auto" w:fill="auto"/>
            <w:noWrap/>
            <w:vAlign w:val="bottom"/>
            <w:hideMark/>
          </w:tcPr>
          <w:p w14:paraId="25FA5BFF"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1 449</w:t>
            </w:r>
          </w:p>
        </w:tc>
        <w:tc>
          <w:tcPr>
            <w:tcW w:w="630" w:type="pct"/>
            <w:tcBorders>
              <w:top w:val="nil"/>
              <w:left w:val="nil"/>
              <w:bottom w:val="nil"/>
              <w:right w:val="single" w:sz="4" w:space="0" w:color="auto"/>
            </w:tcBorders>
            <w:shd w:val="clear" w:color="auto" w:fill="auto"/>
            <w:noWrap/>
            <w:vAlign w:val="bottom"/>
            <w:hideMark/>
          </w:tcPr>
          <w:p w14:paraId="10A8161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69</w:t>
            </w:r>
          </w:p>
        </w:tc>
        <w:tc>
          <w:tcPr>
            <w:tcW w:w="792" w:type="pct"/>
            <w:tcBorders>
              <w:top w:val="nil"/>
              <w:left w:val="single" w:sz="4" w:space="0" w:color="auto"/>
              <w:bottom w:val="nil"/>
              <w:right w:val="nil"/>
            </w:tcBorders>
            <w:shd w:val="clear" w:color="auto" w:fill="auto"/>
            <w:noWrap/>
            <w:vAlign w:val="bottom"/>
            <w:hideMark/>
          </w:tcPr>
          <w:p w14:paraId="1B650D29"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1 524</w:t>
            </w:r>
          </w:p>
        </w:tc>
        <w:tc>
          <w:tcPr>
            <w:tcW w:w="711" w:type="pct"/>
            <w:tcBorders>
              <w:top w:val="nil"/>
              <w:left w:val="nil"/>
              <w:bottom w:val="nil"/>
              <w:right w:val="nil"/>
            </w:tcBorders>
            <w:shd w:val="clear" w:color="auto" w:fill="auto"/>
            <w:noWrap/>
            <w:vAlign w:val="bottom"/>
            <w:hideMark/>
          </w:tcPr>
          <w:p w14:paraId="0EB6A155"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66</w:t>
            </w:r>
          </w:p>
        </w:tc>
      </w:tr>
      <w:tr w:rsidR="00A36F2D" w:rsidRPr="00F81CB3" w14:paraId="06C9D954" w14:textId="77777777" w:rsidTr="00BB605A">
        <w:trPr>
          <w:trHeight w:val="170"/>
          <w:jc w:val="center"/>
        </w:trPr>
        <w:tc>
          <w:tcPr>
            <w:tcW w:w="547" w:type="pct"/>
            <w:tcBorders>
              <w:top w:val="nil"/>
              <w:left w:val="nil"/>
              <w:bottom w:val="nil"/>
              <w:right w:val="nil"/>
            </w:tcBorders>
            <w:shd w:val="clear" w:color="auto" w:fill="auto"/>
            <w:noWrap/>
            <w:vAlign w:val="bottom"/>
            <w:hideMark/>
          </w:tcPr>
          <w:p w14:paraId="3DF6EE2D"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2018</w:t>
            </w:r>
          </w:p>
        </w:tc>
        <w:tc>
          <w:tcPr>
            <w:tcW w:w="782" w:type="pct"/>
            <w:tcBorders>
              <w:top w:val="nil"/>
              <w:left w:val="nil"/>
              <w:bottom w:val="nil"/>
              <w:right w:val="nil"/>
            </w:tcBorders>
            <w:shd w:val="clear" w:color="auto" w:fill="auto"/>
            <w:noWrap/>
            <w:vAlign w:val="bottom"/>
            <w:hideMark/>
          </w:tcPr>
          <w:p w14:paraId="451C05A5"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13 831</w:t>
            </w:r>
          </w:p>
        </w:tc>
        <w:tc>
          <w:tcPr>
            <w:tcW w:w="614" w:type="pct"/>
            <w:tcBorders>
              <w:top w:val="nil"/>
              <w:left w:val="nil"/>
              <w:bottom w:val="nil"/>
              <w:right w:val="single" w:sz="4" w:space="0" w:color="auto"/>
            </w:tcBorders>
            <w:shd w:val="clear" w:color="auto" w:fill="auto"/>
            <w:noWrap/>
            <w:vAlign w:val="bottom"/>
            <w:hideMark/>
          </w:tcPr>
          <w:p w14:paraId="5F1167DA"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6 688</w:t>
            </w:r>
          </w:p>
        </w:tc>
        <w:tc>
          <w:tcPr>
            <w:tcW w:w="925" w:type="pct"/>
            <w:tcBorders>
              <w:top w:val="nil"/>
              <w:left w:val="single" w:sz="4" w:space="0" w:color="auto"/>
              <w:bottom w:val="nil"/>
              <w:right w:val="nil"/>
            </w:tcBorders>
            <w:shd w:val="clear" w:color="auto" w:fill="auto"/>
            <w:noWrap/>
            <w:vAlign w:val="bottom"/>
            <w:hideMark/>
          </w:tcPr>
          <w:p w14:paraId="39C9F907"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3 420</w:t>
            </w:r>
          </w:p>
        </w:tc>
        <w:tc>
          <w:tcPr>
            <w:tcW w:w="630" w:type="pct"/>
            <w:tcBorders>
              <w:top w:val="nil"/>
              <w:left w:val="nil"/>
              <w:bottom w:val="nil"/>
              <w:right w:val="single" w:sz="4" w:space="0" w:color="auto"/>
            </w:tcBorders>
            <w:shd w:val="clear" w:color="auto" w:fill="auto"/>
            <w:noWrap/>
            <w:vAlign w:val="bottom"/>
            <w:hideMark/>
          </w:tcPr>
          <w:p w14:paraId="14634B6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71</w:t>
            </w:r>
          </w:p>
        </w:tc>
        <w:tc>
          <w:tcPr>
            <w:tcW w:w="792" w:type="pct"/>
            <w:tcBorders>
              <w:top w:val="nil"/>
              <w:left w:val="single" w:sz="4" w:space="0" w:color="auto"/>
              <w:bottom w:val="nil"/>
              <w:right w:val="nil"/>
            </w:tcBorders>
            <w:shd w:val="clear" w:color="auto" w:fill="auto"/>
            <w:noWrap/>
            <w:vAlign w:val="bottom"/>
            <w:hideMark/>
          </w:tcPr>
          <w:p w14:paraId="40514BD2"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1 871</w:t>
            </w:r>
          </w:p>
        </w:tc>
        <w:tc>
          <w:tcPr>
            <w:tcW w:w="711" w:type="pct"/>
            <w:tcBorders>
              <w:top w:val="nil"/>
              <w:left w:val="nil"/>
              <w:bottom w:val="nil"/>
              <w:right w:val="nil"/>
            </w:tcBorders>
            <w:shd w:val="clear" w:color="auto" w:fill="auto"/>
            <w:noWrap/>
            <w:vAlign w:val="bottom"/>
            <w:hideMark/>
          </w:tcPr>
          <w:p w14:paraId="09D68C1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62</w:t>
            </w:r>
          </w:p>
        </w:tc>
      </w:tr>
      <w:tr w:rsidR="00A36F2D" w:rsidRPr="00F81CB3" w14:paraId="6DB625CE" w14:textId="77777777" w:rsidTr="00BB605A">
        <w:trPr>
          <w:trHeight w:val="170"/>
          <w:jc w:val="center"/>
        </w:trPr>
        <w:tc>
          <w:tcPr>
            <w:tcW w:w="547" w:type="pct"/>
            <w:tcBorders>
              <w:top w:val="nil"/>
              <w:left w:val="nil"/>
              <w:bottom w:val="single" w:sz="8" w:space="0" w:color="auto"/>
              <w:right w:val="nil"/>
            </w:tcBorders>
            <w:shd w:val="clear" w:color="auto" w:fill="auto"/>
            <w:noWrap/>
            <w:vAlign w:val="bottom"/>
            <w:hideMark/>
          </w:tcPr>
          <w:p w14:paraId="08A3261D" w14:textId="77777777" w:rsidR="00A36F2D" w:rsidRPr="00F81CB3" w:rsidRDefault="00A36F2D" w:rsidP="00BB605A">
            <w:pPr>
              <w:spacing w:after="0" w:line="240" w:lineRule="auto"/>
              <w:jc w:val="right"/>
              <w:rPr>
                <w:rFonts w:ascii="Segoe UI" w:eastAsia="Times New Roman" w:hAnsi="Segoe UI" w:cs="Segoe UI"/>
                <w:b/>
                <w:bCs/>
                <w:color w:val="000000"/>
                <w:lang w:eastAsia="es-ES"/>
              </w:rPr>
            </w:pPr>
            <w:r w:rsidRPr="00F81CB3">
              <w:rPr>
                <w:rFonts w:ascii="Segoe UI" w:eastAsia="Times New Roman" w:hAnsi="Segoe UI" w:cs="Segoe UI"/>
                <w:b/>
                <w:bCs/>
                <w:color w:val="000000"/>
                <w:lang w:val="es-CR" w:eastAsia="es-ES"/>
              </w:rPr>
              <w:t>2019*</w:t>
            </w:r>
          </w:p>
        </w:tc>
        <w:tc>
          <w:tcPr>
            <w:tcW w:w="782" w:type="pct"/>
            <w:tcBorders>
              <w:top w:val="nil"/>
              <w:left w:val="nil"/>
              <w:bottom w:val="single" w:sz="8" w:space="0" w:color="auto"/>
              <w:right w:val="nil"/>
            </w:tcBorders>
            <w:shd w:val="clear" w:color="auto" w:fill="auto"/>
            <w:noWrap/>
            <w:vAlign w:val="bottom"/>
            <w:hideMark/>
          </w:tcPr>
          <w:p w14:paraId="75F9DBA8"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7 713</w:t>
            </w:r>
          </w:p>
        </w:tc>
        <w:tc>
          <w:tcPr>
            <w:tcW w:w="614" w:type="pct"/>
            <w:tcBorders>
              <w:top w:val="nil"/>
              <w:left w:val="nil"/>
              <w:bottom w:val="single" w:sz="8" w:space="0" w:color="auto"/>
              <w:right w:val="single" w:sz="4" w:space="0" w:color="auto"/>
            </w:tcBorders>
            <w:shd w:val="clear" w:color="auto" w:fill="auto"/>
            <w:noWrap/>
            <w:vAlign w:val="bottom"/>
            <w:hideMark/>
          </w:tcPr>
          <w:p w14:paraId="0D6CB3EC" w14:textId="77777777" w:rsidR="00A36F2D" w:rsidRPr="00F81CB3" w:rsidRDefault="00A36F2D" w:rsidP="00BB605A">
            <w:pPr>
              <w:spacing w:after="0" w:line="240" w:lineRule="auto"/>
              <w:jc w:val="center"/>
              <w:rPr>
                <w:rFonts w:ascii="Segoe UI" w:eastAsia="Times New Roman" w:hAnsi="Segoe UI" w:cs="Segoe UI"/>
                <w:color w:val="000000"/>
                <w:lang w:eastAsia="es-ES"/>
              </w:rPr>
            </w:pPr>
            <w:r w:rsidRPr="00F81CB3">
              <w:rPr>
                <w:rFonts w:ascii="Segoe UI" w:eastAsia="Times New Roman" w:hAnsi="Segoe UI" w:cs="Segoe UI"/>
                <w:color w:val="000000"/>
                <w:lang w:eastAsia="es-ES"/>
              </w:rPr>
              <w:t>7 354</w:t>
            </w:r>
          </w:p>
        </w:tc>
        <w:tc>
          <w:tcPr>
            <w:tcW w:w="925" w:type="pct"/>
            <w:tcBorders>
              <w:top w:val="nil"/>
              <w:left w:val="single" w:sz="4" w:space="0" w:color="auto"/>
              <w:bottom w:val="single" w:sz="8" w:space="0" w:color="auto"/>
              <w:right w:val="nil"/>
            </w:tcBorders>
            <w:shd w:val="clear" w:color="auto" w:fill="auto"/>
            <w:noWrap/>
            <w:vAlign w:val="bottom"/>
            <w:hideMark/>
          </w:tcPr>
          <w:p w14:paraId="1E3F09D4"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4 297</w:t>
            </w:r>
          </w:p>
        </w:tc>
        <w:tc>
          <w:tcPr>
            <w:tcW w:w="630" w:type="pct"/>
            <w:tcBorders>
              <w:top w:val="nil"/>
              <w:left w:val="nil"/>
              <w:bottom w:val="single" w:sz="8" w:space="0" w:color="auto"/>
              <w:right w:val="single" w:sz="4" w:space="0" w:color="auto"/>
            </w:tcBorders>
            <w:shd w:val="clear" w:color="auto" w:fill="auto"/>
            <w:noWrap/>
            <w:vAlign w:val="bottom"/>
            <w:hideMark/>
          </w:tcPr>
          <w:p w14:paraId="7368BA1E"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73</w:t>
            </w:r>
          </w:p>
        </w:tc>
        <w:tc>
          <w:tcPr>
            <w:tcW w:w="792" w:type="pct"/>
            <w:tcBorders>
              <w:top w:val="nil"/>
              <w:left w:val="single" w:sz="4" w:space="0" w:color="auto"/>
              <w:bottom w:val="single" w:sz="8" w:space="0" w:color="auto"/>
              <w:right w:val="nil"/>
            </w:tcBorders>
            <w:shd w:val="clear" w:color="auto" w:fill="auto"/>
            <w:noWrap/>
            <w:vAlign w:val="bottom"/>
            <w:hideMark/>
          </w:tcPr>
          <w:p w14:paraId="13B90245"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2 567</w:t>
            </w:r>
          </w:p>
        </w:tc>
        <w:tc>
          <w:tcPr>
            <w:tcW w:w="711" w:type="pct"/>
            <w:tcBorders>
              <w:top w:val="nil"/>
              <w:left w:val="nil"/>
              <w:bottom w:val="single" w:sz="8" w:space="0" w:color="auto"/>
              <w:right w:val="nil"/>
            </w:tcBorders>
            <w:shd w:val="clear" w:color="auto" w:fill="auto"/>
            <w:noWrap/>
            <w:vAlign w:val="bottom"/>
            <w:hideMark/>
          </w:tcPr>
          <w:p w14:paraId="3B98BDCD" w14:textId="77777777" w:rsidR="00A36F2D" w:rsidRPr="00F81CB3" w:rsidRDefault="00A36F2D" w:rsidP="00BB605A">
            <w:pPr>
              <w:spacing w:after="0" w:line="240" w:lineRule="auto"/>
              <w:jc w:val="right"/>
              <w:rPr>
                <w:rFonts w:ascii="Segoe UI" w:eastAsia="Times New Roman" w:hAnsi="Segoe UI" w:cs="Segoe UI"/>
                <w:color w:val="000000"/>
                <w:lang w:eastAsia="es-ES"/>
              </w:rPr>
            </w:pPr>
            <w:r w:rsidRPr="00F81CB3">
              <w:rPr>
                <w:rFonts w:ascii="Segoe UI" w:eastAsia="Times New Roman" w:hAnsi="Segoe UI" w:cs="Segoe UI"/>
                <w:color w:val="000000"/>
                <w:lang w:val="es-CR" w:eastAsia="es-ES"/>
              </w:rPr>
              <w:t>67</w:t>
            </w:r>
          </w:p>
        </w:tc>
      </w:tr>
      <w:tr w:rsidR="00A36F2D" w:rsidRPr="00F81CB3" w14:paraId="33727824" w14:textId="77777777" w:rsidTr="00BB605A">
        <w:trPr>
          <w:trHeight w:val="170"/>
          <w:jc w:val="center"/>
        </w:trPr>
        <w:tc>
          <w:tcPr>
            <w:tcW w:w="5000" w:type="pct"/>
            <w:gridSpan w:val="7"/>
            <w:tcBorders>
              <w:top w:val="nil"/>
              <w:left w:val="nil"/>
              <w:bottom w:val="nil"/>
              <w:right w:val="nil"/>
            </w:tcBorders>
            <w:shd w:val="clear" w:color="auto" w:fill="auto"/>
            <w:noWrap/>
            <w:vAlign w:val="center"/>
            <w:hideMark/>
          </w:tcPr>
          <w:p w14:paraId="7FD542D9" w14:textId="77777777" w:rsidR="00A36F2D" w:rsidRPr="00F81CB3" w:rsidRDefault="00A36F2D" w:rsidP="00BB605A">
            <w:pPr>
              <w:spacing w:after="0" w:line="240" w:lineRule="auto"/>
              <w:rPr>
                <w:rFonts w:ascii="Segoe UI" w:eastAsia="Times New Roman" w:hAnsi="Segoe UI" w:cs="Segoe UI"/>
                <w:color w:val="000000"/>
                <w:sz w:val="16"/>
                <w:szCs w:val="16"/>
                <w:lang w:eastAsia="es-ES"/>
              </w:rPr>
            </w:pPr>
            <w:r w:rsidRPr="00F81CB3">
              <w:rPr>
                <w:rFonts w:ascii="Segoe UI" w:eastAsia="Times New Roman" w:hAnsi="Segoe UI" w:cs="Segoe UI"/>
                <w:color w:val="000000"/>
                <w:sz w:val="16"/>
                <w:szCs w:val="16"/>
                <w:lang w:val="es-CR" w:eastAsia="es-ES"/>
              </w:rPr>
              <w:t>*   Datos a junio 2019, montos promedio en miles de colones</w:t>
            </w:r>
          </w:p>
        </w:tc>
      </w:tr>
      <w:tr w:rsidR="00A36F2D" w:rsidRPr="00F81CB3" w14:paraId="36A4F850" w14:textId="77777777" w:rsidTr="00BB605A">
        <w:trPr>
          <w:trHeight w:val="170"/>
          <w:jc w:val="center"/>
        </w:trPr>
        <w:tc>
          <w:tcPr>
            <w:tcW w:w="5000" w:type="pct"/>
            <w:gridSpan w:val="7"/>
            <w:tcBorders>
              <w:top w:val="nil"/>
              <w:left w:val="nil"/>
              <w:bottom w:val="nil"/>
              <w:right w:val="nil"/>
            </w:tcBorders>
            <w:shd w:val="clear" w:color="auto" w:fill="auto"/>
            <w:noWrap/>
            <w:vAlign w:val="center"/>
            <w:hideMark/>
          </w:tcPr>
          <w:p w14:paraId="4977D9EA" w14:textId="77777777" w:rsidR="00A36F2D" w:rsidRDefault="00A36F2D" w:rsidP="00BB605A">
            <w:pPr>
              <w:spacing w:after="0" w:line="240" w:lineRule="auto"/>
              <w:rPr>
                <w:rFonts w:ascii="Segoe UI" w:eastAsia="Times New Roman" w:hAnsi="Segoe UI" w:cs="Segoe UI"/>
                <w:color w:val="000000"/>
                <w:sz w:val="16"/>
                <w:szCs w:val="16"/>
                <w:lang w:val="es-CR" w:eastAsia="es-ES"/>
              </w:rPr>
            </w:pPr>
            <w:r w:rsidRPr="00F81CB3">
              <w:rPr>
                <w:rFonts w:ascii="Segoe UI" w:eastAsia="Times New Roman" w:hAnsi="Segoe UI" w:cs="Segoe UI"/>
                <w:color w:val="000000"/>
                <w:sz w:val="16"/>
                <w:szCs w:val="16"/>
                <w:lang w:val="es-CR" w:eastAsia="es-ES"/>
              </w:rPr>
              <w:t>** Utilizando únicamente retiros superiores a ¢300.000</w:t>
            </w:r>
          </w:p>
          <w:p w14:paraId="15EFC1DF" w14:textId="77777777" w:rsidR="00A36F2D" w:rsidRDefault="00A36F2D" w:rsidP="00BB605A">
            <w:pPr>
              <w:spacing w:after="0" w:line="240" w:lineRule="auto"/>
              <w:rPr>
                <w:rFonts w:ascii="Segoe UI" w:eastAsia="Times New Roman" w:hAnsi="Segoe UI" w:cs="Segoe UI"/>
                <w:color w:val="000000"/>
                <w:sz w:val="16"/>
                <w:szCs w:val="16"/>
                <w:lang w:val="es-CR" w:eastAsia="es-ES"/>
              </w:rPr>
            </w:pPr>
          </w:p>
          <w:p w14:paraId="29ED5604" w14:textId="77777777" w:rsidR="00A36F2D" w:rsidRDefault="00A36F2D" w:rsidP="00BB605A">
            <w:pPr>
              <w:spacing w:after="0" w:line="240" w:lineRule="auto"/>
              <w:rPr>
                <w:rFonts w:ascii="Segoe UI" w:eastAsia="Times New Roman" w:hAnsi="Segoe UI" w:cs="Segoe UI"/>
                <w:color w:val="000000"/>
                <w:sz w:val="16"/>
                <w:szCs w:val="16"/>
                <w:lang w:val="es-CR" w:eastAsia="es-ES"/>
              </w:rPr>
            </w:pPr>
          </w:p>
          <w:p w14:paraId="11098E4E" w14:textId="77777777" w:rsidR="00A36F2D" w:rsidRPr="00F81CB3" w:rsidRDefault="00A36F2D" w:rsidP="00BB605A">
            <w:pPr>
              <w:spacing w:after="0" w:line="240" w:lineRule="auto"/>
              <w:rPr>
                <w:rFonts w:ascii="Segoe UI" w:eastAsia="Times New Roman" w:hAnsi="Segoe UI" w:cs="Segoe UI"/>
                <w:color w:val="000000"/>
                <w:sz w:val="16"/>
                <w:szCs w:val="16"/>
                <w:lang w:eastAsia="es-ES"/>
              </w:rPr>
            </w:pPr>
          </w:p>
        </w:tc>
      </w:tr>
    </w:tbl>
    <w:p w14:paraId="71D6F4D1" w14:textId="77777777" w:rsidR="00A36F2D" w:rsidRPr="00F81CB3" w:rsidRDefault="00A36F2D" w:rsidP="00A36F2D">
      <w:pPr>
        <w:pStyle w:val="Ttulo2"/>
        <w:spacing w:before="0" w:after="200" w:line="240" w:lineRule="auto"/>
        <w:rPr>
          <w:rFonts w:ascii="Segoe UI" w:hAnsi="Segoe UI" w:cs="Segoe UI"/>
          <w:sz w:val="22"/>
          <w:szCs w:val="22"/>
        </w:rPr>
      </w:pPr>
      <w:bookmarkStart w:id="10" w:name="_Toc28867064"/>
      <w:r w:rsidRPr="00F81CB3">
        <w:rPr>
          <w:rFonts w:ascii="Segoe UI" w:hAnsi="Segoe UI" w:cs="Segoe UI"/>
          <w:sz w:val="22"/>
          <w:szCs w:val="22"/>
        </w:rPr>
        <w:t>1.5 Libre Transferencia</w:t>
      </w:r>
      <w:bookmarkEnd w:id="10"/>
      <w:r w:rsidRPr="00F81CB3">
        <w:rPr>
          <w:rFonts w:ascii="Segoe UI" w:hAnsi="Segoe UI" w:cs="Segoe UI"/>
          <w:sz w:val="22"/>
          <w:szCs w:val="22"/>
        </w:rPr>
        <w:t xml:space="preserve"> </w:t>
      </w:r>
    </w:p>
    <w:p w14:paraId="5E7AFB5F" w14:textId="77777777" w:rsidR="00A36F2D" w:rsidRPr="00BC7172" w:rsidRDefault="00A36F2D" w:rsidP="00A36F2D">
      <w:pPr>
        <w:spacing w:line="240" w:lineRule="auto"/>
        <w:jc w:val="both"/>
        <w:rPr>
          <w:rFonts w:ascii="Segoe UI" w:hAnsi="Segoe UI" w:cs="Segoe UI"/>
        </w:rPr>
      </w:pPr>
      <w:r w:rsidRPr="00BC7172">
        <w:rPr>
          <w:rFonts w:ascii="Segoe UI" w:hAnsi="Segoe UI" w:cs="Segoe UI"/>
        </w:rPr>
        <w:t>Si se analizan los movimientos según el sexo, del total de personas que han hecho libre transferencia el 41% son mujeres. En relación con el monto trasladado, los recursos de</w:t>
      </w:r>
      <w:r>
        <w:rPr>
          <w:rFonts w:ascii="Segoe UI" w:hAnsi="Segoe UI" w:cs="Segoe UI"/>
        </w:rPr>
        <w:t xml:space="preserve"> las </w:t>
      </w:r>
      <w:r w:rsidRPr="00BC7172">
        <w:rPr>
          <w:rFonts w:ascii="Segoe UI" w:hAnsi="Segoe UI" w:cs="Segoe UI"/>
        </w:rPr>
        <w:t>mujeres representan el 39,9% del monto total por libre transferencia.</w:t>
      </w:r>
    </w:p>
    <w:p w14:paraId="2F0A58AF"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Analizando la libre transferencia del ROP por grupo etario, el grupo que más ejerce el derecho es el que abarca afiliados con edades entre 30 y 44 años con el 45,4% de los movimientos y representa el 42,90% del total de recursos transferidos. Mientras que el grupo de afiliados menores de 30 años representa el 44% de los movimientos con el 14,7% de los recursos movilizados por libre transferencia, todo lo anterior durante el año 2019. </w:t>
      </w:r>
    </w:p>
    <w:p w14:paraId="3AF8FE00"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Cuadro 10</w:t>
      </w:r>
    </w:p>
    <w:p w14:paraId="7D352A53"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ROP: Libre Transferencia por rango de Edad</w:t>
      </w:r>
    </w:p>
    <w:p w14:paraId="7BA5BAAB"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Enero-</w:t>
      </w:r>
      <w:r>
        <w:rPr>
          <w:rFonts w:ascii="Segoe UI" w:hAnsi="Segoe UI" w:cs="Segoe UI"/>
        </w:rPr>
        <w:t>junio</w:t>
      </w:r>
      <w:r w:rsidRPr="00F81CB3">
        <w:rPr>
          <w:rFonts w:ascii="Segoe UI" w:hAnsi="Segoe UI" w:cs="Segoe UI"/>
        </w:rPr>
        <w:t xml:space="preserve"> 2019</w:t>
      </w:r>
    </w:p>
    <w:tbl>
      <w:tblPr>
        <w:tblW w:w="5670" w:type="dxa"/>
        <w:jc w:val="center"/>
        <w:tblCellMar>
          <w:left w:w="70" w:type="dxa"/>
          <w:right w:w="70" w:type="dxa"/>
        </w:tblCellMar>
        <w:tblLook w:val="04A0" w:firstRow="1" w:lastRow="0" w:firstColumn="1" w:lastColumn="0" w:noHBand="0" w:noVBand="1"/>
      </w:tblPr>
      <w:tblGrid>
        <w:gridCol w:w="1985"/>
        <w:gridCol w:w="1701"/>
        <w:gridCol w:w="1984"/>
      </w:tblGrid>
      <w:tr w:rsidR="00A36F2D" w:rsidRPr="00F81CB3" w14:paraId="029F1177" w14:textId="77777777" w:rsidTr="00BB605A">
        <w:trPr>
          <w:trHeight w:val="170"/>
          <w:jc w:val="center"/>
        </w:trPr>
        <w:tc>
          <w:tcPr>
            <w:tcW w:w="1985" w:type="dxa"/>
            <w:tcBorders>
              <w:top w:val="single" w:sz="4" w:space="0" w:color="auto"/>
              <w:left w:val="nil"/>
              <w:bottom w:val="double" w:sz="6" w:space="0" w:color="auto"/>
              <w:right w:val="nil"/>
            </w:tcBorders>
            <w:shd w:val="clear" w:color="auto" w:fill="auto"/>
            <w:noWrap/>
            <w:vAlign w:val="center"/>
            <w:hideMark/>
          </w:tcPr>
          <w:p w14:paraId="1FF73087" w14:textId="77777777" w:rsidR="00A36F2D" w:rsidRPr="00F81CB3" w:rsidRDefault="00A36F2D" w:rsidP="00BB605A">
            <w:pPr>
              <w:spacing w:after="0" w:line="240" w:lineRule="auto"/>
              <w:rPr>
                <w:rFonts w:ascii="Segoe UI" w:eastAsia="Times New Roman" w:hAnsi="Segoe UI" w:cs="Segoe UI"/>
                <w:b/>
                <w:color w:val="000000"/>
                <w:lang w:val="es-CR" w:eastAsia="es-CR"/>
              </w:rPr>
            </w:pPr>
            <w:r w:rsidRPr="00F81CB3">
              <w:rPr>
                <w:rFonts w:ascii="Segoe UI" w:eastAsia="Times New Roman" w:hAnsi="Segoe UI" w:cs="Segoe UI"/>
                <w:b/>
                <w:color w:val="000000"/>
                <w:lang w:val="es-CR" w:eastAsia="es-CR"/>
              </w:rPr>
              <w:t>Rango de Edad</w:t>
            </w:r>
          </w:p>
        </w:tc>
        <w:tc>
          <w:tcPr>
            <w:tcW w:w="1701" w:type="dxa"/>
            <w:tcBorders>
              <w:top w:val="single" w:sz="4" w:space="0" w:color="auto"/>
              <w:left w:val="nil"/>
              <w:bottom w:val="double" w:sz="6" w:space="0" w:color="auto"/>
              <w:right w:val="nil"/>
            </w:tcBorders>
            <w:shd w:val="clear" w:color="auto" w:fill="auto"/>
            <w:noWrap/>
            <w:vAlign w:val="center"/>
            <w:hideMark/>
          </w:tcPr>
          <w:p w14:paraId="690D6F00" w14:textId="77777777" w:rsidR="00A36F2D" w:rsidRPr="00F81CB3" w:rsidRDefault="00A36F2D" w:rsidP="00BB605A">
            <w:pPr>
              <w:spacing w:after="0" w:line="240" w:lineRule="auto"/>
              <w:jc w:val="center"/>
              <w:rPr>
                <w:rFonts w:ascii="Segoe UI" w:eastAsia="Times New Roman" w:hAnsi="Segoe UI" w:cs="Segoe UI"/>
                <w:b/>
                <w:color w:val="000000"/>
                <w:lang w:val="es-CR" w:eastAsia="es-CR"/>
              </w:rPr>
            </w:pPr>
            <w:r w:rsidRPr="00F81CB3">
              <w:rPr>
                <w:rFonts w:ascii="Segoe UI" w:eastAsia="Times New Roman" w:hAnsi="Segoe UI" w:cs="Segoe UI"/>
                <w:b/>
                <w:color w:val="000000"/>
                <w:lang w:val="es-CR" w:eastAsia="es-CR"/>
              </w:rPr>
              <w:t>Cantidad de</w:t>
            </w:r>
          </w:p>
          <w:p w14:paraId="43684989" w14:textId="77777777" w:rsidR="00A36F2D" w:rsidRPr="00F81CB3" w:rsidRDefault="00A36F2D" w:rsidP="00BB605A">
            <w:pPr>
              <w:spacing w:after="0" w:line="240" w:lineRule="auto"/>
              <w:jc w:val="center"/>
              <w:rPr>
                <w:rFonts w:ascii="Segoe UI" w:eastAsia="Times New Roman" w:hAnsi="Segoe UI" w:cs="Segoe UI"/>
                <w:b/>
                <w:color w:val="000000"/>
                <w:lang w:val="es-CR" w:eastAsia="es-CR"/>
              </w:rPr>
            </w:pPr>
            <w:r w:rsidRPr="00F81CB3">
              <w:rPr>
                <w:rFonts w:ascii="Segoe UI" w:eastAsia="Times New Roman" w:hAnsi="Segoe UI" w:cs="Segoe UI"/>
                <w:b/>
                <w:color w:val="000000"/>
                <w:lang w:val="es-CR" w:eastAsia="es-CR"/>
              </w:rPr>
              <w:t>Movimientos</w:t>
            </w:r>
          </w:p>
        </w:tc>
        <w:tc>
          <w:tcPr>
            <w:tcW w:w="1984" w:type="dxa"/>
            <w:tcBorders>
              <w:top w:val="single" w:sz="4" w:space="0" w:color="auto"/>
              <w:left w:val="nil"/>
              <w:bottom w:val="double" w:sz="6" w:space="0" w:color="auto"/>
              <w:right w:val="nil"/>
            </w:tcBorders>
            <w:shd w:val="clear" w:color="auto" w:fill="auto"/>
            <w:noWrap/>
            <w:vAlign w:val="center"/>
            <w:hideMark/>
          </w:tcPr>
          <w:p w14:paraId="12D9F440" w14:textId="77777777" w:rsidR="00A36F2D" w:rsidRPr="00F81CB3" w:rsidRDefault="00A36F2D" w:rsidP="00BB605A">
            <w:pPr>
              <w:spacing w:after="0" w:line="240" w:lineRule="auto"/>
              <w:jc w:val="center"/>
              <w:rPr>
                <w:rFonts w:ascii="Segoe UI" w:eastAsia="Times New Roman" w:hAnsi="Segoe UI" w:cs="Segoe UI"/>
                <w:b/>
                <w:color w:val="000000"/>
                <w:lang w:val="es-CR" w:eastAsia="es-CR"/>
              </w:rPr>
            </w:pPr>
            <w:r w:rsidRPr="00F81CB3">
              <w:rPr>
                <w:rFonts w:ascii="Segoe UI" w:eastAsia="Times New Roman" w:hAnsi="Segoe UI" w:cs="Segoe UI"/>
                <w:b/>
                <w:color w:val="000000"/>
                <w:lang w:val="es-CR" w:eastAsia="es-CR"/>
              </w:rPr>
              <w:t>Monto de los</w:t>
            </w:r>
          </w:p>
          <w:p w14:paraId="4E7BE8CE" w14:textId="77777777" w:rsidR="00A36F2D" w:rsidRPr="00F81CB3" w:rsidRDefault="00A36F2D" w:rsidP="00BB605A">
            <w:pPr>
              <w:spacing w:after="0" w:line="240" w:lineRule="auto"/>
              <w:jc w:val="center"/>
              <w:rPr>
                <w:rFonts w:ascii="Segoe UI" w:eastAsia="Times New Roman" w:hAnsi="Segoe UI" w:cs="Segoe UI"/>
                <w:b/>
                <w:color w:val="000000"/>
                <w:lang w:val="es-CR" w:eastAsia="es-CR"/>
              </w:rPr>
            </w:pPr>
            <w:r w:rsidRPr="00F81CB3">
              <w:rPr>
                <w:rFonts w:ascii="Segoe UI" w:eastAsia="Times New Roman" w:hAnsi="Segoe UI" w:cs="Segoe UI"/>
                <w:b/>
                <w:color w:val="000000"/>
                <w:lang w:val="es-CR" w:eastAsia="es-CR"/>
              </w:rPr>
              <w:t>movimientos</w:t>
            </w:r>
          </w:p>
        </w:tc>
      </w:tr>
      <w:tr w:rsidR="00A36F2D" w:rsidRPr="00F81CB3" w14:paraId="31B861E4" w14:textId="77777777" w:rsidTr="00BB605A">
        <w:trPr>
          <w:trHeight w:val="170"/>
          <w:jc w:val="center"/>
        </w:trPr>
        <w:tc>
          <w:tcPr>
            <w:tcW w:w="1985" w:type="dxa"/>
            <w:tcBorders>
              <w:top w:val="nil"/>
              <w:left w:val="nil"/>
              <w:bottom w:val="nil"/>
              <w:right w:val="nil"/>
            </w:tcBorders>
            <w:shd w:val="clear" w:color="000000" w:fill="FFFFFF"/>
            <w:noWrap/>
            <w:vAlign w:val="center"/>
            <w:hideMark/>
          </w:tcPr>
          <w:p w14:paraId="2B6DA18D" w14:textId="77777777" w:rsidR="00A36F2D" w:rsidRPr="00F81CB3" w:rsidRDefault="00A36F2D" w:rsidP="00BB605A">
            <w:pPr>
              <w:spacing w:after="0" w:line="240" w:lineRule="auto"/>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Menor de 30</w:t>
            </w:r>
          </w:p>
        </w:tc>
        <w:tc>
          <w:tcPr>
            <w:tcW w:w="1701" w:type="dxa"/>
            <w:tcBorders>
              <w:top w:val="nil"/>
              <w:left w:val="nil"/>
              <w:bottom w:val="nil"/>
              <w:right w:val="nil"/>
            </w:tcBorders>
            <w:shd w:val="clear" w:color="auto" w:fill="auto"/>
            <w:noWrap/>
            <w:vAlign w:val="bottom"/>
          </w:tcPr>
          <w:p w14:paraId="27DB7538"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44,0%</w:t>
            </w:r>
          </w:p>
        </w:tc>
        <w:tc>
          <w:tcPr>
            <w:tcW w:w="1984" w:type="dxa"/>
            <w:tcBorders>
              <w:top w:val="nil"/>
              <w:left w:val="nil"/>
              <w:bottom w:val="nil"/>
              <w:right w:val="nil"/>
            </w:tcBorders>
            <w:shd w:val="clear" w:color="auto" w:fill="auto"/>
            <w:noWrap/>
            <w:vAlign w:val="bottom"/>
          </w:tcPr>
          <w:p w14:paraId="292CAB67"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14,7%</w:t>
            </w:r>
          </w:p>
        </w:tc>
      </w:tr>
      <w:tr w:rsidR="00A36F2D" w:rsidRPr="00F81CB3" w14:paraId="0FAC784B" w14:textId="77777777" w:rsidTr="00BB605A">
        <w:trPr>
          <w:trHeight w:val="170"/>
          <w:jc w:val="center"/>
        </w:trPr>
        <w:tc>
          <w:tcPr>
            <w:tcW w:w="1985" w:type="dxa"/>
            <w:tcBorders>
              <w:top w:val="nil"/>
              <w:left w:val="nil"/>
              <w:bottom w:val="nil"/>
              <w:right w:val="nil"/>
            </w:tcBorders>
            <w:shd w:val="clear" w:color="000000" w:fill="FFFFFF"/>
            <w:noWrap/>
            <w:vAlign w:val="center"/>
            <w:hideMark/>
          </w:tcPr>
          <w:p w14:paraId="099028A5" w14:textId="77777777" w:rsidR="00A36F2D" w:rsidRPr="00F81CB3" w:rsidRDefault="00A36F2D" w:rsidP="00BB605A">
            <w:pPr>
              <w:spacing w:after="0" w:line="240" w:lineRule="auto"/>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Entre 30 y 44</w:t>
            </w:r>
          </w:p>
        </w:tc>
        <w:tc>
          <w:tcPr>
            <w:tcW w:w="1701" w:type="dxa"/>
            <w:tcBorders>
              <w:top w:val="nil"/>
              <w:left w:val="nil"/>
              <w:bottom w:val="nil"/>
              <w:right w:val="nil"/>
            </w:tcBorders>
            <w:shd w:val="clear" w:color="auto" w:fill="auto"/>
            <w:noWrap/>
            <w:vAlign w:val="bottom"/>
          </w:tcPr>
          <w:p w14:paraId="7A73F9FC"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45,4%</w:t>
            </w:r>
          </w:p>
        </w:tc>
        <w:tc>
          <w:tcPr>
            <w:tcW w:w="1984" w:type="dxa"/>
            <w:tcBorders>
              <w:top w:val="nil"/>
              <w:left w:val="nil"/>
              <w:bottom w:val="nil"/>
              <w:right w:val="nil"/>
            </w:tcBorders>
            <w:shd w:val="clear" w:color="auto" w:fill="auto"/>
            <w:noWrap/>
            <w:vAlign w:val="bottom"/>
          </w:tcPr>
          <w:p w14:paraId="4E4A33A7"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42,9%</w:t>
            </w:r>
          </w:p>
        </w:tc>
      </w:tr>
      <w:tr w:rsidR="00A36F2D" w:rsidRPr="00F81CB3" w14:paraId="77B6907C" w14:textId="77777777" w:rsidTr="00BB605A">
        <w:trPr>
          <w:trHeight w:val="170"/>
          <w:jc w:val="center"/>
        </w:trPr>
        <w:tc>
          <w:tcPr>
            <w:tcW w:w="1985" w:type="dxa"/>
            <w:tcBorders>
              <w:top w:val="nil"/>
              <w:left w:val="nil"/>
              <w:bottom w:val="nil"/>
              <w:right w:val="nil"/>
            </w:tcBorders>
            <w:shd w:val="clear" w:color="000000" w:fill="FFFFFF"/>
            <w:noWrap/>
            <w:vAlign w:val="center"/>
            <w:hideMark/>
          </w:tcPr>
          <w:p w14:paraId="668F9AED" w14:textId="77777777" w:rsidR="00A36F2D" w:rsidRPr="00F81CB3" w:rsidRDefault="00A36F2D" w:rsidP="00BB605A">
            <w:pPr>
              <w:spacing w:after="0" w:line="240" w:lineRule="auto"/>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Entre 45 y 59</w:t>
            </w:r>
          </w:p>
        </w:tc>
        <w:tc>
          <w:tcPr>
            <w:tcW w:w="1701" w:type="dxa"/>
            <w:tcBorders>
              <w:top w:val="nil"/>
              <w:left w:val="nil"/>
              <w:bottom w:val="nil"/>
              <w:right w:val="nil"/>
            </w:tcBorders>
            <w:shd w:val="clear" w:color="auto" w:fill="auto"/>
            <w:noWrap/>
            <w:vAlign w:val="bottom"/>
          </w:tcPr>
          <w:p w14:paraId="2E377374"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9,5%</w:t>
            </w:r>
          </w:p>
        </w:tc>
        <w:tc>
          <w:tcPr>
            <w:tcW w:w="1984" w:type="dxa"/>
            <w:tcBorders>
              <w:top w:val="nil"/>
              <w:left w:val="nil"/>
              <w:bottom w:val="nil"/>
              <w:right w:val="nil"/>
            </w:tcBorders>
            <w:shd w:val="clear" w:color="auto" w:fill="auto"/>
            <w:noWrap/>
            <w:vAlign w:val="bottom"/>
          </w:tcPr>
          <w:p w14:paraId="2054FE90"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35,2%</w:t>
            </w:r>
          </w:p>
        </w:tc>
      </w:tr>
      <w:tr w:rsidR="00A36F2D" w:rsidRPr="00F81CB3" w14:paraId="28D573AE" w14:textId="77777777" w:rsidTr="00BB605A">
        <w:trPr>
          <w:trHeight w:val="170"/>
          <w:jc w:val="center"/>
        </w:trPr>
        <w:tc>
          <w:tcPr>
            <w:tcW w:w="1985" w:type="dxa"/>
            <w:tcBorders>
              <w:top w:val="nil"/>
              <w:left w:val="nil"/>
              <w:bottom w:val="single" w:sz="4" w:space="0" w:color="auto"/>
              <w:right w:val="nil"/>
            </w:tcBorders>
            <w:shd w:val="clear" w:color="000000" w:fill="FFFFFF"/>
            <w:noWrap/>
            <w:vAlign w:val="center"/>
            <w:hideMark/>
          </w:tcPr>
          <w:p w14:paraId="31D1CB66" w14:textId="77777777" w:rsidR="00A36F2D" w:rsidRPr="00F81CB3" w:rsidRDefault="00A36F2D" w:rsidP="00BB605A">
            <w:pPr>
              <w:spacing w:after="0" w:line="240" w:lineRule="auto"/>
              <w:rPr>
                <w:rFonts w:ascii="Segoe UI" w:eastAsia="Times New Roman" w:hAnsi="Segoe UI" w:cs="Segoe UI"/>
                <w:color w:val="000000"/>
                <w:lang w:val="es-CR" w:eastAsia="es-CR"/>
              </w:rPr>
            </w:pPr>
            <w:r w:rsidRPr="00F81CB3">
              <w:rPr>
                <w:rFonts w:ascii="Segoe UI" w:eastAsia="Times New Roman" w:hAnsi="Segoe UI" w:cs="Segoe UI"/>
                <w:color w:val="000000"/>
                <w:lang w:val="es-CR" w:eastAsia="es-CR"/>
              </w:rPr>
              <w:t>Mayor o igual a 60</w:t>
            </w:r>
          </w:p>
        </w:tc>
        <w:tc>
          <w:tcPr>
            <w:tcW w:w="1701" w:type="dxa"/>
            <w:tcBorders>
              <w:top w:val="nil"/>
              <w:left w:val="nil"/>
              <w:bottom w:val="single" w:sz="4" w:space="0" w:color="auto"/>
              <w:right w:val="nil"/>
            </w:tcBorders>
            <w:shd w:val="clear" w:color="auto" w:fill="auto"/>
            <w:noWrap/>
            <w:vAlign w:val="bottom"/>
          </w:tcPr>
          <w:p w14:paraId="5874E6B0"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1,1%</w:t>
            </w:r>
          </w:p>
        </w:tc>
        <w:tc>
          <w:tcPr>
            <w:tcW w:w="1984" w:type="dxa"/>
            <w:tcBorders>
              <w:top w:val="nil"/>
              <w:left w:val="nil"/>
              <w:bottom w:val="single" w:sz="4" w:space="0" w:color="auto"/>
              <w:right w:val="nil"/>
            </w:tcBorders>
            <w:shd w:val="clear" w:color="auto" w:fill="auto"/>
            <w:noWrap/>
            <w:vAlign w:val="bottom"/>
          </w:tcPr>
          <w:p w14:paraId="17C2D797" w14:textId="77777777" w:rsidR="00A36F2D" w:rsidRPr="00F81CB3" w:rsidRDefault="00A36F2D" w:rsidP="00BB605A">
            <w:pPr>
              <w:spacing w:after="0" w:line="240" w:lineRule="auto"/>
              <w:jc w:val="right"/>
              <w:rPr>
                <w:rFonts w:ascii="Segoe UI" w:eastAsia="Times New Roman" w:hAnsi="Segoe UI" w:cs="Segoe UI"/>
                <w:color w:val="000000"/>
                <w:lang w:val="es-CR" w:eastAsia="es-CR"/>
              </w:rPr>
            </w:pPr>
            <w:r w:rsidRPr="00F81CB3">
              <w:rPr>
                <w:rFonts w:ascii="Segoe UI" w:hAnsi="Segoe UI" w:cs="Segoe UI"/>
                <w:color w:val="000000"/>
              </w:rPr>
              <w:t>7,3%</w:t>
            </w:r>
          </w:p>
        </w:tc>
      </w:tr>
    </w:tbl>
    <w:p w14:paraId="1FC39A0D" w14:textId="77777777" w:rsidR="00A36F2D" w:rsidRPr="00F81CB3" w:rsidRDefault="00A36F2D" w:rsidP="00A36F2D">
      <w:pPr>
        <w:spacing w:after="0" w:line="240" w:lineRule="auto"/>
        <w:ind w:left="1560"/>
        <w:rPr>
          <w:rFonts w:ascii="Segoe UI" w:hAnsi="Segoe UI" w:cs="Segoe UI"/>
          <w:sz w:val="16"/>
          <w:szCs w:val="16"/>
          <w:lang w:val="es-CR"/>
        </w:rPr>
      </w:pPr>
      <w:r w:rsidRPr="00F81CB3">
        <w:rPr>
          <w:rFonts w:ascii="Segoe UI" w:hAnsi="Segoe UI" w:cs="Segoe UI"/>
          <w:sz w:val="16"/>
          <w:szCs w:val="16"/>
        </w:rPr>
        <w:t xml:space="preserve">Fuente: Elaboración </w:t>
      </w:r>
      <w:r w:rsidRPr="00F81CB3">
        <w:rPr>
          <w:rFonts w:ascii="Segoe UI" w:hAnsi="Segoe UI" w:cs="Segoe UI"/>
          <w:sz w:val="16"/>
          <w:szCs w:val="16"/>
          <w:lang w:val="es-CR"/>
        </w:rPr>
        <w:t>propia con datos suministrados por las entidades</w:t>
      </w:r>
    </w:p>
    <w:p w14:paraId="2DF9B546" w14:textId="77777777" w:rsidR="00A36F2D" w:rsidRPr="00F81CB3" w:rsidRDefault="00A36F2D" w:rsidP="00A36F2D">
      <w:pPr>
        <w:spacing w:line="240" w:lineRule="auto"/>
        <w:jc w:val="both"/>
        <w:rPr>
          <w:rFonts w:ascii="Segoe UI" w:hAnsi="Segoe UI" w:cs="Segoe UI"/>
          <w:lang w:val="es-CR"/>
        </w:rPr>
      </w:pPr>
    </w:p>
    <w:p w14:paraId="5FABFC05" w14:textId="77777777" w:rsidR="00A36F2D" w:rsidRPr="00F81CB3" w:rsidRDefault="00A36F2D" w:rsidP="00A36F2D">
      <w:pPr>
        <w:pStyle w:val="Ttulo2"/>
        <w:spacing w:after="200" w:line="240" w:lineRule="auto"/>
        <w:rPr>
          <w:rFonts w:ascii="Segoe UI" w:hAnsi="Segoe UI" w:cs="Segoe UI"/>
          <w:sz w:val="22"/>
          <w:szCs w:val="22"/>
        </w:rPr>
      </w:pPr>
      <w:bookmarkStart w:id="11" w:name="_Toc28867065"/>
      <w:r w:rsidRPr="00F81CB3">
        <w:rPr>
          <w:rFonts w:ascii="Segoe UI" w:hAnsi="Segoe UI" w:cs="Segoe UI"/>
          <w:sz w:val="22"/>
          <w:szCs w:val="22"/>
        </w:rPr>
        <w:lastRenderedPageBreak/>
        <w:t>1.6 Retiros por cese de relación laboral</w:t>
      </w:r>
      <w:bookmarkEnd w:id="11"/>
    </w:p>
    <w:p w14:paraId="63F0317E" w14:textId="77777777" w:rsidR="00A36F2D" w:rsidRPr="00F81CB3" w:rsidRDefault="00A36F2D" w:rsidP="00A36F2D">
      <w:pPr>
        <w:spacing w:line="240" w:lineRule="auto"/>
        <w:jc w:val="both"/>
        <w:textAlignment w:val="baseline"/>
        <w:rPr>
          <w:rFonts w:ascii="Segoe UI" w:eastAsia="Times New Roman" w:hAnsi="Segoe UI" w:cs="Segoe UI"/>
          <w:lang w:eastAsia="es-CR"/>
        </w:rPr>
      </w:pPr>
      <w:r w:rsidRPr="00F81CB3">
        <w:rPr>
          <w:rFonts w:ascii="Segoe UI" w:eastAsia="Times New Roman" w:hAnsi="Segoe UI" w:cs="Segoe UI"/>
          <w:lang w:eastAsia="es-CR"/>
        </w:rPr>
        <w:t>El desempleo en el país va en aumento. A partir de abril 2017 se nota un crecimiento de los afiliados que han realizado un retiro del saldo acumulado en el Fondo de Capitalización Laboral (FCL) por extinción de la relación laboral, pasando de 25 214 retiros en la fecha mencionada a 28 823 retiros en junio 2019, lo que representa un aumento del 16,43%. Junto con la cantidad retiros, el monto promedio también ha ido aumentando durante el periodo observado.</w:t>
      </w:r>
    </w:p>
    <w:p w14:paraId="10A79B46" w14:textId="77777777" w:rsidR="00A36F2D" w:rsidRDefault="00A36F2D" w:rsidP="00A36F2D">
      <w:pPr>
        <w:rPr>
          <w:rFonts w:ascii="Segoe UI" w:hAnsi="Segoe UI" w:cs="Segoe UI"/>
        </w:rPr>
      </w:pPr>
    </w:p>
    <w:p w14:paraId="08FC8082"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rPr>
        <w:t>Gráfico 5</w:t>
      </w:r>
    </w:p>
    <w:p w14:paraId="59DAB7EB" w14:textId="77777777" w:rsidR="00A36F2D" w:rsidRPr="00F81CB3" w:rsidRDefault="00A36F2D" w:rsidP="00A36F2D">
      <w:pPr>
        <w:spacing w:after="0" w:line="240" w:lineRule="auto"/>
        <w:jc w:val="center"/>
        <w:rPr>
          <w:rFonts w:ascii="Segoe UI" w:hAnsi="Segoe UI" w:cs="Segoe UI"/>
          <w:b/>
        </w:rPr>
      </w:pPr>
      <w:r w:rsidRPr="00F81CB3">
        <w:rPr>
          <w:rFonts w:ascii="Segoe UI" w:hAnsi="Segoe UI" w:cs="Segoe UI"/>
          <w:b/>
        </w:rPr>
        <w:t>FCL:  Cantidad y Monto de Retiros</w:t>
      </w:r>
    </w:p>
    <w:p w14:paraId="36CE9128" w14:textId="77777777" w:rsidR="00A36F2D" w:rsidRPr="00F81CB3" w:rsidRDefault="00A36F2D" w:rsidP="00A36F2D">
      <w:pPr>
        <w:spacing w:after="0" w:line="240" w:lineRule="auto"/>
        <w:jc w:val="center"/>
        <w:rPr>
          <w:rFonts w:ascii="Segoe UI" w:hAnsi="Segoe UI" w:cs="Segoe UI"/>
        </w:rPr>
      </w:pPr>
      <w:r w:rsidRPr="00F81CB3">
        <w:rPr>
          <w:rFonts w:ascii="Segoe UI" w:hAnsi="Segoe UI" w:cs="Segoe UI"/>
          <w:lang w:eastAsia="es-CR"/>
        </w:rPr>
        <w:t>Promedio móvil de los últimos 12 meses</w:t>
      </w:r>
      <w:r w:rsidRPr="00F81CB3">
        <w:rPr>
          <w:noProof/>
        </w:rPr>
        <w:drawing>
          <wp:inline distT="0" distB="0" distL="0" distR="0" wp14:anchorId="7B9D1D20" wp14:editId="55735F77">
            <wp:extent cx="5612130" cy="3513455"/>
            <wp:effectExtent l="0" t="0" r="7620" b="0"/>
            <wp:docPr id="4" name="Gráfico 4">
              <a:extLst xmlns:a="http://schemas.openxmlformats.org/drawingml/2006/main">
                <a:ext uri="{FF2B5EF4-FFF2-40B4-BE49-F238E27FC236}">
                  <a16:creationId xmlns:a16="http://schemas.microsoft.com/office/drawing/2014/main" id="{CBBA1ADB-C12C-4494-A2D1-277E4F0D8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A37CC1" w14:textId="77777777" w:rsidR="00A36F2D" w:rsidRPr="00F81CB3" w:rsidRDefault="00A36F2D" w:rsidP="00A36F2D">
      <w:pPr>
        <w:pStyle w:val="Ttulo2"/>
        <w:spacing w:after="200" w:line="240" w:lineRule="auto"/>
        <w:rPr>
          <w:rFonts w:ascii="Segoe UI" w:hAnsi="Segoe UI" w:cs="Segoe UI"/>
          <w:sz w:val="22"/>
          <w:szCs w:val="22"/>
        </w:rPr>
      </w:pPr>
      <w:bookmarkStart w:id="12" w:name="_Toc28867066"/>
      <w:r w:rsidRPr="00F81CB3">
        <w:rPr>
          <w:rFonts w:ascii="Segoe UI" w:hAnsi="Segoe UI" w:cs="Segoe UI"/>
          <w:sz w:val="22"/>
          <w:szCs w:val="22"/>
        </w:rPr>
        <w:t>1.7 Afiliados fallecidos en ROP</w:t>
      </w:r>
      <w:bookmarkEnd w:id="12"/>
    </w:p>
    <w:p w14:paraId="73F5CE0E" w14:textId="77777777" w:rsidR="00A36F2D" w:rsidRPr="00F81CB3" w:rsidRDefault="00A36F2D" w:rsidP="00A36F2D">
      <w:pPr>
        <w:spacing w:line="240" w:lineRule="auto"/>
        <w:jc w:val="both"/>
        <w:textAlignment w:val="baseline"/>
        <w:rPr>
          <w:rFonts w:ascii="Segoe UI" w:eastAsia="Times New Roman" w:hAnsi="Segoe UI" w:cs="Segoe UI"/>
          <w:lang w:eastAsia="es-CR"/>
        </w:rPr>
      </w:pPr>
      <w:r w:rsidRPr="00F81CB3">
        <w:rPr>
          <w:rFonts w:ascii="Segoe UI" w:eastAsia="Times New Roman" w:hAnsi="Segoe UI" w:cs="Segoe UI"/>
          <w:lang w:eastAsia="es-CR"/>
        </w:rPr>
        <w:t>De los afiliados fallecidos a partir de 2010, se encontró que 35 231 aún mantienen saldo en el ROP y mantienen un saldo acumulado de 21 mil millones de colones para un saldo promedio de 605 mil colones a junio 2019. Los afiliados fallecidos y que no retira</w:t>
      </w:r>
      <w:r>
        <w:rPr>
          <w:rFonts w:ascii="Segoe UI" w:eastAsia="Times New Roman" w:hAnsi="Segoe UI" w:cs="Segoe UI"/>
          <w:lang w:eastAsia="es-CR"/>
        </w:rPr>
        <w:t>ron</w:t>
      </w:r>
      <w:r w:rsidRPr="00F81CB3">
        <w:rPr>
          <w:rFonts w:ascii="Segoe UI" w:eastAsia="Times New Roman" w:hAnsi="Segoe UI" w:cs="Segoe UI"/>
          <w:lang w:eastAsia="es-CR"/>
        </w:rPr>
        <w:t xml:space="preserve"> la totalidad de sus recursos está creciendo a una tasa cercana al 9,6% para el 2018, sin embargo, el acumulado de afiliados fallecidos</w:t>
      </w:r>
      <w:r>
        <w:rPr>
          <w:rFonts w:ascii="Segoe UI" w:eastAsia="Times New Roman" w:hAnsi="Segoe UI" w:cs="Segoe UI"/>
          <w:lang w:eastAsia="es-CR"/>
        </w:rPr>
        <w:t xml:space="preserve"> a los </w:t>
      </w:r>
      <w:r w:rsidRPr="00F81CB3">
        <w:rPr>
          <w:rFonts w:ascii="Segoe UI" w:eastAsia="Times New Roman" w:hAnsi="Segoe UI" w:cs="Segoe UI"/>
          <w:lang w:eastAsia="es-CR"/>
        </w:rPr>
        <w:t xml:space="preserve">que no se les ha entregado el saldo del ROP a sus beneficiarios crece al 17,5%, esto nos indica que la cantidad de afiliados que no han dejado sus cuentas individuales sin saldo </w:t>
      </w:r>
      <w:r>
        <w:rPr>
          <w:rFonts w:ascii="Segoe UI" w:eastAsia="Times New Roman" w:hAnsi="Segoe UI" w:cs="Segoe UI"/>
          <w:lang w:eastAsia="es-CR"/>
        </w:rPr>
        <w:t xml:space="preserve">es de </w:t>
      </w:r>
      <w:r w:rsidRPr="00F81CB3">
        <w:rPr>
          <w:rFonts w:ascii="Segoe UI" w:eastAsia="Times New Roman" w:hAnsi="Segoe UI" w:cs="Segoe UI"/>
          <w:lang w:eastAsia="es-CR"/>
        </w:rPr>
        <w:t>un 7,9% solo para el 2018. La situación anterior, puede deberse a trámites en los regímenes básicos y aportes diferidos en el ROP.</w:t>
      </w:r>
    </w:p>
    <w:p w14:paraId="37EED60A" w14:textId="77777777" w:rsidR="00A36F2D" w:rsidRPr="00F81CB3" w:rsidRDefault="00A36F2D" w:rsidP="00A36F2D">
      <w:pPr>
        <w:spacing w:line="240" w:lineRule="auto"/>
        <w:jc w:val="both"/>
        <w:textAlignment w:val="baseline"/>
        <w:rPr>
          <w:rFonts w:ascii="Segoe UI" w:eastAsia="Times New Roman" w:hAnsi="Segoe UI" w:cs="Segoe UI"/>
          <w:lang w:eastAsia="es-CR"/>
        </w:rPr>
      </w:pPr>
      <w:r w:rsidRPr="00F81CB3">
        <w:rPr>
          <w:rFonts w:ascii="Segoe UI" w:eastAsia="Times New Roman" w:hAnsi="Segoe UI" w:cs="Segoe UI"/>
          <w:lang w:eastAsia="es-CR"/>
        </w:rPr>
        <w:lastRenderedPageBreak/>
        <w:t>Los saldos de las cuentas individuales de montos de las cuentas se clasifican según la siguiente distribución: </w:t>
      </w:r>
    </w:p>
    <w:tbl>
      <w:tblPr>
        <w:tblW w:w="3288" w:type="pct"/>
        <w:jc w:val="center"/>
        <w:tblLayout w:type="fixed"/>
        <w:tblCellMar>
          <w:left w:w="70" w:type="dxa"/>
          <w:right w:w="70" w:type="dxa"/>
        </w:tblCellMar>
        <w:tblLook w:val="04A0" w:firstRow="1" w:lastRow="0" w:firstColumn="1" w:lastColumn="0" w:noHBand="0" w:noVBand="1"/>
      </w:tblPr>
      <w:tblGrid>
        <w:gridCol w:w="2215"/>
        <w:gridCol w:w="1271"/>
        <w:gridCol w:w="1083"/>
        <w:gridCol w:w="1243"/>
      </w:tblGrid>
      <w:tr w:rsidR="00A36F2D" w:rsidRPr="00F81CB3" w14:paraId="37C98D3E" w14:textId="77777777" w:rsidTr="00BB605A">
        <w:trPr>
          <w:trHeight w:val="170"/>
          <w:jc w:val="center"/>
        </w:trPr>
        <w:tc>
          <w:tcPr>
            <w:tcW w:w="5000" w:type="pct"/>
            <w:gridSpan w:val="4"/>
            <w:shd w:val="clear" w:color="auto" w:fill="auto"/>
            <w:noWrap/>
            <w:vAlign w:val="bottom"/>
            <w:hideMark/>
          </w:tcPr>
          <w:p w14:paraId="60960749" w14:textId="77777777" w:rsidR="00A36F2D" w:rsidRPr="008E75FE" w:rsidRDefault="00A36F2D" w:rsidP="00BB605A">
            <w:pPr>
              <w:spacing w:after="0" w:line="240" w:lineRule="auto"/>
              <w:jc w:val="center"/>
              <w:rPr>
                <w:rFonts w:ascii="Segoe UI" w:eastAsia="Times New Roman" w:hAnsi="Segoe UI" w:cs="Segoe UI"/>
                <w:sz w:val="20"/>
                <w:szCs w:val="20"/>
                <w:lang w:eastAsia="es-ES"/>
              </w:rPr>
            </w:pPr>
            <w:r>
              <w:br w:type="page"/>
            </w:r>
            <w:r w:rsidRPr="008E75FE">
              <w:rPr>
                <w:rFonts w:ascii="Segoe UI" w:eastAsia="Times New Roman" w:hAnsi="Segoe UI" w:cs="Segoe UI"/>
                <w:sz w:val="20"/>
                <w:szCs w:val="20"/>
                <w:lang w:eastAsia="es-ES"/>
              </w:rPr>
              <w:t>Cuadro 11</w:t>
            </w:r>
          </w:p>
          <w:p w14:paraId="76A26A8F" w14:textId="77777777" w:rsidR="00A36F2D" w:rsidRDefault="00A36F2D" w:rsidP="00BB605A">
            <w:pPr>
              <w:spacing w:after="0" w:line="240" w:lineRule="auto"/>
              <w:jc w:val="center"/>
              <w:rPr>
                <w:rFonts w:ascii="Segoe UI" w:eastAsia="Times New Roman" w:hAnsi="Segoe UI" w:cs="Segoe UI"/>
                <w:b/>
                <w:sz w:val="20"/>
                <w:szCs w:val="20"/>
                <w:lang w:eastAsia="es-ES"/>
              </w:rPr>
            </w:pPr>
            <w:r w:rsidRPr="008E75FE">
              <w:rPr>
                <w:rFonts w:ascii="Segoe UI" w:eastAsia="Times New Roman" w:hAnsi="Segoe UI" w:cs="Segoe UI"/>
                <w:b/>
                <w:sz w:val="20"/>
                <w:szCs w:val="20"/>
                <w:lang w:eastAsia="es-ES"/>
              </w:rPr>
              <w:t xml:space="preserve">Afiliados Fallecidos </w:t>
            </w:r>
            <w:r>
              <w:rPr>
                <w:rFonts w:ascii="Segoe UI" w:eastAsia="Times New Roman" w:hAnsi="Segoe UI" w:cs="Segoe UI"/>
                <w:b/>
                <w:sz w:val="20"/>
                <w:szCs w:val="20"/>
                <w:lang w:eastAsia="es-ES"/>
              </w:rPr>
              <w:t>que sus beneficiarios no han</w:t>
            </w:r>
          </w:p>
          <w:p w14:paraId="4FDEF77E" w14:textId="77777777" w:rsidR="00A36F2D" w:rsidRPr="008E75FE" w:rsidRDefault="00A36F2D" w:rsidP="00BB605A">
            <w:pPr>
              <w:spacing w:after="0" w:line="240" w:lineRule="auto"/>
              <w:jc w:val="center"/>
              <w:rPr>
                <w:rFonts w:ascii="Segoe UI" w:eastAsia="Times New Roman" w:hAnsi="Segoe UI" w:cs="Segoe UI"/>
                <w:b/>
                <w:sz w:val="20"/>
                <w:szCs w:val="20"/>
                <w:lang w:eastAsia="es-ES"/>
              </w:rPr>
            </w:pPr>
            <w:r>
              <w:rPr>
                <w:rFonts w:ascii="Segoe UI" w:eastAsia="Times New Roman" w:hAnsi="Segoe UI" w:cs="Segoe UI"/>
                <w:b/>
                <w:sz w:val="20"/>
                <w:szCs w:val="20"/>
                <w:lang w:eastAsia="es-ES"/>
              </w:rPr>
              <w:t>retirado los montos disponibles del</w:t>
            </w:r>
            <w:r w:rsidRPr="008E75FE">
              <w:rPr>
                <w:rFonts w:ascii="Segoe UI" w:eastAsia="Times New Roman" w:hAnsi="Segoe UI" w:cs="Segoe UI"/>
                <w:b/>
                <w:sz w:val="20"/>
                <w:szCs w:val="20"/>
                <w:lang w:eastAsia="es-ES"/>
              </w:rPr>
              <w:t xml:space="preserve"> ROP</w:t>
            </w:r>
          </w:p>
        </w:tc>
      </w:tr>
      <w:tr w:rsidR="00A36F2D" w:rsidRPr="00F81CB3" w14:paraId="06C88221" w14:textId="77777777" w:rsidTr="00BB605A">
        <w:trPr>
          <w:trHeight w:val="170"/>
          <w:jc w:val="center"/>
        </w:trPr>
        <w:tc>
          <w:tcPr>
            <w:tcW w:w="5000" w:type="pct"/>
            <w:gridSpan w:val="4"/>
            <w:tcBorders>
              <w:bottom w:val="single" w:sz="4" w:space="0" w:color="auto"/>
            </w:tcBorders>
            <w:shd w:val="clear" w:color="auto" w:fill="auto"/>
            <w:noWrap/>
            <w:vAlign w:val="bottom"/>
            <w:hideMark/>
          </w:tcPr>
          <w:p w14:paraId="4A3C4FA6" w14:textId="77777777" w:rsidR="00A36F2D" w:rsidRPr="008E75FE" w:rsidRDefault="00A36F2D" w:rsidP="00BB605A">
            <w:pPr>
              <w:spacing w:after="0" w:line="240" w:lineRule="auto"/>
              <w:jc w:val="center"/>
              <w:rPr>
                <w:rFonts w:ascii="Segoe UI" w:eastAsia="Times New Roman" w:hAnsi="Segoe UI" w:cs="Segoe UI"/>
                <w:sz w:val="20"/>
                <w:szCs w:val="20"/>
                <w:lang w:eastAsia="es-ES"/>
              </w:rPr>
            </w:pPr>
            <w:r w:rsidRPr="008E75FE">
              <w:rPr>
                <w:rFonts w:ascii="Segoe UI" w:eastAsia="Times New Roman" w:hAnsi="Segoe UI" w:cs="Segoe UI"/>
                <w:sz w:val="20"/>
                <w:szCs w:val="20"/>
                <w:lang w:eastAsia="es-ES"/>
              </w:rPr>
              <w:t>Datos a junio del 2019</w:t>
            </w:r>
          </w:p>
        </w:tc>
      </w:tr>
      <w:tr w:rsidR="00A36F2D" w:rsidRPr="00F81CB3" w14:paraId="60A6F816" w14:textId="77777777" w:rsidTr="001F45F2">
        <w:trPr>
          <w:trHeight w:val="170"/>
          <w:jc w:val="center"/>
        </w:trPr>
        <w:tc>
          <w:tcPr>
            <w:tcW w:w="1906" w:type="pct"/>
            <w:tcBorders>
              <w:top w:val="single" w:sz="4" w:space="0" w:color="auto"/>
            </w:tcBorders>
            <w:shd w:val="clear" w:color="auto" w:fill="auto"/>
            <w:noWrap/>
            <w:vAlign w:val="bottom"/>
            <w:hideMark/>
          </w:tcPr>
          <w:p w14:paraId="5534D1E7"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 xml:space="preserve">Rango de Saldo </w:t>
            </w:r>
          </w:p>
          <w:p w14:paraId="6665614F"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en Colones</w:t>
            </w:r>
          </w:p>
        </w:tc>
        <w:tc>
          <w:tcPr>
            <w:tcW w:w="1093" w:type="pct"/>
            <w:tcBorders>
              <w:top w:val="single" w:sz="4" w:space="0" w:color="auto"/>
            </w:tcBorders>
            <w:shd w:val="clear" w:color="auto" w:fill="auto"/>
            <w:noWrap/>
            <w:vAlign w:val="bottom"/>
            <w:hideMark/>
          </w:tcPr>
          <w:p w14:paraId="5A52FE19"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Cantidad de</w:t>
            </w:r>
          </w:p>
          <w:p w14:paraId="3CEADC39"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 xml:space="preserve"> Afiliados</w:t>
            </w:r>
          </w:p>
        </w:tc>
        <w:tc>
          <w:tcPr>
            <w:tcW w:w="932" w:type="pct"/>
            <w:tcBorders>
              <w:top w:val="single" w:sz="4" w:space="0" w:color="auto"/>
            </w:tcBorders>
            <w:shd w:val="clear" w:color="auto" w:fill="auto"/>
            <w:noWrap/>
            <w:vAlign w:val="bottom"/>
            <w:hideMark/>
          </w:tcPr>
          <w:p w14:paraId="190F5A11"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Monto</w:t>
            </w:r>
          </w:p>
          <w:p w14:paraId="7CFEEC1A"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(millones)</w:t>
            </w:r>
          </w:p>
        </w:tc>
        <w:tc>
          <w:tcPr>
            <w:tcW w:w="1068" w:type="pct"/>
            <w:tcBorders>
              <w:top w:val="single" w:sz="4" w:space="0" w:color="auto"/>
            </w:tcBorders>
            <w:shd w:val="clear" w:color="auto" w:fill="auto"/>
            <w:noWrap/>
            <w:vAlign w:val="bottom"/>
            <w:hideMark/>
          </w:tcPr>
          <w:p w14:paraId="5AB4AEE9"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Promedio</w:t>
            </w:r>
          </w:p>
        </w:tc>
      </w:tr>
      <w:tr w:rsidR="00A36F2D" w:rsidRPr="00F81CB3" w14:paraId="291D9AF5" w14:textId="77777777" w:rsidTr="001F45F2">
        <w:trPr>
          <w:trHeight w:val="170"/>
          <w:jc w:val="center"/>
        </w:trPr>
        <w:tc>
          <w:tcPr>
            <w:tcW w:w="1906" w:type="pct"/>
            <w:shd w:val="clear" w:color="auto" w:fill="auto"/>
            <w:noWrap/>
            <w:vAlign w:val="center"/>
            <w:hideMark/>
          </w:tcPr>
          <w:p w14:paraId="00883CDD"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Menos de 50 mil</w:t>
            </w:r>
          </w:p>
        </w:tc>
        <w:tc>
          <w:tcPr>
            <w:tcW w:w="1093" w:type="pct"/>
            <w:shd w:val="clear" w:color="auto" w:fill="auto"/>
            <w:noWrap/>
            <w:vAlign w:val="bottom"/>
            <w:hideMark/>
          </w:tcPr>
          <w:p w14:paraId="059387BC"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14 932</w:t>
            </w:r>
          </w:p>
        </w:tc>
        <w:tc>
          <w:tcPr>
            <w:tcW w:w="932" w:type="pct"/>
            <w:shd w:val="clear" w:color="auto" w:fill="auto"/>
            <w:noWrap/>
            <w:vAlign w:val="bottom"/>
            <w:hideMark/>
          </w:tcPr>
          <w:p w14:paraId="07CAF98A"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233</w:t>
            </w:r>
          </w:p>
        </w:tc>
        <w:tc>
          <w:tcPr>
            <w:tcW w:w="1068" w:type="pct"/>
            <w:shd w:val="clear" w:color="auto" w:fill="auto"/>
            <w:noWrap/>
            <w:vAlign w:val="bottom"/>
            <w:hideMark/>
          </w:tcPr>
          <w:p w14:paraId="10D3D1A0"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15 614</w:t>
            </w:r>
          </w:p>
        </w:tc>
      </w:tr>
      <w:tr w:rsidR="00A36F2D" w:rsidRPr="00F81CB3" w14:paraId="12B1FF6F" w14:textId="77777777" w:rsidTr="001F45F2">
        <w:trPr>
          <w:trHeight w:val="170"/>
          <w:jc w:val="center"/>
        </w:trPr>
        <w:tc>
          <w:tcPr>
            <w:tcW w:w="1906" w:type="pct"/>
            <w:shd w:val="clear" w:color="auto" w:fill="auto"/>
            <w:noWrap/>
            <w:vAlign w:val="center"/>
            <w:hideMark/>
          </w:tcPr>
          <w:p w14:paraId="6FCE7F00"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Entre 50 mil y 100 mil</w:t>
            </w:r>
          </w:p>
        </w:tc>
        <w:tc>
          <w:tcPr>
            <w:tcW w:w="1093" w:type="pct"/>
            <w:shd w:val="clear" w:color="auto" w:fill="auto"/>
            <w:noWrap/>
            <w:vAlign w:val="bottom"/>
            <w:hideMark/>
          </w:tcPr>
          <w:p w14:paraId="5FEB18C9"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4 126</w:t>
            </w:r>
          </w:p>
        </w:tc>
        <w:tc>
          <w:tcPr>
            <w:tcW w:w="932" w:type="pct"/>
            <w:shd w:val="clear" w:color="auto" w:fill="auto"/>
            <w:noWrap/>
            <w:vAlign w:val="bottom"/>
            <w:hideMark/>
          </w:tcPr>
          <w:p w14:paraId="5922C58A"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298</w:t>
            </w:r>
          </w:p>
        </w:tc>
        <w:tc>
          <w:tcPr>
            <w:tcW w:w="1068" w:type="pct"/>
            <w:shd w:val="clear" w:color="auto" w:fill="auto"/>
            <w:noWrap/>
            <w:vAlign w:val="bottom"/>
            <w:hideMark/>
          </w:tcPr>
          <w:p w14:paraId="260115E7"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72 326</w:t>
            </w:r>
          </w:p>
        </w:tc>
      </w:tr>
      <w:tr w:rsidR="00A36F2D" w:rsidRPr="00F81CB3" w14:paraId="7543024D" w14:textId="77777777" w:rsidTr="001F45F2">
        <w:trPr>
          <w:trHeight w:val="170"/>
          <w:jc w:val="center"/>
        </w:trPr>
        <w:tc>
          <w:tcPr>
            <w:tcW w:w="1906" w:type="pct"/>
            <w:shd w:val="clear" w:color="auto" w:fill="auto"/>
            <w:noWrap/>
            <w:vAlign w:val="center"/>
            <w:hideMark/>
          </w:tcPr>
          <w:p w14:paraId="51A107DC"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Entre 100 y 200 mil</w:t>
            </w:r>
          </w:p>
        </w:tc>
        <w:tc>
          <w:tcPr>
            <w:tcW w:w="1093" w:type="pct"/>
            <w:shd w:val="clear" w:color="auto" w:fill="auto"/>
            <w:noWrap/>
            <w:vAlign w:val="bottom"/>
            <w:hideMark/>
          </w:tcPr>
          <w:p w14:paraId="29B76827"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3 892</w:t>
            </w:r>
          </w:p>
        </w:tc>
        <w:tc>
          <w:tcPr>
            <w:tcW w:w="932" w:type="pct"/>
            <w:shd w:val="clear" w:color="auto" w:fill="auto"/>
            <w:noWrap/>
            <w:vAlign w:val="bottom"/>
            <w:hideMark/>
          </w:tcPr>
          <w:p w14:paraId="7C2362DA"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558</w:t>
            </w:r>
          </w:p>
        </w:tc>
        <w:tc>
          <w:tcPr>
            <w:tcW w:w="1068" w:type="pct"/>
            <w:shd w:val="clear" w:color="auto" w:fill="auto"/>
            <w:noWrap/>
            <w:vAlign w:val="bottom"/>
            <w:hideMark/>
          </w:tcPr>
          <w:p w14:paraId="7494385B"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143 429</w:t>
            </w:r>
          </w:p>
        </w:tc>
      </w:tr>
      <w:tr w:rsidR="00A36F2D" w:rsidRPr="00F81CB3" w14:paraId="06E77ED0" w14:textId="77777777" w:rsidTr="001F45F2">
        <w:trPr>
          <w:trHeight w:val="170"/>
          <w:jc w:val="center"/>
        </w:trPr>
        <w:tc>
          <w:tcPr>
            <w:tcW w:w="1906" w:type="pct"/>
            <w:shd w:val="clear" w:color="auto" w:fill="auto"/>
            <w:noWrap/>
            <w:vAlign w:val="center"/>
            <w:hideMark/>
          </w:tcPr>
          <w:p w14:paraId="26BC3EEF"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Entre 200 y 500 mil</w:t>
            </w:r>
          </w:p>
        </w:tc>
        <w:tc>
          <w:tcPr>
            <w:tcW w:w="1093" w:type="pct"/>
            <w:shd w:val="clear" w:color="auto" w:fill="auto"/>
            <w:noWrap/>
            <w:vAlign w:val="bottom"/>
            <w:hideMark/>
          </w:tcPr>
          <w:p w14:paraId="1EC70D26"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4 462</w:t>
            </w:r>
          </w:p>
        </w:tc>
        <w:tc>
          <w:tcPr>
            <w:tcW w:w="932" w:type="pct"/>
            <w:shd w:val="clear" w:color="auto" w:fill="auto"/>
            <w:noWrap/>
            <w:vAlign w:val="bottom"/>
            <w:hideMark/>
          </w:tcPr>
          <w:p w14:paraId="555038BB"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1.438</w:t>
            </w:r>
          </w:p>
        </w:tc>
        <w:tc>
          <w:tcPr>
            <w:tcW w:w="1068" w:type="pct"/>
            <w:shd w:val="clear" w:color="auto" w:fill="auto"/>
            <w:noWrap/>
            <w:vAlign w:val="bottom"/>
            <w:hideMark/>
          </w:tcPr>
          <w:p w14:paraId="019D342E"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322 237</w:t>
            </w:r>
          </w:p>
        </w:tc>
      </w:tr>
      <w:tr w:rsidR="00A36F2D" w:rsidRPr="00F81CB3" w14:paraId="30DD9F3D" w14:textId="77777777" w:rsidTr="001F45F2">
        <w:trPr>
          <w:trHeight w:val="170"/>
          <w:jc w:val="center"/>
        </w:trPr>
        <w:tc>
          <w:tcPr>
            <w:tcW w:w="1906" w:type="pct"/>
            <w:shd w:val="clear" w:color="auto" w:fill="auto"/>
            <w:noWrap/>
            <w:vAlign w:val="center"/>
            <w:hideMark/>
          </w:tcPr>
          <w:p w14:paraId="79F8AA95"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Entre 500 mil y 1 millón</w:t>
            </w:r>
          </w:p>
        </w:tc>
        <w:tc>
          <w:tcPr>
            <w:tcW w:w="1093" w:type="pct"/>
            <w:shd w:val="clear" w:color="auto" w:fill="auto"/>
            <w:noWrap/>
            <w:vAlign w:val="bottom"/>
            <w:hideMark/>
          </w:tcPr>
          <w:p w14:paraId="53B5043C"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2 925</w:t>
            </w:r>
          </w:p>
        </w:tc>
        <w:tc>
          <w:tcPr>
            <w:tcW w:w="932" w:type="pct"/>
            <w:shd w:val="clear" w:color="auto" w:fill="auto"/>
            <w:noWrap/>
            <w:vAlign w:val="bottom"/>
            <w:hideMark/>
          </w:tcPr>
          <w:p w14:paraId="62705BD2"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2.070</w:t>
            </w:r>
          </w:p>
        </w:tc>
        <w:tc>
          <w:tcPr>
            <w:tcW w:w="1068" w:type="pct"/>
            <w:shd w:val="clear" w:color="auto" w:fill="auto"/>
            <w:noWrap/>
            <w:vAlign w:val="bottom"/>
            <w:hideMark/>
          </w:tcPr>
          <w:p w14:paraId="0B7F61F5"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707 845</w:t>
            </w:r>
          </w:p>
        </w:tc>
      </w:tr>
      <w:tr w:rsidR="00A36F2D" w:rsidRPr="00F81CB3" w14:paraId="5637962B" w14:textId="77777777" w:rsidTr="001F45F2">
        <w:trPr>
          <w:trHeight w:val="170"/>
          <w:jc w:val="center"/>
        </w:trPr>
        <w:tc>
          <w:tcPr>
            <w:tcW w:w="1906" w:type="pct"/>
            <w:shd w:val="clear" w:color="auto" w:fill="auto"/>
            <w:noWrap/>
            <w:vAlign w:val="center"/>
            <w:hideMark/>
          </w:tcPr>
          <w:p w14:paraId="4132B995"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Entre 1 y 10 millones</w:t>
            </w:r>
          </w:p>
        </w:tc>
        <w:tc>
          <w:tcPr>
            <w:tcW w:w="1093" w:type="pct"/>
            <w:shd w:val="clear" w:color="auto" w:fill="auto"/>
            <w:noWrap/>
            <w:vAlign w:val="bottom"/>
            <w:hideMark/>
          </w:tcPr>
          <w:p w14:paraId="52065B79"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4 615</w:t>
            </w:r>
          </w:p>
        </w:tc>
        <w:tc>
          <w:tcPr>
            <w:tcW w:w="932" w:type="pct"/>
            <w:shd w:val="clear" w:color="auto" w:fill="auto"/>
            <w:noWrap/>
            <w:vAlign w:val="bottom"/>
            <w:hideMark/>
          </w:tcPr>
          <w:p w14:paraId="58F022B2"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12.395</w:t>
            </w:r>
          </w:p>
        </w:tc>
        <w:tc>
          <w:tcPr>
            <w:tcW w:w="1068" w:type="pct"/>
            <w:shd w:val="clear" w:color="auto" w:fill="auto"/>
            <w:noWrap/>
            <w:vAlign w:val="bottom"/>
            <w:hideMark/>
          </w:tcPr>
          <w:p w14:paraId="0F6FFC8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2 685 864</w:t>
            </w:r>
          </w:p>
        </w:tc>
      </w:tr>
      <w:tr w:rsidR="00A36F2D" w:rsidRPr="00F81CB3" w14:paraId="53815E7B" w14:textId="77777777" w:rsidTr="001F45F2">
        <w:trPr>
          <w:trHeight w:val="170"/>
          <w:jc w:val="center"/>
        </w:trPr>
        <w:tc>
          <w:tcPr>
            <w:tcW w:w="1906" w:type="pct"/>
            <w:shd w:val="clear" w:color="auto" w:fill="auto"/>
            <w:noWrap/>
            <w:vAlign w:val="center"/>
            <w:hideMark/>
          </w:tcPr>
          <w:p w14:paraId="2D88C245"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val="es-CR" w:eastAsia="es-ES"/>
              </w:rPr>
              <w:t>Más de 10 millones</w:t>
            </w:r>
          </w:p>
        </w:tc>
        <w:tc>
          <w:tcPr>
            <w:tcW w:w="1093" w:type="pct"/>
            <w:shd w:val="clear" w:color="auto" w:fill="auto"/>
            <w:noWrap/>
            <w:vAlign w:val="bottom"/>
            <w:hideMark/>
          </w:tcPr>
          <w:p w14:paraId="729191F4"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279</w:t>
            </w:r>
          </w:p>
        </w:tc>
        <w:tc>
          <w:tcPr>
            <w:tcW w:w="932" w:type="pct"/>
            <w:shd w:val="clear" w:color="auto" w:fill="auto"/>
            <w:noWrap/>
            <w:vAlign w:val="bottom"/>
            <w:hideMark/>
          </w:tcPr>
          <w:p w14:paraId="55992305"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hAnsi="Segoe UI" w:cs="Segoe UI"/>
                <w:color w:val="000000"/>
                <w:sz w:val="20"/>
                <w:szCs w:val="20"/>
              </w:rPr>
              <w:t>4.339</w:t>
            </w:r>
          </w:p>
        </w:tc>
        <w:tc>
          <w:tcPr>
            <w:tcW w:w="1068" w:type="pct"/>
            <w:shd w:val="clear" w:color="auto" w:fill="auto"/>
            <w:noWrap/>
            <w:vAlign w:val="bottom"/>
            <w:hideMark/>
          </w:tcPr>
          <w:p w14:paraId="6EE14783"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15 550 500</w:t>
            </w:r>
          </w:p>
        </w:tc>
      </w:tr>
      <w:tr w:rsidR="00A36F2D" w:rsidRPr="00F81CB3" w14:paraId="30C0D5CF" w14:textId="77777777" w:rsidTr="001F45F2">
        <w:trPr>
          <w:trHeight w:val="170"/>
          <w:jc w:val="center"/>
        </w:trPr>
        <w:tc>
          <w:tcPr>
            <w:tcW w:w="1906" w:type="pct"/>
            <w:tcBorders>
              <w:bottom w:val="single" w:sz="4" w:space="0" w:color="auto"/>
            </w:tcBorders>
            <w:shd w:val="clear" w:color="auto" w:fill="auto"/>
            <w:noWrap/>
            <w:vAlign w:val="bottom"/>
            <w:hideMark/>
          </w:tcPr>
          <w:p w14:paraId="2512721F"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proofErr w:type="gramStart"/>
            <w:r w:rsidRPr="00F81CB3">
              <w:rPr>
                <w:rFonts w:ascii="Segoe UI" w:eastAsia="Times New Roman" w:hAnsi="Segoe UI" w:cs="Segoe UI"/>
                <w:b/>
                <w:bCs/>
                <w:color w:val="000000"/>
                <w:sz w:val="20"/>
                <w:szCs w:val="20"/>
                <w:lang w:eastAsia="es-ES"/>
              </w:rPr>
              <w:t>Total</w:t>
            </w:r>
            <w:proofErr w:type="gramEnd"/>
            <w:r w:rsidRPr="00F81CB3">
              <w:rPr>
                <w:rFonts w:ascii="Segoe UI" w:eastAsia="Times New Roman" w:hAnsi="Segoe UI" w:cs="Segoe UI"/>
                <w:b/>
                <w:bCs/>
                <w:color w:val="000000"/>
                <w:sz w:val="20"/>
                <w:szCs w:val="20"/>
                <w:lang w:eastAsia="es-ES"/>
              </w:rPr>
              <w:t xml:space="preserve"> General</w:t>
            </w:r>
          </w:p>
        </w:tc>
        <w:tc>
          <w:tcPr>
            <w:tcW w:w="1093" w:type="pct"/>
            <w:tcBorders>
              <w:bottom w:val="single" w:sz="4" w:space="0" w:color="auto"/>
            </w:tcBorders>
            <w:shd w:val="clear" w:color="auto" w:fill="auto"/>
            <w:noWrap/>
            <w:vAlign w:val="bottom"/>
            <w:hideMark/>
          </w:tcPr>
          <w:p w14:paraId="4FB0D625"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35 231</w:t>
            </w:r>
          </w:p>
        </w:tc>
        <w:tc>
          <w:tcPr>
            <w:tcW w:w="932" w:type="pct"/>
            <w:tcBorders>
              <w:bottom w:val="single" w:sz="4" w:space="0" w:color="auto"/>
            </w:tcBorders>
            <w:shd w:val="clear" w:color="auto" w:fill="auto"/>
            <w:noWrap/>
            <w:vAlign w:val="bottom"/>
            <w:hideMark/>
          </w:tcPr>
          <w:p w14:paraId="4E141CD6"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hAnsi="Segoe UI" w:cs="Segoe UI"/>
                <w:b/>
                <w:bCs/>
                <w:color w:val="000000"/>
                <w:sz w:val="20"/>
                <w:szCs w:val="20"/>
              </w:rPr>
              <w:t>21.332</w:t>
            </w:r>
          </w:p>
        </w:tc>
        <w:tc>
          <w:tcPr>
            <w:tcW w:w="1068" w:type="pct"/>
            <w:tcBorders>
              <w:bottom w:val="single" w:sz="4" w:space="0" w:color="auto"/>
            </w:tcBorders>
            <w:shd w:val="clear" w:color="auto" w:fill="auto"/>
            <w:noWrap/>
            <w:vAlign w:val="bottom"/>
            <w:hideMark/>
          </w:tcPr>
          <w:p w14:paraId="74A31DF2"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605 487</w:t>
            </w:r>
          </w:p>
        </w:tc>
      </w:tr>
    </w:tbl>
    <w:p w14:paraId="70D73AA4" w14:textId="77777777" w:rsidR="001F45F2" w:rsidRDefault="001F45F2" w:rsidP="00A36F2D">
      <w:pPr>
        <w:spacing w:line="240" w:lineRule="auto"/>
        <w:jc w:val="both"/>
        <w:rPr>
          <w:rFonts w:ascii="Segoe UI" w:hAnsi="Segoe UI" w:cs="Segoe UI"/>
        </w:rPr>
      </w:pPr>
    </w:p>
    <w:p w14:paraId="0BF19A9F" w14:textId="77777777" w:rsidR="00A36F2D" w:rsidRPr="00F81CB3" w:rsidRDefault="00A36F2D" w:rsidP="00A36F2D">
      <w:pPr>
        <w:spacing w:line="240" w:lineRule="auto"/>
        <w:jc w:val="both"/>
        <w:rPr>
          <w:rFonts w:ascii="Segoe UI" w:hAnsi="Segoe UI" w:cs="Segoe UI"/>
        </w:rPr>
      </w:pPr>
      <w:r>
        <w:rPr>
          <w:rFonts w:ascii="Segoe UI" w:hAnsi="Segoe UI" w:cs="Segoe UI"/>
        </w:rPr>
        <w:t>El cuadro 12</w:t>
      </w:r>
      <w:r w:rsidRPr="00F81CB3">
        <w:rPr>
          <w:rFonts w:ascii="Segoe UI" w:hAnsi="Segoe UI" w:cs="Segoe UI"/>
        </w:rPr>
        <w:t xml:space="preserve"> muestra un histórico de los afiliados fallecidos </w:t>
      </w:r>
      <w:r>
        <w:rPr>
          <w:rFonts w:ascii="Segoe UI" w:hAnsi="Segoe UI" w:cs="Segoe UI"/>
        </w:rPr>
        <w:t xml:space="preserve">de los </w:t>
      </w:r>
      <w:r w:rsidRPr="00F81CB3">
        <w:rPr>
          <w:rFonts w:ascii="Segoe UI" w:hAnsi="Segoe UI" w:cs="Segoe UI"/>
        </w:rPr>
        <w:t>que sus beneficiarios mantienen saldo en los fondos ROP acumulados y sobre los cuales las OPC cobran comisiones.  El monto acumulado de afiliados fallecidos del ROP crece en promedio al 37%.</w:t>
      </w:r>
    </w:p>
    <w:tbl>
      <w:tblPr>
        <w:tblW w:w="5000" w:type="pct"/>
        <w:jc w:val="center"/>
        <w:tblCellMar>
          <w:left w:w="70" w:type="dxa"/>
          <w:right w:w="70" w:type="dxa"/>
        </w:tblCellMar>
        <w:tblLook w:val="04A0" w:firstRow="1" w:lastRow="0" w:firstColumn="1" w:lastColumn="0" w:noHBand="0" w:noVBand="1"/>
      </w:tblPr>
      <w:tblGrid>
        <w:gridCol w:w="2309"/>
        <w:gridCol w:w="655"/>
        <w:gridCol w:w="671"/>
        <w:gridCol w:w="723"/>
        <w:gridCol w:w="723"/>
        <w:gridCol w:w="723"/>
        <w:gridCol w:w="723"/>
        <w:gridCol w:w="770"/>
        <w:gridCol w:w="771"/>
        <w:gridCol w:w="770"/>
      </w:tblGrid>
      <w:tr w:rsidR="00A36F2D" w:rsidRPr="00F81CB3" w14:paraId="5063DE13" w14:textId="77777777" w:rsidTr="00BB605A">
        <w:trPr>
          <w:trHeight w:val="170"/>
          <w:jc w:val="center"/>
        </w:trPr>
        <w:tc>
          <w:tcPr>
            <w:tcW w:w="5000" w:type="pct"/>
            <w:gridSpan w:val="10"/>
            <w:shd w:val="clear" w:color="auto" w:fill="auto"/>
            <w:noWrap/>
            <w:vAlign w:val="bottom"/>
            <w:hideMark/>
          </w:tcPr>
          <w:p w14:paraId="4EC56EBF" w14:textId="77777777" w:rsidR="00A36F2D" w:rsidRPr="00315B4B" w:rsidRDefault="00A36F2D" w:rsidP="00BB605A">
            <w:pPr>
              <w:spacing w:after="0" w:line="240" w:lineRule="auto"/>
              <w:jc w:val="center"/>
              <w:rPr>
                <w:rFonts w:ascii="Segoe UI" w:eastAsia="Times New Roman" w:hAnsi="Segoe UI" w:cs="Segoe UI"/>
                <w:sz w:val="20"/>
                <w:szCs w:val="20"/>
                <w:lang w:eastAsia="es-ES"/>
              </w:rPr>
            </w:pPr>
            <w:r w:rsidRPr="00315B4B">
              <w:rPr>
                <w:rFonts w:ascii="Segoe UI" w:eastAsia="Times New Roman" w:hAnsi="Segoe UI" w:cs="Segoe UI"/>
                <w:sz w:val="20"/>
                <w:szCs w:val="20"/>
                <w:lang w:eastAsia="es-ES"/>
              </w:rPr>
              <w:t>Cuadro 12</w:t>
            </w:r>
          </w:p>
          <w:p w14:paraId="07367CF1" w14:textId="77777777" w:rsidR="00A36F2D" w:rsidRPr="00315B4B" w:rsidRDefault="00A36F2D" w:rsidP="00BB605A">
            <w:pPr>
              <w:spacing w:after="0" w:line="240" w:lineRule="auto"/>
              <w:jc w:val="center"/>
              <w:rPr>
                <w:rFonts w:ascii="Segoe UI" w:eastAsia="Times New Roman" w:hAnsi="Segoe UI" w:cs="Segoe UI"/>
                <w:b/>
                <w:sz w:val="20"/>
                <w:szCs w:val="20"/>
                <w:lang w:eastAsia="es-ES"/>
              </w:rPr>
            </w:pPr>
            <w:r w:rsidRPr="00315B4B">
              <w:rPr>
                <w:rFonts w:ascii="Segoe UI" w:eastAsia="Times New Roman" w:hAnsi="Segoe UI" w:cs="Segoe UI"/>
                <w:b/>
                <w:sz w:val="20"/>
                <w:szCs w:val="20"/>
                <w:lang w:eastAsia="es-ES"/>
              </w:rPr>
              <w:t>Afiliados Fallecidos que sus beneficiarios no han</w:t>
            </w:r>
            <w:r>
              <w:rPr>
                <w:rFonts w:ascii="Segoe UI" w:eastAsia="Times New Roman" w:hAnsi="Segoe UI" w:cs="Segoe UI"/>
                <w:b/>
                <w:sz w:val="20"/>
                <w:szCs w:val="20"/>
                <w:lang w:eastAsia="es-ES"/>
              </w:rPr>
              <w:t xml:space="preserve"> </w:t>
            </w:r>
            <w:r w:rsidRPr="00315B4B">
              <w:rPr>
                <w:rFonts w:ascii="Segoe UI" w:eastAsia="Times New Roman" w:hAnsi="Segoe UI" w:cs="Segoe UI"/>
                <w:b/>
                <w:sz w:val="20"/>
                <w:szCs w:val="20"/>
                <w:lang w:eastAsia="es-ES"/>
              </w:rPr>
              <w:t>retirado el ROP</w:t>
            </w:r>
          </w:p>
        </w:tc>
      </w:tr>
      <w:tr w:rsidR="00A36F2D" w:rsidRPr="00F81CB3" w14:paraId="417E0CD7" w14:textId="77777777" w:rsidTr="00BB605A">
        <w:trPr>
          <w:trHeight w:val="170"/>
          <w:jc w:val="center"/>
        </w:trPr>
        <w:tc>
          <w:tcPr>
            <w:tcW w:w="5000" w:type="pct"/>
            <w:gridSpan w:val="10"/>
            <w:tcBorders>
              <w:bottom w:val="single" w:sz="4" w:space="0" w:color="auto"/>
            </w:tcBorders>
            <w:shd w:val="clear" w:color="auto" w:fill="auto"/>
            <w:noWrap/>
            <w:vAlign w:val="bottom"/>
            <w:hideMark/>
          </w:tcPr>
          <w:p w14:paraId="224B6568" w14:textId="77777777" w:rsidR="00A36F2D" w:rsidRPr="00315B4B" w:rsidRDefault="00A36F2D" w:rsidP="00BB605A">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Acumulados a diciembre de cada año hasta junio del</w:t>
            </w:r>
            <w:r w:rsidRPr="00315B4B">
              <w:rPr>
                <w:rFonts w:ascii="Segoe UI" w:eastAsia="Times New Roman" w:hAnsi="Segoe UI" w:cs="Segoe UI"/>
                <w:sz w:val="20"/>
                <w:szCs w:val="20"/>
                <w:lang w:eastAsia="es-ES"/>
              </w:rPr>
              <w:t xml:space="preserve"> 2019</w:t>
            </w:r>
          </w:p>
        </w:tc>
      </w:tr>
      <w:tr w:rsidR="00A36F2D" w:rsidRPr="00F81CB3" w14:paraId="2DC3919A" w14:textId="77777777" w:rsidTr="00BB605A">
        <w:trPr>
          <w:trHeight w:val="170"/>
          <w:jc w:val="center"/>
        </w:trPr>
        <w:tc>
          <w:tcPr>
            <w:tcW w:w="1307" w:type="pct"/>
            <w:tcBorders>
              <w:top w:val="single" w:sz="4" w:space="0" w:color="auto"/>
            </w:tcBorders>
            <w:shd w:val="clear" w:color="auto" w:fill="auto"/>
            <w:noWrap/>
            <w:vAlign w:val="bottom"/>
            <w:hideMark/>
          </w:tcPr>
          <w:p w14:paraId="1BBF6794" w14:textId="77777777" w:rsidR="00A36F2D" w:rsidRPr="00F81CB3" w:rsidRDefault="00A36F2D" w:rsidP="00BB605A">
            <w:pPr>
              <w:spacing w:after="0" w:line="240" w:lineRule="auto"/>
              <w:jc w:val="center"/>
              <w:rPr>
                <w:rFonts w:ascii="Segoe UI" w:eastAsia="Times New Roman" w:hAnsi="Segoe UI" w:cs="Segoe UI"/>
                <w:color w:val="000000"/>
                <w:sz w:val="20"/>
                <w:szCs w:val="20"/>
                <w:lang w:eastAsia="es-ES"/>
              </w:rPr>
            </w:pPr>
          </w:p>
        </w:tc>
        <w:tc>
          <w:tcPr>
            <w:tcW w:w="371" w:type="pct"/>
            <w:tcBorders>
              <w:top w:val="single" w:sz="4" w:space="0" w:color="auto"/>
            </w:tcBorders>
            <w:shd w:val="clear" w:color="auto" w:fill="auto"/>
            <w:noWrap/>
            <w:vAlign w:val="bottom"/>
            <w:hideMark/>
          </w:tcPr>
          <w:p w14:paraId="18F55995"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380" w:type="pct"/>
            <w:tcBorders>
              <w:top w:val="single" w:sz="4" w:space="0" w:color="auto"/>
            </w:tcBorders>
            <w:shd w:val="clear" w:color="auto" w:fill="auto"/>
            <w:noWrap/>
            <w:vAlign w:val="bottom"/>
            <w:hideMark/>
          </w:tcPr>
          <w:p w14:paraId="177A612E"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09" w:type="pct"/>
            <w:tcBorders>
              <w:top w:val="single" w:sz="4" w:space="0" w:color="auto"/>
            </w:tcBorders>
            <w:shd w:val="clear" w:color="auto" w:fill="auto"/>
            <w:noWrap/>
            <w:vAlign w:val="bottom"/>
            <w:hideMark/>
          </w:tcPr>
          <w:p w14:paraId="4CEED017"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09" w:type="pct"/>
            <w:tcBorders>
              <w:top w:val="single" w:sz="4" w:space="0" w:color="auto"/>
            </w:tcBorders>
            <w:shd w:val="clear" w:color="auto" w:fill="auto"/>
            <w:noWrap/>
            <w:vAlign w:val="bottom"/>
            <w:hideMark/>
          </w:tcPr>
          <w:p w14:paraId="00B1ECE8"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09" w:type="pct"/>
            <w:tcBorders>
              <w:top w:val="single" w:sz="4" w:space="0" w:color="auto"/>
            </w:tcBorders>
            <w:shd w:val="clear" w:color="auto" w:fill="auto"/>
            <w:noWrap/>
            <w:vAlign w:val="bottom"/>
            <w:hideMark/>
          </w:tcPr>
          <w:p w14:paraId="44DA3EFF"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09" w:type="pct"/>
            <w:tcBorders>
              <w:top w:val="single" w:sz="4" w:space="0" w:color="auto"/>
            </w:tcBorders>
            <w:shd w:val="clear" w:color="auto" w:fill="auto"/>
            <w:noWrap/>
            <w:vAlign w:val="bottom"/>
            <w:hideMark/>
          </w:tcPr>
          <w:p w14:paraId="03AF97C1"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36" w:type="pct"/>
            <w:tcBorders>
              <w:top w:val="single" w:sz="4" w:space="0" w:color="auto"/>
            </w:tcBorders>
            <w:shd w:val="clear" w:color="auto" w:fill="auto"/>
            <w:noWrap/>
            <w:vAlign w:val="bottom"/>
            <w:hideMark/>
          </w:tcPr>
          <w:p w14:paraId="025D8143"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36" w:type="pct"/>
            <w:tcBorders>
              <w:top w:val="single" w:sz="4" w:space="0" w:color="auto"/>
            </w:tcBorders>
            <w:shd w:val="clear" w:color="auto" w:fill="auto"/>
            <w:noWrap/>
            <w:vAlign w:val="bottom"/>
            <w:hideMark/>
          </w:tcPr>
          <w:p w14:paraId="58349904" w14:textId="77777777" w:rsidR="00A36F2D" w:rsidRPr="00F81CB3" w:rsidRDefault="00A36F2D" w:rsidP="00BB605A">
            <w:pPr>
              <w:spacing w:after="0" w:line="240" w:lineRule="auto"/>
              <w:rPr>
                <w:rFonts w:ascii="Segoe UI" w:eastAsia="Times New Roman" w:hAnsi="Segoe UI" w:cs="Segoe UI"/>
                <w:sz w:val="20"/>
                <w:szCs w:val="20"/>
                <w:lang w:eastAsia="es-ES"/>
              </w:rPr>
            </w:pPr>
          </w:p>
        </w:tc>
        <w:tc>
          <w:tcPr>
            <w:tcW w:w="436" w:type="pct"/>
            <w:tcBorders>
              <w:top w:val="single" w:sz="4" w:space="0" w:color="auto"/>
            </w:tcBorders>
            <w:shd w:val="clear" w:color="auto" w:fill="auto"/>
            <w:noWrap/>
            <w:vAlign w:val="bottom"/>
            <w:hideMark/>
          </w:tcPr>
          <w:p w14:paraId="74DF18B3" w14:textId="77777777" w:rsidR="00A36F2D" w:rsidRPr="00F81CB3" w:rsidRDefault="00A36F2D" w:rsidP="00BB605A">
            <w:pPr>
              <w:spacing w:after="0" w:line="240" w:lineRule="auto"/>
              <w:rPr>
                <w:rFonts w:ascii="Segoe UI" w:eastAsia="Times New Roman" w:hAnsi="Segoe UI" w:cs="Segoe UI"/>
                <w:sz w:val="20"/>
                <w:szCs w:val="20"/>
                <w:lang w:eastAsia="es-ES"/>
              </w:rPr>
            </w:pPr>
          </w:p>
        </w:tc>
      </w:tr>
      <w:tr w:rsidR="00A36F2D" w:rsidRPr="00F81CB3" w14:paraId="77C56683" w14:textId="77777777" w:rsidTr="00BB605A">
        <w:trPr>
          <w:trHeight w:val="170"/>
          <w:jc w:val="center"/>
        </w:trPr>
        <w:tc>
          <w:tcPr>
            <w:tcW w:w="1307" w:type="pct"/>
            <w:shd w:val="clear" w:color="auto" w:fill="auto"/>
            <w:noWrap/>
            <w:vAlign w:val="bottom"/>
            <w:hideMark/>
          </w:tcPr>
          <w:p w14:paraId="42B57D1D"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Años</w:t>
            </w:r>
          </w:p>
        </w:tc>
        <w:tc>
          <w:tcPr>
            <w:tcW w:w="371" w:type="pct"/>
            <w:shd w:val="clear" w:color="auto" w:fill="auto"/>
            <w:noWrap/>
            <w:vAlign w:val="bottom"/>
            <w:hideMark/>
          </w:tcPr>
          <w:p w14:paraId="478D95E7"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2011</w:t>
            </w:r>
          </w:p>
        </w:tc>
        <w:tc>
          <w:tcPr>
            <w:tcW w:w="380" w:type="pct"/>
            <w:shd w:val="clear" w:color="auto" w:fill="auto"/>
            <w:noWrap/>
            <w:vAlign w:val="bottom"/>
            <w:hideMark/>
          </w:tcPr>
          <w:p w14:paraId="1DBCACFD"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2012</w:t>
            </w:r>
          </w:p>
        </w:tc>
        <w:tc>
          <w:tcPr>
            <w:tcW w:w="409" w:type="pct"/>
            <w:shd w:val="clear" w:color="auto" w:fill="auto"/>
            <w:noWrap/>
            <w:vAlign w:val="bottom"/>
            <w:hideMark/>
          </w:tcPr>
          <w:p w14:paraId="6A45393A"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2013</w:t>
            </w:r>
          </w:p>
        </w:tc>
        <w:tc>
          <w:tcPr>
            <w:tcW w:w="409" w:type="pct"/>
            <w:shd w:val="clear" w:color="auto" w:fill="auto"/>
            <w:noWrap/>
            <w:vAlign w:val="bottom"/>
            <w:hideMark/>
          </w:tcPr>
          <w:p w14:paraId="7CB165AB"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2014</w:t>
            </w:r>
          </w:p>
        </w:tc>
        <w:tc>
          <w:tcPr>
            <w:tcW w:w="409" w:type="pct"/>
            <w:shd w:val="clear" w:color="auto" w:fill="auto"/>
            <w:noWrap/>
            <w:vAlign w:val="bottom"/>
            <w:hideMark/>
          </w:tcPr>
          <w:p w14:paraId="3C965E23"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2015</w:t>
            </w:r>
          </w:p>
        </w:tc>
        <w:tc>
          <w:tcPr>
            <w:tcW w:w="409" w:type="pct"/>
            <w:shd w:val="clear" w:color="auto" w:fill="auto"/>
            <w:noWrap/>
            <w:vAlign w:val="bottom"/>
            <w:hideMark/>
          </w:tcPr>
          <w:p w14:paraId="6FA638DB"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2016</w:t>
            </w:r>
          </w:p>
        </w:tc>
        <w:tc>
          <w:tcPr>
            <w:tcW w:w="436" w:type="pct"/>
            <w:shd w:val="clear" w:color="auto" w:fill="auto"/>
            <w:noWrap/>
            <w:vAlign w:val="bottom"/>
            <w:hideMark/>
          </w:tcPr>
          <w:p w14:paraId="56E02916"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2017</w:t>
            </w:r>
          </w:p>
        </w:tc>
        <w:tc>
          <w:tcPr>
            <w:tcW w:w="436" w:type="pct"/>
            <w:shd w:val="clear" w:color="auto" w:fill="auto"/>
            <w:noWrap/>
            <w:vAlign w:val="bottom"/>
            <w:hideMark/>
          </w:tcPr>
          <w:p w14:paraId="709510D3"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2018</w:t>
            </w:r>
          </w:p>
        </w:tc>
        <w:tc>
          <w:tcPr>
            <w:tcW w:w="436" w:type="pct"/>
            <w:shd w:val="clear" w:color="auto" w:fill="auto"/>
            <w:noWrap/>
            <w:vAlign w:val="bottom"/>
            <w:hideMark/>
          </w:tcPr>
          <w:p w14:paraId="21B354B5"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2019*</w:t>
            </w:r>
          </w:p>
        </w:tc>
      </w:tr>
      <w:tr w:rsidR="00A36F2D" w:rsidRPr="00F81CB3" w14:paraId="007CD069" w14:textId="77777777" w:rsidTr="00BB605A">
        <w:trPr>
          <w:trHeight w:val="170"/>
          <w:jc w:val="center"/>
        </w:trPr>
        <w:tc>
          <w:tcPr>
            <w:tcW w:w="1307" w:type="pct"/>
            <w:shd w:val="clear" w:color="auto" w:fill="auto"/>
            <w:noWrap/>
            <w:vAlign w:val="bottom"/>
            <w:hideMark/>
          </w:tcPr>
          <w:p w14:paraId="6AFAA9B8"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Nuevos fallecidos</w:t>
            </w:r>
          </w:p>
        </w:tc>
        <w:tc>
          <w:tcPr>
            <w:tcW w:w="371" w:type="pct"/>
            <w:shd w:val="clear" w:color="auto" w:fill="auto"/>
            <w:noWrap/>
            <w:vAlign w:val="bottom"/>
            <w:hideMark/>
          </w:tcPr>
          <w:p w14:paraId="2D4DFB0B"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2.932</w:t>
            </w:r>
          </w:p>
        </w:tc>
        <w:tc>
          <w:tcPr>
            <w:tcW w:w="380" w:type="pct"/>
            <w:shd w:val="clear" w:color="auto" w:fill="auto"/>
            <w:noWrap/>
            <w:vAlign w:val="bottom"/>
            <w:hideMark/>
          </w:tcPr>
          <w:p w14:paraId="23A4B0EF"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3.128</w:t>
            </w:r>
          </w:p>
        </w:tc>
        <w:tc>
          <w:tcPr>
            <w:tcW w:w="409" w:type="pct"/>
            <w:shd w:val="clear" w:color="auto" w:fill="auto"/>
            <w:noWrap/>
            <w:vAlign w:val="bottom"/>
            <w:hideMark/>
          </w:tcPr>
          <w:p w14:paraId="002495CC"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3.309</w:t>
            </w:r>
          </w:p>
        </w:tc>
        <w:tc>
          <w:tcPr>
            <w:tcW w:w="409" w:type="pct"/>
            <w:shd w:val="clear" w:color="auto" w:fill="auto"/>
            <w:noWrap/>
            <w:vAlign w:val="bottom"/>
            <w:hideMark/>
          </w:tcPr>
          <w:p w14:paraId="169365D7"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3.364</w:t>
            </w:r>
          </w:p>
        </w:tc>
        <w:tc>
          <w:tcPr>
            <w:tcW w:w="409" w:type="pct"/>
            <w:shd w:val="clear" w:color="auto" w:fill="auto"/>
            <w:noWrap/>
            <w:vAlign w:val="bottom"/>
            <w:hideMark/>
          </w:tcPr>
          <w:p w14:paraId="2FB69B76"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3.754</w:t>
            </w:r>
          </w:p>
        </w:tc>
        <w:tc>
          <w:tcPr>
            <w:tcW w:w="409" w:type="pct"/>
            <w:shd w:val="clear" w:color="auto" w:fill="auto"/>
            <w:noWrap/>
            <w:vAlign w:val="bottom"/>
            <w:hideMark/>
          </w:tcPr>
          <w:p w14:paraId="0B76C21D"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4.173</w:t>
            </w:r>
          </w:p>
        </w:tc>
        <w:tc>
          <w:tcPr>
            <w:tcW w:w="436" w:type="pct"/>
            <w:shd w:val="clear" w:color="auto" w:fill="auto"/>
            <w:noWrap/>
            <w:vAlign w:val="bottom"/>
            <w:hideMark/>
          </w:tcPr>
          <w:p w14:paraId="660179B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4.449</w:t>
            </w:r>
          </w:p>
        </w:tc>
        <w:tc>
          <w:tcPr>
            <w:tcW w:w="436" w:type="pct"/>
            <w:shd w:val="clear" w:color="auto" w:fill="auto"/>
            <w:noWrap/>
            <w:vAlign w:val="bottom"/>
            <w:hideMark/>
          </w:tcPr>
          <w:p w14:paraId="61A787F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4.876</w:t>
            </w:r>
          </w:p>
        </w:tc>
        <w:tc>
          <w:tcPr>
            <w:tcW w:w="436" w:type="pct"/>
            <w:shd w:val="clear" w:color="auto" w:fill="auto"/>
            <w:noWrap/>
            <w:vAlign w:val="bottom"/>
            <w:hideMark/>
          </w:tcPr>
          <w:p w14:paraId="7318262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2.437</w:t>
            </w:r>
          </w:p>
        </w:tc>
      </w:tr>
      <w:tr w:rsidR="00A36F2D" w:rsidRPr="00F81CB3" w14:paraId="2090C624" w14:textId="77777777" w:rsidTr="00BB605A">
        <w:trPr>
          <w:trHeight w:val="170"/>
          <w:jc w:val="center"/>
        </w:trPr>
        <w:tc>
          <w:tcPr>
            <w:tcW w:w="1307" w:type="pct"/>
            <w:shd w:val="clear" w:color="auto" w:fill="auto"/>
            <w:noWrap/>
            <w:vAlign w:val="bottom"/>
            <w:hideMark/>
          </w:tcPr>
          <w:p w14:paraId="4F53F3A2" w14:textId="77777777" w:rsidR="00A36F2D" w:rsidRPr="00F373BF" w:rsidRDefault="00A36F2D" w:rsidP="00BB605A">
            <w:pPr>
              <w:spacing w:after="0" w:line="240" w:lineRule="auto"/>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Tasa de Crecimiento</w:t>
            </w:r>
          </w:p>
        </w:tc>
        <w:tc>
          <w:tcPr>
            <w:tcW w:w="371" w:type="pct"/>
            <w:shd w:val="clear" w:color="auto" w:fill="auto"/>
            <w:noWrap/>
            <w:vAlign w:val="bottom"/>
            <w:hideMark/>
          </w:tcPr>
          <w:p w14:paraId="62B65D20"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4,4%</w:t>
            </w:r>
          </w:p>
        </w:tc>
        <w:tc>
          <w:tcPr>
            <w:tcW w:w="380" w:type="pct"/>
            <w:shd w:val="clear" w:color="auto" w:fill="auto"/>
            <w:noWrap/>
            <w:vAlign w:val="bottom"/>
            <w:hideMark/>
          </w:tcPr>
          <w:p w14:paraId="091F80AD"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6,7%</w:t>
            </w:r>
          </w:p>
        </w:tc>
        <w:tc>
          <w:tcPr>
            <w:tcW w:w="409" w:type="pct"/>
            <w:shd w:val="clear" w:color="auto" w:fill="auto"/>
            <w:noWrap/>
            <w:vAlign w:val="bottom"/>
            <w:hideMark/>
          </w:tcPr>
          <w:p w14:paraId="18981D7B"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5,8%</w:t>
            </w:r>
          </w:p>
        </w:tc>
        <w:tc>
          <w:tcPr>
            <w:tcW w:w="409" w:type="pct"/>
            <w:shd w:val="clear" w:color="auto" w:fill="auto"/>
            <w:noWrap/>
            <w:vAlign w:val="bottom"/>
            <w:hideMark/>
          </w:tcPr>
          <w:p w14:paraId="1EAFA6BE"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1,7%</w:t>
            </w:r>
          </w:p>
        </w:tc>
        <w:tc>
          <w:tcPr>
            <w:tcW w:w="409" w:type="pct"/>
            <w:shd w:val="clear" w:color="auto" w:fill="auto"/>
            <w:noWrap/>
            <w:vAlign w:val="bottom"/>
            <w:hideMark/>
          </w:tcPr>
          <w:p w14:paraId="539C7D32"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11,6%</w:t>
            </w:r>
          </w:p>
        </w:tc>
        <w:tc>
          <w:tcPr>
            <w:tcW w:w="409" w:type="pct"/>
            <w:shd w:val="clear" w:color="auto" w:fill="auto"/>
            <w:noWrap/>
            <w:vAlign w:val="bottom"/>
            <w:hideMark/>
          </w:tcPr>
          <w:p w14:paraId="357BCD84"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11,2%</w:t>
            </w:r>
          </w:p>
        </w:tc>
        <w:tc>
          <w:tcPr>
            <w:tcW w:w="436" w:type="pct"/>
            <w:shd w:val="clear" w:color="auto" w:fill="auto"/>
            <w:noWrap/>
            <w:vAlign w:val="bottom"/>
            <w:hideMark/>
          </w:tcPr>
          <w:p w14:paraId="69881F6F"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6,6%</w:t>
            </w:r>
          </w:p>
        </w:tc>
        <w:tc>
          <w:tcPr>
            <w:tcW w:w="436" w:type="pct"/>
            <w:shd w:val="clear" w:color="auto" w:fill="auto"/>
            <w:noWrap/>
            <w:vAlign w:val="bottom"/>
            <w:hideMark/>
          </w:tcPr>
          <w:p w14:paraId="262AE767"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9,6%</w:t>
            </w:r>
          </w:p>
        </w:tc>
        <w:tc>
          <w:tcPr>
            <w:tcW w:w="436" w:type="pct"/>
            <w:shd w:val="clear" w:color="auto" w:fill="auto"/>
            <w:noWrap/>
            <w:vAlign w:val="bottom"/>
            <w:hideMark/>
          </w:tcPr>
          <w:p w14:paraId="56FC1A7B"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p>
        </w:tc>
      </w:tr>
      <w:tr w:rsidR="00A36F2D" w:rsidRPr="00F81CB3" w14:paraId="35E856E5" w14:textId="77777777" w:rsidTr="00BB605A">
        <w:trPr>
          <w:trHeight w:val="170"/>
          <w:jc w:val="center"/>
        </w:trPr>
        <w:tc>
          <w:tcPr>
            <w:tcW w:w="1307" w:type="pct"/>
            <w:shd w:val="clear" w:color="auto" w:fill="auto"/>
            <w:vAlign w:val="bottom"/>
            <w:hideMark/>
          </w:tcPr>
          <w:p w14:paraId="6D0E044E" w14:textId="77777777" w:rsidR="00A36F2D" w:rsidRPr="00F373BF" w:rsidRDefault="00A36F2D" w:rsidP="00BB605A">
            <w:pPr>
              <w:spacing w:after="0" w:line="240" w:lineRule="auto"/>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Cantidad acumulada de afiliados</w:t>
            </w:r>
          </w:p>
        </w:tc>
        <w:tc>
          <w:tcPr>
            <w:tcW w:w="371" w:type="pct"/>
            <w:shd w:val="clear" w:color="auto" w:fill="auto"/>
            <w:noWrap/>
            <w:vAlign w:val="bottom"/>
            <w:hideMark/>
          </w:tcPr>
          <w:p w14:paraId="4DC80B23"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5.741</w:t>
            </w:r>
          </w:p>
        </w:tc>
        <w:tc>
          <w:tcPr>
            <w:tcW w:w="380" w:type="pct"/>
            <w:shd w:val="clear" w:color="auto" w:fill="auto"/>
            <w:noWrap/>
            <w:vAlign w:val="bottom"/>
            <w:hideMark/>
          </w:tcPr>
          <w:p w14:paraId="0E601FA6"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8.869</w:t>
            </w:r>
          </w:p>
        </w:tc>
        <w:tc>
          <w:tcPr>
            <w:tcW w:w="409" w:type="pct"/>
            <w:shd w:val="clear" w:color="auto" w:fill="auto"/>
            <w:noWrap/>
            <w:vAlign w:val="bottom"/>
            <w:hideMark/>
          </w:tcPr>
          <w:p w14:paraId="18AAE64B"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12.178</w:t>
            </w:r>
          </w:p>
        </w:tc>
        <w:tc>
          <w:tcPr>
            <w:tcW w:w="409" w:type="pct"/>
            <w:shd w:val="clear" w:color="auto" w:fill="auto"/>
            <w:noWrap/>
            <w:vAlign w:val="bottom"/>
            <w:hideMark/>
          </w:tcPr>
          <w:p w14:paraId="6F518D8E"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15.542</w:t>
            </w:r>
          </w:p>
        </w:tc>
        <w:tc>
          <w:tcPr>
            <w:tcW w:w="409" w:type="pct"/>
            <w:shd w:val="clear" w:color="auto" w:fill="auto"/>
            <w:noWrap/>
            <w:vAlign w:val="bottom"/>
            <w:hideMark/>
          </w:tcPr>
          <w:p w14:paraId="26B07746"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19.296</w:t>
            </w:r>
          </w:p>
        </w:tc>
        <w:tc>
          <w:tcPr>
            <w:tcW w:w="409" w:type="pct"/>
            <w:shd w:val="clear" w:color="auto" w:fill="auto"/>
            <w:noWrap/>
            <w:vAlign w:val="bottom"/>
            <w:hideMark/>
          </w:tcPr>
          <w:p w14:paraId="5ADC877A"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23.469</w:t>
            </w:r>
          </w:p>
        </w:tc>
        <w:tc>
          <w:tcPr>
            <w:tcW w:w="436" w:type="pct"/>
            <w:shd w:val="clear" w:color="auto" w:fill="auto"/>
            <w:noWrap/>
            <w:vAlign w:val="bottom"/>
            <w:hideMark/>
          </w:tcPr>
          <w:p w14:paraId="5946455C" w14:textId="77777777" w:rsidR="00A36F2D" w:rsidRPr="00F373BF" w:rsidRDefault="00A36F2D" w:rsidP="00BB605A">
            <w:pPr>
              <w:spacing w:after="0" w:line="240" w:lineRule="auto"/>
              <w:jc w:val="right"/>
              <w:rPr>
                <w:rFonts w:ascii="Segoe UI" w:eastAsia="Times New Roman" w:hAnsi="Segoe UI" w:cs="Segoe UI"/>
                <w:color w:val="000000"/>
                <w:sz w:val="20"/>
                <w:szCs w:val="20"/>
                <w:lang w:eastAsia="es-ES"/>
              </w:rPr>
            </w:pPr>
            <w:r w:rsidRPr="00F373BF">
              <w:rPr>
                <w:rFonts w:ascii="Segoe UI" w:eastAsia="Times New Roman" w:hAnsi="Segoe UI" w:cs="Segoe UI"/>
                <w:color w:val="000000"/>
                <w:sz w:val="20"/>
                <w:szCs w:val="20"/>
                <w:lang w:eastAsia="es-ES"/>
              </w:rPr>
              <w:t>27.918</w:t>
            </w:r>
          </w:p>
        </w:tc>
        <w:tc>
          <w:tcPr>
            <w:tcW w:w="436" w:type="pct"/>
            <w:shd w:val="clear" w:color="auto" w:fill="auto"/>
            <w:noWrap/>
            <w:vAlign w:val="bottom"/>
            <w:hideMark/>
          </w:tcPr>
          <w:p w14:paraId="77DFC5CB"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32.794</w:t>
            </w:r>
          </w:p>
        </w:tc>
        <w:tc>
          <w:tcPr>
            <w:tcW w:w="436" w:type="pct"/>
            <w:shd w:val="clear" w:color="auto" w:fill="auto"/>
            <w:noWrap/>
            <w:vAlign w:val="bottom"/>
            <w:hideMark/>
          </w:tcPr>
          <w:p w14:paraId="5EB3E1BF"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35.231</w:t>
            </w:r>
          </w:p>
        </w:tc>
      </w:tr>
      <w:tr w:rsidR="00A36F2D" w:rsidRPr="00F81CB3" w14:paraId="4BECF3B8" w14:textId="77777777" w:rsidTr="00BB605A">
        <w:trPr>
          <w:trHeight w:val="170"/>
          <w:jc w:val="center"/>
        </w:trPr>
        <w:tc>
          <w:tcPr>
            <w:tcW w:w="1307" w:type="pct"/>
            <w:shd w:val="clear" w:color="auto" w:fill="auto"/>
            <w:noWrap/>
            <w:vAlign w:val="bottom"/>
            <w:hideMark/>
          </w:tcPr>
          <w:p w14:paraId="2D5A685C"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Tasa de Crecimiento</w:t>
            </w:r>
          </w:p>
        </w:tc>
        <w:tc>
          <w:tcPr>
            <w:tcW w:w="371" w:type="pct"/>
            <w:shd w:val="clear" w:color="auto" w:fill="auto"/>
            <w:noWrap/>
            <w:vAlign w:val="bottom"/>
            <w:hideMark/>
          </w:tcPr>
          <w:p w14:paraId="00624ABF"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p>
        </w:tc>
        <w:tc>
          <w:tcPr>
            <w:tcW w:w="380" w:type="pct"/>
            <w:shd w:val="clear" w:color="auto" w:fill="auto"/>
            <w:noWrap/>
            <w:vAlign w:val="bottom"/>
            <w:hideMark/>
          </w:tcPr>
          <w:p w14:paraId="55DA3323"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54,5%</w:t>
            </w:r>
          </w:p>
        </w:tc>
        <w:tc>
          <w:tcPr>
            <w:tcW w:w="409" w:type="pct"/>
            <w:shd w:val="clear" w:color="auto" w:fill="auto"/>
            <w:noWrap/>
            <w:vAlign w:val="bottom"/>
            <w:hideMark/>
          </w:tcPr>
          <w:p w14:paraId="2EE8B6EF"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37,3%</w:t>
            </w:r>
          </w:p>
        </w:tc>
        <w:tc>
          <w:tcPr>
            <w:tcW w:w="409" w:type="pct"/>
            <w:shd w:val="clear" w:color="auto" w:fill="auto"/>
            <w:noWrap/>
            <w:vAlign w:val="bottom"/>
            <w:hideMark/>
          </w:tcPr>
          <w:p w14:paraId="30BEC24C"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27,6%</w:t>
            </w:r>
          </w:p>
        </w:tc>
        <w:tc>
          <w:tcPr>
            <w:tcW w:w="409" w:type="pct"/>
            <w:shd w:val="clear" w:color="auto" w:fill="auto"/>
            <w:noWrap/>
            <w:vAlign w:val="bottom"/>
            <w:hideMark/>
          </w:tcPr>
          <w:p w14:paraId="21309E6D"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24,2%</w:t>
            </w:r>
          </w:p>
        </w:tc>
        <w:tc>
          <w:tcPr>
            <w:tcW w:w="409" w:type="pct"/>
            <w:shd w:val="clear" w:color="auto" w:fill="auto"/>
            <w:noWrap/>
            <w:vAlign w:val="bottom"/>
            <w:hideMark/>
          </w:tcPr>
          <w:p w14:paraId="613A73A4"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21,6%</w:t>
            </w:r>
          </w:p>
        </w:tc>
        <w:tc>
          <w:tcPr>
            <w:tcW w:w="436" w:type="pct"/>
            <w:shd w:val="clear" w:color="auto" w:fill="auto"/>
            <w:noWrap/>
            <w:vAlign w:val="bottom"/>
            <w:hideMark/>
          </w:tcPr>
          <w:p w14:paraId="1A7355B0"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19,0%</w:t>
            </w:r>
          </w:p>
        </w:tc>
        <w:tc>
          <w:tcPr>
            <w:tcW w:w="436" w:type="pct"/>
            <w:shd w:val="clear" w:color="auto" w:fill="auto"/>
            <w:noWrap/>
            <w:vAlign w:val="bottom"/>
            <w:hideMark/>
          </w:tcPr>
          <w:p w14:paraId="55AB051F"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17,5%</w:t>
            </w:r>
          </w:p>
        </w:tc>
        <w:tc>
          <w:tcPr>
            <w:tcW w:w="436" w:type="pct"/>
            <w:shd w:val="clear" w:color="auto" w:fill="auto"/>
            <w:noWrap/>
            <w:vAlign w:val="bottom"/>
            <w:hideMark/>
          </w:tcPr>
          <w:p w14:paraId="1CF05B5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7,4%</w:t>
            </w:r>
          </w:p>
        </w:tc>
      </w:tr>
      <w:tr w:rsidR="00A36F2D" w:rsidRPr="00F81CB3" w14:paraId="698BDA5E" w14:textId="77777777" w:rsidTr="00BB605A">
        <w:trPr>
          <w:trHeight w:val="170"/>
          <w:jc w:val="center"/>
        </w:trPr>
        <w:tc>
          <w:tcPr>
            <w:tcW w:w="1307" w:type="pct"/>
            <w:shd w:val="clear" w:color="auto" w:fill="auto"/>
            <w:vAlign w:val="bottom"/>
            <w:hideMark/>
          </w:tcPr>
          <w:p w14:paraId="5C4EAEE3" w14:textId="77777777" w:rsidR="00A36F2D" w:rsidRPr="00F81CB3" w:rsidRDefault="00A36F2D" w:rsidP="00BB605A">
            <w:pPr>
              <w:spacing w:after="0" w:line="240" w:lineRule="auto"/>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Monto de Saldo Acumulado (millones)</w:t>
            </w:r>
          </w:p>
        </w:tc>
        <w:tc>
          <w:tcPr>
            <w:tcW w:w="371" w:type="pct"/>
            <w:shd w:val="clear" w:color="auto" w:fill="auto"/>
            <w:noWrap/>
            <w:vAlign w:val="bottom"/>
            <w:hideMark/>
          </w:tcPr>
          <w:p w14:paraId="51981A86"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1.577</w:t>
            </w:r>
          </w:p>
        </w:tc>
        <w:tc>
          <w:tcPr>
            <w:tcW w:w="380" w:type="pct"/>
            <w:shd w:val="clear" w:color="auto" w:fill="auto"/>
            <w:noWrap/>
            <w:vAlign w:val="bottom"/>
            <w:hideMark/>
          </w:tcPr>
          <w:p w14:paraId="533E5B46"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2.695</w:t>
            </w:r>
          </w:p>
        </w:tc>
        <w:tc>
          <w:tcPr>
            <w:tcW w:w="409" w:type="pct"/>
            <w:shd w:val="clear" w:color="auto" w:fill="auto"/>
            <w:noWrap/>
            <w:vAlign w:val="bottom"/>
            <w:hideMark/>
          </w:tcPr>
          <w:p w14:paraId="1A40690B"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3.995</w:t>
            </w:r>
          </w:p>
        </w:tc>
        <w:tc>
          <w:tcPr>
            <w:tcW w:w="409" w:type="pct"/>
            <w:shd w:val="clear" w:color="auto" w:fill="auto"/>
            <w:noWrap/>
            <w:vAlign w:val="bottom"/>
            <w:hideMark/>
          </w:tcPr>
          <w:p w14:paraId="340A91F4"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5.473</w:t>
            </w:r>
          </w:p>
        </w:tc>
        <w:tc>
          <w:tcPr>
            <w:tcW w:w="409" w:type="pct"/>
            <w:shd w:val="clear" w:color="auto" w:fill="auto"/>
            <w:noWrap/>
            <w:vAlign w:val="bottom"/>
            <w:hideMark/>
          </w:tcPr>
          <w:p w14:paraId="148E1802"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7.362</w:t>
            </w:r>
          </w:p>
        </w:tc>
        <w:tc>
          <w:tcPr>
            <w:tcW w:w="409" w:type="pct"/>
            <w:shd w:val="clear" w:color="auto" w:fill="auto"/>
            <w:noWrap/>
            <w:vAlign w:val="bottom"/>
            <w:hideMark/>
          </w:tcPr>
          <w:p w14:paraId="2A3BBA74"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9.858</w:t>
            </w:r>
          </w:p>
        </w:tc>
        <w:tc>
          <w:tcPr>
            <w:tcW w:w="436" w:type="pct"/>
            <w:shd w:val="clear" w:color="auto" w:fill="auto"/>
            <w:noWrap/>
            <w:vAlign w:val="bottom"/>
            <w:hideMark/>
          </w:tcPr>
          <w:p w14:paraId="506CB0AF"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12.874</w:t>
            </w:r>
          </w:p>
        </w:tc>
        <w:tc>
          <w:tcPr>
            <w:tcW w:w="436" w:type="pct"/>
            <w:shd w:val="clear" w:color="auto" w:fill="auto"/>
            <w:noWrap/>
            <w:vAlign w:val="bottom"/>
            <w:hideMark/>
          </w:tcPr>
          <w:p w14:paraId="74C2FA6B"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17.764</w:t>
            </w:r>
          </w:p>
        </w:tc>
        <w:tc>
          <w:tcPr>
            <w:tcW w:w="436" w:type="pct"/>
            <w:shd w:val="clear" w:color="auto" w:fill="auto"/>
            <w:noWrap/>
            <w:vAlign w:val="bottom"/>
            <w:hideMark/>
          </w:tcPr>
          <w:p w14:paraId="770DDAB2" w14:textId="77777777" w:rsidR="00A36F2D" w:rsidRPr="00F81CB3" w:rsidRDefault="00A36F2D" w:rsidP="00BB605A">
            <w:pPr>
              <w:spacing w:after="0" w:line="240" w:lineRule="auto"/>
              <w:jc w:val="right"/>
              <w:rPr>
                <w:rFonts w:ascii="Segoe UI" w:eastAsia="Times New Roman" w:hAnsi="Segoe UI" w:cs="Segoe UI"/>
                <w:b/>
                <w:bCs/>
                <w:color w:val="000000"/>
                <w:sz w:val="20"/>
                <w:szCs w:val="20"/>
                <w:lang w:eastAsia="es-ES"/>
              </w:rPr>
            </w:pPr>
            <w:r w:rsidRPr="00F81CB3">
              <w:rPr>
                <w:rFonts w:ascii="Segoe UI" w:eastAsia="Times New Roman" w:hAnsi="Segoe UI" w:cs="Segoe UI"/>
                <w:b/>
                <w:bCs/>
                <w:color w:val="000000"/>
                <w:sz w:val="20"/>
                <w:szCs w:val="20"/>
                <w:lang w:eastAsia="es-ES"/>
              </w:rPr>
              <w:t>21.332</w:t>
            </w:r>
          </w:p>
        </w:tc>
      </w:tr>
      <w:tr w:rsidR="00A36F2D" w:rsidRPr="00F81CB3" w14:paraId="31EFED68" w14:textId="77777777" w:rsidTr="00BB605A">
        <w:trPr>
          <w:trHeight w:val="170"/>
          <w:jc w:val="center"/>
        </w:trPr>
        <w:tc>
          <w:tcPr>
            <w:tcW w:w="1307" w:type="pct"/>
            <w:tcBorders>
              <w:bottom w:val="single" w:sz="4" w:space="0" w:color="auto"/>
            </w:tcBorders>
            <w:shd w:val="clear" w:color="auto" w:fill="auto"/>
            <w:noWrap/>
            <w:vAlign w:val="bottom"/>
            <w:hideMark/>
          </w:tcPr>
          <w:p w14:paraId="35454428"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Tasa de Crecimiento</w:t>
            </w:r>
          </w:p>
        </w:tc>
        <w:tc>
          <w:tcPr>
            <w:tcW w:w="371" w:type="pct"/>
            <w:tcBorders>
              <w:bottom w:val="single" w:sz="4" w:space="0" w:color="auto"/>
            </w:tcBorders>
            <w:shd w:val="clear" w:color="auto" w:fill="auto"/>
            <w:noWrap/>
            <w:vAlign w:val="bottom"/>
            <w:hideMark/>
          </w:tcPr>
          <w:p w14:paraId="3D547D9C" w14:textId="77777777" w:rsidR="00A36F2D" w:rsidRPr="00F81CB3" w:rsidRDefault="00A36F2D" w:rsidP="00BB605A">
            <w:pPr>
              <w:spacing w:after="0" w:line="240" w:lineRule="auto"/>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 </w:t>
            </w:r>
          </w:p>
        </w:tc>
        <w:tc>
          <w:tcPr>
            <w:tcW w:w="380" w:type="pct"/>
            <w:tcBorders>
              <w:bottom w:val="single" w:sz="4" w:space="0" w:color="auto"/>
            </w:tcBorders>
            <w:shd w:val="clear" w:color="auto" w:fill="auto"/>
            <w:noWrap/>
            <w:vAlign w:val="bottom"/>
            <w:hideMark/>
          </w:tcPr>
          <w:p w14:paraId="6D63A3A9"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70,9%</w:t>
            </w:r>
          </w:p>
        </w:tc>
        <w:tc>
          <w:tcPr>
            <w:tcW w:w="409" w:type="pct"/>
            <w:tcBorders>
              <w:bottom w:val="single" w:sz="4" w:space="0" w:color="auto"/>
            </w:tcBorders>
            <w:shd w:val="clear" w:color="auto" w:fill="auto"/>
            <w:noWrap/>
            <w:vAlign w:val="bottom"/>
            <w:hideMark/>
          </w:tcPr>
          <w:p w14:paraId="228A6A01"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48,2%</w:t>
            </w:r>
          </w:p>
        </w:tc>
        <w:tc>
          <w:tcPr>
            <w:tcW w:w="409" w:type="pct"/>
            <w:tcBorders>
              <w:bottom w:val="single" w:sz="4" w:space="0" w:color="auto"/>
            </w:tcBorders>
            <w:shd w:val="clear" w:color="auto" w:fill="auto"/>
            <w:noWrap/>
            <w:vAlign w:val="bottom"/>
            <w:hideMark/>
          </w:tcPr>
          <w:p w14:paraId="33117983"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37,0%</w:t>
            </w:r>
          </w:p>
        </w:tc>
        <w:tc>
          <w:tcPr>
            <w:tcW w:w="409" w:type="pct"/>
            <w:tcBorders>
              <w:bottom w:val="single" w:sz="4" w:space="0" w:color="auto"/>
            </w:tcBorders>
            <w:shd w:val="clear" w:color="auto" w:fill="auto"/>
            <w:noWrap/>
            <w:vAlign w:val="bottom"/>
            <w:hideMark/>
          </w:tcPr>
          <w:p w14:paraId="406F6591"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34,5%</w:t>
            </w:r>
          </w:p>
        </w:tc>
        <w:tc>
          <w:tcPr>
            <w:tcW w:w="409" w:type="pct"/>
            <w:tcBorders>
              <w:bottom w:val="single" w:sz="4" w:space="0" w:color="auto"/>
            </w:tcBorders>
            <w:shd w:val="clear" w:color="auto" w:fill="auto"/>
            <w:noWrap/>
            <w:vAlign w:val="bottom"/>
            <w:hideMark/>
          </w:tcPr>
          <w:p w14:paraId="0C983063"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33,9%</w:t>
            </w:r>
          </w:p>
        </w:tc>
        <w:tc>
          <w:tcPr>
            <w:tcW w:w="436" w:type="pct"/>
            <w:tcBorders>
              <w:bottom w:val="single" w:sz="4" w:space="0" w:color="auto"/>
            </w:tcBorders>
            <w:shd w:val="clear" w:color="auto" w:fill="auto"/>
            <w:noWrap/>
            <w:vAlign w:val="bottom"/>
            <w:hideMark/>
          </w:tcPr>
          <w:p w14:paraId="45850F18"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30,6%</w:t>
            </w:r>
          </w:p>
        </w:tc>
        <w:tc>
          <w:tcPr>
            <w:tcW w:w="436" w:type="pct"/>
            <w:tcBorders>
              <w:bottom w:val="single" w:sz="4" w:space="0" w:color="auto"/>
            </w:tcBorders>
            <w:shd w:val="clear" w:color="auto" w:fill="auto"/>
            <w:noWrap/>
            <w:vAlign w:val="bottom"/>
            <w:hideMark/>
          </w:tcPr>
          <w:p w14:paraId="1CA0F05A"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38,0%</w:t>
            </w:r>
          </w:p>
        </w:tc>
        <w:tc>
          <w:tcPr>
            <w:tcW w:w="436" w:type="pct"/>
            <w:tcBorders>
              <w:bottom w:val="single" w:sz="4" w:space="0" w:color="auto"/>
            </w:tcBorders>
            <w:shd w:val="clear" w:color="auto" w:fill="auto"/>
            <w:noWrap/>
            <w:vAlign w:val="bottom"/>
            <w:hideMark/>
          </w:tcPr>
          <w:p w14:paraId="65315DFF" w14:textId="77777777" w:rsidR="00A36F2D" w:rsidRPr="00F81CB3" w:rsidRDefault="00A36F2D" w:rsidP="00BB605A">
            <w:pPr>
              <w:spacing w:after="0" w:line="240" w:lineRule="auto"/>
              <w:jc w:val="right"/>
              <w:rPr>
                <w:rFonts w:ascii="Segoe UI" w:eastAsia="Times New Roman" w:hAnsi="Segoe UI" w:cs="Segoe UI"/>
                <w:color w:val="000000"/>
                <w:sz w:val="20"/>
                <w:szCs w:val="20"/>
                <w:lang w:eastAsia="es-ES"/>
              </w:rPr>
            </w:pPr>
            <w:r w:rsidRPr="00F81CB3">
              <w:rPr>
                <w:rFonts w:ascii="Segoe UI" w:eastAsia="Times New Roman" w:hAnsi="Segoe UI" w:cs="Segoe UI"/>
                <w:color w:val="000000"/>
                <w:sz w:val="20"/>
                <w:szCs w:val="20"/>
                <w:lang w:eastAsia="es-ES"/>
              </w:rPr>
              <w:t>20,1%</w:t>
            </w:r>
          </w:p>
        </w:tc>
      </w:tr>
    </w:tbl>
    <w:p w14:paraId="5C738C97" w14:textId="77777777" w:rsidR="00A36F2D" w:rsidRPr="00F81CB3" w:rsidRDefault="00A36F2D" w:rsidP="00A36F2D">
      <w:pPr>
        <w:spacing w:after="0" w:line="240" w:lineRule="auto"/>
        <w:rPr>
          <w:rFonts w:ascii="Segoe UI" w:hAnsi="Segoe UI" w:cs="Segoe UI"/>
          <w:sz w:val="20"/>
          <w:szCs w:val="20"/>
        </w:rPr>
      </w:pPr>
      <w:r w:rsidRPr="00F81CB3">
        <w:rPr>
          <w:rFonts w:ascii="Segoe UI" w:eastAsia="Times New Roman" w:hAnsi="Segoe UI" w:cs="Segoe UI"/>
          <w:color w:val="000000"/>
          <w:sz w:val="20"/>
          <w:szCs w:val="20"/>
          <w:lang w:eastAsia="es-ES"/>
        </w:rPr>
        <w:t>*Dato</w:t>
      </w:r>
      <w:r>
        <w:rPr>
          <w:rFonts w:ascii="Segoe UI" w:eastAsia="Times New Roman" w:hAnsi="Segoe UI" w:cs="Segoe UI"/>
          <w:color w:val="000000"/>
          <w:sz w:val="20"/>
          <w:szCs w:val="20"/>
          <w:lang w:eastAsia="es-ES"/>
        </w:rPr>
        <w:t>s</w:t>
      </w:r>
      <w:r w:rsidRPr="00F81CB3">
        <w:rPr>
          <w:rFonts w:ascii="Segoe UI" w:eastAsia="Times New Roman" w:hAnsi="Segoe UI" w:cs="Segoe UI"/>
          <w:color w:val="000000"/>
          <w:sz w:val="20"/>
          <w:szCs w:val="20"/>
          <w:lang w:eastAsia="es-ES"/>
        </w:rPr>
        <w:t xml:space="preserve"> a junio 2019</w:t>
      </w:r>
      <w:r w:rsidRPr="00F81CB3">
        <w:rPr>
          <w:rFonts w:ascii="Segoe UI" w:hAnsi="Segoe UI" w:cs="Segoe UI"/>
          <w:sz w:val="20"/>
          <w:szCs w:val="20"/>
        </w:rPr>
        <w:br w:type="page"/>
      </w:r>
    </w:p>
    <w:p w14:paraId="4B03E369" w14:textId="77777777" w:rsidR="00A36F2D" w:rsidRPr="00F81CB3" w:rsidRDefault="00A36F2D" w:rsidP="00A36F2D">
      <w:pPr>
        <w:pStyle w:val="Ttulo1"/>
        <w:spacing w:after="200"/>
      </w:pPr>
      <w:bookmarkStart w:id="13" w:name="_Toc18330793"/>
      <w:bookmarkStart w:id="14" w:name="_Toc28867067"/>
      <w:r>
        <w:lastRenderedPageBreak/>
        <w:t>Temas de Asesoría Jurídica</w:t>
      </w:r>
      <w:bookmarkEnd w:id="13"/>
      <w:bookmarkEnd w:id="14"/>
    </w:p>
    <w:p w14:paraId="6F381992" w14:textId="77777777" w:rsidR="00A36F2D" w:rsidRPr="001A4E80" w:rsidRDefault="00A36F2D" w:rsidP="00A36F2D">
      <w:pPr>
        <w:pStyle w:val="Ttulo2"/>
        <w:spacing w:before="0" w:after="200" w:line="240" w:lineRule="auto"/>
        <w:rPr>
          <w:rFonts w:ascii="Segoe UI" w:hAnsi="Segoe UI" w:cs="Segoe UI"/>
          <w:sz w:val="22"/>
          <w:szCs w:val="22"/>
        </w:rPr>
      </w:pPr>
      <w:bookmarkStart w:id="15" w:name="_Toc28867068"/>
      <w:r>
        <w:rPr>
          <w:rFonts w:ascii="Segoe UI" w:hAnsi="Segoe UI" w:cs="Segoe UI"/>
          <w:sz w:val="22"/>
          <w:szCs w:val="22"/>
        </w:rPr>
        <w:t>3.1 Consultas</w:t>
      </w:r>
      <w:r w:rsidRPr="001A4E80">
        <w:rPr>
          <w:rFonts w:ascii="Segoe UI" w:hAnsi="Segoe UI" w:cs="Segoe UI"/>
          <w:sz w:val="22"/>
          <w:szCs w:val="22"/>
        </w:rPr>
        <w:t xml:space="preserve"> y denuncias</w:t>
      </w:r>
      <w:bookmarkEnd w:id="15"/>
    </w:p>
    <w:p w14:paraId="5639DB7E"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La División Jurídica recibió 66 trámites, de los cuales 43 fueron consultas y 23 denuncias.</w:t>
      </w:r>
    </w:p>
    <w:p w14:paraId="04A64885"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La mayoría de las consultas estuvieron relacionadas con el retiro de los recursos acumulados en el Régimen Obligatorio de Pensiones (22), seguido por el comportamiento de los rendimientos de los fondos de pensiones y capitalización laboral (9).</w:t>
      </w:r>
    </w:p>
    <w:p w14:paraId="7A38BE53"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Aunque aún se presentan denuncias relacionadas con planes voluntarios de pensiones o con la entrega de recursos del Fondo de Capitalización Laboral, durante el segundo trimestre solo se recibieron 6.</w:t>
      </w:r>
    </w:p>
    <w:p w14:paraId="6DEA7634" w14:textId="77777777" w:rsidR="00A36F2D" w:rsidRPr="00C003DB" w:rsidRDefault="00A36F2D" w:rsidP="00A36F2D">
      <w:pPr>
        <w:pStyle w:val="Ttulo2"/>
        <w:spacing w:before="0" w:after="200" w:line="240" w:lineRule="auto"/>
        <w:rPr>
          <w:rFonts w:ascii="Segoe UI" w:hAnsi="Segoe UI" w:cs="Segoe UI"/>
          <w:sz w:val="22"/>
          <w:szCs w:val="22"/>
        </w:rPr>
      </w:pPr>
      <w:bookmarkStart w:id="16" w:name="_Toc28867069"/>
      <w:r>
        <w:rPr>
          <w:rFonts w:ascii="Segoe UI" w:hAnsi="Segoe UI" w:cs="Segoe UI"/>
          <w:sz w:val="22"/>
          <w:szCs w:val="22"/>
        </w:rPr>
        <w:t>3.2 Criterios</w:t>
      </w:r>
      <w:r w:rsidRPr="00C003DB">
        <w:rPr>
          <w:rFonts w:ascii="Segoe UI" w:hAnsi="Segoe UI" w:cs="Segoe UI"/>
          <w:sz w:val="22"/>
          <w:szCs w:val="22"/>
        </w:rPr>
        <w:t xml:space="preserve"> jurídicos</w:t>
      </w:r>
      <w:bookmarkEnd w:id="16"/>
    </w:p>
    <w:p w14:paraId="56C59310"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De relevancia en este período, se emitieron los criterios PJD-07-2019 y </w:t>
      </w:r>
      <w:bookmarkStart w:id="17" w:name="_Hlk14699484"/>
      <w:r w:rsidRPr="00F81CB3">
        <w:rPr>
          <w:rFonts w:ascii="Segoe UI" w:hAnsi="Segoe UI" w:cs="Segoe UI"/>
        </w:rPr>
        <w:t>PJD-09-2019</w:t>
      </w:r>
      <w:bookmarkEnd w:id="17"/>
      <w:r w:rsidRPr="00F81CB3">
        <w:rPr>
          <w:rFonts w:ascii="Segoe UI" w:hAnsi="Segoe UI" w:cs="Segoe UI"/>
        </w:rPr>
        <w:t>.</w:t>
      </w:r>
    </w:p>
    <w:p w14:paraId="74A7B57C" w14:textId="77777777" w:rsidR="00A36F2D" w:rsidRPr="00572667" w:rsidRDefault="00A36F2D" w:rsidP="00A36F2D">
      <w:pPr>
        <w:pStyle w:val="Ttulo3"/>
        <w:rPr>
          <w:b/>
          <w:color w:val="365F91" w:themeColor="accent1" w:themeShade="BF"/>
        </w:rPr>
      </w:pPr>
      <w:r>
        <w:rPr>
          <w:b/>
          <w:color w:val="365F91" w:themeColor="accent1" w:themeShade="BF"/>
        </w:rPr>
        <w:t xml:space="preserve">3.2.1 </w:t>
      </w:r>
      <w:r w:rsidRPr="00572667">
        <w:rPr>
          <w:b/>
          <w:color w:val="365F91" w:themeColor="accent1" w:themeShade="BF"/>
        </w:rPr>
        <w:t>PJD-07-2019</w:t>
      </w:r>
    </w:p>
    <w:p w14:paraId="60EA4CBB"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Se consultó a la División Jurídica respecto a la obligación que tiene la junta directiva de la Operadora de Pensiones Complementarias del Banco Popular y de Desarrollo Comunal de contar con los directores independientes a que se hace mención en el artículo 33 de la Ley de Protección al Trabajador y el Reglamento sobre Gobierno Corporativo.</w:t>
      </w:r>
    </w:p>
    <w:p w14:paraId="178E9759" w14:textId="77777777" w:rsidR="00A36F2D" w:rsidRPr="00F81CB3" w:rsidRDefault="00A36F2D" w:rsidP="00A36F2D">
      <w:pPr>
        <w:spacing w:line="240" w:lineRule="auto"/>
        <w:jc w:val="both"/>
        <w:rPr>
          <w:rFonts w:ascii="Segoe UI" w:hAnsi="Segoe UI" w:cs="Segoe UI"/>
        </w:rPr>
      </w:pPr>
      <w:bookmarkStart w:id="18" w:name="_Hlk14699512"/>
      <w:r w:rsidRPr="00F81CB3">
        <w:rPr>
          <w:rFonts w:ascii="Segoe UI" w:hAnsi="Segoe UI" w:cs="Segoe UI"/>
        </w:rPr>
        <w:t>El dictamen concluyó lo siguiente:</w:t>
      </w:r>
    </w:p>
    <w:bookmarkEnd w:id="18"/>
    <w:p w14:paraId="5450FD02"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xml:space="preserve"> 1.</w:t>
      </w:r>
      <w:r w:rsidRPr="00F81CB3">
        <w:rPr>
          <w:rFonts w:ascii="Segoe UI" w:hAnsi="Segoe UI" w:cs="Segoe UI"/>
        </w:rPr>
        <w:tab/>
        <w:t xml:space="preserve">La conformación de las juntas directivas de las operadoras de pensiones está definida por la Ley de Protección al Trabajador y es complementada por lo dispuesto en el Reglamento sobre Gobierno Corporativo. </w:t>
      </w:r>
    </w:p>
    <w:p w14:paraId="42072119"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2.</w:t>
      </w:r>
      <w:r w:rsidRPr="00F81CB3">
        <w:rPr>
          <w:rFonts w:ascii="Segoe UI" w:hAnsi="Segoe UI" w:cs="Segoe UI"/>
        </w:rPr>
        <w:tab/>
        <w:t xml:space="preserve">De acuerdo con el artículo 33 de la Ley de Protección al Trabajador y el artículo 16 del Reglamento de Gobierno Corporativo, y salvo disposición legal en contrario, las operadoras de pensiones complementarias deben contar con al menos dos directores independientes en su junta directiva. Esta obligación resulta aplicable a Popular Pensiones OPC. </w:t>
      </w:r>
    </w:p>
    <w:p w14:paraId="268DA116"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3.</w:t>
      </w:r>
      <w:r w:rsidRPr="00F81CB3">
        <w:rPr>
          <w:rFonts w:ascii="Segoe UI" w:hAnsi="Segoe UI" w:cs="Segoe UI"/>
        </w:rPr>
        <w:tab/>
        <w:t>Los comités técnicos también deben contar con directores independientes, según lo señalado en los artículos 6.4, 24 al 28 del Reglamento sobre Gobierno Corporativo, así como lo dispuesto en el artículo 14 del Reglamento de Riesgos.</w:t>
      </w:r>
    </w:p>
    <w:p w14:paraId="22699D24" w14:textId="77777777" w:rsidR="00A36F2D" w:rsidRPr="00572667" w:rsidRDefault="00A36F2D" w:rsidP="00A36F2D">
      <w:pPr>
        <w:pStyle w:val="Ttulo3"/>
        <w:rPr>
          <w:color w:val="365F91" w:themeColor="accent1" w:themeShade="BF"/>
        </w:rPr>
      </w:pPr>
      <w:r>
        <w:rPr>
          <w:color w:val="365F91" w:themeColor="accent1" w:themeShade="BF"/>
        </w:rPr>
        <w:t xml:space="preserve">3.2.2 </w:t>
      </w:r>
      <w:r w:rsidRPr="00572667">
        <w:rPr>
          <w:color w:val="365F91" w:themeColor="accent1" w:themeShade="BF"/>
        </w:rPr>
        <w:t>PJD-09-2019</w:t>
      </w:r>
    </w:p>
    <w:p w14:paraId="48BE20E1"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La División Jurídica emitió un criterio en relación con la posibilidad de invertir los fondos administrados por BCR Pensiones OPC en fondos de inversión internacionales que a su vez utilizan dentro de su gestión productos derivados y/o que a su vez invierten una parte del portafolio en instrumentos calificados como de alto rendimiento (</w:t>
      </w:r>
      <w:proofErr w:type="spellStart"/>
      <w:r w:rsidRPr="00F81CB3">
        <w:rPr>
          <w:rFonts w:ascii="Segoe UI" w:hAnsi="Segoe UI" w:cs="Segoe UI"/>
        </w:rPr>
        <w:t>high</w:t>
      </w:r>
      <w:proofErr w:type="spellEnd"/>
      <w:r w:rsidRPr="00F81CB3">
        <w:rPr>
          <w:rFonts w:ascii="Segoe UI" w:hAnsi="Segoe UI" w:cs="Segoe UI"/>
        </w:rPr>
        <w:t xml:space="preserve"> </w:t>
      </w:r>
      <w:proofErr w:type="spellStart"/>
      <w:r w:rsidRPr="00F81CB3">
        <w:rPr>
          <w:rFonts w:ascii="Segoe UI" w:hAnsi="Segoe UI" w:cs="Segoe UI"/>
        </w:rPr>
        <w:t>yield</w:t>
      </w:r>
      <w:proofErr w:type="spellEnd"/>
      <w:r w:rsidRPr="00F81CB3">
        <w:rPr>
          <w:rFonts w:ascii="Segoe UI" w:hAnsi="Segoe UI" w:cs="Segoe UI"/>
        </w:rPr>
        <w:t>).</w:t>
      </w:r>
    </w:p>
    <w:p w14:paraId="4100376C"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El dictamen concluyó lo siguiente:</w:t>
      </w:r>
    </w:p>
    <w:p w14:paraId="405B025A"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lastRenderedPageBreak/>
        <w:t>1.</w:t>
      </w:r>
      <w:r w:rsidRPr="00F81CB3">
        <w:rPr>
          <w:rFonts w:ascii="Segoe UI" w:hAnsi="Segoe UI" w:cs="Segoe UI"/>
        </w:rPr>
        <w:tab/>
        <w:t>Sí es posible invertir los fondos administrados por BCR Pensiones OPC en fondos de inversión internacionales que a su vez utilizan dentro de su gestión productos derivados, siempre que el objetivo de estos últimos sea el criterio de manejo eficiente del portafolio, definido por la UCITS, tal y como lo dispone el artículo 17 RGA.</w:t>
      </w:r>
    </w:p>
    <w:p w14:paraId="7E76018C"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2.</w:t>
      </w:r>
      <w:r w:rsidRPr="00F81CB3">
        <w:rPr>
          <w:rFonts w:ascii="Segoe UI" w:hAnsi="Segoe UI" w:cs="Segoe UI"/>
        </w:rPr>
        <w:tab/>
        <w:t>Sí es posible invertir los fondos administrados por BCR Pensiones OPC en fondos de inversión internacionales que a su vez invierten una parte del portafolio en instrumentos calificados como de alto rendimiento (</w:t>
      </w:r>
      <w:proofErr w:type="spellStart"/>
      <w:r w:rsidRPr="00F81CB3">
        <w:rPr>
          <w:rFonts w:ascii="Segoe UI" w:hAnsi="Segoe UI" w:cs="Segoe UI"/>
        </w:rPr>
        <w:t>high</w:t>
      </w:r>
      <w:proofErr w:type="spellEnd"/>
      <w:r w:rsidRPr="00F81CB3">
        <w:rPr>
          <w:rFonts w:ascii="Segoe UI" w:hAnsi="Segoe UI" w:cs="Segoe UI"/>
        </w:rPr>
        <w:t xml:space="preserve"> </w:t>
      </w:r>
      <w:proofErr w:type="spellStart"/>
      <w:r w:rsidRPr="00F81CB3">
        <w:rPr>
          <w:rFonts w:ascii="Segoe UI" w:hAnsi="Segoe UI" w:cs="Segoe UI"/>
        </w:rPr>
        <w:t>yield</w:t>
      </w:r>
      <w:proofErr w:type="spellEnd"/>
      <w:r w:rsidRPr="00F81CB3">
        <w:rPr>
          <w:rFonts w:ascii="Segoe UI" w:hAnsi="Segoe UI" w:cs="Segoe UI"/>
        </w:rPr>
        <w:t xml:space="preserve">).  </w:t>
      </w:r>
    </w:p>
    <w:p w14:paraId="1026434F"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3.</w:t>
      </w:r>
      <w:r w:rsidRPr="00F81CB3">
        <w:rPr>
          <w:rFonts w:ascii="Segoe UI" w:hAnsi="Segoe UI" w:cs="Segoe UI"/>
        </w:rPr>
        <w:tab/>
        <w:t xml:space="preserve">En ambos casos deben tenerse presentes los principios desarrollados en el Capítulo II. Principios generales para la gestión de activos del RGA, lo indicado sobre los límites y prohibiciones establecidos en el Título V del RGA, y los requisitos para transar en mercados extranjeros, establecidos en el artículo 14 del mismo Reglamento. </w:t>
      </w:r>
    </w:p>
    <w:p w14:paraId="26F0F376" w14:textId="77777777" w:rsidR="00A36F2D" w:rsidRPr="00F81CB3" w:rsidRDefault="00A36F2D" w:rsidP="00A36F2D">
      <w:pPr>
        <w:spacing w:line="240" w:lineRule="auto"/>
        <w:jc w:val="both"/>
        <w:rPr>
          <w:rFonts w:ascii="Segoe UI" w:hAnsi="Segoe UI" w:cs="Segoe UI"/>
        </w:rPr>
      </w:pPr>
      <w:r w:rsidRPr="00F81CB3">
        <w:rPr>
          <w:rFonts w:ascii="Segoe UI" w:hAnsi="Segoe UI" w:cs="Segoe UI"/>
        </w:rPr>
        <w:t> 4.</w:t>
      </w:r>
      <w:r w:rsidRPr="00F81CB3">
        <w:rPr>
          <w:rFonts w:ascii="Segoe UI" w:hAnsi="Segoe UI" w:cs="Segoe UI"/>
        </w:rPr>
        <w:tab/>
        <w:t>De igual manera, en ambos casos le corresponderá al órgano de dirección, al momento de definir la asignación estratégica de activos a que se refiere el artículo 5 RGA, valorar el grado en el que desea que los fondos que administra BCR Pensiones OPC se vean expuestos a estos tipos de instrumentos, todo lo anterior acorde con el apetito de riesgo y la diversificación.</w:t>
      </w:r>
    </w:p>
    <w:p w14:paraId="04B8AD78" w14:textId="77777777" w:rsidR="00A36F2D" w:rsidRPr="00C003DB" w:rsidRDefault="00A36F2D" w:rsidP="00A36F2D">
      <w:pPr>
        <w:pStyle w:val="Ttulo2"/>
        <w:spacing w:before="0" w:after="200" w:line="240" w:lineRule="auto"/>
        <w:rPr>
          <w:rFonts w:ascii="Segoe UI" w:hAnsi="Segoe UI" w:cs="Segoe UI"/>
          <w:sz w:val="22"/>
          <w:szCs w:val="22"/>
        </w:rPr>
      </w:pPr>
      <w:bookmarkStart w:id="19" w:name="_Toc28867070"/>
      <w:r>
        <w:rPr>
          <w:rFonts w:ascii="Segoe UI" w:hAnsi="Segoe UI" w:cs="Segoe UI"/>
          <w:sz w:val="22"/>
          <w:szCs w:val="22"/>
        </w:rPr>
        <w:t xml:space="preserve">3.3 </w:t>
      </w:r>
      <w:r w:rsidRPr="00C003DB">
        <w:rPr>
          <w:rFonts w:ascii="Segoe UI" w:hAnsi="Segoe UI" w:cs="Segoe UI"/>
          <w:sz w:val="22"/>
          <w:szCs w:val="22"/>
        </w:rPr>
        <w:t>Proyectos de ley</w:t>
      </w:r>
      <w:bookmarkEnd w:id="19"/>
    </w:p>
    <w:p w14:paraId="3BE37F87" w14:textId="77777777" w:rsidR="00A36F2D" w:rsidRPr="001610CD" w:rsidRDefault="00A36F2D" w:rsidP="00A36F2D">
      <w:pPr>
        <w:spacing w:line="240" w:lineRule="auto"/>
        <w:jc w:val="both"/>
        <w:rPr>
          <w:rFonts w:ascii="Segoe UI" w:hAnsi="Segoe UI" w:cs="Segoe UI"/>
        </w:rPr>
      </w:pPr>
      <w:r w:rsidRPr="001610CD">
        <w:rPr>
          <w:rFonts w:ascii="Segoe UI" w:hAnsi="Segoe UI" w:cs="Segoe UI"/>
        </w:rPr>
        <w:t>Están discutiéndose en la Asamblea Legislativa otros proyectos de ley que podrían modificar el Sistema Nacional de Pensiones, el Expediente 21035 “Ley para fijar topes equitativos a las pensiones de lujo, rediseñar y redistribuir los recursos de la contribución especial solidaria y crear la figura de la Jubilación Obligatoria Excepcional”, el Expediente 20345 Ley de Reforma para la Equidad, Eficiencia y Sostenibilidad de los Regímenes de Pensiones y el Expediente 21130 Tope   a   las   Pensiones   de   Lujo   y   otras Disposiciones  en  Materia  de  Pensiones.</w:t>
      </w:r>
    </w:p>
    <w:p w14:paraId="21A03AF5" w14:textId="77777777" w:rsidR="00A36F2D" w:rsidRPr="00F81CB3" w:rsidRDefault="00A36F2D" w:rsidP="00A36F2D">
      <w:pPr>
        <w:spacing w:line="240" w:lineRule="auto"/>
        <w:jc w:val="both"/>
        <w:rPr>
          <w:rFonts w:ascii="Segoe UI" w:hAnsi="Segoe UI" w:cs="Segoe UI"/>
        </w:rPr>
      </w:pPr>
      <w:r>
        <w:rPr>
          <w:rFonts w:ascii="Segoe UI" w:hAnsi="Segoe UI" w:cs="Segoe UI"/>
        </w:rPr>
        <w:t>S</w:t>
      </w:r>
      <w:r w:rsidRPr="00F81CB3">
        <w:rPr>
          <w:rFonts w:ascii="Segoe UI" w:hAnsi="Segoe UI" w:cs="Segoe UI"/>
        </w:rPr>
        <w:t xml:space="preserve">e ha dado apoyo al Ministerio de Comercio Exterior y a los asesores legislativos de la Comisión Especial que se encargará de conocer y dictaminar proyectos de ley requeridos para lograr la adhesión de Costa Rica a la Organización para la Cooperación y Desarrollo Económico (OCDE), durante el análisis y discusión del proyecto de Ley de reforma de la Ley N°7732 Ley Reguladora del Mercado de Valores, de 17 de diciembre de 1997, </w:t>
      </w:r>
      <w:r>
        <w:rPr>
          <w:rFonts w:ascii="Segoe UI" w:hAnsi="Segoe UI" w:cs="Segoe UI"/>
        </w:rPr>
        <w:t>L</w:t>
      </w:r>
      <w:r w:rsidRPr="00F81CB3">
        <w:rPr>
          <w:rFonts w:ascii="Segoe UI" w:hAnsi="Segoe UI" w:cs="Segoe UI"/>
        </w:rPr>
        <w:t>ey N°3284 Código de Comercio, de 30 de abril de 1964, Ley N°8653 Ley Reguladora del Mercado de Seguros, de 22 de julio de 2008, Ley N°7558 Ley Orgánica del Banco Central de Costa Rica, de 3 de noviembre de 1995, Ley N°7333 Ley Orgánica del Poder Judicial, de 5 de mayo de 1993 y Ley N°7523 de Régimen Privado de Pensiones Complementarias y reformas de la Ley Reguladora del Mercado de Calores y del Código de Comercio, de 7 de julio de 1995. Expediente</w:t>
      </w:r>
      <w:r>
        <w:rPr>
          <w:rFonts w:ascii="Segoe UI" w:hAnsi="Segoe UI" w:cs="Segoe UI"/>
        </w:rPr>
        <w:t xml:space="preserve"> Legislativo</w:t>
      </w:r>
      <w:r w:rsidRPr="00F81CB3">
        <w:rPr>
          <w:rFonts w:ascii="Segoe UI" w:hAnsi="Segoe UI" w:cs="Segoe UI"/>
        </w:rPr>
        <w:t xml:space="preserve"> Nº21.293. </w:t>
      </w:r>
    </w:p>
    <w:p w14:paraId="35D632CB" w14:textId="567948F7" w:rsidR="00D1240C" w:rsidRPr="004F5612" w:rsidRDefault="00A36F2D" w:rsidP="004F5612">
      <w:pPr>
        <w:spacing w:line="240" w:lineRule="auto"/>
        <w:jc w:val="both"/>
        <w:rPr>
          <w:rFonts w:ascii="Segoe UI" w:hAnsi="Segoe UI" w:cs="Segoe UI"/>
        </w:rPr>
      </w:pPr>
      <w:r w:rsidRPr="00F81CB3">
        <w:rPr>
          <w:rFonts w:ascii="Segoe UI" w:hAnsi="Segoe UI" w:cs="Segoe UI"/>
        </w:rPr>
        <w:t xml:space="preserve">Se </w:t>
      </w:r>
      <w:r>
        <w:rPr>
          <w:rFonts w:ascii="Segoe UI" w:hAnsi="Segoe UI" w:cs="Segoe UI"/>
        </w:rPr>
        <w:t>conformó un</w:t>
      </w:r>
      <w:r w:rsidRPr="00F81CB3">
        <w:rPr>
          <w:rFonts w:ascii="Segoe UI" w:hAnsi="Segoe UI" w:cs="Segoe UI"/>
        </w:rPr>
        <w:t xml:space="preserve"> Grupo de Trabajo encargado de elaborar un proyecto de Ley de Protección al Consumidor Financiero, el cual es coordinado por el Consejo Nacional de Supervisión del Sistema Financiero y el Ministerio de Comercio Exterior. En la actualidad se discute un documento base con la idea de que sea presentado a la Asamblea Legislativa en el tercer trimestre de 2019. </w:t>
      </w:r>
    </w:p>
    <w:sectPr w:rsidR="00D1240C" w:rsidRPr="004F56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67AD" w14:textId="77777777" w:rsidR="00D92477" w:rsidRDefault="00D92477">
      <w:pPr>
        <w:spacing w:after="0" w:line="240" w:lineRule="auto"/>
      </w:pPr>
      <w:r>
        <w:separator/>
      </w:r>
    </w:p>
  </w:endnote>
  <w:endnote w:type="continuationSeparator" w:id="0">
    <w:p w14:paraId="0637233B" w14:textId="77777777" w:rsidR="00D92477" w:rsidRDefault="00D9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C77C" w14:textId="77777777" w:rsidR="00BB605A" w:rsidRDefault="00BB605A" w:rsidP="00BB605A">
    <w:pPr>
      <w:pStyle w:val="Piedepgina"/>
      <w:pBdr>
        <w:top w:val="single" w:sz="4" w:space="1" w:color="auto"/>
      </w:pBd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6757" w14:textId="77777777" w:rsidR="00D92477" w:rsidRDefault="00D92477">
      <w:pPr>
        <w:spacing w:after="0" w:line="240" w:lineRule="auto"/>
      </w:pPr>
      <w:r>
        <w:separator/>
      </w:r>
    </w:p>
  </w:footnote>
  <w:footnote w:type="continuationSeparator" w:id="0">
    <w:p w14:paraId="1AF46D64" w14:textId="77777777" w:rsidR="00D92477" w:rsidRDefault="00D9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8273" w14:textId="77777777" w:rsidR="00BB605A" w:rsidRDefault="00BB605A" w:rsidP="00BB605A">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3AD"/>
    <w:multiLevelType w:val="hybridMultilevel"/>
    <w:tmpl w:val="E7403BD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9F183F"/>
    <w:multiLevelType w:val="hybridMultilevel"/>
    <w:tmpl w:val="38684592"/>
    <w:lvl w:ilvl="0" w:tplc="F22888A0">
      <w:start w:val="1"/>
      <w:numFmt w:val="decimal"/>
      <w:lvlText w:val="%1."/>
      <w:lvlJc w:val="left"/>
      <w:pPr>
        <w:ind w:left="360" w:hanging="360"/>
      </w:pPr>
      <w:rPr>
        <w:rFonts w:hint="default"/>
        <w:b w:val="0"/>
        <w:color w:val="000000" w:themeColor="text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5213B8F"/>
    <w:multiLevelType w:val="hybridMultilevel"/>
    <w:tmpl w:val="58F4082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620041"/>
    <w:multiLevelType w:val="hybridMultilevel"/>
    <w:tmpl w:val="E1DA07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2082045"/>
    <w:multiLevelType w:val="hybridMultilevel"/>
    <w:tmpl w:val="0C961F9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5" w15:restartNumberingAfterBreak="0">
    <w:nsid w:val="4DEB7629"/>
    <w:multiLevelType w:val="multilevel"/>
    <w:tmpl w:val="E5046840"/>
    <w:lvl w:ilvl="0">
      <w:start w:val="1"/>
      <w:numFmt w:val="decimal"/>
      <w:lvlText w:val="%1."/>
      <w:lvlJc w:val="left"/>
      <w:pPr>
        <w:ind w:left="360" w:hanging="360"/>
      </w:pPr>
      <w:rPr>
        <w:rFonts w:hint="default"/>
        <w:b w:val="0"/>
        <w:color w:val="000000" w:themeColor="text1"/>
      </w:rPr>
    </w:lvl>
    <w:lvl w:ilvl="1">
      <w:start w:val="14"/>
      <w:numFmt w:val="decimal"/>
      <w:lvlText w:val="%1.%2"/>
      <w:lvlJc w:val="left"/>
      <w:pPr>
        <w:ind w:left="555" w:hanging="55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40D1EC3"/>
    <w:multiLevelType w:val="hybridMultilevel"/>
    <w:tmpl w:val="EDCE997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3D09F7"/>
    <w:multiLevelType w:val="hybridMultilevel"/>
    <w:tmpl w:val="D0C846D6"/>
    <w:lvl w:ilvl="0" w:tplc="31CE1038">
      <w:start w:val="1"/>
      <w:numFmt w:val="decimal"/>
      <w:lvlText w:val="%1."/>
      <w:lvlJc w:val="left"/>
      <w:pPr>
        <w:ind w:left="644" w:hanging="360"/>
      </w:pPr>
      <w:rPr>
        <w:rFonts w:hint="default"/>
        <w:color w:val="000000" w:themeColor="text1"/>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B35F98"/>
    <w:multiLevelType w:val="hybridMultilevel"/>
    <w:tmpl w:val="7692505C"/>
    <w:lvl w:ilvl="0" w:tplc="2DCC37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F112D6"/>
    <w:multiLevelType w:val="multilevel"/>
    <w:tmpl w:val="472261DA"/>
    <w:lvl w:ilvl="0">
      <w:start w:val="1"/>
      <w:numFmt w:val="upperRoman"/>
      <w:pStyle w:val="Ttulo1"/>
      <w:lvlText w:val="%1."/>
      <w:lvlJc w:val="left"/>
      <w:pPr>
        <w:ind w:left="1080" w:hanging="72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DB32C3"/>
    <w:multiLevelType w:val="hybridMultilevel"/>
    <w:tmpl w:val="A34C1522"/>
    <w:lvl w:ilvl="0" w:tplc="31CE1038">
      <w:start w:val="1"/>
      <w:numFmt w:val="decimal"/>
      <w:lvlText w:val="%1."/>
      <w:lvlJc w:val="left"/>
      <w:pPr>
        <w:ind w:left="644"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F5678C"/>
    <w:multiLevelType w:val="multilevel"/>
    <w:tmpl w:val="D6587944"/>
    <w:lvl w:ilvl="0">
      <w:start w:val="1"/>
      <w:numFmt w:val="decimal"/>
      <w:lvlText w:val="%1."/>
      <w:lvlJc w:val="left"/>
      <w:pPr>
        <w:ind w:left="644" w:hanging="360"/>
      </w:pPr>
      <w:rPr>
        <w:rFonts w:hint="default"/>
        <w:color w:val="000000" w:themeColor="text1"/>
      </w:rPr>
    </w:lvl>
    <w:lvl w:ilvl="1">
      <w:start w:val="18"/>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0"/>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2D"/>
    <w:rsid w:val="001F45F2"/>
    <w:rsid w:val="00283F70"/>
    <w:rsid w:val="00364753"/>
    <w:rsid w:val="003C41D8"/>
    <w:rsid w:val="00427C2F"/>
    <w:rsid w:val="00497712"/>
    <w:rsid w:val="004F5612"/>
    <w:rsid w:val="00616706"/>
    <w:rsid w:val="006648B8"/>
    <w:rsid w:val="00697376"/>
    <w:rsid w:val="008A3CFB"/>
    <w:rsid w:val="008E6D5E"/>
    <w:rsid w:val="00A36F2D"/>
    <w:rsid w:val="00B0042E"/>
    <w:rsid w:val="00BB605A"/>
    <w:rsid w:val="00BF1EFE"/>
    <w:rsid w:val="00C31273"/>
    <w:rsid w:val="00CE6F0D"/>
    <w:rsid w:val="00D1240C"/>
    <w:rsid w:val="00D92477"/>
    <w:rsid w:val="00DB4F19"/>
    <w:rsid w:val="00DD5EE2"/>
    <w:rsid w:val="00DF72B9"/>
    <w:rsid w:val="00F90993"/>
    <w:rsid w:val="00FD6EAA"/>
    <w:rsid w:val="00FF5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8EA0"/>
  <w15:chartTrackingRefBased/>
  <w15:docId w15:val="{DB51B321-A5B6-4B46-A62F-A896DA82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F2D"/>
    <w:rPr>
      <w:lang w:val="es-ES"/>
    </w:rPr>
  </w:style>
  <w:style w:type="paragraph" w:styleId="Ttulo1">
    <w:name w:val="heading 1"/>
    <w:basedOn w:val="Normal"/>
    <w:next w:val="Normal"/>
    <w:link w:val="Ttulo1Car"/>
    <w:uiPriority w:val="9"/>
    <w:qFormat/>
    <w:rsid w:val="00A36F2D"/>
    <w:pPr>
      <w:keepNext/>
      <w:keepLines/>
      <w:numPr>
        <w:numId w:val="4"/>
      </w:numPr>
      <w:spacing w:after="0" w:line="240" w:lineRule="auto"/>
      <w:outlineLvl w:val="0"/>
    </w:pPr>
    <w:rPr>
      <w:rFonts w:ascii="Segoe UI" w:eastAsia="Times New Roman" w:hAnsi="Segoe UI" w:cs="Segoe UI"/>
      <w:b/>
      <w:caps/>
      <w:color w:val="365F91" w:themeColor="accent1" w:themeShade="BF"/>
      <w:lang w:eastAsia="es-CR"/>
    </w:rPr>
  </w:style>
  <w:style w:type="paragraph" w:styleId="Ttulo2">
    <w:name w:val="heading 2"/>
    <w:basedOn w:val="Normal"/>
    <w:next w:val="Normal"/>
    <w:link w:val="Ttulo2Car"/>
    <w:uiPriority w:val="9"/>
    <w:unhideWhenUsed/>
    <w:qFormat/>
    <w:rsid w:val="00A36F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36F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F2D"/>
    <w:rPr>
      <w:rFonts w:ascii="Segoe UI" w:eastAsia="Times New Roman" w:hAnsi="Segoe UI" w:cs="Segoe UI"/>
      <w:b/>
      <w:caps/>
      <w:color w:val="365F91" w:themeColor="accent1" w:themeShade="BF"/>
      <w:lang w:val="es-ES" w:eastAsia="es-CR"/>
    </w:rPr>
  </w:style>
  <w:style w:type="character" w:customStyle="1" w:styleId="Ttulo2Car">
    <w:name w:val="Título 2 Car"/>
    <w:basedOn w:val="Fuentedeprrafopredeter"/>
    <w:link w:val="Ttulo2"/>
    <w:uiPriority w:val="9"/>
    <w:rsid w:val="00A36F2D"/>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A36F2D"/>
    <w:rPr>
      <w:rFonts w:asciiTheme="majorHAnsi" w:eastAsiaTheme="majorEastAsia" w:hAnsiTheme="majorHAnsi" w:cstheme="majorBidi"/>
      <w:color w:val="243F60" w:themeColor="accent1" w:themeShade="7F"/>
      <w:sz w:val="24"/>
      <w:szCs w:val="24"/>
      <w:lang w:val="es-ES"/>
    </w:rPr>
  </w:style>
  <w:style w:type="paragraph" w:styleId="Encabezado">
    <w:name w:val="header"/>
    <w:basedOn w:val="Normal"/>
    <w:link w:val="EncabezadoCar"/>
    <w:unhideWhenUsed/>
    <w:rsid w:val="00A36F2D"/>
    <w:pPr>
      <w:tabs>
        <w:tab w:val="center" w:pos="4252"/>
        <w:tab w:val="right" w:pos="8504"/>
      </w:tabs>
      <w:spacing w:after="0" w:line="240" w:lineRule="auto"/>
    </w:pPr>
  </w:style>
  <w:style w:type="character" w:customStyle="1" w:styleId="EncabezadoCar">
    <w:name w:val="Encabezado Car"/>
    <w:basedOn w:val="Fuentedeprrafopredeter"/>
    <w:link w:val="Encabezado"/>
    <w:rsid w:val="00A36F2D"/>
    <w:rPr>
      <w:lang w:val="es-ES"/>
    </w:rPr>
  </w:style>
  <w:style w:type="paragraph" w:styleId="Piedepgina">
    <w:name w:val="footer"/>
    <w:basedOn w:val="Normal"/>
    <w:link w:val="PiedepginaCar"/>
    <w:uiPriority w:val="99"/>
    <w:unhideWhenUsed/>
    <w:rsid w:val="00A36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F2D"/>
    <w:rPr>
      <w:lang w:val="es-ES"/>
    </w:rPr>
  </w:style>
  <w:style w:type="character" w:styleId="Hipervnculo">
    <w:name w:val="Hyperlink"/>
    <w:basedOn w:val="Fuentedeprrafopredeter"/>
    <w:uiPriority w:val="99"/>
    <w:rsid w:val="00A36F2D"/>
    <w:rPr>
      <w:color w:val="0000FF"/>
      <w:u w:val="single"/>
    </w:rPr>
  </w:style>
  <w:style w:type="paragraph" w:customStyle="1" w:styleId="paragraph">
    <w:name w:val="paragraph"/>
    <w:basedOn w:val="Normal"/>
    <w:rsid w:val="00A36F2D"/>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A36F2D"/>
  </w:style>
  <w:style w:type="character" w:customStyle="1" w:styleId="eop">
    <w:name w:val="eop"/>
    <w:basedOn w:val="Fuentedeprrafopredeter"/>
    <w:rsid w:val="00A36F2D"/>
  </w:style>
  <w:style w:type="paragraph" w:styleId="TtuloTDC">
    <w:name w:val="TOC Heading"/>
    <w:basedOn w:val="Ttulo1"/>
    <w:next w:val="Normal"/>
    <w:uiPriority w:val="39"/>
    <w:unhideWhenUsed/>
    <w:qFormat/>
    <w:rsid w:val="00A36F2D"/>
    <w:pPr>
      <w:spacing w:line="259" w:lineRule="auto"/>
      <w:outlineLvl w:val="9"/>
    </w:pPr>
    <w:rPr>
      <w:lang w:val="es-CR"/>
    </w:rPr>
  </w:style>
  <w:style w:type="paragraph" w:styleId="TDC1">
    <w:name w:val="toc 1"/>
    <w:basedOn w:val="Normal"/>
    <w:next w:val="Normal"/>
    <w:autoRedefine/>
    <w:uiPriority w:val="39"/>
    <w:unhideWhenUsed/>
    <w:rsid w:val="00A36F2D"/>
    <w:pPr>
      <w:tabs>
        <w:tab w:val="left" w:pos="426"/>
        <w:tab w:val="right" w:leader="dot" w:pos="8828"/>
      </w:tabs>
      <w:spacing w:line="240" w:lineRule="auto"/>
    </w:pPr>
    <w:rPr>
      <w:rFonts w:eastAsia="Times New Roman"/>
      <w:noProof/>
      <w:sz w:val="24"/>
      <w:szCs w:val="24"/>
      <w:lang w:eastAsia="es-CR"/>
    </w:rPr>
  </w:style>
  <w:style w:type="paragraph" w:styleId="TDC2">
    <w:name w:val="toc 2"/>
    <w:basedOn w:val="Normal"/>
    <w:next w:val="Normal"/>
    <w:autoRedefine/>
    <w:uiPriority w:val="39"/>
    <w:unhideWhenUsed/>
    <w:rsid w:val="00A36F2D"/>
    <w:pPr>
      <w:tabs>
        <w:tab w:val="right" w:leader="dot" w:pos="8828"/>
      </w:tabs>
      <w:spacing w:after="0" w:line="240" w:lineRule="auto"/>
      <w:ind w:left="221"/>
    </w:pPr>
  </w:style>
  <w:style w:type="paragraph" w:styleId="Textonotapie">
    <w:name w:val="footnote text"/>
    <w:basedOn w:val="Normal"/>
    <w:link w:val="TextonotapieCar"/>
    <w:uiPriority w:val="99"/>
    <w:semiHidden/>
    <w:unhideWhenUsed/>
    <w:rsid w:val="00A36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6F2D"/>
    <w:rPr>
      <w:sz w:val="20"/>
      <w:szCs w:val="20"/>
      <w:lang w:val="es-ES"/>
    </w:rPr>
  </w:style>
  <w:style w:type="character" w:styleId="Refdenotaalpie">
    <w:name w:val="footnote reference"/>
    <w:basedOn w:val="Fuentedeprrafopredeter"/>
    <w:uiPriority w:val="99"/>
    <w:semiHidden/>
    <w:unhideWhenUsed/>
    <w:rsid w:val="00A36F2D"/>
    <w:rPr>
      <w:vertAlign w:val="superscript"/>
    </w:rPr>
  </w:style>
  <w:style w:type="paragraph" w:styleId="Prrafodelista">
    <w:name w:val="List Paragraph"/>
    <w:aliases w:val="Informe"/>
    <w:basedOn w:val="Normal"/>
    <w:link w:val="PrrafodelistaCar"/>
    <w:uiPriority w:val="34"/>
    <w:qFormat/>
    <w:rsid w:val="00A36F2D"/>
    <w:pPr>
      <w:ind w:left="720"/>
      <w:contextualSpacing/>
    </w:pPr>
  </w:style>
  <w:style w:type="character" w:styleId="Referenciasutil">
    <w:name w:val="Subtle Reference"/>
    <w:basedOn w:val="Fuentedeprrafopredeter"/>
    <w:uiPriority w:val="31"/>
    <w:qFormat/>
    <w:rsid w:val="00A36F2D"/>
    <w:rPr>
      <w:smallCaps/>
      <w:color w:val="5A5A5A" w:themeColor="text1" w:themeTint="A5"/>
    </w:rPr>
  </w:style>
  <w:style w:type="paragraph" w:styleId="Sinespaciado">
    <w:name w:val="No Spacing"/>
    <w:uiPriority w:val="1"/>
    <w:qFormat/>
    <w:rsid w:val="00A36F2D"/>
    <w:pPr>
      <w:spacing w:after="0" w:line="240" w:lineRule="auto"/>
    </w:pPr>
    <w:rPr>
      <w:lang w:val="es-ES"/>
    </w:rPr>
  </w:style>
  <w:style w:type="character" w:customStyle="1" w:styleId="spellingerror">
    <w:name w:val="spellingerror"/>
    <w:basedOn w:val="Fuentedeprrafopredeter"/>
    <w:rsid w:val="00A36F2D"/>
  </w:style>
  <w:style w:type="paragraph" w:styleId="TDC3">
    <w:name w:val="toc 3"/>
    <w:basedOn w:val="Normal"/>
    <w:next w:val="Normal"/>
    <w:autoRedefine/>
    <w:uiPriority w:val="39"/>
    <w:unhideWhenUsed/>
    <w:rsid w:val="00A36F2D"/>
    <w:pPr>
      <w:spacing w:after="100"/>
      <w:ind w:left="440"/>
    </w:pPr>
  </w:style>
  <w:style w:type="table" w:styleId="Tablaconcuadrcula">
    <w:name w:val="Table Grid"/>
    <w:basedOn w:val="Tablanormal"/>
    <w:uiPriority w:val="59"/>
    <w:rsid w:val="00A36F2D"/>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A36F2D"/>
    <w:rPr>
      <w:lang w:val="es-ES"/>
    </w:rPr>
  </w:style>
  <w:style w:type="paragraph" w:styleId="NormalWeb">
    <w:name w:val="Normal (Web)"/>
    <w:basedOn w:val="Normal"/>
    <w:uiPriority w:val="99"/>
    <w:unhideWhenUsed/>
    <w:rsid w:val="00A36F2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nfasis">
    <w:name w:val="Emphasis"/>
    <w:basedOn w:val="Fuentedeprrafopredeter"/>
    <w:uiPriority w:val="20"/>
    <w:qFormat/>
    <w:rsid w:val="00A36F2D"/>
    <w:rPr>
      <w:i/>
      <w:iCs/>
    </w:rPr>
  </w:style>
  <w:style w:type="paragraph" w:customStyle="1" w:styleId="SupenEncabezado">
    <w:name w:val="Supen_Encabezado"/>
    <w:next w:val="Normal"/>
    <w:link w:val="SupenEncabezadoCar"/>
    <w:autoRedefine/>
    <w:qFormat/>
    <w:rsid w:val="00A36F2D"/>
    <w:pPr>
      <w:spacing w:after="0"/>
    </w:pPr>
    <w:rPr>
      <w:rFonts w:ascii="Times New Roman" w:eastAsia="Calibri" w:hAnsi="Times New Roman" w:cs="Times New Roman"/>
      <w:b/>
      <w:i/>
      <w:sz w:val="24"/>
      <w:szCs w:val="24"/>
      <w:lang w:val="es-ES"/>
    </w:rPr>
  </w:style>
  <w:style w:type="character" w:customStyle="1" w:styleId="SupenEncabezadoCar">
    <w:name w:val="Supen_Encabezado Car"/>
    <w:link w:val="SupenEncabezado"/>
    <w:rsid w:val="00A36F2D"/>
    <w:rPr>
      <w:rFonts w:ascii="Times New Roman" w:eastAsia="Calibri" w:hAnsi="Times New Roman" w:cs="Times New Roman"/>
      <w:b/>
      <w:i/>
      <w:sz w:val="24"/>
      <w:szCs w:val="24"/>
      <w:lang w:val="es-ES"/>
    </w:rPr>
  </w:style>
  <w:style w:type="paragraph" w:styleId="Textodeglobo">
    <w:name w:val="Balloon Text"/>
    <w:basedOn w:val="Normal"/>
    <w:link w:val="TextodegloboCar"/>
    <w:uiPriority w:val="99"/>
    <w:semiHidden/>
    <w:unhideWhenUsed/>
    <w:rsid w:val="00A36F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F2D"/>
    <w:rPr>
      <w:rFonts w:ascii="Segoe UI" w:hAnsi="Segoe UI" w:cs="Segoe UI"/>
      <w:sz w:val="18"/>
      <w:szCs w:val="18"/>
      <w:lang w:val="es-ES"/>
    </w:rPr>
  </w:style>
  <w:style w:type="table" w:styleId="Tablaconcuadrculaclara">
    <w:name w:val="Grid Table Light"/>
    <w:basedOn w:val="Tablanormal"/>
    <w:uiPriority w:val="40"/>
    <w:rsid w:val="00A36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A3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F2D"/>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chart" Target="charts/chart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en@supen.fi.cr"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upen.sharepoint.com/dependencias/pyn/Borradores%20de%20estudios/Informe%20CONASSIF/2019/Junio2019/Activos_SNP_OEC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upen-my.sharepoint.com/personal/ariasmc_supen_fi_cr/Documents/InformeCoyunturaII2019/Junio2019/Inversiones%20RO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upen-my.sharepoint.com/personal/ariasmc_supen_fi_cr/Documents/InformeCoyunturaII2019/Junio2019/Inversiones%20RO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807762828017181"/>
          <c:y val="1.5277445442994539E-2"/>
          <c:w val="0.5819223717198283"/>
          <c:h val="0.70381347207924094"/>
        </c:manualLayout>
      </c:layout>
      <c:barChart>
        <c:barDir val="col"/>
        <c:grouping val="stacked"/>
        <c:varyColors val="0"/>
        <c:ser>
          <c:idx val="0"/>
          <c:order val="0"/>
          <c:tx>
            <c:strRef>
              <c:f>'Clasificacion OCDE'!$A$66</c:f>
              <c:strCache>
                <c:ptCount val="1"/>
                <c:pt idx="0">
                  <c:v>No contributivo</c:v>
                </c:pt>
              </c:strCache>
            </c:strRef>
          </c:tx>
          <c:spPr>
            <a:solidFill>
              <a:schemeClr val="accent1"/>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OCDE'!$B$66:$L$66</c:f>
              <c:numCache>
                <c:formatCode>0.0%</c:formatCode>
                <c:ptCount val="11"/>
                <c:pt idx="0">
                  <c:v>4.6114705623186633E-3</c:v>
                </c:pt>
                <c:pt idx="1">
                  <c:v>4.6455669300983111E-3</c:v>
                </c:pt>
                <c:pt idx="2">
                  <c:v>4.462670657025017E-3</c:v>
                </c:pt>
                <c:pt idx="3">
                  <c:v>4.2110982567944754E-3</c:v>
                </c:pt>
                <c:pt idx="4">
                  <c:v>4.2471343818578861E-3</c:v>
                </c:pt>
                <c:pt idx="5">
                  <c:v>4.2101360323351109E-3</c:v>
                </c:pt>
                <c:pt idx="6">
                  <c:v>4.0667390453381193E-3</c:v>
                </c:pt>
                <c:pt idx="7">
                  <c:v>4.0835175412110847E-3</c:v>
                </c:pt>
                <c:pt idx="8">
                  <c:v>3.9924638938949398E-3</c:v>
                </c:pt>
                <c:pt idx="9">
                  <c:v>3.92757404685484E-3</c:v>
                </c:pt>
                <c:pt idx="10">
                  <c:v>3.8671503736872814E-3</c:v>
                </c:pt>
              </c:numCache>
            </c:numRef>
          </c:val>
          <c:extLst>
            <c:ext xmlns:c16="http://schemas.microsoft.com/office/drawing/2014/chart" uri="{C3380CC4-5D6E-409C-BE32-E72D297353CC}">
              <c16:uniqueId val="{00000000-4E2D-42C7-98F7-F538D8563FAC}"/>
            </c:ext>
          </c:extLst>
        </c:ser>
        <c:ser>
          <c:idx val="1"/>
          <c:order val="1"/>
          <c:tx>
            <c:strRef>
              <c:f>'Clasificacion OCDE'!$A$70</c:f>
              <c:strCache>
                <c:ptCount val="1"/>
                <c:pt idx="0">
                  <c:v>Seguridad Social</c:v>
                </c:pt>
              </c:strCache>
            </c:strRef>
          </c:tx>
          <c:spPr>
            <a:solidFill>
              <a:schemeClr val="accent2"/>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OCDE'!$B$70:$L$70</c:f>
              <c:numCache>
                <c:formatCode>0.0%</c:formatCode>
                <c:ptCount val="11"/>
                <c:pt idx="0">
                  <c:v>8.0285307569336412E-2</c:v>
                </c:pt>
                <c:pt idx="1">
                  <c:v>7.8741064058323165E-2</c:v>
                </c:pt>
                <c:pt idx="2">
                  <c:v>8.0277642042965447E-2</c:v>
                </c:pt>
                <c:pt idx="3">
                  <c:v>7.860434297535672E-2</c:v>
                </c:pt>
                <c:pt idx="4">
                  <c:v>7.8194354969925911E-2</c:v>
                </c:pt>
                <c:pt idx="5">
                  <c:v>7.665620675288029E-2</c:v>
                </c:pt>
                <c:pt idx="6">
                  <c:v>7.322045690192043E-2</c:v>
                </c:pt>
                <c:pt idx="7">
                  <c:v>7.3701880380255283E-2</c:v>
                </c:pt>
                <c:pt idx="8">
                  <c:v>7.5206193104363064E-2</c:v>
                </c:pt>
                <c:pt idx="9">
                  <c:v>8.0228906738975772E-2</c:v>
                </c:pt>
                <c:pt idx="10">
                  <c:v>7.9395854126578153E-2</c:v>
                </c:pt>
              </c:numCache>
            </c:numRef>
          </c:val>
          <c:extLst>
            <c:ext xmlns:c16="http://schemas.microsoft.com/office/drawing/2014/chart" uri="{C3380CC4-5D6E-409C-BE32-E72D297353CC}">
              <c16:uniqueId val="{00000001-4E2D-42C7-98F7-F538D8563FAC}"/>
            </c:ext>
          </c:extLst>
        </c:ser>
        <c:ser>
          <c:idx val="2"/>
          <c:order val="2"/>
          <c:tx>
            <c:strRef>
              <c:f>'Clasificacion OCDE'!$A$74</c:f>
              <c:strCache>
                <c:ptCount val="1"/>
                <c:pt idx="0">
                  <c:v>Ocupacionales</c:v>
                </c:pt>
              </c:strCache>
            </c:strRef>
          </c:tx>
          <c:spPr>
            <a:solidFill>
              <a:schemeClr val="accent3"/>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OCDE'!$B$74:$L$74</c:f>
              <c:numCache>
                <c:formatCode>0.0%</c:formatCode>
                <c:ptCount val="11"/>
                <c:pt idx="0">
                  <c:v>6.1440188596507898E-2</c:v>
                </c:pt>
                <c:pt idx="1">
                  <c:v>6.5756525923556089E-2</c:v>
                </c:pt>
                <c:pt idx="2">
                  <c:v>7.1119473786724216E-2</c:v>
                </c:pt>
                <c:pt idx="3">
                  <c:v>7.243936536539923E-2</c:v>
                </c:pt>
                <c:pt idx="4">
                  <c:v>8.1166230431509737E-2</c:v>
                </c:pt>
                <c:pt idx="5">
                  <c:v>8.5531196276888655E-2</c:v>
                </c:pt>
                <c:pt idx="6">
                  <c:v>9.044233342035557E-2</c:v>
                </c:pt>
                <c:pt idx="7">
                  <c:v>9.8431251247400597E-2</c:v>
                </c:pt>
                <c:pt idx="8">
                  <c:v>0.10386240377505859</c:v>
                </c:pt>
                <c:pt idx="9">
                  <c:v>0.10912033815511712</c:v>
                </c:pt>
                <c:pt idx="10">
                  <c:v>0.11483093227285487</c:v>
                </c:pt>
              </c:numCache>
            </c:numRef>
          </c:val>
          <c:extLst>
            <c:ext xmlns:c16="http://schemas.microsoft.com/office/drawing/2014/chart" uri="{C3380CC4-5D6E-409C-BE32-E72D297353CC}">
              <c16:uniqueId val="{00000002-4E2D-42C7-98F7-F538D8563FAC}"/>
            </c:ext>
          </c:extLst>
        </c:ser>
        <c:ser>
          <c:idx val="3"/>
          <c:order val="3"/>
          <c:tx>
            <c:strRef>
              <c:f>'Clasificacion OCDE'!$A$90</c:f>
              <c:strCache>
                <c:ptCount val="1"/>
                <c:pt idx="0">
                  <c:v>Planes Obligatorios Personales</c:v>
                </c:pt>
              </c:strCache>
            </c:strRef>
          </c:tx>
          <c:spPr>
            <a:solidFill>
              <a:schemeClr val="accent4"/>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OCDE'!$B$90:$L$90</c:f>
              <c:numCache>
                <c:formatCode>0.0%</c:formatCode>
                <c:ptCount val="11"/>
                <c:pt idx="0">
                  <c:v>5.4126208959102029E-2</c:v>
                </c:pt>
                <c:pt idx="1">
                  <c:v>6.1839963574710832E-2</c:v>
                </c:pt>
                <c:pt idx="2">
                  <c:v>7.9602999858579451E-2</c:v>
                </c:pt>
                <c:pt idx="3">
                  <c:v>8.4706454631263695E-2</c:v>
                </c:pt>
                <c:pt idx="4">
                  <c:v>0.10594794829855464</c:v>
                </c:pt>
                <c:pt idx="5">
                  <c:v>0.11484094424297267</c:v>
                </c:pt>
                <c:pt idx="6">
                  <c:v>0.12505608619056788</c:v>
                </c:pt>
                <c:pt idx="7">
                  <c:v>0.13859745976589596</c:v>
                </c:pt>
                <c:pt idx="8">
                  <c:v>0.14899463578609626</c:v>
                </c:pt>
                <c:pt idx="9">
                  <c:v>0.15814625779560426</c:v>
                </c:pt>
                <c:pt idx="10">
                  <c:v>0.17203563108486306</c:v>
                </c:pt>
              </c:numCache>
            </c:numRef>
          </c:val>
          <c:extLst>
            <c:ext xmlns:c16="http://schemas.microsoft.com/office/drawing/2014/chart" uri="{C3380CC4-5D6E-409C-BE32-E72D297353CC}">
              <c16:uniqueId val="{00000003-4E2D-42C7-98F7-F538D8563FAC}"/>
            </c:ext>
          </c:extLst>
        </c:ser>
        <c:ser>
          <c:idx val="4"/>
          <c:order val="4"/>
          <c:tx>
            <c:strRef>
              <c:f>'Clasificacion OCDE'!$A$99</c:f>
              <c:strCache>
                <c:ptCount val="1"/>
                <c:pt idx="0">
                  <c:v>Planes Voluntarios Personales</c:v>
                </c:pt>
              </c:strCache>
            </c:strRef>
          </c:tx>
          <c:spPr>
            <a:solidFill>
              <a:schemeClr val="accent5"/>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OCDE'!$B$99:$L$99</c:f>
              <c:numCache>
                <c:formatCode>0.0%</c:formatCode>
                <c:ptCount val="11"/>
                <c:pt idx="0">
                  <c:v>5.6457363646335631E-3</c:v>
                </c:pt>
                <c:pt idx="1">
                  <c:v>5.1290359295536889E-3</c:v>
                </c:pt>
                <c:pt idx="2">
                  <c:v>8.1224442551339881E-3</c:v>
                </c:pt>
                <c:pt idx="3">
                  <c:v>7.469672017228539E-3</c:v>
                </c:pt>
                <c:pt idx="4">
                  <c:v>8.0786813804926572E-3</c:v>
                </c:pt>
                <c:pt idx="5">
                  <c:v>8.1892701207920172E-3</c:v>
                </c:pt>
                <c:pt idx="6">
                  <c:v>8.205269363593547E-3</c:v>
                </c:pt>
                <c:pt idx="7">
                  <c:v>8.9776368179767443E-3</c:v>
                </c:pt>
                <c:pt idx="8">
                  <c:v>9.5590933829589331E-3</c:v>
                </c:pt>
                <c:pt idx="9">
                  <c:v>9.706914971412281E-3</c:v>
                </c:pt>
                <c:pt idx="10">
                  <c:v>9.9578793347995017E-3</c:v>
                </c:pt>
              </c:numCache>
            </c:numRef>
          </c:val>
          <c:extLst>
            <c:ext xmlns:c16="http://schemas.microsoft.com/office/drawing/2014/chart" uri="{C3380CC4-5D6E-409C-BE32-E72D297353CC}">
              <c16:uniqueId val="{00000004-4E2D-42C7-98F7-F538D8563FAC}"/>
            </c:ext>
          </c:extLst>
        </c:ser>
        <c:ser>
          <c:idx val="5"/>
          <c:order val="5"/>
          <c:tx>
            <c:strRef>
              <c:f>'Clasificacion OCDE'!$A$115</c:f>
              <c:strCache>
                <c:ptCount val="1"/>
                <c:pt idx="0">
                  <c:v>Fondo de Capitalización Laboral</c:v>
                </c:pt>
              </c:strCache>
            </c:strRef>
          </c:tx>
          <c:spPr>
            <a:solidFill>
              <a:schemeClr val="accent6"/>
            </a:solidFill>
            <a:ln>
              <a:noFill/>
            </a:ln>
            <a:effectLst/>
          </c:spPr>
          <c:invertIfNegative val="0"/>
          <c:dLbls>
            <c:delete val="1"/>
          </c:dLbls>
          <c:cat>
            <c:numRef>
              <c:f>'Clasificacion OCDE'!$B$2:$L$2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'Clasificacion OCDE'!$B$115:$L$115</c:f>
              <c:numCache>
                <c:formatCode>0.0%</c:formatCode>
                <c:ptCount val="11"/>
                <c:pt idx="0">
                  <c:v>1.2493690646496886E-2</c:v>
                </c:pt>
                <c:pt idx="1">
                  <c:v>1.4491176215144263E-2</c:v>
                </c:pt>
                <c:pt idx="2">
                  <c:v>1.1159831297370131E-2</c:v>
                </c:pt>
                <c:pt idx="3">
                  <c:v>1.2456043082438783E-2</c:v>
                </c:pt>
                <c:pt idx="4">
                  <c:v>1.5766455563167813E-2</c:v>
                </c:pt>
                <c:pt idx="5">
                  <c:v>1.6924784794189643E-2</c:v>
                </c:pt>
                <c:pt idx="6">
                  <c:v>1.8461750920580774E-2</c:v>
                </c:pt>
                <c:pt idx="7">
                  <c:v>1.356443944701571E-2</c:v>
                </c:pt>
                <c:pt idx="8">
                  <c:v>1.469537031377121E-2</c:v>
                </c:pt>
                <c:pt idx="9">
                  <c:v>1.5470315378124069E-2</c:v>
                </c:pt>
                <c:pt idx="10">
                  <c:v>1.6523382405089149E-2</c:v>
                </c:pt>
              </c:numCache>
            </c:numRef>
          </c:val>
          <c:extLst>
            <c:ext xmlns:c16="http://schemas.microsoft.com/office/drawing/2014/chart" uri="{C3380CC4-5D6E-409C-BE32-E72D297353CC}">
              <c16:uniqueId val="{00000005-4E2D-42C7-98F7-F538D8563FAC}"/>
            </c:ext>
          </c:extLst>
        </c:ser>
        <c:dLbls>
          <c:dLblPos val="ctr"/>
          <c:showLegendKey val="0"/>
          <c:showVal val="1"/>
          <c:showCatName val="0"/>
          <c:showSerName val="0"/>
          <c:showPercent val="0"/>
          <c:showBubbleSize val="0"/>
        </c:dLbls>
        <c:gapWidth val="150"/>
        <c:overlap val="100"/>
        <c:axId val="466737592"/>
        <c:axId val="466739232"/>
      </c:barChart>
      <c:catAx>
        <c:axId val="46673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R"/>
          </a:p>
        </c:txPr>
        <c:crossAx val="466739232"/>
        <c:crosses val="autoZero"/>
        <c:auto val="1"/>
        <c:lblAlgn val="ctr"/>
        <c:lblOffset val="100"/>
        <c:noMultiLvlLbl val="0"/>
      </c:catAx>
      <c:valAx>
        <c:axId val="4667392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R"/>
          </a:p>
        </c:txPr>
        <c:crossAx val="466737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30436354391961"/>
          <c:y val="3.828125757183462E-2"/>
          <c:w val="0.79491932318147152"/>
          <c:h val="0.88448775976152272"/>
        </c:manualLayout>
      </c:layout>
      <c:barChart>
        <c:barDir val="bar"/>
        <c:grouping val="clustered"/>
        <c:varyColors val="0"/>
        <c:ser>
          <c:idx val="0"/>
          <c:order val="0"/>
          <c:tx>
            <c:strRef>
              <c:f>'Activo por entidad'!$F$5</c:f>
              <c:strCache>
                <c:ptCount val="1"/>
                <c:pt idx="0">
                  <c:v>%PIB</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346547567501275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B5-4D6C-865E-2BBAFDE6270E}"/>
                </c:ext>
              </c:extLst>
            </c:dLbl>
            <c:dLbl>
              <c:idx val="1"/>
              <c:layout>
                <c:manualLayout>
                  <c:x val="-3.6095029872795057E-3"/>
                  <c:y val="-3.5167926850712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B5-4D6C-865E-2BBAFDE6270E}"/>
                </c:ext>
              </c:extLst>
            </c:dLbl>
            <c:dLbl>
              <c:idx val="2"/>
              <c:layout>
                <c:manualLayout>
                  <c:x val="-3.609502987279339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B5-4D6C-865E-2BBAFDE6270E}"/>
                </c:ext>
              </c:extLst>
            </c:dLbl>
            <c:dLbl>
              <c:idx val="3"/>
              <c:layout>
                <c:manualLayout>
                  <c:x val="-3.609502987279422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B5-4D6C-865E-2BBAFDE6270E}"/>
                </c:ext>
              </c:extLst>
            </c:dLbl>
            <c:dLbl>
              <c:idx val="4"/>
              <c:layout>
                <c:manualLayout>
                  <c:x val="-3.609502987279422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B5-4D6C-865E-2BBAFDE6270E}"/>
                </c:ext>
              </c:extLst>
            </c:dLbl>
            <c:dLbl>
              <c:idx val="5"/>
              <c:layout>
                <c:manualLayout>
                  <c:x val="-3.609502987279381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B5-4D6C-865E-2BBAFDE6270E}"/>
                </c:ext>
              </c:extLst>
            </c:dLbl>
            <c:dLbl>
              <c:idx val="6"/>
              <c:layout>
                <c:manualLayout>
                  <c:x val="-5.872458407057611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B5-4D6C-865E-2BBAFDE6270E}"/>
                </c:ext>
              </c:extLst>
            </c:dLbl>
            <c:dLbl>
              <c:idx val="7"/>
              <c:layout>
                <c:manualLayout>
                  <c:x val="-8.1354138268358005E-3"/>
                  <c:y val="3.51679268507115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B5-4D6C-865E-2BBAFDE6270E}"/>
                </c:ext>
              </c:extLst>
            </c:dLbl>
            <c:dLbl>
              <c:idx val="8"/>
              <c:layout>
                <c:manualLayout>
                  <c:x val="-1.3465475675011093E-3"/>
                  <c:y val="-6.447378775294106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B5-4D6C-865E-2BBAFDE6270E}"/>
                </c:ext>
              </c:extLst>
            </c:dLbl>
            <c:dLbl>
              <c:idx val="9"/>
              <c:layout>
                <c:manualLayout>
                  <c:x val="-8.1354138268358005E-3"/>
                  <c:y val="6.447378775294106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B5-4D6C-865E-2BBAFDE6270E}"/>
                </c:ext>
              </c:extLst>
            </c:dLbl>
            <c:dLbl>
              <c:idx val="10"/>
              <c:layout>
                <c:manualLayout>
                  <c:x val="-6.551345032991038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B5-4D6C-865E-2BBAFDE6270E}"/>
                </c:ext>
              </c:extLst>
            </c:dLbl>
            <c:dLbl>
              <c:idx val="11"/>
              <c:layout>
                <c:manualLayout>
                  <c:x val="-1.4627244914141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B5-4D6C-865E-2BBAFDE6270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'Activo por entidad'!$D$6:$D$20</c:f>
              <c:strCache>
                <c:ptCount val="15"/>
                <c:pt idx="0">
                  <c:v>RIVM</c:v>
                </c:pt>
                <c:pt idx="1">
                  <c:v>FCCMN</c:v>
                </c:pt>
                <c:pt idx="2">
                  <c:v>POPULAR</c:v>
                </c:pt>
                <c:pt idx="3">
                  <c:v>BN-VITAL</c:v>
                </c:pt>
                <c:pt idx="4">
                  <c:v>BCR-PENSION</c:v>
                </c:pt>
                <c:pt idx="5">
                  <c:v>SJ-PENSIONES</c:v>
                </c:pt>
                <c:pt idx="6">
                  <c:v>VIDA PLENA</c:v>
                </c:pt>
                <c:pt idx="7">
                  <c:v>PODER JUDICIAL</c:v>
                </c:pt>
                <c:pt idx="8">
                  <c:v>CCSS-OPC</c:v>
                </c:pt>
                <c:pt idx="9">
                  <c:v>FICE</c:v>
                </c:pt>
                <c:pt idx="10">
                  <c:v>FRE</c:v>
                </c:pt>
                <c:pt idx="11">
                  <c:v>FBNCR</c:v>
                </c:pt>
                <c:pt idx="12">
                  <c:v>FBOMBEROS</c:v>
                </c:pt>
                <c:pt idx="13">
                  <c:v>FVENLOT</c:v>
                </c:pt>
                <c:pt idx="14">
                  <c:v>FRECOPE</c:v>
                </c:pt>
              </c:strCache>
            </c:strRef>
          </c:cat>
          <c:val>
            <c:numRef>
              <c:f>'Activo por entidad'!$F$6:$F$20</c:f>
              <c:numCache>
                <c:formatCode>0.0%</c:formatCode>
                <c:ptCount val="15"/>
                <c:pt idx="0">
                  <c:v>7.6360374797637048E-2</c:v>
                </c:pt>
                <c:pt idx="1">
                  <c:v>7.1332125767264512E-2</c:v>
                </c:pt>
                <c:pt idx="2">
                  <c:v>7.1104330690050108E-2</c:v>
                </c:pt>
                <c:pt idx="3">
                  <c:v>4.0367835312647496E-2</c:v>
                </c:pt>
                <c:pt idx="4">
                  <c:v>2.9128344500600735E-2</c:v>
                </c:pt>
                <c:pt idx="5">
                  <c:v>2.2855190864871217E-2</c:v>
                </c:pt>
                <c:pt idx="6">
                  <c:v>2.0986820213129941E-2</c:v>
                </c:pt>
                <c:pt idx="7">
                  <c:v>1.4918181043917856E-2</c:v>
                </c:pt>
                <c:pt idx="8">
                  <c:v>9.4657677295695731E-3</c:v>
                </c:pt>
                <c:pt idx="9">
                  <c:v>8.8894000924634366E-3</c:v>
                </c:pt>
                <c:pt idx="10">
                  <c:v>5.6097180337105141E-3</c:v>
                </c:pt>
                <c:pt idx="11">
                  <c:v>4.7773747040235322E-3</c:v>
                </c:pt>
                <c:pt idx="12">
                  <c:v>1.2739594720753134E-3</c:v>
                </c:pt>
                <c:pt idx="13">
                  <c:v>6.5818589685014096E-4</c:v>
                </c:pt>
                <c:pt idx="14">
                  <c:v>6.0950012985302008E-7</c:v>
                </c:pt>
              </c:numCache>
            </c:numRef>
          </c:val>
          <c:extLst>
            <c:ext xmlns:c16="http://schemas.microsoft.com/office/drawing/2014/chart" uri="{C3380CC4-5D6E-409C-BE32-E72D297353CC}">
              <c16:uniqueId val="{0000000C-44B5-4D6C-865E-2BBAFDE6270E}"/>
            </c:ext>
          </c:extLst>
        </c:ser>
        <c:dLbls>
          <c:dLblPos val="inEnd"/>
          <c:showLegendKey val="0"/>
          <c:showVal val="1"/>
          <c:showCatName val="0"/>
          <c:showSerName val="0"/>
          <c:showPercent val="0"/>
          <c:showBubbleSize val="0"/>
        </c:dLbls>
        <c:gapWidth val="100"/>
        <c:axId val="587297944"/>
        <c:axId val="587299912"/>
      </c:barChart>
      <c:catAx>
        <c:axId val="5872979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es-CR"/>
          </a:p>
        </c:txPr>
        <c:crossAx val="587299912"/>
        <c:crosses val="autoZero"/>
        <c:auto val="1"/>
        <c:lblAlgn val="ctr"/>
        <c:lblOffset val="100"/>
        <c:noMultiLvlLbl val="0"/>
      </c:catAx>
      <c:valAx>
        <c:axId val="58729991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es-CR"/>
          </a:p>
        </c:txPr>
        <c:crossAx val="587297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Hoja2!$A$329</c:f>
              <c:strCache>
                <c:ptCount val="1"/>
                <c:pt idx="0">
                  <c:v>BN-vital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Hoja2!$B$329:$H$329</c:f>
              <c:numCache>
                <c:formatCode>0.00%</c:formatCode>
                <c:ptCount val="7"/>
                <c:pt idx="0">
                  <c:v>2.1920435638161984E-3</c:v>
                </c:pt>
                <c:pt idx="1">
                  <c:v>2.082855271009492E-3</c:v>
                </c:pt>
                <c:pt idx="2">
                  <c:v>0</c:v>
                </c:pt>
                <c:pt idx="3">
                  <c:v>5.289318060411323E-2</c:v>
                </c:pt>
                <c:pt idx="4">
                  <c:v>6.4282819254185802E-2</c:v>
                </c:pt>
                <c:pt idx="5">
                  <c:v>4.4188380416726826E-2</c:v>
                </c:pt>
                <c:pt idx="6">
                  <c:v>4.6035016801116047E-2</c:v>
                </c:pt>
              </c:numCache>
            </c:numRef>
          </c:val>
          <c:extLst>
            <c:ext xmlns:c16="http://schemas.microsoft.com/office/drawing/2014/chart" uri="{C3380CC4-5D6E-409C-BE32-E72D297353CC}">
              <c16:uniqueId val="{00000000-16BB-4450-A477-4F068C6D25BD}"/>
            </c:ext>
          </c:extLst>
        </c:ser>
        <c:ser>
          <c:idx val="1"/>
          <c:order val="1"/>
          <c:tx>
            <c:strRef>
              <c:f>Hoja2!$A$330</c:f>
              <c:strCache>
                <c:ptCount val="1"/>
                <c:pt idx="0">
                  <c:v>BCR-Pensión</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Hoja2!$B$330:$H$330</c:f>
              <c:numCache>
                <c:formatCode>0.00%</c:formatCode>
                <c:ptCount val="7"/>
                <c:pt idx="0">
                  <c:v>0</c:v>
                </c:pt>
                <c:pt idx="1">
                  <c:v>0</c:v>
                </c:pt>
                <c:pt idx="2">
                  <c:v>0</c:v>
                </c:pt>
                <c:pt idx="3">
                  <c:v>0</c:v>
                </c:pt>
                <c:pt idx="4">
                  <c:v>0</c:v>
                </c:pt>
                <c:pt idx="5">
                  <c:v>0</c:v>
                </c:pt>
                <c:pt idx="6">
                  <c:v>4.4804517487543653E-2</c:v>
                </c:pt>
              </c:numCache>
            </c:numRef>
          </c:val>
          <c:extLst>
            <c:ext xmlns:c16="http://schemas.microsoft.com/office/drawing/2014/chart" uri="{C3380CC4-5D6E-409C-BE32-E72D297353CC}">
              <c16:uniqueId val="{00000001-16BB-4450-A477-4F068C6D25BD}"/>
            </c:ext>
          </c:extLst>
        </c:ser>
        <c:ser>
          <c:idx val="2"/>
          <c:order val="2"/>
          <c:tx>
            <c:strRef>
              <c:f>Hoja2!$A$331</c:f>
              <c:strCache>
                <c:ptCount val="1"/>
                <c:pt idx="0">
                  <c:v>CCCC-OPC</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Hoja2!$B$331:$H$331</c:f>
              <c:numCache>
                <c:formatCode>0.00%</c:formatCode>
                <c:ptCount val="7"/>
                <c:pt idx="0">
                  <c:v>0</c:v>
                </c:pt>
                <c:pt idx="1">
                  <c:v>6.2874008676203942E-3</c:v>
                </c:pt>
                <c:pt idx="2">
                  <c:v>3.661503905504792E-2</c:v>
                </c:pt>
                <c:pt idx="3">
                  <c:v>3.0117891662085273E-2</c:v>
                </c:pt>
                <c:pt idx="4">
                  <c:v>0.10217983261462056</c:v>
                </c:pt>
                <c:pt idx="5">
                  <c:v>0.11883252118951951</c:v>
                </c:pt>
                <c:pt idx="6">
                  <c:v>0.22761269472345061</c:v>
                </c:pt>
              </c:numCache>
            </c:numRef>
          </c:val>
          <c:extLst>
            <c:ext xmlns:c16="http://schemas.microsoft.com/office/drawing/2014/chart" uri="{C3380CC4-5D6E-409C-BE32-E72D297353CC}">
              <c16:uniqueId val="{00000002-16BB-4450-A477-4F068C6D25BD}"/>
            </c:ext>
          </c:extLst>
        </c:ser>
        <c:ser>
          <c:idx val="3"/>
          <c:order val="3"/>
          <c:tx>
            <c:strRef>
              <c:f>Hoja2!$A$332</c:f>
              <c:strCache>
                <c:ptCount val="1"/>
                <c:pt idx="0">
                  <c:v>Popular Pensiones</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Hoja2!$B$332:$H$332</c:f>
              <c:numCache>
                <c:formatCode>0.00%</c:formatCode>
                <c:ptCount val="7"/>
                <c:pt idx="0">
                  <c:v>0.10235968943763707</c:v>
                </c:pt>
                <c:pt idx="1">
                  <c:v>8.5772925284113399E-2</c:v>
                </c:pt>
                <c:pt idx="2">
                  <c:v>0.12641200148785864</c:v>
                </c:pt>
                <c:pt idx="3">
                  <c:v>0.21170167344786764</c:v>
                </c:pt>
                <c:pt idx="4">
                  <c:v>0.16400649532107933</c:v>
                </c:pt>
                <c:pt idx="5">
                  <c:v>0.24227397773066811</c:v>
                </c:pt>
                <c:pt idx="6">
                  <c:v>0.22172847834022189</c:v>
                </c:pt>
              </c:numCache>
            </c:numRef>
          </c:val>
          <c:extLst>
            <c:ext xmlns:c16="http://schemas.microsoft.com/office/drawing/2014/chart" uri="{C3380CC4-5D6E-409C-BE32-E72D297353CC}">
              <c16:uniqueId val="{00000003-16BB-4450-A477-4F068C6D25BD}"/>
            </c:ext>
          </c:extLst>
        </c:ser>
        <c:ser>
          <c:idx val="4"/>
          <c:order val="4"/>
          <c:tx>
            <c:strRef>
              <c:f>Hoja2!$A$333</c:f>
              <c:strCache>
                <c:ptCount val="1"/>
                <c:pt idx="0">
                  <c:v>BAC-SJ-Pensiones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Hoja2!$B$333:$H$333</c:f>
              <c:numCache>
                <c:formatCode>0.00%</c:formatCode>
                <c:ptCount val="7"/>
                <c:pt idx="0">
                  <c:v>0</c:v>
                </c:pt>
                <c:pt idx="1">
                  <c:v>0</c:v>
                </c:pt>
                <c:pt idx="2">
                  <c:v>3.7809116787663583E-3</c:v>
                </c:pt>
                <c:pt idx="3">
                  <c:v>3.3082630177541351E-3</c:v>
                </c:pt>
                <c:pt idx="4">
                  <c:v>6.2703924717710816E-2</c:v>
                </c:pt>
                <c:pt idx="5">
                  <c:v>8.7875147568943365E-2</c:v>
                </c:pt>
                <c:pt idx="6">
                  <c:v>0.12023146656393738</c:v>
                </c:pt>
              </c:numCache>
            </c:numRef>
          </c:val>
          <c:extLst>
            <c:ext xmlns:c16="http://schemas.microsoft.com/office/drawing/2014/chart" uri="{C3380CC4-5D6E-409C-BE32-E72D297353CC}">
              <c16:uniqueId val="{00000004-16BB-4450-A477-4F068C6D25BD}"/>
            </c:ext>
          </c:extLst>
        </c:ser>
        <c:ser>
          <c:idx val="5"/>
          <c:order val="5"/>
          <c:tx>
            <c:strRef>
              <c:f>Hoja2!$A$334</c:f>
              <c:strCache>
                <c:ptCount val="1"/>
                <c:pt idx="0">
                  <c:v>Vida Plena</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numRef>
              <c:f>Hoja2!$B$328:$H$328</c:f>
              <c:numCache>
                <c:formatCode>General</c:formatCode>
                <c:ptCount val="7"/>
                <c:pt idx="0">
                  <c:v>2013</c:v>
                </c:pt>
                <c:pt idx="1">
                  <c:v>2014</c:v>
                </c:pt>
                <c:pt idx="2">
                  <c:v>2015</c:v>
                </c:pt>
                <c:pt idx="3">
                  <c:v>2016</c:v>
                </c:pt>
                <c:pt idx="4">
                  <c:v>2017</c:v>
                </c:pt>
                <c:pt idx="5">
                  <c:v>2018</c:v>
                </c:pt>
                <c:pt idx="6">
                  <c:v>2019</c:v>
                </c:pt>
              </c:numCache>
            </c:numRef>
          </c:cat>
          <c:val>
            <c:numRef>
              <c:f>Hoja2!$B$334:$H$334</c:f>
              <c:numCache>
                <c:formatCode>0.00%</c:formatCode>
                <c:ptCount val="7"/>
                <c:pt idx="0">
                  <c:v>0</c:v>
                </c:pt>
                <c:pt idx="1">
                  <c:v>3.8458582719801633E-2</c:v>
                </c:pt>
                <c:pt idx="2">
                  <c:v>5.5272925968736369E-2</c:v>
                </c:pt>
                <c:pt idx="3">
                  <c:v>4.216475670711238E-2</c:v>
                </c:pt>
                <c:pt idx="4">
                  <c:v>2.6622656787345482E-2</c:v>
                </c:pt>
                <c:pt idx="5">
                  <c:v>4.858397149527547E-2</c:v>
                </c:pt>
                <c:pt idx="6">
                  <c:v>6.5524597366229773E-2</c:v>
                </c:pt>
              </c:numCache>
            </c:numRef>
          </c:val>
          <c:extLst>
            <c:ext xmlns:c16="http://schemas.microsoft.com/office/drawing/2014/chart" uri="{C3380CC4-5D6E-409C-BE32-E72D297353CC}">
              <c16:uniqueId val="{00000005-16BB-4450-A477-4F068C6D25BD}"/>
            </c:ext>
          </c:extLst>
        </c:ser>
        <c:dLbls>
          <c:showLegendKey val="0"/>
          <c:showVal val="0"/>
          <c:showCatName val="0"/>
          <c:showSerName val="0"/>
          <c:showPercent val="0"/>
          <c:showBubbleSize val="0"/>
        </c:dLbls>
        <c:gapWidth val="150"/>
        <c:axId val="664953256"/>
        <c:axId val="664945056"/>
      </c:barChart>
      <c:catAx>
        <c:axId val="6649532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R"/>
          </a:p>
        </c:txPr>
        <c:crossAx val="664945056"/>
        <c:crosses val="autoZero"/>
        <c:auto val="1"/>
        <c:lblAlgn val="ctr"/>
        <c:lblOffset val="100"/>
        <c:noMultiLvlLbl val="0"/>
      </c:catAx>
      <c:valAx>
        <c:axId val="664945056"/>
        <c:scaling>
          <c:orientation val="minMax"/>
        </c:scaling>
        <c:delete val="0"/>
        <c:axPos val="l"/>
        <c:majorGridlines>
          <c:spPr>
            <a:ln>
              <a:solidFill>
                <a:schemeClr val="dk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R"/>
          </a:p>
        </c:txPr>
        <c:crossAx val="664953256"/>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s-CR"/>
          </a:p>
        </c:txPr>
      </c:dTable>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7825896762902"/>
          <c:y val="6.0185185185185182E-2"/>
          <c:w val="0.87232174103237092"/>
          <c:h val="0.73577136191309422"/>
        </c:manualLayout>
      </c:layout>
      <c:barChart>
        <c:barDir val="col"/>
        <c:grouping val="stacked"/>
        <c:varyColors val="0"/>
        <c:ser>
          <c:idx val="0"/>
          <c:order val="0"/>
          <c:tx>
            <c:strRef>
              <c:f>Hoja2!$B$158</c:f>
              <c:strCache>
                <c:ptCount val="1"/>
                <c:pt idx="0">
                  <c:v>Colones</c:v>
                </c:pt>
              </c:strCache>
            </c:strRef>
          </c:tx>
          <c:spPr>
            <a:solidFill>
              <a:schemeClr val="accent1"/>
            </a:solidFill>
            <a:ln>
              <a:noFill/>
            </a:ln>
            <a:effectLst/>
          </c:spPr>
          <c:invertIfNegative val="0"/>
          <c:dLbls>
            <c:delete val="1"/>
          </c:dLbls>
          <c:cat>
            <c:numRef>
              <c:f>Hoja2!$A$159:$A$165</c:f>
              <c:numCache>
                <c:formatCode>General</c:formatCode>
                <c:ptCount val="7"/>
                <c:pt idx="0">
                  <c:v>2013</c:v>
                </c:pt>
                <c:pt idx="1">
                  <c:v>2014</c:v>
                </c:pt>
                <c:pt idx="2">
                  <c:v>2015</c:v>
                </c:pt>
                <c:pt idx="3">
                  <c:v>2016</c:v>
                </c:pt>
                <c:pt idx="4">
                  <c:v>2017</c:v>
                </c:pt>
                <c:pt idx="5">
                  <c:v>2018</c:v>
                </c:pt>
                <c:pt idx="6">
                  <c:v>2019</c:v>
                </c:pt>
              </c:numCache>
            </c:numRef>
          </c:cat>
          <c:val>
            <c:numRef>
              <c:f>Hoja2!$B$159:$B$165</c:f>
              <c:numCache>
                <c:formatCode>0.0%</c:formatCode>
                <c:ptCount val="7"/>
                <c:pt idx="0">
                  <c:v>0.89769702169186227</c:v>
                </c:pt>
                <c:pt idx="1">
                  <c:v>0.91000125960451017</c:v>
                </c:pt>
                <c:pt idx="2">
                  <c:v>0.90013086565232903</c:v>
                </c:pt>
                <c:pt idx="3">
                  <c:v>0.85629621983904025</c:v>
                </c:pt>
                <c:pt idx="4">
                  <c:v>0.79366902074147083</c:v>
                </c:pt>
                <c:pt idx="5">
                  <c:v>0.75120292254163568</c:v>
                </c:pt>
                <c:pt idx="6">
                  <c:v>0.69801949777531114</c:v>
                </c:pt>
              </c:numCache>
            </c:numRef>
          </c:val>
          <c:extLst>
            <c:ext xmlns:c16="http://schemas.microsoft.com/office/drawing/2014/chart" uri="{C3380CC4-5D6E-409C-BE32-E72D297353CC}">
              <c16:uniqueId val="{00000000-E58B-49D3-82B2-C87CD5E0AA2E}"/>
            </c:ext>
          </c:extLst>
        </c:ser>
        <c:ser>
          <c:idx val="1"/>
          <c:order val="1"/>
          <c:tx>
            <c:strRef>
              <c:f>Hoja2!$C$158</c:f>
              <c:strCache>
                <c:ptCount val="1"/>
                <c:pt idx="0">
                  <c:v>Dólares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Hoja2!$A$159:$A$165</c:f>
              <c:numCache>
                <c:formatCode>General</c:formatCode>
                <c:ptCount val="7"/>
                <c:pt idx="0">
                  <c:v>2013</c:v>
                </c:pt>
                <c:pt idx="1">
                  <c:v>2014</c:v>
                </c:pt>
                <c:pt idx="2">
                  <c:v>2015</c:v>
                </c:pt>
                <c:pt idx="3">
                  <c:v>2016</c:v>
                </c:pt>
                <c:pt idx="4">
                  <c:v>2017</c:v>
                </c:pt>
                <c:pt idx="5">
                  <c:v>2018</c:v>
                </c:pt>
                <c:pt idx="6">
                  <c:v>2019</c:v>
                </c:pt>
              </c:numCache>
            </c:numRef>
          </c:cat>
          <c:val>
            <c:numRef>
              <c:f>Hoja2!$C$159:$C$165</c:f>
              <c:numCache>
                <c:formatCode>0.0%</c:formatCode>
                <c:ptCount val="7"/>
                <c:pt idx="0">
                  <c:v>0.10230297830813764</c:v>
                </c:pt>
                <c:pt idx="1">
                  <c:v>8.999874039548976E-2</c:v>
                </c:pt>
                <c:pt idx="2">
                  <c:v>9.9869134347670849E-2</c:v>
                </c:pt>
                <c:pt idx="3">
                  <c:v>0.1437037801609598</c:v>
                </c:pt>
                <c:pt idx="4">
                  <c:v>0.20633097925852911</c:v>
                </c:pt>
                <c:pt idx="5">
                  <c:v>0.24879707745836441</c:v>
                </c:pt>
                <c:pt idx="6">
                  <c:v>0.30198050222468892</c:v>
                </c:pt>
              </c:numCache>
            </c:numRef>
          </c:val>
          <c:extLst>
            <c:ext xmlns:c16="http://schemas.microsoft.com/office/drawing/2014/chart" uri="{C3380CC4-5D6E-409C-BE32-E72D297353CC}">
              <c16:uniqueId val="{00000001-E58B-49D3-82B2-C87CD5E0AA2E}"/>
            </c:ext>
          </c:extLst>
        </c:ser>
        <c:dLbls>
          <c:dLblPos val="ctr"/>
          <c:showLegendKey val="0"/>
          <c:showVal val="1"/>
          <c:showCatName val="0"/>
          <c:showSerName val="0"/>
          <c:showPercent val="0"/>
          <c:showBubbleSize val="0"/>
        </c:dLbls>
        <c:gapWidth val="79"/>
        <c:overlap val="100"/>
        <c:axId val="856899216"/>
        <c:axId val="856895608"/>
      </c:barChart>
      <c:catAx>
        <c:axId val="85689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R"/>
          </a:p>
        </c:txPr>
        <c:crossAx val="856895608"/>
        <c:crosses val="autoZero"/>
        <c:auto val="1"/>
        <c:lblAlgn val="ctr"/>
        <c:lblOffset val="100"/>
        <c:noMultiLvlLbl val="0"/>
      </c:catAx>
      <c:valAx>
        <c:axId val="856895608"/>
        <c:scaling>
          <c:orientation val="minMax"/>
          <c:max val="1"/>
        </c:scaling>
        <c:delete val="1"/>
        <c:axPos val="l"/>
        <c:numFmt formatCode="0.0%" sourceLinked="1"/>
        <c:majorTickMark val="none"/>
        <c:minorTickMark val="none"/>
        <c:tickLblPos val="nextTo"/>
        <c:crossAx val="856899216"/>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0"/>
          <c:tx>
            <c:strRef>
              <c:f>Hoja2!$F$184</c:f>
              <c:strCache>
                <c:ptCount val="1"/>
                <c:pt idx="0">
                  <c:v>D. Priv</c:v>
                </c:pt>
              </c:strCache>
            </c:strRef>
          </c:tx>
          <c:spPr>
            <a:solidFill>
              <a:schemeClr val="bg2">
                <a:lumMod val="90000"/>
              </a:schemeClr>
            </a:solidFill>
            <a:ln>
              <a:noFill/>
            </a:ln>
            <a:effectLst/>
          </c:spPr>
          <c:invertIfNegative val="0"/>
          <c:cat>
            <c:numRef>
              <c:f>Hoja2!$A$185:$A$191</c:f>
              <c:numCache>
                <c:formatCode>General</c:formatCode>
                <c:ptCount val="7"/>
                <c:pt idx="0">
                  <c:v>2013</c:v>
                </c:pt>
                <c:pt idx="1">
                  <c:v>2014</c:v>
                </c:pt>
                <c:pt idx="2">
                  <c:v>2015</c:v>
                </c:pt>
                <c:pt idx="3">
                  <c:v>2016</c:v>
                </c:pt>
                <c:pt idx="4">
                  <c:v>2017</c:v>
                </c:pt>
                <c:pt idx="5">
                  <c:v>2018</c:v>
                </c:pt>
                <c:pt idx="6">
                  <c:v>2019</c:v>
                </c:pt>
              </c:numCache>
            </c:numRef>
          </c:cat>
          <c:val>
            <c:numRef>
              <c:f>Hoja2!$F$185:$F$191</c:f>
              <c:numCache>
                <c:formatCode>0.00%</c:formatCode>
                <c:ptCount val="7"/>
                <c:pt idx="0">
                  <c:v>0.13578637602274227</c:v>
                </c:pt>
                <c:pt idx="1">
                  <c:v>0.16336125518565375</c:v>
                </c:pt>
                <c:pt idx="2">
                  <c:v>0.16130406692579025</c:v>
                </c:pt>
                <c:pt idx="3">
                  <c:v>0.17942326952783957</c:v>
                </c:pt>
                <c:pt idx="4">
                  <c:v>0.20076189866935015</c:v>
                </c:pt>
                <c:pt idx="5">
                  <c:v>0.19604976935222532</c:v>
                </c:pt>
                <c:pt idx="6">
                  <c:v>0.19049605046504692</c:v>
                </c:pt>
              </c:numCache>
            </c:numRef>
          </c:val>
          <c:extLst>
            <c:ext xmlns:c16="http://schemas.microsoft.com/office/drawing/2014/chart" uri="{C3380CC4-5D6E-409C-BE32-E72D297353CC}">
              <c16:uniqueId val="{00000000-8E6D-4866-8F04-09ED69C67999}"/>
            </c:ext>
          </c:extLst>
        </c:ser>
        <c:ser>
          <c:idx val="4"/>
          <c:order val="1"/>
          <c:tx>
            <c:strRef>
              <c:f>Hoja2!$G$184</c:f>
              <c:strCache>
                <c:ptCount val="1"/>
                <c:pt idx="0">
                  <c:v>E Ext.</c:v>
                </c:pt>
              </c:strCache>
            </c:strRef>
          </c:tx>
          <c:spPr>
            <a:solidFill>
              <a:schemeClr val="tx2">
                <a:lumMod val="40000"/>
                <a:lumOff val="60000"/>
              </a:schemeClr>
            </a:solidFill>
            <a:ln>
              <a:noFill/>
            </a:ln>
            <a:effectLst/>
          </c:spPr>
          <c:invertIfNegative val="0"/>
          <c:cat>
            <c:numRef>
              <c:f>Hoja2!$A$185:$A$191</c:f>
              <c:numCache>
                <c:formatCode>General</c:formatCode>
                <c:ptCount val="7"/>
                <c:pt idx="0">
                  <c:v>2013</c:v>
                </c:pt>
                <c:pt idx="1">
                  <c:v>2014</c:v>
                </c:pt>
                <c:pt idx="2">
                  <c:v>2015</c:v>
                </c:pt>
                <c:pt idx="3">
                  <c:v>2016</c:v>
                </c:pt>
                <c:pt idx="4">
                  <c:v>2017</c:v>
                </c:pt>
                <c:pt idx="5">
                  <c:v>2018</c:v>
                </c:pt>
                <c:pt idx="6">
                  <c:v>2019</c:v>
                </c:pt>
              </c:numCache>
            </c:numRef>
          </c:cat>
          <c:val>
            <c:numRef>
              <c:f>Hoja2!$G$185:$G$191</c:f>
              <c:numCache>
                <c:formatCode>0.00%</c:formatCode>
                <c:ptCount val="7"/>
                <c:pt idx="0">
                  <c:v>3.8139546329613749E-2</c:v>
                </c:pt>
                <c:pt idx="1">
                  <c:v>3.569806204761998E-2</c:v>
                </c:pt>
                <c:pt idx="2">
                  <c:v>5.2302669825297188E-2</c:v>
                </c:pt>
                <c:pt idx="3">
                  <c:v>9.5370451747261553E-2</c:v>
                </c:pt>
                <c:pt idx="4">
                  <c:v>8.8496561937411303E-2</c:v>
                </c:pt>
                <c:pt idx="5">
                  <c:v>0.1201981585143006</c:v>
                </c:pt>
                <c:pt idx="6">
                  <c:v>0.12937910485209547</c:v>
                </c:pt>
              </c:numCache>
            </c:numRef>
          </c:val>
          <c:extLst>
            <c:ext xmlns:c16="http://schemas.microsoft.com/office/drawing/2014/chart" uri="{C3380CC4-5D6E-409C-BE32-E72D297353CC}">
              <c16:uniqueId val="{00000001-8E6D-4866-8F04-09ED69C67999}"/>
            </c:ext>
          </c:extLst>
        </c:ser>
        <c:ser>
          <c:idx val="0"/>
          <c:order val="2"/>
          <c:tx>
            <c:strRef>
              <c:f>Hoja2!$E$184</c:f>
              <c:strCache>
                <c:ptCount val="1"/>
                <c:pt idx="0">
                  <c:v>Sector Público</c:v>
                </c:pt>
              </c:strCache>
            </c:strRef>
          </c:tx>
          <c:spPr>
            <a:solidFill>
              <a:schemeClr val="tx2"/>
            </a:solidFill>
            <a:ln>
              <a:noFill/>
            </a:ln>
            <a:effectLst/>
          </c:spPr>
          <c:invertIfNegative val="0"/>
          <c:val>
            <c:numRef>
              <c:f>Hoja2!$E$185:$E$191</c:f>
              <c:numCache>
                <c:formatCode>0.00%</c:formatCode>
                <c:ptCount val="7"/>
                <c:pt idx="0">
                  <c:v>0.82607407764764407</c:v>
                </c:pt>
                <c:pt idx="1">
                  <c:v>0.80094068276672636</c:v>
                </c:pt>
                <c:pt idx="2">
                  <c:v>0.78639326324891246</c:v>
                </c:pt>
                <c:pt idx="3">
                  <c:v>0.72520627872489885</c:v>
                </c:pt>
                <c:pt idx="4">
                  <c:v>0.71074153939323848</c:v>
                </c:pt>
                <c:pt idx="5">
                  <c:v>0.68375207213347411</c:v>
                </c:pt>
                <c:pt idx="6">
                  <c:v>0.68012484468285761</c:v>
                </c:pt>
              </c:numCache>
            </c:numRef>
          </c:val>
          <c:extLst>
            <c:ext xmlns:c16="http://schemas.microsoft.com/office/drawing/2014/chart" uri="{C3380CC4-5D6E-409C-BE32-E72D297353CC}">
              <c16:uniqueId val="{00000002-8E6D-4866-8F04-09ED69C67999}"/>
            </c:ext>
          </c:extLst>
        </c:ser>
        <c:dLbls>
          <c:showLegendKey val="0"/>
          <c:showVal val="0"/>
          <c:showCatName val="0"/>
          <c:showSerName val="0"/>
          <c:showPercent val="0"/>
          <c:showBubbleSize val="0"/>
        </c:dLbls>
        <c:gapWidth val="95"/>
        <c:overlap val="100"/>
        <c:axId val="859270424"/>
        <c:axId val="859271408"/>
      </c:barChart>
      <c:catAx>
        <c:axId val="85927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59271408"/>
        <c:crosses val="autoZero"/>
        <c:auto val="1"/>
        <c:lblAlgn val="ctr"/>
        <c:lblOffset val="100"/>
        <c:noMultiLvlLbl val="0"/>
      </c:catAx>
      <c:valAx>
        <c:axId val="8592714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59270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10282195080654"/>
          <c:y val="7.8950617253345332E-2"/>
          <c:w val="0.73255751381382817"/>
          <c:h val="0.68631065501390986"/>
        </c:manualLayout>
      </c:layout>
      <c:barChart>
        <c:barDir val="col"/>
        <c:grouping val="clustered"/>
        <c:varyColors val="0"/>
        <c:ser>
          <c:idx val="1"/>
          <c:order val="1"/>
          <c:tx>
            <c:strRef>
              <c:f>retirosFCLaboral!$H$12</c:f>
              <c:strCache>
                <c:ptCount val="1"/>
                <c:pt idx="0">
                  <c:v>MONTO</c:v>
                </c:pt>
              </c:strCache>
            </c:strRef>
          </c:tx>
          <c:spPr>
            <a:solidFill>
              <a:schemeClr val="accent2"/>
            </a:solidFill>
            <a:ln>
              <a:noFill/>
            </a:ln>
            <a:effectLst/>
          </c:spPr>
          <c:invertIfNegative val="0"/>
          <c:cat>
            <c:numRef>
              <c:f>retirosFCLaboral!$F$13:$F$55</c:f>
              <c:numCache>
                <c:formatCode>[$-C0A]mmmm\-yy;@</c:formatCode>
                <c:ptCount val="4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pt idx="13">
                  <c:v>42736</c:v>
                </c:pt>
                <c:pt idx="14">
                  <c:v>42767</c:v>
                </c:pt>
                <c:pt idx="15">
                  <c:v>42795</c:v>
                </c:pt>
                <c:pt idx="16">
                  <c:v>42826</c:v>
                </c:pt>
                <c:pt idx="17">
                  <c:v>42856</c:v>
                </c:pt>
                <c:pt idx="18">
                  <c:v>42887</c:v>
                </c:pt>
                <c:pt idx="19">
                  <c:v>42917</c:v>
                </c:pt>
                <c:pt idx="20">
                  <c:v>42948</c:v>
                </c:pt>
                <c:pt idx="21">
                  <c:v>42979</c:v>
                </c:pt>
                <c:pt idx="22">
                  <c:v>43009</c:v>
                </c:pt>
                <c:pt idx="23">
                  <c:v>43040</c:v>
                </c:pt>
                <c:pt idx="24">
                  <c:v>43070</c:v>
                </c:pt>
                <c:pt idx="25">
                  <c:v>43101</c:v>
                </c:pt>
                <c:pt idx="26">
                  <c:v>43132</c:v>
                </c:pt>
                <c:pt idx="27">
                  <c:v>43160</c:v>
                </c:pt>
                <c:pt idx="28">
                  <c:v>43191</c:v>
                </c:pt>
                <c:pt idx="29">
                  <c:v>43221</c:v>
                </c:pt>
                <c:pt idx="30">
                  <c:v>43252</c:v>
                </c:pt>
                <c:pt idx="31">
                  <c:v>43282</c:v>
                </c:pt>
                <c:pt idx="32">
                  <c:v>43313</c:v>
                </c:pt>
                <c:pt idx="33">
                  <c:v>43344</c:v>
                </c:pt>
                <c:pt idx="34">
                  <c:v>43374</c:v>
                </c:pt>
                <c:pt idx="35">
                  <c:v>43405</c:v>
                </c:pt>
                <c:pt idx="36">
                  <c:v>43435</c:v>
                </c:pt>
                <c:pt idx="37">
                  <c:v>43466</c:v>
                </c:pt>
                <c:pt idx="38">
                  <c:v>43497</c:v>
                </c:pt>
                <c:pt idx="39">
                  <c:v>43525</c:v>
                </c:pt>
                <c:pt idx="40">
                  <c:v>43556</c:v>
                </c:pt>
                <c:pt idx="41">
                  <c:v>43586</c:v>
                </c:pt>
                <c:pt idx="42">
                  <c:v>43617</c:v>
                </c:pt>
              </c:numCache>
            </c:numRef>
          </c:cat>
          <c:val>
            <c:numRef>
              <c:f>retirosFCLaboral!$H$13:$H$55</c:f>
              <c:numCache>
                <c:formatCode>_(* #,##0_);_(* \(#,##0\);_(* "-"_);_(@_)</c:formatCode>
                <c:ptCount val="43"/>
                <c:pt idx="0">
                  <c:v>3739.2772305316671</c:v>
                </c:pt>
                <c:pt idx="1">
                  <c:v>3770.4345151816674</c:v>
                </c:pt>
                <c:pt idx="2">
                  <c:v>3890.1866159441674</c:v>
                </c:pt>
                <c:pt idx="3">
                  <c:v>3988.2268273308341</c:v>
                </c:pt>
                <c:pt idx="4">
                  <c:v>4061.3837643541674</c:v>
                </c:pt>
                <c:pt idx="5">
                  <c:v>4081.8720089108338</c:v>
                </c:pt>
                <c:pt idx="6">
                  <c:v>4061.1946742258338</c:v>
                </c:pt>
                <c:pt idx="7">
                  <c:v>3972.1418805725007</c:v>
                </c:pt>
                <c:pt idx="8">
                  <c:v>3967.4043194591659</c:v>
                </c:pt>
                <c:pt idx="9">
                  <c:v>3953.0122470775</c:v>
                </c:pt>
                <c:pt idx="10">
                  <c:v>3918.2980549891663</c:v>
                </c:pt>
                <c:pt idx="11">
                  <c:v>3873.3831171758334</c:v>
                </c:pt>
                <c:pt idx="12">
                  <c:v>3817.0906865833335</c:v>
                </c:pt>
                <c:pt idx="13">
                  <c:v>3759.2990014225002</c:v>
                </c:pt>
                <c:pt idx="14">
                  <c:v>3586.5793393758336</c:v>
                </c:pt>
                <c:pt idx="15">
                  <c:v>3473.9285045358333</c:v>
                </c:pt>
                <c:pt idx="16">
                  <c:v>3338.9851382249999</c:v>
                </c:pt>
                <c:pt idx="17">
                  <c:v>3340.6755882533339</c:v>
                </c:pt>
                <c:pt idx="18">
                  <c:v>3366.2894467075002</c:v>
                </c:pt>
                <c:pt idx="19">
                  <c:v>3415.337194879166</c:v>
                </c:pt>
                <c:pt idx="20">
                  <c:v>3428.6765588925</c:v>
                </c:pt>
                <c:pt idx="21">
                  <c:v>3408.9013818941667</c:v>
                </c:pt>
                <c:pt idx="22">
                  <c:v>3425.1828747658328</c:v>
                </c:pt>
                <c:pt idx="23">
                  <c:v>3459.093631715833</c:v>
                </c:pt>
                <c:pt idx="24">
                  <c:v>3475.1596960266666</c:v>
                </c:pt>
                <c:pt idx="25">
                  <c:v>3498.1611136391662</c:v>
                </c:pt>
                <c:pt idx="26">
                  <c:v>3598.5542075033336</c:v>
                </c:pt>
                <c:pt idx="27">
                  <c:v>3538.4450969349996</c:v>
                </c:pt>
                <c:pt idx="28">
                  <c:v>3648.8734199074997</c:v>
                </c:pt>
                <c:pt idx="29">
                  <c:v>3694.8583144766671</c:v>
                </c:pt>
                <c:pt idx="30">
                  <c:v>3745.8532784475001</c:v>
                </c:pt>
                <c:pt idx="31">
                  <c:v>3813.661250525</c:v>
                </c:pt>
                <c:pt idx="32">
                  <c:v>3886.9687358191668</c:v>
                </c:pt>
                <c:pt idx="33">
                  <c:v>3955.5523560091669</c:v>
                </c:pt>
                <c:pt idx="34">
                  <c:v>4055.0627766483331</c:v>
                </c:pt>
                <c:pt idx="35">
                  <c:v>4134.1794564366664</c:v>
                </c:pt>
                <c:pt idx="36">
                  <c:v>4177.9060218758332</c:v>
                </c:pt>
                <c:pt idx="37">
                  <c:v>4220.7508060500004</c:v>
                </c:pt>
                <c:pt idx="38">
                  <c:v>4245.9675828391664</c:v>
                </c:pt>
                <c:pt idx="39">
                  <c:v>4337.1055191508322</c:v>
                </c:pt>
                <c:pt idx="40">
                  <c:v>4341.404376276666</c:v>
                </c:pt>
                <c:pt idx="41">
                  <c:v>4395.4185931166667</c:v>
                </c:pt>
                <c:pt idx="42">
                  <c:v>4409.3870169749998</c:v>
                </c:pt>
              </c:numCache>
            </c:numRef>
          </c:val>
          <c:extLst>
            <c:ext xmlns:c16="http://schemas.microsoft.com/office/drawing/2014/chart" uri="{C3380CC4-5D6E-409C-BE32-E72D297353CC}">
              <c16:uniqueId val="{00000000-978E-4186-8C3C-68DAE29DE9B8}"/>
            </c:ext>
          </c:extLst>
        </c:ser>
        <c:dLbls>
          <c:showLegendKey val="0"/>
          <c:showVal val="0"/>
          <c:showCatName val="0"/>
          <c:showSerName val="0"/>
          <c:showPercent val="0"/>
          <c:showBubbleSize val="0"/>
        </c:dLbls>
        <c:gapWidth val="219"/>
        <c:overlap val="-27"/>
        <c:axId val="515193072"/>
        <c:axId val="527101632"/>
      </c:barChart>
      <c:lineChart>
        <c:grouping val="standard"/>
        <c:varyColors val="0"/>
        <c:ser>
          <c:idx val="0"/>
          <c:order val="0"/>
          <c:tx>
            <c:strRef>
              <c:f>retirosFCLaboral!$G$12</c:f>
              <c:strCache>
                <c:ptCount val="1"/>
                <c:pt idx="0">
                  <c:v>CANTIDAD</c:v>
                </c:pt>
              </c:strCache>
            </c:strRef>
          </c:tx>
          <c:spPr>
            <a:ln w="28575" cap="rnd">
              <a:solidFill>
                <a:schemeClr val="accent1"/>
              </a:solidFill>
              <a:round/>
            </a:ln>
            <a:effectLst/>
          </c:spPr>
          <c:marker>
            <c:symbol val="none"/>
          </c:marker>
          <c:cat>
            <c:numRef>
              <c:f>retirosFCLaboral!$F$13:$F$55</c:f>
              <c:numCache>
                <c:formatCode>[$-C0A]mmmm\-yy;@</c:formatCode>
                <c:ptCount val="4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pt idx="13">
                  <c:v>42736</c:v>
                </c:pt>
                <c:pt idx="14">
                  <c:v>42767</c:v>
                </c:pt>
                <c:pt idx="15">
                  <c:v>42795</c:v>
                </c:pt>
                <c:pt idx="16">
                  <c:v>42826</c:v>
                </c:pt>
                <c:pt idx="17">
                  <c:v>42856</c:v>
                </c:pt>
                <c:pt idx="18">
                  <c:v>42887</c:v>
                </c:pt>
                <c:pt idx="19">
                  <c:v>42917</c:v>
                </c:pt>
                <c:pt idx="20">
                  <c:v>42948</c:v>
                </c:pt>
                <c:pt idx="21">
                  <c:v>42979</c:v>
                </c:pt>
                <c:pt idx="22">
                  <c:v>43009</c:v>
                </c:pt>
                <c:pt idx="23">
                  <c:v>43040</c:v>
                </c:pt>
                <c:pt idx="24">
                  <c:v>43070</c:v>
                </c:pt>
                <c:pt idx="25">
                  <c:v>43101</c:v>
                </c:pt>
                <c:pt idx="26">
                  <c:v>43132</c:v>
                </c:pt>
                <c:pt idx="27">
                  <c:v>43160</c:v>
                </c:pt>
                <c:pt idx="28">
                  <c:v>43191</c:v>
                </c:pt>
                <c:pt idx="29">
                  <c:v>43221</c:v>
                </c:pt>
                <c:pt idx="30">
                  <c:v>43252</c:v>
                </c:pt>
                <c:pt idx="31">
                  <c:v>43282</c:v>
                </c:pt>
                <c:pt idx="32">
                  <c:v>43313</c:v>
                </c:pt>
                <c:pt idx="33">
                  <c:v>43344</c:v>
                </c:pt>
                <c:pt idx="34">
                  <c:v>43374</c:v>
                </c:pt>
                <c:pt idx="35">
                  <c:v>43405</c:v>
                </c:pt>
                <c:pt idx="36">
                  <c:v>43435</c:v>
                </c:pt>
                <c:pt idx="37">
                  <c:v>43466</c:v>
                </c:pt>
                <c:pt idx="38">
                  <c:v>43497</c:v>
                </c:pt>
                <c:pt idx="39">
                  <c:v>43525</c:v>
                </c:pt>
                <c:pt idx="40">
                  <c:v>43556</c:v>
                </c:pt>
                <c:pt idx="41">
                  <c:v>43586</c:v>
                </c:pt>
                <c:pt idx="42">
                  <c:v>43617</c:v>
                </c:pt>
              </c:numCache>
            </c:numRef>
          </c:cat>
          <c:val>
            <c:numRef>
              <c:f>retirosFCLaboral!$G$13:$G$55</c:f>
              <c:numCache>
                <c:formatCode>_(* #,##0_);_(* \(#,##0\);_(* "-"_);_(@_)</c:formatCode>
                <c:ptCount val="43"/>
                <c:pt idx="0">
                  <c:v>25423.25</c:v>
                </c:pt>
                <c:pt idx="1">
                  <c:v>25456.666666666668</c:v>
                </c:pt>
                <c:pt idx="2">
                  <c:v>25758.25</c:v>
                </c:pt>
                <c:pt idx="3">
                  <c:v>26169.166666666668</c:v>
                </c:pt>
                <c:pt idx="4">
                  <c:v>26652.666666666668</c:v>
                </c:pt>
                <c:pt idx="5">
                  <c:v>26917.166666666668</c:v>
                </c:pt>
                <c:pt idx="6">
                  <c:v>26954.083333333332</c:v>
                </c:pt>
                <c:pt idx="7">
                  <c:v>26634.083333333332</c:v>
                </c:pt>
                <c:pt idx="8">
                  <c:v>26770.25</c:v>
                </c:pt>
                <c:pt idx="9">
                  <c:v>26819.166666666668</c:v>
                </c:pt>
                <c:pt idx="10">
                  <c:v>26752.25</c:v>
                </c:pt>
                <c:pt idx="11">
                  <c:v>26699.416666666668</c:v>
                </c:pt>
                <c:pt idx="12">
                  <c:v>26537.833333333332</c:v>
                </c:pt>
                <c:pt idx="13">
                  <c:v>26644.166666666668</c:v>
                </c:pt>
                <c:pt idx="14">
                  <c:v>26227.333333333332</c:v>
                </c:pt>
                <c:pt idx="15">
                  <c:v>26026.5</c:v>
                </c:pt>
                <c:pt idx="16">
                  <c:v>25214.416666666668</c:v>
                </c:pt>
                <c:pt idx="17">
                  <c:v>25170.666666666668</c:v>
                </c:pt>
                <c:pt idx="18">
                  <c:v>25233</c:v>
                </c:pt>
                <c:pt idx="19">
                  <c:v>25534.833333333332</c:v>
                </c:pt>
                <c:pt idx="20">
                  <c:v>25595.583333333332</c:v>
                </c:pt>
                <c:pt idx="21">
                  <c:v>25514</c:v>
                </c:pt>
                <c:pt idx="22">
                  <c:v>25583.75</c:v>
                </c:pt>
                <c:pt idx="23">
                  <c:v>25808.416666666668</c:v>
                </c:pt>
                <c:pt idx="24">
                  <c:v>25863</c:v>
                </c:pt>
                <c:pt idx="25">
                  <c:v>25955</c:v>
                </c:pt>
                <c:pt idx="26">
                  <c:v>26577.333333333332</c:v>
                </c:pt>
                <c:pt idx="27">
                  <c:v>26050</c:v>
                </c:pt>
                <c:pt idx="28">
                  <c:v>26626.75</c:v>
                </c:pt>
                <c:pt idx="29">
                  <c:v>26784.916666666668</c:v>
                </c:pt>
                <c:pt idx="30">
                  <c:v>26809.416666666668</c:v>
                </c:pt>
                <c:pt idx="31">
                  <c:v>27081.416666666668</c:v>
                </c:pt>
                <c:pt idx="32">
                  <c:v>27299.5</c:v>
                </c:pt>
                <c:pt idx="33">
                  <c:v>27498.916666666668</c:v>
                </c:pt>
                <c:pt idx="34">
                  <c:v>28017.333333333332</c:v>
                </c:pt>
                <c:pt idx="35">
                  <c:v>28283.166666666668</c:v>
                </c:pt>
                <c:pt idx="36">
                  <c:v>28433</c:v>
                </c:pt>
                <c:pt idx="37">
                  <c:v>28536.75</c:v>
                </c:pt>
                <c:pt idx="38">
                  <c:v>28509.666666666668</c:v>
                </c:pt>
                <c:pt idx="39">
                  <c:v>28968.583333333332</c:v>
                </c:pt>
                <c:pt idx="40">
                  <c:v>28897.583333333332</c:v>
                </c:pt>
                <c:pt idx="41">
                  <c:v>29175.5</c:v>
                </c:pt>
                <c:pt idx="42">
                  <c:v>29357.666666666668</c:v>
                </c:pt>
              </c:numCache>
            </c:numRef>
          </c:val>
          <c:smooth val="0"/>
          <c:extLst>
            <c:ext xmlns:c16="http://schemas.microsoft.com/office/drawing/2014/chart" uri="{C3380CC4-5D6E-409C-BE32-E72D297353CC}">
              <c16:uniqueId val="{00000001-978E-4186-8C3C-68DAE29DE9B8}"/>
            </c:ext>
          </c:extLst>
        </c:ser>
        <c:dLbls>
          <c:showLegendKey val="0"/>
          <c:showVal val="0"/>
          <c:showCatName val="0"/>
          <c:showSerName val="0"/>
          <c:showPercent val="0"/>
          <c:showBubbleSize val="0"/>
        </c:dLbls>
        <c:marker val="1"/>
        <c:smooth val="0"/>
        <c:axId val="513653344"/>
        <c:axId val="527100384"/>
      </c:lineChart>
      <c:catAx>
        <c:axId val="515193072"/>
        <c:scaling>
          <c:orientation val="minMax"/>
        </c:scaling>
        <c:delete val="0"/>
        <c:axPos val="b"/>
        <c:numFmt formatCode="[$-C0A]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27101632"/>
        <c:crosses val="autoZero"/>
        <c:auto val="0"/>
        <c:lblAlgn val="ctr"/>
        <c:lblOffset val="100"/>
        <c:tickMarkSkip val="3"/>
        <c:noMultiLvlLbl val="1"/>
      </c:catAx>
      <c:valAx>
        <c:axId val="5271016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Monto</a:t>
                </a:r>
                <a:r>
                  <a:rPr lang="es-ES" baseline="0"/>
                  <a:t> en </a:t>
                </a:r>
                <a:r>
                  <a:rPr lang="es-ES"/>
                  <a:t>Millones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15193072"/>
        <c:crosses val="autoZero"/>
        <c:crossBetween val="between"/>
      </c:valAx>
      <c:valAx>
        <c:axId val="5271003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Miles retiros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13653344"/>
        <c:crosses val="max"/>
        <c:crossBetween val="between"/>
      </c:valAx>
      <c:dateAx>
        <c:axId val="513653344"/>
        <c:scaling>
          <c:orientation val="minMax"/>
        </c:scaling>
        <c:delete val="1"/>
        <c:axPos val="b"/>
        <c:numFmt formatCode="[$-C0A]mmmm\-yy;@" sourceLinked="1"/>
        <c:majorTickMark val="out"/>
        <c:minorTickMark val="none"/>
        <c:tickLblPos val="nextTo"/>
        <c:crossAx val="527100384"/>
        <c:crosses val="autoZero"/>
        <c:auto val="1"/>
        <c:lblOffset val="100"/>
        <c:baseTimeUnit val="months"/>
      </c:dateAx>
      <c:spPr>
        <a:noFill/>
        <a:ln>
          <a:noFill/>
        </a:ln>
        <a:effectLst/>
      </c:spPr>
    </c:plotArea>
    <c:legend>
      <c:legendPos val="b"/>
      <c:layout>
        <c:manualLayout>
          <c:xMode val="edge"/>
          <c:yMode val="edge"/>
          <c:x val="0.36412596375695006"/>
          <c:y val="0.13459241546140416"/>
          <c:w val="0.27568992978062323"/>
          <c:h val="5.31290547612472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5" ma:contentTypeDescription="Crear nuevo documento." ma:contentTypeScope="" ma:versionID="4501574d38d00e1fb72723bdc82e798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fc7686051c726bc07f01a0ec9081e91c"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45E68-BE9F-4189-BE84-2C84FC4C6506}">
  <ds:schemaRefs>
    <ds:schemaRef ds:uri="http://schemas.microsoft.com/sharepoint/v3/contenttype/forms"/>
  </ds:schemaRefs>
</ds:datastoreItem>
</file>

<file path=customXml/itemProps2.xml><?xml version="1.0" encoding="utf-8"?>
<ds:datastoreItem xmlns:ds="http://schemas.openxmlformats.org/officeDocument/2006/customXml" ds:itemID="{C23D88D6-F5CD-421C-9404-34D118B7DBC9}">
  <ds:schemaRefs>
    <ds:schemaRef ds:uri="0f01b33b-af6d-466e-808f-b63681c2fce0"/>
    <ds:schemaRef ds:uri="http://purl.org/dc/terms/"/>
    <ds:schemaRef ds:uri="http://purl.org/dc/elements/1.1/"/>
    <ds:schemaRef ds:uri="abcd77d0-6cc8-47bc-9c9c-502c201b5bcf"/>
    <ds:schemaRef ds:uri="http://www.w3.org/XML/1998/namespace"/>
    <ds:schemaRef ds:uri="b0165f23-38c6-4bfa-a027-891af1b4e75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D91895-7BDB-4225-911B-C44E2632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4114</Words>
  <Characters>22630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MUNOZ CARLOS ROBERTO</dc:creator>
  <cp:keywords/>
  <dc:description/>
  <cp:lastModifiedBy>ROJAS FAJARDO PORFIRIO</cp:lastModifiedBy>
  <cp:revision>2</cp:revision>
  <dcterms:created xsi:type="dcterms:W3CDTF">2020-01-02T20:19:00Z</dcterms:created>
  <dcterms:modified xsi:type="dcterms:W3CDTF">2020-01-02T20:19:00Z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